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AF77A" w14:textId="77777777"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Participating in an Academic Leadership Minor Influences Students' Leadership Efficacy and Leadership Self-efficacy</w:t>
      </w:r>
    </w:p>
    <w:p w14:paraId="7C04EC71" w14:textId="77777777" w:rsidR="0019072B" w:rsidRDefault="0019072B">
      <w:pPr>
        <w:spacing w:after="0" w:line="240" w:lineRule="auto"/>
        <w:jc w:val="center"/>
        <w:rPr>
          <w:rFonts w:ascii="Times New Roman" w:eastAsia="Times New Roman" w:hAnsi="Times New Roman" w:cs="Times New Roman"/>
          <w:b/>
          <w:sz w:val="24"/>
          <w:szCs w:val="24"/>
        </w:rPr>
      </w:pPr>
    </w:p>
    <w:p w14:paraId="63EFA52F" w14:textId="77777777"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Garrett S. Brogan, Allison L. Dunn Ph.D.</w:t>
      </w:r>
    </w:p>
    <w:p w14:paraId="7BA0D8E8" w14:textId="77777777"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Texas A&amp;M University </w:t>
      </w:r>
    </w:p>
    <w:p w14:paraId="64AE3E81" w14:textId="77777777" w:rsidR="0019072B" w:rsidRDefault="0019072B">
      <w:pPr>
        <w:spacing w:after="0" w:line="240" w:lineRule="auto"/>
        <w:jc w:val="center"/>
        <w:rPr>
          <w:rFonts w:ascii="Times New Roman" w:eastAsia="Times New Roman" w:hAnsi="Times New Roman" w:cs="Times New Roman"/>
          <w:b/>
          <w:sz w:val="24"/>
          <w:szCs w:val="24"/>
        </w:rPr>
      </w:pPr>
    </w:p>
    <w:p w14:paraId="0BA0CF61" w14:textId="77777777"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33408106"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leadership development programs in higher education continues to grow. Over half of the accredited post-secondary institutions in the United States have some form of program dedicated to leadership development—from formal education to co-curricular offerings (</w:t>
      </w:r>
      <w:r>
        <w:rPr>
          <w:rFonts w:ascii="Times New Roman" w:eastAsia="Times New Roman" w:hAnsi="Times New Roman" w:cs="Times New Roman"/>
          <w:sz w:val="24"/>
          <w:szCs w:val="24"/>
          <w:highlight w:val="white"/>
        </w:rPr>
        <w:t>Rosch &amp; Headrick, 2020</w:t>
      </w:r>
      <w:r>
        <w:rPr>
          <w:rFonts w:ascii="Times New Roman" w:eastAsia="Times New Roman" w:hAnsi="Times New Roman" w:cs="Times New Roman"/>
          <w:sz w:val="24"/>
          <w:szCs w:val="24"/>
        </w:rPr>
        <w:t xml:space="preserve">). One role of higher education institutions is to help develop the current generation into tomorrow's leaders (Keating et al., 2014; Rosch et al., 2015). In efforts to reach a wide variety of students, higher education institutions offer a diverse array of leadership development opportunities like academic minors, many of which are in Colleges of Agriculture. </w:t>
      </w:r>
    </w:p>
    <w:p w14:paraId="4CA29347" w14:textId="77777777" w:rsidR="0019072B" w:rsidRDefault="0019072B">
      <w:pPr>
        <w:spacing w:after="0" w:line="240" w:lineRule="auto"/>
        <w:ind w:firstLine="720"/>
        <w:rPr>
          <w:rFonts w:ascii="Times New Roman" w:eastAsia="Times New Roman" w:hAnsi="Times New Roman" w:cs="Times New Roman"/>
          <w:sz w:val="24"/>
          <w:szCs w:val="24"/>
        </w:rPr>
      </w:pPr>
    </w:p>
    <w:p w14:paraId="13F8EB4E"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examining an individual's leader competency development, there are many contributing factors to consider (Egan et al., 2020; Soria et al., 2020). Research has detailed the impact of a multitude of variables upon the leader development of college students (Andreu et al., 2020; Rosch, &amp; Nelson, 2018), However, there remains a gap in the literature detailing how academic leadership minors contribute to the leadership efficacy and self-efficacy of those who participate.</w:t>
      </w:r>
    </w:p>
    <w:p w14:paraId="4F67C103" w14:textId="62A360BB"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There also has been some research on the type of individuals who choose to enroll in leadership minors or other leadership activities (</w:t>
      </w:r>
      <w:r>
        <w:rPr>
          <w:rFonts w:ascii="Times New Roman" w:eastAsia="Times New Roman" w:hAnsi="Times New Roman" w:cs="Times New Roman"/>
          <w:sz w:val="24"/>
          <w:szCs w:val="24"/>
        </w:rPr>
        <w:t xml:space="preserve">Dunn et al., 2016; Soria et al., 2020). </w:t>
      </w:r>
      <w:r>
        <w:rPr>
          <w:rFonts w:ascii="Times New Roman" w:eastAsia="Times New Roman" w:hAnsi="Times New Roman" w:cs="Times New Roman"/>
          <w:color w:val="000000"/>
          <w:sz w:val="24"/>
          <w:szCs w:val="24"/>
          <w:highlight w:val="white"/>
        </w:rPr>
        <w:t>Previous research on first-generation students’ involvement in leadership has been focused on what factors prevent students from engaging in leadership opportunities (Soria et al., 2014) or how practitioners with universities can connect students to leadership opportunities (Walker, 2021). First-generation or low-income students have been know</w:t>
      </w:r>
      <w:r w:rsidR="00E51E33">
        <w:rPr>
          <w:rFonts w:ascii="Times New Roman" w:eastAsia="Times New Roman" w:hAnsi="Times New Roman" w:cs="Times New Roman"/>
          <w:color w:val="000000"/>
          <w:sz w:val="24"/>
          <w:szCs w:val="24"/>
          <w:highlight w:val="white"/>
        </w:rPr>
        <w:t>n</w:t>
      </w:r>
      <w:r>
        <w:rPr>
          <w:rFonts w:ascii="Times New Roman" w:eastAsia="Times New Roman" w:hAnsi="Times New Roman" w:cs="Times New Roman"/>
          <w:color w:val="000000"/>
          <w:sz w:val="24"/>
          <w:szCs w:val="24"/>
          <w:highlight w:val="white"/>
        </w:rPr>
        <w:t xml:space="preserve"> to be less likely to participate in leadership positions (Soria et al., 2014). Yet, there is little research on if first-generation students involved in leadership programs are growing in their leadership skills and abilities. </w:t>
      </w:r>
    </w:p>
    <w:p w14:paraId="5A647A56" w14:textId="77777777" w:rsidR="0019072B" w:rsidRDefault="005F5178">
      <w:pPr>
        <w:spacing w:after="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BB624CF" w14:textId="7E8F8BCB"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Individuals develop as leaders through different processes of change over time. Participating in leadership development opportunities while in college </w:t>
      </w:r>
      <w:r>
        <w:rPr>
          <w:rFonts w:ascii="Times New Roman" w:eastAsia="Times New Roman" w:hAnsi="Times New Roman" w:cs="Times New Roman"/>
          <w:sz w:val="24"/>
          <w:szCs w:val="24"/>
          <w:highlight w:val="white"/>
        </w:rPr>
        <w:t xml:space="preserve">can enhance learning and allow students to develop a higher sense of self-efficacy (Murphy &amp; Reichard, 2011; </w:t>
      </w:r>
      <w:r>
        <w:rPr>
          <w:rFonts w:ascii="Times New Roman" w:eastAsia="Times New Roman" w:hAnsi="Times New Roman" w:cs="Times New Roman"/>
          <w:sz w:val="24"/>
          <w:szCs w:val="24"/>
        </w:rPr>
        <w:t>Reichard &amp; Walker, 2016</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Research show</w:t>
      </w:r>
      <w:r w:rsidR="00E51E33">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that participating in undergraduate leadership programs, regardless of where they are housed, can increase a participant's career success and use of leadership skills post-graduation (Cho et al., 2015; Cress et al., 2001; Egan, et al., 2020). Al</w:t>
      </w:r>
      <w:r w:rsidR="00E51E33">
        <w:rPr>
          <w:rFonts w:ascii="Times New Roman" w:eastAsia="Times New Roman" w:hAnsi="Times New Roman" w:cs="Times New Roman"/>
          <w:sz w:val="24"/>
          <w:szCs w:val="24"/>
        </w:rPr>
        <w:t>so</w:t>
      </w:r>
      <w:r>
        <w:rPr>
          <w:rFonts w:ascii="Times New Roman" w:eastAsia="Times New Roman" w:hAnsi="Times New Roman" w:cs="Times New Roman"/>
          <w:sz w:val="24"/>
          <w:szCs w:val="24"/>
        </w:rPr>
        <w:t>, future leadership behavior is associated with an individual's</w:t>
      </w:r>
      <w:r>
        <w:rPr>
          <w:rFonts w:ascii="Times New Roman" w:eastAsia="Times New Roman" w:hAnsi="Times New Roman" w:cs="Times New Roman"/>
          <w:sz w:val="24"/>
          <w:szCs w:val="24"/>
          <w:highlight w:val="white"/>
        </w:rPr>
        <w:t xml:space="preserve"> sense of leadership efficacy, leadership self-efficacy (Anderson et al., 2008), motivation to lead, and intent to lead (Cho et. al., 2015; Dunn &amp; Odom, 2019), all of which can be measured. </w:t>
      </w:r>
      <w:r>
        <w:rPr>
          <w:rFonts w:ascii="Times New Roman" w:eastAsia="Times New Roman" w:hAnsi="Times New Roman" w:cs="Times New Roman"/>
          <w:sz w:val="24"/>
          <w:szCs w:val="24"/>
        </w:rPr>
        <w:t xml:space="preserve">Yet not all students enter a collegiate leadership program with the same leadership developmental readiness (Keating et al., 2014). But, assessing a person's self-efficacy can help determine if individuals are growing in their leadership efficacy and self-efficacy (Cho et al., 2015; </w:t>
      </w:r>
      <w:r>
        <w:rPr>
          <w:rFonts w:ascii="Times New Roman" w:eastAsia="Times New Roman" w:hAnsi="Times New Roman" w:cs="Times New Roman"/>
          <w:sz w:val="24"/>
          <w:szCs w:val="24"/>
          <w:highlight w:val="white"/>
        </w:rPr>
        <w:t>Dunn &amp; Odom, 2019</w:t>
      </w:r>
      <w:r>
        <w:rPr>
          <w:rFonts w:ascii="Times New Roman" w:eastAsia="Times New Roman" w:hAnsi="Times New Roman" w:cs="Times New Roman"/>
          <w:sz w:val="24"/>
          <w:szCs w:val="24"/>
        </w:rPr>
        <w:t xml:space="preserve">). Thus, understanding the development of leader over time through these attributes is of importance to researchers. </w:t>
      </w:r>
    </w:p>
    <w:p w14:paraId="78B66366" w14:textId="77777777" w:rsidR="00E51E33" w:rsidRDefault="00E51E33">
      <w:pPr>
        <w:spacing w:after="0" w:line="240" w:lineRule="auto"/>
        <w:jc w:val="center"/>
        <w:rPr>
          <w:rFonts w:ascii="Times New Roman" w:eastAsia="Times New Roman" w:hAnsi="Times New Roman" w:cs="Times New Roman"/>
          <w:b/>
          <w:sz w:val="24"/>
          <w:szCs w:val="24"/>
        </w:rPr>
      </w:pPr>
    </w:p>
    <w:p w14:paraId="75AF04CB" w14:textId="63F2E7E0"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Conceptual Framework</w:t>
      </w:r>
    </w:p>
    <w:p w14:paraId="275EEAB9" w14:textId="0CE9C61B" w:rsidR="0019072B" w:rsidRDefault="005F5178">
      <w:pPr>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Behavioral efficacy and self-efficacy served as the conceptual frames for this study. Behavioral efficacy is an individual's self-judgement of </w:t>
      </w:r>
      <w:r>
        <w:rPr>
          <w:rFonts w:ascii="Times New Roman" w:eastAsia="Times New Roman" w:hAnsi="Times New Roman" w:cs="Times New Roman"/>
          <w:i/>
          <w:sz w:val="24"/>
          <w:szCs w:val="24"/>
          <w:highlight w:val="white"/>
        </w:rPr>
        <w:t xml:space="preserve">their likeliness to demonstrate learned skills or </w:t>
      </w:r>
      <w:r>
        <w:rPr>
          <w:rFonts w:ascii="Times New Roman" w:eastAsia="Times New Roman" w:hAnsi="Times New Roman" w:cs="Times New Roman"/>
          <w:i/>
          <w:sz w:val="24"/>
          <w:szCs w:val="24"/>
          <w:highlight w:val="white"/>
        </w:rPr>
        <w:lastRenderedPageBreak/>
        <w:t xml:space="preserve">abilities in effective ways </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Chan et al., 2012</w:t>
      </w:r>
      <w:r>
        <w:rPr>
          <w:rFonts w:ascii="Times New Roman" w:eastAsia="Times New Roman" w:hAnsi="Times New Roman" w:cs="Times New Roman"/>
          <w:sz w:val="24"/>
          <w:szCs w:val="24"/>
          <w:highlight w:val="white"/>
        </w:rPr>
        <w:t>). In other words, it is one's perception of their ability to act or behave in a prescribed manner when called upon to do so. Higher levels of behavioral efficacy indicate an increased sense of one's ability to demonstrate that characteristic. Behavior is a dynamic outcome of the synthesis of knowledge, practice, and experience (Kolb, 2015).</w:t>
      </w:r>
      <w:r w:rsidR="00E51E33">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Self-efficacy is an individual's </w:t>
      </w:r>
      <w:r>
        <w:rPr>
          <w:rFonts w:ascii="Times New Roman" w:eastAsia="Times New Roman" w:hAnsi="Times New Roman" w:cs="Times New Roman"/>
          <w:i/>
          <w:sz w:val="24"/>
          <w:szCs w:val="24"/>
          <w:highlight w:val="white"/>
        </w:rPr>
        <w:t>conceptualization of or perception of</w:t>
      </w:r>
      <w:r>
        <w:rPr>
          <w:rFonts w:ascii="Times New Roman" w:eastAsia="Times New Roman" w:hAnsi="Times New Roman" w:cs="Times New Roman"/>
          <w:sz w:val="24"/>
          <w:szCs w:val="24"/>
          <w:highlight w:val="white"/>
        </w:rPr>
        <w:t xml:space="preserve"> themself (Bandura, 1989; McCormick, 2001; Murphy &amp; Reichard, 2011). It is how an individual sees themself in terms of a specific characteristic or attribute (i.e. I believe I am a good writer or I do not perceive myself to be a good team player). A high level of self-efficacy can greatly motivate individuals to pursue more challenging tasks or activities when compared to those having a lower level of self-efficacy in the same attribute (Hannah, et al., 2008). </w:t>
      </w:r>
    </w:p>
    <w:p w14:paraId="33270581" w14:textId="77777777" w:rsidR="00E51E33" w:rsidRDefault="00E51E33">
      <w:pPr>
        <w:spacing w:after="0" w:line="240" w:lineRule="auto"/>
        <w:rPr>
          <w:rFonts w:ascii="Times New Roman" w:eastAsia="Times New Roman" w:hAnsi="Times New Roman" w:cs="Times New Roman"/>
          <w:sz w:val="24"/>
          <w:szCs w:val="24"/>
          <w:highlight w:val="white"/>
        </w:rPr>
      </w:pPr>
    </w:p>
    <w:p w14:paraId="7F5F8C34" w14:textId="77777777"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 and Objectives</w:t>
      </w:r>
    </w:p>
    <w:p w14:paraId="21A76937" w14:textId="41B5938B"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describe how participating in an academic leadership studies minor influences students' leadership efficacy and leadership self-efficacy. Thus, the instrument was administered during the first and last courses of a leadership studies minor and served as a proxy for pre and post-tests. This study addressed the following research questions:</w:t>
      </w:r>
    </w:p>
    <w:p w14:paraId="2E7C2418" w14:textId="77777777" w:rsidR="0019072B" w:rsidRDefault="0019072B">
      <w:pPr>
        <w:spacing w:after="0" w:line="240" w:lineRule="auto"/>
        <w:rPr>
          <w:rFonts w:ascii="Times New Roman" w:eastAsia="Times New Roman" w:hAnsi="Times New Roman" w:cs="Times New Roman"/>
          <w:sz w:val="24"/>
          <w:szCs w:val="24"/>
        </w:rPr>
      </w:pPr>
    </w:p>
    <w:p w14:paraId="6B8180A3" w14:textId="77777777" w:rsidR="0019072B" w:rsidRDefault="005F517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is the variation in leadership self-efficacy explained by time within an academic leadership minor, first generation student college status, motivation to lead, intent to lead, and participation in extracurricular activities?</w:t>
      </w:r>
    </w:p>
    <w:p w14:paraId="6230D7D6" w14:textId="77777777" w:rsidR="0019072B" w:rsidRDefault="005F5178">
      <w:pPr>
        <w:numPr>
          <w:ilvl w:val="0"/>
          <w:numId w:val="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is the variation in behavior self-efficacy explained by intent to lead, motivation to lead, time within an academic leadership minor, first generation student college status, and participation in extracurricular activities?</w:t>
      </w:r>
    </w:p>
    <w:p w14:paraId="6DFB0557" w14:textId="77777777" w:rsidR="00E51E33" w:rsidRDefault="00E51E33">
      <w:pPr>
        <w:spacing w:after="0" w:line="240" w:lineRule="auto"/>
        <w:jc w:val="center"/>
        <w:rPr>
          <w:rFonts w:ascii="Times New Roman" w:eastAsia="Times New Roman" w:hAnsi="Times New Roman" w:cs="Times New Roman"/>
          <w:b/>
          <w:sz w:val="24"/>
          <w:szCs w:val="24"/>
        </w:rPr>
      </w:pPr>
    </w:p>
    <w:p w14:paraId="06D518DE" w14:textId="7B0AF236"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Methods</w:t>
      </w:r>
    </w:p>
    <w:p w14:paraId="730635FC" w14:textId="1CC2992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population and sample were undergraduate students currently enrolled in the leadership studies minor at Texas A&amp;M University during the 2019-20 and 2020-21 academic years. We distributed the instrument electronically at the beginning of the fall and spring semesters to those beginning the leadership studies minor and distributed again at the end of each semester to those in the final course for the minor. The courses selected had a total enrollment of 226 students. The final sample size of 94 students (n=94), represents a response rate of 41.6%. Participation in the study was voluntary and anonymous. The </w:t>
      </w:r>
      <w:r w:rsidR="00E51E33">
        <w:rPr>
          <w:rFonts w:ascii="Times New Roman" w:eastAsia="Times New Roman" w:hAnsi="Times New Roman" w:cs="Times New Roman"/>
          <w:sz w:val="24"/>
          <w:szCs w:val="24"/>
        </w:rPr>
        <w:t>A&amp;M</w:t>
      </w:r>
      <w:r>
        <w:rPr>
          <w:rFonts w:ascii="Times New Roman" w:eastAsia="Times New Roman" w:hAnsi="Times New Roman" w:cs="Times New Roman"/>
          <w:sz w:val="24"/>
          <w:szCs w:val="24"/>
        </w:rPr>
        <w:t xml:space="preserve"> Institutional Review Board approved this study.</w:t>
      </w:r>
    </w:p>
    <w:p w14:paraId="5051E760" w14:textId="77777777" w:rsidR="0019072B" w:rsidRDefault="0019072B">
      <w:pPr>
        <w:spacing w:after="0" w:line="240" w:lineRule="auto"/>
        <w:rPr>
          <w:rFonts w:ascii="Times New Roman" w:eastAsia="Times New Roman" w:hAnsi="Times New Roman" w:cs="Times New Roman"/>
          <w:b/>
          <w:sz w:val="24"/>
          <w:szCs w:val="24"/>
        </w:rPr>
      </w:pPr>
    </w:p>
    <w:p w14:paraId="4728EDE8" w14:textId="43E0E78D" w:rsidR="0019072B" w:rsidRDefault="005F5178">
      <w:pPr>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An electronic version of the combined Entrepreneurship Professional Leadership (ELP) Career Aspiration Survey (Chan et al., 2012) and the Motivation to Lead (MTL) Scale (Chan &amp; </w:t>
      </w:r>
      <w:proofErr w:type="spellStart"/>
      <w:r>
        <w:rPr>
          <w:rFonts w:ascii="Times New Roman" w:eastAsia="Times New Roman" w:hAnsi="Times New Roman" w:cs="Times New Roman"/>
          <w:sz w:val="24"/>
          <w:szCs w:val="24"/>
        </w:rPr>
        <w:t>Drasgow</w:t>
      </w:r>
      <w:proofErr w:type="spellEnd"/>
      <w:r>
        <w:rPr>
          <w:rFonts w:ascii="Times New Roman" w:eastAsia="Times New Roman" w:hAnsi="Times New Roman" w:cs="Times New Roman"/>
          <w:sz w:val="24"/>
          <w:szCs w:val="24"/>
        </w:rPr>
        <w:t xml:space="preserve">, 2001) was used as the instrument. The ELP survey examines motivation, intent, and efficacy along three independent scales: leadership, professional status, and entrepreneurship. For this study, only the leadership scale was used. The MTL Scale examines an individual's motivation to lead along three independent scales: affective-identity, non-calculative, and social-normative, as well as an individual's leadership self-efficacy. Six independent variables were included in the regression analysis. “Group” served as a proxy for time within the minor, Group=1 for students (i.e., “pre-treatment” group) beginning the minor and Group =2 for students (i.e., “post-treatment” group) completing the minor. Students self-identified if they were first generation college students, and the variable was coded as follows: 0 for non-first-generation college students and 1 for first-generation college students. Students also reported the number of student organizations in which they were involved.   </w:t>
      </w:r>
      <w:r>
        <w:rPr>
          <w:rFonts w:ascii="Times New Roman" w:eastAsia="Times New Roman" w:hAnsi="Times New Roman" w:cs="Times New Roman"/>
          <w:color w:val="FF0000"/>
          <w:sz w:val="24"/>
          <w:szCs w:val="24"/>
        </w:rPr>
        <w:t xml:space="preserve"> </w:t>
      </w:r>
    </w:p>
    <w:p w14:paraId="083BB6C0" w14:textId="5208C108"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Findings</w:t>
      </w:r>
    </w:p>
    <w:p w14:paraId="75DE9294"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start of the minor, the students overall reported feeling fairly confident in their views of their leadership self-efficacy, as the mean scores for four of the six questions exceeded the slightly agree threshold of 5 and a fifth question reached the full agreement threshold of 6. At the end of the minor, students reported higher leadership self-efficacy scores. Four of the six questions had higher mean scores at the second data point than the first. The decrease in the two remaining questions could be a result of students' increased self-awareness of what it takes to be an effective leader. However, none of the questions had a change in mean score of more than .22. </w:t>
      </w:r>
    </w:p>
    <w:p w14:paraId="76AA25C2" w14:textId="77777777" w:rsidR="0019072B" w:rsidRDefault="0019072B">
      <w:pPr>
        <w:spacing w:after="0" w:line="240" w:lineRule="auto"/>
        <w:rPr>
          <w:rFonts w:ascii="Times New Roman" w:eastAsia="Times New Roman" w:hAnsi="Times New Roman" w:cs="Times New Roman"/>
          <w:sz w:val="24"/>
          <w:szCs w:val="24"/>
        </w:rPr>
      </w:pPr>
      <w:bookmarkStart w:id="0" w:name="_heading=h.30j0zll" w:colFirst="0" w:colLast="0"/>
      <w:bookmarkEnd w:id="0"/>
    </w:p>
    <w:p w14:paraId="78777630"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the leadership efficacy scale, overall scores ranged from 19 to 35 at both data points. At the first, only 8.3% of students scored below the moderately confident threshold of 21, but only 6.55% were below that threshold at the second. This minor change may be indicative of students entering a leadership minor fully believing they already behave as a leader. For the leadership self-efficacy scale, scores ranged from 24 to 41 at the first data point and from 23 to 42 at the second. At both data points, a majority of students (71.17% before and 73.91% after) reported leadership self-efficacy scores above the slightly-agree threshold of 30.</w:t>
      </w:r>
    </w:p>
    <w:p w14:paraId="19FE133D" w14:textId="77777777" w:rsidR="0019072B" w:rsidRDefault="0019072B">
      <w:pPr>
        <w:spacing w:after="0" w:line="240" w:lineRule="auto"/>
        <w:rPr>
          <w:rFonts w:ascii="Times New Roman" w:eastAsia="Times New Roman" w:hAnsi="Times New Roman" w:cs="Times New Roman"/>
          <w:sz w:val="24"/>
          <w:szCs w:val="24"/>
        </w:rPr>
      </w:pPr>
    </w:p>
    <w:p w14:paraId="4334D21E"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Two-tailed independent sample t-tests (Field, 2009) were conducted for both scales to determine if differences existed between students' start and end scores. For the leadership self-efficacy scale, the t-test yielded no significant difference between mean scores at the two data points at the 95% confidence level (t = -.134, p = .894). Similar results were found for the leadership efficacy scale (t = -1.191, p = .237), also at the 95% confidence level.</w:t>
      </w:r>
    </w:p>
    <w:p w14:paraId="5C6DA343" w14:textId="77777777" w:rsidR="0019072B" w:rsidRDefault="0019072B">
      <w:pPr>
        <w:spacing w:after="0" w:line="240" w:lineRule="auto"/>
        <w:rPr>
          <w:rFonts w:ascii="Times New Roman" w:eastAsia="Times New Roman" w:hAnsi="Times New Roman" w:cs="Times New Roman"/>
          <w:sz w:val="24"/>
          <w:szCs w:val="24"/>
        </w:rPr>
      </w:pPr>
    </w:p>
    <w:p w14:paraId="751D1D6C" w14:textId="33B61318"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no significant difference in students’ leadership self-efficacy or leadership efficacy scores between the beginning and end of their time in the leadership minor, we explored the variables that contributed to the variation in these scores. Therefore, to address Research Question 1 we conducted a multivariate regression analysis with leadership self-efficacy as the dependent variable and time in the minor, first generation college student status, affective identity motivation, social normative motivation, intent to lead, and number of student organizations as the independent variables (Table 1). Almost 40% of the observed variation in leadership self-efficacy scores (Adjusted R</w:t>
      </w:r>
      <w:r>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 .396) was explained by the independent variables. But upon further review, only two of the independent variables—affective identity motivation and intent to lead, were statistically significant at the 95% confidence level. Thus, a student’s leadership self-efficacy is influenced more by their intent to lead and their motivation to lead sourced from their sense of self as a leader than the other independent variables in the model. It is important to note that self-identifying as a first-generation college student was not statistically significant.</w:t>
      </w:r>
    </w:p>
    <w:p w14:paraId="78FEC180" w14:textId="77777777" w:rsidR="0019072B" w:rsidRDefault="0019072B">
      <w:pPr>
        <w:spacing w:after="0" w:line="240" w:lineRule="auto"/>
        <w:rPr>
          <w:rFonts w:ascii="Times New Roman" w:eastAsia="Times New Roman" w:hAnsi="Times New Roman" w:cs="Times New Roman"/>
          <w:b/>
          <w:sz w:val="24"/>
          <w:szCs w:val="24"/>
        </w:rPr>
      </w:pPr>
    </w:p>
    <w:p w14:paraId="4ED619A8" w14:textId="6B075E33"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address Research Question </w:t>
      </w:r>
      <w:proofErr w:type="gramStart"/>
      <w:r>
        <w:rPr>
          <w:rFonts w:ascii="Times New Roman" w:eastAsia="Times New Roman" w:hAnsi="Times New Roman" w:cs="Times New Roman"/>
          <w:sz w:val="24"/>
          <w:szCs w:val="24"/>
        </w:rPr>
        <w:t>2</w:t>
      </w:r>
      <w:proofErr w:type="gramEnd"/>
      <w:r>
        <w:rPr>
          <w:rFonts w:ascii="Times New Roman" w:eastAsia="Times New Roman" w:hAnsi="Times New Roman" w:cs="Times New Roman"/>
          <w:sz w:val="24"/>
          <w:szCs w:val="24"/>
        </w:rPr>
        <w:t xml:space="preserve"> we conducted a multivariate regression analysis with leadership efficacy as the dependent variable with the same independent variables as the previous analysis (Table 2). Approximately one-third of the observed variation in leadership efficacy scores (Adjust R</w:t>
      </w:r>
      <w:r>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 .331) was explained by the independent variables. However, only the affective identity motivation and intent to lead independent variables were statistically significant at the 95% confidence level. Again, a student’s leadership efficacy is influenced more by their intent to lead and their internalized sense of self as a leader than any of the other independent variables. While still not statistically significant at the 95% confidence level, self-identifying as a first-generation college student does appear to influence negatively a student’s leadership efficacy.</w:t>
      </w:r>
    </w:p>
    <w:tbl>
      <w:tblPr>
        <w:tblStyle w:val="a"/>
        <w:tblW w:w="8980" w:type="dxa"/>
        <w:tblInd w:w="-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23"/>
        <w:gridCol w:w="994"/>
        <w:gridCol w:w="1084"/>
        <w:gridCol w:w="1084"/>
        <w:gridCol w:w="1084"/>
        <w:gridCol w:w="1811"/>
      </w:tblGrid>
      <w:tr w:rsidR="0019072B" w14:paraId="382DB53E" w14:textId="77777777">
        <w:trPr>
          <w:trHeight w:val="248"/>
        </w:trPr>
        <w:tc>
          <w:tcPr>
            <w:tcW w:w="8980" w:type="dxa"/>
            <w:gridSpan w:val="6"/>
            <w:tcBorders>
              <w:top w:val="single" w:sz="4" w:space="0" w:color="000000"/>
              <w:left w:val="nil"/>
              <w:bottom w:val="single" w:sz="4" w:space="0" w:color="000000"/>
              <w:right w:val="nil"/>
            </w:tcBorders>
            <w:shd w:val="clear" w:color="auto" w:fill="auto"/>
            <w:vAlign w:val="center"/>
          </w:tcPr>
          <w:p w14:paraId="06A31E32" w14:textId="77777777" w:rsidR="0019072B" w:rsidRDefault="005F5178" w:rsidP="00E51E33">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w:t>
            </w:r>
          </w:p>
          <w:p w14:paraId="3ACA27AD" w14:textId="77777777" w:rsidR="0019072B" w:rsidRDefault="0019072B">
            <w:pPr>
              <w:rPr>
                <w:rFonts w:ascii="Times New Roman" w:eastAsia="Times New Roman" w:hAnsi="Times New Roman" w:cs="Times New Roman"/>
                <w:sz w:val="24"/>
                <w:szCs w:val="24"/>
              </w:rPr>
            </w:pPr>
          </w:p>
          <w:p w14:paraId="7860E492" w14:textId="77777777" w:rsidR="0019072B" w:rsidRDefault="005F5178" w:rsidP="00E51E33">
            <w:pPr>
              <w:jc w:val="left"/>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Regression Coefficients of Personal Characteristics on Leadership Self-Efficacy </w:t>
            </w:r>
          </w:p>
        </w:tc>
      </w:tr>
      <w:tr w:rsidR="0019072B" w14:paraId="18B5CD85" w14:textId="77777777">
        <w:trPr>
          <w:trHeight w:val="248"/>
        </w:trPr>
        <w:tc>
          <w:tcPr>
            <w:tcW w:w="2923" w:type="dxa"/>
            <w:tcBorders>
              <w:top w:val="single" w:sz="4" w:space="0" w:color="000000"/>
              <w:left w:val="nil"/>
              <w:bottom w:val="single" w:sz="4" w:space="0" w:color="000000"/>
            </w:tcBorders>
            <w:shd w:val="clear" w:color="auto" w:fill="auto"/>
          </w:tcPr>
          <w:p w14:paraId="4C8EDD4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Variable </w:t>
            </w:r>
          </w:p>
        </w:tc>
        <w:tc>
          <w:tcPr>
            <w:tcW w:w="994" w:type="dxa"/>
            <w:tcBorders>
              <w:top w:val="single" w:sz="4" w:space="0" w:color="000000"/>
              <w:bottom w:val="single" w:sz="4" w:space="0" w:color="000000"/>
            </w:tcBorders>
            <w:shd w:val="clear" w:color="auto" w:fill="auto"/>
          </w:tcPr>
          <w:p w14:paraId="1FCB806D"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w:t>
            </w:r>
          </w:p>
        </w:tc>
        <w:tc>
          <w:tcPr>
            <w:tcW w:w="1084" w:type="dxa"/>
            <w:tcBorders>
              <w:top w:val="single" w:sz="4" w:space="0" w:color="000000"/>
              <w:bottom w:val="single" w:sz="4" w:space="0" w:color="000000"/>
            </w:tcBorders>
            <w:shd w:val="clear" w:color="auto" w:fill="auto"/>
          </w:tcPr>
          <w:p w14:paraId="5D0A9FB3"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i/>
                <w:sz w:val="24"/>
                <w:szCs w:val="24"/>
              </w:rPr>
              <w:t>SE</w:t>
            </w:r>
          </w:p>
        </w:tc>
        <w:tc>
          <w:tcPr>
            <w:tcW w:w="1084" w:type="dxa"/>
            <w:tcBorders>
              <w:top w:val="single" w:sz="4" w:space="0" w:color="000000"/>
              <w:bottom w:val="single" w:sz="4" w:space="0" w:color="000000"/>
            </w:tcBorders>
            <w:shd w:val="clear" w:color="auto" w:fill="auto"/>
          </w:tcPr>
          <w:p w14:paraId="7B9D8884"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w:t>
            </w:r>
          </w:p>
        </w:tc>
        <w:tc>
          <w:tcPr>
            <w:tcW w:w="1084" w:type="dxa"/>
            <w:tcBorders>
              <w:top w:val="single" w:sz="4" w:space="0" w:color="000000"/>
              <w:bottom w:val="single" w:sz="4" w:space="0" w:color="000000"/>
            </w:tcBorders>
          </w:tcPr>
          <w:p w14:paraId="658B1EC5"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p>
        </w:tc>
        <w:tc>
          <w:tcPr>
            <w:tcW w:w="1811" w:type="dxa"/>
            <w:tcBorders>
              <w:top w:val="single" w:sz="4" w:space="0" w:color="000000"/>
              <w:bottom w:val="single" w:sz="4" w:space="0" w:color="000000"/>
              <w:right w:val="nil"/>
            </w:tcBorders>
          </w:tcPr>
          <w:p w14:paraId="25285E4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95% CI</w:t>
            </w:r>
          </w:p>
        </w:tc>
      </w:tr>
      <w:tr w:rsidR="0019072B" w14:paraId="18902FB6" w14:textId="77777777">
        <w:trPr>
          <w:trHeight w:val="221"/>
        </w:trPr>
        <w:tc>
          <w:tcPr>
            <w:tcW w:w="2923" w:type="dxa"/>
            <w:tcBorders>
              <w:top w:val="nil"/>
              <w:left w:val="nil"/>
              <w:bottom w:val="nil"/>
              <w:right w:val="nil"/>
            </w:tcBorders>
            <w:shd w:val="clear" w:color="auto" w:fill="auto"/>
            <w:vAlign w:val="center"/>
          </w:tcPr>
          <w:p w14:paraId="119A273C"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Intent to Lead</w:t>
            </w:r>
          </w:p>
        </w:tc>
        <w:tc>
          <w:tcPr>
            <w:tcW w:w="994" w:type="dxa"/>
            <w:tcBorders>
              <w:top w:val="nil"/>
              <w:left w:val="nil"/>
              <w:bottom w:val="nil"/>
              <w:right w:val="nil"/>
            </w:tcBorders>
            <w:shd w:val="clear" w:color="auto" w:fill="auto"/>
            <w:vAlign w:val="center"/>
          </w:tcPr>
          <w:p w14:paraId="61DFD9F3"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sz w:val="24"/>
                <w:szCs w:val="24"/>
              </w:rPr>
              <w:t>.686</w:t>
            </w:r>
          </w:p>
        </w:tc>
        <w:tc>
          <w:tcPr>
            <w:tcW w:w="1084" w:type="dxa"/>
            <w:tcBorders>
              <w:top w:val="nil"/>
              <w:left w:val="nil"/>
              <w:bottom w:val="nil"/>
              <w:right w:val="nil"/>
            </w:tcBorders>
            <w:shd w:val="clear" w:color="auto" w:fill="auto"/>
            <w:vAlign w:val="center"/>
          </w:tcPr>
          <w:p w14:paraId="63B91F1C"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.209</w:t>
            </w:r>
          </w:p>
        </w:tc>
        <w:tc>
          <w:tcPr>
            <w:tcW w:w="1084" w:type="dxa"/>
            <w:tcBorders>
              <w:top w:val="nil"/>
              <w:left w:val="nil"/>
              <w:bottom w:val="nil"/>
              <w:right w:val="nil"/>
            </w:tcBorders>
            <w:shd w:val="clear" w:color="auto" w:fill="auto"/>
            <w:vAlign w:val="center"/>
          </w:tcPr>
          <w:p w14:paraId="4FEB5B3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3.279</w:t>
            </w:r>
          </w:p>
        </w:tc>
        <w:tc>
          <w:tcPr>
            <w:tcW w:w="1084" w:type="dxa"/>
            <w:tcBorders>
              <w:top w:val="nil"/>
              <w:left w:val="nil"/>
              <w:bottom w:val="nil"/>
              <w:right w:val="nil"/>
            </w:tcBorders>
            <w:vAlign w:val="center"/>
          </w:tcPr>
          <w:p w14:paraId="131782AF"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.001**</w:t>
            </w:r>
          </w:p>
        </w:tc>
        <w:tc>
          <w:tcPr>
            <w:tcW w:w="1811" w:type="dxa"/>
            <w:tcBorders>
              <w:top w:val="nil"/>
              <w:left w:val="nil"/>
              <w:bottom w:val="nil"/>
              <w:right w:val="nil"/>
            </w:tcBorders>
            <w:vAlign w:val="center"/>
          </w:tcPr>
          <w:p w14:paraId="07FD396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[.270, 1.102]</w:t>
            </w:r>
          </w:p>
        </w:tc>
      </w:tr>
      <w:tr w:rsidR="0019072B" w14:paraId="0B410F71" w14:textId="77777777">
        <w:trPr>
          <w:trHeight w:val="221"/>
        </w:trPr>
        <w:tc>
          <w:tcPr>
            <w:tcW w:w="2923" w:type="dxa"/>
            <w:tcBorders>
              <w:top w:val="nil"/>
              <w:left w:val="nil"/>
              <w:bottom w:val="nil"/>
              <w:right w:val="nil"/>
            </w:tcBorders>
            <w:vAlign w:val="center"/>
          </w:tcPr>
          <w:p w14:paraId="6E83264A"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to Lead AI</w:t>
            </w:r>
          </w:p>
        </w:tc>
        <w:tc>
          <w:tcPr>
            <w:tcW w:w="994" w:type="dxa"/>
            <w:tcBorders>
              <w:top w:val="nil"/>
              <w:left w:val="nil"/>
              <w:bottom w:val="nil"/>
              <w:right w:val="nil"/>
            </w:tcBorders>
            <w:vAlign w:val="center"/>
          </w:tcPr>
          <w:p w14:paraId="3860E888"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.399</w:t>
            </w:r>
          </w:p>
        </w:tc>
        <w:tc>
          <w:tcPr>
            <w:tcW w:w="1084" w:type="dxa"/>
            <w:tcBorders>
              <w:top w:val="nil"/>
              <w:left w:val="nil"/>
              <w:bottom w:val="nil"/>
              <w:right w:val="nil"/>
            </w:tcBorders>
            <w:vAlign w:val="center"/>
          </w:tcPr>
          <w:p w14:paraId="78C588C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.090</w:t>
            </w:r>
          </w:p>
        </w:tc>
        <w:tc>
          <w:tcPr>
            <w:tcW w:w="1084" w:type="dxa"/>
            <w:tcBorders>
              <w:top w:val="nil"/>
              <w:left w:val="nil"/>
              <w:bottom w:val="nil"/>
              <w:right w:val="nil"/>
            </w:tcBorders>
            <w:vAlign w:val="center"/>
          </w:tcPr>
          <w:p w14:paraId="4D1D8FFD"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4.449</w:t>
            </w:r>
          </w:p>
        </w:tc>
        <w:tc>
          <w:tcPr>
            <w:tcW w:w="1084" w:type="dxa"/>
            <w:tcBorders>
              <w:top w:val="nil"/>
              <w:left w:val="nil"/>
              <w:bottom w:val="nil"/>
              <w:right w:val="nil"/>
            </w:tcBorders>
            <w:vAlign w:val="center"/>
          </w:tcPr>
          <w:p w14:paraId="0229B840"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811" w:type="dxa"/>
            <w:tcBorders>
              <w:top w:val="nil"/>
              <w:left w:val="nil"/>
              <w:bottom w:val="nil"/>
              <w:right w:val="nil"/>
            </w:tcBorders>
            <w:vAlign w:val="center"/>
          </w:tcPr>
          <w:p w14:paraId="158E32D7"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[.221, .578]</w:t>
            </w:r>
          </w:p>
        </w:tc>
      </w:tr>
      <w:tr w:rsidR="0019072B" w14:paraId="1599498F" w14:textId="77777777">
        <w:trPr>
          <w:trHeight w:val="221"/>
        </w:trPr>
        <w:tc>
          <w:tcPr>
            <w:tcW w:w="2923" w:type="dxa"/>
            <w:tcBorders>
              <w:top w:val="nil"/>
              <w:left w:val="nil"/>
              <w:bottom w:val="nil"/>
              <w:right w:val="nil"/>
            </w:tcBorders>
            <w:shd w:val="clear" w:color="auto" w:fill="auto"/>
            <w:vAlign w:val="center"/>
          </w:tcPr>
          <w:p w14:paraId="59FA2868"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to Lead SN</w:t>
            </w:r>
          </w:p>
        </w:tc>
        <w:tc>
          <w:tcPr>
            <w:tcW w:w="994" w:type="dxa"/>
            <w:tcBorders>
              <w:top w:val="nil"/>
              <w:left w:val="nil"/>
              <w:bottom w:val="nil"/>
              <w:right w:val="nil"/>
            </w:tcBorders>
            <w:shd w:val="clear" w:color="auto" w:fill="auto"/>
            <w:vAlign w:val="center"/>
          </w:tcPr>
          <w:p w14:paraId="6CED0D1F"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.115</w:t>
            </w:r>
          </w:p>
        </w:tc>
        <w:tc>
          <w:tcPr>
            <w:tcW w:w="1084" w:type="dxa"/>
            <w:tcBorders>
              <w:top w:val="nil"/>
              <w:left w:val="nil"/>
              <w:bottom w:val="nil"/>
              <w:right w:val="nil"/>
            </w:tcBorders>
            <w:shd w:val="clear" w:color="auto" w:fill="auto"/>
            <w:vAlign w:val="center"/>
          </w:tcPr>
          <w:p w14:paraId="5D1D5B51"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.104</w:t>
            </w:r>
          </w:p>
        </w:tc>
        <w:tc>
          <w:tcPr>
            <w:tcW w:w="1084" w:type="dxa"/>
            <w:tcBorders>
              <w:top w:val="nil"/>
              <w:left w:val="nil"/>
              <w:bottom w:val="nil"/>
              <w:right w:val="nil"/>
            </w:tcBorders>
            <w:shd w:val="clear" w:color="auto" w:fill="auto"/>
            <w:vAlign w:val="center"/>
          </w:tcPr>
          <w:p w14:paraId="4A45126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1.111</w:t>
            </w:r>
          </w:p>
        </w:tc>
        <w:tc>
          <w:tcPr>
            <w:tcW w:w="1084" w:type="dxa"/>
            <w:tcBorders>
              <w:top w:val="nil"/>
              <w:left w:val="nil"/>
              <w:bottom w:val="nil"/>
              <w:right w:val="nil"/>
            </w:tcBorders>
            <w:vAlign w:val="center"/>
          </w:tcPr>
          <w:p w14:paraId="56E013C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.270</w:t>
            </w:r>
          </w:p>
        </w:tc>
        <w:tc>
          <w:tcPr>
            <w:tcW w:w="1811" w:type="dxa"/>
            <w:tcBorders>
              <w:top w:val="nil"/>
              <w:left w:val="nil"/>
              <w:bottom w:val="nil"/>
              <w:right w:val="nil"/>
            </w:tcBorders>
            <w:vAlign w:val="center"/>
          </w:tcPr>
          <w:p w14:paraId="6D634D4C"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[-.091, .321]</w:t>
            </w:r>
          </w:p>
        </w:tc>
      </w:tr>
      <w:tr w:rsidR="0019072B" w14:paraId="4695E18A" w14:textId="77777777">
        <w:trPr>
          <w:trHeight w:val="221"/>
        </w:trPr>
        <w:tc>
          <w:tcPr>
            <w:tcW w:w="2923" w:type="dxa"/>
            <w:tcBorders>
              <w:top w:val="nil"/>
              <w:left w:val="nil"/>
              <w:bottom w:val="nil"/>
              <w:right w:val="nil"/>
            </w:tcBorders>
            <w:vAlign w:val="center"/>
          </w:tcPr>
          <w:p w14:paraId="34A7AA9F"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Group*</w:t>
            </w:r>
          </w:p>
        </w:tc>
        <w:tc>
          <w:tcPr>
            <w:tcW w:w="994" w:type="dxa"/>
            <w:tcBorders>
              <w:top w:val="nil"/>
              <w:left w:val="nil"/>
              <w:bottom w:val="nil"/>
              <w:right w:val="nil"/>
            </w:tcBorders>
            <w:vAlign w:val="center"/>
          </w:tcPr>
          <w:p w14:paraId="1F496E08"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p>
        </w:tc>
        <w:tc>
          <w:tcPr>
            <w:tcW w:w="1084" w:type="dxa"/>
            <w:tcBorders>
              <w:top w:val="nil"/>
              <w:left w:val="nil"/>
              <w:bottom w:val="nil"/>
              <w:right w:val="nil"/>
            </w:tcBorders>
            <w:vAlign w:val="center"/>
          </w:tcPr>
          <w:p w14:paraId="5F0EDB5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.738</w:t>
            </w:r>
          </w:p>
        </w:tc>
        <w:tc>
          <w:tcPr>
            <w:tcW w:w="1084" w:type="dxa"/>
            <w:tcBorders>
              <w:top w:val="nil"/>
              <w:left w:val="nil"/>
              <w:bottom w:val="nil"/>
              <w:right w:val="nil"/>
            </w:tcBorders>
            <w:vAlign w:val="center"/>
          </w:tcPr>
          <w:p w14:paraId="58012F1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p>
        </w:tc>
        <w:tc>
          <w:tcPr>
            <w:tcW w:w="1084" w:type="dxa"/>
            <w:tcBorders>
              <w:top w:val="nil"/>
              <w:left w:val="nil"/>
              <w:bottom w:val="nil"/>
              <w:right w:val="nil"/>
            </w:tcBorders>
            <w:vAlign w:val="center"/>
          </w:tcPr>
          <w:p w14:paraId="4078255A"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.859</w:t>
            </w:r>
          </w:p>
        </w:tc>
        <w:tc>
          <w:tcPr>
            <w:tcW w:w="1811" w:type="dxa"/>
            <w:tcBorders>
              <w:top w:val="nil"/>
              <w:left w:val="nil"/>
              <w:bottom w:val="nil"/>
              <w:right w:val="nil"/>
            </w:tcBorders>
            <w:vAlign w:val="center"/>
          </w:tcPr>
          <w:p w14:paraId="5C3DB6AD"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[-1.598, 1.335]</w:t>
            </w:r>
          </w:p>
        </w:tc>
      </w:tr>
      <w:tr w:rsidR="0019072B" w14:paraId="23DCB872" w14:textId="77777777">
        <w:trPr>
          <w:trHeight w:val="221"/>
        </w:trPr>
        <w:tc>
          <w:tcPr>
            <w:tcW w:w="2923" w:type="dxa"/>
            <w:tcBorders>
              <w:top w:val="nil"/>
              <w:left w:val="nil"/>
              <w:bottom w:val="nil"/>
              <w:right w:val="nil"/>
            </w:tcBorders>
            <w:vAlign w:val="center"/>
          </w:tcPr>
          <w:p w14:paraId="7EFA4B0A"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First Generation</w:t>
            </w:r>
          </w:p>
        </w:tc>
        <w:tc>
          <w:tcPr>
            <w:tcW w:w="994" w:type="dxa"/>
            <w:tcBorders>
              <w:top w:val="nil"/>
              <w:left w:val="nil"/>
              <w:bottom w:val="nil"/>
              <w:right w:val="nil"/>
            </w:tcBorders>
            <w:vAlign w:val="center"/>
          </w:tcPr>
          <w:p w14:paraId="631DABA7"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-.639</w:t>
            </w:r>
          </w:p>
        </w:tc>
        <w:tc>
          <w:tcPr>
            <w:tcW w:w="1084" w:type="dxa"/>
            <w:tcBorders>
              <w:top w:val="nil"/>
              <w:left w:val="nil"/>
              <w:bottom w:val="nil"/>
              <w:right w:val="nil"/>
            </w:tcBorders>
            <w:vAlign w:val="center"/>
          </w:tcPr>
          <w:p w14:paraId="044F0A9A"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.871</w:t>
            </w:r>
          </w:p>
        </w:tc>
        <w:tc>
          <w:tcPr>
            <w:tcW w:w="1084" w:type="dxa"/>
            <w:tcBorders>
              <w:top w:val="nil"/>
              <w:left w:val="nil"/>
              <w:bottom w:val="nil"/>
              <w:right w:val="nil"/>
            </w:tcBorders>
            <w:vAlign w:val="center"/>
          </w:tcPr>
          <w:p w14:paraId="67565CC2"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-.734</w:t>
            </w:r>
          </w:p>
        </w:tc>
        <w:tc>
          <w:tcPr>
            <w:tcW w:w="1084" w:type="dxa"/>
            <w:tcBorders>
              <w:top w:val="nil"/>
              <w:left w:val="nil"/>
              <w:bottom w:val="nil"/>
              <w:right w:val="nil"/>
            </w:tcBorders>
            <w:vAlign w:val="center"/>
          </w:tcPr>
          <w:p w14:paraId="77315BC2"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811" w:type="dxa"/>
            <w:tcBorders>
              <w:top w:val="nil"/>
              <w:left w:val="nil"/>
              <w:bottom w:val="nil"/>
              <w:right w:val="nil"/>
            </w:tcBorders>
            <w:vAlign w:val="center"/>
          </w:tcPr>
          <w:p w14:paraId="3B9A2726"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[-2.369, 1.091]</w:t>
            </w:r>
          </w:p>
        </w:tc>
      </w:tr>
      <w:tr w:rsidR="0019072B" w14:paraId="306609EA" w14:textId="77777777">
        <w:trPr>
          <w:trHeight w:val="221"/>
        </w:trPr>
        <w:tc>
          <w:tcPr>
            <w:tcW w:w="2923" w:type="dxa"/>
            <w:tcBorders>
              <w:top w:val="nil"/>
              <w:left w:val="nil"/>
              <w:bottom w:val="single" w:sz="4" w:space="0" w:color="000000"/>
              <w:right w:val="nil"/>
            </w:tcBorders>
            <w:shd w:val="clear" w:color="auto" w:fill="auto"/>
            <w:vAlign w:val="center"/>
          </w:tcPr>
          <w:p w14:paraId="659CA682"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Student Organizations</w:t>
            </w:r>
          </w:p>
        </w:tc>
        <w:tc>
          <w:tcPr>
            <w:tcW w:w="994" w:type="dxa"/>
            <w:tcBorders>
              <w:top w:val="nil"/>
              <w:left w:val="nil"/>
              <w:bottom w:val="single" w:sz="4" w:space="0" w:color="000000"/>
              <w:right w:val="nil"/>
            </w:tcBorders>
            <w:shd w:val="clear" w:color="auto" w:fill="auto"/>
            <w:vAlign w:val="center"/>
          </w:tcPr>
          <w:p w14:paraId="45ACB2CD"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-.312</w:t>
            </w:r>
          </w:p>
        </w:tc>
        <w:tc>
          <w:tcPr>
            <w:tcW w:w="1084" w:type="dxa"/>
            <w:tcBorders>
              <w:top w:val="nil"/>
              <w:left w:val="nil"/>
              <w:bottom w:val="single" w:sz="4" w:space="0" w:color="000000"/>
              <w:right w:val="nil"/>
            </w:tcBorders>
            <w:shd w:val="clear" w:color="auto" w:fill="auto"/>
            <w:vAlign w:val="center"/>
          </w:tcPr>
          <w:p w14:paraId="0D5439B1"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.309</w:t>
            </w:r>
          </w:p>
        </w:tc>
        <w:tc>
          <w:tcPr>
            <w:tcW w:w="1084" w:type="dxa"/>
            <w:tcBorders>
              <w:top w:val="nil"/>
              <w:left w:val="nil"/>
              <w:bottom w:val="single" w:sz="4" w:space="0" w:color="000000"/>
              <w:right w:val="nil"/>
            </w:tcBorders>
            <w:shd w:val="clear" w:color="auto" w:fill="auto"/>
            <w:vAlign w:val="center"/>
          </w:tcPr>
          <w:p w14:paraId="7335FF42"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-1.010</w:t>
            </w:r>
          </w:p>
        </w:tc>
        <w:tc>
          <w:tcPr>
            <w:tcW w:w="1084" w:type="dxa"/>
            <w:tcBorders>
              <w:top w:val="nil"/>
              <w:left w:val="nil"/>
              <w:bottom w:val="single" w:sz="4" w:space="0" w:color="000000"/>
              <w:right w:val="nil"/>
            </w:tcBorders>
            <w:vAlign w:val="center"/>
          </w:tcPr>
          <w:p w14:paraId="798E7D83"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.315</w:t>
            </w:r>
          </w:p>
        </w:tc>
        <w:tc>
          <w:tcPr>
            <w:tcW w:w="1811" w:type="dxa"/>
            <w:tcBorders>
              <w:top w:val="nil"/>
              <w:left w:val="nil"/>
              <w:bottom w:val="single" w:sz="4" w:space="0" w:color="000000"/>
              <w:right w:val="nil"/>
            </w:tcBorders>
            <w:vAlign w:val="center"/>
          </w:tcPr>
          <w:p w14:paraId="6A71F237"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[-.926, .302]</w:t>
            </w:r>
          </w:p>
        </w:tc>
      </w:tr>
    </w:tbl>
    <w:p w14:paraId="559718FE"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Start of Minor = 1, End of minor = 2</w:t>
      </w:r>
    </w:p>
    <w:p w14:paraId="20A6B0F3" w14:textId="77777777" w:rsidR="0019072B" w:rsidRDefault="005F5178">
      <w:pPr>
        <w:spacing w:after="0" w:line="240" w:lineRule="auto"/>
        <w:rPr>
          <w:rFonts w:ascii="Times New Roman" w:eastAsia="Times New Roman" w:hAnsi="Times New Roman" w:cs="Times New Roman"/>
          <w:sz w:val="24"/>
          <w:szCs w:val="24"/>
        </w:rPr>
      </w:pPr>
      <w:bookmarkStart w:id="1" w:name="_heading=h.wzfh2zjenenc" w:colFirst="0" w:colLast="0"/>
      <w:bookmarkEnd w:id="1"/>
      <w:r>
        <w:rPr>
          <w:rFonts w:ascii="Times New Roman" w:eastAsia="Times New Roman" w:hAnsi="Times New Roman" w:cs="Times New Roman"/>
          <w:sz w:val="24"/>
          <w:szCs w:val="24"/>
        </w:rPr>
        <w:t>** Statistically significant at 95%</w:t>
      </w:r>
    </w:p>
    <w:p w14:paraId="35DF2A9A" w14:textId="77777777" w:rsidR="0019072B" w:rsidRDefault="0019072B">
      <w:pPr>
        <w:spacing w:after="0" w:line="240" w:lineRule="auto"/>
        <w:rPr>
          <w:rFonts w:ascii="Times New Roman" w:eastAsia="Times New Roman" w:hAnsi="Times New Roman" w:cs="Times New Roman"/>
          <w:sz w:val="24"/>
          <w:szCs w:val="24"/>
        </w:rPr>
      </w:pPr>
    </w:p>
    <w:tbl>
      <w:tblPr>
        <w:tblStyle w:val="a0"/>
        <w:tblW w:w="8940" w:type="dxa"/>
        <w:tblInd w:w="-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10"/>
        <w:gridCol w:w="990"/>
        <w:gridCol w:w="1080"/>
        <w:gridCol w:w="1080"/>
        <w:gridCol w:w="1080"/>
        <w:gridCol w:w="1800"/>
      </w:tblGrid>
      <w:tr w:rsidR="0019072B" w14:paraId="027B1555" w14:textId="77777777">
        <w:trPr>
          <w:trHeight w:val="242"/>
        </w:trPr>
        <w:tc>
          <w:tcPr>
            <w:tcW w:w="8940" w:type="dxa"/>
            <w:gridSpan w:val="6"/>
            <w:tcBorders>
              <w:top w:val="single" w:sz="4" w:space="0" w:color="000000"/>
              <w:left w:val="nil"/>
              <w:bottom w:val="single" w:sz="4" w:space="0" w:color="000000"/>
              <w:right w:val="nil"/>
            </w:tcBorders>
            <w:shd w:val="clear" w:color="auto" w:fill="auto"/>
            <w:vAlign w:val="center"/>
          </w:tcPr>
          <w:p w14:paraId="4D7224FF" w14:textId="77777777" w:rsidR="0019072B" w:rsidRDefault="005F5178" w:rsidP="00E51E33">
            <w:pPr>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w:t>
            </w:r>
          </w:p>
          <w:p w14:paraId="2F021651" w14:textId="77777777" w:rsidR="0019072B" w:rsidRDefault="0019072B">
            <w:pPr>
              <w:rPr>
                <w:rFonts w:ascii="Times New Roman" w:eastAsia="Times New Roman" w:hAnsi="Times New Roman" w:cs="Times New Roman"/>
                <w:sz w:val="24"/>
                <w:szCs w:val="24"/>
              </w:rPr>
            </w:pPr>
          </w:p>
          <w:p w14:paraId="7E1EE66E" w14:textId="77777777" w:rsidR="0019072B" w:rsidRDefault="005F5178" w:rsidP="00E51E33">
            <w:pPr>
              <w:jc w:val="left"/>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Regression Coefficients of Personal Characteristics on Leadership Efficacy </w:t>
            </w:r>
          </w:p>
        </w:tc>
      </w:tr>
      <w:tr w:rsidR="0019072B" w14:paraId="782CE4BF" w14:textId="77777777">
        <w:trPr>
          <w:trHeight w:val="242"/>
        </w:trPr>
        <w:tc>
          <w:tcPr>
            <w:tcW w:w="2910" w:type="dxa"/>
            <w:tcBorders>
              <w:top w:val="single" w:sz="4" w:space="0" w:color="000000"/>
              <w:left w:val="nil"/>
              <w:bottom w:val="single" w:sz="4" w:space="0" w:color="000000"/>
            </w:tcBorders>
            <w:shd w:val="clear" w:color="auto" w:fill="auto"/>
          </w:tcPr>
          <w:p w14:paraId="46EE0BA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Variable </w:t>
            </w:r>
          </w:p>
        </w:tc>
        <w:tc>
          <w:tcPr>
            <w:tcW w:w="990" w:type="dxa"/>
            <w:tcBorders>
              <w:top w:val="single" w:sz="4" w:space="0" w:color="000000"/>
              <w:bottom w:val="single" w:sz="4" w:space="0" w:color="000000"/>
            </w:tcBorders>
            <w:shd w:val="clear" w:color="auto" w:fill="auto"/>
          </w:tcPr>
          <w:p w14:paraId="35422B90"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B</w:t>
            </w:r>
          </w:p>
        </w:tc>
        <w:tc>
          <w:tcPr>
            <w:tcW w:w="1080" w:type="dxa"/>
            <w:tcBorders>
              <w:top w:val="single" w:sz="4" w:space="0" w:color="000000"/>
              <w:bottom w:val="single" w:sz="4" w:space="0" w:color="000000"/>
            </w:tcBorders>
            <w:shd w:val="clear" w:color="auto" w:fill="auto"/>
          </w:tcPr>
          <w:p w14:paraId="468E03A3"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i/>
                <w:sz w:val="24"/>
                <w:szCs w:val="24"/>
              </w:rPr>
              <w:t>SE</w:t>
            </w:r>
          </w:p>
        </w:tc>
        <w:tc>
          <w:tcPr>
            <w:tcW w:w="1080" w:type="dxa"/>
            <w:tcBorders>
              <w:top w:val="single" w:sz="4" w:space="0" w:color="000000"/>
              <w:bottom w:val="single" w:sz="4" w:space="0" w:color="000000"/>
            </w:tcBorders>
            <w:shd w:val="clear" w:color="auto" w:fill="auto"/>
          </w:tcPr>
          <w:p w14:paraId="512E5343"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w:t>
            </w:r>
          </w:p>
        </w:tc>
        <w:tc>
          <w:tcPr>
            <w:tcW w:w="1080" w:type="dxa"/>
            <w:tcBorders>
              <w:top w:val="single" w:sz="4" w:space="0" w:color="000000"/>
              <w:bottom w:val="single" w:sz="4" w:space="0" w:color="000000"/>
            </w:tcBorders>
          </w:tcPr>
          <w:p w14:paraId="793D2361" w14:textId="77777777" w:rsidR="0019072B" w:rsidRDefault="005F517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p>
        </w:tc>
        <w:tc>
          <w:tcPr>
            <w:tcW w:w="1800" w:type="dxa"/>
            <w:tcBorders>
              <w:top w:val="single" w:sz="4" w:space="0" w:color="000000"/>
              <w:bottom w:val="single" w:sz="4" w:space="0" w:color="000000"/>
              <w:right w:val="nil"/>
            </w:tcBorders>
          </w:tcPr>
          <w:p w14:paraId="39832B9C"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95% CI</w:t>
            </w:r>
          </w:p>
        </w:tc>
      </w:tr>
      <w:tr w:rsidR="0019072B" w14:paraId="4B0D9BFD" w14:textId="77777777">
        <w:trPr>
          <w:trHeight w:val="216"/>
        </w:trPr>
        <w:tc>
          <w:tcPr>
            <w:tcW w:w="2910" w:type="dxa"/>
            <w:tcBorders>
              <w:top w:val="single" w:sz="4" w:space="0" w:color="000000"/>
              <w:left w:val="nil"/>
              <w:bottom w:val="nil"/>
              <w:right w:val="nil"/>
            </w:tcBorders>
            <w:vAlign w:val="center"/>
          </w:tcPr>
          <w:p w14:paraId="6D5074DC" w14:textId="77777777" w:rsidR="0019072B" w:rsidRDefault="0019072B">
            <w:pPr>
              <w:rPr>
                <w:rFonts w:ascii="Times New Roman" w:eastAsia="Times New Roman" w:hAnsi="Times New Roman" w:cs="Times New Roman"/>
                <w:sz w:val="24"/>
                <w:szCs w:val="24"/>
              </w:rPr>
            </w:pPr>
          </w:p>
        </w:tc>
        <w:tc>
          <w:tcPr>
            <w:tcW w:w="990" w:type="dxa"/>
            <w:tcBorders>
              <w:top w:val="single" w:sz="4" w:space="0" w:color="000000"/>
              <w:left w:val="nil"/>
              <w:bottom w:val="nil"/>
              <w:right w:val="nil"/>
            </w:tcBorders>
            <w:vAlign w:val="center"/>
          </w:tcPr>
          <w:p w14:paraId="42A01754" w14:textId="77777777" w:rsidR="0019072B" w:rsidRDefault="0019072B">
            <w:pPr>
              <w:rPr>
                <w:rFonts w:ascii="Times New Roman" w:eastAsia="Times New Roman" w:hAnsi="Times New Roman" w:cs="Times New Roman"/>
                <w:i/>
                <w:sz w:val="24"/>
                <w:szCs w:val="24"/>
              </w:rPr>
            </w:pPr>
          </w:p>
        </w:tc>
        <w:tc>
          <w:tcPr>
            <w:tcW w:w="1080" w:type="dxa"/>
            <w:tcBorders>
              <w:top w:val="single" w:sz="4" w:space="0" w:color="000000"/>
              <w:left w:val="nil"/>
              <w:bottom w:val="nil"/>
              <w:right w:val="nil"/>
            </w:tcBorders>
            <w:vAlign w:val="center"/>
          </w:tcPr>
          <w:p w14:paraId="12ABD1A7" w14:textId="77777777" w:rsidR="0019072B" w:rsidRDefault="0019072B">
            <w:pPr>
              <w:rPr>
                <w:rFonts w:ascii="Times New Roman" w:eastAsia="Times New Roman" w:hAnsi="Times New Roman" w:cs="Times New Roman"/>
                <w:sz w:val="24"/>
                <w:szCs w:val="24"/>
              </w:rPr>
            </w:pPr>
          </w:p>
        </w:tc>
        <w:tc>
          <w:tcPr>
            <w:tcW w:w="1080" w:type="dxa"/>
            <w:tcBorders>
              <w:top w:val="single" w:sz="4" w:space="0" w:color="000000"/>
              <w:left w:val="nil"/>
              <w:bottom w:val="nil"/>
              <w:right w:val="nil"/>
            </w:tcBorders>
            <w:vAlign w:val="center"/>
          </w:tcPr>
          <w:p w14:paraId="6496A8DD" w14:textId="77777777" w:rsidR="0019072B" w:rsidRDefault="0019072B">
            <w:pPr>
              <w:rPr>
                <w:rFonts w:ascii="Times New Roman" w:eastAsia="Times New Roman" w:hAnsi="Times New Roman" w:cs="Times New Roman"/>
                <w:sz w:val="24"/>
                <w:szCs w:val="24"/>
              </w:rPr>
            </w:pPr>
          </w:p>
        </w:tc>
        <w:tc>
          <w:tcPr>
            <w:tcW w:w="1080" w:type="dxa"/>
            <w:tcBorders>
              <w:top w:val="single" w:sz="4" w:space="0" w:color="000000"/>
              <w:left w:val="nil"/>
              <w:bottom w:val="nil"/>
              <w:right w:val="nil"/>
            </w:tcBorders>
            <w:vAlign w:val="center"/>
          </w:tcPr>
          <w:p w14:paraId="02D92525" w14:textId="77777777" w:rsidR="0019072B" w:rsidRDefault="0019072B">
            <w:pPr>
              <w:rPr>
                <w:rFonts w:ascii="Times New Roman" w:eastAsia="Times New Roman" w:hAnsi="Times New Roman" w:cs="Times New Roman"/>
                <w:sz w:val="24"/>
                <w:szCs w:val="24"/>
              </w:rPr>
            </w:pPr>
          </w:p>
        </w:tc>
        <w:tc>
          <w:tcPr>
            <w:tcW w:w="1800" w:type="dxa"/>
            <w:tcBorders>
              <w:top w:val="single" w:sz="4" w:space="0" w:color="000000"/>
              <w:left w:val="nil"/>
              <w:bottom w:val="nil"/>
              <w:right w:val="nil"/>
            </w:tcBorders>
            <w:vAlign w:val="center"/>
          </w:tcPr>
          <w:p w14:paraId="5F729D69" w14:textId="77777777" w:rsidR="0019072B" w:rsidRDefault="0019072B">
            <w:pPr>
              <w:rPr>
                <w:rFonts w:ascii="Times New Roman" w:eastAsia="Times New Roman" w:hAnsi="Times New Roman" w:cs="Times New Roman"/>
                <w:sz w:val="24"/>
                <w:szCs w:val="24"/>
              </w:rPr>
            </w:pPr>
          </w:p>
        </w:tc>
      </w:tr>
      <w:tr w:rsidR="0019072B" w14:paraId="6F8D6692" w14:textId="77777777">
        <w:trPr>
          <w:trHeight w:val="216"/>
        </w:trPr>
        <w:tc>
          <w:tcPr>
            <w:tcW w:w="2910" w:type="dxa"/>
            <w:tcBorders>
              <w:top w:val="nil"/>
              <w:left w:val="nil"/>
              <w:bottom w:val="nil"/>
              <w:right w:val="nil"/>
            </w:tcBorders>
            <w:shd w:val="clear" w:color="auto" w:fill="auto"/>
            <w:vAlign w:val="center"/>
          </w:tcPr>
          <w:p w14:paraId="6426176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Intent to Lead</w:t>
            </w:r>
          </w:p>
        </w:tc>
        <w:tc>
          <w:tcPr>
            <w:tcW w:w="990" w:type="dxa"/>
            <w:tcBorders>
              <w:top w:val="nil"/>
              <w:left w:val="nil"/>
              <w:bottom w:val="nil"/>
              <w:right w:val="nil"/>
            </w:tcBorders>
            <w:shd w:val="clear" w:color="auto" w:fill="auto"/>
            <w:vAlign w:val="center"/>
          </w:tcPr>
          <w:p w14:paraId="245C5968"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.399</w:t>
            </w:r>
          </w:p>
        </w:tc>
        <w:tc>
          <w:tcPr>
            <w:tcW w:w="1080" w:type="dxa"/>
            <w:tcBorders>
              <w:top w:val="nil"/>
              <w:left w:val="nil"/>
              <w:bottom w:val="nil"/>
              <w:right w:val="nil"/>
            </w:tcBorders>
            <w:shd w:val="clear" w:color="auto" w:fill="auto"/>
            <w:vAlign w:val="center"/>
          </w:tcPr>
          <w:p w14:paraId="05DEAAD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c>
          <w:tcPr>
            <w:tcW w:w="1080" w:type="dxa"/>
            <w:tcBorders>
              <w:top w:val="nil"/>
              <w:left w:val="nil"/>
              <w:bottom w:val="nil"/>
              <w:right w:val="nil"/>
            </w:tcBorders>
            <w:shd w:val="clear" w:color="auto" w:fill="auto"/>
            <w:vAlign w:val="center"/>
          </w:tcPr>
          <w:p w14:paraId="4A4D05EC"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2.029</w:t>
            </w:r>
          </w:p>
        </w:tc>
        <w:tc>
          <w:tcPr>
            <w:tcW w:w="1080" w:type="dxa"/>
            <w:tcBorders>
              <w:top w:val="nil"/>
              <w:left w:val="nil"/>
              <w:bottom w:val="nil"/>
              <w:right w:val="nil"/>
            </w:tcBorders>
            <w:vAlign w:val="center"/>
          </w:tcPr>
          <w:p w14:paraId="07E90654"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.046**</w:t>
            </w:r>
          </w:p>
        </w:tc>
        <w:tc>
          <w:tcPr>
            <w:tcW w:w="1800" w:type="dxa"/>
            <w:tcBorders>
              <w:top w:val="nil"/>
              <w:left w:val="nil"/>
              <w:bottom w:val="nil"/>
              <w:right w:val="nil"/>
            </w:tcBorders>
            <w:vAlign w:val="center"/>
          </w:tcPr>
          <w:p w14:paraId="11A484F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[.008, .789]</w:t>
            </w:r>
          </w:p>
        </w:tc>
      </w:tr>
      <w:tr w:rsidR="0019072B" w14:paraId="3AE0C5E5" w14:textId="77777777">
        <w:trPr>
          <w:trHeight w:val="216"/>
        </w:trPr>
        <w:tc>
          <w:tcPr>
            <w:tcW w:w="2910" w:type="dxa"/>
            <w:tcBorders>
              <w:top w:val="nil"/>
              <w:left w:val="nil"/>
              <w:bottom w:val="nil"/>
              <w:right w:val="nil"/>
            </w:tcBorders>
            <w:vAlign w:val="center"/>
          </w:tcPr>
          <w:p w14:paraId="1EA4D864"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to Lead AI</w:t>
            </w:r>
          </w:p>
        </w:tc>
        <w:tc>
          <w:tcPr>
            <w:tcW w:w="990" w:type="dxa"/>
            <w:tcBorders>
              <w:top w:val="nil"/>
              <w:left w:val="nil"/>
              <w:bottom w:val="nil"/>
              <w:right w:val="nil"/>
            </w:tcBorders>
            <w:vAlign w:val="center"/>
          </w:tcPr>
          <w:p w14:paraId="350E36CA"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.362</w:t>
            </w:r>
          </w:p>
        </w:tc>
        <w:tc>
          <w:tcPr>
            <w:tcW w:w="1080" w:type="dxa"/>
            <w:tcBorders>
              <w:top w:val="nil"/>
              <w:left w:val="nil"/>
              <w:bottom w:val="nil"/>
              <w:right w:val="nil"/>
            </w:tcBorders>
            <w:vAlign w:val="center"/>
          </w:tcPr>
          <w:p w14:paraId="7D58C1A4"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.084</w:t>
            </w:r>
          </w:p>
        </w:tc>
        <w:tc>
          <w:tcPr>
            <w:tcW w:w="1080" w:type="dxa"/>
            <w:tcBorders>
              <w:top w:val="nil"/>
              <w:left w:val="nil"/>
              <w:bottom w:val="nil"/>
              <w:right w:val="nil"/>
            </w:tcBorders>
            <w:vAlign w:val="center"/>
          </w:tcPr>
          <w:p w14:paraId="51099DBF"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4.298</w:t>
            </w:r>
          </w:p>
        </w:tc>
        <w:tc>
          <w:tcPr>
            <w:tcW w:w="1080" w:type="dxa"/>
            <w:tcBorders>
              <w:top w:val="nil"/>
              <w:left w:val="nil"/>
              <w:bottom w:val="nil"/>
              <w:right w:val="nil"/>
            </w:tcBorders>
            <w:vAlign w:val="center"/>
          </w:tcPr>
          <w:p w14:paraId="78F59B40"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1800" w:type="dxa"/>
            <w:tcBorders>
              <w:top w:val="nil"/>
              <w:left w:val="nil"/>
              <w:bottom w:val="nil"/>
              <w:right w:val="nil"/>
            </w:tcBorders>
            <w:vAlign w:val="center"/>
          </w:tcPr>
          <w:p w14:paraId="0151D18D"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[.195, .530]</w:t>
            </w:r>
          </w:p>
        </w:tc>
      </w:tr>
      <w:tr w:rsidR="0019072B" w14:paraId="3F321E78" w14:textId="77777777">
        <w:trPr>
          <w:trHeight w:val="216"/>
        </w:trPr>
        <w:tc>
          <w:tcPr>
            <w:tcW w:w="2910" w:type="dxa"/>
            <w:tcBorders>
              <w:top w:val="nil"/>
              <w:left w:val="nil"/>
              <w:bottom w:val="nil"/>
              <w:right w:val="nil"/>
            </w:tcBorders>
            <w:shd w:val="clear" w:color="auto" w:fill="auto"/>
            <w:vAlign w:val="center"/>
          </w:tcPr>
          <w:p w14:paraId="5C14BA75"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to Lead SN</w:t>
            </w:r>
          </w:p>
        </w:tc>
        <w:tc>
          <w:tcPr>
            <w:tcW w:w="990" w:type="dxa"/>
            <w:tcBorders>
              <w:top w:val="nil"/>
              <w:left w:val="nil"/>
              <w:bottom w:val="nil"/>
              <w:right w:val="nil"/>
            </w:tcBorders>
            <w:shd w:val="clear" w:color="auto" w:fill="auto"/>
            <w:vAlign w:val="center"/>
          </w:tcPr>
          <w:p w14:paraId="2241FEC3"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080" w:type="dxa"/>
            <w:tcBorders>
              <w:top w:val="nil"/>
              <w:left w:val="nil"/>
              <w:bottom w:val="nil"/>
              <w:right w:val="nil"/>
            </w:tcBorders>
            <w:shd w:val="clear" w:color="auto" w:fill="auto"/>
            <w:vAlign w:val="center"/>
          </w:tcPr>
          <w:p w14:paraId="58D733AA"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.097</w:t>
            </w:r>
          </w:p>
        </w:tc>
        <w:tc>
          <w:tcPr>
            <w:tcW w:w="1080" w:type="dxa"/>
            <w:tcBorders>
              <w:top w:val="nil"/>
              <w:left w:val="nil"/>
              <w:bottom w:val="nil"/>
              <w:right w:val="nil"/>
            </w:tcBorders>
            <w:shd w:val="clear" w:color="auto" w:fill="auto"/>
            <w:vAlign w:val="center"/>
          </w:tcPr>
          <w:p w14:paraId="52E5DCC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1.029</w:t>
            </w:r>
          </w:p>
        </w:tc>
        <w:tc>
          <w:tcPr>
            <w:tcW w:w="1080" w:type="dxa"/>
            <w:tcBorders>
              <w:top w:val="nil"/>
              <w:left w:val="nil"/>
              <w:bottom w:val="nil"/>
              <w:right w:val="nil"/>
            </w:tcBorders>
            <w:vAlign w:val="center"/>
          </w:tcPr>
          <w:p w14:paraId="57534D81"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1800" w:type="dxa"/>
            <w:tcBorders>
              <w:top w:val="nil"/>
              <w:left w:val="nil"/>
              <w:bottom w:val="nil"/>
              <w:right w:val="nil"/>
            </w:tcBorders>
            <w:vAlign w:val="center"/>
          </w:tcPr>
          <w:p w14:paraId="31D122D5"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[-.093, .294]</w:t>
            </w:r>
          </w:p>
        </w:tc>
      </w:tr>
      <w:tr w:rsidR="0019072B" w14:paraId="05BDF9BC" w14:textId="77777777">
        <w:trPr>
          <w:trHeight w:val="216"/>
        </w:trPr>
        <w:tc>
          <w:tcPr>
            <w:tcW w:w="2910" w:type="dxa"/>
            <w:tcBorders>
              <w:top w:val="nil"/>
              <w:left w:val="nil"/>
              <w:bottom w:val="nil"/>
              <w:right w:val="nil"/>
            </w:tcBorders>
            <w:vAlign w:val="center"/>
          </w:tcPr>
          <w:p w14:paraId="00C7BA50"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Group*</w:t>
            </w:r>
          </w:p>
        </w:tc>
        <w:tc>
          <w:tcPr>
            <w:tcW w:w="990" w:type="dxa"/>
            <w:tcBorders>
              <w:top w:val="nil"/>
              <w:left w:val="nil"/>
              <w:bottom w:val="nil"/>
              <w:right w:val="nil"/>
            </w:tcBorders>
            <w:vAlign w:val="center"/>
          </w:tcPr>
          <w:p w14:paraId="094344F1"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.657</w:t>
            </w:r>
          </w:p>
        </w:tc>
        <w:tc>
          <w:tcPr>
            <w:tcW w:w="1080" w:type="dxa"/>
            <w:tcBorders>
              <w:top w:val="nil"/>
              <w:left w:val="nil"/>
              <w:bottom w:val="nil"/>
              <w:right w:val="nil"/>
            </w:tcBorders>
            <w:vAlign w:val="center"/>
          </w:tcPr>
          <w:p w14:paraId="74B875AA"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.693</w:t>
            </w:r>
          </w:p>
        </w:tc>
        <w:tc>
          <w:tcPr>
            <w:tcW w:w="1080" w:type="dxa"/>
            <w:tcBorders>
              <w:top w:val="nil"/>
              <w:left w:val="nil"/>
              <w:bottom w:val="nil"/>
              <w:right w:val="nil"/>
            </w:tcBorders>
            <w:vAlign w:val="center"/>
          </w:tcPr>
          <w:p w14:paraId="6386F53A"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.949</w:t>
            </w:r>
          </w:p>
        </w:tc>
        <w:tc>
          <w:tcPr>
            <w:tcW w:w="1080" w:type="dxa"/>
            <w:tcBorders>
              <w:top w:val="nil"/>
              <w:left w:val="nil"/>
              <w:bottom w:val="nil"/>
              <w:right w:val="nil"/>
            </w:tcBorders>
            <w:vAlign w:val="center"/>
          </w:tcPr>
          <w:p w14:paraId="4B7A9B0B"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.345</w:t>
            </w:r>
          </w:p>
        </w:tc>
        <w:tc>
          <w:tcPr>
            <w:tcW w:w="1800" w:type="dxa"/>
            <w:tcBorders>
              <w:top w:val="nil"/>
              <w:left w:val="nil"/>
              <w:bottom w:val="nil"/>
              <w:right w:val="nil"/>
            </w:tcBorders>
            <w:vAlign w:val="center"/>
          </w:tcPr>
          <w:p w14:paraId="399AE131"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[-.720, 2.034]</w:t>
            </w:r>
          </w:p>
        </w:tc>
      </w:tr>
      <w:tr w:rsidR="0019072B" w14:paraId="6A39557A" w14:textId="77777777">
        <w:trPr>
          <w:trHeight w:val="216"/>
        </w:trPr>
        <w:tc>
          <w:tcPr>
            <w:tcW w:w="2910" w:type="dxa"/>
            <w:tcBorders>
              <w:top w:val="nil"/>
              <w:left w:val="nil"/>
              <w:bottom w:val="nil"/>
              <w:right w:val="nil"/>
            </w:tcBorders>
            <w:vAlign w:val="center"/>
          </w:tcPr>
          <w:p w14:paraId="6422481C"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First Generation</w:t>
            </w:r>
          </w:p>
        </w:tc>
        <w:tc>
          <w:tcPr>
            <w:tcW w:w="990" w:type="dxa"/>
            <w:tcBorders>
              <w:top w:val="nil"/>
              <w:left w:val="nil"/>
              <w:bottom w:val="nil"/>
              <w:right w:val="nil"/>
            </w:tcBorders>
            <w:vAlign w:val="center"/>
          </w:tcPr>
          <w:p w14:paraId="12353776"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-1.405</w:t>
            </w:r>
          </w:p>
        </w:tc>
        <w:tc>
          <w:tcPr>
            <w:tcW w:w="1080" w:type="dxa"/>
            <w:tcBorders>
              <w:top w:val="nil"/>
              <w:left w:val="nil"/>
              <w:bottom w:val="nil"/>
              <w:right w:val="nil"/>
            </w:tcBorders>
            <w:vAlign w:val="center"/>
          </w:tcPr>
          <w:p w14:paraId="1E9D62D1"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.817</w:t>
            </w:r>
          </w:p>
        </w:tc>
        <w:tc>
          <w:tcPr>
            <w:tcW w:w="1080" w:type="dxa"/>
            <w:tcBorders>
              <w:top w:val="nil"/>
              <w:left w:val="nil"/>
              <w:bottom w:val="nil"/>
              <w:right w:val="nil"/>
            </w:tcBorders>
            <w:vAlign w:val="center"/>
          </w:tcPr>
          <w:p w14:paraId="16E4A134"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-1.719</w:t>
            </w:r>
          </w:p>
        </w:tc>
        <w:tc>
          <w:tcPr>
            <w:tcW w:w="1080" w:type="dxa"/>
            <w:tcBorders>
              <w:top w:val="nil"/>
              <w:left w:val="nil"/>
              <w:bottom w:val="nil"/>
              <w:right w:val="nil"/>
            </w:tcBorders>
            <w:vAlign w:val="center"/>
          </w:tcPr>
          <w:p w14:paraId="5C0900FC"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.089</w:t>
            </w:r>
          </w:p>
        </w:tc>
        <w:tc>
          <w:tcPr>
            <w:tcW w:w="1800" w:type="dxa"/>
            <w:tcBorders>
              <w:top w:val="nil"/>
              <w:left w:val="nil"/>
              <w:bottom w:val="nil"/>
              <w:right w:val="nil"/>
            </w:tcBorders>
            <w:vAlign w:val="center"/>
          </w:tcPr>
          <w:p w14:paraId="6077AD1F"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[-3.029, .220]</w:t>
            </w:r>
          </w:p>
        </w:tc>
      </w:tr>
      <w:tr w:rsidR="0019072B" w14:paraId="36AFC93B" w14:textId="77777777">
        <w:trPr>
          <w:trHeight w:val="216"/>
        </w:trPr>
        <w:tc>
          <w:tcPr>
            <w:tcW w:w="2910" w:type="dxa"/>
            <w:tcBorders>
              <w:top w:val="nil"/>
              <w:left w:val="nil"/>
              <w:bottom w:val="single" w:sz="4" w:space="0" w:color="000000"/>
              <w:right w:val="nil"/>
            </w:tcBorders>
            <w:shd w:val="clear" w:color="auto" w:fill="auto"/>
            <w:vAlign w:val="center"/>
          </w:tcPr>
          <w:p w14:paraId="349113A5"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Student Organizations</w:t>
            </w:r>
          </w:p>
        </w:tc>
        <w:tc>
          <w:tcPr>
            <w:tcW w:w="990" w:type="dxa"/>
            <w:tcBorders>
              <w:top w:val="nil"/>
              <w:left w:val="nil"/>
              <w:bottom w:val="single" w:sz="4" w:space="0" w:color="000000"/>
              <w:right w:val="nil"/>
            </w:tcBorders>
            <w:shd w:val="clear" w:color="auto" w:fill="auto"/>
            <w:vAlign w:val="center"/>
          </w:tcPr>
          <w:p w14:paraId="3CAB711D" w14:textId="77777777" w:rsidR="0019072B" w:rsidRDefault="005F5178">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p>
        </w:tc>
        <w:tc>
          <w:tcPr>
            <w:tcW w:w="1080" w:type="dxa"/>
            <w:tcBorders>
              <w:top w:val="nil"/>
              <w:left w:val="nil"/>
              <w:bottom w:val="single" w:sz="4" w:space="0" w:color="000000"/>
              <w:right w:val="nil"/>
            </w:tcBorders>
            <w:shd w:val="clear" w:color="auto" w:fill="auto"/>
            <w:vAlign w:val="center"/>
          </w:tcPr>
          <w:p w14:paraId="181F4D04"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1080" w:type="dxa"/>
            <w:tcBorders>
              <w:top w:val="nil"/>
              <w:left w:val="nil"/>
              <w:bottom w:val="single" w:sz="4" w:space="0" w:color="000000"/>
              <w:right w:val="nil"/>
            </w:tcBorders>
            <w:shd w:val="clear" w:color="auto" w:fill="auto"/>
            <w:vAlign w:val="center"/>
          </w:tcPr>
          <w:p w14:paraId="03DA4003"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-.778</w:t>
            </w:r>
          </w:p>
        </w:tc>
        <w:tc>
          <w:tcPr>
            <w:tcW w:w="1080" w:type="dxa"/>
            <w:tcBorders>
              <w:top w:val="nil"/>
              <w:left w:val="nil"/>
              <w:bottom w:val="single" w:sz="4" w:space="0" w:color="000000"/>
              <w:right w:val="nil"/>
            </w:tcBorders>
            <w:vAlign w:val="center"/>
          </w:tcPr>
          <w:p w14:paraId="66D67759"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.439</w:t>
            </w:r>
          </w:p>
        </w:tc>
        <w:tc>
          <w:tcPr>
            <w:tcW w:w="1800" w:type="dxa"/>
            <w:tcBorders>
              <w:top w:val="nil"/>
              <w:left w:val="nil"/>
              <w:bottom w:val="single" w:sz="4" w:space="0" w:color="000000"/>
              <w:right w:val="nil"/>
            </w:tcBorders>
            <w:vAlign w:val="center"/>
          </w:tcPr>
          <w:p w14:paraId="4CAD7D61" w14:textId="77777777" w:rsidR="0019072B" w:rsidRDefault="005F5178">
            <w:pPr>
              <w:rPr>
                <w:rFonts w:ascii="Times New Roman" w:eastAsia="Times New Roman" w:hAnsi="Times New Roman" w:cs="Times New Roman"/>
                <w:sz w:val="24"/>
                <w:szCs w:val="24"/>
              </w:rPr>
            </w:pPr>
            <w:r>
              <w:rPr>
                <w:rFonts w:ascii="Times New Roman" w:eastAsia="Times New Roman" w:hAnsi="Times New Roman" w:cs="Times New Roman"/>
                <w:sz w:val="24"/>
                <w:szCs w:val="24"/>
              </w:rPr>
              <w:t>[-.802, .351]</w:t>
            </w:r>
          </w:p>
        </w:tc>
      </w:tr>
    </w:tbl>
    <w:p w14:paraId="10C7B1DB" w14:textId="77777777" w:rsidR="0019072B" w:rsidRDefault="005F5178">
      <w:pPr>
        <w:spacing w:after="0" w:line="240" w:lineRule="auto"/>
        <w:rPr>
          <w:rFonts w:ascii="Times New Roman" w:eastAsia="Times New Roman" w:hAnsi="Times New Roman" w:cs="Times New Roman"/>
          <w:sz w:val="24"/>
          <w:szCs w:val="24"/>
        </w:rPr>
      </w:pPr>
      <w:bookmarkStart w:id="2" w:name="_heading=h.gjdgxs" w:colFirst="0" w:colLast="0"/>
      <w:bookmarkEnd w:id="2"/>
      <w:r>
        <w:rPr>
          <w:rFonts w:ascii="Times New Roman" w:eastAsia="Times New Roman" w:hAnsi="Times New Roman" w:cs="Times New Roman"/>
          <w:sz w:val="24"/>
          <w:szCs w:val="24"/>
        </w:rPr>
        <w:t>* Start of Minor = 1, End of minor = 2</w:t>
      </w:r>
    </w:p>
    <w:p w14:paraId="57FED4BB"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Statistically significant at 95%</w:t>
      </w:r>
    </w:p>
    <w:p w14:paraId="49F08284" w14:textId="77777777" w:rsidR="001A187B" w:rsidRDefault="001A187B">
      <w:pPr>
        <w:spacing w:after="0" w:line="240" w:lineRule="auto"/>
        <w:jc w:val="center"/>
        <w:rPr>
          <w:rFonts w:ascii="Times New Roman" w:eastAsia="Times New Roman" w:hAnsi="Times New Roman" w:cs="Times New Roman"/>
          <w:b/>
          <w:sz w:val="24"/>
          <w:szCs w:val="24"/>
        </w:rPr>
      </w:pPr>
    </w:p>
    <w:p w14:paraId="7195FF00" w14:textId="7082458C"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w:t>
      </w:r>
    </w:p>
    <w:p w14:paraId="2264A514" w14:textId="0760E532"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explored the leadership efficacy and leadership self-efficacy of students participating in a leadership studies minor. Three major conclusions arose. First, a majority of participants began their time in the minor already identifying as a leader and have a fairly confident view of their ability to lead others effectively. This shows signs of self-selection bias in those who </w:t>
      </w:r>
      <w:r>
        <w:rPr>
          <w:rFonts w:ascii="Times New Roman" w:eastAsia="Times New Roman" w:hAnsi="Times New Roman" w:cs="Times New Roman"/>
          <w:sz w:val="24"/>
          <w:szCs w:val="24"/>
        </w:rPr>
        <w:lastRenderedPageBreak/>
        <w:t xml:space="preserve">choose to be part of a leadership minor, which supports previous research that those who participate in collegiate leadership-themed endeavors often come with a positive view of their leadership ability (Dunn et al., 2016). This finding raises additional questions regarding the inclusivity of our programs. Are there dominant social narratives at our individual institutions that academic leadership programs are only for those with demonstrated leadership experience or who think of themselves as a leader? If so, what can leadership educators do to change that narrative? Likewise, are there systemic barriers that keep students interested in developing their leadership competency away from academic leadership programs? This issue takes on additional weight as our student populations become increasingly diverse and historically underrepresented students may seek out less traditional paths </w:t>
      </w:r>
      <w:r w:rsidR="00D958E0">
        <w:rPr>
          <w:rFonts w:ascii="Times New Roman" w:eastAsia="Times New Roman" w:hAnsi="Times New Roman" w:cs="Times New Roman"/>
          <w:sz w:val="24"/>
          <w:szCs w:val="24"/>
        </w:rPr>
        <w:t>to leader development</w:t>
      </w:r>
      <w:r>
        <w:rPr>
          <w:rFonts w:ascii="Times New Roman" w:eastAsia="Times New Roman" w:hAnsi="Times New Roman" w:cs="Times New Roman"/>
          <w:sz w:val="24"/>
          <w:szCs w:val="24"/>
        </w:rPr>
        <w:t xml:space="preserve"> (Rosch et al., 2015). </w:t>
      </w:r>
    </w:p>
    <w:p w14:paraId="0A1DB055" w14:textId="77777777" w:rsidR="0019072B" w:rsidRDefault="0019072B">
      <w:pPr>
        <w:spacing w:after="0" w:line="240" w:lineRule="auto"/>
        <w:rPr>
          <w:rFonts w:ascii="Times New Roman" w:eastAsia="Times New Roman" w:hAnsi="Times New Roman" w:cs="Times New Roman"/>
          <w:sz w:val="24"/>
          <w:szCs w:val="24"/>
        </w:rPr>
      </w:pPr>
    </w:p>
    <w:p w14:paraId="30026BF8" w14:textId="77777777" w:rsidR="0019072B" w:rsidRDefault="005F51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identifying as a first-generation college student does not appear to impact one’s leadership self-efficacy, but it may negatively impact one’s leadership efficacy. It is encouraging that there were no statistically significant differences in the scores for first-generation students when compared to multi-generation college students. Yet, and while still not statistically significant at the 95% confidence level, there are greater differences in the leadership efficacy scores of first-generation and multi-generation students. The directionality of these differences appears to indicate that first-generation students may not be as confident in demonstrating their leadership skills as their multi-generational peers. </w:t>
      </w:r>
    </w:p>
    <w:p w14:paraId="67F4E0AF" w14:textId="77777777" w:rsidR="0019072B" w:rsidRDefault="0019072B">
      <w:pPr>
        <w:spacing w:after="0" w:line="240" w:lineRule="auto"/>
        <w:rPr>
          <w:rFonts w:ascii="Times New Roman" w:eastAsia="Times New Roman" w:hAnsi="Times New Roman" w:cs="Times New Roman"/>
          <w:sz w:val="24"/>
          <w:szCs w:val="24"/>
        </w:rPr>
      </w:pPr>
    </w:p>
    <w:p w14:paraId="385C8060" w14:textId="77777777" w:rsidR="0019072B" w:rsidRDefault="005F517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Third, participating in a leadership minor does not significantly change a student's leadership self-efficacy or leadership efficacy, which is a mixed result. On one hand, students who come into the minor identifying as a leader, on average, leave the program still identifying as a leader. But the converse may also be true; those who enter the minor without identifying as a leader, on average, may leave the minor still not self-identifying as a leader. Similar conclusions can be made for the leadership efficacy construct. Admittedly, without assigning individual identifiers, the individual impact participating in a leadership minor has on one's leadership self-efficacy or leadership efficacy is difficult to determine and was beyond the scope of this study.   </w:t>
      </w:r>
    </w:p>
    <w:p w14:paraId="67A2DDC8" w14:textId="77777777" w:rsidR="00E51E33" w:rsidRDefault="00E51E33">
      <w:pPr>
        <w:spacing w:after="0" w:line="240" w:lineRule="auto"/>
        <w:jc w:val="center"/>
        <w:rPr>
          <w:rFonts w:ascii="Times New Roman" w:eastAsia="Times New Roman" w:hAnsi="Times New Roman" w:cs="Times New Roman"/>
          <w:b/>
          <w:sz w:val="24"/>
          <w:szCs w:val="24"/>
        </w:rPr>
      </w:pPr>
    </w:p>
    <w:p w14:paraId="4FB5C4CE" w14:textId="6528C1E2" w:rsidR="0019072B" w:rsidRDefault="005F51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7D167FBF" w14:textId="14B5CC9B" w:rsidR="0019072B" w:rsidRDefault="005F5178" w:rsidP="005F517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This study provides a reference point for exploring how participating in a leadership minor influences students' leadership efficacy and leadership self-efficacy. While the findings are promising, additional research is needed. Three recommendations follow. First, a follow-up study controlling for previous leadership experience to help clarify the influence the academic study of leadership has on students' leadership self-conceptualization. Also, examining the format, type, and duration of these previous leadership experiences, as well as the participant’s age when these experiences occurred, could be useful. Second, a study to explore why students choose, and likewise choose not, to participate in a leadership minor. Are leadership educators missing students who are interested in leadership development but feel a leadership minor is not for them, regardless of the reason? Gaining a more detailed understanding of the “leadership development pipeline” could help collegiate leadership educators reach previously marginalized or underrepresented populations in their programs, thereby diversifying our programs and creating more inclusive leaders. Finally, we recommend a longitudinal study following those who minor in leadership to explore the long-term impact of the minor. Leadership development takes a substantial investment of time and effort; therefore, it is not sufficient to measure leadership development only during a student's time in college.</w:t>
      </w:r>
      <w:r>
        <w:br w:type="page"/>
      </w:r>
    </w:p>
    <w:p w14:paraId="632FB912" w14:textId="77777777" w:rsidR="0019072B" w:rsidRDefault="005F5178">
      <w:pPr>
        <w:spacing w:after="0"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38DBDCF4"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D. W., </w:t>
      </w:r>
      <w:proofErr w:type="spellStart"/>
      <w:r>
        <w:rPr>
          <w:rFonts w:ascii="Times New Roman" w:eastAsia="Times New Roman" w:hAnsi="Times New Roman" w:cs="Times New Roman"/>
          <w:sz w:val="24"/>
          <w:szCs w:val="24"/>
        </w:rPr>
        <w:t>Krajewski</w:t>
      </w:r>
      <w:proofErr w:type="spellEnd"/>
      <w:r>
        <w:rPr>
          <w:rFonts w:ascii="Times New Roman" w:eastAsia="Times New Roman" w:hAnsi="Times New Roman" w:cs="Times New Roman"/>
          <w:sz w:val="24"/>
          <w:szCs w:val="24"/>
        </w:rPr>
        <w:t xml:space="preserve">, H. T., Goffin, R. D., &amp; Jackson, D. N. (2008). A leadership self-efficacy taxonomy and its relation to effective leadership. </w:t>
      </w:r>
      <w:r>
        <w:rPr>
          <w:rFonts w:ascii="Times New Roman" w:eastAsia="Times New Roman" w:hAnsi="Times New Roman" w:cs="Times New Roman"/>
          <w:i/>
          <w:sz w:val="24"/>
          <w:szCs w:val="24"/>
        </w:rPr>
        <w:t>Leadership Quarterly, 19</w:t>
      </w:r>
      <w:r>
        <w:rPr>
          <w:rFonts w:ascii="Times New Roman" w:eastAsia="Times New Roman" w:hAnsi="Times New Roman" w:cs="Times New Roman"/>
          <w:sz w:val="24"/>
          <w:szCs w:val="24"/>
        </w:rPr>
        <w:t xml:space="preserve">, 595-608. </w:t>
      </w:r>
      <w:hyperlink r:id="rId8">
        <w:r>
          <w:rPr>
            <w:rFonts w:ascii="Times New Roman" w:eastAsia="Times New Roman" w:hAnsi="Times New Roman" w:cs="Times New Roman"/>
            <w:color w:val="0000FF"/>
            <w:sz w:val="24"/>
            <w:szCs w:val="24"/>
            <w:u w:val="single"/>
          </w:rPr>
          <w:t>https://doi.org/10.1016/j.leaqua.2008.07.003</w:t>
        </w:r>
      </w:hyperlink>
    </w:p>
    <w:p w14:paraId="65B84851" w14:textId="77777777" w:rsidR="0019072B" w:rsidRDefault="0019072B">
      <w:pPr>
        <w:spacing w:after="0" w:line="240" w:lineRule="auto"/>
        <w:ind w:left="720" w:hanging="720"/>
        <w:rPr>
          <w:rFonts w:ascii="Times New Roman" w:eastAsia="Times New Roman" w:hAnsi="Times New Roman" w:cs="Times New Roman"/>
          <w:sz w:val="24"/>
          <w:szCs w:val="24"/>
        </w:rPr>
      </w:pPr>
    </w:p>
    <w:p w14:paraId="69BB36CC" w14:textId="77777777" w:rsidR="0019072B" w:rsidRDefault="005F5178">
      <w:pPr>
        <w:spacing w:after="0" w:line="240" w:lineRule="auto"/>
        <w:ind w:left="720" w:hanging="72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Andreu, F. S., Sweet, K. M., &amp; Carter, D. H. (2020). Building leadership skills through high-impact experiences. </w:t>
      </w:r>
      <w:r>
        <w:rPr>
          <w:rFonts w:ascii="Times New Roman" w:eastAsia="Times New Roman" w:hAnsi="Times New Roman" w:cs="Times New Roman"/>
          <w:i/>
          <w:sz w:val="24"/>
          <w:szCs w:val="24"/>
        </w:rPr>
        <w:t>Journal of Leadership Education, 19</w:t>
      </w:r>
      <w:r>
        <w:rPr>
          <w:rFonts w:ascii="Times New Roman" w:eastAsia="Times New Roman" w:hAnsi="Times New Roman" w:cs="Times New Roman"/>
          <w:sz w:val="24"/>
          <w:szCs w:val="24"/>
        </w:rPr>
        <w:t>(4).</w:t>
      </w:r>
      <w:r>
        <w:rPr>
          <w:rFonts w:ascii="Times New Roman" w:eastAsia="Times New Roman" w:hAnsi="Times New Roman" w:cs="Times New Roman"/>
          <w:i/>
          <w:sz w:val="24"/>
          <w:szCs w:val="24"/>
        </w:rPr>
        <w:t xml:space="preserve"> </w:t>
      </w:r>
      <w:hyperlink r:id="rId9">
        <w:r>
          <w:rPr>
            <w:rFonts w:ascii="Times New Roman" w:eastAsia="Times New Roman" w:hAnsi="Times New Roman" w:cs="Times New Roman"/>
            <w:color w:val="1155CC"/>
            <w:sz w:val="24"/>
            <w:szCs w:val="24"/>
            <w:u w:val="single"/>
          </w:rPr>
          <w:t>https://doi.org/10.12806/V19/I4/A3</w:t>
        </w:r>
      </w:hyperlink>
    </w:p>
    <w:p w14:paraId="4E32151D" w14:textId="77777777" w:rsidR="0019072B" w:rsidRDefault="0019072B">
      <w:pPr>
        <w:spacing w:after="0" w:line="240" w:lineRule="auto"/>
        <w:rPr>
          <w:rFonts w:ascii="Times New Roman" w:eastAsia="Times New Roman" w:hAnsi="Times New Roman" w:cs="Times New Roman"/>
          <w:sz w:val="24"/>
          <w:szCs w:val="24"/>
        </w:rPr>
      </w:pPr>
    </w:p>
    <w:p w14:paraId="7260CDAD"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Bandura, A. (1989). Human agency in social cognitive theory. </w:t>
      </w:r>
      <w:r>
        <w:rPr>
          <w:rFonts w:ascii="Times New Roman" w:eastAsia="Times New Roman" w:hAnsi="Times New Roman" w:cs="Times New Roman"/>
          <w:i/>
          <w:sz w:val="24"/>
          <w:szCs w:val="24"/>
        </w:rPr>
        <w:t>American Psychologist, 44</w:t>
      </w:r>
      <w:r>
        <w:rPr>
          <w:rFonts w:ascii="Times New Roman" w:eastAsia="Times New Roman" w:hAnsi="Times New Roman" w:cs="Times New Roman"/>
          <w:sz w:val="24"/>
          <w:szCs w:val="24"/>
        </w:rPr>
        <w:t xml:space="preserve">(9), 1175-1184. </w:t>
      </w:r>
      <w:r>
        <w:rPr>
          <w:rFonts w:ascii="Times New Roman" w:eastAsia="Times New Roman" w:hAnsi="Times New Roman" w:cs="Times New Roman"/>
          <w:i/>
          <w:sz w:val="24"/>
          <w:szCs w:val="24"/>
        </w:rPr>
        <w:t xml:space="preserve"> </w:t>
      </w:r>
      <w:hyperlink r:id="rId10">
        <w:r>
          <w:rPr>
            <w:rFonts w:ascii="Times New Roman" w:eastAsia="Times New Roman" w:hAnsi="Times New Roman" w:cs="Times New Roman"/>
            <w:color w:val="1155CC"/>
            <w:sz w:val="24"/>
            <w:szCs w:val="24"/>
            <w:u w:val="single"/>
          </w:rPr>
          <w:t>https://doi.org/10.1037/0003-066X.44.9.1175</w:t>
        </w:r>
      </w:hyperlink>
    </w:p>
    <w:p w14:paraId="77A0F3B5" w14:textId="77777777" w:rsidR="0019072B" w:rsidRDefault="0019072B" w:rsidP="00415C8C">
      <w:pPr>
        <w:spacing w:after="0" w:line="240" w:lineRule="auto"/>
        <w:rPr>
          <w:rFonts w:ascii="Times New Roman" w:eastAsia="Times New Roman" w:hAnsi="Times New Roman" w:cs="Times New Roman"/>
          <w:sz w:val="24"/>
          <w:szCs w:val="24"/>
        </w:rPr>
      </w:pPr>
    </w:p>
    <w:p w14:paraId="74B24CCE"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 K., &amp; </w:t>
      </w:r>
      <w:proofErr w:type="spellStart"/>
      <w:r>
        <w:rPr>
          <w:rFonts w:ascii="Times New Roman" w:eastAsia="Times New Roman" w:hAnsi="Times New Roman" w:cs="Times New Roman"/>
          <w:sz w:val="24"/>
          <w:szCs w:val="24"/>
        </w:rPr>
        <w:t>Drasgow</w:t>
      </w:r>
      <w:proofErr w:type="spellEnd"/>
      <w:r>
        <w:rPr>
          <w:rFonts w:ascii="Times New Roman" w:eastAsia="Times New Roman" w:hAnsi="Times New Roman" w:cs="Times New Roman"/>
          <w:sz w:val="24"/>
          <w:szCs w:val="24"/>
        </w:rPr>
        <w:t xml:space="preserve">, F. (2001). Toward a theory of individual differences and leadership: Understanding the motivation to lead. </w:t>
      </w:r>
      <w:r>
        <w:rPr>
          <w:rFonts w:ascii="Times New Roman" w:eastAsia="Times New Roman" w:hAnsi="Times New Roman" w:cs="Times New Roman"/>
          <w:i/>
          <w:sz w:val="24"/>
          <w:szCs w:val="24"/>
        </w:rPr>
        <w:t>Journal of Applied Psychology, 86</w:t>
      </w:r>
      <w:r>
        <w:rPr>
          <w:rFonts w:ascii="Times New Roman" w:eastAsia="Times New Roman" w:hAnsi="Times New Roman" w:cs="Times New Roman"/>
          <w:sz w:val="24"/>
          <w:szCs w:val="24"/>
        </w:rPr>
        <w:t xml:space="preserve">(3), 481-498. </w:t>
      </w:r>
      <w:hyperlink r:id="rId11">
        <w:r>
          <w:rPr>
            <w:rFonts w:ascii="Times New Roman" w:eastAsia="Times New Roman" w:hAnsi="Times New Roman" w:cs="Times New Roman"/>
            <w:color w:val="1155CC"/>
            <w:sz w:val="24"/>
            <w:szCs w:val="24"/>
            <w:u w:val="single"/>
          </w:rPr>
          <w:t>https://doi.org/10.1037/0021-9010.86.3.481</w:t>
        </w:r>
      </w:hyperlink>
    </w:p>
    <w:p w14:paraId="773963F5" w14:textId="77777777" w:rsidR="0019072B" w:rsidRDefault="0019072B">
      <w:pPr>
        <w:spacing w:after="0" w:line="240" w:lineRule="auto"/>
        <w:ind w:left="720" w:hanging="720"/>
        <w:rPr>
          <w:rFonts w:ascii="Times New Roman" w:eastAsia="Times New Roman" w:hAnsi="Times New Roman" w:cs="Times New Roman"/>
          <w:sz w:val="24"/>
          <w:szCs w:val="24"/>
        </w:rPr>
      </w:pPr>
    </w:p>
    <w:p w14:paraId="6FBCA836"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 K. Y., Ho, M., </w:t>
      </w:r>
      <w:proofErr w:type="spellStart"/>
      <w:r>
        <w:rPr>
          <w:rFonts w:ascii="Times New Roman" w:eastAsia="Times New Roman" w:hAnsi="Times New Roman" w:cs="Times New Roman"/>
          <w:sz w:val="24"/>
          <w:szCs w:val="24"/>
        </w:rPr>
        <w:t>Chernyshenko</w:t>
      </w:r>
      <w:proofErr w:type="spellEnd"/>
      <w:r>
        <w:rPr>
          <w:rFonts w:ascii="Times New Roman" w:eastAsia="Times New Roman" w:hAnsi="Times New Roman" w:cs="Times New Roman"/>
          <w:sz w:val="24"/>
          <w:szCs w:val="24"/>
        </w:rPr>
        <w:t xml:space="preserve">, O. S., Bedford, O., </w:t>
      </w:r>
      <w:proofErr w:type="spellStart"/>
      <w:r>
        <w:rPr>
          <w:rFonts w:ascii="Times New Roman" w:eastAsia="Times New Roman" w:hAnsi="Times New Roman" w:cs="Times New Roman"/>
          <w:sz w:val="24"/>
          <w:szCs w:val="24"/>
        </w:rPr>
        <w:t>Uy</w:t>
      </w:r>
      <w:proofErr w:type="spellEnd"/>
      <w:r>
        <w:rPr>
          <w:rFonts w:ascii="Times New Roman" w:eastAsia="Times New Roman" w:hAnsi="Times New Roman" w:cs="Times New Roman"/>
          <w:sz w:val="24"/>
          <w:szCs w:val="24"/>
        </w:rPr>
        <w:t xml:space="preserve">, M. A, </w:t>
      </w:r>
      <w:proofErr w:type="spellStart"/>
      <w:r>
        <w:rPr>
          <w:rFonts w:ascii="Times New Roman" w:eastAsia="Times New Roman" w:hAnsi="Times New Roman" w:cs="Times New Roman"/>
          <w:sz w:val="24"/>
          <w:szCs w:val="24"/>
        </w:rPr>
        <w:t>Gomulya</w:t>
      </w:r>
      <w:proofErr w:type="spellEnd"/>
      <w:r>
        <w:rPr>
          <w:rFonts w:ascii="Times New Roman" w:eastAsia="Times New Roman" w:hAnsi="Times New Roman" w:cs="Times New Roman"/>
          <w:sz w:val="24"/>
          <w:szCs w:val="24"/>
        </w:rPr>
        <w:t xml:space="preserve">, D., Sam, Y. L., &amp; Phan, W. M. J. (2012). Entrepreneurship, professionalism, leadership: A framework and measure for understanding boundaryless careers. </w:t>
      </w:r>
      <w:r>
        <w:rPr>
          <w:rFonts w:ascii="Times New Roman" w:eastAsia="Times New Roman" w:hAnsi="Times New Roman" w:cs="Times New Roman"/>
          <w:i/>
          <w:sz w:val="24"/>
          <w:szCs w:val="24"/>
        </w:rPr>
        <w:t>Journal of Vocational Behavior, 81</w:t>
      </w:r>
      <w:r>
        <w:rPr>
          <w:rFonts w:ascii="Times New Roman" w:eastAsia="Times New Roman" w:hAnsi="Times New Roman" w:cs="Times New Roman"/>
          <w:sz w:val="24"/>
          <w:szCs w:val="24"/>
        </w:rPr>
        <w:t xml:space="preserve">(2012), 73-88. </w:t>
      </w:r>
      <w:hyperlink r:id="rId12">
        <w:r>
          <w:rPr>
            <w:rFonts w:ascii="Times New Roman" w:eastAsia="Times New Roman" w:hAnsi="Times New Roman" w:cs="Times New Roman"/>
            <w:color w:val="1155CC"/>
            <w:sz w:val="24"/>
            <w:szCs w:val="24"/>
            <w:u w:val="single"/>
          </w:rPr>
          <w:t>https://doi.org/10.1016/j.jvb.2012.05.00</w:t>
        </w:r>
      </w:hyperlink>
    </w:p>
    <w:p w14:paraId="338E0359" w14:textId="77777777" w:rsidR="0019072B" w:rsidRDefault="0019072B">
      <w:pPr>
        <w:spacing w:after="0" w:line="240" w:lineRule="auto"/>
        <w:ind w:left="720" w:hanging="720"/>
        <w:rPr>
          <w:rFonts w:ascii="Times New Roman" w:eastAsia="Times New Roman" w:hAnsi="Times New Roman" w:cs="Times New Roman"/>
          <w:sz w:val="24"/>
          <w:szCs w:val="24"/>
        </w:rPr>
      </w:pPr>
    </w:p>
    <w:p w14:paraId="6A233E2D" w14:textId="77777777" w:rsidR="0019072B" w:rsidRDefault="005F5178">
      <w:pPr>
        <w:widowControl w:val="0"/>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 Y., Harris, S., Steele, M., </w:t>
      </w:r>
      <w:proofErr w:type="spellStart"/>
      <w:r>
        <w:rPr>
          <w:rFonts w:ascii="Times New Roman" w:eastAsia="Times New Roman" w:hAnsi="Times New Roman" w:cs="Times New Roman"/>
          <w:sz w:val="24"/>
          <w:szCs w:val="24"/>
        </w:rPr>
        <w:t>Murn</w:t>
      </w:r>
      <w:proofErr w:type="spellEnd"/>
      <w:r>
        <w:rPr>
          <w:rFonts w:ascii="Times New Roman" w:eastAsia="Times New Roman" w:hAnsi="Times New Roman" w:cs="Times New Roman"/>
          <w:sz w:val="24"/>
          <w:szCs w:val="24"/>
        </w:rPr>
        <w:t xml:space="preserve">, L. T. (2015). College student motivation to lead in relation to basic psychological need satisfaction and leadership self-efficacy. </w:t>
      </w:r>
      <w:r>
        <w:rPr>
          <w:rFonts w:ascii="Times New Roman" w:eastAsia="Times New Roman" w:hAnsi="Times New Roman" w:cs="Times New Roman"/>
          <w:i/>
          <w:sz w:val="24"/>
          <w:szCs w:val="24"/>
        </w:rPr>
        <w:t>Journal of College Student Development, 56</w:t>
      </w:r>
      <w:r>
        <w:rPr>
          <w:rFonts w:ascii="Times New Roman" w:eastAsia="Times New Roman" w:hAnsi="Times New Roman" w:cs="Times New Roman"/>
          <w:sz w:val="24"/>
          <w:szCs w:val="24"/>
        </w:rPr>
        <w:t xml:space="preserve">(1), 32-44. </w:t>
      </w:r>
      <w:hyperlink r:id="rId13">
        <w:r>
          <w:rPr>
            <w:rFonts w:ascii="Times New Roman" w:eastAsia="Times New Roman" w:hAnsi="Times New Roman" w:cs="Times New Roman"/>
            <w:color w:val="0000FF"/>
            <w:sz w:val="24"/>
            <w:szCs w:val="24"/>
            <w:u w:val="single"/>
          </w:rPr>
          <w:t>https://doi.org/10.1353/csd.2015.0005</w:t>
        </w:r>
      </w:hyperlink>
      <w:r>
        <w:rPr>
          <w:rFonts w:ascii="Times New Roman" w:eastAsia="Times New Roman" w:hAnsi="Times New Roman" w:cs="Times New Roman"/>
          <w:sz w:val="24"/>
          <w:szCs w:val="24"/>
        </w:rPr>
        <w:t xml:space="preserve"> </w:t>
      </w:r>
    </w:p>
    <w:p w14:paraId="6515442C" w14:textId="77777777" w:rsidR="0019072B" w:rsidRDefault="0019072B">
      <w:pPr>
        <w:widowControl w:val="0"/>
        <w:spacing w:after="0" w:line="240" w:lineRule="auto"/>
        <w:rPr>
          <w:rFonts w:ascii="Times New Roman" w:eastAsia="Times New Roman" w:hAnsi="Times New Roman" w:cs="Times New Roman"/>
          <w:sz w:val="24"/>
          <w:szCs w:val="24"/>
        </w:rPr>
      </w:pPr>
    </w:p>
    <w:p w14:paraId="7BE5478A" w14:textId="77777777" w:rsidR="0019072B" w:rsidRDefault="005F5178">
      <w:pPr>
        <w:widowControl w:val="0"/>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Cress, C. M., </w:t>
      </w:r>
      <w:proofErr w:type="spellStart"/>
      <w:r>
        <w:rPr>
          <w:rFonts w:ascii="Times New Roman" w:eastAsia="Times New Roman" w:hAnsi="Times New Roman" w:cs="Times New Roman"/>
          <w:sz w:val="24"/>
          <w:szCs w:val="24"/>
        </w:rPr>
        <w:t>Astin</w:t>
      </w:r>
      <w:proofErr w:type="spellEnd"/>
      <w:r>
        <w:rPr>
          <w:rFonts w:ascii="Times New Roman" w:eastAsia="Times New Roman" w:hAnsi="Times New Roman" w:cs="Times New Roman"/>
          <w:sz w:val="24"/>
          <w:szCs w:val="24"/>
        </w:rPr>
        <w:t xml:space="preserve">, H. S., </w:t>
      </w:r>
      <w:proofErr w:type="spellStart"/>
      <w:r>
        <w:rPr>
          <w:rFonts w:ascii="Times New Roman" w:eastAsia="Times New Roman" w:hAnsi="Times New Roman" w:cs="Times New Roman"/>
          <w:sz w:val="24"/>
          <w:szCs w:val="24"/>
        </w:rPr>
        <w:t>Zimmerma</w:t>
      </w:r>
      <w:proofErr w:type="spellEnd"/>
      <w:r>
        <w:rPr>
          <w:rFonts w:ascii="Times New Roman" w:eastAsia="Times New Roman" w:hAnsi="Times New Roman" w:cs="Times New Roman"/>
          <w:sz w:val="24"/>
          <w:szCs w:val="24"/>
        </w:rPr>
        <w:t xml:space="preserve">-Oster, K., &amp; Burkhardt, J. C. (2001). Developmental outcomes of college students' involvement in leadership activities. </w:t>
      </w:r>
      <w:r>
        <w:rPr>
          <w:rFonts w:ascii="Times New Roman" w:eastAsia="Times New Roman" w:hAnsi="Times New Roman" w:cs="Times New Roman"/>
          <w:i/>
          <w:sz w:val="24"/>
          <w:szCs w:val="24"/>
        </w:rPr>
        <w:t>Journal of College Student Development, 42</w:t>
      </w:r>
      <w:r>
        <w:rPr>
          <w:rFonts w:ascii="Times New Roman" w:eastAsia="Times New Roman" w:hAnsi="Times New Roman" w:cs="Times New Roman"/>
          <w:sz w:val="24"/>
          <w:szCs w:val="24"/>
        </w:rPr>
        <w:t>(1), 15-27.</w:t>
      </w:r>
    </w:p>
    <w:p w14:paraId="25F66721" w14:textId="77777777" w:rsidR="0019072B" w:rsidRDefault="0019072B">
      <w:pPr>
        <w:widowControl w:val="0"/>
        <w:spacing w:after="0" w:line="240" w:lineRule="auto"/>
        <w:ind w:left="720" w:hanging="720"/>
        <w:rPr>
          <w:rFonts w:ascii="Times New Roman" w:eastAsia="Times New Roman" w:hAnsi="Times New Roman" w:cs="Times New Roman"/>
          <w:sz w:val="24"/>
          <w:szCs w:val="24"/>
        </w:rPr>
      </w:pPr>
    </w:p>
    <w:p w14:paraId="78DF2956" w14:textId="77777777" w:rsidR="0019072B" w:rsidRDefault="005F5178">
      <w:pPr>
        <w:pBdr>
          <w:top w:val="nil"/>
          <w:left w:val="nil"/>
          <w:bottom w:val="nil"/>
          <w:right w:val="nil"/>
          <w:between w:val="nil"/>
        </w:pBdr>
        <w:spacing w:after="0" w:line="24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Dunn, A. L., Ho, S. F., Odom, S. F., &amp; Perdue, E. R. (2016). Influence of formal academic leadership programs on undergraduates’ leadership mindset: An assessment of a Corps of Cadets program. </w:t>
      </w:r>
      <w:r>
        <w:rPr>
          <w:rFonts w:ascii="Times New Roman" w:eastAsia="Times New Roman" w:hAnsi="Times New Roman" w:cs="Times New Roman"/>
          <w:i/>
          <w:color w:val="000000"/>
          <w:sz w:val="24"/>
          <w:szCs w:val="24"/>
          <w:highlight w:val="white"/>
        </w:rPr>
        <w:t>Journal of Leadership Education, 15</w:t>
      </w:r>
      <w:r>
        <w:rPr>
          <w:rFonts w:ascii="Times New Roman" w:eastAsia="Times New Roman" w:hAnsi="Times New Roman" w:cs="Times New Roman"/>
          <w:color w:val="000000"/>
          <w:sz w:val="24"/>
          <w:szCs w:val="24"/>
          <w:highlight w:val="white"/>
        </w:rPr>
        <w:t xml:space="preserve">(4). </w:t>
      </w:r>
      <w:hyperlink r:id="rId14">
        <w:r>
          <w:rPr>
            <w:rFonts w:ascii="Times New Roman" w:eastAsia="Times New Roman" w:hAnsi="Times New Roman" w:cs="Times New Roman"/>
            <w:color w:val="000000"/>
            <w:sz w:val="24"/>
            <w:szCs w:val="24"/>
            <w:highlight w:val="white"/>
            <w:u w:val="single"/>
          </w:rPr>
          <w:t>https://doi.org/10.12806/V15/I4/R5</w:t>
        </w:r>
      </w:hyperlink>
    </w:p>
    <w:p w14:paraId="2441CBF8" w14:textId="77777777" w:rsidR="0019072B" w:rsidRDefault="0019072B">
      <w:pPr>
        <w:widowControl w:val="0"/>
        <w:spacing w:after="0" w:line="240" w:lineRule="auto"/>
        <w:ind w:left="720" w:hanging="720"/>
        <w:rPr>
          <w:rFonts w:ascii="Times New Roman" w:eastAsia="Times New Roman" w:hAnsi="Times New Roman" w:cs="Times New Roman"/>
          <w:sz w:val="24"/>
          <w:szCs w:val="24"/>
        </w:rPr>
      </w:pPr>
    </w:p>
    <w:p w14:paraId="0B3AA929" w14:textId="77777777" w:rsidR="0019072B" w:rsidRDefault="005F5178">
      <w:pPr>
        <w:widowControl w:val="0"/>
        <w:spacing w:after="0"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 xml:space="preserve">Dunn, A. L., &amp; Odom, S. F. (2019). The motivation and intent toward leadership and entrepreneurship of undergraduate students enrolled in academic leadership programs. </w:t>
      </w:r>
      <w:r>
        <w:rPr>
          <w:rFonts w:ascii="Times New Roman" w:eastAsia="Times New Roman" w:hAnsi="Times New Roman" w:cs="Times New Roman"/>
          <w:i/>
          <w:color w:val="000000"/>
          <w:sz w:val="24"/>
          <w:szCs w:val="24"/>
          <w:highlight w:val="white"/>
        </w:rPr>
        <w:t>Journal of Leadership Education, 18</w:t>
      </w:r>
      <w:r>
        <w:rPr>
          <w:rFonts w:ascii="Times New Roman" w:eastAsia="Times New Roman" w:hAnsi="Times New Roman" w:cs="Times New Roman"/>
          <w:color w:val="000000"/>
          <w:sz w:val="24"/>
          <w:szCs w:val="24"/>
          <w:highlight w:val="white"/>
        </w:rPr>
        <w:t>(4)</w:t>
      </w:r>
      <w:r>
        <w:rPr>
          <w:rFonts w:ascii="Times New Roman" w:eastAsia="Times New Roman" w:hAnsi="Times New Roman" w:cs="Times New Roman"/>
          <w:i/>
          <w:color w:val="000000"/>
          <w:sz w:val="24"/>
          <w:szCs w:val="24"/>
          <w:highlight w:val="white"/>
        </w:rPr>
        <w:t xml:space="preserve">. </w:t>
      </w:r>
      <w:hyperlink r:id="rId15">
        <w:r>
          <w:rPr>
            <w:rFonts w:ascii="Times New Roman" w:eastAsia="Times New Roman" w:hAnsi="Times New Roman" w:cs="Times New Roman"/>
            <w:color w:val="0000FF"/>
            <w:sz w:val="24"/>
            <w:szCs w:val="24"/>
            <w:highlight w:val="white"/>
            <w:u w:val="single"/>
          </w:rPr>
          <w:t>https://doi.org/10.12806/V18/I4/R10</w:t>
        </w:r>
      </w:hyperlink>
    </w:p>
    <w:p w14:paraId="647848FB" w14:textId="77777777" w:rsidR="0019072B" w:rsidRDefault="0019072B">
      <w:pPr>
        <w:widowControl w:val="0"/>
        <w:spacing w:after="0" w:line="240" w:lineRule="auto"/>
        <w:ind w:left="720" w:hanging="720"/>
        <w:rPr>
          <w:rFonts w:ascii="Times New Roman" w:eastAsia="Times New Roman" w:hAnsi="Times New Roman" w:cs="Times New Roman"/>
          <w:color w:val="000000"/>
          <w:sz w:val="24"/>
          <w:szCs w:val="24"/>
          <w:highlight w:val="white"/>
        </w:rPr>
      </w:pPr>
    </w:p>
    <w:p w14:paraId="7594C323"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Egan, J., Tolman, S., </w:t>
      </w:r>
      <w:proofErr w:type="spellStart"/>
      <w:r>
        <w:rPr>
          <w:rFonts w:ascii="Times New Roman" w:eastAsia="Times New Roman" w:hAnsi="Times New Roman" w:cs="Times New Roman"/>
          <w:sz w:val="24"/>
          <w:szCs w:val="24"/>
        </w:rPr>
        <w:t>Mcbrayer</w:t>
      </w:r>
      <w:proofErr w:type="spellEnd"/>
      <w:r>
        <w:rPr>
          <w:rFonts w:ascii="Times New Roman" w:eastAsia="Times New Roman" w:hAnsi="Times New Roman" w:cs="Times New Roman"/>
          <w:sz w:val="24"/>
          <w:szCs w:val="24"/>
        </w:rPr>
        <w:t xml:space="preserve">, J. S., &amp; Wells, P. (2020). Exploring Alumni Valuation of an undergraduate leadership program.  </w:t>
      </w:r>
      <w:r>
        <w:rPr>
          <w:rFonts w:ascii="Times New Roman" w:eastAsia="Times New Roman" w:hAnsi="Times New Roman" w:cs="Times New Roman"/>
          <w:i/>
          <w:sz w:val="24"/>
          <w:szCs w:val="24"/>
        </w:rPr>
        <w:t>Journal of Leadership Education, 19</w:t>
      </w:r>
      <w:r>
        <w:rPr>
          <w:rFonts w:ascii="Times New Roman" w:eastAsia="Times New Roman" w:hAnsi="Times New Roman" w:cs="Times New Roman"/>
          <w:sz w:val="24"/>
          <w:szCs w:val="24"/>
        </w:rPr>
        <w:t xml:space="preserve">(4). </w:t>
      </w:r>
      <w:hyperlink r:id="rId16">
        <w:r>
          <w:rPr>
            <w:rFonts w:ascii="Times New Roman" w:eastAsia="Times New Roman" w:hAnsi="Times New Roman" w:cs="Times New Roman"/>
            <w:color w:val="1155CC"/>
            <w:sz w:val="24"/>
            <w:szCs w:val="24"/>
            <w:u w:val="single"/>
          </w:rPr>
          <w:t>https://doi.org/10.12806/V19/I4/R6</w:t>
        </w:r>
      </w:hyperlink>
    </w:p>
    <w:p w14:paraId="670EFC84" w14:textId="77777777" w:rsidR="0019072B" w:rsidRDefault="0019072B">
      <w:pPr>
        <w:spacing w:after="0" w:line="240" w:lineRule="auto"/>
        <w:rPr>
          <w:rFonts w:ascii="Times New Roman" w:eastAsia="Times New Roman" w:hAnsi="Times New Roman" w:cs="Times New Roman"/>
          <w:sz w:val="24"/>
          <w:szCs w:val="24"/>
        </w:rPr>
      </w:pPr>
    </w:p>
    <w:p w14:paraId="44FA35E2"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Hannah, S. T., Avolio, B. J., Luthans, F., &amp; Harms, P. D. (2008). Leadership efficacy: Review and future directions. </w:t>
      </w:r>
      <w:r>
        <w:rPr>
          <w:rFonts w:ascii="Times New Roman" w:eastAsia="Times New Roman" w:hAnsi="Times New Roman" w:cs="Times New Roman"/>
          <w:i/>
          <w:color w:val="000000"/>
          <w:sz w:val="24"/>
          <w:szCs w:val="24"/>
        </w:rPr>
        <w:t>The Leadership Quarterly</w:t>
      </w:r>
      <w:r>
        <w:rPr>
          <w:rFonts w:ascii="Times New Roman" w:eastAsia="Times New Roman" w:hAnsi="Times New Roman" w:cs="Times New Roman"/>
          <w:color w:val="000000"/>
          <w:sz w:val="24"/>
          <w:szCs w:val="24"/>
        </w:rPr>
        <w:t>, </w:t>
      </w:r>
      <w:r>
        <w:rPr>
          <w:rFonts w:ascii="Times New Roman" w:eastAsia="Times New Roman" w:hAnsi="Times New Roman" w:cs="Times New Roman"/>
          <w:i/>
          <w:color w:val="000000"/>
          <w:sz w:val="24"/>
          <w:szCs w:val="24"/>
        </w:rPr>
        <w:t>19</w:t>
      </w:r>
      <w:r>
        <w:rPr>
          <w:rFonts w:ascii="Times New Roman" w:eastAsia="Times New Roman" w:hAnsi="Times New Roman" w:cs="Times New Roman"/>
          <w:color w:val="000000"/>
          <w:sz w:val="24"/>
          <w:szCs w:val="24"/>
        </w:rPr>
        <w:t xml:space="preserve">(6), 669-692. </w:t>
      </w:r>
      <w:hyperlink r:id="rId17">
        <w:r>
          <w:rPr>
            <w:rFonts w:ascii="Times New Roman" w:eastAsia="Times New Roman" w:hAnsi="Times New Roman" w:cs="Times New Roman"/>
            <w:color w:val="0000FF"/>
            <w:sz w:val="24"/>
            <w:szCs w:val="24"/>
            <w:u w:val="single"/>
          </w:rPr>
          <w:t>https://doi.org/10.1016/j.leaqua.2008.09.007</w:t>
        </w:r>
      </w:hyperlink>
      <w:r>
        <w:rPr>
          <w:rFonts w:ascii="Times New Roman" w:eastAsia="Times New Roman" w:hAnsi="Times New Roman" w:cs="Times New Roman"/>
          <w:color w:val="000000"/>
          <w:sz w:val="24"/>
          <w:szCs w:val="24"/>
        </w:rPr>
        <w:t xml:space="preserve"> </w:t>
      </w:r>
    </w:p>
    <w:p w14:paraId="4DF20873" w14:textId="77777777" w:rsidR="0019072B" w:rsidRDefault="0019072B">
      <w:pPr>
        <w:spacing w:after="0" w:line="240" w:lineRule="auto"/>
        <w:ind w:left="720" w:hanging="720"/>
        <w:rPr>
          <w:rFonts w:ascii="Times New Roman" w:eastAsia="Times New Roman" w:hAnsi="Times New Roman" w:cs="Times New Roman"/>
          <w:sz w:val="24"/>
          <w:szCs w:val="24"/>
        </w:rPr>
      </w:pPr>
    </w:p>
    <w:p w14:paraId="593B0C73"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Keating, K. Rosch, D. &amp; Burgoon, L. (2014). Developmental readiness for leadership: The differential aspects of leadership courses on creating "ready, willing, and able" leaders. </w:t>
      </w:r>
      <w:r>
        <w:rPr>
          <w:rFonts w:ascii="Times New Roman" w:eastAsia="Times New Roman" w:hAnsi="Times New Roman" w:cs="Times New Roman"/>
          <w:i/>
          <w:sz w:val="24"/>
          <w:szCs w:val="24"/>
        </w:rPr>
        <w:t>Journal of Leadership Education, 13</w:t>
      </w:r>
      <w:r>
        <w:rPr>
          <w:rFonts w:ascii="Times New Roman" w:eastAsia="Times New Roman" w:hAnsi="Times New Roman" w:cs="Times New Roman"/>
          <w:sz w:val="24"/>
          <w:szCs w:val="24"/>
        </w:rPr>
        <w:t xml:space="preserve">(3), 1-16. </w:t>
      </w:r>
      <w:hyperlink r:id="rId18">
        <w:r>
          <w:rPr>
            <w:rFonts w:ascii="Times New Roman" w:eastAsia="Times New Roman" w:hAnsi="Times New Roman" w:cs="Times New Roman"/>
            <w:color w:val="0000FF"/>
            <w:sz w:val="24"/>
            <w:szCs w:val="24"/>
            <w:u w:val="single"/>
          </w:rPr>
          <w:t>https://doi.org/1012806/V13/I3/R1</w:t>
        </w:r>
      </w:hyperlink>
      <w:r>
        <w:rPr>
          <w:rFonts w:ascii="Times New Roman" w:eastAsia="Times New Roman" w:hAnsi="Times New Roman" w:cs="Times New Roman"/>
          <w:sz w:val="24"/>
          <w:szCs w:val="24"/>
        </w:rPr>
        <w:t xml:space="preserve"> </w:t>
      </w:r>
    </w:p>
    <w:p w14:paraId="49598E77" w14:textId="77777777" w:rsidR="0019072B" w:rsidRDefault="0019072B">
      <w:pPr>
        <w:spacing w:after="0" w:line="240" w:lineRule="auto"/>
        <w:ind w:left="720" w:hanging="720"/>
        <w:rPr>
          <w:rFonts w:ascii="Times New Roman" w:eastAsia="Times New Roman" w:hAnsi="Times New Roman" w:cs="Times New Roman"/>
          <w:sz w:val="24"/>
          <w:szCs w:val="24"/>
        </w:rPr>
      </w:pPr>
    </w:p>
    <w:p w14:paraId="0BBB3A49" w14:textId="77777777" w:rsidR="0019072B" w:rsidRDefault="005F5178">
      <w:pPr>
        <w:spacing w:after="0" w:line="276"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Kolb, D. A. (2015). </w:t>
      </w:r>
      <w:r>
        <w:rPr>
          <w:rFonts w:ascii="Times New Roman" w:eastAsia="Times New Roman" w:hAnsi="Times New Roman" w:cs="Times New Roman"/>
          <w:i/>
          <w:color w:val="222222"/>
          <w:sz w:val="24"/>
          <w:szCs w:val="24"/>
        </w:rPr>
        <w:t xml:space="preserve">Experiential learning: Experience as the source of learning and development </w:t>
      </w:r>
      <w:r>
        <w:rPr>
          <w:rFonts w:ascii="Times New Roman" w:eastAsia="Times New Roman" w:hAnsi="Times New Roman" w:cs="Times New Roman"/>
          <w:color w:val="222222"/>
          <w:sz w:val="24"/>
          <w:szCs w:val="24"/>
        </w:rPr>
        <w:t>(2nd ed.). Pearson Education.</w:t>
      </w:r>
    </w:p>
    <w:p w14:paraId="28B7A7D6" w14:textId="77777777" w:rsidR="0019072B" w:rsidRDefault="005F5178">
      <w:pPr>
        <w:spacing w:after="0" w:line="276" w:lineRule="auto"/>
        <w:ind w:left="720" w:hanging="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 </w:t>
      </w:r>
    </w:p>
    <w:p w14:paraId="28AE81C1"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McCormick, M. J. (2001). Self-efficacy and leadership effectiveness: Applying social cognitive theory to leadership. </w:t>
      </w:r>
      <w:r>
        <w:rPr>
          <w:rFonts w:ascii="Times New Roman" w:eastAsia="Times New Roman" w:hAnsi="Times New Roman" w:cs="Times New Roman"/>
          <w:i/>
          <w:sz w:val="24"/>
          <w:szCs w:val="24"/>
        </w:rPr>
        <w:t>Journal of Leadership Studies, 8</w:t>
      </w:r>
      <w:r>
        <w:rPr>
          <w:rFonts w:ascii="Times New Roman" w:eastAsia="Times New Roman" w:hAnsi="Times New Roman" w:cs="Times New Roman"/>
          <w:sz w:val="24"/>
          <w:szCs w:val="24"/>
        </w:rPr>
        <w:t>(1), 22-33.</w:t>
      </w:r>
    </w:p>
    <w:p w14:paraId="49B487C1" w14:textId="77777777" w:rsidR="0019072B" w:rsidRDefault="0019072B">
      <w:pPr>
        <w:spacing w:after="0" w:line="240" w:lineRule="auto"/>
        <w:rPr>
          <w:rFonts w:ascii="Times New Roman" w:eastAsia="Times New Roman" w:hAnsi="Times New Roman" w:cs="Times New Roman"/>
          <w:sz w:val="24"/>
          <w:szCs w:val="24"/>
        </w:rPr>
      </w:pPr>
    </w:p>
    <w:p w14:paraId="2DC8CB42"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Murphy, S. E., Reichard, R. J. (2011). </w:t>
      </w:r>
      <w:r>
        <w:rPr>
          <w:rFonts w:ascii="Times New Roman" w:eastAsia="Times New Roman" w:hAnsi="Times New Roman" w:cs="Times New Roman"/>
          <w:i/>
          <w:sz w:val="24"/>
          <w:szCs w:val="24"/>
        </w:rPr>
        <w:t>Early development and leadership: Building the next generation of leaders.</w:t>
      </w:r>
      <w:r>
        <w:rPr>
          <w:rFonts w:ascii="Times New Roman" w:eastAsia="Times New Roman" w:hAnsi="Times New Roman" w:cs="Times New Roman"/>
          <w:sz w:val="24"/>
          <w:szCs w:val="24"/>
        </w:rPr>
        <w:t xml:space="preserve"> Routledge. </w:t>
      </w:r>
    </w:p>
    <w:p w14:paraId="0B2A7C25" w14:textId="77777777" w:rsidR="0019072B" w:rsidRDefault="0019072B">
      <w:pPr>
        <w:spacing w:after="0" w:line="240" w:lineRule="auto"/>
        <w:ind w:left="720" w:hanging="720"/>
        <w:rPr>
          <w:rFonts w:ascii="Times New Roman" w:eastAsia="Times New Roman" w:hAnsi="Times New Roman" w:cs="Times New Roman"/>
          <w:sz w:val="24"/>
          <w:szCs w:val="24"/>
        </w:rPr>
      </w:pPr>
    </w:p>
    <w:p w14:paraId="77E950C2"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Reichard, R. J., &amp; Walker, D. O. (2016). In pursuit: Mastering leadership through leader developmental readiness. </w:t>
      </w:r>
      <w:r>
        <w:rPr>
          <w:rFonts w:ascii="Times New Roman" w:eastAsia="Times New Roman" w:hAnsi="Times New Roman" w:cs="Times New Roman"/>
          <w:i/>
          <w:sz w:val="24"/>
          <w:szCs w:val="24"/>
        </w:rPr>
        <w:t>New Directions for Student Leadership, 149.</w:t>
      </w:r>
      <w:r>
        <w:rPr>
          <w:rFonts w:ascii="Times New Roman" w:eastAsia="Times New Roman" w:hAnsi="Times New Roman" w:cs="Times New Roman"/>
          <w:sz w:val="24"/>
          <w:szCs w:val="24"/>
        </w:rPr>
        <w:t xml:space="preserve"> </w:t>
      </w:r>
      <w:hyperlink r:id="rId19">
        <w:r>
          <w:rPr>
            <w:rFonts w:ascii="Times New Roman" w:eastAsia="Times New Roman" w:hAnsi="Times New Roman" w:cs="Times New Roman"/>
            <w:color w:val="1155CC"/>
            <w:sz w:val="24"/>
            <w:szCs w:val="24"/>
            <w:u w:val="single"/>
          </w:rPr>
          <w:t>https://doi.org/10.1002/yd.20158</w:t>
        </w:r>
      </w:hyperlink>
    </w:p>
    <w:p w14:paraId="4CCC20F4" w14:textId="77777777" w:rsidR="0019072B" w:rsidRDefault="0019072B">
      <w:pPr>
        <w:spacing w:after="0" w:line="240" w:lineRule="auto"/>
        <w:ind w:left="720" w:hanging="720"/>
        <w:rPr>
          <w:rFonts w:ascii="Times New Roman" w:eastAsia="Times New Roman" w:hAnsi="Times New Roman" w:cs="Times New Roman"/>
          <w:sz w:val="24"/>
          <w:szCs w:val="24"/>
        </w:rPr>
      </w:pPr>
    </w:p>
    <w:p w14:paraId="4E1921DB"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Rosch, D. M., Collier, D., &amp; Thompson, S. E. (2015). An exploration of students' motivation to lead: An analysis by race, gender, and student leadership behaviors. </w:t>
      </w:r>
      <w:r>
        <w:rPr>
          <w:rFonts w:ascii="Times New Roman" w:eastAsia="Times New Roman" w:hAnsi="Times New Roman" w:cs="Times New Roman"/>
          <w:i/>
          <w:sz w:val="24"/>
          <w:szCs w:val="24"/>
        </w:rPr>
        <w:t>Journal of College Student Development, 56</w:t>
      </w:r>
      <w:r>
        <w:rPr>
          <w:rFonts w:ascii="Times New Roman" w:eastAsia="Times New Roman" w:hAnsi="Times New Roman" w:cs="Times New Roman"/>
          <w:sz w:val="24"/>
          <w:szCs w:val="24"/>
        </w:rPr>
        <w:t xml:space="preserve">(3), 286-291. </w:t>
      </w:r>
      <w:hyperlink r:id="rId20">
        <w:r>
          <w:rPr>
            <w:rFonts w:ascii="Times New Roman" w:eastAsia="Times New Roman" w:hAnsi="Times New Roman" w:cs="Times New Roman"/>
            <w:color w:val="0000FF"/>
            <w:sz w:val="24"/>
            <w:szCs w:val="24"/>
            <w:u w:val="single"/>
          </w:rPr>
          <w:t>https://doi.org/10.1353/csd.2015.0031</w:t>
        </w:r>
      </w:hyperlink>
      <w:r>
        <w:rPr>
          <w:rFonts w:ascii="Times New Roman" w:eastAsia="Times New Roman" w:hAnsi="Times New Roman" w:cs="Times New Roman"/>
          <w:sz w:val="24"/>
          <w:szCs w:val="24"/>
        </w:rPr>
        <w:t xml:space="preserve"> </w:t>
      </w:r>
    </w:p>
    <w:p w14:paraId="3534BA02" w14:textId="77777777" w:rsidR="0019072B" w:rsidRDefault="0019072B">
      <w:pPr>
        <w:spacing w:after="0" w:line="240" w:lineRule="auto"/>
        <w:ind w:left="720" w:hanging="720"/>
        <w:rPr>
          <w:rFonts w:ascii="Times New Roman" w:eastAsia="Times New Roman" w:hAnsi="Times New Roman" w:cs="Times New Roman"/>
          <w:sz w:val="24"/>
          <w:szCs w:val="24"/>
        </w:rPr>
      </w:pPr>
    </w:p>
    <w:p w14:paraId="42D0A456"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Rosch, D. M., &amp; Headrick, J. (2020). Competition as leadership pedagogy: An initial analysis of the collegiate leadership competition. </w:t>
      </w:r>
      <w:r>
        <w:rPr>
          <w:rFonts w:ascii="Times New Roman" w:eastAsia="Times New Roman" w:hAnsi="Times New Roman" w:cs="Times New Roman"/>
          <w:i/>
          <w:sz w:val="24"/>
          <w:szCs w:val="24"/>
        </w:rPr>
        <w:t>Journal of Leadership Education, 19</w:t>
      </w:r>
      <w:r>
        <w:rPr>
          <w:rFonts w:ascii="Times New Roman" w:eastAsia="Times New Roman" w:hAnsi="Times New Roman" w:cs="Times New Roman"/>
          <w:sz w:val="24"/>
          <w:szCs w:val="24"/>
        </w:rPr>
        <w:t xml:space="preserve">(2). </w:t>
      </w:r>
      <w:hyperlink r:id="rId21">
        <w:r>
          <w:rPr>
            <w:rFonts w:ascii="Times New Roman" w:eastAsia="Times New Roman" w:hAnsi="Times New Roman" w:cs="Times New Roman"/>
            <w:color w:val="0000FF"/>
            <w:sz w:val="24"/>
            <w:szCs w:val="24"/>
            <w:u w:val="single"/>
          </w:rPr>
          <w:t>https://doi.org/10.12806/V19/I2/R1</w:t>
        </w:r>
      </w:hyperlink>
      <w:r>
        <w:rPr>
          <w:rFonts w:ascii="Times New Roman" w:eastAsia="Times New Roman" w:hAnsi="Times New Roman" w:cs="Times New Roman"/>
          <w:sz w:val="24"/>
          <w:szCs w:val="24"/>
        </w:rPr>
        <w:t xml:space="preserve"> </w:t>
      </w:r>
    </w:p>
    <w:p w14:paraId="593D4744" w14:textId="77777777" w:rsidR="0019072B" w:rsidRDefault="0019072B">
      <w:pPr>
        <w:spacing w:after="0" w:line="240" w:lineRule="auto"/>
        <w:ind w:left="720" w:hanging="720"/>
        <w:rPr>
          <w:rFonts w:ascii="Times New Roman" w:eastAsia="Times New Roman" w:hAnsi="Times New Roman" w:cs="Times New Roman"/>
          <w:sz w:val="24"/>
          <w:szCs w:val="24"/>
        </w:rPr>
      </w:pPr>
    </w:p>
    <w:p w14:paraId="1EE3D53F"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Rosch, D. M., &amp; Nelson, N. E. (2018). The differential effects of high school and collegiate student organization involvement on adolescent leader development. </w:t>
      </w:r>
      <w:r>
        <w:rPr>
          <w:rFonts w:ascii="Times New Roman" w:eastAsia="Times New Roman" w:hAnsi="Times New Roman" w:cs="Times New Roman"/>
          <w:i/>
          <w:sz w:val="24"/>
          <w:szCs w:val="24"/>
        </w:rPr>
        <w:t>Journal of Leadership Education, 17</w:t>
      </w:r>
      <w:r>
        <w:rPr>
          <w:rFonts w:ascii="Times New Roman" w:eastAsia="Times New Roman" w:hAnsi="Times New Roman" w:cs="Times New Roman"/>
          <w:sz w:val="24"/>
          <w:szCs w:val="24"/>
        </w:rPr>
        <w:t>(4)</w:t>
      </w:r>
      <w:r>
        <w:rPr>
          <w:rFonts w:ascii="Times New Roman" w:eastAsia="Times New Roman" w:hAnsi="Times New Roman" w:cs="Times New Roman"/>
          <w:i/>
          <w:sz w:val="24"/>
          <w:szCs w:val="24"/>
        </w:rPr>
        <w:t xml:space="preserve">. </w:t>
      </w:r>
      <w:hyperlink r:id="rId22">
        <w:r>
          <w:rPr>
            <w:rFonts w:ascii="Times New Roman" w:eastAsia="Times New Roman" w:hAnsi="Times New Roman" w:cs="Times New Roman"/>
            <w:color w:val="1155CC"/>
            <w:sz w:val="24"/>
            <w:szCs w:val="24"/>
            <w:u w:val="single"/>
          </w:rPr>
          <w:t>https://doi.org/10.12806/V17/I4/R1</w:t>
        </w:r>
      </w:hyperlink>
    </w:p>
    <w:p w14:paraId="257887B0" w14:textId="77777777" w:rsidR="0019072B" w:rsidRDefault="0019072B">
      <w:pPr>
        <w:spacing w:after="0" w:line="240" w:lineRule="auto"/>
        <w:ind w:left="720" w:hanging="720"/>
        <w:rPr>
          <w:rFonts w:ascii="Times New Roman" w:eastAsia="Times New Roman" w:hAnsi="Times New Roman" w:cs="Times New Roman"/>
          <w:sz w:val="24"/>
          <w:szCs w:val="24"/>
        </w:rPr>
      </w:pPr>
    </w:p>
    <w:p w14:paraId="1BFA2E73"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Soria, K. M., Hussein, D, &amp; Vue, C. (2014) Leadership for whom? Socioeconomic factors predicting undergraduate students’ positional leadership participation.  </w:t>
      </w:r>
      <w:r>
        <w:rPr>
          <w:rFonts w:ascii="Times New Roman" w:eastAsia="Times New Roman" w:hAnsi="Times New Roman" w:cs="Times New Roman"/>
          <w:i/>
          <w:sz w:val="24"/>
          <w:szCs w:val="24"/>
        </w:rPr>
        <w:t>Journal of Leadership Education, 13</w:t>
      </w:r>
      <w:r>
        <w:rPr>
          <w:rFonts w:ascii="Times New Roman" w:eastAsia="Times New Roman" w:hAnsi="Times New Roman" w:cs="Times New Roman"/>
          <w:sz w:val="24"/>
          <w:szCs w:val="24"/>
        </w:rPr>
        <w:t>(1). https://doi.org/10.12806/V13/I1/R2</w:t>
      </w:r>
    </w:p>
    <w:p w14:paraId="67D4BE80" w14:textId="77777777" w:rsidR="0019072B" w:rsidRDefault="0019072B">
      <w:pPr>
        <w:spacing w:after="0" w:line="240" w:lineRule="auto"/>
        <w:ind w:left="720" w:hanging="720"/>
        <w:rPr>
          <w:rFonts w:ascii="Times New Roman" w:eastAsia="Times New Roman" w:hAnsi="Times New Roman" w:cs="Times New Roman"/>
          <w:sz w:val="24"/>
          <w:szCs w:val="24"/>
        </w:rPr>
      </w:pPr>
    </w:p>
    <w:p w14:paraId="679D34B3" w14:textId="77777777" w:rsidR="0019072B" w:rsidRDefault="005F5178">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Soria, K. M., </w:t>
      </w:r>
      <w:proofErr w:type="spellStart"/>
      <w:r>
        <w:rPr>
          <w:rFonts w:ascii="Times New Roman" w:eastAsia="Times New Roman" w:hAnsi="Times New Roman" w:cs="Times New Roman"/>
          <w:sz w:val="24"/>
          <w:szCs w:val="24"/>
        </w:rPr>
        <w:t>Blamo</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Kaste</w:t>
      </w:r>
      <w:proofErr w:type="spellEnd"/>
      <w:r>
        <w:rPr>
          <w:rFonts w:ascii="Times New Roman" w:eastAsia="Times New Roman" w:hAnsi="Times New Roman" w:cs="Times New Roman"/>
          <w:sz w:val="24"/>
          <w:szCs w:val="24"/>
        </w:rPr>
        <w:t xml:space="preserve">, K., Belrose, M. R., </w:t>
      </w:r>
      <w:proofErr w:type="spellStart"/>
      <w:r>
        <w:rPr>
          <w:rFonts w:ascii="Times New Roman" w:eastAsia="Times New Roman" w:hAnsi="Times New Roman" w:cs="Times New Roman"/>
          <w:sz w:val="24"/>
          <w:szCs w:val="24"/>
        </w:rPr>
        <w:t>Diekemper</w:t>
      </w:r>
      <w:proofErr w:type="spellEnd"/>
      <w:r>
        <w:rPr>
          <w:rFonts w:ascii="Times New Roman" w:eastAsia="Times New Roman" w:hAnsi="Times New Roman" w:cs="Times New Roman"/>
          <w:sz w:val="24"/>
          <w:szCs w:val="24"/>
        </w:rPr>
        <w:t xml:space="preserve">, K. M., &amp; Brazelton, G. B. (2020). Enriching college students' leadership efficacy. </w:t>
      </w:r>
      <w:r>
        <w:rPr>
          <w:rFonts w:ascii="Times New Roman" w:eastAsia="Times New Roman" w:hAnsi="Times New Roman" w:cs="Times New Roman"/>
          <w:i/>
          <w:sz w:val="24"/>
          <w:szCs w:val="24"/>
        </w:rPr>
        <w:t>Journal of Leadership Education, 19</w:t>
      </w:r>
      <w:r>
        <w:rPr>
          <w:rFonts w:ascii="Times New Roman" w:eastAsia="Times New Roman" w:hAnsi="Times New Roman" w:cs="Times New Roman"/>
          <w:sz w:val="24"/>
          <w:szCs w:val="24"/>
        </w:rPr>
        <w:t xml:space="preserve">(4). </w:t>
      </w:r>
      <w:hyperlink r:id="rId23">
        <w:r>
          <w:rPr>
            <w:rFonts w:ascii="Times New Roman" w:eastAsia="Times New Roman" w:hAnsi="Times New Roman" w:cs="Times New Roman"/>
            <w:color w:val="1155CC"/>
            <w:sz w:val="24"/>
            <w:szCs w:val="24"/>
            <w:u w:val="single"/>
          </w:rPr>
          <w:t>https://doi.org/10.12806/V19/I4/R7</w:t>
        </w:r>
      </w:hyperlink>
    </w:p>
    <w:p w14:paraId="14FBAF11" w14:textId="77777777" w:rsidR="0019072B" w:rsidRDefault="0019072B">
      <w:pPr>
        <w:spacing w:after="0" w:line="240" w:lineRule="auto"/>
        <w:ind w:left="720" w:hanging="720"/>
        <w:rPr>
          <w:rFonts w:ascii="Times New Roman" w:eastAsia="Times New Roman" w:hAnsi="Times New Roman" w:cs="Times New Roman"/>
          <w:sz w:val="24"/>
          <w:szCs w:val="24"/>
        </w:rPr>
      </w:pPr>
    </w:p>
    <w:p w14:paraId="0DC7E31F" w14:textId="30C2D222" w:rsidR="0019072B" w:rsidRDefault="005F5178" w:rsidP="00415C8C">
      <w:pPr>
        <w:spacing w:after="0" w:line="240" w:lineRule="auto"/>
        <w:ind w:left="720" w:hanging="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Walker, C. (2021). Connecting first-generation students to leadership opportunities. </w:t>
      </w:r>
      <w:r>
        <w:rPr>
          <w:rFonts w:ascii="Times New Roman" w:eastAsia="Times New Roman" w:hAnsi="Times New Roman" w:cs="Times New Roman"/>
          <w:i/>
          <w:sz w:val="24"/>
          <w:szCs w:val="24"/>
        </w:rPr>
        <w:t>M.A. in Higher Education Leadership: Action Research Projects</w:t>
      </w:r>
      <w:r>
        <w:rPr>
          <w:rFonts w:ascii="Times New Roman" w:eastAsia="Times New Roman" w:hAnsi="Times New Roman" w:cs="Times New Roman"/>
          <w:sz w:val="24"/>
          <w:szCs w:val="24"/>
        </w:rPr>
        <w:t xml:space="preserve">. </w:t>
      </w:r>
      <w:hyperlink r:id="rId24">
        <w:r>
          <w:rPr>
            <w:rFonts w:ascii="Times New Roman" w:eastAsia="Times New Roman" w:hAnsi="Times New Roman" w:cs="Times New Roman"/>
            <w:color w:val="0000FF"/>
            <w:sz w:val="24"/>
            <w:szCs w:val="24"/>
            <w:u w:val="single"/>
          </w:rPr>
          <w:t>https://digital.sandiego.edu/soles-mahel-action/92?utm_source=digital.sandiego.edu%2Fsoles-mahel-action%2F92&amp;utm_medium=PDF&amp;utm_campaign=PDFCoverPages</w:t>
        </w:r>
      </w:hyperlink>
    </w:p>
    <w:sectPr w:rsidR="0019072B">
      <w:headerReference w:type="default" r:id="rId25"/>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B1A5C" w14:textId="77777777" w:rsidR="000764C5" w:rsidRDefault="000764C5">
      <w:pPr>
        <w:spacing w:after="0" w:line="240" w:lineRule="auto"/>
      </w:pPr>
      <w:r>
        <w:separator/>
      </w:r>
    </w:p>
  </w:endnote>
  <w:endnote w:type="continuationSeparator" w:id="0">
    <w:p w14:paraId="79DC41DE" w14:textId="77777777" w:rsidR="000764C5" w:rsidRDefault="00076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3064" w14:textId="77777777" w:rsidR="0019072B" w:rsidRDefault="005F5178">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51E33">
      <w:rPr>
        <w:noProof/>
        <w:color w:val="000000"/>
      </w:rPr>
      <w:t>1</w:t>
    </w:r>
    <w:r>
      <w:rPr>
        <w:color w:val="000000"/>
      </w:rPr>
      <w:fldChar w:fldCharType="end"/>
    </w:r>
  </w:p>
  <w:p w14:paraId="3F193C5A" w14:textId="77777777" w:rsidR="0019072B" w:rsidRDefault="0019072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5CE7E" w14:textId="77777777" w:rsidR="000764C5" w:rsidRDefault="000764C5">
      <w:pPr>
        <w:spacing w:after="0" w:line="240" w:lineRule="auto"/>
      </w:pPr>
      <w:r>
        <w:separator/>
      </w:r>
    </w:p>
  </w:footnote>
  <w:footnote w:type="continuationSeparator" w:id="0">
    <w:p w14:paraId="0B715992" w14:textId="77777777" w:rsidR="000764C5" w:rsidRDefault="00076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4002A" w14:textId="77777777" w:rsidR="0019072B" w:rsidRDefault="0019072B">
    <w:pPr>
      <w:pBdr>
        <w:top w:val="nil"/>
        <w:left w:val="nil"/>
        <w:bottom w:val="nil"/>
        <w:right w:val="nil"/>
        <w:between w:val="nil"/>
      </w:pBdr>
      <w:tabs>
        <w:tab w:val="center" w:pos="4680"/>
        <w:tab w:val="right" w:pos="9360"/>
      </w:tabs>
      <w:spacing w:after="0" w:line="240" w:lineRule="auto"/>
      <w:jc w:val="center"/>
      <w:rPr>
        <w:color w:val="000000"/>
      </w:rPr>
    </w:pPr>
  </w:p>
  <w:p w14:paraId="69773C79" w14:textId="77777777" w:rsidR="0019072B" w:rsidRDefault="0019072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22BD8"/>
    <w:multiLevelType w:val="multilevel"/>
    <w:tmpl w:val="72C8D2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5343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72B"/>
    <w:rsid w:val="000764C5"/>
    <w:rsid w:val="0019072B"/>
    <w:rsid w:val="001A187B"/>
    <w:rsid w:val="00415C8C"/>
    <w:rsid w:val="00417119"/>
    <w:rsid w:val="005F5178"/>
    <w:rsid w:val="00B3498D"/>
    <w:rsid w:val="00D958E0"/>
    <w:rsid w:val="00E51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AF77"/>
  <w15:docId w15:val="{FC9D61BA-75A1-4E61-938A-B6A1FA0D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11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7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B89"/>
    <w:rPr>
      <w:rFonts w:ascii="Segoe UI" w:hAnsi="Segoe UI" w:cs="Segoe UI"/>
      <w:sz w:val="18"/>
      <w:szCs w:val="18"/>
    </w:rPr>
  </w:style>
  <w:style w:type="table" w:styleId="TableGrid">
    <w:name w:val="Table Grid"/>
    <w:basedOn w:val="TableNormal"/>
    <w:uiPriority w:val="39"/>
    <w:rsid w:val="008E7767"/>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12F12"/>
    <w:rPr>
      <w:b/>
      <w:bCs/>
    </w:rPr>
  </w:style>
  <w:style w:type="character" w:customStyle="1" w:styleId="CommentSubjectChar">
    <w:name w:val="Comment Subject Char"/>
    <w:basedOn w:val="CommentTextChar"/>
    <w:link w:val="CommentSubject"/>
    <w:uiPriority w:val="99"/>
    <w:semiHidden/>
    <w:rsid w:val="00512F12"/>
    <w:rPr>
      <w:b/>
      <w:bCs/>
      <w:sz w:val="20"/>
      <w:szCs w:val="20"/>
    </w:rPr>
  </w:style>
  <w:style w:type="paragraph" w:styleId="ListParagraph">
    <w:name w:val="List Paragraph"/>
    <w:basedOn w:val="Normal"/>
    <w:uiPriority w:val="34"/>
    <w:qFormat/>
    <w:rsid w:val="00623FA2"/>
    <w:pPr>
      <w:ind w:left="720"/>
      <w:contextualSpacing/>
    </w:pPr>
  </w:style>
  <w:style w:type="table" w:styleId="PlainTable1">
    <w:name w:val="Plain Table 1"/>
    <w:basedOn w:val="TableNormal"/>
    <w:uiPriority w:val="41"/>
    <w:rsid w:val="00CD0EF2"/>
    <w:pPr>
      <w:spacing w:after="0" w:line="240" w:lineRule="auto"/>
      <w:jc w:val="center"/>
    </w:pPr>
    <w:rPr>
      <w:rFonts w:asciiTheme="minorHAnsi" w:eastAsiaTheme="minorHAnsi"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F6198F"/>
    <w:pPr>
      <w:spacing w:after="0" w:line="240" w:lineRule="auto"/>
    </w:pPr>
  </w:style>
  <w:style w:type="character" w:styleId="Hyperlink">
    <w:name w:val="Hyperlink"/>
    <w:basedOn w:val="DefaultParagraphFont"/>
    <w:uiPriority w:val="99"/>
    <w:unhideWhenUsed/>
    <w:rsid w:val="00E53514"/>
    <w:rPr>
      <w:color w:val="0000FF" w:themeColor="hyperlink"/>
      <w:u w:val="single"/>
    </w:rPr>
  </w:style>
  <w:style w:type="character" w:customStyle="1" w:styleId="UnresolvedMention1">
    <w:name w:val="Unresolved Mention1"/>
    <w:basedOn w:val="DefaultParagraphFont"/>
    <w:uiPriority w:val="99"/>
    <w:semiHidden/>
    <w:unhideWhenUsed/>
    <w:rsid w:val="00840FD8"/>
    <w:rPr>
      <w:color w:val="605E5C"/>
      <w:shd w:val="clear" w:color="auto" w:fill="E1DFDD"/>
    </w:rPr>
  </w:style>
  <w:style w:type="paragraph" w:styleId="Header">
    <w:name w:val="header"/>
    <w:basedOn w:val="Normal"/>
    <w:link w:val="HeaderChar"/>
    <w:uiPriority w:val="99"/>
    <w:unhideWhenUsed/>
    <w:rsid w:val="00253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7F8"/>
  </w:style>
  <w:style w:type="paragraph" w:styleId="Footer">
    <w:name w:val="footer"/>
    <w:basedOn w:val="Normal"/>
    <w:link w:val="FooterChar"/>
    <w:uiPriority w:val="99"/>
    <w:unhideWhenUsed/>
    <w:rsid w:val="00253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7F8"/>
  </w:style>
  <w:style w:type="table" w:customStyle="1" w:styleId="25">
    <w:name w:val="25"/>
    <w:basedOn w:val="TableNormal"/>
    <w:pPr>
      <w:spacing w:after="0" w:line="240" w:lineRule="auto"/>
      <w:jc w:val="center"/>
    </w:pPr>
    <w:rPr>
      <w:rFonts w:ascii="Cambria" w:eastAsia="Cambria" w:hAnsi="Cambria" w:cs="Cambria"/>
    </w:rPr>
    <w:tblPr>
      <w:tblStyleRowBandSize w:val="1"/>
      <w:tblStyleColBandSize w:val="1"/>
    </w:tblPr>
  </w:style>
  <w:style w:type="table" w:customStyle="1" w:styleId="24">
    <w:name w:val="24"/>
    <w:basedOn w:val="TableNormal"/>
    <w:tblPr>
      <w:tblStyleRowBandSize w:val="1"/>
      <w:tblStyleColBandSize w:val="1"/>
      <w:tblCellMar>
        <w:left w:w="115" w:type="dxa"/>
        <w:right w:w="115" w:type="dxa"/>
      </w:tblCellMar>
    </w:tblPr>
  </w:style>
  <w:style w:type="table" w:customStyle="1" w:styleId="23">
    <w:name w:val="23"/>
    <w:basedOn w:val="TableNormal"/>
    <w:pPr>
      <w:spacing w:after="0" w:line="240" w:lineRule="auto"/>
      <w:jc w:val="center"/>
    </w:pPr>
    <w:rPr>
      <w:rFonts w:ascii="Cambria" w:eastAsia="Cambria" w:hAnsi="Cambria" w:cs="Cambria"/>
    </w:rPr>
    <w:tblPr>
      <w:tblStyleRowBandSize w:val="1"/>
      <w:tblStyleColBandSize w:val="1"/>
    </w:tblPr>
  </w:style>
  <w:style w:type="table" w:customStyle="1" w:styleId="22">
    <w:name w:val="22"/>
    <w:basedOn w:val="TableNormal"/>
    <w:pPr>
      <w:spacing w:after="0" w:line="240" w:lineRule="auto"/>
      <w:jc w:val="center"/>
    </w:pPr>
    <w:rPr>
      <w:rFonts w:ascii="Cambria" w:eastAsia="Cambria" w:hAnsi="Cambria" w:cs="Cambria"/>
    </w:r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character" w:styleId="Emphasis">
    <w:name w:val="Emphasis"/>
    <w:basedOn w:val="DefaultParagraphFont"/>
    <w:uiPriority w:val="20"/>
    <w:qFormat/>
    <w:rsid w:val="002D3229"/>
    <w:rPr>
      <w:i/>
      <w:iCs/>
    </w:rPr>
  </w:style>
  <w:style w:type="table" w:customStyle="1" w:styleId="21">
    <w:name w:val="21"/>
    <w:basedOn w:val="TableNormal"/>
    <w:pPr>
      <w:spacing w:after="0" w:line="240" w:lineRule="auto"/>
      <w:jc w:val="center"/>
    </w:pPr>
    <w:rPr>
      <w:rFonts w:ascii="Cambria" w:eastAsia="Cambria" w:hAnsi="Cambria" w:cs="Cambria"/>
    </w:rPr>
    <w:tblPr>
      <w:tblStyleRowBandSize w:val="1"/>
      <w:tblStyleColBandSize w:val="1"/>
      <w:tblCellMar>
        <w:left w:w="115" w:type="dxa"/>
        <w:right w:w="115" w:type="dxa"/>
      </w:tblCellMar>
    </w:tblPr>
  </w:style>
  <w:style w:type="table" w:customStyle="1" w:styleId="20">
    <w:name w:val="20"/>
    <w:basedOn w:val="TableNormal"/>
    <w:pPr>
      <w:spacing w:after="0" w:line="240" w:lineRule="auto"/>
      <w:jc w:val="center"/>
    </w:pPr>
    <w:rPr>
      <w:rFonts w:ascii="Cambria" w:eastAsia="Cambria" w:hAnsi="Cambria" w:cs="Cambria"/>
    </w:rPr>
    <w:tblPr>
      <w:tblStyleRowBandSize w:val="1"/>
      <w:tblStyleColBandSize w:val="1"/>
      <w:tblCellMar>
        <w:left w:w="115" w:type="dxa"/>
        <w:right w:w="115" w:type="dxa"/>
      </w:tblCellMar>
    </w:tblPr>
  </w:style>
  <w:style w:type="table" w:customStyle="1" w:styleId="19">
    <w:name w:val="19"/>
    <w:basedOn w:val="TableNormal"/>
    <w:pPr>
      <w:spacing w:after="0" w:line="240" w:lineRule="auto"/>
      <w:jc w:val="center"/>
    </w:pPr>
    <w:rPr>
      <w:rFonts w:ascii="Cambria" w:eastAsia="Cambria" w:hAnsi="Cambria" w:cs="Cambria"/>
    </w:rPr>
    <w:tblPr>
      <w:tblStyleRowBandSize w:val="1"/>
      <w:tblStyleColBandSize w:val="1"/>
      <w:tblCellMar>
        <w:left w:w="115" w:type="dxa"/>
        <w:right w:w="115" w:type="dxa"/>
      </w:tblCellMar>
    </w:tblPr>
  </w:style>
  <w:style w:type="table" w:customStyle="1" w:styleId="18">
    <w:name w:val="18"/>
    <w:basedOn w:val="TableNormal"/>
    <w:pPr>
      <w:spacing w:after="0" w:line="240" w:lineRule="auto"/>
      <w:jc w:val="center"/>
    </w:pPr>
    <w:rPr>
      <w:rFonts w:ascii="Cambria" w:eastAsia="Cambria" w:hAnsi="Cambria" w:cs="Cambria"/>
    </w:rPr>
    <w:tblPr>
      <w:tblStyleRowBandSize w:val="1"/>
      <w:tblStyleColBandSize w:val="1"/>
      <w:tblCellMar>
        <w:left w:w="115" w:type="dxa"/>
        <w:right w:w="115" w:type="dxa"/>
      </w:tblCellMar>
    </w:tblPr>
  </w:style>
  <w:style w:type="table" w:customStyle="1" w:styleId="17">
    <w:name w:val="17"/>
    <w:basedOn w:val="TableNormal"/>
    <w:pPr>
      <w:spacing w:after="0" w:line="240" w:lineRule="auto"/>
      <w:jc w:val="center"/>
    </w:pPr>
    <w:rPr>
      <w:rFonts w:ascii="Cambria" w:eastAsia="Cambria" w:hAnsi="Cambria" w:cs="Cambria"/>
    </w:rPr>
    <w:tblPr>
      <w:tblStyleRowBandSize w:val="1"/>
      <w:tblStyleColBandSize w:val="1"/>
      <w:tblCellMar>
        <w:left w:w="115" w:type="dxa"/>
        <w:right w:w="115" w:type="dxa"/>
      </w:tblCellMar>
    </w:tblPr>
  </w:style>
  <w:style w:type="table" w:customStyle="1" w:styleId="16">
    <w:name w:val="16"/>
    <w:basedOn w:val="TableNormal"/>
    <w:pPr>
      <w:spacing w:after="0" w:line="240" w:lineRule="auto"/>
      <w:jc w:val="center"/>
    </w:pPr>
    <w:rPr>
      <w:rFonts w:ascii="Cambria" w:eastAsia="Cambria" w:hAnsi="Cambria" w:cs="Cambria"/>
    </w:rPr>
    <w:tblPr>
      <w:tblStyleRowBandSize w:val="1"/>
      <w:tblStyleColBandSize w:val="1"/>
      <w:tblCellMar>
        <w:left w:w="115" w:type="dxa"/>
        <w:right w:w="115"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pPr>
      <w:spacing w:after="0" w:line="240" w:lineRule="auto"/>
      <w:jc w:val="center"/>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13">
    <w:name w:val="13"/>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12">
    <w:name w:val="12"/>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11">
    <w:name w:val="11"/>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10">
    <w:name w:val="10"/>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9">
    <w:name w:val="9"/>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8">
    <w:name w:val="8"/>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7">
    <w:name w:val="7"/>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6">
    <w:name w:val="6"/>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5">
    <w:name w:val="5"/>
    <w:basedOn w:val="TableNormal"/>
    <w:pPr>
      <w:spacing w:after="0" w:line="240" w:lineRule="auto"/>
      <w:jc w:val="center"/>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01578E"/>
    <w:rPr>
      <w:color w:val="605E5C"/>
      <w:shd w:val="clear" w:color="auto" w:fill="E1DFDD"/>
    </w:rPr>
  </w:style>
  <w:style w:type="paragraph" w:styleId="NormalWeb">
    <w:name w:val="Normal (Web)"/>
    <w:basedOn w:val="Normal"/>
    <w:uiPriority w:val="99"/>
    <w:unhideWhenUsed/>
    <w:rsid w:val="005E397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after="0" w:line="240" w:lineRule="auto"/>
      <w:jc w:val="center"/>
    </w:pPr>
    <w:rPr>
      <w:rFonts w:ascii="Cambria" w:eastAsia="Cambria" w:hAnsi="Cambria" w:cs="Cambria"/>
    </w:rPr>
    <w:tblPr>
      <w:tblStyleRowBandSize w:val="1"/>
      <w:tblStyleColBandSize w:val="1"/>
      <w:tblCellMar>
        <w:top w:w="100" w:type="dxa"/>
        <w:left w:w="115" w:type="dxa"/>
        <w:bottom w:w="100" w:type="dxa"/>
        <w:right w:w="115" w:type="dxa"/>
      </w:tblCellMar>
    </w:tblPr>
  </w:style>
  <w:style w:type="table" w:customStyle="1" w:styleId="a0">
    <w:basedOn w:val="TableNormal"/>
    <w:pPr>
      <w:spacing w:after="0" w:line="240" w:lineRule="auto"/>
      <w:jc w:val="center"/>
    </w:pPr>
    <w:rPr>
      <w:rFonts w:ascii="Cambria" w:eastAsia="Cambria" w:hAnsi="Cambria" w:cs="Cambria"/>
    </w:r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16/j.leaqua.2008.07.003" TargetMode="External"/><Relationship Id="rId13" Type="http://schemas.openxmlformats.org/officeDocument/2006/relationships/hyperlink" Target="https://doi.org/10.1353/csd.2015.0005" TargetMode="External"/><Relationship Id="rId18" Type="http://schemas.openxmlformats.org/officeDocument/2006/relationships/hyperlink" Target="https://doi.org/1012806/V13/I3/R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2806/V19/I2/R1" TargetMode="External"/><Relationship Id="rId7" Type="http://schemas.openxmlformats.org/officeDocument/2006/relationships/endnotes" Target="endnotes.xml"/><Relationship Id="rId12" Type="http://schemas.openxmlformats.org/officeDocument/2006/relationships/hyperlink" Target="https://doi.org/10.1016/j.jvb.2012.05.00" TargetMode="External"/><Relationship Id="rId17" Type="http://schemas.openxmlformats.org/officeDocument/2006/relationships/hyperlink" Target="https://doi.org/10.1016/j.leaqua.2008.09.007"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2806/V19/I4/R6" TargetMode="External"/><Relationship Id="rId20" Type="http://schemas.openxmlformats.org/officeDocument/2006/relationships/hyperlink" Target="https://doi.org/10.1353/csd.2015.00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0021-9010.86.3.481" TargetMode="External"/><Relationship Id="rId24" Type="http://schemas.openxmlformats.org/officeDocument/2006/relationships/hyperlink" Target="https://digital.sandiego.edu/soles-mahel-action/92?utm_source=digital.sandiego.edu%2Fsoles-mahel-action%2F92&amp;utm_medium=PDF&amp;utm_campaign=PDFCoverPages" TargetMode="External"/><Relationship Id="rId5" Type="http://schemas.openxmlformats.org/officeDocument/2006/relationships/webSettings" Target="webSettings.xml"/><Relationship Id="rId15" Type="http://schemas.openxmlformats.org/officeDocument/2006/relationships/hyperlink" Target="https://doi.org/10.12806/V18/I4/R10" TargetMode="External"/><Relationship Id="rId23" Type="http://schemas.openxmlformats.org/officeDocument/2006/relationships/hyperlink" Target="https://doi.org/10.12806/V19/I4/R7" TargetMode="External"/><Relationship Id="rId28" Type="http://schemas.openxmlformats.org/officeDocument/2006/relationships/theme" Target="theme/theme1.xml"/><Relationship Id="rId10" Type="http://schemas.openxmlformats.org/officeDocument/2006/relationships/hyperlink" Target="https://doi.org/10.1037/0003-066X.44.9.1175" TargetMode="External"/><Relationship Id="rId19" Type="http://schemas.openxmlformats.org/officeDocument/2006/relationships/hyperlink" Target="https://doi.org/10.1002/yd.20158" TargetMode="External"/><Relationship Id="rId4" Type="http://schemas.openxmlformats.org/officeDocument/2006/relationships/settings" Target="settings.xml"/><Relationship Id="rId9" Type="http://schemas.openxmlformats.org/officeDocument/2006/relationships/hyperlink" Target="https://doi.org/10.12806/V19/I4/A3" TargetMode="External"/><Relationship Id="rId14" Type="http://schemas.openxmlformats.org/officeDocument/2006/relationships/hyperlink" Target="https://doi.org/10.12806/V15/I4/R5" TargetMode="External"/><Relationship Id="rId22" Type="http://schemas.openxmlformats.org/officeDocument/2006/relationships/hyperlink" Target="https://doi.org/10.12806/V17/I4/R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u0DOteZYdGkPlBL0jAKPlCaLyA==">AMUW2mVVb/xjJ7z+9b4ZHHshNhKrRf8OjySKhTzU4OW1yPuUweLBJDhD+RYXTUaOKfQMDHiaD5Lwiq3VJsrZ//DNJgrYKFgWeX2B/M1Z7CUHThtl0eJNgF8IkjUE51b1s7HrC0koEyDT2ugJfiQbHJD+ybSKYg1JVg==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Dunn, Allison L.</dc:creator>
  <cp:lastModifiedBy>Brogan, Garrett Scott</cp:lastModifiedBy>
  <cp:revision>2</cp:revision>
  <dcterms:created xsi:type="dcterms:W3CDTF">2022-08-10T21:14:00Z</dcterms:created>
  <dcterms:modified xsi:type="dcterms:W3CDTF">2022-08-10T21:14:00Z</dcterms:modified>
</cp:coreProperties>
</file>