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83A31" w14:textId="3EDE0ABC" w:rsidR="008871B6" w:rsidRDefault="00DE1D25" w:rsidP="008871B6">
      <w:pPr>
        <w:jc w:val="center"/>
        <w:rPr>
          <w:b/>
        </w:rPr>
      </w:pPr>
      <w:r>
        <w:rPr>
          <w:b/>
        </w:rPr>
        <w:t>Comparing</w:t>
      </w:r>
      <w:r w:rsidR="007A2C4B">
        <w:rPr>
          <w:b/>
        </w:rPr>
        <w:t xml:space="preserve"> Noncognitive Skills in High School Students Based on Enrollment in Agricultural Education Courses</w:t>
      </w:r>
    </w:p>
    <w:p w14:paraId="668A9F2C" w14:textId="5C8FFAD6" w:rsidR="00C41DAA" w:rsidRPr="00C41DAA" w:rsidRDefault="00C41DAA" w:rsidP="008871B6">
      <w:pPr>
        <w:jc w:val="center"/>
        <w:rPr>
          <w:bCs/>
        </w:rPr>
      </w:pPr>
      <w:r w:rsidRPr="00C41DAA">
        <w:rPr>
          <w:bCs/>
        </w:rPr>
        <w:t>Kasee L. Smith, University of Idaho</w:t>
      </w:r>
    </w:p>
    <w:p w14:paraId="1A96C47A" w14:textId="51659EC1" w:rsidR="00C41DAA" w:rsidRPr="00C41DAA" w:rsidRDefault="00C41DAA" w:rsidP="008871B6">
      <w:pPr>
        <w:jc w:val="center"/>
        <w:rPr>
          <w:bCs/>
        </w:rPr>
      </w:pPr>
      <w:proofErr w:type="spellStart"/>
      <w:r w:rsidRPr="00C41DAA">
        <w:rPr>
          <w:bCs/>
        </w:rPr>
        <w:t>Daelas</w:t>
      </w:r>
      <w:proofErr w:type="spellEnd"/>
      <w:r w:rsidRPr="00C41DAA">
        <w:rPr>
          <w:bCs/>
        </w:rPr>
        <w:t xml:space="preserve"> Zieber, University of Idaho</w:t>
      </w:r>
    </w:p>
    <w:p w14:paraId="75A1B3B3" w14:textId="77777777" w:rsidR="005F34D7" w:rsidRPr="0065341B" w:rsidRDefault="005F34D7" w:rsidP="007E0F04">
      <w:pPr>
        <w:rPr>
          <w:b/>
        </w:rPr>
      </w:pPr>
    </w:p>
    <w:p w14:paraId="5777C819" w14:textId="57BE986B" w:rsidR="00243768" w:rsidRPr="0065341B" w:rsidRDefault="00243768" w:rsidP="005F34D7">
      <w:pPr>
        <w:pStyle w:val="Heading2"/>
        <w:spacing w:line="240" w:lineRule="auto"/>
        <w:rPr>
          <w:rFonts w:cs="Times New Roman"/>
          <w:sz w:val="24"/>
          <w:szCs w:val="24"/>
        </w:rPr>
      </w:pPr>
      <w:r w:rsidRPr="0065341B">
        <w:rPr>
          <w:rFonts w:cs="Times New Roman"/>
          <w:sz w:val="24"/>
          <w:szCs w:val="24"/>
        </w:rPr>
        <w:t>Introduction</w:t>
      </w:r>
      <w:r w:rsidR="009264E8" w:rsidRPr="0065341B">
        <w:rPr>
          <w:rFonts w:cs="Times New Roman"/>
          <w:sz w:val="24"/>
          <w:szCs w:val="24"/>
        </w:rPr>
        <w:t xml:space="preserve"> and </w:t>
      </w:r>
      <w:r w:rsidR="003D215E">
        <w:rPr>
          <w:rFonts w:cs="Times New Roman"/>
          <w:sz w:val="24"/>
          <w:szCs w:val="24"/>
        </w:rPr>
        <w:t xml:space="preserve">Conceptual </w:t>
      </w:r>
      <w:r w:rsidRPr="0065341B">
        <w:rPr>
          <w:rFonts w:cs="Times New Roman"/>
          <w:sz w:val="24"/>
          <w:szCs w:val="24"/>
        </w:rPr>
        <w:t>Framework</w:t>
      </w:r>
      <w:r w:rsidR="009264E8" w:rsidRPr="0065341B">
        <w:rPr>
          <w:rFonts w:cs="Times New Roman"/>
          <w:sz w:val="24"/>
          <w:szCs w:val="24"/>
        </w:rPr>
        <w:t xml:space="preserve"> </w:t>
      </w:r>
    </w:p>
    <w:p w14:paraId="29443A7B" w14:textId="77777777" w:rsidR="005F34D7" w:rsidRPr="0065341B" w:rsidRDefault="005F34D7" w:rsidP="005F34D7"/>
    <w:p w14:paraId="5EBA7408" w14:textId="615BC85E" w:rsidR="00A96446" w:rsidRDefault="00E57337" w:rsidP="007D773F">
      <w:pPr>
        <w:ind w:firstLine="720"/>
      </w:pPr>
      <w:r>
        <w:t xml:space="preserve">Researchers have long tried to identify factors of success for secondary students </w:t>
      </w:r>
      <w:r w:rsidRPr="003D215E">
        <w:t>(</w:t>
      </w:r>
      <w:r w:rsidR="003D215E" w:rsidRPr="003D215E">
        <w:t>Petway,</w:t>
      </w:r>
      <w:r w:rsidR="00D81F0E">
        <w:t xml:space="preserve"> </w:t>
      </w:r>
      <w:r w:rsidR="003D215E" w:rsidRPr="003D215E">
        <w:t>et al.,2016</w:t>
      </w:r>
      <w:r w:rsidRPr="003D215E">
        <w:t>).</w:t>
      </w:r>
      <w:r>
        <w:t xml:space="preserve">  Many school-learning models outline the need for students to </w:t>
      </w:r>
      <w:r w:rsidR="00F206A2">
        <w:t xml:space="preserve">not only </w:t>
      </w:r>
      <w:r>
        <w:t>have cognitive processing skills</w:t>
      </w:r>
      <w:r w:rsidR="00A96446">
        <w:t xml:space="preserve"> for bringing in and contextualizing information, but also the need for</w:t>
      </w:r>
      <w:r>
        <w:t xml:space="preserve"> skills unrelated to their cognitive ability </w:t>
      </w:r>
      <w:r w:rsidR="00F206A2">
        <w:t xml:space="preserve">(Bloom, 1976; Carroll, 1963). </w:t>
      </w:r>
      <w:r>
        <w:t>The second set of skills</w:t>
      </w:r>
      <w:r w:rsidR="00F206A2">
        <w:t xml:space="preserve"> </w:t>
      </w:r>
      <w:r w:rsidR="00A96446">
        <w:t>is often described with r</w:t>
      </w:r>
      <w:r w:rsidR="00F206A2" w:rsidRPr="002D7D98">
        <w:t xml:space="preserve">esearch terms </w:t>
      </w:r>
      <w:r w:rsidR="009220FC" w:rsidRPr="002D7D98">
        <w:t>includ</w:t>
      </w:r>
      <w:r w:rsidR="009220FC">
        <w:t>ing</w:t>
      </w:r>
      <w:r w:rsidR="00F206A2" w:rsidRPr="002D7D98">
        <w:t xml:space="preserve"> soft skills, 21st century skills, employability skills, big-five factors, growth mindset, meta-cognitive skills, and social-emotional skills (Almeida, 2016; Brunello &amp; Schlotter, 2011; Camfield, 2015)</w:t>
      </w:r>
      <w:r w:rsidR="00F206A2">
        <w:t xml:space="preserve">. </w:t>
      </w:r>
      <w:r w:rsidR="00F206A2" w:rsidRPr="002D7D98">
        <w:t xml:space="preserve"> The </w:t>
      </w:r>
      <w:r w:rsidR="00F206A2">
        <w:t>phrase</w:t>
      </w:r>
      <w:r w:rsidR="00F206A2" w:rsidRPr="002D7D98">
        <w:t xml:space="preserve"> </w:t>
      </w:r>
      <w:r w:rsidR="00F206A2">
        <w:t>“</w:t>
      </w:r>
      <w:r w:rsidR="00F206A2" w:rsidRPr="002D7D98">
        <w:t>noncognitive</w:t>
      </w:r>
      <w:r w:rsidR="00F206A2">
        <w:t xml:space="preserve"> skills” developed over t</w:t>
      </w:r>
      <w:r w:rsidR="00F206A2" w:rsidRPr="002D7D98">
        <w:t>he</w:t>
      </w:r>
      <w:r w:rsidR="00C333F4">
        <w:t xml:space="preserve"> last</w:t>
      </w:r>
      <w:r w:rsidR="00F206A2" w:rsidRPr="002D7D98">
        <w:t xml:space="preserve"> </w:t>
      </w:r>
      <w:r w:rsidR="00A96446">
        <w:t xml:space="preserve">two </w:t>
      </w:r>
      <w:r w:rsidR="00F206A2" w:rsidRPr="002D7D98">
        <w:t>decade</w:t>
      </w:r>
      <w:r w:rsidR="00A96446">
        <w:t>s</w:t>
      </w:r>
      <w:r w:rsidR="00F206A2" w:rsidRPr="002D7D98">
        <w:t xml:space="preserve"> </w:t>
      </w:r>
      <w:proofErr w:type="gramStart"/>
      <w:r w:rsidR="00F206A2" w:rsidRPr="002D7D98">
        <w:t xml:space="preserve">as a </w:t>
      </w:r>
      <w:r w:rsidR="00A96446">
        <w:t>way to</w:t>
      </w:r>
      <w:proofErr w:type="gramEnd"/>
      <w:r w:rsidR="00A96446">
        <w:t xml:space="preserve"> describe all success factors which are outside </w:t>
      </w:r>
      <w:r w:rsidR="00F206A2" w:rsidRPr="002D7D98">
        <w:t xml:space="preserve">of </w:t>
      </w:r>
      <w:r w:rsidR="00F206A2">
        <w:t xml:space="preserve">cognitive ability but related to the learning process </w:t>
      </w:r>
      <w:r w:rsidR="00F206A2" w:rsidRPr="002D7D98">
        <w:t>(Brunello &amp; Schlotter, 2011)</w:t>
      </w:r>
      <w:r w:rsidR="00F206A2">
        <w:t xml:space="preserve">. </w:t>
      </w:r>
    </w:p>
    <w:p w14:paraId="1C84797D" w14:textId="77777777" w:rsidR="00A96446" w:rsidRDefault="00A96446" w:rsidP="007D773F">
      <w:pPr>
        <w:ind w:firstLine="720"/>
      </w:pPr>
    </w:p>
    <w:p w14:paraId="39843A87" w14:textId="1B4AF878" w:rsidR="00966DBD" w:rsidRDefault="00F206A2" w:rsidP="00A96446">
      <w:pPr>
        <w:ind w:firstLine="720"/>
      </w:pPr>
      <w:r>
        <w:t>T</w:t>
      </w:r>
      <w:r w:rsidRPr="00CA03D2">
        <w:t xml:space="preserve">here is overwhelming evidence to support </w:t>
      </w:r>
      <w:r>
        <w:t>the influence of noncognitive</w:t>
      </w:r>
      <w:r w:rsidRPr="00CA03D2">
        <w:t xml:space="preserve"> </w:t>
      </w:r>
      <w:r>
        <w:t>skills</w:t>
      </w:r>
      <w:r w:rsidRPr="00CA03D2">
        <w:t xml:space="preserve"> </w:t>
      </w:r>
      <w:r>
        <w:t>on</w:t>
      </w:r>
      <w:r w:rsidRPr="00CA03D2">
        <w:t xml:space="preserve"> </w:t>
      </w:r>
      <w:r>
        <w:t>academic</w:t>
      </w:r>
      <w:r w:rsidRPr="00CA03D2">
        <w:t xml:space="preserve"> success (Khine &amp; </w:t>
      </w:r>
      <w:proofErr w:type="spellStart"/>
      <w:r w:rsidRPr="00CA03D2">
        <w:t>Areepattamannil</w:t>
      </w:r>
      <w:proofErr w:type="spellEnd"/>
      <w:r w:rsidRPr="00CA03D2">
        <w:t>, 2016).</w:t>
      </w:r>
      <w:r>
        <w:t xml:space="preserve"> </w:t>
      </w:r>
      <w:r w:rsidR="00966DBD">
        <w:t>Studies have yielded results highlighting the impact of increase</w:t>
      </w:r>
      <w:r w:rsidR="00A96446">
        <w:t>d</w:t>
      </w:r>
      <w:r w:rsidR="00966DBD">
        <w:t xml:space="preserve"> noncognitive skills on a wide variety of positive outcomes</w:t>
      </w:r>
      <w:r w:rsidR="00624EA9">
        <w:t xml:space="preserve">. </w:t>
      </w:r>
      <w:r w:rsidR="00966DBD">
        <w:t>Secondary students with more advanced noncognitive skills have been found to have higher GPA, increased graduation rates, increases in scores on math and science achievement tests, and AP course enrollment (</w:t>
      </w:r>
      <w:r w:rsidR="00966DBD" w:rsidRPr="002D7D98">
        <w:t>MacCann, Duckworth, &amp; Roberts, 2009; Petway, Brenneman, &amp; Kyllonen, 2016</w:t>
      </w:r>
      <w:r w:rsidR="00966DBD">
        <w:t>)</w:t>
      </w:r>
      <w:r w:rsidR="00624EA9">
        <w:t xml:space="preserve">. </w:t>
      </w:r>
      <w:r w:rsidR="00D575F7">
        <w:t xml:space="preserve">Heckman, </w:t>
      </w:r>
      <w:proofErr w:type="spellStart"/>
      <w:r w:rsidR="00D575F7">
        <w:t>Stixrud</w:t>
      </w:r>
      <w:proofErr w:type="spellEnd"/>
      <w:r w:rsidR="00D575F7">
        <w:t>, and Urzua (2006) conducted a</w:t>
      </w:r>
      <w:r w:rsidR="00966DBD">
        <w:t xml:space="preserve"> longitudinal </w:t>
      </w:r>
      <w:r w:rsidR="00BE49A9">
        <w:t>meta-analysis</w:t>
      </w:r>
      <w:r w:rsidR="00966DBD">
        <w:t xml:space="preserve"> of noncognitive abilities</w:t>
      </w:r>
      <w:r w:rsidR="00D575F7">
        <w:t xml:space="preserve"> and concluded </w:t>
      </w:r>
      <w:r w:rsidR="00BE49A9">
        <w:t>noncognitive</w:t>
      </w:r>
      <w:r w:rsidR="00D575F7">
        <w:t xml:space="preserve"> skills were far more predictive of </w:t>
      </w:r>
      <w:r w:rsidR="00A96446">
        <w:t xml:space="preserve">both job satisfaction and </w:t>
      </w:r>
      <w:r w:rsidR="00D575F7">
        <w:t>overall quality of life than measures of cognitive ability.</w:t>
      </w:r>
      <w:r w:rsidR="00BE49A9">
        <w:t xml:space="preserve"> </w:t>
      </w:r>
    </w:p>
    <w:p w14:paraId="20C62F93" w14:textId="77777777" w:rsidR="00966DBD" w:rsidRDefault="00966DBD" w:rsidP="00966DBD">
      <w:pPr>
        <w:ind w:firstLine="720"/>
      </w:pPr>
    </w:p>
    <w:p w14:paraId="6E1BEEC5" w14:textId="31A399EF" w:rsidR="00966DBD" w:rsidRDefault="003E691C" w:rsidP="00966DBD">
      <w:pPr>
        <w:ind w:firstLine="720"/>
      </w:pPr>
      <w:r w:rsidRPr="008C5768">
        <w:t xml:space="preserve">Grit, optimism, locus of control and self-efficacy </w:t>
      </w:r>
      <w:r>
        <w:t xml:space="preserve">are subsets of the larger concept of noncognitive </w:t>
      </w:r>
      <w:r w:rsidR="00F7742E">
        <w:t>skills</w:t>
      </w:r>
      <w:r>
        <w:t xml:space="preserve"> </w:t>
      </w:r>
      <w:r w:rsidR="00BE49A9">
        <w:t xml:space="preserve">shown to influence student success </w:t>
      </w:r>
      <w:r w:rsidRPr="00BE37E7">
        <w:t>(</w:t>
      </w:r>
      <w:r w:rsidRPr="00BE37E7">
        <w:rPr>
          <w:color w:val="000000"/>
        </w:rPr>
        <w:t>Duckworth, Peterson, Matthews, &amp; Kelly, 2007</w:t>
      </w:r>
      <w:r w:rsidRPr="00BE37E7">
        <w:t>; Aspinwall</w:t>
      </w:r>
      <w:r>
        <w:t xml:space="preserve"> &amp; Taylor,</w:t>
      </w:r>
      <w:r w:rsidRPr="00BE37E7">
        <w:t xml:space="preserve"> 1992; Carden, Bryant, Moss, 2004; </w:t>
      </w:r>
      <w:proofErr w:type="spellStart"/>
      <w:r w:rsidRPr="00BE37E7">
        <w:t>Chemers</w:t>
      </w:r>
      <w:proofErr w:type="spellEnd"/>
      <w:r w:rsidRPr="00BE37E7">
        <w:t>, Hu, Garcia, 2001; &amp; Zimmermen, 2000)</w:t>
      </w:r>
      <w:r w:rsidRPr="008C5768">
        <w:t xml:space="preserve">. </w:t>
      </w:r>
      <w:r w:rsidR="00D575F7">
        <w:t xml:space="preserve">Collectively, measuring grit, optimism, locus of control, and self-efficacy allows an appraisal of an individual’s predisposition to </w:t>
      </w:r>
      <w:r w:rsidR="00BE49A9">
        <w:t xml:space="preserve">focus </w:t>
      </w:r>
      <w:r w:rsidR="00D575F7">
        <w:t>passion and perseverance toward a task, maintain a positive outlook on life, internalize decision-making</w:t>
      </w:r>
      <w:r w:rsidR="00D575F7">
        <w:rPr>
          <w:color w:val="000000" w:themeColor="text1"/>
        </w:rPr>
        <w:t xml:space="preserve">, and </w:t>
      </w:r>
      <w:r w:rsidR="00D575F7">
        <w:t>assess personal</w:t>
      </w:r>
      <w:r w:rsidR="00D575F7" w:rsidRPr="002D7D98">
        <w:t xml:space="preserve"> skills required to achieve goals</w:t>
      </w:r>
      <w:r w:rsidR="00D575F7">
        <w:t xml:space="preserve"> (Bandura, 1982; </w:t>
      </w:r>
      <w:r w:rsidR="00D575F7" w:rsidRPr="002D7D98">
        <w:t>Duckworth, Peterson, Matthews, &amp; Kelly, 2007</w:t>
      </w:r>
      <w:r w:rsidR="00D575F7">
        <w:t>; Pajares, 2009;</w:t>
      </w:r>
      <w:r w:rsidR="00D575F7" w:rsidRPr="00D575F7">
        <w:t xml:space="preserve"> </w:t>
      </w:r>
      <w:r w:rsidR="00D575F7" w:rsidRPr="0065341B">
        <w:rPr>
          <w:color w:val="000000" w:themeColor="text1"/>
        </w:rPr>
        <w:t>Rotter, 1966</w:t>
      </w:r>
      <w:r w:rsidR="00D575F7">
        <w:rPr>
          <w:color w:val="000000" w:themeColor="text1"/>
        </w:rPr>
        <w:t xml:space="preserve">; </w:t>
      </w:r>
      <w:r w:rsidR="00D575F7" w:rsidRPr="002D7D98">
        <w:t>Scheier &amp; Carver, 1985</w:t>
      </w:r>
      <w:r w:rsidR="00D575F7">
        <w:t>)</w:t>
      </w:r>
      <w:r w:rsidR="00624EA9">
        <w:t xml:space="preserve">. </w:t>
      </w:r>
      <w:r w:rsidR="00D575F7">
        <w:t>This group of noncognitive skills directly aligns with skills employers have noted as important characteristics in new employees (</w:t>
      </w:r>
      <w:r w:rsidR="005276C7">
        <w:t>Crawford &amp; Fink, 2020).</w:t>
      </w:r>
    </w:p>
    <w:p w14:paraId="40A3E9A3" w14:textId="77777777" w:rsidR="00966DBD" w:rsidRDefault="00966DBD" w:rsidP="00966DBD">
      <w:pPr>
        <w:ind w:firstLine="720"/>
      </w:pPr>
    </w:p>
    <w:p w14:paraId="6B46E59C" w14:textId="526F2DA6" w:rsidR="00FE2656" w:rsidRDefault="00FE2656" w:rsidP="00FE2656">
      <w:pPr>
        <w:ind w:firstLine="720"/>
      </w:pPr>
      <w:r>
        <w:t xml:space="preserve">Educators are </w:t>
      </w:r>
      <w:r w:rsidR="00C333F4">
        <w:t>now expected</w:t>
      </w:r>
      <w:r>
        <w:t xml:space="preserve"> to integrate noncognitive skills into the curriculum (Khine &amp; </w:t>
      </w:r>
      <w:proofErr w:type="spellStart"/>
      <w:r w:rsidRPr="00CA03D2">
        <w:t>Areepattamannil</w:t>
      </w:r>
      <w:proofErr w:type="spellEnd"/>
      <w:r w:rsidRPr="00CA03D2">
        <w:t>, 2016</w:t>
      </w:r>
      <w:r>
        <w:t xml:space="preserve">). </w:t>
      </w:r>
      <w:r w:rsidR="00A96446">
        <w:t>Recent school programs including character counts and growth mindset training highlight the desire for noncognitive skills to be embedded into the fabric of education (</w:t>
      </w:r>
      <w:r w:rsidR="003D215E">
        <w:t>Yeager, et al., 2019</w:t>
      </w:r>
      <w:r w:rsidR="00A96446">
        <w:t xml:space="preserve">) </w:t>
      </w:r>
      <w:r>
        <w:t xml:space="preserve">This increased pressure to help students develop noncognitive skills has created an interest in examining the places in education where these skills may be naturally incorporated (Stone, 2014). </w:t>
      </w:r>
      <w:r w:rsidR="004B560B">
        <w:t xml:space="preserve">CTE </w:t>
      </w:r>
      <w:r w:rsidR="004B560B" w:rsidRPr="0065341B">
        <w:t xml:space="preserve">programs </w:t>
      </w:r>
      <w:r w:rsidR="004B560B">
        <w:t>are designed to</w:t>
      </w:r>
      <w:r w:rsidR="004B560B" w:rsidRPr="0065341B">
        <w:t xml:space="preserve"> focus on building well</w:t>
      </w:r>
      <w:r w:rsidR="004B560B">
        <w:t>-</w:t>
      </w:r>
      <w:r w:rsidR="004B560B" w:rsidRPr="0065341B">
        <w:t>rounded, employable students</w:t>
      </w:r>
      <w:r w:rsidR="004B560B">
        <w:t xml:space="preserve"> through a combination of content knowledge, work-based experience, and leadership development</w:t>
      </w:r>
      <w:r w:rsidR="004B560B" w:rsidRPr="0065341B">
        <w:t xml:space="preserve"> (Gordon, 2008)</w:t>
      </w:r>
      <w:r w:rsidR="004B560B">
        <w:t xml:space="preserve">. </w:t>
      </w:r>
      <w:r w:rsidR="0044177E">
        <w:t xml:space="preserve">Cheng and Hitt (2018) conducted an analysis of more </w:t>
      </w:r>
      <w:r w:rsidR="0044177E">
        <w:lastRenderedPageBreak/>
        <w:t>than 15,000 CTE students to examine noncognitive factors</w:t>
      </w:r>
      <w:r w:rsidR="00624EA9">
        <w:t xml:space="preserve">. </w:t>
      </w:r>
      <w:r w:rsidR="00BE49A9">
        <w:t xml:space="preserve">Their results indicated CTE students were more likely to have increased noncognitive </w:t>
      </w:r>
      <w:r w:rsidR="004B560B">
        <w:t>skills</w:t>
      </w:r>
      <w:r w:rsidR="00BE49A9">
        <w:t xml:space="preserve"> when compared to students in the same schools who were not enrolled in CTE courses. </w:t>
      </w:r>
      <w:r w:rsidR="00D572B2">
        <w:t>The three</w:t>
      </w:r>
      <w:r w:rsidR="00C333F4">
        <w:t>-</w:t>
      </w:r>
      <w:r w:rsidR="00D572B2">
        <w:t xml:space="preserve">component model of agricultural education also includes emphasis in content, individualized work-based opportunities through Supervised Agricultural Experiences (SAE) and leadership development through the National FFA Organization (Croom, 2003). Examinations into noncognitive factors of agricultural education students in </w:t>
      </w:r>
      <w:r w:rsidR="00377D5C">
        <w:t>Idaho</w:t>
      </w:r>
      <w:r w:rsidR="00D572B2">
        <w:t xml:space="preserve"> include n</w:t>
      </w:r>
      <w:r w:rsidR="004B560B">
        <w:t>oted</w:t>
      </w:r>
      <w:r w:rsidR="00D572B2">
        <w:t xml:space="preserve"> </w:t>
      </w:r>
      <w:r w:rsidR="009C04F8">
        <w:t>differences between noncognitive factors for gold and non-gold ranked career development event participants (</w:t>
      </w:r>
      <w:r w:rsidR="00B4539B">
        <w:t>Ford, et al.</w:t>
      </w:r>
      <w:r w:rsidR="009C04F8">
        <w:t>, 201</w:t>
      </w:r>
      <w:r w:rsidR="00197434">
        <w:t>9</w:t>
      </w:r>
      <w:r w:rsidR="009C04F8">
        <w:t xml:space="preserve">), </w:t>
      </w:r>
      <w:r w:rsidR="004B560B">
        <w:t>increased noncognitive skills for agricultural education students over-stated adolescent norms (</w:t>
      </w:r>
      <w:r w:rsidR="00EA2B25">
        <w:t>Smith &amp; Thapa</w:t>
      </w:r>
      <w:r w:rsidR="004B560B">
        <w:t>, 20</w:t>
      </w:r>
      <w:r w:rsidR="00CD0E22">
        <w:t>22</w:t>
      </w:r>
      <w:r w:rsidR="004B560B">
        <w:t xml:space="preserve">). Little is known about the noncognitive skills of SBAE students in contrast to the noncognitive skills of students outside of SBAE in </w:t>
      </w:r>
      <w:r w:rsidR="0020010F">
        <w:t>Idaho</w:t>
      </w:r>
      <w:r w:rsidR="004B560B">
        <w:t xml:space="preserve">. </w:t>
      </w:r>
      <w:r w:rsidRPr="0065341B">
        <w:t xml:space="preserve">Describing </w:t>
      </w:r>
      <w:r>
        <w:t>noncognitive</w:t>
      </w:r>
      <w:r w:rsidRPr="0065341B">
        <w:t xml:space="preserve"> </w:t>
      </w:r>
      <w:r w:rsidR="004B560B">
        <w:t>skills</w:t>
      </w:r>
      <w:r w:rsidRPr="0065341B">
        <w:t xml:space="preserve"> of </w:t>
      </w:r>
      <w:r>
        <w:t xml:space="preserve">could </w:t>
      </w:r>
      <w:r w:rsidRPr="0065341B">
        <w:t xml:space="preserve">allow </w:t>
      </w:r>
      <w:r w:rsidR="004B560B">
        <w:t>SBAE</w:t>
      </w:r>
      <w:r>
        <w:t xml:space="preserve"> administrators</w:t>
      </w:r>
      <w:r w:rsidRPr="0065341B">
        <w:t xml:space="preserve"> to critically evaluate the opportunities being offered </w:t>
      </w:r>
      <w:r>
        <w:t xml:space="preserve">to students </w:t>
      </w:r>
      <w:r w:rsidRPr="0065341B">
        <w:t xml:space="preserve">and </w:t>
      </w:r>
      <w:r>
        <w:t>provide vision for future programming</w:t>
      </w:r>
      <w:r w:rsidRPr="0065341B">
        <w:t>.</w:t>
      </w:r>
      <w:r>
        <w:t xml:space="preserve"> I</w:t>
      </w:r>
      <w:r w:rsidR="007F5063">
        <w:t>n</w:t>
      </w:r>
      <w:r>
        <w:t xml:space="preserve"> addition, examin</w:t>
      </w:r>
      <w:r w:rsidR="007F5063">
        <w:t xml:space="preserve">ing noncognitive skills </w:t>
      </w:r>
      <w:r>
        <w:t xml:space="preserve">can also help provide a preliminary insight into noncognitive </w:t>
      </w:r>
      <w:r w:rsidR="007F5063">
        <w:t xml:space="preserve">development of </w:t>
      </w:r>
      <w:r w:rsidR="00377D5C">
        <w:t>Idaho</w:t>
      </w:r>
      <w:r w:rsidR="004B560B">
        <w:t xml:space="preserve"> students.</w:t>
      </w:r>
    </w:p>
    <w:p w14:paraId="19E371E2" w14:textId="77777777" w:rsidR="00BE49A9" w:rsidRDefault="00BE49A9" w:rsidP="00BE49A9"/>
    <w:p w14:paraId="4594A745" w14:textId="15E1EA3F" w:rsidR="00FE2656" w:rsidRPr="002D7D98" w:rsidRDefault="00BE49A9" w:rsidP="00FE2656">
      <w:pPr>
        <w:ind w:firstLine="720"/>
      </w:pPr>
      <w:r w:rsidRPr="002D7D98">
        <w:t>The theoretical base for this study stems from existing models of school success and academic achievement</w:t>
      </w:r>
      <w:r w:rsidR="00624EA9">
        <w:t xml:space="preserve">. </w:t>
      </w:r>
      <w:r w:rsidRPr="002D7D98">
        <w:t>Carroll (1963) proposed that academic success can be achieved based on both school and student learning factors</w:t>
      </w:r>
      <w:r w:rsidR="00624EA9">
        <w:t xml:space="preserve">. </w:t>
      </w:r>
      <w:r w:rsidRPr="002D7D98">
        <w:t>According to Carroll (1963), student natural ability to learn (aptitude) is filtered through the student factors of ability to understand instruction and perseverance and school factors including opportunity to learn and quality of instruction to determine the output of academic achievement</w:t>
      </w:r>
      <w:r w:rsidR="00624EA9">
        <w:t xml:space="preserve">. </w:t>
      </w:r>
      <w:r w:rsidRPr="002D7D98">
        <w:t xml:space="preserve">Bloom’s work </w:t>
      </w:r>
      <w:r w:rsidR="00624EA9">
        <w:t xml:space="preserve">to develop </w:t>
      </w:r>
      <w:r w:rsidRPr="002D7D98">
        <w:t>taxonomy of learning led him to publish a subsequent model for school learning in 1976</w:t>
      </w:r>
      <w:r w:rsidR="00624EA9">
        <w:t xml:space="preserve">. </w:t>
      </w:r>
      <w:r w:rsidRPr="002D7D98">
        <w:t>The model included student characteristics of cognitive behaviors and affective behaviors as student input factors and quality of instruction as the school input factor to yield student level of achievement, rate of learning, and affective outcomes. The conceptual framework for this study draws from Bloom (1976) to describe student factors for learning including cognitive ability, reclassifying Bloom’s “affective behaviors” as noncognitive factors based on the recommendation of Farrington, et al. (2012)</w:t>
      </w:r>
      <w:r w:rsidR="00624EA9">
        <w:t xml:space="preserve">. </w:t>
      </w:r>
      <w:r w:rsidRPr="002D7D98">
        <w:t xml:space="preserve">In addition to student factors, school factors including opportunity to </w:t>
      </w:r>
      <w:r w:rsidR="007F5063" w:rsidRPr="002D7D98">
        <w:t>learn,</w:t>
      </w:r>
      <w:r w:rsidRPr="002D7D98">
        <w:t xml:space="preserve"> and quality of instructional events is included</w:t>
      </w:r>
      <w:r w:rsidR="00624EA9">
        <w:t xml:space="preserve">. </w:t>
      </w:r>
      <w:r w:rsidRPr="002D7D98">
        <w:t>Academic performance is noted as the outcome of the interaction between student learning factors and school learning factors</w:t>
      </w:r>
      <w:r>
        <w:t>.</w:t>
      </w:r>
      <w:r w:rsidR="00FE2656" w:rsidRPr="00FE2656">
        <w:t xml:space="preserve"> </w:t>
      </w:r>
      <w:r w:rsidR="00FE2656" w:rsidRPr="0065341B">
        <w:rPr>
          <w:color w:val="000000" w:themeColor="text1"/>
        </w:rPr>
        <w:t xml:space="preserve">In the conceptual model guiding this investigation grit, optimism, locus of control and self-efficacy are represented as </w:t>
      </w:r>
      <w:r w:rsidR="00FE2656">
        <w:rPr>
          <w:color w:val="000000" w:themeColor="text1"/>
        </w:rPr>
        <w:t>noncognitive</w:t>
      </w:r>
      <w:r w:rsidR="00FE2656" w:rsidRPr="0065341B">
        <w:rPr>
          <w:color w:val="000000" w:themeColor="text1"/>
        </w:rPr>
        <w:t xml:space="preserve"> traits, with age, gender and </w:t>
      </w:r>
      <w:r w:rsidR="00F7742E">
        <w:rPr>
          <w:color w:val="000000" w:themeColor="text1"/>
        </w:rPr>
        <w:t xml:space="preserve">SBAE enrollment </w:t>
      </w:r>
      <w:r w:rsidR="00FE2656" w:rsidRPr="0065341B">
        <w:rPr>
          <w:color w:val="000000" w:themeColor="text1"/>
        </w:rPr>
        <w:t>represented as personal characteristics.</w:t>
      </w:r>
    </w:p>
    <w:p w14:paraId="72E1D66F" w14:textId="77777777" w:rsidR="00F33BAA" w:rsidRPr="0065341B" w:rsidRDefault="00F33BAA" w:rsidP="00732CF1"/>
    <w:p w14:paraId="5CEC4E64" w14:textId="77777777" w:rsidR="009264E8" w:rsidRPr="0065341B" w:rsidRDefault="009264E8" w:rsidP="009264E8">
      <w:pPr>
        <w:pStyle w:val="Heading2"/>
        <w:rPr>
          <w:rFonts w:cs="Times New Roman"/>
          <w:sz w:val="24"/>
          <w:szCs w:val="24"/>
        </w:rPr>
      </w:pPr>
      <w:r w:rsidRPr="0065341B">
        <w:rPr>
          <w:rFonts w:cs="Times New Roman"/>
          <w:sz w:val="24"/>
          <w:szCs w:val="24"/>
        </w:rPr>
        <w:t xml:space="preserve">Purpose and Objectives </w:t>
      </w:r>
    </w:p>
    <w:p w14:paraId="70884C15" w14:textId="3497085F" w:rsidR="00072107" w:rsidRPr="0065341B" w:rsidRDefault="005F34D7" w:rsidP="007F5063">
      <w:pPr>
        <w:ind w:firstLine="720"/>
      </w:pPr>
      <w:r w:rsidRPr="0065341B">
        <w:t xml:space="preserve">The purpose of this </w:t>
      </w:r>
      <w:r w:rsidR="00BB1482">
        <w:t xml:space="preserve">portion of a larger </w:t>
      </w:r>
      <w:r w:rsidRPr="0065341B">
        <w:t xml:space="preserve">study was to describe the grit, optimism, locus of control and self-efficacy of </w:t>
      </w:r>
      <w:r w:rsidR="00F7742E">
        <w:t>secondary students based on their enrollment in SBAE courses</w:t>
      </w:r>
      <w:r w:rsidRPr="0065341B">
        <w:t>. To meet this purpose, the study was guided by the following objectives:</w:t>
      </w:r>
    </w:p>
    <w:p w14:paraId="37DBC833" w14:textId="550D7651" w:rsidR="005F34D7" w:rsidRPr="00FE2656" w:rsidRDefault="005F34D7" w:rsidP="005F34D7">
      <w:pPr>
        <w:pStyle w:val="ListParagraph"/>
        <w:numPr>
          <w:ilvl w:val="0"/>
          <w:numId w:val="2"/>
        </w:numPr>
        <w:ind w:left="1080"/>
        <w:rPr>
          <w:b/>
        </w:rPr>
      </w:pPr>
      <w:r w:rsidRPr="0065341B">
        <w:t xml:space="preserve">Describe the </w:t>
      </w:r>
      <w:r w:rsidR="005276C7">
        <w:t xml:space="preserve">noncognitive factors (grit, optimism, locus of control, and self-efficacy) </w:t>
      </w:r>
      <w:r w:rsidRPr="0065341B">
        <w:t xml:space="preserve">of </w:t>
      </w:r>
      <w:r w:rsidR="00F7742E">
        <w:t xml:space="preserve">students at </w:t>
      </w:r>
      <w:r w:rsidR="0067549F">
        <w:t>Columbia High School</w:t>
      </w:r>
      <w:r w:rsidR="00F7742E">
        <w:t>.</w:t>
      </w:r>
    </w:p>
    <w:p w14:paraId="584A239E" w14:textId="143A1337" w:rsidR="00997D97" w:rsidRPr="0065341B" w:rsidRDefault="00997D97" w:rsidP="005F34D7">
      <w:pPr>
        <w:pStyle w:val="ListParagraph"/>
        <w:numPr>
          <w:ilvl w:val="0"/>
          <w:numId w:val="2"/>
        </w:numPr>
        <w:ind w:left="1080"/>
        <w:rPr>
          <w:b/>
        </w:rPr>
      </w:pPr>
      <w:r>
        <w:t xml:space="preserve">Determine if differences exist in between noncognitive factors based on demographic factors (gender, year in school, SBAE enrollment) for students at </w:t>
      </w:r>
      <w:r w:rsidR="0067549F">
        <w:t>Columbia High School.</w:t>
      </w:r>
    </w:p>
    <w:p w14:paraId="53C626D1" w14:textId="77777777" w:rsidR="005F34D7" w:rsidRPr="0065341B" w:rsidRDefault="005F34D7" w:rsidP="005F34D7"/>
    <w:p w14:paraId="73CC0DFE" w14:textId="77777777" w:rsidR="009264E8" w:rsidRPr="0065341B" w:rsidRDefault="009264E8" w:rsidP="009264E8">
      <w:pPr>
        <w:pStyle w:val="Heading2"/>
        <w:rPr>
          <w:rFonts w:cs="Times New Roman"/>
          <w:sz w:val="24"/>
          <w:szCs w:val="24"/>
        </w:rPr>
      </w:pPr>
      <w:r w:rsidRPr="0065341B">
        <w:rPr>
          <w:rFonts w:cs="Times New Roman"/>
          <w:sz w:val="24"/>
          <w:szCs w:val="24"/>
        </w:rPr>
        <w:lastRenderedPageBreak/>
        <w:t xml:space="preserve">Methods </w:t>
      </w:r>
    </w:p>
    <w:p w14:paraId="7641C2F4" w14:textId="5CA2E9F2" w:rsidR="007F5063" w:rsidRDefault="007F5063" w:rsidP="007F5063">
      <w:pPr>
        <w:ind w:firstLine="720"/>
        <w:rPr>
          <w:color w:val="000000" w:themeColor="text1"/>
        </w:rPr>
      </w:pPr>
      <w:r w:rsidRPr="0065341B">
        <w:t xml:space="preserve">This study was descriptive in nature. </w:t>
      </w:r>
      <w:r w:rsidR="00711793">
        <w:t>An online curriculum for developing noncognitive skills developed by our research team due to</w:t>
      </w:r>
      <w:r w:rsidR="00BE0094">
        <w:t xml:space="preserve"> school shutdowns</w:t>
      </w:r>
      <w:r w:rsidR="00711793">
        <w:t xml:space="preserve"> during the COVID-19 pandemic</w:t>
      </w:r>
      <w:r w:rsidR="00BE0094">
        <w:t>,</w:t>
      </w:r>
      <w:r w:rsidR="00711793">
        <w:t xml:space="preserve"> and access was given to</w:t>
      </w:r>
      <w:r w:rsidR="00BE0094">
        <w:t xml:space="preserve"> both agricultural educators and other teachers at the school</w:t>
      </w:r>
      <w:r w:rsidR="00711793">
        <w:t>.</w:t>
      </w:r>
      <w:r w:rsidR="00BE0094">
        <w:t xml:space="preserve"> </w:t>
      </w:r>
      <w:r w:rsidRPr="005F1162">
        <w:t xml:space="preserve">The study was </w:t>
      </w:r>
      <w:r w:rsidR="00BE0094">
        <w:t xml:space="preserve">a census of the population </w:t>
      </w:r>
      <w:r w:rsidR="00F7742E">
        <w:t xml:space="preserve">of </w:t>
      </w:r>
      <w:r w:rsidR="005923B4">
        <w:t>(</w:t>
      </w:r>
      <w:r w:rsidR="00BE0094">
        <w:rPr>
          <w:i/>
          <w:iCs/>
        </w:rPr>
        <w:t>N</w:t>
      </w:r>
      <w:r w:rsidR="005923B4" w:rsidRPr="005923B4">
        <w:rPr>
          <w:i/>
          <w:iCs/>
        </w:rPr>
        <w:t xml:space="preserve"> </w:t>
      </w:r>
      <w:r w:rsidR="005923B4">
        <w:t xml:space="preserve">= </w:t>
      </w:r>
      <w:r w:rsidR="00BE0094">
        <w:t>621</w:t>
      </w:r>
      <w:r w:rsidR="005923B4">
        <w:t xml:space="preserve">) </w:t>
      </w:r>
      <w:r w:rsidR="00F7742E" w:rsidRPr="005923B4">
        <w:t>students</w:t>
      </w:r>
      <w:r w:rsidR="00F7742E">
        <w:t xml:space="preserve"> enrolled in </w:t>
      </w:r>
      <w:r w:rsidR="0065794F">
        <w:t xml:space="preserve">25 different </w:t>
      </w:r>
      <w:r w:rsidR="00F7742E">
        <w:t>courses</w:t>
      </w:r>
      <w:r w:rsidR="007722A6">
        <w:t xml:space="preserve"> for teachers who requested access to the curriculum</w:t>
      </w:r>
      <w:r w:rsidR="00F7742E">
        <w:t xml:space="preserve"> at [High School] in Spring 2020.  </w:t>
      </w:r>
      <w:r w:rsidR="00BE0094">
        <w:t xml:space="preserve">Courses included English, math, economics, and physical education courses along with all agricultural education courses offered. </w:t>
      </w:r>
      <w:r w:rsidR="00D57474">
        <w:t xml:space="preserve">The total enrollment of [High School] in 2019-2020 was 1,372 students. </w:t>
      </w:r>
      <w:r w:rsidR="00F7742E">
        <w:t xml:space="preserve">As a component of the online curriculum, </w:t>
      </w:r>
      <w:r w:rsidR="005923B4">
        <w:t xml:space="preserve">students completed an online instrument </w:t>
      </w:r>
      <w:r w:rsidR="00BE0094">
        <w:t xml:space="preserve">to examine noncognitive factors. </w:t>
      </w:r>
      <w:r w:rsidR="00711793">
        <w:t>C</w:t>
      </w:r>
      <w:r w:rsidRPr="00A90C1D">
        <w:t xml:space="preserve">aution should be taken in generalizing results to a population outside of the respondents because a selected population </w:t>
      </w:r>
      <w:r>
        <w:t>wa</w:t>
      </w:r>
      <w:r w:rsidRPr="00A90C1D">
        <w:t>s used</w:t>
      </w:r>
      <w:r w:rsidR="00624EA9">
        <w:t xml:space="preserve">. </w:t>
      </w:r>
      <w:r>
        <w:t xml:space="preserve">We make no claims that the population of this study is representative of all </w:t>
      </w:r>
      <w:r w:rsidR="005923B4">
        <w:t>secondary, SBAE, or non-SBAE</w:t>
      </w:r>
      <w:r>
        <w:t xml:space="preserve"> students in </w:t>
      </w:r>
      <w:r w:rsidR="00E15F57">
        <w:t>Idaho</w:t>
      </w:r>
      <w:r w:rsidR="00730775">
        <w:t>.</w:t>
      </w:r>
      <w:r w:rsidR="00BE0094">
        <w:t xml:space="preserve"> Of all students in the 25 courses,</w:t>
      </w:r>
      <w:r w:rsidR="00EC1535">
        <w:t xml:space="preserve"> </w:t>
      </w:r>
      <w:r w:rsidR="00BE0094">
        <w:t>90.2</w:t>
      </w:r>
      <w:r w:rsidR="00EC1535">
        <w:t>% (</w:t>
      </w:r>
      <w:r w:rsidR="005923B4">
        <w:rPr>
          <w:i/>
          <w:iCs/>
        </w:rPr>
        <w:t>n</w:t>
      </w:r>
      <w:r w:rsidR="00EC1535">
        <w:rPr>
          <w:i/>
          <w:iCs/>
        </w:rPr>
        <w:t xml:space="preserve"> </w:t>
      </w:r>
      <w:r w:rsidR="00EC1535">
        <w:t xml:space="preserve">= </w:t>
      </w:r>
      <w:r w:rsidR="005923B4">
        <w:t>560</w:t>
      </w:r>
      <w:r w:rsidR="00EC1535">
        <w:t xml:space="preserve">) </w:t>
      </w:r>
      <w:r w:rsidR="00156ED5">
        <w:t xml:space="preserve">of </w:t>
      </w:r>
      <w:r w:rsidR="00EC1535">
        <w:t>participants completed consent/assent and responded to the instrument</w:t>
      </w:r>
      <w:r w:rsidR="00345E6C">
        <w:t>.</w:t>
      </w:r>
    </w:p>
    <w:p w14:paraId="53E10A3E" w14:textId="77777777" w:rsidR="007F5063" w:rsidRDefault="007F5063" w:rsidP="007F5063">
      <w:pPr>
        <w:ind w:firstLine="720"/>
        <w:rPr>
          <w:color w:val="000000" w:themeColor="text1"/>
        </w:rPr>
      </w:pPr>
    </w:p>
    <w:p w14:paraId="7B52D33F" w14:textId="5961BC21" w:rsidR="0010481C" w:rsidRDefault="00156ED5" w:rsidP="00345E6C">
      <w:pPr>
        <w:pStyle w:val="NoSpacing"/>
        <w:ind w:firstLine="720"/>
      </w:pPr>
      <w:r>
        <w:rPr>
          <w:rFonts w:cs="Times New Roman"/>
        </w:rPr>
        <w:t xml:space="preserve">The online </w:t>
      </w:r>
      <w:r w:rsidR="00624EA9">
        <w:rPr>
          <w:rFonts w:cs="Times New Roman"/>
        </w:rPr>
        <w:t xml:space="preserve">instrument </w:t>
      </w:r>
      <w:r w:rsidR="00345E6C">
        <w:rPr>
          <w:rFonts w:cs="Times New Roman"/>
        </w:rPr>
        <w:t>combined</w:t>
      </w:r>
      <w:r w:rsidR="00345E6C" w:rsidRPr="005F1162">
        <w:rPr>
          <w:rFonts w:cs="Times New Roman"/>
        </w:rPr>
        <w:t xml:space="preserve"> </w:t>
      </w:r>
      <w:r w:rsidR="00345E6C">
        <w:rPr>
          <w:rFonts w:cs="Times New Roman"/>
        </w:rPr>
        <w:t xml:space="preserve">demographic items with </w:t>
      </w:r>
      <w:r w:rsidR="00345E6C" w:rsidRPr="005F1162">
        <w:rPr>
          <w:rFonts w:cs="Times New Roman"/>
        </w:rPr>
        <w:t xml:space="preserve">four </w:t>
      </w:r>
      <w:r w:rsidR="00345E6C">
        <w:rPr>
          <w:rFonts w:cs="Times New Roman"/>
        </w:rPr>
        <w:t xml:space="preserve">pre-existing </w:t>
      </w:r>
      <w:r w:rsidR="00345E6C" w:rsidRPr="005F1162">
        <w:rPr>
          <w:rFonts w:cs="Times New Roman"/>
        </w:rPr>
        <w:t xml:space="preserve">instruments </w:t>
      </w:r>
      <w:r w:rsidR="00345E6C">
        <w:rPr>
          <w:rFonts w:cs="Times New Roman"/>
        </w:rPr>
        <w:t>designed to measure noncognitive skills</w:t>
      </w:r>
      <w:r w:rsidR="00624EA9">
        <w:rPr>
          <w:rFonts w:cs="Times New Roman"/>
        </w:rPr>
        <w:t xml:space="preserve">. </w:t>
      </w:r>
      <w:r w:rsidR="00345E6C">
        <w:rPr>
          <w:rFonts w:cs="Times New Roman"/>
        </w:rPr>
        <w:t xml:space="preserve">The first section of the instrument asked respondents to </w:t>
      </w:r>
      <w:r w:rsidR="00711793">
        <w:rPr>
          <w:rFonts w:cs="Times New Roman"/>
        </w:rPr>
        <w:t>answer</w:t>
      </w:r>
      <w:r w:rsidR="00345E6C">
        <w:rPr>
          <w:rFonts w:cs="Times New Roman"/>
        </w:rPr>
        <w:t xml:space="preserve"> demographic questions including: age, gender, grade in school, self-reported GPA, </w:t>
      </w:r>
      <w:r>
        <w:rPr>
          <w:rFonts w:cs="Times New Roman"/>
        </w:rPr>
        <w:t xml:space="preserve">and </w:t>
      </w:r>
      <w:r w:rsidR="00711793">
        <w:rPr>
          <w:rFonts w:cs="Times New Roman"/>
        </w:rPr>
        <w:t xml:space="preserve">in </w:t>
      </w:r>
      <w:r>
        <w:rPr>
          <w:rFonts w:cs="Times New Roman"/>
        </w:rPr>
        <w:t>which (if any) agricultural education course they were enrolled</w:t>
      </w:r>
      <w:r w:rsidR="00624EA9">
        <w:rPr>
          <w:rFonts w:cs="Times New Roman"/>
        </w:rPr>
        <w:t xml:space="preserve">. </w:t>
      </w:r>
      <w:r w:rsidR="00345E6C">
        <w:rPr>
          <w:rFonts w:cs="Times New Roman"/>
        </w:rPr>
        <w:t>Section two included t</w:t>
      </w:r>
      <w:r w:rsidR="0010481C" w:rsidRPr="0065341B">
        <w:rPr>
          <w:color w:val="000000" w:themeColor="text1"/>
        </w:rPr>
        <w:t xml:space="preserve">he </w:t>
      </w:r>
      <w:r w:rsidR="00345E6C">
        <w:rPr>
          <w:color w:val="000000" w:themeColor="text1"/>
        </w:rPr>
        <w:t xml:space="preserve">10-items from the </w:t>
      </w:r>
      <w:r w:rsidR="0010481C" w:rsidRPr="0065341B">
        <w:rPr>
          <w:color w:val="000000" w:themeColor="text1"/>
        </w:rPr>
        <w:t>Short Grit Scale (Grit-S; Duckworth &amp; Quinn, 2009)</w:t>
      </w:r>
      <w:r w:rsidR="00345E6C">
        <w:rPr>
          <w:color w:val="000000" w:themeColor="text1"/>
        </w:rPr>
        <w:t xml:space="preserve">. </w:t>
      </w:r>
      <w:r w:rsidR="0010481C" w:rsidRPr="0065341B">
        <w:rPr>
          <w:color w:val="000000" w:themeColor="text1"/>
        </w:rPr>
        <w:t xml:space="preserve">There are two </w:t>
      </w:r>
      <w:proofErr w:type="gramStart"/>
      <w:r w:rsidR="0010481C" w:rsidRPr="0065341B">
        <w:rPr>
          <w:color w:val="000000" w:themeColor="text1"/>
        </w:rPr>
        <w:t>subscales;</w:t>
      </w:r>
      <w:proofErr w:type="gramEnd"/>
      <w:r w:rsidR="0010481C" w:rsidRPr="0065341B">
        <w:rPr>
          <w:color w:val="000000" w:themeColor="text1"/>
        </w:rPr>
        <w:t xml:space="preserve"> passion and perseverance each with five items.</w:t>
      </w:r>
      <w:r w:rsidR="00212BCE">
        <w:rPr>
          <w:color w:val="000000" w:themeColor="text1"/>
        </w:rPr>
        <w:t xml:space="preserve"> </w:t>
      </w:r>
      <w:r w:rsidR="0010481C" w:rsidRPr="0065341B">
        <w:rPr>
          <w:color w:val="000000" w:themeColor="text1"/>
        </w:rPr>
        <w:t xml:space="preserve">Each of the items per subscale are rated on a 5-point </w:t>
      </w:r>
      <w:proofErr w:type="spellStart"/>
      <w:r w:rsidR="00C700ED">
        <w:rPr>
          <w:color w:val="000000" w:themeColor="text1"/>
        </w:rPr>
        <w:t>likert</w:t>
      </w:r>
      <w:proofErr w:type="spellEnd"/>
      <w:r w:rsidR="00C700ED">
        <w:rPr>
          <w:color w:val="000000" w:themeColor="text1"/>
        </w:rPr>
        <w:t>-</w:t>
      </w:r>
      <w:r w:rsidR="0010481C" w:rsidRPr="0065341B">
        <w:rPr>
          <w:color w:val="000000" w:themeColor="text1"/>
        </w:rPr>
        <w:t>scale from 1 (</w:t>
      </w:r>
      <w:r w:rsidR="0010481C" w:rsidRPr="0065341B">
        <w:rPr>
          <w:i/>
          <w:color w:val="000000" w:themeColor="text1"/>
        </w:rPr>
        <w:t>not at all like me</w:t>
      </w:r>
      <w:r w:rsidR="0010481C" w:rsidRPr="0065341B">
        <w:rPr>
          <w:color w:val="000000" w:themeColor="text1"/>
        </w:rPr>
        <w:t>) to 5 (</w:t>
      </w:r>
      <w:r w:rsidR="0010481C" w:rsidRPr="0065341B">
        <w:rPr>
          <w:i/>
          <w:color w:val="000000" w:themeColor="text1"/>
        </w:rPr>
        <w:t>very much like me</w:t>
      </w:r>
      <w:r w:rsidR="0010481C" w:rsidRPr="0065341B">
        <w:rPr>
          <w:color w:val="000000" w:themeColor="text1"/>
        </w:rPr>
        <w:t xml:space="preserve">). </w:t>
      </w:r>
      <w:r w:rsidR="00CE7AA0">
        <w:rPr>
          <w:color w:val="000000" w:themeColor="text1"/>
        </w:rPr>
        <w:t>Section three was t</w:t>
      </w:r>
      <w:r w:rsidR="0010481C" w:rsidRPr="0065341B">
        <w:rPr>
          <w:color w:val="000000" w:themeColor="text1"/>
        </w:rPr>
        <w:t>he</w:t>
      </w:r>
      <w:r w:rsidR="00624EA9">
        <w:rPr>
          <w:color w:val="000000" w:themeColor="text1"/>
        </w:rPr>
        <w:t xml:space="preserve"> 10-item</w:t>
      </w:r>
      <w:r w:rsidR="0010481C" w:rsidRPr="0065341B">
        <w:rPr>
          <w:color w:val="000000" w:themeColor="text1"/>
        </w:rPr>
        <w:t xml:space="preserve"> Revised Life Orientation Test (LOT-R; Schiever, Carver &amp; Bridges, 1994) </w:t>
      </w:r>
      <w:r w:rsidR="00CE7AA0">
        <w:rPr>
          <w:color w:val="000000" w:themeColor="text1"/>
        </w:rPr>
        <w:t xml:space="preserve">with items </w:t>
      </w:r>
      <w:r w:rsidR="0010481C" w:rsidRPr="0065341B">
        <w:rPr>
          <w:color w:val="000000" w:themeColor="text1"/>
        </w:rPr>
        <w:t>rated on a 5-point Likert scale from 1 (</w:t>
      </w:r>
      <w:r w:rsidR="0010481C" w:rsidRPr="0065341B">
        <w:rPr>
          <w:i/>
          <w:color w:val="000000" w:themeColor="text1"/>
        </w:rPr>
        <w:t>I disagree a lot</w:t>
      </w:r>
      <w:r w:rsidR="0010481C" w:rsidRPr="0065341B">
        <w:rPr>
          <w:color w:val="000000" w:themeColor="text1"/>
        </w:rPr>
        <w:t>) to 5 (</w:t>
      </w:r>
      <w:r w:rsidR="0010481C" w:rsidRPr="0065341B">
        <w:rPr>
          <w:i/>
          <w:color w:val="000000" w:themeColor="text1"/>
        </w:rPr>
        <w:t>I agree a lot</w:t>
      </w:r>
      <w:r w:rsidR="0010481C" w:rsidRPr="0065341B">
        <w:rPr>
          <w:color w:val="000000" w:themeColor="text1"/>
        </w:rPr>
        <w:t xml:space="preserve">). </w:t>
      </w:r>
      <w:r w:rsidR="00345E6C">
        <w:rPr>
          <w:color w:val="000000" w:themeColor="text1"/>
        </w:rPr>
        <w:t>Section four of the instrument was Rotter’s (1966)</w:t>
      </w:r>
      <w:r w:rsidR="00BE37E7" w:rsidRPr="0065341B">
        <w:rPr>
          <w:color w:val="000000" w:themeColor="text1"/>
        </w:rPr>
        <w:t xml:space="preserve"> Locus of Control Questionnaire (LOCQ) contain</w:t>
      </w:r>
      <w:r w:rsidR="00345E6C">
        <w:rPr>
          <w:color w:val="000000" w:themeColor="text1"/>
        </w:rPr>
        <w:t>ing</w:t>
      </w:r>
      <w:r w:rsidR="00BE37E7" w:rsidRPr="0065341B">
        <w:rPr>
          <w:color w:val="000000" w:themeColor="text1"/>
        </w:rPr>
        <w:t xml:space="preserve"> 29 dichotomous items</w:t>
      </w:r>
      <w:r w:rsidR="00624EA9">
        <w:rPr>
          <w:color w:val="000000" w:themeColor="text1"/>
        </w:rPr>
        <w:t xml:space="preserve">, evenly split between intrinsic and extrinsic motivations. </w:t>
      </w:r>
      <w:r w:rsidR="00C700ED" w:rsidRPr="0065341B">
        <w:rPr>
          <w:color w:val="000000" w:themeColor="text1"/>
        </w:rPr>
        <w:t>The</w:t>
      </w:r>
      <w:r w:rsidR="00345E6C">
        <w:rPr>
          <w:color w:val="000000" w:themeColor="text1"/>
        </w:rPr>
        <w:t xml:space="preserve"> final section of the instrument was the</w:t>
      </w:r>
      <w:r w:rsidR="00C700ED" w:rsidRPr="0065341B">
        <w:rPr>
          <w:color w:val="000000" w:themeColor="text1"/>
        </w:rPr>
        <w:t xml:space="preserve"> General Self-Efficacy Scale (GSE; Schwarzer &amp; Jerusalem, 195</w:t>
      </w:r>
      <w:r w:rsidR="00624EA9">
        <w:rPr>
          <w:color w:val="000000" w:themeColor="text1"/>
        </w:rPr>
        <w:t xml:space="preserve">0, </w:t>
      </w:r>
      <w:r w:rsidR="00BE0094">
        <w:rPr>
          <w:color w:val="000000" w:themeColor="text1"/>
        </w:rPr>
        <w:t xml:space="preserve">with </w:t>
      </w:r>
      <w:r w:rsidR="00345E6C">
        <w:rPr>
          <w:color w:val="000000" w:themeColor="text1"/>
        </w:rPr>
        <w:t>10</w:t>
      </w:r>
      <w:r w:rsidR="00624EA9">
        <w:rPr>
          <w:color w:val="000000" w:themeColor="text1"/>
        </w:rPr>
        <w:t>-</w:t>
      </w:r>
      <w:r w:rsidR="00C700ED" w:rsidRPr="0065341B">
        <w:rPr>
          <w:color w:val="000000" w:themeColor="text1"/>
        </w:rPr>
        <w:t>items rated on a 10-point Likert scale from 1 (</w:t>
      </w:r>
      <w:r w:rsidR="00C700ED" w:rsidRPr="0065341B">
        <w:rPr>
          <w:i/>
          <w:color w:val="000000" w:themeColor="text1"/>
        </w:rPr>
        <w:t>not confident</w:t>
      </w:r>
      <w:r w:rsidR="00C700ED" w:rsidRPr="0065341B">
        <w:rPr>
          <w:color w:val="000000" w:themeColor="text1"/>
        </w:rPr>
        <w:t>) to 10 (</w:t>
      </w:r>
      <w:r w:rsidR="00C700ED" w:rsidRPr="0065341B">
        <w:rPr>
          <w:i/>
          <w:color w:val="000000" w:themeColor="text1"/>
        </w:rPr>
        <w:t>confident</w:t>
      </w:r>
      <w:r w:rsidR="00C700ED" w:rsidRPr="0065341B">
        <w:rPr>
          <w:color w:val="000000" w:themeColor="text1"/>
        </w:rPr>
        <w:t>)</w:t>
      </w:r>
      <w:r w:rsidR="00345E6C">
        <w:rPr>
          <w:color w:val="000000" w:themeColor="text1"/>
        </w:rPr>
        <w:t xml:space="preserve">. </w:t>
      </w:r>
      <w:r w:rsidR="003C75B9">
        <w:rPr>
          <w:rFonts w:cs="Times New Roman"/>
        </w:rPr>
        <w:t>S</w:t>
      </w:r>
      <w:r w:rsidR="003C75B9" w:rsidRPr="001D5645">
        <w:rPr>
          <w:rFonts w:cs="Times New Roman"/>
        </w:rPr>
        <w:t xml:space="preserve">tudents were </w:t>
      </w:r>
      <w:r>
        <w:rPr>
          <w:rFonts w:cs="Times New Roman"/>
        </w:rPr>
        <w:t xml:space="preserve">emailed their results in each noncognitive skill for purposes of completing the curriculum modules. </w:t>
      </w:r>
      <w:r>
        <w:rPr>
          <w:color w:val="000000" w:themeColor="text1"/>
        </w:rPr>
        <w:t>D</w:t>
      </w:r>
      <w:r w:rsidRPr="0065341B">
        <w:rPr>
          <w:color w:val="000000" w:themeColor="text1"/>
        </w:rPr>
        <w:t>ata w</w:t>
      </w:r>
      <w:r>
        <w:rPr>
          <w:color w:val="000000" w:themeColor="text1"/>
        </w:rPr>
        <w:t>ere</w:t>
      </w:r>
      <w:r w:rsidRPr="0065341B">
        <w:rPr>
          <w:color w:val="000000" w:themeColor="text1"/>
        </w:rPr>
        <w:t xml:space="preserve"> </w:t>
      </w:r>
      <w:r w:rsidRPr="0065341B">
        <w:rPr>
          <w:color w:val="000000"/>
        </w:rPr>
        <w:t>entered</w:t>
      </w:r>
      <w:r>
        <w:rPr>
          <w:color w:val="000000"/>
        </w:rPr>
        <w:t xml:space="preserve"> in</w:t>
      </w:r>
      <w:r w:rsidRPr="0065341B">
        <w:rPr>
          <w:color w:val="000000"/>
        </w:rPr>
        <w:t xml:space="preserve"> a MS excel spreadsheet</w:t>
      </w:r>
      <w:r>
        <w:rPr>
          <w:color w:val="000000"/>
        </w:rPr>
        <w:t xml:space="preserve"> for formatting then</w:t>
      </w:r>
      <w:r>
        <w:rPr>
          <w:rFonts w:cs="Times New Roman"/>
        </w:rPr>
        <w:t xml:space="preserve"> </w:t>
      </w:r>
      <w:r w:rsidR="003C75B9">
        <w:rPr>
          <w:rFonts w:cs="Times New Roman"/>
        </w:rPr>
        <w:t>analyze</w:t>
      </w:r>
      <w:r>
        <w:rPr>
          <w:rFonts w:cs="Times New Roman"/>
        </w:rPr>
        <w:t xml:space="preserve">d using </w:t>
      </w:r>
      <w:r>
        <w:rPr>
          <w:color w:val="000000"/>
        </w:rPr>
        <w:t xml:space="preserve">IBM </w:t>
      </w:r>
      <w:r w:rsidRPr="0065341B">
        <w:rPr>
          <w:color w:val="000000"/>
        </w:rPr>
        <w:t>SPSS version 26</w:t>
      </w:r>
      <w:r>
        <w:rPr>
          <w:color w:val="000000"/>
        </w:rPr>
        <w:t>.</w:t>
      </w:r>
      <w:r>
        <w:rPr>
          <w:rFonts w:cs="Times New Roman"/>
        </w:rPr>
        <w:t xml:space="preserve"> We previously determined face validity for the instrument using a team of agricultural education and educational psychology faculty, and post-secondary agricultural education students. </w:t>
      </w:r>
      <w:r w:rsidR="00B2474F" w:rsidRPr="0065341B">
        <w:t xml:space="preserve">Each </w:t>
      </w:r>
      <w:r w:rsidR="00345E6C">
        <w:t>construct in the instrument</w:t>
      </w:r>
      <w:r w:rsidR="00B2474F" w:rsidRPr="0065341B">
        <w:t xml:space="preserve"> had </w:t>
      </w:r>
      <w:r w:rsidR="00782347">
        <w:t xml:space="preserve">previously </w:t>
      </w:r>
      <w:r w:rsidR="00B2474F" w:rsidRPr="0065341B">
        <w:t>reported reliability at or above α = 0.80</w:t>
      </w:r>
      <w:r w:rsidR="00345E6C">
        <w:t>. P</w:t>
      </w:r>
      <w:r w:rsidR="00BB1482">
        <w:t xml:space="preserve">ost hoc reliability estimates ranged from </w:t>
      </w:r>
      <w:r w:rsidR="00782347">
        <w:t>α = 0.8</w:t>
      </w:r>
      <w:r w:rsidR="00D57474">
        <w:t>8</w:t>
      </w:r>
      <w:r w:rsidR="00782347">
        <w:t xml:space="preserve"> to α = 0.9</w:t>
      </w:r>
      <w:r w:rsidR="00D57474">
        <w:t>3</w:t>
      </w:r>
      <w:r w:rsidR="00345E6C">
        <w:t>.</w:t>
      </w:r>
    </w:p>
    <w:p w14:paraId="7BB66608" w14:textId="77777777" w:rsidR="00C90F0C" w:rsidRDefault="00C90F0C" w:rsidP="00624EA9">
      <w:pPr>
        <w:pStyle w:val="NoSpacing"/>
        <w:ind w:firstLine="720"/>
        <w:rPr>
          <w:color w:val="000000"/>
        </w:rPr>
      </w:pPr>
    </w:p>
    <w:p w14:paraId="1F7532E0" w14:textId="77777777" w:rsidR="00262505" w:rsidRDefault="00262505" w:rsidP="00D57474">
      <w:pPr>
        <w:pStyle w:val="NoSpacing"/>
        <w:jc w:val="center"/>
        <w:rPr>
          <w:rFonts w:cs="Times New Roman"/>
          <w:b/>
          <w:bCs/>
        </w:rPr>
      </w:pPr>
      <w:r w:rsidRPr="00C90F0C">
        <w:rPr>
          <w:rFonts w:cs="Times New Roman"/>
          <w:b/>
          <w:bCs/>
        </w:rPr>
        <w:t>Results and Findings</w:t>
      </w:r>
    </w:p>
    <w:p w14:paraId="6E2D797D" w14:textId="77777777" w:rsidR="003C75B9" w:rsidRPr="00C90F0C" w:rsidRDefault="003C75B9" w:rsidP="00C90F0C">
      <w:pPr>
        <w:pStyle w:val="NoSpacing"/>
        <w:ind w:firstLine="720"/>
        <w:jc w:val="center"/>
        <w:rPr>
          <w:rFonts w:cs="Times New Roman"/>
          <w:b/>
          <w:bCs/>
        </w:rPr>
      </w:pPr>
    </w:p>
    <w:p w14:paraId="619AA080" w14:textId="6B6A0FD9" w:rsidR="005276C7" w:rsidRPr="00A8578C" w:rsidRDefault="005276C7" w:rsidP="005219BE">
      <w:pPr>
        <w:ind w:firstLine="720"/>
      </w:pPr>
      <w:r>
        <w:t xml:space="preserve">Subject characteristics were </w:t>
      </w:r>
      <w:r w:rsidR="00CE3E55">
        <w:t xml:space="preserve">analyzed for </w:t>
      </w:r>
      <w:r w:rsidR="00D57474">
        <w:t>demographic factors.</w:t>
      </w:r>
      <w:r w:rsidR="00624EA9">
        <w:t xml:space="preserve"> </w:t>
      </w:r>
      <w:r w:rsidR="00D57474">
        <w:t>For gender</w:t>
      </w:r>
      <w:r w:rsidRPr="0065341B">
        <w:t xml:space="preserve"> </w:t>
      </w:r>
      <w:r w:rsidR="00B302FC">
        <w:t xml:space="preserve">52.0% of students responded as male </w:t>
      </w:r>
      <w:r w:rsidR="00B302FC" w:rsidRPr="0065341B">
        <w:t>(</w:t>
      </w:r>
      <w:r w:rsidR="00B302FC" w:rsidRPr="00F118A2">
        <w:rPr>
          <w:i/>
        </w:rPr>
        <w:t>n</w:t>
      </w:r>
      <w:r w:rsidR="00B302FC" w:rsidRPr="0065341B">
        <w:t xml:space="preserve"> = 2</w:t>
      </w:r>
      <w:r w:rsidR="00B302FC">
        <w:t>91</w:t>
      </w:r>
      <w:r w:rsidR="00B302FC" w:rsidRPr="0065341B">
        <w:t>)</w:t>
      </w:r>
      <w:r w:rsidR="00B302FC">
        <w:t>, with 47.0</w:t>
      </w:r>
      <w:r w:rsidRPr="0065341B">
        <w:t xml:space="preserve">% of participants </w:t>
      </w:r>
      <w:r w:rsidR="00B302FC">
        <w:t>responding</w:t>
      </w:r>
      <w:r w:rsidRPr="0065341B">
        <w:t xml:space="preserve"> female (</w:t>
      </w:r>
      <w:r w:rsidRPr="00F118A2">
        <w:rPr>
          <w:i/>
        </w:rPr>
        <w:t>n</w:t>
      </w:r>
      <w:r w:rsidRPr="0065341B">
        <w:t xml:space="preserve"> = 2</w:t>
      </w:r>
      <w:r w:rsidR="00B302FC">
        <w:t>63</w:t>
      </w:r>
      <w:r w:rsidRPr="0065341B">
        <w:t>)</w:t>
      </w:r>
      <w:r w:rsidR="00CE3E55">
        <w:t xml:space="preserve">, </w:t>
      </w:r>
      <w:r w:rsidR="00B302FC">
        <w:t>and 1.0</w:t>
      </w:r>
      <w:proofErr w:type="gramStart"/>
      <w:r w:rsidR="00B302FC">
        <w:t xml:space="preserve">% </w:t>
      </w:r>
      <w:r w:rsidR="00CE3E55">
        <w:t xml:space="preserve"> (</w:t>
      </w:r>
      <w:proofErr w:type="gramEnd"/>
      <w:r w:rsidR="00CE3E55">
        <w:rPr>
          <w:i/>
          <w:iCs/>
        </w:rPr>
        <w:t xml:space="preserve">n = </w:t>
      </w:r>
      <w:r w:rsidR="00B302FC">
        <w:t>6</w:t>
      </w:r>
      <w:r w:rsidR="00CE3E55">
        <w:t xml:space="preserve">) </w:t>
      </w:r>
      <w:r w:rsidR="00B302FC">
        <w:t xml:space="preserve">selecting </w:t>
      </w:r>
      <w:r w:rsidR="00B302FC" w:rsidRPr="00B302FC">
        <w:t>prefer not to respond</w:t>
      </w:r>
      <w:r w:rsidR="00624EA9">
        <w:t xml:space="preserve">. </w:t>
      </w:r>
      <w:r w:rsidR="00EC1535">
        <w:t>The grade level breakdown included</w:t>
      </w:r>
      <w:r w:rsidR="00CE3E55">
        <w:t xml:space="preserve"> </w:t>
      </w:r>
      <w:r w:rsidR="00645351">
        <w:t>30.0</w:t>
      </w:r>
      <w:r w:rsidR="00CE3E55">
        <w:t>% freshmen (</w:t>
      </w:r>
      <w:r w:rsidR="00CE3E55">
        <w:rPr>
          <w:i/>
          <w:iCs/>
        </w:rPr>
        <w:t xml:space="preserve">n </w:t>
      </w:r>
      <w:r w:rsidR="00CE3E55">
        <w:t xml:space="preserve">= </w:t>
      </w:r>
      <w:r w:rsidR="00645351">
        <w:t>168</w:t>
      </w:r>
      <w:r w:rsidR="00CE3E55">
        <w:t xml:space="preserve">), </w:t>
      </w:r>
      <w:r w:rsidR="00645351">
        <w:t>31.4</w:t>
      </w:r>
      <w:r w:rsidR="00CE3E55">
        <w:t>% sophomore (</w:t>
      </w:r>
      <w:r w:rsidR="00CE3E55">
        <w:rPr>
          <w:i/>
          <w:iCs/>
        </w:rPr>
        <w:t xml:space="preserve">n </w:t>
      </w:r>
      <w:r w:rsidR="00CE3E55">
        <w:t xml:space="preserve">= </w:t>
      </w:r>
      <w:r w:rsidR="00645351">
        <w:t>176</w:t>
      </w:r>
      <w:r w:rsidR="00CE3E55">
        <w:t xml:space="preserve">), </w:t>
      </w:r>
      <w:r w:rsidR="00645351">
        <w:t>22.3</w:t>
      </w:r>
      <w:r w:rsidR="00CE3E55">
        <w:t>% junior (</w:t>
      </w:r>
      <w:r w:rsidR="00CE3E55">
        <w:rPr>
          <w:i/>
          <w:iCs/>
        </w:rPr>
        <w:t xml:space="preserve">n </w:t>
      </w:r>
      <w:r w:rsidR="00CE3E55">
        <w:t>= 1</w:t>
      </w:r>
      <w:r w:rsidR="00645351">
        <w:t>25</w:t>
      </w:r>
      <w:r w:rsidR="00CE3E55">
        <w:t xml:space="preserve">) and </w:t>
      </w:r>
      <w:r w:rsidR="00645351">
        <w:t>16.3</w:t>
      </w:r>
      <w:r w:rsidR="00CE3E55">
        <w:t>% seniors (</w:t>
      </w:r>
      <w:r w:rsidR="00CE3E55">
        <w:rPr>
          <w:i/>
          <w:iCs/>
        </w:rPr>
        <w:t xml:space="preserve">n </w:t>
      </w:r>
      <w:r w:rsidR="00CE3E55">
        <w:t xml:space="preserve">= </w:t>
      </w:r>
      <w:r w:rsidR="00645351">
        <w:t>91</w:t>
      </w:r>
      <w:r w:rsidR="00CE3E55">
        <w:t>)</w:t>
      </w:r>
      <w:r w:rsidRPr="0065341B">
        <w:t xml:space="preserve">. </w:t>
      </w:r>
      <w:r w:rsidR="00EC1535">
        <w:t>The average self-reported GPA for respondents</w:t>
      </w:r>
      <w:r w:rsidR="00DF192B">
        <w:t xml:space="preserve"> ranged from 1.0 to 4.0 on a 4-point scale with a mean of </w:t>
      </w:r>
      <w:r w:rsidR="00DF192B" w:rsidRPr="00F118A2">
        <w:rPr>
          <w:i/>
        </w:rPr>
        <w:t>M</w:t>
      </w:r>
      <w:r w:rsidR="00DF192B" w:rsidRPr="0065341B">
        <w:t xml:space="preserve"> = 3.</w:t>
      </w:r>
      <w:r w:rsidR="00645351">
        <w:t>42</w:t>
      </w:r>
      <w:r w:rsidR="00DF192B">
        <w:t xml:space="preserve"> (SD= 0.</w:t>
      </w:r>
      <w:r w:rsidR="00645351">
        <w:t>41</w:t>
      </w:r>
      <w:r w:rsidR="00DF192B">
        <w:t>)</w:t>
      </w:r>
      <w:r w:rsidR="00624EA9">
        <w:t xml:space="preserve">. </w:t>
      </w:r>
      <w:r w:rsidR="00DF192B">
        <w:t xml:space="preserve">Students </w:t>
      </w:r>
      <w:r w:rsidR="00645351">
        <w:t xml:space="preserve">completing the instrument noted their enrollment in agricultural education courses. </w:t>
      </w:r>
      <w:r w:rsidR="00A8578C">
        <w:t xml:space="preserve"> There were </w:t>
      </w:r>
      <w:r w:rsidR="00E131A1">
        <w:t>62.1</w:t>
      </w:r>
      <w:r w:rsidR="00A8578C">
        <w:t>% (</w:t>
      </w:r>
      <w:r w:rsidR="00A8578C">
        <w:rPr>
          <w:i/>
          <w:iCs/>
        </w:rPr>
        <w:t xml:space="preserve">n = </w:t>
      </w:r>
      <w:r w:rsidR="00E131A1">
        <w:t>348</w:t>
      </w:r>
      <w:r w:rsidR="00A8578C">
        <w:t xml:space="preserve">) of respondents </w:t>
      </w:r>
      <w:r w:rsidR="0065794F">
        <w:t>who were not enrolled in any agricultural education course, and</w:t>
      </w:r>
      <w:r w:rsidR="00A8578C">
        <w:t xml:space="preserve"> </w:t>
      </w:r>
      <w:r w:rsidR="00E131A1">
        <w:t>37.9</w:t>
      </w:r>
      <w:r w:rsidR="00A8578C">
        <w:t>% (</w:t>
      </w:r>
      <w:r w:rsidR="00A8578C">
        <w:rPr>
          <w:i/>
          <w:iCs/>
        </w:rPr>
        <w:t xml:space="preserve">n = </w:t>
      </w:r>
      <w:r w:rsidR="00E131A1">
        <w:t>212</w:t>
      </w:r>
      <w:r w:rsidR="00A8578C">
        <w:t xml:space="preserve">) </w:t>
      </w:r>
      <w:r w:rsidR="00E131A1">
        <w:t xml:space="preserve">who were enrolled in at least </w:t>
      </w:r>
      <w:r w:rsidR="00E131A1">
        <w:lastRenderedPageBreak/>
        <w:t xml:space="preserve">one agricultural education course. It is important to note that of the </w:t>
      </w:r>
      <w:r w:rsidR="00E131A1">
        <w:rPr>
          <w:i/>
          <w:iCs/>
        </w:rPr>
        <w:t xml:space="preserve">n = </w:t>
      </w:r>
      <w:r w:rsidR="00E131A1">
        <w:t xml:space="preserve">212 students enrolled in an agricultural education course, </w:t>
      </w:r>
      <w:r w:rsidR="00E131A1">
        <w:rPr>
          <w:i/>
          <w:iCs/>
        </w:rPr>
        <w:t xml:space="preserve">n = </w:t>
      </w:r>
      <w:r w:rsidR="00E131A1">
        <w:t xml:space="preserve">43 were also enrolled in another course participating in the study.  Those students did not take the instrument again and are only counted in the agricultural education enrollment results.  </w:t>
      </w:r>
    </w:p>
    <w:p w14:paraId="65AD32A6" w14:textId="43166A67" w:rsidR="005219BE" w:rsidRDefault="00D942C9" w:rsidP="00A8578C">
      <w:pPr>
        <w:ind w:firstLine="720"/>
      </w:pPr>
      <w:r>
        <w:t>Responden</w:t>
      </w:r>
      <w:r w:rsidR="00262505" w:rsidRPr="0065341B">
        <w:t>t</w:t>
      </w:r>
      <w:r w:rsidR="00E131A1">
        <w:t xml:space="preserve"> </w:t>
      </w:r>
      <w:r w:rsidR="00262505" w:rsidRPr="0065341B">
        <w:t xml:space="preserve">grit scores ranged from 2.1 to 5.0 </w:t>
      </w:r>
      <w:r w:rsidR="00191608">
        <w:t xml:space="preserve">with a mean of </w:t>
      </w:r>
      <w:r w:rsidR="00262505" w:rsidRPr="00F118A2">
        <w:rPr>
          <w:i/>
        </w:rPr>
        <w:t>M</w:t>
      </w:r>
      <w:r w:rsidR="00262505" w:rsidRPr="0065341B">
        <w:t xml:space="preserve"> = 3.</w:t>
      </w:r>
      <w:r w:rsidR="00533C64">
        <w:t>41</w:t>
      </w:r>
      <w:r w:rsidR="00191608">
        <w:t xml:space="preserve"> </w:t>
      </w:r>
      <w:r w:rsidR="00782347">
        <w:t>(</w:t>
      </w:r>
      <w:r w:rsidR="00191608">
        <w:t xml:space="preserve">SD = </w:t>
      </w:r>
      <w:r w:rsidR="00262505" w:rsidRPr="0065341B">
        <w:t>0.</w:t>
      </w:r>
      <w:r w:rsidR="00533C64">
        <w:t>54</w:t>
      </w:r>
      <w:r w:rsidR="00262505" w:rsidRPr="0065341B">
        <w:t xml:space="preserve">). Normative average grit score for adolescents is 3.40 on the five-point scale (Duckworth et al., 2007). </w:t>
      </w:r>
      <w:r w:rsidR="00191608" w:rsidRPr="0065341B">
        <w:t xml:space="preserve">Participants reported optimism scores ranged from 1 – 5 </w:t>
      </w:r>
      <w:r w:rsidR="00191608">
        <w:t xml:space="preserve">and were </w:t>
      </w:r>
      <w:r w:rsidR="00191608" w:rsidRPr="0065341B">
        <w:rPr>
          <w:i/>
        </w:rPr>
        <w:t>M</w:t>
      </w:r>
      <w:r w:rsidR="00191608" w:rsidRPr="0065341B">
        <w:t xml:space="preserve"> = 3.</w:t>
      </w:r>
      <w:r w:rsidR="00533C64">
        <w:t>24</w:t>
      </w:r>
      <w:r w:rsidR="00191608">
        <w:t xml:space="preserve"> (SD = 0.</w:t>
      </w:r>
      <w:r w:rsidR="00533C64">
        <w:t>62</w:t>
      </w:r>
      <w:r w:rsidR="00191608">
        <w:t>).</w:t>
      </w:r>
      <w:r w:rsidR="00191608" w:rsidRPr="00191608">
        <w:t xml:space="preserve"> </w:t>
      </w:r>
      <w:r w:rsidR="00191608" w:rsidRPr="0065341B">
        <w:t>Locus of control summated scores ranged from 0</w:t>
      </w:r>
      <w:r w:rsidR="007722A6">
        <w:t xml:space="preserve"> (extrinsic)</w:t>
      </w:r>
      <w:r w:rsidR="00191608" w:rsidRPr="0065341B">
        <w:t xml:space="preserve"> </w:t>
      </w:r>
      <w:r w:rsidR="00191608">
        <w:t>–</w:t>
      </w:r>
      <w:r w:rsidR="00191608" w:rsidRPr="0065341B">
        <w:t xml:space="preserve"> 23</w:t>
      </w:r>
      <w:r w:rsidR="007722A6">
        <w:t xml:space="preserve"> (intrinsic)</w:t>
      </w:r>
      <w:r w:rsidR="00191608">
        <w:t xml:space="preserve"> with a mean of </w:t>
      </w:r>
      <w:r w:rsidR="00191608" w:rsidRPr="0065341B">
        <w:rPr>
          <w:i/>
        </w:rPr>
        <w:t>M</w:t>
      </w:r>
      <w:r w:rsidR="00191608" w:rsidRPr="0065341B">
        <w:t xml:space="preserve"> = </w:t>
      </w:r>
      <w:r w:rsidR="00533C64">
        <w:t>8</w:t>
      </w:r>
      <w:r w:rsidR="00191608" w:rsidRPr="0065341B">
        <w:t>.00</w:t>
      </w:r>
      <w:r w:rsidR="00191608">
        <w:t xml:space="preserve"> (SD = </w:t>
      </w:r>
      <w:r w:rsidR="00533C64">
        <w:t>3.69</w:t>
      </w:r>
      <w:r w:rsidR="00191608">
        <w:t>)</w:t>
      </w:r>
      <w:r w:rsidR="00624EA9">
        <w:t xml:space="preserve">. </w:t>
      </w:r>
      <w:r w:rsidR="00191608" w:rsidRPr="0065341B">
        <w:t xml:space="preserve">The </w:t>
      </w:r>
      <w:r w:rsidR="00191608">
        <w:t xml:space="preserve">mean </w:t>
      </w:r>
      <w:r w:rsidR="00191608" w:rsidRPr="0065341B">
        <w:t xml:space="preserve">self-efficacy </w:t>
      </w:r>
      <w:r w:rsidR="00191608">
        <w:t>in this population</w:t>
      </w:r>
      <w:r w:rsidR="00191608" w:rsidRPr="0065341B">
        <w:t xml:space="preserve"> was </w:t>
      </w:r>
      <w:r w:rsidR="00191608" w:rsidRPr="0065341B">
        <w:rPr>
          <w:i/>
        </w:rPr>
        <w:t>M</w:t>
      </w:r>
      <w:r w:rsidR="00191608" w:rsidRPr="0065341B">
        <w:t xml:space="preserve"> = 7.</w:t>
      </w:r>
      <w:r w:rsidR="0011476E">
        <w:t>15</w:t>
      </w:r>
      <w:r w:rsidR="00191608">
        <w:t xml:space="preserve"> </w:t>
      </w:r>
      <w:r w:rsidR="00191608" w:rsidRPr="0065341B">
        <w:t>(</w:t>
      </w:r>
      <w:r w:rsidR="00191608">
        <w:t xml:space="preserve">SD = </w:t>
      </w:r>
      <w:r w:rsidR="0011476E">
        <w:t>1.04</w:t>
      </w:r>
      <w:r w:rsidR="00191608" w:rsidRPr="0065341B">
        <w:t>).</w:t>
      </w:r>
      <w:r w:rsidR="00191608">
        <w:t xml:space="preserve"> The scores for noncognitive skills examined in the study, along with the previously reported averages for adolescent populations is shown in Table 1. </w:t>
      </w:r>
    </w:p>
    <w:tbl>
      <w:tblPr>
        <w:tblStyle w:val="TableGrid"/>
        <w:tblW w:w="9270" w:type="dxa"/>
        <w:tblLayout w:type="fixed"/>
        <w:tblLook w:val="04A0" w:firstRow="1" w:lastRow="0" w:firstColumn="1" w:lastColumn="0" w:noHBand="0" w:noVBand="1"/>
      </w:tblPr>
      <w:tblGrid>
        <w:gridCol w:w="4410"/>
        <w:gridCol w:w="2250"/>
        <w:gridCol w:w="1170"/>
        <w:gridCol w:w="1440"/>
      </w:tblGrid>
      <w:tr w:rsidR="00997D97" w:rsidRPr="004B2D03" w14:paraId="2B698A51" w14:textId="77777777" w:rsidTr="00D942C9">
        <w:tc>
          <w:tcPr>
            <w:tcW w:w="9270" w:type="dxa"/>
            <w:gridSpan w:val="4"/>
            <w:tcBorders>
              <w:top w:val="nil"/>
              <w:left w:val="nil"/>
              <w:bottom w:val="nil"/>
              <w:right w:val="nil"/>
            </w:tcBorders>
          </w:tcPr>
          <w:p w14:paraId="6D419A55" w14:textId="77777777" w:rsidR="00997D97" w:rsidRDefault="00997D97" w:rsidP="00997D97">
            <w:pPr>
              <w:pStyle w:val="Caption"/>
              <w:ind w:left="-111"/>
              <w:rPr>
                <w:rFonts w:cs="Times New Roman"/>
                <w:b/>
                <w:bCs/>
                <w:szCs w:val="24"/>
              </w:rPr>
            </w:pPr>
          </w:p>
          <w:p w14:paraId="5614749C" w14:textId="7FC2BFB6" w:rsidR="00997D97" w:rsidRPr="004B2D03" w:rsidRDefault="00997D97" w:rsidP="00997D97">
            <w:pPr>
              <w:pStyle w:val="Caption"/>
              <w:ind w:left="-111"/>
              <w:rPr>
                <w:rFonts w:cs="Times New Roman"/>
                <w:b/>
                <w:bCs/>
                <w:szCs w:val="24"/>
              </w:rPr>
            </w:pPr>
            <w:r w:rsidRPr="004B2D03">
              <w:rPr>
                <w:rFonts w:cs="Times New Roman"/>
                <w:b/>
                <w:bCs/>
                <w:szCs w:val="24"/>
              </w:rPr>
              <w:t xml:space="preserve">Table </w:t>
            </w:r>
            <w:r>
              <w:rPr>
                <w:rFonts w:cs="Times New Roman"/>
                <w:b/>
                <w:bCs/>
                <w:szCs w:val="24"/>
              </w:rPr>
              <w:t>1</w:t>
            </w:r>
            <w:r w:rsidRPr="004B2D03">
              <w:rPr>
                <w:rFonts w:cs="Times New Roman"/>
                <w:b/>
                <w:bCs/>
                <w:szCs w:val="24"/>
              </w:rPr>
              <w:t xml:space="preserve"> </w:t>
            </w:r>
          </w:p>
          <w:p w14:paraId="69CA5DD6" w14:textId="77777777" w:rsidR="00997D97" w:rsidRPr="00524F7A" w:rsidRDefault="00997D97" w:rsidP="00997D97">
            <w:pPr>
              <w:pStyle w:val="Caption"/>
              <w:ind w:left="-111"/>
              <w:rPr>
                <w:rFonts w:cs="Times New Roman"/>
                <w:i/>
                <w:szCs w:val="24"/>
              </w:rPr>
            </w:pPr>
          </w:p>
          <w:p w14:paraId="137EBA6E" w14:textId="023441D5" w:rsidR="00997D97" w:rsidRPr="00191608" w:rsidRDefault="00997D97" w:rsidP="00997D97">
            <w:pPr>
              <w:pStyle w:val="Caption"/>
              <w:ind w:left="-111"/>
              <w:rPr>
                <w:rFonts w:cs="Times New Roman"/>
                <w:iCs w:val="0"/>
                <w:szCs w:val="24"/>
              </w:rPr>
            </w:pPr>
            <w:r w:rsidRPr="00524F7A">
              <w:rPr>
                <w:rFonts w:cs="Times New Roman"/>
                <w:i/>
                <w:szCs w:val="24"/>
              </w:rPr>
              <w:t>Non</w:t>
            </w:r>
            <w:r>
              <w:rPr>
                <w:rFonts w:cs="Times New Roman"/>
                <w:i/>
                <w:szCs w:val="24"/>
              </w:rPr>
              <w:t>c</w:t>
            </w:r>
            <w:r w:rsidRPr="00524F7A">
              <w:rPr>
                <w:rFonts w:cs="Times New Roman"/>
                <w:i/>
                <w:szCs w:val="24"/>
              </w:rPr>
              <w:t xml:space="preserve">ognitive </w:t>
            </w:r>
            <w:r w:rsidR="00422739">
              <w:rPr>
                <w:rFonts w:cs="Times New Roman"/>
                <w:i/>
                <w:szCs w:val="24"/>
              </w:rPr>
              <w:t>Skills in</w:t>
            </w:r>
            <w:r w:rsidRPr="00524F7A">
              <w:rPr>
                <w:rFonts w:cs="Times New Roman"/>
                <w:i/>
                <w:szCs w:val="24"/>
              </w:rPr>
              <w:t xml:space="preserve"> </w:t>
            </w:r>
            <w:r>
              <w:rPr>
                <w:rFonts w:cs="Times New Roman"/>
                <w:i/>
                <w:szCs w:val="24"/>
              </w:rPr>
              <w:t xml:space="preserve">[High School] </w:t>
            </w:r>
            <w:r w:rsidRPr="00524F7A">
              <w:rPr>
                <w:rFonts w:cs="Times New Roman"/>
                <w:i/>
                <w:szCs w:val="24"/>
              </w:rPr>
              <w:t>Students and Adolescent Averages</w:t>
            </w:r>
            <w:r>
              <w:rPr>
                <w:rFonts w:cs="Times New Roman"/>
                <w:i/>
                <w:szCs w:val="24"/>
              </w:rPr>
              <w:t xml:space="preserve"> (N = 560)</w:t>
            </w:r>
          </w:p>
          <w:p w14:paraId="2294395E" w14:textId="77777777" w:rsidR="00997D97" w:rsidRDefault="00997D97" w:rsidP="00997D97">
            <w:pPr>
              <w:jc w:val="center"/>
              <w:rPr>
                <w:iCs/>
              </w:rPr>
            </w:pPr>
          </w:p>
        </w:tc>
      </w:tr>
      <w:tr w:rsidR="00997D97" w:rsidRPr="004B2D03" w14:paraId="4E85CB3F" w14:textId="77777777" w:rsidTr="00D942C9">
        <w:tc>
          <w:tcPr>
            <w:tcW w:w="4410" w:type="dxa"/>
            <w:tcBorders>
              <w:top w:val="single" w:sz="4" w:space="0" w:color="auto"/>
              <w:left w:val="nil"/>
              <w:bottom w:val="nil"/>
              <w:right w:val="nil"/>
            </w:tcBorders>
          </w:tcPr>
          <w:p w14:paraId="6FF6E2E7" w14:textId="77777777" w:rsidR="00997D97" w:rsidRPr="00524F7A" w:rsidRDefault="00997D97" w:rsidP="00894BE7"/>
        </w:tc>
        <w:tc>
          <w:tcPr>
            <w:tcW w:w="2250" w:type="dxa"/>
            <w:tcBorders>
              <w:top w:val="single" w:sz="4" w:space="0" w:color="auto"/>
              <w:left w:val="nil"/>
              <w:bottom w:val="nil"/>
              <w:right w:val="nil"/>
            </w:tcBorders>
          </w:tcPr>
          <w:p w14:paraId="6D6BADC7" w14:textId="77777777" w:rsidR="00997D97" w:rsidRPr="004B2D03" w:rsidRDefault="00997D97" w:rsidP="00894BE7">
            <w:pPr>
              <w:jc w:val="center"/>
              <w:rPr>
                <w:iCs/>
              </w:rPr>
            </w:pPr>
            <w:r w:rsidRPr="004B2D03">
              <w:rPr>
                <w:iCs/>
              </w:rPr>
              <w:t>Adolescent Average</w:t>
            </w:r>
          </w:p>
        </w:tc>
        <w:tc>
          <w:tcPr>
            <w:tcW w:w="2610" w:type="dxa"/>
            <w:gridSpan w:val="2"/>
            <w:tcBorders>
              <w:top w:val="single" w:sz="4" w:space="0" w:color="auto"/>
              <w:left w:val="nil"/>
              <w:bottom w:val="nil"/>
              <w:right w:val="nil"/>
            </w:tcBorders>
          </w:tcPr>
          <w:p w14:paraId="56F6A0DB" w14:textId="34493F06" w:rsidR="00997D97" w:rsidRPr="004B2D03" w:rsidRDefault="00997D97" w:rsidP="00997D97">
            <w:pPr>
              <w:jc w:val="center"/>
              <w:rPr>
                <w:iCs/>
              </w:rPr>
            </w:pPr>
            <w:r>
              <w:rPr>
                <w:iCs/>
              </w:rPr>
              <w:t>Respondents</w:t>
            </w:r>
          </w:p>
        </w:tc>
      </w:tr>
      <w:tr w:rsidR="00997D97" w:rsidRPr="004B2D03" w14:paraId="0D47951B" w14:textId="77777777" w:rsidTr="00D942C9">
        <w:tc>
          <w:tcPr>
            <w:tcW w:w="4410" w:type="dxa"/>
            <w:tcBorders>
              <w:top w:val="nil"/>
              <w:left w:val="nil"/>
              <w:bottom w:val="single" w:sz="4" w:space="0" w:color="auto"/>
              <w:right w:val="nil"/>
            </w:tcBorders>
          </w:tcPr>
          <w:p w14:paraId="7DD319FB" w14:textId="77777777" w:rsidR="00997D97" w:rsidRPr="00524F7A" w:rsidRDefault="00997D97" w:rsidP="00894BE7"/>
        </w:tc>
        <w:tc>
          <w:tcPr>
            <w:tcW w:w="2250" w:type="dxa"/>
            <w:tcBorders>
              <w:top w:val="nil"/>
              <w:left w:val="nil"/>
              <w:bottom w:val="single" w:sz="4" w:space="0" w:color="auto"/>
              <w:right w:val="nil"/>
            </w:tcBorders>
          </w:tcPr>
          <w:p w14:paraId="2698BA2E" w14:textId="77777777" w:rsidR="00997D97" w:rsidRPr="004B2D03" w:rsidRDefault="00997D97" w:rsidP="00894BE7">
            <w:pPr>
              <w:jc w:val="center"/>
              <w:rPr>
                <w:iCs/>
              </w:rPr>
            </w:pPr>
            <w:r w:rsidRPr="004B2D03">
              <w:rPr>
                <w:iCs/>
              </w:rPr>
              <w:t>M</w:t>
            </w:r>
          </w:p>
        </w:tc>
        <w:tc>
          <w:tcPr>
            <w:tcW w:w="1170" w:type="dxa"/>
            <w:tcBorders>
              <w:top w:val="nil"/>
              <w:left w:val="nil"/>
              <w:bottom w:val="single" w:sz="4" w:space="0" w:color="auto"/>
              <w:right w:val="nil"/>
            </w:tcBorders>
          </w:tcPr>
          <w:p w14:paraId="32E6981B" w14:textId="6F40CCA8" w:rsidR="00997D97" w:rsidRPr="004B2D03" w:rsidRDefault="00997D97" w:rsidP="00997D97">
            <w:pPr>
              <w:jc w:val="center"/>
              <w:rPr>
                <w:iCs/>
              </w:rPr>
            </w:pPr>
            <w:r w:rsidRPr="004B2D03">
              <w:rPr>
                <w:iCs/>
              </w:rPr>
              <w:t>M</w:t>
            </w:r>
          </w:p>
        </w:tc>
        <w:tc>
          <w:tcPr>
            <w:tcW w:w="1440" w:type="dxa"/>
            <w:tcBorders>
              <w:top w:val="nil"/>
              <w:left w:val="nil"/>
              <w:bottom w:val="single" w:sz="4" w:space="0" w:color="auto"/>
              <w:right w:val="nil"/>
            </w:tcBorders>
          </w:tcPr>
          <w:p w14:paraId="53660E83" w14:textId="23F82C50" w:rsidR="00997D97" w:rsidRPr="004B2D03" w:rsidRDefault="00997D97" w:rsidP="00997D97">
            <w:pPr>
              <w:jc w:val="center"/>
              <w:rPr>
                <w:iCs/>
              </w:rPr>
            </w:pPr>
            <w:r w:rsidRPr="004B2D03">
              <w:rPr>
                <w:iCs/>
              </w:rPr>
              <w:t>SD</w:t>
            </w:r>
          </w:p>
        </w:tc>
      </w:tr>
      <w:tr w:rsidR="00997D97" w:rsidRPr="00524F7A" w14:paraId="39B026A9" w14:textId="77777777" w:rsidTr="00D942C9">
        <w:tc>
          <w:tcPr>
            <w:tcW w:w="4410" w:type="dxa"/>
            <w:tcBorders>
              <w:top w:val="single" w:sz="4" w:space="0" w:color="auto"/>
              <w:left w:val="nil"/>
              <w:bottom w:val="nil"/>
              <w:right w:val="nil"/>
            </w:tcBorders>
          </w:tcPr>
          <w:p w14:paraId="0E2FD44D" w14:textId="77777777" w:rsidR="00997D97" w:rsidRPr="00524F7A" w:rsidRDefault="00997D97" w:rsidP="00894BE7">
            <w:r w:rsidRPr="00524F7A">
              <w:t>Grit</w:t>
            </w:r>
          </w:p>
        </w:tc>
        <w:tc>
          <w:tcPr>
            <w:tcW w:w="2250" w:type="dxa"/>
            <w:tcBorders>
              <w:top w:val="single" w:sz="4" w:space="0" w:color="auto"/>
              <w:left w:val="nil"/>
              <w:bottom w:val="nil"/>
              <w:right w:val="nil"/>
            </w:tcBorders>
          </w:tcPr>
          <w:p w14:paraId="29765CB0" w14:textId="6286FA64" w:rsidR="00997D97" w:rsidRPr="00524F7A" w:rsidRDefault="00997D97" w:rsidP="00997D97">
            <w:pPr>
              <w:jc w:val="center"/>
            </w:pPr>
            <w:r w:rsidRPr="00524F7A">
              <w:t>3.40</w:t>
            </w:r>
          </w:p>
        </w:tc>
        <w:tc>
          <w:tcPr>
            <w:tcW w:w="1170" w:type="dxa"/>
            <w:tcBorders>
              <w:top w:val="single" w:sz="4" w:space="0" w:color="auto"/>
              <w:left w:val="nil"/>
              <w:bottom w:val="nil"/>
              <w:right w:val="nil"/>
            </w:tcBorders>
          </w:tcPr>
          <w:p w14:paraId="59C12E41" w14:textId="02C8C678" w:rsidR="00997D97" w:rsidRPr="00524F7A" w:rsidRDefault="00997D97" w:rsidP="00997D97">
            <w:pPr>
              <w:jc w:val="center"/>
            </w:pPr>
            <w:r w:rsidRPr="00524F7A">
              <w:t>3.</w:t>
            </w:r>
            <w:r>
              <w:t>41</w:t>
            </w:r>
          </w:p>
        </w:tc>
        <w:tc>
          <w:tcPr>
            <w:tcW w:w="1440" w:type="dxa"/>
            <w:tcBorders>
              <w:top w:val="single" w:sz="4" w:space="0" w:color="auto"/>
              <w:left w:val="nil"/>
              <w:bottom w:val="nil"/>
              <w:right w:val="nil"/>
            </w:tcBorders>
          </w:tcPr>
          <w:p w14:paraId="6318638E" w14:textId="4ACC6F1F" w:rsidR="00997D97" w:rsidRPr="00524F7A" w:rsidRDefault="00997D97" w:rsidP="00997D97">
            <w:pPr>
              <w:jc w:val="center"/>
            </w:pPr>
            <w:r w:rsidRPr="00524F7A">
              <w:t>0.</w:t>
            </w:r>
            <w:r>
              <w:t>54</w:t>
            </w:r>
          </w:p>
        </w:tc>
      </w:tr>
      <w:tr w:rsidR="00997D97" w:rsidRPr="00524F7A" w14:paraId="4E0E28BD" w14:textId="77777777" w:rsidTr="00D942C9">
        <w:tc>
          <w:tcPr>
            <w:tcW w:w="4410" w:type="dxa"/>
            <w:tcBorders>
              <w:top w:val="nil"/>
              <w:left w:val="nil"/>
              <w:bottom w:val="nil"/>
              <w:right w:val="nil"/>
            </w:tcBorders>
          </w:tcPr>
          <w:p w14:paraId="35C806B3" w14:textId="77777777" w:rsidR="00997D97" w:rsidRPr="00524F7A" w:rsidRDefault="00997D97" w:rsidP="00894BE7">
            <w:r w:rsidRPr="00524F7A">
              <w:t>Optimism</w:t>
            </w:r>
          </w:p>
        </w:tc>
        <w:tc>
          <w:tcPr>
            <w:tcW w:w="2250" w:type="dxa"/>
            <w:tcBorders>
              <w:top w:val="nil"/>
              <w:left w:val="nil"/>
              <w:bottom w:val="nil"/>
              <w:right w:val="nil"/>
            </w:tcBorders>
          </w:tcPr>
          <w:p w14:paraId="3A2D6441" w14:textId="473822F6" w:rsidR="00997D97" w:rsidRPr="00524F7A" w:rsidRDefault="00997D97" w:rsidP="00997D97">
            <w:pPr>
              <w:jc w:val="center"/>
            </w:pPr>
            <w:r w:rsidRPr="00524F7A">
              <w:t>3.70</w:t>
            </w:r>
          </w:p>
        </w:tc>
        <w:tc>
          <w:tcPr>
            <w:tcW w:w="1170" w:type="dxa"/>
            <w:tcBorders>
              <w:top w:val="nil"/>
              <w:left w:val="nil"/>
              <w:bottom w:val="nil"/>
              <w:right w:val="nil"/>
            </w:tcBorders>
          </w:tcPr>
          <w:p w14:paraId="1A4E4624" w14:textId="6B728F0E" w:rsidR="00997D97" w:rsidRPr="00524F7A" w:rsidRDefault="00997D97" w:rsidP="00997D97">
            <w:pPr>
              <w:jc w:val="center"/>
            </w:pPr>
            <w:r w:rsidRPr="00524F7A">
              <w:t>3.</w:t>
            </w:r>
            <w:r>
              <w:t>24</w:t>
            </w:r>
          </w:p>
        </w:tc>
        <w:tc>
          <w:tcPr>
            <w:tcW w:w="1440" w:type="dxa"/>
            <w:tcBorders>
              <w:top w:val="nil"/>
              <w:left w:val="nil"/>
              <w:bottom w:val="nil"/>
              <w:right w:val="nil"/>
            </w:tcBorders>
          </w:tcPr>
          <w:p w14:paraId="47E5983D" w14:textId="77777777" w:rsidR="00997D97" w:rsidRPr="00524F7A" w:rsidRDefault="00997D97" w:rsidP="00997D97">
            <w:pPr>
              <w:jc w:val="center"/>
            </w:pPr>
            <w:r w:rsidRPr="00524F7A">
              <w:t>0.62</w:t>
            </w:r>
          </w:p>
        </w:tc>
      </w:tr>
      <w:tr w:rsidR="00997D97" w:rsidRPr="00524F7A" w14:paraId="3DEE0C04" w14:textId="77777777" w:rsidTr="00D942C9">
        <w:tc>
          <w:tcPr>
            <w:tcW w:w="4410" w:type="dxa"/>
            <w:tcBorders>
              <w:top w:val="nil"/>
              <w:left w:val="nil"/>
              <w:bottom w:val="nil"/>
              <w:right w:val="nil"/>
            </w:tcBorders>
          </w:tcPr>
          <w:p w14:paraId="103DA691" w14:textId="77777777" w:rsidR="00997D97" w:rsidRPr="00524F7A" w:rsidRDefault="00997D97" w:rsidP="00894BE7">
            <w:r w:rsidRPr="00524F7A">
              <w:t>Locus of Control</w:t>
            </w:r>
          </w:p>
        </w:tc>
        <w:tc>
          <w:tcPr>
            <w:tcW w:w="2250" w:type="dxa"/>
            <w:tcBorders>
              <w:top w:val="nil"/>
              <w:left w:val="nil"/>
              <w:bottom w:val="nil"/>
              <w:right w:val="nil"/>
            </w:tcBorders>
          </w:tcPr>
          <w:p w14:paraId="30E0D5B6" w14:textId="2FEA4F9E" w:rsidR="00997D97" w:rsidRPr="00524F7A" w:rsidRDefault="00997D97" w:rsidP="00997D97">
            <w:pPr>
              <w:jc w:val="center"/>
            </w:pPr>
            <w:r w:rsidRPr="00524F7A">
              <w:t>9.03</w:t>
            </w:r>
          </w:p>
        </w:tc>
        <w:tc>
          <w:tcPr>
            <w:tcW w:w="1170" w:type="dxa"/>
            <w:tcBorders>
              <w:top w:val="nil"/>
              <w:left w:val="nil"/>
              <w:bottom w:val="nil"/>
              <w:right w:val="nil"/>
            </w:tcBorders>
          </w:tcPr>
          <w:p w14:paraId="3577B091" w14:textId="2F7BD69F" w:rsidR="00997D97" w:rsidRPr="00524F7A" w:rsidRDefault="00997D97" w:rsidP="00997D97">
            <w:pPr>
              <w:jc w:val="center"/>
            </w:pPr>
            <w:r>
              <w:t>8</w:t>
            </w:r>
            <w:r w:rsidRPr="00524F7A">
              <w:t>.</w:t>
            </w:r>
            <w:r>
              <w:t>21</w:t>
            </w:r>
          </w:p>
        </w:tc>
        <w:tc>
          <w:tcPr>
            <w:tcW w:w="1440" w:type="dxa"/>
            <w:tcBorders>
              <w:top w:val="nil"/>
              <w:left w:val="nil"/>
              <w:bottom w:val="nil"/>
              <w:right w:val="nil"/>
            </w:tcBorders>
          </w:tcPr>
          <w:p w14:paraId="4BBD72E8" w14:textId="7044EA17" w:rsidR="00997D97" w:rsidRPr="00524F7A" w:rsidRDefault="00997D97" w:rsidP="00997D97">
            <w:pPr>
              <w:jc w:val="center"/>
            </w:pPr>
            <w:r>
              <w:t>3</w:t>
            </w:r>
            <w:r w:rsidRPr="00524F7A">
              <w:t>.</w:t>
            </w:r>
            <w:r>
              <w:t>69</w:t>
            </w:r>
          </w:p>
        </w:tc>
      </w:tr>
      <w:tr w:rsidR="00997D97" w:rsidRPr="00524F7A" w14:paraId="2F486052" w14:textId="77777777" w:rsidTr="00D942C9">
        <w:tc>
          <w:tcPr>
            <w:tcW w:w="4410" w:type="dxa"/>
            <w:tcBorders>
              <w:top w:val="nil"/>
              <w:left w:val="nil"/>
              <w:bottom w:val="single" w:sz="4" w:space="0" w:color="auto"/>
              <w:right w:val="nil"/>
            </w:tcBorders>
          </w:tcPr>
          <w:p w14:paraId="704FD835" w14:textId="77777777" w:rsidR="00997D97" w:rsidRPr="00524F7A" w:rsidRDefault="00997D97" w:rsidP="00894BE7">
            <w:r w:rsidRPr="00524F7A">
              <w:t>Self-Efficacy</w:t>
            </w:r>
          </w:p>
        </w:tc>
        <w:tc>
          <w:tcPr>
            <w:tcW w:w="2250" w:type="dxa"/>
            <w:tcBorders>
              <w:top w:val="nil"/>
              <w:left w:val="nil"/>
              <w:bottom w:val="single" w:sz="4" w:space="0" w:color="auto"/>
              <w:right w:val="nil"/>
            </w:tcBorders>
          </w:tcPr>
          <w:p w14:paraId="5338E6D3" w14:textId="66C9DE18" w:rsidR="00997D97" w:rsidRPr="00524F7A" w:rsidRDefault="00997D97" w:rsidP="00997D97">
            <w:pPr>
              <w:jc w:val="center"/>
            </w:pPr>
            <w:r w:rsidRPr="00524F7A">
              <w:t>7.40</w:t>
            </w:r>
          </w:p>
        </w:tc>
        <w:tc>
          <w:tcPr>
            <w:tcW w:w="1170" w:type="dxa"/>
            <w:tcBorders>
              <w:top w:val="nil"/>
              <w:left w:val="nil"/>
              <w:bottom w:val="single" w:sz="4" w:space="0" w:color="auto"/>
              <w:right w:val="nil"/>
            </w:tcBorders>
          </w:tcPr>
          <w:p w14:paraId="07CE3EBC" w14:textId="1423B65A" w:rsidR="00997D97" w:rsidRPr="00524F7A" w:rsidRDefault="00997D97" w:rsidP="00997D97">
            <w:pPr>
              <w:jc w:val="center"/>
            </w:pPr>
            <w:r>
              <w:t>7</w:t>
            </w:r>
            <w:r w:rsidRPr="00524F7A">
              <w:t>.15</w:t>
            </w:r>
          </w:p>
        </w:tc>
        <w:tc>
          <w:tcPr>
            <w:tcW w:w="1440" w:type="dxa"/>
            <w:tcBorders>
              <w:top w:val="nil"/>
              <w:left w:val="nil"/>
              <w:bottom w:val="single" w:sz="4" w:space="0" w:color="auto"/>
              <w:right w:val="nil"/>
            </w:tcBorders>
          </w:tcPr>
          <w:p w14:paraId="0E495B83" w14:textId="43C537DF" w:rsidR="00997D97" w:rsidRPr="00524F7A" w:rsidRDefault="00997D97" w:rsidP="00997D97">
            <w:pPr>
              <w:jc w:val="center"/>
            </w:pPr>
            <w:r w:rsidRPr="00524F7A">
              <w:t>1.</w:t>
            </w:r>
            <w:r w:rsidR="00CE7AA0">
              <w:t>18</w:t>
            </w:r>
          </w:p>
        </w:tc>
      </w:tr>
    </w:tbl>
    <w:p w14:paraId="71DFCDCB" w14:textId="77777777" w:rsidR="00A8578C" w:rsidRDefault="00A8578C" w:rsidP="005219BE">
      <w:pPr>
        <w:ind w:firstLine="720"/>
      </w:pPr>
    </w:p>
    <w:p w14:paraId="31E6C721" w14:textId="04FED5A9" w:rsidR="00ED3E09" w:rsidRDefault="00191608" w:rsidP="00191608">
      <w:r>
        <w:t>We also examined the noncognitive skills of students based on selected demographic characteristics including gender</w:t>
      </w:r>
      <w:r w:rsidR="00DE1D25">
        <w:t>,</w:t>
      </w:r>
      <w:r w:rsidR="00013365">
        <w:t xml:space="preserve"> </w:t>
      </w:r>
      <w:r>
        <w:t>year in school</w:t>
      </w:r>
      <w:r w:rsidR="00DE1D25">
        <w:t>, and enrollment in agricultural education course</w:t>
      </w:r>
      <w:r w:rsidR="00013365">
        <w:t xml:space="preserve">. </w:t>
      </w:r>
      <w:r>
        <w:t xml:space="preserve">These results are shown in Table 2. </w:t>
      </w:r>
    </w:p>
    <w:p w14:paraId="3F57591C" w14:textId="77777777" w:rsidR="00DE1D25" w:rsidRDefault="00DE1D25" w:rsidP="00191608"/>
    <w:tbl>
      <w:tblPr>
        <w:tblStyle w:val="TableGrid"/>
        <w:tblW w:w="9270" w:type="dxa"/>
        <w:tblLayout w:type="fixed"/>
        <w:tblCellMar>
          <w:left w:w="115" w:type="dxa"/>
          <w:right w:w="115" w:type="dxa"/>
        </w:tblCellMar>
        <w:tblLook w:val="04A0" w:firstRow="1" w:lastRow="0" w:firstColumn="1" w:lastColumn="0" w:noHBand="0" w:noVBand="1"/>
      </w:tblPr>
      <w:tblGrid>
        <w:gridCol w:w="1440"/>
        <w:gridCol w:w="810"/>
        <w:gridCol w:w="930"/>
        <w:gridCol w:w="870"/>
        <w:gridCol w:w="870"/>
        <w:gridCol w:w="930"/>
        <w:gridCol w:w="810"/>
        <w:gridCol w:w="1080"/>
        <w:gridCol w:w="810"/>
        <w:gridCol w:w="720"/>
      </w:tblGrid>
      <w:tr w:rsidR="00A53866" w:rsidRPr="00D15AC1" w14:paraId="23ACE571" w14:textId="77777777" w:rsidTr="00FD3D52">
        <w:tc>
          <w:tcPr>
            <w:tcW w:w="9270" w:type="dxa"/>
            <w:gridSpan w:val="10"/>
            <w:tcBorders>
              <w:top w:val="nil"/>
              <w:left w:val="nil"/>
              <w:bottom w:val="single" w:sz="4" w:space="0" w:color="auto"/>
              <w:right w:val="nil"/>
            </w:tcBorders>
          </w:tcPr>
          <w:p w14:paraId="3C00D055" w14:textId="385318B7" w:rsidR="00A53866" w:rsidRPr="004B2D03" w:rsidRDefault="00A53866" w:rsidP="00A53866">
            <w:pPr>
              <w:pStyle w:val="Caption"/>
              <w:ind w:left="-111"/>
              <w:rPr>
                <w:rFonts w:cs="Times New Roman"/>
                <w:b/>
                <w:bCs/>
                <w:szCs w:val="24"/>
              </w:rPr>
            </w:pPr>
            <w:r w:rsidRPr="004B2D03">
              <w:rPr>
                <w:rFonts w:cs="Times New Roman"/>
                <w:b/>
                <w:bCs/>
                <w:szCs w:val="24"/>
              </w:rPr>
              <w:t xml:space="preserve">Table </w:t>
            </w:r>
            <w:r>
              <w:rPr>
                <w:rFonts w:cs="Times New Roman"/>
                <w:b/>
                <w:bCs/>
                <w:szCs w:val="24"/>
              </w:rPr>
              <w:t>2</w:t>
            </w:r>
            <w:r w:rsidRPr="004B2D03">
              <w:rPr>
                <w:rFonts w:cs="Times New Roman"/>
                <w:b/>
                <w:bCs/>
                <w:szCs w:val="24"/>
              </w:rPr>
              <w:t xml:space="preserve"> </w:t>
            </w:r>
          </w:p>
          <w:p w14:paraId="06451F27" w14:textId="77777777" w:rsidR="00A53866" w:rsidRPr="00524F7A" w:rsidRDefault="00A53866" w:rsidP="00A53866">
            <w:pPr>
              <w:pStyle w:val="Caption"/>
              <w:ind w:left="-111"/>
              <w:rPr>
                <w:rFonts w:cs="Times New Roman"/>
                <w:i/>
                <w:szCs w:val="24"/>
              </w:rPr>
            </w:pPr>
          </w:p>
          <w:p w14:paraId="24C8DF94" w14:textId="77777777" w:rsidR="00A53866" w:rsidRPr="00191608" w:rsidRDefault="00A53866" w:rsidP="00A53866">
            <w:pPr>
              <w:pStyle w:val="Caption"/>
              <w:ind w:left="-111"/>
              <w:rPr>
                <w:rFonts w:cs="Times New Roman"/>
                <w:iCs w:val="0"/>
                <w:szCs w:val="24"/>
              </w:rPr>
            </w:pPr>
            <w:r w:rsidRPr="00524F7A">
              <w:rPr>
                <w:rFonts w:cs="Times New Roman"/>
                <w:i/>
                <w:szCs w:val="24"/>
              </w:rPr>
              <w:t>Non</w:t>
            </w:r>
            <w:r>
              <w:rPr>
                <w:rFonts w:cs="Times New Roman"/>
                <w:i/>
                <w:szCs w:val="24"/>
              </w:rPr>
              <w:t>c</w:t>
            </w:r>
            <w:r w:rsidRPr="00524F7A">
              <w:rPr>
                <w:rFonts w:cs="Times New Roman"/>
                <w:i/>
                <w:szCs w:val="24"/>
              </w:rPr>
              <w:t xml:space="preserve">ognitive </w:t>
            </w:r>
            <w:r>
              <w:rPr>
                <w:rFonts w:cs="Times New Roman"/>
                <w:i/>
                <w:szCs w:val="24"/>
              </w:rPr>
              <w:t>Skills in</w:t>
            </w:r>
            <w:r w:rsidRPr="00524F7A">
              <w:rPr>
                <w:rFonts w:cs="Times New Roman"/>
                <w:i/>
                <w:szCs w:val="24"/>
              </w:rPr>
              <w:t xml:space="preserve"> </w:t>
            </w:r>
            <w:r>
              <w:rPr>
                <w:rFonts w:cs="Times New Roman"/>
                <w:i/>
                <w:szCs w:val="24"/>
              </w:rPr>
              <w:t xml:space="preserve">[High School] </w:t>
            </w:r>
            <w:r w:rsidRPr="00524F7A">
              <w:rPr>
                <w:rFonts w:cs="Times New Roman"/>
                <w:i/>
                <w:szCs w:val="24"/>
              </w:rPr>
              <w:t>Students and Adolescent Averages</w:t>
            </w:r>
            <w:r>
              <w:rPr>
                <w:rFonts w:cs="Times New Roman"/>
                <w:i/>
                <w:szCs w:val="24"/>
              </w:rPr>
              <w:t xml:space="preserve"> (N = 560)</w:t>
            </w:r>
          </w:p>
          <w:p w14:paraId="5507B4B8" w14:textId="77777777" w:rsidR="00A53866" w:rsidRPr="0011476E" w:rsidRDefault="00A53866" w:rsidP="00A53866">
            <w:pPr>
              <w:rPr>
                <w:iCs/>
              </w:rPr>
            </w:pPr>
          </w:p>
        </w:tc>
      </w:tr>
      <w:tr w:rsidR="0011476E" w:rsidRPr="00D15AC1" w14:paraId="3D72844A" w14:textId="77777777" w:rsidTr="00D1460C">
        <w:tc>
          <w:tcPr>
            <w:tcW w:w="1440" w:type="dxa"/>
            <w:tcBorders>
              <w:top w:val="single" w:sz="4" w:space="0" w:color="auto"/>
              <w:left w:val="nil"/>
              <w:bottom w:val="nil"/>
              <w:right w:val="nil"/>
            </w:tcBorders>
          </w:tcPr>
          <w:p w14:paraId="1D994177" w14:textId="77777777" w:rsidR="0011476E" w:rsidRPr="004A5DE0" w:rsidRDefault="0011476E" w:rsidP="009264EB"/>
        </w:tc>
        <w:tc>
          <w:tcPr>
            <w:tcW w:w="810" w:type="dxa"/>
            <w:tcBorders>
              <w:top w:val="single" w:sz="4" w:space="0" w:color="auto"/>
              <w:left w:val="nil"/>
              <w:bottom w:val="nil"/>
              <w:right w:val="nil"/>
            </w:tcBorders>
          </w:tcPr>
          <w:p w14:paraId="1B713226" w14:textId="77777777" w:rsidR="0011476E" w:rsidRDefault="0011476E" w:rsidP="009264EB">
            <w:pPr>
              <w:jc w:val="center"/>
              <w:rPr>
                <w:i/>
              </w:rPr>
            </w:pPr>
          </w:p>
        </w:tc>
        <w:tc>
          <w:tcPr>
            <w:tcW w:w="1800" w:type="dxa"/>
            <w:gridSpan w:val="2"/>
            <w:tcBorders>
              <w:top w:val="single" w:sz="4" w:space="0" w:color="auto"/>
              <w:left w:val="nil"/>
              <w:bottom w:val="nil"/>
              <w:right w:val="nil"/>
            </w:tcBorders>
          </w:tcPr>
          <w:p w14:paraId="173572D7" w14:textId="5ECDE011" w:rsidR="0011476E" w:rsidRPr="0011476E" w:rsidRDefault="0011476E" w:rsidP="009264EB">
            <w:pPr>
              <w:jc w:val="center"/>
              <w:rPr>
                <w:iCs/>
              </w:rPr>
            </w:pPr>
            <w:r w:rsidRPr="0011476E">
              <w:rPr>
                <w:iCs/>
              </w:rPr>
              <w:t>Grit</w:t>
            </w:r>
          </w:p>
        </w:tc>
        <w:tc>
          <w:tcPr>
            <w:tcW w:w="1800" w:type="dxa"/>
            <w:gridSpan w:val="2"/>
            <w:tcBorders>
              <w:top w:val="single" w:sz="4" w:space="0" w:color="auto"/>
              <w:left w:val="nil"/>
              <w:bottom w:val="nil"/>
              <w:right w:val="nil"/>
            </w:tcBorders>
          </w:tcPr>
          <w:p w14:paraId="634B91B8" w14:textId="7EA0A776" w:rsidR="0011476E" w:rsidRPr="0011476E" w:rsidRDefault="0011476E" w:rsidP="009264EB">
            <w:pPr>
              <w:jc w:val="center"/>
              <w:rPr>
                <w:iCs/>
              </w:rPr>
            </w:pPr>
            <w:r w:rsidRPr="0011476E">
              <w:rPr>
                <w:iCs/>
              </w:rPr>
              <w:t>Optimism</w:t>
            </w:r>
          </w:p>
        </w:tc>
        <w:tc>
          <w:tcPr>
            <w:tcW w:w="1890" w:type="dxa"/>
            <w:gridSpan w:val="2"/>
            <w:tcBorders>
              <w:top w:val="single" w:sz="4" w:space="0" w:color="auto"/>
              <w:left w:val="nil"/>
              <w:bottom w:val="nil"/>
              <w:right w:val="nil"/>
            </w:tcBorders>
          </w:tcPr>
          <w:p w14:paraId="6B03406E" w14:textId="1F748292" w:rsidR="0011476E" w:rsidRPr="0011476E" w:rsidRDefault="0011476E" w:rsidP="009264EB">
            <w:pPr>
              <w:jc w:val="center"/>
              <w:rPr>
                <w:iCs/>
              </w:rPr>
            </w:pPr>
            <w:r w:rsidRPr="00DE1D25">
              <w:rPr>
                <w:iCs/>
              </w:rPr>
              <w:t>Locus of Control</w:t>
            </w:r>
          </w:p>
        </w:tc>
        <w:tc>
          <w:tcPr>
            <w:tcW w:w="1530" w:type="dxa"/>
            <w:gridSpan w:val="2"/>
            <w:tcBorders>
              <w:top w:val="single" w:sz="4" w:space="0" w:color="auto"/>
              <w:left w:val="nil"/>
              <w:bottom w:val="nil"/>
              <w:right w:val="nil"/>
            </w:tcBorders>
          </w:tcPr>
          <w:p w14:paraId="7E7A85F8" w14:textId="519853F9" w:rsidR="0011476E" w:rsidRPr="0011476E" w:rsidRDefault="0011476E" w:rsidP="009264EB">
            <w:pPr>
              <w:jc w:val="center"/>
              <w:rPr>
                <w:iCs/>
              </w:rPr>
            </w:pPr>
            <w:r w:rsidRPr="0011476E">
              <w:rPr>
                <w:iCs/>
              </w:rPr>
              <w:t>Self-efficacy</w:t>
            </w:r>
          </w:p>
        </w:tc>
      </w:tr>
      <w:tr w:rsidR="0011476E" w:rsidRPr="00D15AC1" w14:paraId="1E8A99B3" w14:textId="77777777" w:rsidTr="00DE1D25">
        <w:tc>
          <w:tcPr>
            <w:tcW w:w="1440" w:type="dxa"/>
            <w:tcBorders>
              <w:top w:val="nil"/>
              <w:left w:val="nil"/>
              <w:bottom w:val="single" w:sz="4" w:space="0" w:color="auto"/>
              <w:right w:val="nil"/>
            </w:tcBorders>
          </w:tcPr>
          <w:p w14:paraId="6B796E2F" w14:textId="77777777" w:rsidR="0011476E" w:rsidRPr="004A5DE0" w:rsidRDefault="0011476E" w:rsidP="009264EB"/>
        </w:tc>
        <w:tc>
          <w:tcPr>
            <w:tcW w:w="810" w:type="dxa"/>
            <w:tcBorders>
              <w:top w:val="nil"/>
              <w:left w:val="nil"/>
              <w:bottom w:val="single" w:sz="4" w:space="0" w:color="auto"/>
              <w:right w:val="nil"/>
            </w:tcBorders>
          </w:tcPr>
          <w:p w14:paraId="2C84FD02" w14:textId="77777777" w:rsidR="0011476E" w:rsidRDefault="0011476E" w:rsidP="009264EB">
            <w:pPr>
              <w:jc w:val="center"/>
              <w:rPr>
                <w:i/>
              </w:rPr>
            </w:pPr>
            <w:r>
              <w:rPr>
                <w:i/>
              </w:rPr>
              <w:t>n</w:t>
            </w:r>
          </w:p>
        </w:tc>
        <w:tc>
          <w:tcPr>
            <w:tcW w:w="930" w:type="dxa"/>
            <w:tcBorders>
              <w:top w:val="nil"/>
              <w:left w:val="nil"/>
              <w:bottom w:val="single" w:sz="4" w:space="0" w:color="auto"/>
              <w:right w:val="nil"/>
            </w:tcBorders>
          </w:tcPr>
          <w:p w14:paraId="04EAF9FD" w14:textId="77777777" w:rsidR="0011476E" w:rsidRDefault="0011476E" w:rsidP="009264EB">
            <w:pPr>
              <w:jc w:val="center"/>
              <w:rPr>
                <w:i/>
              </w:rPr>
            </w:pPr>
            <w:r w:rsidRPr="00D15AC1">
              <w:rPr>
                <w:i/>
              </w:rPr>
              <w:t>M</w:t>
            </w:r>
          </w:p>
        </w:tc>
        <w:tc>
          <w:tcPr>
            <w:tcW w:w="870" w:type="dxa"/>
            <w:tcBorders>
              <w:top w:val="nil"/>
              <w:left w:val="nil"/>
              <w:bottom w:val="single" w:sz="4" w:space="0" w:color="auto"/>
              <w:right w:val="nil"/>
            </w:tcBorders>
          </w:tcPr>
          <w:p w14:paraId="45852498" w14:textId="77777777" w:rsidR="0011476E" w:rsidRDefault="0011476E" w:rsidP="009264EB">
            <w:pPr>
              <w:jc w:val="center"/>
              <w:rPr>
                <w:i/>
              </w:rPr>
            </w:pPr>
            <w:r w:rsidRPr="00D15AC1">
              <w:rPr>
                <w:i/>
              </w:rPr>
              <w:t>SD</w:t>
            </w:r>
          </w:p>
        </w:tc>
        <w:tc>
          <w:tcPr>
            <w:tcW w:w="870" w:type="dxa"/>
            <w:tcBorders>
              <w:top w:val="nil"/>
              <w:left w:val="nil"/>
              <w:bottom w:val="single" w:sz="4" w:space="0" w:color="auto"/>
              <w:right w:val="nil"/>
            </w:tcBorders>
          </w:tcPr>
          <w:p w14:paraId="7D969708" w14:textId="77777777" w:rsidR="0011476E" w:rsidRDefault="0011476E" w:rsidP="009264EB">
            <w:pPr>
              <w:jc w:val="center"/>
              <w:rPr>
                <w:i/>
              </w:rPr>
            </w:pPr>
            <w:r w:rsidRPr="00D15AC1">
              <w:rPr>
                <w:i/>
              </w:rPr>
              <w:t>M</w:t>
            </w:r>
          </w:p>
        </w:tc>
        <w:tc>
          <w:tcPr>
            <w:tcW w:w="930" w:type="dxa"/>
            <w:tcBorders>
              <w:top w:val="nil"/>
              <w:left w:val="nil"/>
              <w:bottom w:val="single" w:sz="4" w:space="0" w:color="auto"/>
              <w:right w:val="nil"/>
            </w:tcBorders>
          </w:tcPr>
          <w:p w14:paraId="152D10CF" w14:textId="77777777" w:rsidR="0011476E" w:rsidRDefault="0011476E" w:rsidP="009264EB">
            <w:pPr>
              <w:jc w:val="center"/>
              <w:rPr>
                <w:i/>
              </w:rPr>
            </w:pPr>
            <w:r w:rsidRPr="00D15AC1">
              <w:rPr>
                <w:i/>
              </w:rPr>
              <w:t>SD</w:t>
            </w:r>
          </w:p>
        </w:tc>
        <w:tc>
          <w:tcPr>
            <w:tcW w:w="810" w:type="dxa"/>
            <w:tcBorders>
              <w:top w:val="nil"/>
              <w:left w:val="nil"/>
              <w:bottom w:val="single" w:sz="4" w:space="0" w:color="auto"/>
              <w:right w:val="nil"/>
            </w:tcBorders>
          </w:tcPr>
          <w:p w14:paraId="4E6D10CB" w14:textId="77777777" w:rsidR="0011476E" w:rsidRDefault="0011476E" w:rsidP="009264EB">
            <w:pPr>
              <w:jc w:val="center"/>
              <w:rPr>
                <w:i/>
              </w:rPr>
            </w:pPr>
            <w:r w:rsidRPr="00D15AC1">
              <w:rPr>
                <w:i/>
              </w:rPr>
              <w:t>M</w:t>
            </w:r>
          </w:p>
        </w:tc>
        <w:tc>
          <w:tcPr>
            <w:tcW w:w="1080" w:type="dxa"/>
            <w:tcBorders>
              <w:top w:val="nil"/>
              <w:left w:val="nil"/>
              <w:bottom w:val="single" w:sz="4" w:space="0" w:color="auto"/>
              <w:right w:val="nil"/>
            </w:tcBorders>
          </w:tcPr>
          <w:p w14:paraId="492A137D" w14:textId="77777777" w:rsidR="0011476E" w:rsidRDefault="0011476E" w:rsidP="009264EB">
            <w:pPr>
              <w:jc w:val="center"/>
              <w:rPr>
                <w:i/>
              </w:rPr>
            </w:pPr>
            <w:r w:rsidRPr="00D15AC1">
              <w:rPr>
                <w:i/>
              </w:rPr>
              <w:t>SD</w:t>
            </w:r>
          </w:p>
        </w:tc>
        <w:tc>
          <w:tcPr>
            <w:tcW w:w="810" w:type="dxa"/>
            <w:tcBorders>
              <w:top w:val="nil"/>
              <w:left w:val="nil"/>
              <w:bottom w:val="single" w:sz="4" w:space="0" w:color="auto"/>
              <w:right w:val="nil"/>
            </w:tcBorders>
          </w:tcPr>
          <w:p w14:paraId="5305A8B5" w14:textId="77777777" w:rsidR="0011476E" w:rsidRPr="00D15AC1" w:rsidRDefault="0011476E" w:rsidP="009264EB">
            <w:pPr>
              <w:jc w:val="center"/>
              <w:rPr>
                <w:i/>
              </w:rPr>
            </w:pPr>
            <w:r w:rsidRPr="00D15AC1">
              <w:rPr>
                <w:i/>
              </w:rPr>
              <w:t>M</w:t>
            </w:r>
          </w:p>
        </w:tc>
        <w:tc>
          <w:tcPr>
            <w:tcW w:w="720" w:type="dxa"/>
            <w:tcBorders>
              <w:top w:val="nil"/>
              <w:left w:val="nil"/>
              <w:bottom w:val="single" w:sz="4" w:space="0" w:color="auto"/>
              <w:right w:val="nil"/>
            </w:tcBorders>
          </w:tcPr>
          <w:p w14:paraId="1B2611EE" w14:textId="77777777" w:rsidR="0011476E" w:rsidRPr="00D15AC1" w:rsidRDefault="0011476E" w:rsidP="009264EB">
            <w:pPr>
              <w:jc w:val="center"/>
              <w:rPr>
                <w:i/>
              </w:rPr>
            </w:pPr>
            <w:r w:rsidRPr="00D15AC1">
              <w:rPr>
                <w:i/>
              </w:rPr>
              <w:t>SD</w:t>
            </w:r>
          </w:p>
        </w:tc>
      </w:tr>
      <w:tr w:rsidR="0011476E" w:rsidRPr="004A5DE0" w14:paraId="0E11911F" w14:textId="77777777" w:rsidTr="00DE1D25">
        <w:tc>
          <w:tcPr>
            <w:tcW w:w="1440" w:type="dxa"/>
            <w:tcBorders>
              <w:top w:val="single" w:sz="4" w:space="0" w:color="auto"/>
              <w:left w:val="nil"/>
              <w:bottom w:val="nil"/>
              <w:right w:val="nil"/>
            </w:tcBorders>
            <w:shd w:val="clear" w:color="auto" w:fill="auto"/>
          </w:tcPr>
          <w:p w14:paraId="46373162" w14:textId="7FFD380E" w:rsidR="0011476E" w:rsidRPr="004A5DE0" w:rsidRDefault="0011476E" w:rsidP="009264EB">
            <w:r>
              <w:t>Gender</w:t>
            </w:r>
          </w:p>
        </w:tc>
        <w:tc>
          <w:tcPr>
            <w:tcW w:w="810" w:type="dxa"/>
            <w:tcBorders>
              <w:top w:val="single" w:sz="4" w:space="0" w:color="auto"/>
              <w:left w:val="nil"/>
              <w:bottom w:val="nil"/>
              <w:right w:val="nil"/>
            </w:tcBorders>
          </w:tcPr>
          <w:p w14:paraId="4E6E4FC5" w14:textId="77777777" w:rsidR="0011476E" w:rsidRPr="004A5DE0" w:rsidRDefault="0011476E" w:rsidP="009264EB">
            <w:pPr>
              <w:jc w:val="right"/>
            </w:pPr>
          </w:p>
        </w:tc>
        <w:tc>
          <w:tcPr>
            <w:tcW w:w="930" w:type="dxa"/>
            <w:tcBorders>
              <w:top w:val="single" w:sz="4" w:space="0" w:color="auto"/>
              <w:left w:val="nil"/>
              <w:bottom w:val="nil"/>
              <w:right w:val="nil"/>
            </w:tcBorders>
          </w:tcPr>
          <w:p w14:paraId="78F72A3B" w14:textId="77777777" w:rsidR="0011476E" w:rsidRPr="004A5DE0" w:rsidRDefault="0011476E" w:rsidP="009264EB">
            <w:pPr>
              <w:jc w:val="right"/>
            </w:pPr>
          </w:p>
        </w:tc>
        <w:tc>
          <w:tcPr>
            <w:tcW w:w="870" w:type="dxa"/>
            <w:tcBorders>
              <w:top w:val="single" w:sz="4" w:space="0" w:color="auto"/>
              <w:left w:val="nil"/>
              <w:bottom w:val="nil"/>
              <w:right w:val="nil"/>
            </w:tcBorders>
          </w:tcPr>
          <w:p w14:paraId="3D1C0854" w14:textId="77777777" w:rsidR="0011476E" w:rsidRPr="004A5DE0" w:rsidRDefault="0011476E" w:rsidP="009264EB">
            <w:pPr>
              <w:jc w:val="right"/>
            </w:pPr>
          </w:p>
        </w:tc>
        <w:tc>
          <w:tcPr>
            <w:tcW w:w="870" w:type="dxa"/>
            <w:tcBorders>
              <w:top w:val="single" w:sz="4" w:space="0" w:color="auto"/>
              <w:left w:val="nil"/>
              <w:bottom w:val="nil"/>
              <w:right w:val="nil"/>
            </w:tcBorders>
          </w:tcPr>
          <w:p w14:paraId="5DE5781C" w14:textId="77777777" w:rsidR="0011476E" w:rsidRPr="004A5DE0" w:rsidRDefault="0011476E" w:rsidP="009264EB">
            <w:pPr>
              <w:jc w:val="right"/>
            </w:pPr>
          </w:p>
        </w:tc>
        <w:tc>
          <w:tcPr>
            <w:tcW w:w="930" w:type="dxa"/>
            <w:tcBorders>
              <w:top w:val="single" w:sz="4" w:space="0" w:color="auto"/>
              <w:left w:val="nil"/>
              <w:bottom w:val="nil"/>
              <w:right w:val="nil"/>
            </w:tcBorders>
          </w:tcPr>
          <w:p w14:paraId="473DB518" w14:textId="77777777" w:rsidR="0011476E" w:rsidRPr="004A5DE0" w:rsidRDefault="0011476E" w:rsidP="009264EB">
            <w:pPr>
              <w:jc w:val="right"/>
            </w:pPr>
          </w:p>
        </w:tc>
        <w:tc>
          <w:tcPr>
            <w:tcW w:w="810" w:type="dxa"/>
            <w:tcBorders>
              <w:top w:val="single" w:sz="4" w:space="0" w:color="auto"/>
              <w:left w:val="nil"/>
              <w:bottom w:val="nil"/>
              <w:right w:val="nil"/>
            </w:tcBorders>
          </w:tcPr>
          <w:p w14:paraId="6B43D94C" w14:textId="77777777" w:rsidR="0011476E" w:rsidRPr="004A5DE0" w:rsidRDefault="0011476E" w:rsidP="009264EB">
            <w:pPr>
              <w:jc w:val="right"/>
            </w:pPr>
          </w:p>
        </w:tc>
        <w:tc>
          <w:tcPr>
            <w:tcW w:w="1080" w:type="dxa"/>
            <w:tcBorders>
              <w:top w:val="single" w:sz="4" w:space="0" w:color="auto"/>
              <w:left w:val="nil"/>
              <w:bottom w:val="nil"/>
              <w:right w:val="nil"/>
            </w:tcBorders>
          </w:tcPr>
          <w:p w14:paraId="24F435E4" w14:textId="77777777" w:rsidR="0011476E" w:rsidRPr="004A5DE0" w:rsidRDefault="0011476E" w:rsidP="009264EB">
            <w:pPr>
              <w:jc w:val="right"/>
            </w:pPr>
          </w:p>
        </w:tc>
        <w:tc>
          <w:tcPr>
            <w:tcW w:w="810" w:type="dxa"/>
            <w:tcBorders>
              <w:top w:val="single" w:sz="4" w:space="0" w:color="auto"/>
              <w:left w:val="nil"/>
              <w:bottom w:val="nil"/>
              <w:right w:val="nil"/>
            </w:tcBorders>
            <w:shd w:val="clear" w:color="auto" w:fill="auto"/>
          </w:tcPr>
          <w:p w14:paraId="4DFC9673" w14:textId="77777777" w:rsidR="0011476E" w:rsidRPr="004A5DE0" w:rsidRDefault="0011476E" w:rsidP="009264EB">
            <w:pPr>
              <w:jc w:val="right"/>
            </w:pPr>
          </w:p>
        </w:tc>
        <w:tc>
          <w:tcPr>
            <w:tcW w:w="720" w:type="dxa"/>
            <w:tcBorders>
              <w:top w:val="single" w:sz="4" w:space="0" w:color="auto"/>
              <w:left w:val="nil"/>
              <w:bottom w:val="nil"/>
              <w:right w:val="nil"/>
            </w:tcBorders>
            <w:shd w:val="clear" w:color="auto" w:fill="auto"/>
          </w:tcPr>
          <w:p w14:paraId="6E249FC1" w14:textId="77777777" w:rsidR="0011476E" w:rsidRPr="004A5DE0" w:rsidRDefault="0011476E" w:rsidP="009264EB">
            <w:pPr>
              <w:jc w:val="right"/>
            </w:pPr>
          </w:p>
        </w:tc>
      </w:tr>
      <w:tr w:rsidR="0011476E" w:rsidRPr="002E32CF" w14:paraId="7696D8A2" w14:textId="77777777" w:rsidTr="00DE1D25">
        <w:tc>
          <w:tcPr>
            <w:tcW w:w="1440" w:type="dxa"/>
            <w:tcBorders>
              <w:top w:val="nil"/>
              <w:left w:val="nil"/>
              <w:bottom w:val="nil"/>
              <w:right w:val="nil"/>
            </w:tcBorders>
          </w:tcPr>
          <w:p w14:paraId="52F91C37" w14:textId="77777777" w:rsidR="0011476E" w:rsidRPr="004A5DE0" w:rsidRDefault="0011476E" w:rsidP="009264EB">
            <w:pPr>
              <w:ind w:firstLine="156"/>
            </w:pPr>
            <w:r>
              <w:t>Male</w:t>
            </w:r>
          </w:p>
        </w:tc>
        <w:tc>
          <w:tcPr>
            <w:tcW w:w="810" w:type="dxa"/>
            <w:tcBorders>
              <w:top w:val="nil"/>
              <w:left w:val="nil"/>
              <w:bottom w:val="nil"/>
              <w:right w:val="nil"/>
            </w:tcBorders>
            <w:vAlign w:val="bottom"/>
          </w:tcPr>
          <w:p w14:paraId="39BC4E89" w14:textId="3344D895" w:rsidR="0011476E" w:rsidRPr="002E32CF" w:rsidRDefault="0011476E" w:rsidP="009264EB">
            <w:pPr>
              <w:jc w:val="right"/>
              <w:rPr>
                <w:color w:val="010205"/>
              </w:rPr>
            </w:pPr>
            <w:r>
              <w:t>291</w:t>
            </w:r>
          </w:p>
        </w:tc>
        <w:tc>
          <w:tcPr>
            <w:tcW w:w="930" w:type="dxa"/>
            <w:tcBorders>
              <w:top w:val="nil"/>
              <w:left w:val="nil"/>
              <w:bottom w:val="nil"/>
              <w:right w:val="nil"/>
            </w:tcBorders>
            <w:vAlign w:val="bottom"/>
          </w:tcPr>
          <w:p w14:paraId="081DAE79" w14:textId="14704606" w:rsidR="0011476E" w:rsidRPr="002E32CF" w:rsidRDefault="00013365" w:rsidP="009264EB">
            <w:pPr>
              <w:jc w:val="right"/>
              <w:rPr>
                <w:color w:val="010205"/>
              </w:rPr>
            </w:pPr>
            <w:r>
              <w:t>3.37</w:t>
            </w:r>
          </w:p>
        </w:tc>
        <w:tc>
          <w:tcPr>
            <w:tcW w:w="870" w:type="dxa"/>
            <w:tcBorders>
              <w:top w:val="nil"/>
              <w:left w:val="nil"/>
              <w:bottom w:val="nil"/>
              <w:right w:val="nil"/>
            </w:tcBorders>
            <w:vAlign w:val="bottom"/>
          </w:tcPr>
          <w:p w14:paraId="75BAFD1E" w14:textId="7DDFC1A0" w:rsidR="0011476E" w:rsidRPr="002E32CF" w:rsidRDefault="0011476E" w:rsidP="009264EB">
            <w:pPr>
              <w:jc w:val="right"/>
              <w:rPr>
                <w:color w:val="010205"/>
              </w:rPr>
            </w:pPr>
            <w:r>
              <w:t>0.5</w:t>
            </w:r>
            <w:r w:rsidR="009145FA">
              <w:t>8</w:t>
            </w:r>
          </w:p>
        </w:tc>
        <w:tc>
          <w:tcPr>
            <w:tcW w:w="870" w:type="dxa"/>
            <w:tcBorders>
              <w:top w:val="nil"/>
              <w:left w:val="nil"/>
              <w:bottom w:val="nil"/>
              <w:right w:val="nil"/>
            </w:tcBorders>
            <w:vAlign w:val="bottom"/>
          </w:tcPr>
          <w:p w14:paraId="496978FC" w14:textId="77777777" w:rsidR="0011476E" w:rsidRPr="002E32CF" w:rsidRDefault="0011476E" w:rsidP="009264EB">
            <w:pPr>
              <w:jc w:val="right"/>
              <w:rPr>
                <w:color w:val="010205"/>
              </w:rPr>
            </w:pPr>
            <w:r>
              <w:t>3.21</w:t>
            </w:r>
          </w:p>
        </w:tc>
        <w:tc>
          <w:tcPr>
            <w:tcW w:w="930" w:type="dxa"/>
            <w:tcBorders>
              <w:top w:val="nil"/>
              <w:left w:val="nil"/>
              <w:bottom w:val="nil"/>
              <w:right w:val="nil"/>
            </w:tcBorders>
            <w:vAlign w:val="bottom"/>
          </w:tcPr>
          <w:p w14:paraId="6E5335E8" w14:textId="77777777" w:rsidR="0011476E" w:rsidRPr="002E32CF" w:rsidRDefault="0011476E" w:rsidP="009264EB">
            <w:pPr>
              <w:jc w:val="right"/>
              <w:rPr>
                <w:color w:val="010205"/>
              </w:rPr>
            </w:pPr>
            <w:r>
              <w:t>0.76</w:t>
            </w:r>
          </w:p>
        </w:tc>
        <w:tc>
          <w:tcPr>
            <w:tcW w:w="810" w:type="dxa"/>
            <w:tcBorders>
              <w:top w:val="nil"/>
              <w:left w:val="nil"/>
              <w:bottom w:val="nil"/>
              <w:right w:val="nil"/>
            </w:tcBorders>
            <w:vAlign w:val="bottom"/>
          </w:tcPr>
          <w:p w14:paraId="2B5D73EA" w14:textId="40399354" w:rsidR="0011476E" w:rsidRPr="002E32CF" w:rsidRDefault="009145FA" w:rsidP="009264EB">
            <w:pPr>
              <w:jc w:val="right"/>
              <w:rPr>
                <w:color w:val="010205"/>
              </w:rPr>
            </w:pPr>
            <w:r>
              <w:rPr>
                <w:color w:val="010205"/>
              </w:rPr>
              <w:t>7.92</w:t>
            </w:r>
          </w:p>
        </w:tc>
        <w:tc>
          <w:tcPr>
            <w:tcW w:w="1080" w:type="dxa"/>
            <w:tcBorders>
              <w:top w:val="nil"/>
              <w:left w:val="nil"/>
              <w:bottom w:val="nil"/>
              <w:right w:val="nil"/>
            </w:tcBorders>
            <w:vAlign w:val="bottom"/>
          </w:tcPr>
          <w:p w14:paraId="3B34AFD3" w14:textId="77777777" w:rsidR="0011476E" w:rsidRPr="002E32CF" w:rsidRDefault="0011476E" w:rsidP="009264EB">
            <w:pPr>
              <w:jc w:val="right"/>
              <w:rPr>
                <w:color w:val="010205"/>
              </w:rPr>
            </w:pPr>
            <w:r w:rsidRPr="00D000BF">
              <w:rPr>
                <w:color w:val="010205"/>
              </w:rPr>
              <w:t>3.7</w:t>
            </w:r>
            <w:r>
              <w:rPr>
                <w:color w:val="010205"/>
              </w:rPr>
              <w:t>4</w:t>
            </w:r>
          </w:p>
        </w:tc>
        <w:tc>
          <w:tcPr>
            <w:tcW w:w="810" w:type="dxa"/>
            <w:tcBorders>
              <w:top w:val="nil"/>
              <w:left w:val="nil"/>
              <w:bottom w:val="nil"/>
              <w:right w:val="nil"/>
            </w:tcBorders>
            <w:vAlign w:val="bottom"/>
          </w:tcPr>
          <w:p w14:paraId="05FB3A35" w14:textId="1594679F" w:rsidR="0011476E" w:rsidRPr="002E32CF" w:rsidRDefault="0011476E" w:rsidP="009264EB">
            <w:pPr>
              <w:jc w:val="right"/>
            </w:pPr>
            <w:r w:rsidRPr="002E32CF">
              <w:rPr>
                <w:color w:val="010205"/>
              </w:rPr>
              <w:t>7.</w:t>
            </w:r>
            <w:r w:rsidR="009145FA">
              <w:rPr>
                <w:color w:val="010205"/>
              </w:rPr>
              <w:t>74</w:t>
            </w:r>
          </w:p>
        </w:tc>
        <w:tc>
          <w:tcPr>
            <w:tcW w:w="720" w:type="dxa"/>
            <w:tcBorders>
              <w:top w:val="nil"/>
              <w:left w:val="nil"/>
              <w:bottom w:val="nil"/>
              <w:right w:val="nil"/>
            </w:tcBorders>
            <w:vAlign w:val="bottom"/>
          </w:tcPr>
          <w:p w14:paraId="11F4C784" w14:textId="4BFC6A9C" w:rsidR="0011476E" w:rsidRPr="002E32CF" w:rsidRDefault="009145FA" w:rsidP="009264EB">
            <w:pPr>
              <w:jc w:val="right"/>
            </w:pPr>
            <w:r>
              <w:rPr>
                <w:color w:val="010205"/>
              </w:rPr>
              <w:t>0.82</w:t>
            </w:r>
          </w:p>
        </w:tc>
      </w:tr>
      <w:tr w:rsidR="0011476E" w:rsidRPr="002E32CF" w14:paraId="256F7592" w14:textId="77777777" w:rsidTr="00DE1D25">
        <w:tc>
          <w:tcPr>
            <w:tcW w:w="1440" w:type="dxa"/>
            <w:tcBorders>
              <w:top w:val="nil"/>
              <w:left w:val="nil"/>
              <w:bottom w:val="nil"/>
              <w:right w:val="nil"/>
            </w:tcBorders>
          </w:tcPr>
          <w:p w14:paraId="1401BC36" w14:textId="77777777" w:rsidR="0011476E" w:rsidRPr="004A5DE0" w:rsidRDefault="0011476E" w:rsidP="009264EB">
            <w:pPr>
              <w:ind w:firstLine="156"/>
            </w:pPr>
            <w:r>
              <w:t>Female</w:t>
            </w:r>
          </w:p>
        </w:tc>
        <w:tc>
          <w:tcPr>
            <w:tcW w:w="810" w:type="dxa"/>
            <w:tcBorders>
              <w:top w:val="nil"/>
              <w:left w:val="nil"/>
              <w:bottom w:val="nil"/>
              <w:right w:val="nil"/>
            </w:tcBorders>
            <w:vAlign w:val="bottom"/>
          </w:tcPr>
          <w:p w14:paraId="219E12C0" w14:textId="12E4BBB2" w:rsidR="0011476E" w:rsidRPr="002E32CF" w:rsidRDefault="0011476E" w:rsidP="009264EB">
            <w:pPr>
              <w:jc w:val="right"/>
              <w:rPr>
                <w:color w:val="010205"/>
              </w:rPr>
            </w:pPr>
            <w:r>
              <w:t>263</w:t>
            </w:r>
          </w:p>
        </w:tc>
        <w:tc>
          <w:tcPr>
            <w:tcW w:w="930" w:type="dxa"/>
            <w:tcBorders>
              <w:top w:val="nil"/>
              <w:left w:val="nil"/>
              <w:bottom w:val="nil"/>
              <w:right w:val="nil"/>
            </w:tcBorders>
            <w:vAlign w:val="bottom"/>
          </w:tcPr>
          <w:p w14:paraId="48420CE4" w14:textId="42A46FFA" w:rsidR="0011476E" w:rsidRPr="002E32CF" w:rsidRDefault="0011476E" w:rsidP="009264EB">
            <w:pPr>
              <w:jc w:val="right"/>
              <w:rPr>
                <w:color w:val="010205"/>
              </w:rPr>
            </w:pPr>
            <w:r w:rsidRPr="00213D75">
              <w:t>3.</w:t>
            </w:r>
            <w:r w:rsidR="009145FA">
              <w:t>53</w:t>
            </w:r>
          </w:p>
        </w:tc>
        <w:tc>
          <w:tcPr>
            <w:tcW w:w="870" w:type="dxa"/>
            <w:tcBorders>
              <w:top w:val="nil"/>
              <w:left w:val="nil"/>
              <w:bottom w:val="nil"/>
              <w:right w:val="nil"/>
            </w:tcBorders>
            <w:vAlign w:val="bottom"/>
          </w:tcPr>
          <w:p w14:paraId="28F56910" w14:textId="6357BF88" w:rsidR="0011476E" w:rsidRPr="002E32CF" w:rsidRDefault="0011476E" w:rsidP="009264EB">
            <w:pPr>
              <w:jc w:val="right"/>
              <w:rPr>
                <w:color w:val="010205"/>
              </w:rPr>
            </w:pPr>
            <w:r>
              <w:t>0.5</w:t>
            </w:r>
            <w:r w:rsidR="00013365">
              <w:t>0</w:t>
            </w:r>
          </w:p>
        </w:tc>
        <w:tc>
          <w:tcPr>
            <w:tcW w:w="870" w:type="dxa"/>
            <w:tcBorders>
              <w:top w:val="nil"/>
              <w:left w:val="nil"/>
              <w:bottom w:val="nil"/>
              <w:right w:val="nil"/>
            </w:tcBorders>
            <w:vAlign w:val="bottom"/>
          </w:tcPr>
          <w:p w14:paraId="5C3F05E3" w14:textId="77777777" w:rsidR="0011476E" w:rsidRPr="002E32CF" w:rsidRDefault="0011476E" w:rsidP="009264EB">
            <w:pPr>
              <w:jc w:val="right"/>
              <w:rPr>
                <w:color w:val="010205"/>
              </w:rPr>
            </w:pPr>
            <w:r>
              <w:t>3.34</w:t>
            </w:r>
          </w:p>
        </w:tc>
        <w:tc>
          <w:tcPr>
            <w:tcW w:w="930" w:type="dxa"/>
            <w:tcBorders>
              <w:top w:val="nil"/>
              <w:left w:val="nil"/>
              <w:bottom w:val="nil"/>
              <w:right w:val="nil"/>
            </w:tcBorders>
            <w:vAlign w:val="bottom"/>
          </w:tcPr>
          <w:p w14:paraId="78D1CDA6" w14:textId="77777777" w:rsidR="0011476E" w:rsidRPr="002E32CF" w:rsidRDefault="0011476E" w:rsidP="009264EB">
            <w:pPr>
              <w:jc w:val="right"/>
              <w:rPr>
                <w:color w:val="010205"/>
              </w:rPr>
            </w:pPr>
            <w:r>
              <w:t>0.74</w:t>
            </w:r>
          </w:p>
        </w:tc>
        <w:tc>
          <w:tcPr>
            <w:tcW w:w="810" w:type="dxa"/>
            <w:tcBorders>
              <w:top w:val="nil"/>
              <w:left w:val="nil"/>
              <w:bottom w:val="nil"/>
              <w:right w:val="nil"/>
            </w:tcBorders>
            <w:vAlign w:val="bottom"/>
          </w:tcPr>
          <w:p w14:paraId="477B4CE9" w14:textId="474478C0" w:rsidR="0011476E" w:rsidRPr="002E32CF" w:rsidRDefault="009145FA" w:rsidP="009264EB">
            <w:pPr>
              <w:jc w:val="right"/>
              <w:rPr>
                <w:color w:val="010205"/>
              </w:rPr>
            </w:pPr>
            <w:r>
              <w:rPr>
                <w:color w:val="010205"/>
              </w:rPr>
              <w:t>8.72</w:t>
            </w:r>
          </w:p>
        </w:tc>
        <w:tc>
          <w:tcPr>
            <w:tcW w:w="1080" w:type="dxa"/>
            <w:tcBorders>
              <w:top w:val="nil"/>
              <w:left w:val="nil"/>
              <w:bottom w:val="nil"/>
              <w:right w:val="nil"/>
            </w:tcBorders>
            <w:vAlign w:val="bottom"/>
          </w:tcPr>
          <w:p w14:paraId="60425A1D" w14:textId="77777777" w:rsidR="0011476E" w:rsidRPr="002E32CF" w:rsidRDefault="0011476E" w:rsidP="009264EB">
            <w:pPr>
              <w:jc w:val="right"/>
              <w:rPr>
                <w:color w:val="010205"/>
              </w:rPr>
            </w:pPr>
            <w:r w:rsidRPr="00D000BF">
              <w:rPr>
                <w:color w:val="010205"/>
              </w:rPr>
              <w:t>3.2</w:t>
            </w:r>
            <w:r>
              <w:rPr>
                <w:color w:val="010205"/>
              </w:rPr>
              <w:t>1</w:t>
            </w:r>
          </w:p>
        </w:tc>
        <w:tc>
          <w:tcPr>
            <w:tcW w:w="810" w:type="dxa"/>
            <w:tcBorders>
              <w:top w:val="nil"/>
              <w:left w:val="nil"/>
              <w:bottom w:val="nil"/>
              <w:right w:val="nil"/>
            </w:tcBorders>
            <w:vAlign w:val="bottom"/>
          </w:tcPr>
          <w:p w14:paraId="3650B187" w14:textId="788ABB8D" w:rsidR="0011476E" w:rsidRPr="002E32CF" w:rsidRDefault="009145FA" w:rsidP="009264EB">
            <w:pPr>
              <w:jc w:val="right"/>
            </w:pPr>
            <w:r>
              <w:rPr>
                <w:color w:val="010205"/>
              </w:rPr>
              <w:t>6.66</w:t>
            </w:r>
          </w:p>
        </w:tc>
        <w:tc>
          <w:tcPr>
            <w:tcW w:w="720" w:type="dxa"/>
            <w:tcBorders>
              <w:top w:val="nil"/>
              <w:left w:val="nil"/>
              <w:bottom w:val="nil"/>
              <w:right w:val="nil"/>
            </w:tcBorders>
            <w:vAlign w:val="bottom"/>
          </w:tcPr>
          <w:p w14:paraId="50B75CC9" w14:textId="77777777" w:rsidR="0011476E" w:rsidRPr="002E32CF" w:rsidRDefault="0011476E" w:rsidP="009264EB">
            <w:pPr>
              <w:jc w:val="right"/>
            </w:pPr>
            <w:r w:rsidRPr="002E32CF">
              <w:rPr>
                <w:color w:val="010205"/>
              </w:rPr>
              <w:t>1.2</w:t>
            </w:r>
            <w:r>
              <w:rPr>
                <w:color w:val="010205"/>
              </w:rPr>
              <w:t>1</w:t>
            </w:r>
          </w:p>
        </w:tc>
      </w:tr>
      <w:tr w:rsidR="0011476E" w:rsidRPr="004A5DE0" w14:paraId="3999AA85" w14:textId="77777777" w:rsidTr="00DE1D25">
        <w:tc>
          <w:tcPr>
            <w:tcW w:w="1440" w:type="dxa"/>
            <w:tcBorders>
              <w:top w:val="nil"/>
              <w:left w:val="nil"/>
              <w:bottom w:val="nil"/>
              <w:right w:val="nil"/>
            </w:tcBorders>
            <w:shd w:val="clear" w:color="auto" w:fill="auto"/>
          </w:tcPr>
          <w:p w14:paraId="3FFE20C1" w14:textId="77777777" w:rsidR="0011476E" w:rsidRDefault="0011476E" w:rsidP="009264EB">
            <w:r>
              <w:t xml:space="preserve">Grade </w:t>
            </w:r>
          </w:p>
        </w:tc>
        <w:tc>
          <w:tcPr>
            <w:tcW w:w="810" w:type="dxa"/>
            <w:tcBorders>
              <w:top w:val="nil"/>
              <w:left w:val="nil"/>
              <w:bottom w:val="nil"/>
              <w:right w:val="nil"/>
            </w:tcBorders>
            <w:vAlign w:val="bottom"/>
          </w:tcPr>
          <w:p w14:paraId="133B673B" w14:textId="77777777" w:rsidR="0011476E" w:rsidRPr="004A5DE0" w:rsidRDefault="0011476E" w:rsidP="009264EB">
            <w:pPr>
              <w:jc w:val="right"/>
            </w:pPr>
          </w:p>
        </w:tc>
        <w:tc>
          <w:tcPr>
            <w:tcW w:w="930" w:type="dxa"/>
            <w:tcBorders>
              <w:top w:val="nil"/>
              <w:left w:val="nil"/>
              <w:bottom w:val="nil"/>
              <w:right w:val="nil"/>
            </w:tcBorders>
            <w:vAlign w:val="bottom"/>
          </w:tcPr>
          <w:p w14:paraId="68F3F11D" w14:textId="77777777" w:rsidR="0011476E" w:rsidRPr="004A5DE0" w:rsidRDefault="0011476E" w:rsidP="009264EB">
            <w:pPr>
              <w:jc w:val="right"/>
            </w:pPr>
          </w:p>
        </w:tc>
        <w:tc>
          <w:tcPr>
            <w:tcW w:w="870" w:type="dxa"/>
            <w:tcBorders>
              <w:top w:val="nil"/>
              <w:left w:val="nil"/>
              <w:bottom w:val="nil"/>
              <w:right w:val="nil"/>
            </w:tcBorders>
            <w:vAlign w:val="bottom"/>
          </w:tcPr>
          <w:p w14:paraId="7175C597" w14:textId="77777777" w:rsidR="0011476E" w:rsidRPr="004A5DE0" w:rsidRDefault="0011476E" w:rsidP="009264EB">
            <w:pPr>
              <w:jc w:val="right"/>
            </w:pPr>
          </w:p>
        </w:tc>
        <w:tc>
          <w:tcPr>
            <w:tcW w:w="870" w:type="dxa"/>
            <w:tcBorders>
              <w:top w:val="nil"/>
              <w:left w:val="nil"/>
              <w:bottom w:val="nil"/>
              <w:right w:val="nil"/>
            </w:tcBorders>
            <w:vAlign w:val="bottom"/>
          </w:tcPr>
          <w:p w14:paraId="43060440" w14:textId="77777777" w:rsidR="0011476E" w:rsidRPr="004A5DE0" w:rsidRDefault="0011476E" w:rsidP="009264EB">
            <w:pPr>
              <w:jc w:val="right"/>
            </w:pPr>
          </w:p>
        </w:tc>
        <w:tc>
          <w:tcPr>
            <w:tcW w:w="930" w:type="dxa"/>
            <w:tcBorders>
              <w:top w:val="nil"/>
              <w:left w:val="nil"/>
              <w:bottom w:val="nil"/>
              <w:right w:val="nil"/>
            </w:tcBorders>
            <w:vAlign w:val="bottom"/>
          </w:tcPr>
          <w:p w14:paraId="58DDD92D" w14:textId="77777777" w:rsidR="0011476E" w:rsidRPr="004A5DE0" w:rsidRDefault="0011476E" w:rsidP="009264EB">
            <w:pPr>
              <w:jc w:val="right"/>
            </w:pPr>
          </w:p>
        </w:tc>
        <w:tc>
          <w:tcPr>
            <w:tcW w:w="810" w:type="dxa"/>
            <w:tcBorders>
              <w:top w:val="nil"/>
              <w:left w:val="nil"/>
              <w:bottom w:val="nil"/>
              <w:right w:val="nil"/>
            </w:tcBorders>
            <w:vAlign w:val="bottom"/>
          </w:tcPr>
          <w:p w14:paraId="4F9CA251" w14:textId="77777777" w:rsidR="0011476E" w:rsidRPr="004A5DE0" w:rsidRDefault="0011476E" w:rsidP="009264EB">
            <w:pPr>
              <w:jc w:val="right"/>
            </w:pPr>
          </w:p>
        </w:tc>
        <w:tc>
          <w:tcPr>
            <w:tcW w:w="1080" w:type="dxa"/>
            <w:tcBorders>
              <w:top w:val="nil"/>
              <w:left w:val="nil"/>
              <w:bottom w:val="nil"/>
              <w:right w:val="nil"/>
            </w:tcBorders>
            <w:vAlign w:val="bottom"/>
          </w:tcPr>
          <w:p w14:paraId="470BDCCF" w14:textId="77777777" w:rsidR="0011476E" w:rsidRPr="004A5DE0" w:rsidRDefault="0011476E" w:rsidP="009264EB">
            <w:pPr>
              <w:jc w:val="right"/>
            </w:pPr>
          </w:p>
        </w:tc>
        <w:tc>
          <w:tcPr>
            <w:tcW w:w="810" w:type="dxa"/>
            <w:tcBorders>
              <w:top w:val="nil"/>
              <w:left w:val="nil"/>
              <w:bottom w:val="nil"/>
              <w:right w:val="nil"/>
            </w:tcBorders>
            <w:shd w:val="clear" w:color="auto" w:fill="auto"/>
            <w:vAlign w:val="bottom"/>
          </w:tcPr>
          <w:p w14:paraId="2C24612D" w14:textId="77777777" w:rsidR="0011476E" w:rsidRPr="004A5DE0" w:rsidRDefault="0011476E" w:rsidP="009264EB">
            <w:pPr>
              <w:jc w:val="right"/>
            </w:pPr>
          </w:p>
        </w:tc>
        <w:tc>
          <w:tcPr>
            <w:tcW w:w="720" w:type="dxa"/>
            <w:tcBorders>
              <w:top w:val="nil"/>
              <w:left w:val="nil"/>
              <w:bottom w:val="nil"/>
              <w:right w:val="nil"/>
            </w:tcBorders>
            <w:shd w:val="clear" w:color="auto" w:fill="auto"/>
            <w:vAlign w:val="bottom"/>
          </w:tcPr>
          <w:p w14:paraId="0AB0BEF0" w14:textId="77777777" w:rsidR="0011476E" w:rsidRPr="004A5DE0" w:rsidRDefault="0011476E" w:rsidP="009264EB">
            <w:pPr>
              <w:jc w:val="right"/>
            </w:pPr>
          </w:p>
        </w:tc>
      </w:tr>
      <w:tr w:rsidR="0011476E" w:rsidRPr="006C5FAC" w14:paraId="24BB4D8C" w14:textId="77777777" w:rsidTr="00DE1D25">
        <w:tc>
          <w:tcPr>
            <w:tcW w:w="1440" w:type="dxa"/>
            <w:tcBorders>
              <w:top w:val="nil"/>
              <w:left w:val="nil"/>
              <w:bottom w:val="nil"/>
              <w:right w:val="nil"/>
            </w:tcBorders>
          </w:tcPr>
          <w:p w14:paraId="572F8609" w14:textId="77777777" w:rsidR="0011476E" w:rsidRDefault="0011476E" w:rsidP="009264EB">
            <w:pPr>
              <w:ind w:left="156"/>
            </w:pPr>
            <w:r>
              <w:t>9</w:t>
            </w:r>
          </w:p>
        </w:tc>
        <w:tc>
          <w:tcPr>
            <w:tcW w:w="810" w:type="dxa"/>
            <w:tcBorders>
              <w:top w:val="nil"/>
              <w:left w:val="nil"/>
              <w:bottom w:val="nil"/>
              <w:right w:val="nil"/>
            </w:tcBorders>
            <w:vAlign w:val="bottom"/>
          </w:tcPr>
          <w:p w14:paraId="5535D951" w14:textId="333A5813" w:rsidR="0011476E" w:rsidRPr="006C5FAC" w:rsidRDefault="0011476E" w:rsidP="009264EB">
            <w:pPr>
              <w:jc w:val="right"/>
              <w:rPr>
                <w:color w:val="010205"/>
              </w:rPr>
            </w:pPr>
            <w:r>
              <w:rPr>
                <w:color w:val="010205"/>
              </w:rPr>
              <w:t>168</w:t>
            </w:r>
          </w:p>
        </w:tc>
        <w:tc>
          <w:tcPr>
            <w:tcW w:w="930" w:type="dxa"/>
            <w:tcBorders>
              <w:top w:val="nil"/>
              <w:left w:val="nil"/>
              <w:bottom w:val="nil"/>
              <w:right w:val="nil"/>
            </w:tcBorders>
            <w:vAlign w:val="bottom"/>
          </w:tcPr>
          <w:p w14:paraId="0DDECE4C" w14:textId="3C240A04" w:rsidR="0011476E" w:rsidRPr="006C5FAC" w:rsidRDefault="0011476E" w:rsidP="009264EB">
            <w:pPr>
              <w:jc w:val="right"/>
              <w:rPr>
                <w:color w:val="010205"/>
              </w:rPr>
            </w:pPr>
            <w:r>
              <w:rPr>
                <w:color w:val="010205"/>
              </w:rPr>
              <w:t>3.</w:t>
            </w:r>
            <w:r w:rsidR="009145FA">
              <w:rPr>
                <w:color w:val="010205"/>
              </w:rPr>
              <w:t>49</w:t>
            </w:r>
          </w:p>
        </w:tc>
        <w:tc>
          <w:tcPr>
            <w:tcW w:w="870" w:type="dxa"/>
            <w:tcBorders>
              <w:top w:val="nil"/>
              <w:left w:val="nil"/>
              <w:bottom w:val="nil"/>
              <w:right w:val="nil"/>
            </w:tcBorders>
            <w:vAlign w:val="bottom"/>
          </w:tcPr>
          <w:p w14:paraId="379CF33B" w14:textId="77777777" w:rsidR="0011476E" w:rsidRPr="006C5FAC" w:rsidRDefault="0011476E" w:rsidP="009264EB">
            <w:pPr>
              <w:jc w:val="right"/>
              <w:rPr>
                <w:color w:val="010205"/>
              </w:rPr>
            </w:pPr>
            <w:r>
              <w:rPr>
                <w:color w:val="010205"/>
              </w:rPr>
              <w:t>0.51</w:t>
            </w:r>
          </w:p>
        </w:tc>
        <w:tc>
          <w:tcPr>
            <w:tcW w:w="870" w:type="dxa"/>
            <w:tcBorders>
              <w:top w:val="nil"/>
              <w:left w:val="nil"/>
              <w:bottom w:val="nil"/>
              <w:right w:val="nil"/>
            </w:tcBorders>
            <w:vAlign w:val="bottom"/>
          </w:tcPr>
          <w:p w14:paraId="7F0BDC2E" w14:textId="77777777" w:rsidR="0011476E" w:rsidRPr="006C5FAC" w:rsidRDefault="0011476E" w:rsidP="009264EB">
            <w:pPr>
              <w:jc w:val="right"/>
              <w:rPr>
                <w:color w:val="010205"/>
              </w:rPr>
            </w:pPr>
            <w:r>
              <w:rPr>
                <w:color w:val="010205"/>
              </w:rPr>
              <w:t>3.34</w:t>
            </w:r>
          </w:p>
        </w:tc>
        <w:tc>
          <w:tcPr>
            <w:tcW w:w="930" w:type="dxa"/>
            <w:tcBorders>
              <w:top w:val="nil"/>
              <w:left w:val="nil"/>
              <w:bottom w:val="nil"/>
              <w:right w:val="nil"/>
            </w:tcBorders>
            <w:vAlign w:val="bottom"/>
          </w:tcPr>
          <w:p w14:paraId="050ABDA9" w14:textId="77777777" w:rsidR="0011476E" w:rsidRPr="006C5FAC" w:rsidRDefault="0011476E" w:rsidP="009264EB">
            <w:pPr>
              <w:jc w:val="right"/>
              <w:rPr>
                <w:color w:val="010205"/>
              </w:rPr>
            </w:pPr>
            <w:r>
              <w:rPr>
                <w:color w:val="010205"/>
              </w:rPr>
              <w:t>0.73</w:t>
            </w:r>
          </w:p>
        </w:tc>
        <w:tc>
          <w:tcPr>
            <w:tcW w:w="810" w:type="dxa"/>
            <w:tcBorders>
              <w:top w:val="nil"/>
              <w:left w:val="nil"/>
              <w:bottom w:val="nil"/>
              <w:right w:val="nil"/>
            </w:tcBorders>
            <w:vAlign w:val="bottom"/>
          </w:tcPr>
          <w:p w14:paraId="037AC872" w14:textId="6271727C" w:rsidR="0011476E" w:rsidRPr="006C5FAC" w:rsidRDefault="007722A6" w:rsidP="009264EB">
            <w:pPr>
              <w:jc w:val="right"/>
              <w:rPr>
                <w:color w:val="010205"/>
              </w:rPr>
            </w:pPr>
            <w:r>
              <w:rPr>
                <w:color w:val="010205"/>
              </w:rPr>
              <w:t>12.</w:t>
            </w:r>
            <w:r w:rsidR="00961463">
              <w:rPr>
                <w:color w:val="010205"/>
              </w:rPr>
              <w:t>4</w:t>
            </w:r>
          </w:p>
        </w:tc>
        <w:tc>
          <w:tcPr>
            <w:tcW w:w="1080" w:type="dxa"/>
            <w:tcBorders>
              <w:top w:val="nil"/>
              <w:left w:val="nil"/>
              <w:bottom w:val="nil"/>
              <w:right w:val="nil"/>
            </w:tcBorders>
            <w:vAlign w:val="bottom"/>
          </w:tcPr>
          <w:p w14:paraId="18686FD8" w14:textId="65C7DD54" w:rsidR="0011476E" w:rsidRPr="006C5FAC" w:rsidRDefault="007722A6" w:rsidP="009264EB">
            <w:pPr>
              <w:jc w:val="right"/>
              <w:rPr>
                <w:color w:val="010205"/>
              </w:rPr>
            </w:pPr>
            <w:r>
              <w:rPr>
                <w:color w:val="010205"/>
              </w:rPr>
              <w:t>3.65</w:t>
            </w:r>
          </w:p>
        </w:tc>
        <w:tc>
          <w:tcPr>
            <w:tcW w:w="810" w:type="dxa"/>
            <w:tcBorders>
              <w:top w:val="nil"/>
              <w:left w:val="nil"/>
              <w:bottom w:val="nil"/>
              <w:right w:val="nil"/>
            </w:tcBorders>
            <w:vAlign w:val="bottom"/>
          </w:tcPr>
          <w:p w14:paraId="416FB96C" w14:textId="77777777" w:rsidR="0011476E" w:rsidRPr="006C5FAC" w:rsidRDefault="0011476E" w:rsidP="009264EB">
            <w:pPr>
              <w:jc w:val="right"/>
            </w:pPr>
            <w:r>
              <w:t>7.74</w:t>
            </w:r>
          </w:p>
        </w:tc>
        <w:tc>
          <w:tcPr>
            <w:tcW w:w="720" w:type="dxa"/>
            <w:tcBorders>
              <w:top w:val="nil"/>
              <w:left w:val="nil"/>
              <w:bottom w:val="nil"/>
              <w:right w:val="nil"/>
            </w:tcBorders>
            <w:vAlign w:val="bottom"/>
          </w:tcPr>
          <w:p w14:paraId="76292D49" w14:textId="77777777" w:rsidR="0011476E" w:rsidRPr="006C5FAC" w:rsidRDefault="0011476E" w:rsidP="009264EB">
            <w:pPr>
              <w:jc w:val="right"/>
            </w:pPr>
            <w:r>
              <w:t>1.32</w:t>
            </w:r>
          </w:p>
        </w:tc>
      </w:tr>
      <w:tr w:rsidR="0011476E" w:rsidRPr="006C5FAC" w14:paraId="73DA3447" w14:textId="77777777" w:rsidTr="00DE1D25">
        <w:tc>
          <w:tcPr>
            <w:tcW w:w="1440" w:type="dxa"/>
            <w:tcBorders>
              <w:top w:val="nil"/>
              <w:left w:val="nil"/>
              <w:bottom w:val="nil"/>
              <w:right w:val="nil"/>
            </w:tcBorders>
          </w:tcPr>
          <w:p w14:paraId="409AA96F" w14:textId="77777777" w:rsidR="0011476E" w:rsidRDefault="0011476E" w:rsidP="009264EB">
            <w:pPr>
              <w:ind w:left="156"/>
            </w:pPr>
            <w:r>
              <w:t>10</w:t>
            </w:r>
          </w:p>
        </w:tc>
        <w:tc>
          <w:tcPr>
            <w:tcW w:w="810" w:type="dxa"/>
            <w:tcBorders>
              <w:top w:val="nil"/>
              <w:left w:val="nil"/>
              <w:bottom w:val="nil"/>
              <w:right w:val="nil"/>
            </w:tcBorders>
            <w:vAlign w:val="bottom"/>
          </w:tcPr>
          <w:p w14:paraId="0862DC4C" w14:textId="7A4BB368" w:rsidR="0011476E" w:rsidRPr="006C5FAC" w:rsidRDefault="0011476E" w:rsidP="009264EB">
            <w:pPr>
              <w:jc w:val="right"/>
              <w:rPr>
                <w:color w:val="010205"/>
              </w:rPr>
            </w:pPr>
            <w:r>
              <w:rPr>
                <w:color w:val="010205"/>
              </w:rPr>
              <w:t>176</w:t>
            </w:r>
          </w:p>
        </w:tc>
        <w:tc>
          <w:tcPr>
            <w:tcW w:w="930" w:type="dxa"/>
            <w:tcBorders>
              <w:top w:val="nil"/>
              <w:left w:val="nil"/>
              <w:bottom w:val="nil"/>
              <w:right w:val="nil"/>
            </w:tcBorders>
            <w:vAlign w:val="bottom"/>
          </w:tcPr>
          <w:p w14:paraId="53AA0256" w14:textId="3439D845" w:rsidR="0011476E" w:rsidRPr="006C5FAC" w:rsidRDefault="0011476E" w:rsidP="009264EB">
            <w:pPr>
              <w:jc w:val="right"/>
              <w:rPr>
                <w:color w:val="010205"/>
              </w:rPr>
            </w:pPr>
            <w:r>
              <w:rPr>
                <w:color w:val="010205"/>
              </w:rPr>
              <w:t>3.</w:t>
            </w:r>
            <w:r w:rsidR="009145FA">
              <w:rPr>
                <w:color w:val="010205"/>
              </w:rPr>
              <w:t>31</w:t>
            </w:r>
          </w:p>
        </w:tc>
        <w:tc>
          <w:tcPr>
            <w:tcW w:w="870" w:type="dxa"/>
            <w:tcBorders>
              <w:top w:val="nil"/>
              <w:left w:val="nil"/>
              <w:bottom w:val="nil"/>
              <w:right w:val="nil"/>
            </w:tcBorders>
            <w:vAlign w:val="bottom"/>
          </w:tcPr>
          <w:p w14:paraId="3C2875F5" w14:textId="77777777" w:rsidR="0011476E" w:rsidRPr="006C5FAC" w:rsidRDefault="0011476E" w:rsidP="009264EB">
            <w:pPr>
              <w:jc w:val="right"/>
              <w:rPr>
                <w:color w:val="010205"/>
              </w:rPr>
            </w:pPr>
            <w:r>
              <w:rPr>
                <w:color w:val="010205"/>
              </w:rPr>
              <w:t>0.49</w:t>
            </w:r>
          </w:p>
        </w:tc>
        <w:tc>
          <w:tcPr>
            <w:tcW w:w="870" w:type="dxa"/>
            <w:tcBorders>
              <w:top w:val="nil"/>
              <w:left w:val="nil"/>
              <w:bottom w:val="nil"/>
              <w:right w:val="nil"/>
            </w:tcBorders>
            <w:vAlign w:val="bottom"/>
          </w:tcPr>
          <w:p w14:paraId="3D0F5901" w14:textId="77777777" w:rsidR="0011476E" w:rsidRPr="006C5FAC" w:rsidRDefault="0011476E" w:rsidP="009264EB">
            <w:pPr>
              <w:jc w:val="right"/>
              <w:rPr>
                <w:color w:val="010205"/>
              </w:rPr>
            </w:pPr>
            <w:r>
              <w:rPr>
                <w:color w:val="010205"/>
              </w:rPr>
              <w:t>3.35</w:t>
            </w:r>
          </w:p>
        </w:tc>
        <w:tc>
          <w:tcPr>
            <w:tcW w:w="930" w:type="dxa"/>
            <w:tcBorders>
              <w:top w:val="nil"/>
              <w:left w:val="nil"/>
              <w:bottom w:val="nil"/>
              <w:right w:val="nil"/>
            </w:tcBorders>
            <w:vAlign w:val="bottom"/>
          </w:tcPr>
          <w:p w14:paraId="10D6441F" w14:textId="77777777" w:rsidR="0011476E" w:rsidRPr="006C5FAC" w:rsidRDefault="0011476E" w:rsidP="009264EB">
            <w:pPr>
              <w:jc w:val="right"/>
              <w:rPr>
                <w:color w:val="010205"/>
              </w:rPr>
            </w:pPr>
            <w:r>
              <w:rPr>
                <w:color w:val="010205"/>
              </w:rPr>
              <w:t>0.75</w:t>
            </w:r>
          </w:p>
        </w:tc>
        <w:tc>
          <w:tcPr>
            <w:tcW w:w="810" w:type="dxa"/>
            <w:tcBorders>
              <w:top w:val="nil"/>
              <w:left w:val="nil"/>
              <w:bottom w:val="nil"/>
              <w:right w:val="nil"/>
            </w:tcBorders>
            <w:vAlign w:val="bottom"/>
          </w:tcPr>
          <w:p w14:paraId="2A1A87A2" w14:textId="77777777" w:rsidR="0011476E" w:rsidRPr="006C5FAC" w:rsidRDefault="0011476E" w:rsidP="009264EB">
            <w:pPr>
              <w:jc w:val="right"/>
              <w:rPr>
                <w:color w:val="010205"/>
              </w:rPr>
            </w:pPr>
            <w:r>
              <w:rPr>
                <w:color w:val="010205"/>
              </w:rPr>
              <w:t>12.9</w:t>
            </w:r>
          </w:p>
        </w:tc>
        <w:tc>
          <w:tcPr>
            <w:tcW w:w="1080" w:type="dxa"/>
            <w:tcBorders>
              <w:top w:val="nil"/>
              <w:left w:val="nil"/>
              <w:bottom w:val="nil"/>
              <w:right w:val="nil"/>
            </w:tcBorders>
            <w:vAlign w:val="bottom"/>
          </w:tcPr>
          <w:p w14:paraId="56D21762" w14:textId="77777777" w:rsidR="0011476E" w:rsidRPr="006C5FAC" w:rsidRDefault="0011476E" w:rsidP="009264EB">
            <w:pPr>
              <w:jc w:val="right"/>
              <w:rPr>
                <w:color w:val="010205"/>
              </w:rPr>
            </w:pPr>
            <w:r>
              <w:rPr>
                <w:color w:val="010205"/>
              </w:rPr>
              <w:t>3.68</w:t>
            </w:r>
          </w:p>
        </w:tc>
        <w:tc>
          <w:tcPr>
            <w:tcW w:w="810" w:type="dxa"/>
            <w:tcBorders>
              <w:top w:val="nil"/>
              <w:left w:val="nil"/>
              <w:bottom w:val="nil"/>
              <w:right w:val="nil"/>
            </w:tcBorders>
            <w:vAlign w:val="bottom"/>
          </w:tcPr>
          <w:p w14:paraId="7C9F6F79" w14:textId="77777777" w:rsidR="0011476E" w:rsidRPr="006C5FAC" w:rsidRDefault="0011476E" w:rsidP="009264EB">
            <w:pPr>
              <w:jc w:val="right"/>
            </w:pPr>
            <w:r>
              <w:t>7.72</w:t>
            </w:r>
          </w:p>
        </w:tc>
        <w:tc>
          <w:tcPr>
            <w:tcW w:w="720" w:type="dxa"/>
            <w:tcBorders>
              <w:top w:val="nil"/>
              <w:left w:val="nil"/>
              <w:bottom w:val="nil"/>
              <w:right w:val="nil"/>
            </w:tcBorders>
            <w:vAlign w:val="bottom"/>
          </w:tcPr>
          <w:p w14:paraId="0B84771C" w14:textId="77777777" w:rsidR="0011476E" w:rsidRPr="006C5FAC" w:rsidRDefault="0011476E" w:rsidP="009264EB">
            <w:pPr>
              <w:jc w:val="right"/>
            </w:pPr>
            <w:r>
              <w:t>1.20</w:t>
            </w:r>
          </w:p>
        </w:tc>
      </w:tr>
      <w:tr w:rsidR="0011476E" w:rsidRPr="006C5FAC" w14:paraId="2BF96CDC" w14:textId="77777777" w:rsidTr="00DE1D25">
        <w:tc>
          <w:tcPr>
            <w:tcW w:w="1440" w:type="dxa"/>
            <w:tcBorders>
              <w:top w:val="nil"/>
              <w:left w:val="nil"/>
              <w:bottom w:val="nil"/>
              <w:right w:val="nil"/>
            </w:tcBorders>
          </w:tcPr>
          <w:p w14:paraId="15147019" w14:textId="77777777" w:rsidR="0011476E" w:rsidRDefault="0011476E" w:rsidP="009264EB">
            <w:pPr>
              <w:ind w:left="156"/>
            </w:pPr>
            <w:r>
              <w:t>11</w:t>
            </w:r>
          </w:p>
        </w:tc>
        <w:tc>
          <w:tcPr>
            <w:tcW w:w="810" w:type="dxa"/>
            <w:tcBorders>
              <w:top w:val="nil"/>
              <w:left w:val="nil"/>
              <w:bottom w:val="nil"/>
              <w:right w:val="nil"/>
            </w:tcBorders>
            <w:vAlign w:val="bottom"/>
          </w:tcPr>
          <w:p w14:paraId="4C1D1C90" w14:textId="54C4A66D" w:rsidR="0011476E" w:rsidRPr="006C5FAC" w:rsidRDefault="0011476E" w:rsidP="009264EB">
            <w:pPr>
              <w:jc w:val="right"/>
              <w:rPr>
                <w:color w:val="010205"/>
              </w:rPr>
            </w:pPr>
            <w:r>
              <w:rPr>
                <w:color w:val="010205"/>
              </w:rPr>
              <w:t>125</w:t>
            </w:r>
          </w:p>
        </w:tc>
        <w:tc>
          <w:tcPr>
            <w:tcW w:w="930" w:type="dxa"/>
            <w:tcBorders>
              <w:top w:val="nil"/>
              <w:left w:val="nil"/>
              <w:bottom w:val="nil"/>
              <w:right w:val="nil"/>
            </w:tcBorders>
            <w:vAlign w:val="bottom"/>
          </w:tcPr>
          <w:p w14:paraId="13DDA3F8" w14:textId="317F2A45" w:rsidR="0011476E" w:rsidRPr="006C5FAC" w:rsidRDefault="0011476E" w:rsidP="009264EB">
            <w:pPr>
              <w:jc w:val="right"/>
              <w:rPr>
                <w:color w:val="010205"/>
              </w:rPr>
            </w:pPr>
            <w:r>
              <w:rPr>
                <w:color w:val="010205"/>
              </w:rPr>
              <w:t>3.</w:t>
            </w:r>
            <w:r w:rsidR="009145FA">
              <w:rPr>
                <w:color w:val="010205"/>
              </w:rPr>
              <w:t>43</w:t>
            </w:r>
          </w:p>
        </w:tc>
        <w:tc>
          <w:tcPr>
            <w:tcW w:w="870" w:type="dxa"/>
            <w:tcBorders>
              <w:top w:val="nil"/>
              <w:left w:val="nil"/>
              <w:bottom w:val="nil"/>
              <w:right w:val="nil"/>
            </w:tcBorders>
            <w:vAlign w:val="bottom"/>
          </w:tcPr>
          <w:p w14:paraId="38E82AE6" w14:textId="77777777" w:rsidR="0011476E" w:rsidRPr="006C5FAC" w:rsidRDefault="0011476E" w:rsidP="009264EB">
            <w:pPr>
              <w:jc w:val="right"/>
              <w:rPr>
                <w:color w:val="010205"/>
              </w:rPr>
            </w:pPr>
            <w:r>
              <w:rPr>
                <w:color w:val="010205"/>
              </w:rPr>
              <w:t>0.52</w:t>
            </w:r>
          </w:p>
        </w:tc>
        <w:tc>
          <w:tcPr>
            <w:tcW w:w="870" w:type="dxa"/>
            <w:tcBorders>
              <w:top w:val="nil"/>
              <w:left w:val="nil"/>
              <w:bottom w:val="nil"/>
              <w:right w:val="nil"/>
            </w:tcBorders>
            <w:vAlign w:val="bottom"/>
          </w:tcPr>
          <w:p w14:paraId="6C21C0EC" w14:textId="77777777" w:rsidR="0011476E" w:rsidRPr="006C5FAC" w:rsidRDefault="0011476E" w:rsidP="009264EB">
            <w:pPr>
              <w:jc w:val="right"/>
              <w:rPr>
                <w:color w:val="010205"/>
              </w:rPr>
            </w:pPr>
            <w:r>
              <w:rPr>
                <w:color w:val="010205"/>
              </w:rPr>
              <w:t>3.38</w:t>
            </w:r>
          </w:p>
        </w:tc>
        <w:tc>
          <w:tcPr>
            <w:tcW w:w="930" w:type="dxa"/>
            <w:tcBorders>
              <w:top w:val="nil"/>
              <w:left w:val="nil"/>
              <w:bottom w:val="nil"/>
              <w:right w:val="nil"/>
            </w:tcBorders>
            <w:vAlign w:val="bottom"/>
          </w:tcPr>
          <w:p w14:paraId="65F30EE0" w14:textId="77777777" w:rsidR="0011476E" w:rsidRPr="006C5FAC" w:rsidRDefault="0011476E" w:rsidP="009264EB">
            <w:pPr>
              <w:jc w:val="right"/>
              <w:rPr>
                <w:color w:val="010205"/>
              </w:rPr>
            </w:pPr>
            <w:r>
              <w:rPr>
                <w:color w:val="010205"/>
              </w:rPr>
              <w:t>0.70</w:t>
            </w:r>
          </w:p>
        </w:tc>
        <w:tc>
          <w:tcPr>
            <w:tcW w:w="810" w:type="dxa"/>
            <w:tcBorders>
              <w:top w:val="nil"/>
              <w:left w:val="nil"/>
              <w:bottom w:val="nil"/>
              <w:right w:val="nil"/>
            </w:tcBorders>
            <w:vAlign w:val="bottom"/>
          </w:tcPr>
          <w:p w14:paraId="4F9DDA07" w14:textId="3CF32E10" w:rsidR="0011476E" w:rsidRPr="006C5FAC" w:rsidRDefault="0011476E" w:rsidP="009264EB">
            <w:pPr>
              <w:jc w:val="right"/>
              <w:rPr>
                <w:color w:val="010205"/>
              </w:rPr>
            </w:pPr>
            <w:r>
              <w:rPr>
                <w:color w:val="010205"/>
              </w:rPr>
              <w:t>12.</w:t>
            </w:r>
            <w:r w:rsidR="00961463">
              <w:rPr>
                <w:color w:val="010205"/>
              </w:rPr>
              <w:t>6</w:t>
            </w:r>
          </w:p>
        </w:tc>
        <w:tc>
          <w:tcPr>
            <w:tcW w:w="1080" w:type="dxa"/>
            <w:tcBorders>
              <w:top w:val="nil"/>
              <w:left w:val="nil"/>
              <w:bottom w:val="nil"/>
              <w:right w:val="nil"/>
            </w:tcBorders>
            <w:vAlign w:val="bottom"/>
          </w:tcPr>
          <w:p w14:paraId="75C22C4F" w14:textId="77777777" w:rsidR="0011476E" w:rsidRPr="006C5FAC" w:rsidRDefault="0011476E" w:rsidP="009264EB">
            <w:pPr>
              <w:jc w:val="right"/>
              <w:rPr>
                <w:color w:val="010205"/>
              </w:rPr>
            </w:pPr>
            <w:r>
              <w:rPr>
                <w:color w:val="010205"/>
              </w:rPr>
              <w:t>3.27</w:t>
            </w:r>
          </w:p>
        </w:tc>
        <w:tc>
          <w:tcPr>
            <w:tcW w:w="810" w:type="dxa"/>
            <w:tcBorders>
              <w:top w:val="nil"/>
              <w:left w:val="nil"/>
              <w:bottom w:val="nil"/>
              <w:right w:val="nil"/>
            </w:tcBorders>
            <w:vAlign w:val="bottom"/>
          </w:tcPr>
          <w:p w14:paraId="478212BC" w14:textId="77777777" w:rsidR="0011476E" w:rsidRPr="006C5FAC" w:rsidRDefault="0011476E" w:rsidP="009264EB">
            <w:pPr>
              <w:jc w:val="right"/>
            </w:pPr>
            <w:r>
              <w:t>7.76</w:t>
            </w:r>
          </w:p>
        </w:tc>
        <w:tc>
          <w:tcPr>
            <w:tcW w:w="720" w:type="dxa"/>
            <w:tcBorders>
              <w:top w:val="nil"/>
              <w:left w:val="nil"/>
              <w:bottom w:val="nil"/>
              <w:right w:val="nil"/>
            </w:tcBorders>
            <w:vAlign w:val="bottom"/>
          </w:tcPr>
          <w:p w14:paraId="64159B73" w14:textId="77777777" w:rsidR="0011476E" w:rsidRPr="006C5FAC" w:rsidRDefault="0011476E" w:rsidP="009264EB">
            <w:pPr>
              <w:jc w:val="right"/>
            </w:pPr>
            <w:r>
              <w:t>1.24</w:t>
            </w:r>
          </w:p>
        </w:tc>
      </w:tr>
      <w:tr w:rsidR="0011476E" w:rsidRPr="006C5FAC" w14:paraId="7D619044" w14:textId="77777777" w:rsidTr="00DE1D25">
        <w:tc>
          <w:tcPr>
            <w:tcW w:w="1440" w:type="dxa"/>
            <w:tcBorders>
              <w:top w:val="nil"/>
              <w:left w:val="nil"/>
              <w:bottom w:val="nil"/>
              <w:right w:val="nil"/>
            </w:tcBorders>
          </w:tcPr>
          <w:p w14:paraId="1AD204D9" w14:textId="77777777" w:rsidR="0011476E" w:rsidRDefault="0011476E" w:rsidP="009264EB">
            <w:pPr>
              <w:ind w:left="156"/>
            </w:pPr>
            <w:r>
              <w:t>12</w:t>
            </w:r>
          </w:p>
        </w:tc>
        <w:tc>
          <w:tcPr>
            <w:tcW w:w="810" w:type="dxa"/>
            <w:tcBorders>
              <w:top w:val="nil"/>
              <w:left w:val="nil"/>
              <w:bottom w:val="nil"/>
              <w:right w:val="nil"/>
            </w:tcBorders>
            <w:vAlign w:val="bottom"/>
          </w:tcPr>
          <w:p w14:paraId="0610B2E8" w14:textId="1E96F2CD" w:rsidR="0011476E" w:rsidRPr="006C5FAC" w:rsidRDefault="0011476E" w:rsidP="009264EB">
            <w:pPr>
              <w:jc w:val="right"/>
              <w:rPr>
                <w:color w:val="010205"/>
              </w:rPr>
            </w:pPr>
            <w:r>
              <w:rPr>
                <w:color w:val="010205"/>
              </w:rPr>
              <w:t>91</w:t>
            </w:r>
          </w:p>
        </w:tc>
        <w:tc>
          <w:tcPr>
            <w:tcW w:w="930" w:type="dxa"/>
            <w:tcBorders>
              <w:top w:val="nil"/>
              <w:left w:val="nil"/>
              <w:bottom w:val="nil"/>
              <w:right w:val="nil"/>
            </w:tcBorders>
            <w:vAlign w:val="bottom"/>
          </w:tcPr>
          <w:p w14:paraId="49AC18FD" w14:textId="4E7834A1" w:rsidR="0011476E" w:rsidRPr="006C5FAC" w:rsidRDefault="009145FA" w:rsidP="009264EB">
            <w:pPr>
              <w:jc w:val="right"/>
              <w:rPr>
                <w:color w:val="010205"/>
              </w:rPr>
            </w:pPr>
            <w:r>
              <w:rPr>
                <w:color w:val="010205"/>
              </w:rPr>
              <w:t>3.19</w:t>
            </w:r>
          </w:p>
        </w:tc>
        <w:tc>
          <w:tcPr>
            <w:tcW w:w="870" w:type="dxa"/>
            <w:tcBorders>
              <w:top w:val="nil"/>
              <w:left w:val="nil"/>
              <w:bottom w:val="nil"/>
              <w:right w:val="nil"/>
            </w:tcBorders>
            <w:vAlign w:val="bottom"/>
          </w:tcPr>
          <w:p w14:paraId="6A479047" w14:textId="77777777" w:rsidR="0011476E" w:rsidRPr="006C5FAC" w:rsidRDefault="0011476E" w:rsidP="009264EB">
            <w:pPr>
              <w:jc w:val="right"/>
              <w:rPr>
                <w:color w:val="010205"/>
              </w:rPr>
            </w:pPr>
            <w:r>
              <w:rPr>
                <w:color w:val="010205"/>
              </w:rPr>
              <w:t>0.54</w:t>
            </w:r>
          </w:p>
        </w:tc>
        <w:tc>
          <w:tcPr>
            <w:tcW w:w="870" w:type="dxa"/>
            <w:tcBorders>
              <w:top w:val="nil"/>
              <w:left w:val="nil"/>
              <w:bottom w:val="nil"/>
              <w:right w:val="nil"/>
            </w:tcBorders>
            <w:vAlign w:val="bottom"/>
          </w:tcPr>
          <w:p w14:paraId="29EECCAB" w14:textId="77777777" w:rsidR="0011476E" w:rsidRPr="006C5FAC" w:rsidRDefault="0011476E" w:rsidP="009264EB">
            <w:pPr>
              <w:jc w:val="right"/>
              <w:rPr>
                <w:color w:val="010205"/>
              </w:rPr>
            </w:pPr>
            <w:r>
              <w:rPr>
                <w:color w:val="010205"/>
              </w:rPr>
              <w:t>3.22</w:t>
            </w:r>
          </w:p>
        </w:tc>
        <w:tc>
          <w:tcPr>
            <w:tcW w:w="930" w:type="dxa"/>
            <w:tcBorders>
              <w:top w:val="nil"/>
              <w:left w:val="nil"/>
              <w:bottom w:val="nil"/>
              <w:right w:val="nil"/>
            </w:tcBorders>
            <w:vAlign w:val="bottom"/>
          </w:tcPr>
          <w:p w14:paraId="492E7DE8" w14:textId="77777777" w:rsidR="0011476E" w:rsidRPr="006C5FAC" w:rsidRDefault="0011476E" w:rsidP="009264EB">
            <w:pPr>
              <w:jc w:val="right"/>
              <w:rPr>
                <w:color w:val="010205"/>
              </w:rPr>
            </w:pPr>
            <w:r>
              <w:rPr>
                <w:color w:val="010205"/>
              </w:rPr>
              <w:t>0.78</w:t>
            </w:r>
          </w:p>
        </w:tc>
        <w:tc>
          <w:tcPr>
            <w:tcW w:w="810" w:type="dxa"/>
            <w:tcBorders>
              <w:top w:val="nil"/>
              <w:left w:val="nil"/>
              <w:bottom w:val="nil"/>
              <w:right w:val="nil"/>
            </w:tcBorders>
            <w:vAlign w:val="bottom"/>
          </w:tcPr>
          <w:p w14:paraId="1A5E221F" w14:textId="72BBE310" w:rsidR="0011476E" w:rsidRPr="006C5FAC" w:rsidRDefault="007722A6" w:rsidP="009264EB">
            <w:pPr>
              <w:jc w:val="right"/>
              <w:rPr>
                <w:color w:val="010205"/>
              </w:rPr>
            </w:pPr>
            <w:r>
              <w:rPr>
                <w:color w:val="010205"/>
              </w:rPr>
              <w:t>13.1</w:t>
            </w:r>
          </w:p>
        </w:tc>
        <w:tc>
          <w:tcPr>
            <w:tcW w:w="1080" w:type="dxa"/>
            <w:tcBorders>
              <w:top w:val="nil"/>
              <w:left w:val="nil"/>
              <w:bottom w:val="nil"/>
              <w:right w:val="nil"/>
            </w:tcBorders>
            <w:vAlign w:val="bottom"/>
          </w:tcPr>
          <w:p w14:paraId="284FC852" w14:textId="692F7254" w:rsidR="0011476E" w:rsidRPr="006C5FAC" w:rsidRDefault="007722A6" w:rsidP="009264EB">
            <w:pPr>
              <w:jc w:val="right"/>
              <w:rPr>
                <w:color w:val="010205"/>
              </w:rPr>
            </w:pPr>
            <w:r>
              <w:rPr>
                <w:color w:val="010205"/>
              </w:rPr>
              <w:t>3.72</w:t>
            </w:r>
          </w:p>
        </w:tc>
        <w:tc>
          <w:tcPr>
            <w:tcW w:w="810" w:type="dxa"/>
            <w:tcBorders>
              <w:top w:val="nil"/>
              <w:left w:val="nil"/>
              <w:bottom w:val="nil"/>
              <w:right w:val="nil"/>
            </w:tcBorders>
            <w:vAlign w:val="bottom"/>
          </w:tcPr>
          <w:p w14:paraId="6E978CC7" w14:textId="77777777" w:rsidR="0011476E" w:rsidRPr="006C5FAC" w:rsidRDefault="0011476E" w:rsidP="009264EB">
            <w:pPr>
              <w:jc w:val="right"/>
            </w:pPr>
            <w:r>
              <w:t>7.52</w:t>
            </w:r>
          </w:p>
        </w:tc>
        <w:tc>
          <w:tcPr>
            <w:tcW w:w="720" w:type="dxa"/>
            <w:tcBorders>
              <w:top w:val="nil"/>
              <w:left w:val="nil"/>
              <w:bottom w:val="nil"/>
              <w:right w:val="nil"/>
            </w:tcBorders>
            <w:vAlign w:val="bottom"/>
          </w:tcPr>
          <w:p w14:paraId="47009BB0" w14:textId="77777777" w:rsidR="0011476E" w:rsidRPr="006C5FAC" w:rsidRDefault="0011476E" w:rsidP="009264EB">
            <w:pPr>
              <w:jc w:val="right"/>
            </w:pPr>
            <w:r>
              <w:t>1.23</w:t>
            </w:r>
          </w:p>
        </w:tc>
      </w:tr>
      <w:tr w:rsidR="00DE1D25" w:rsidRPr="006C5FAC" w14:paraId="1C47B4C3" w14:textId="77777777" w:rsidTr="00DE1D25">
        <w:tc>
          <w:tcPr>
            <w:tcW w:w="1440" w:type="dxa"/>
            <w:tcBorders>
              <w:top w:val="nil"/>
              <w:left w:val="nil"/>
              <w:bottom w:val="nil"/>
              <w:right w:val="nil"/>
            </w:tcBorders>
          </w:tcPr>
          <w:p w14:paraId="3F45C307" w14:textId="6C6414F3" w:rsidR="00DE1D25" w:rsidRDefault="00DE1D25" w:rsidP="00DE1D25">
            <w:pPr>
              <w:ind w:left="-19"/>
            </w:pPr>
            <w:r>
              <w:t>Enrolled</w:t>
            </w:r>
          </w:p>
        </w:tc>
        <w:tc>
          <w:tcPr>
            <w:tcW w:w="810" w:type="dxa"/>
            <w:tcBorders>
              <w:top w:val="nil"/>
              <w:left w:val="nil"/>
              <w:bottom w:val="nil"/>
              <w:right w:val="nil"/>
            </w:tcBorders>
            <w:vAlign w:val="bottom"/>
          </w:tcPr>
          <w:p w14:paraId="7257BF7A" w14:textId="77777777" w:rsidR="00DE1D25" w:rsidRDefault="00DE1D25" w:rsidP="009264EB">
            <w:pPr>
              <w:jc w:val="right"/>
              <w:rPr>
                <w:color w:val="010205"/>
              </w:rPr>
            </w:pPr>
          </w:p>
        </w:tc>
        <w:tc>
          <w:tcPr>
            <w:tcW w:w="930" w:type="dxa"/>
            <w:tcBorders>
              <w:top w:val="nil"/>
              <w:left w:val="nil"/>
              <w:bottom w:val="nil"/>
              <w:right w:val="nil"/>
            </w:tcBorders>
            <w:vAlign w:val="bottom"/>
          </w:tcPr>
          <w:p w14:paraId="2B59A6A7" w14:textId="77777777" w:rsidR="00DE1D25" w:rsidRDefault="00DE1D25" w:rsidP="009264EB">
            <w:pPr>
              <w:jc w:val="right"/>
              <w:rPr>
                <w:color w:val="010205"/>
              </w:rPr>
            </w:pPr>
          </w:p>
        </w:tc>
        <w:tc>
          <w:tcPr>
            <w:tcW w:w="870" w:type="dxa"/>
            <w:tcBorders>
              <w:top w:val="nil"/>
              <w:left w:val="nil"/>
              <w:bottom w:val="nil"/>
              <w:right w:val="nil"/>
            </w:tcBorders>
            <w:vAlign w:val="bottom"/>
          </w:tcPr>
          <w:p w14:paraId="295B2DE9" w14:textId="77777777" w:rsidR="00DE1D25" w:rsidRDefault="00DE1D25" w:rsidP="009264EB">
            <w:pPr>
              <w:jc w:val="right"/>
              <w:rPr>
                <w:color w:val="010205"/>
              </w:rPr>
            </w:pPr>
          </w:p>
        </w:tc>
        <w:tc>
          <w:tcPr>
            <w:tcW w:w="870" w:type="dxa"/>
            <w:tcBorders>
              <w:top w:val="nil"/>
              <w:left w:val="nil"/>
              <w:bottom w:val="nil"/>
              <w:right w:val="nil"/>
            </w:tcBorders>
            <w:vAlign w:val="bottom"/>
          </w:tcPr>
          <w:p w14:paraId="29FD03EF" w14:textId="77777777" w:rsidR="00DE1D25" w:rsidRDefault="00DE1D25" w:rsidP="009264EB">
            <w:pPr>
              <w:jc w:val="right"/>
              <w:rPr>
                <w:color w:val="010205"/>
              </w:rPr>
            </w:pPr>
          </w:p>
        </w:tc>
        <w:tc>
          <w:tcPr>
            <w:tcW w:w="930" w:type="dxa"/>
            <w:tcBorders>
              <w:top w:val="nil"/>
              <w:left w:val="nil"/>
              <w:bottom w:val="nil"/>
              <w:right w:val="nil"/>
            </w:tcBorders>
            <w:vAlign w:val="bottom"/>
          </w:tcPr>
          <w:p w14:paraId="6A8CBBD1" w14:textId="77777777" w:rsidR="00DE1D25" w:rsidRDefault="00DE1D25" w:rsidP="009264EB">
            <w:pPr>
              <w:jc w:val="right"/>
              <w:rPr>
                <w:color w:val="010205"/>
              </w:rPr>
            </w:pPr>
          </w:p>
        </w:tc>
        <w:tc>
          <w:tcPr>
            <w:tcW w:w="810" w:type="dxa"/>
            <w:tcBorders>
              <w:top w:val="nil"/>
              <w:left w:val="nil"/>
              <w:bottom w:val="nil"/>
              <w:right w:val="nil"/>
            </w:tcBorders>
            <w:vAlign w:val="bottom"/>
          </w:tcPr>
          <w:p w14:paraId="340E3285" w14:textId="77777777" w:rsidR="00DE1D25" w:rsidRDefault="00DE1D25" w:rsidP="009264EB">
            <w:pPr>
              <w:jc w:val="right"/>
              <w:rPr>
                <w:color w:val="010205"/>
              </w:rPr>
            </w:pPr>
          </w:p>
        </w:tc>
        <w:tc>
          <w:tcPr>
            <w:tcW w:w="1080" w:type="dxa"/>
            <w:tcBorders>
              <w:top w:val="nil"/>
              <w:left w:val="nil"/>
              <w:bottom w:val="nil"/>
              <w:right w:val="nil"/>
            </w:tcBorders>
            <w:vAlign w:val="bottom"/>
          </w:tcPr>
          <w:p w14:paraId="1FB4D9E2" w14:textId="77777777" w:rsidR="00DE1D25" w:rsidRDefault="00DE1D25" w:rsidP="009264EB">
            <w:pPr>
              <w:jc w:val="right"/>
              <w:rPr>
                <w:color w:val="010205"/>
              </w:rPr>
            </w:pPr>
          </w:p>
        </w:tc>
        <w:tc>
          <w:tcPr>
            <w:tcW w:w="810" w:type="dxa"/>
            <w:tcBorders>
              <w:top w:val="nil"/>
              <w:left w:val="nil"/>
              <w:bottom w:val="nil"/>
              <w:right w:val="nil"/>
            </w:tcBorders>
            <w:vAlign w:val="bottom"/>
          </w:tcPr>
          <w:p w14:paraId="7817641A" w14:textId="77777777" w:rsidR="00DE1D25" w:rsidRDefault="00DE1D25" w:rsidP="009264EB">
            <w:pPr>
              <w:jc w:val="right"/>
            </w:pPr>
          </w:p>
        </w:tc>
        <w:tc>
          <w:tcPr>
            <w:tcW w:w="720" w:type="dxa"/>
            <w:tcBorders>
              <w:top w:val="nil"/>
              <w:left w:val="nil"/>
              <w:bottom w:val="nil"/>
              <w:right w:val="nil"/>
            </w:tcBorders>
            <w:vAlign w:val="bottom"/>
          </w:tcPr>
          <w:p w14:paraId="346831B5" w14:textId="77777777" w:rsidR="00DE1D25" w:rsidRDefault="00DE1D25" w:rsidP="009264EB">
            <w:pPr>
              <w:jc w:val="right"/>
            </w:pPr>
          </w:p>
        </w:tc>
      </w:tr>
      <w:tr w:rsidR="00DE1D25" w:rsidRPr="006C5FAC" w14:paraId="3CE135CF" w14:textId="77777777" w:rsidTr="00DE1D25">
        <w:tc>
          <w:tcPr>
            <w:tcW w:w="1440" w:type="dxa"/>
            <w:tcBorders>
              <w:top w:val="nil"/>
              <w:left w:val="nil"/>
              <w:bottom w:val="nil"/>
              <w:right w:val="nil"/>
            </w:tcBorders>
          </w:tcPr>
          <w:p w14:paraId="05EE65AD" w14:textId="1E82A8AC" w:rsidR="00DE1D25" w:rsidRDefault="00DE1D25" w:rsidP="009264EB">
            <w:pPr>
              <w:ind w:left="156"/>
            </w:pPr>
            <w:r>
              <w:t>Ag Ed</w:t>
            </w:r>
          </w:p>
        </w:tc>
        <w:tc>
          <w:tcPr>
            <w:tcW w:w="810" w:type="dxa"/>
            <w:tcBorders>
              <w:top w:val="nil"/>
              <w:left w:val="nil"/>
              <w:bottom w:val="nil"/>
              <w:right w:val="nil"/>
            </w:tcBorders>
            <w:vAlign w:val="bottom"/>
          </w:tcPr>
          <w:p w14:paraId="25BF403E" w14:textId="0C94FAA2" w:rsidR="00DE1D25" w:rsidRDefault="00997D97" w:rsidP="009264EB">
            <w:pPr>
              <w:jc w:val="right"/>
              <w:rPr>
                <w:color w:val="010205"/>
              </w:rPr>
            </w:pPr>
            <w:r>
              <w:rPr>
                <w:color w:val="010205"/>
              </w:rPr>
              <w:t>212</w:t>
            </w:r>
          </w:p>
        </w:tc>
        <w:tc>
          <w:tcPr>
            <w:tcW w:w="930" w:type="dxa"/>
            <w:tcBorders>
              <w:top w:val="nil"/>
              <w:left w:val="nil"/>
              <w:bottom w:val="nil"/>
              <w:right w:val="nil"/>
            </w:tcBorders>
            <w:vAlign w:val="bottom"/>
          </w:tcPr>
          <w:p w14:paraId="35104C50" w14:textId="6B5FE944" w:rsidR="00DE1D25" w:rsidRDefault="00A53866" w:rsidP="009264EB">
            <w:pPr>
              <w:jc w:val="right"/>
              <w:rPr>
                <w:color w:val="010205"/>
              </w:rPr>
            </w:pPr>
            <w:r>
              <w:rPr>
                <w:color w:val="010205"/>
              </w:rPr>
              <w:t>3.87</w:t>
            </w:r>
          </w:p>
        </w:tc>
        <w:tc>
          <w:tcPr>
            <w:tcW w:w="870" w:type="dxa"/>
            <w:tcBorders>
              <w:top w:val="nil"/>
              <w:left w:val="nil"/>
              <w:bottom w:val="nil"/>
              <w:right w:val="nil"/>
            </w:tcBorders>
            <w:vAlign w:val="bottom"/>
          </w:tcPr>
          <w:p w14:paraId="4D4C5EF8" w14:textId="271648A8" w:rsidR="00DE1D25" w:rsidRDefault="00CE7AA0" w:rsidP="009264EB">
            <w:pPr>
              <w:jc w:val="right"/>
              <w:rPr>
                <w:color w:val="010205"/>
              </w:rPr>
            </w:pPr>
            <w:r>
              <w:rPr>
                <w:color w:val="010205"/>
              </w:rPr>
              <w:t>0.48</w:t>
            </w:r>
          </w:p>
        </w:tc>
        <w:tc>
          <w:tcPr>
            <w:tcW w:w="870" w:type="dxa"/>
            <w:tcBorders>
              <w:top w:val="nil"/>
              <w:left w:val="nil"/>
              <w:bottom w:val="nil"/>
              <w:right w:val="nil"/>
            </w:tcBorders>
            <w:vAlign w:val="bottom"/>
          </w:tcPr>
          <w:p w14:paraId="05E43BFF" w14:textId="2FA320C4" w:rsidR="00DE1D25" w:rsidRDefault="00CE7AA0" w:rsidP="009264EB">
            <w:pPr>
              <w:jc w:val="right"/>
              <w:rPr>
                <w:color w:val="010205"/>
              </w:rPr>
            </w:pPr>
            <w:r>
              <w:rPr>
                <w:color w:val="010205"/>
              </w:rPr>
              <w:t>3.24</w:t>
            </w:r>
          </w:p>
        </w:tc>
        <w:tc>
          <w:tcPr>
            <w:tcW w:w="930" w:type="dxa"/>
            <w:tcBorders>
              <w:top w:val="nil"/>
              <w:left w:val="nil"/>
              <w:bottom w:val="nil"/>
              <w:right w:val="nil"/>
            </w:tcBorders>
            <w:vAlign w:val="bottom"/>
          </w:tcPr>
          <w:p w14:paraId="1FDE4855" w14:textId="6C9B9900" w:rsidR="00DE1D25" w:rsidRDefault="00CE7AA0" w:rsidP="009264EB">
            <w:pPr>
              <w:jc w:val="right"/>
              <w:rPr>
                <w:color w:val="010205"/>
              </w:rPr>
            </w:pPr>
            <w:r>
              <w:rPr>
                <w:color w:val="010205"/>
              </w:rPr>
              <w:t>0.64</w:t>
            </w:r>
          </w:p>
        </w:tc>
        <w:tc>
          <w:tcPr>
            <w:tcW w:w="810" w:type="dxa"/>
            <w:tcBorders>
              <w:top w:val="nil"/>
              <w:left w:val="nil"/>
              <w:bottom w:val="nil"/>
              <w:right w:val="nil"/>
            </w:tcBorders>
            <w:vAlign w:val="bottom"/>
          </w:tcPr>
          <w:p w14:paraId="2D899C2D" w14:textId="6510CDBC" w:rsidR="00DE1D25" w:rsidRDefault="00CE7AA0" w:rsidP="009264EB">
            <w:pPr>
              <w:jc w:val="right"/>
              <w:rPr>
                <w:color w:val="010205"/>
              </w:rPr>
            </w:pPr>
            <w:r>
              <w:rPr>
                <w:color w:val="010205"/>
              </w:rPr>
              <w:t>9.20</w:t>
            </w:r>
          </w:p>
        </w:tc>
        <w:tc>
          <w:tcPr>
            <w:tcW w:w="1080" w:type="dxa"/>
            <w:tcBorders>
              <w:top w:val="nil"/>
              <w:left w:val="nil"/>
              <w:bottom w:val="nil"/>
              <w:right w:val="nil"/>
            </w:tcBorders>
            <w:vAlign w:val="bottom"/>
          </w:tcPr>
          <w:p w14:paraId="13394623" w14:textId="1A807B79" w:rsidR="00DE1D25" w:rsidRDefault="00CE7AA0" w:rsidP="009264EB">
            <w:pPr>
              <w:jc w:val="right"/>
              <w:rPr>
                <w:color w:val="010205"/>
              </w:rPr>
            </w:pPr>
            <w:r>
              <w:rPr>
                <w:color w:val="010205"/>
              </w:rPr>
              <w:t>3.26</w:t>
            </w:r>
          </w:p>
        </w:tc>
        <w:tc>
          <w:tcPr>
            <w:tcW w:w="810" w:type="dxa"/>
            <w:tcBorders>
              <w:top w:val="nil"/>
              <w:left w:val="nil"/>
              <w:bottom w:val="nil"/>
              <w:right w:val="nil"/>
            </w:tcBorders>
            <w:vAlign w:val="bottom"/>
          </w:tcPr>
          <w:p w14:paraId="174473C0" w14:textId="10912CF0" w:rsidR="00DE1D25" w:rsidRDefault="00CE7AA0" w:rsidP="009264EB">
            <w:pPr>
              <w:jc w:val="right"/>
            </w:pPr>
            <w:r>
              <w:t>7.44</w:t>
            </w:r>
          </w:p>
        </w:tc>
        <w:tc>
          <w:tcPr>
            <w:tcW w:w="720" w:type="dxa"/>
            <w:tcBorders>
              <w:top w:val="nil"/>
              <w:left w:val="nil"/>
              <w:bottom w:val="nil"/>
              <w:right w:val="nil"/>
            </w:tcBorders>
            <w:vAlign w:val="bottom"/>
          </w:tcPr>
          <w:p w14:paraId="381947B8" w14:textId="3235D0F5" w:rsidR="00DE1D25" w:rsidRDefault="00CE7AA0" w:rsidP="009264EB">
            <w:pPr>
              <w:jc w:val="right"/>
            </w:pPr>
            <w:r>
              <w:t>1.06</w:t>
            </w:r>
          </w:p>
        </w:tc>
      </w:tr>
      <w:tr w:rsidR="00DE1D25" w:rsidRPr="006C5FAC" w14:paraId="45E032E9" w14:textId="77777777" w:rsidTr="00DE1D25">
        <w:tc>
          <w:tcPr>
            <w:tcW w:w="1440" w:type="dxa"/>
            <w:tcBorders>
              <w:top w:val="nil"/>
              <w:left w:val="nil"/>
              <w:bottom w:val="nil"/>
              <w:right w:val="nil"/>
            </w:tcBorders>
          </w:tcPr>
          <w:p w14:paraId="26DA297B" w14:textId="302B0CF4" w:rsidR="00DE1D25" w:rsidRDefault="00DE1D25" w:rsidP="009264EB">
            <w:pPr>
              <w:ind w:left="156"/>
            </w:pPr>
            <w:r>
              <w:t>No Ag Ed</w:t>
            </w:r>
          </w:p>
        </w:tc>
        <w:tc>
          <w:tcPr>
            <w:tcW w:w="810" w:type="dxa"/>
            <w:tcBorders>
              <w:top w:val="nil"/>
              <w:left w:val="nil"/>
              <w:bottom w:val="nil"/>
              <w:right w:val="nil"/>
            </w:tcBorders>
            <w:vAlign w:val="bottom"/>
          </w:tcPr>
          <w:p w14:paraId="1A762103" w14:textId="3D101622" w:rsidR="00DE1D25" w:rsidRDefault="00997D97" w:rsidP="009264EB">
            <w:pPr>
              <w:jc w:val="right"/>
              <w:rPr>
                <w:color w:val="010205"/>
              </w:rPr>
            </w:pPr>
            <w:r>
              <w:rPr>
                <w:color w:val="010205"/>
              </w:rPr>
              <w:t>348</w:t>
            </w:r>
          </w:p>
        </w:tc>
        <w:tc>
          <w:tcPr>
            <w:tcW w:w="930" w:type="dxa"/>
            <w:tcBorders>
              <w:top w:val="nil"/>
              <w:left w:val="nil"/>
              <w:bottom w:val="nil"/>
              <w:right w:val="nil"/>
            </w:tcBorders>
            <w:vAlign w:val="bottom"/>
          </w:tcPr>
          <w:p w14:paraId="40DD34F3" w14:textId="047CF610" w:rsidR="00DE1D25" w:rsidRDefault="00CE7AA0" w:rsidP="009264EB">
            <w:pPr>
              <w:jc w:val="right"/>
              <w:rPr>
                <w:color w:val="010205"/>
              </w:rPr>
            </w:pPr>
            <w:r>
              <w:rPr>
                <w:color w:val="010205"/>
              </w:rPr>
              <w:t>3.13</w:t>
            </w:r>
          </w:p>
        </w:tc>
        <w:tc>
          <w:tcPr>
            <w:tcW w:w="870" w:type="dxa"/>
            <w:tcBorders>
              <w:top w:val="nil"/>
              <w:left w:val="nil"/>
              <w:bottom w:val="nil"/>
              <w:right w:val="nil"/>
            </w:tcBorders>
            <w:vAlign w:val="bottom"/>
          </w:tcPr>
          <w:p w14:paraId="01452559" w14:textId="0DAF436A" w:rsidR="00DE1D25" w:rsidRDefault="00CE7AA0" w:rsidP="009264EB">
            <w:pPr>
              <w:jc w:val="right"/>
              <w:rPr>
                <w:color w:val="010205"/>
              </w:rPr>
            </w:pPr>
            <w:r>
              <w:rPr>
                <w:color w:val="010205"/>
              </w:rPr>
              <w:t>0.58</w:t>
            </w:r>
          </w:p>
        </w:tc>
        <w:tc>
          <w:tcPr>
            <w:tcW w:w="870" w:type="dxa"/>
            <w:tcBorders>
              <w:top w:val="nil"/>
              <w:left w:val="nil"/>
              <w:bottom w:val="nil"/>
              <w:right w:val="nil"/>
            </w:tcBorders>
            <w:vAlign w:val="bottom"/>
          </w:tcPr>
          <w:p w14:paraId="54B67D5B" w14:textId="1322ED6F" w:rsidR="00DE1D25" w:rsidRDefault="00CE7AA0" w:rsidP="009264EB">
            <w:pPr>
              <w:jc w:val="right"/>
              <w:rPr>
                <w:color w:val="010205"/>
              </w:rPr>
            </w:pPr>
            <w:r>
              <w:rPr>
                <w:color w:val="010205"/>
              </w:rPr>
              <w:t>3.08</w:t>
            </w:r>
          </w:p>
        </w:tc>
        <w:tc>
          <w:tcPr>
            <w:tcW w:w="930" w:type="dxa"/>
            <w:tcBorders>
              <w:top w:val="nil"/>
              <w:left w:val="nil"/>
              <w:bottom w:val="nil"/>
              <w:right w:val="nil"/>
            </w:tcBorders>
            <w:vAlign w:val="bottom"/>
          </w:tcPr>
          <w:p w14:paraId="77F3E479" w14:textId="5E2C3C9A" w:rsidR="00DE1D25" w:rsidRDefault="00CE7AA0" w:rsidP="009264EB">
            <w:pPr>
              <w:jc w:val="right"/>
              <w:rPr>
                <w:color w:val="010205"/>
              </w:rPr>
            </w:pPr>
            <w:r>
              <w:rPr>
                <w:color w:val="010205"/>
              </w:rPr>
              <w:t>0.61</w:t>
            </w:r>
          </w:p>
        </w:tc>
        <w:tc>
          <w:tcPr>
            <w:tcW w:w="810" w:type="dxa"/>
            <w:tcBorders>
              <w:top w:val="nil"/>
              <w:left w:val="nil"/>
              <w:bottom w:val="nil"/>
              <w:right w:val="nil"/>
            </w:tcBorders>
            <w:vAlign w:val="bottom"/>
          </w:tcPr>
          <w:p w14:paraId="6290E825" w14:textId="2B544175" w:rsidR="00DE1D25" w:rsidRDefault="00CE7AA0" w:rsidP="009264EB">
            <w:pPr>
              <w:jc w:val="right"/>
              <w:rPr>
                <w:color w:val="010205"/>
              </w:rPr>
            </w:pPr>
            <w:r>
              <w:rPr>
                <w:color w:val="010205"/>
              </w:rPr>
              <w:t>7.61</w:t>
            </w:r>
          </w:p>
        </w:tc>
        <w:tc>
          <w:tcPr>
            <w:tcW w:w="1080" w:type="dxa"/>
            <w:tcBorders>
              <w:top w:val="nil"/>
              <w:left w:val="nil"/>
              <w:bottom w:val="nil"/>
              <w:right w:val="nil"/>
            </w:tcBorders>
            <w:vAlign w:val="bottom"/>
          </w:tcPr>
          <w:p w14:paraId="6C26CCBF" w14:textId="5B516E3B" w:rsidR="00DE1D25" w:rsidRDefault="00CE7AA0" w:rsidP="009264EB">
            <w:pPr>
              <w:jc w:val="right"/>
              <w:rPr>
                <w:color w:val="010205"/>
              </w:rPr>
            </w:pPr>
            <w:r>
              <w:rPr>
                <w:color w:val="010205"/>
              </w:rPr>
              <w:t>3.89</w:t>
            </w:r>
          </w:p>
        </w:tc>
        <w:tc>
          <w:tcPr>
            <w:tcW w:w="810" w:type="dxa"/>
            <w:tcBorders>
              <w:top w:val="nil"/>
              <w:left w:val="nil"/>
              <w:bottom w:val="nil"/>
              <w:right w:val="nil"/>
            </w:tcBorders>
            <w:vAlign w:val="bottom"/>
          </w:tcPr>
          <w:p w14:paraId="2789BE83" w14:textId="106874E4" w:rsidR="00DE1D25" w:rsidRDefault="00CE7AA0" w:rsidP="009264EB">
            <w:pPr>
              <w:jc w:val="right"/>
            </w:pPr>
            <w:r>
              <w:t>6.98</w:t>
            </w:r>
          </w:p>
        </w:tc>
        <w:tc>
          <w:tcPr>
            <w:tcW w:w="720" w:type="dxa"/>
            <w:tcBorders>
              <w:top w:val="nil"/>
              <w:left w:val="nil"/>
              <w:bottom w:val="nil"/>
              <w:right w:val="nil"/>
            </w:tcBorders>
            <w:vAlign w:val="bottom"/>
          </w:tcPr>
          <w:p w14:paraId="6A5E7CA2" w14:textId="5210121B" w:rsidR="00DE1D25" w:rsidRDefault="00CE7AA0" w:rsidP="009264EB">
            <w:pPr>
              <w:jc w:val="right"/>
            </w:pPr>
            <w:r>
              <w:t>1.21</w:t>
            </w:r>
          </w:p>
        </w:tc>
      </w:tr>
      <w:tr w:rsidR="00013365" w:rsidRPr="004A5DE0" w14:paraId="5048D8B9" w14:textId="77777777" w:rsidTr="00DE1D25">
        <w:tc>
          <w:tcPr>
            <w:tcW w:w="9270" w:type="dxa"/>
            <w:gridSpan w:val="10"/>
            <w:tcBorders>
              <w:top w:val="nil"/>
              <w:left w:val="nil"/>
              <w:bottom w:val="nil"/>
              <w:right w:val="nil"/>
            </w:tcBorders>
            <w:shd w:val="clear" w:color="auto" w:fill="auto"/>
          </w:tcPr>
          <w:p w14:paraId="700A2560" w14:textId="3C7D3151" w:rsidR="00013365" w:rsidRPr="00013365" w:rsidRDefault="00013365" w:rsidP="00013365">
            <w:r>
              <w:lastRenderedPageBreak/>
              <w:t xml:space="preserve">Note: Grit score is reported on a 1-5 scale, Optimism on a 1-5 scale, locus of control scale is from 1-23, and Self-Efficacy scale ranged from 1-10. </w:t>
            </w:r>
            <w:r w:rsidR="00D1460C">
              <w:t xml:space="preserve">For gender, </w:t>
            </w:r>
            <w:r>
              <w:t>refer not to respond (</w:t>
            </w:r>
            <w:r>
              <w:rPr>
                <w:i/>
                <w:iCs/>
              </w:rPr>
              <w:t xml:space="preserve">n = </w:t>
            </w:r>
            <w:r>
              <w:t xml:space="preserve">6) </w:t>
            </w:r>
            <w:r w:rsidR="00D1460C">
              <w:t xml:space="preserve">is </w:t>
            </w:r>
            <w:r>
              <w:t>not included</w:t>
            </w:r>
            <w:r w:rsidR="00D1460C">
              <w:t>.</w:t>
            </w:r>
          </w:p>
        </w:tc>
      </w:tr>
    </w:tbl>
    <w:p w14:paraId="2F0A0F9A" w14:textId="61636CA3" w:rsidR="006B7014" w:rsidRDefault="006B7014" w:rsidP="006B7014"/>
    <w:p w14:paraId="3E4B8A8C" w14:textId="5AEA65B7" w:rsidR="007722A6" w:rsidRDefault="007722A6" w:rsidP="006B7014">
      <w:r>
        <w:tab/>
        <w:t xml:space="preserve">Differences were examined between noncognitive skills based on demographic factors. For gender, a t-test revealed differences between males and females for locus of control </w:t>
      </w:r>
      <w:r w:rsidR="00382DD0">
        <w:t>(</w:t>
      </w:r>
      <w:proofErr w:type="gramStart"/>
      <w:r w:rsidR="00382DD0">
        <w:rPr>
          <w:i/>
        </w:rPr>
        <w:t>t</w:t>
      </w:r>
      <w:r w:rsidR="00382DD0">
        <w:t>(</w:t>
      </w:r>
      <w:proofErr w:type="gramEnd"/>
      <w:r w:rsidR="00382DD0">
        <w:t xml:space="preserve">559) = 2.23, </w:t>
      </w:r>
      <w:r w:rsidR="00382DD0">
        <w:rPr>
          <w:i/>
        </w:rPr>
        <w:t xml:space="preserve">p </w:t>
      </w:r>
      <w:r w:rsidR="00382DD0">
        <w:t xml:space="preserve">=0.02) </w:t>
      </w:r>
      <w:r>
        <w:t>and self-efficacy</w:t>
      </w:r>
      <w:r w:rsidR="00382DD0">
        <w:t xml:space="preserve"> (</w:t>
      </w:r>
      <w:r w:rsidR="00382DD0">
        <w:rPr>
          <w:i/>
        </w:rPr>
        <w:t>t</w:t>
      </w:r>
      <w:r w:rsidR="00382DD0">
        <w:t xml:space="preserve">(559) = 1.38, </w:t>
      </w:r>
      <w:r w:rsidR="00382DD0">
        <w:rPr>
          <w:i/>
        </w:rPr>
        <w:t xml:space="preserve">p </w:t>
      </w:r>
      <w:r w:rsidR="00382DD0">
        <w:t>=0.04)</w:t>
      </w:r>
      <w:r>
        <w:t>, with males having higher scores for both factors. Differences were found through a one-way ANOVA between seniors and all other grades for grit</w:t>
      </w:r>
      <w:r w:rsidR="00961463">
        <w:t xml:space="preserve"> </w:t>
      </w:r>
      <w:r w:rsidR="00382DD0" w:rsidRPr="00BC4051">
        <w:rPr>
          <w:color w:val="000000"/>
        </w:rPr>
        <w:t>(</w:t>
      </w:r>
      <w:proofErr w:type="gramStart"/>
      <w:r w:rsidR="00382DD0" w:rsidRPr="00C06FAB">
        <w:rPr>
          <w:i/>
          <w:iCs/>
          <w:color w:val="000000"/>
        </w:rPr>
        <w:t>F</w:t>
      </w:r>
      <w:r w:rsidR="00382DD0" w:rsidRPr="00BC4051">
        <w:rPr>
          <w:color w:val="000000"/>
        </w:rPr>
        <w:t>(</w:t>
      </w:r>
      <w:proofErr w:type="gramEnd"/>
      <w:r w:rsidR="00382DD0">
        <w:rPr>
          <w:color w:val="000000"/>
        </w:rPr>
        <w:t>3</w:t>
      </w:r>
      <w:r w:rsidR="00382DD0" w:rsidRPr="00BC4051">
        <w:rPr>
          <w:color w:val="000000"/>
        </w:rPr>
        <w:t xml:space="preserve">, </w:t>
      </w:r>
      <w:r w:rsidR="00382DD0">
        <w:rPr>
          <w:color w:val="000000"/>
        </w:rPr>
        <w:t>559</w:t>
      </w:r>
      <w:r w:rsidR="00382DD0" w:rsidRPr="00BC4051">
        <w:rPr>
          <w:color w:val="000000"/>
        </w:rPr>
        <w:t xml:space="preserve">) = </w:t>
      </w:r>
      <w:r w:rsidR="00382DD0">
        <w:rPr>
          <w:color w:val="000000"/>
        </w:rPr>
        <w:t>4.14</w:t>
      </w:r>
      <w:r w:rsidR="00382DD0" w:rsidRPr="00BC4051">
        <w:rPr>
          <w:color w:val="000000"/>
        </w:rPr>
        <w:t xml:space="preserve">, </w:t>
      </w:r>
      <w:r w:rsidR="00382DD0" w:rsidRPr="00C06FAB">
        <w:rPr>
          <w:i/>
          <w:iCs/>
          <w:color w:val="000000"/>
        </w:rPr>
        <w:t>p</w:t>
      </w:r>
      <w:r w:rsidR="00382DD0" w:rsidRPr="00BC4051">
        <w:rPr>
          <w:color w:val="000000"/>
        </w:rPr>
        <w:t xml:space="preserve"> =</w:t>
      </w:r>
      <w:r w:rsidR="00382DD0">
        <w:rPr>
          <w:color w:val="000000"/>
        </w:rPr>
        <w:t xml:space="preserve"> </w:t>
      </w:r>
      <w:r w:rsidR="00382DD0" w:rsidRPr="00BC4051">
        <w:rPr>
          <w:color w:val="000000"/>
        </w:rPr>
        <w:t>0.</w:t>
      </w:r>
      <w:r w:rsidR="00382DD0">
        <w:rPr>
          <w:color w:val="000000"/>
        </w:rPr>
        <w:t>01</w:t>
      </w:r>
      <w:r w:rsidR="00382DD0" w:rsidRPr="00BC4051">
        <w:rPr>
          <w:color w:val="000000"/>
        </w:rPr>
        <w:t xml:space="preserve">, </w:t>
      </w:r>
      <w:r w:rsidR="00382DD0">
        <w:rPr>
          <w:color w:val="000000"/>
        </w:rPr>
        <w:t>η</w:t>
      </w:r>
      <w:r w:rsidR="00382DD0">
        <w:rPr>
          <w:color w:val="000000"/>
          <w:sz w:val="14"/>
          <w:szCs w:val="14"/>
          <w:vertAlign w:val="subscript"/>
        </w:rPr>
        <w:t>p</w:t>
      </w:r>
      <w:r w:rsidR="00382DD0">
        <w:rPr>
          <w:color w:val="000000"/>
          <w:sz w:val="14"/>
          <w:szCs w:val="14"/>
          <w:vertAlign w:val="superscript"/>
        </w:rPr>
        <w:t>2</w:t>
      </w:r>
      <w:r w:rsidR="00382DD0" w:rsidRPr="00BC4051">
        <w:rPr>
          <w:color w:val="000000"/>
        </w:rPr>
        <w:t xml:space="preserve"> = </w:t>
      </w:r>
      <w:r w:rsidR="00382DD0">
        <w:rPr>
          <w:color w:val="000000"/>
        </w:rPr>
        <w:t>0.08</w:t>
      </w:r>
      <w:r w:rsidR="00382DD0" w:rsidRPr="00BC4051">
        <w:rPr>
          <w:color w:val="000000"/>
        </w:rPr>
        <w:t xml:space="preserve">) </w:t>
      </w:r>
      <w:r w:rsidR="00961463">
        <w:t>and self-efficacy</w:t>
      </w:r>
      <w:r w:rsidR="00382DD0" w:rsidRPr="00BC4051">
        <w:rPr>
          <w:color w:val="000000"/>
        </w:rPr>
        <w:t>(</w:t>
      </w:r>
      <w:r w:rsidR="00382DD0" w:rsidRPr="00C06FAB">
        <w:rPr>
          <w:i/>
          <w:iCs/>
          <w:color w:val="000000"/>
        </w:rPr>
        <w:t>F</w:t>
      </w:r>
      <w:r w:rsidR="00382DD0" w:rsidRPr="00BC4051">
        <w:rPr>
          <w:color w:val="000000"/>
        </w:rPr>
        <w:t>(</w:t>
      </w:r>
      <w:r w:rsidR="00382DD0">
        <w:rPr>
          <w:color w:val="000000"/>
        </w:rPr>
        <w:t>3</w:t>
      </w:r>
      <w:r w:rsidR="00382DD0" w:rsidRPr="00BC4051">
        <w:rPr>
          <w:color w:val="000000"/>
        </w:rPr>
        <w:t xml:space="preserve">, </w:t>
      </w:r>
      <w:r w:rsidR="00382DD0">
        <w:rPr>
          <w:color w:val="000000"/>
        </w:rPr>
        <w:t>559</w:t>
      </w:r>
      <w:r w:rsidR="00382DD0" w:rsidRPr="00BC4051">
        <w:rPr>
          <w:color w:val="000000"/>
        </w:rPr>
        <w:t xml:space="preserve">) = </w:t>
      </w:r>
      <w:r w:rsidR="00382DD0">
        <w:rPr>
          <w:color w:val="000000"/>
        </w:rPr>
        <w:t>2.31</w:t>
      </w:r>
      <w:r w:rsidR="00382DD0" w:rsidRPr="00BC4051">
        <w:rPr>
          <w:color w:val="000000"/>
        </w:rPr>
        <w:t xml:space="preserve">, </w:t>
      </w:r>
      <w:r w:rsidR="00382DD0" w:rsidRPr="00C06FAB">
        <w:rPr>
          <w:i/>
          <w:iCs/>
          <w:color w:val="000000"/>
        </w:rPr>
        <w:t>p</w:t>
      </w:r>
      <w:r w:rsidR="00382DD0" w:rsidRPr="00BC4051">
        <w:rPr>
          <w:color w:val="000000"/>
        </w:rPr>
        <w:t xml:space="preserve"> =</w:t>
      </w:r>
      <w:r w:rsidR="00382DD0">
        <w:rPr>
          <w:color w:val="000000"/>
        </w:rPr>
        <w:t xml:space="preserve"> </w:t>
      </w:r>
      <w:r w:rsidR="00382DD0" w:rsidRPr="00BC4051">
        <w:rPr>
          <w:color w:val="000000"/>
        </w:rPr>
        <w:t>0.</w:t>
      </w:r>
      <w:r w:rsidR="00382DD0">
        <w:rPr>
          <w:color w:val="000000"/>
        </w:rPr>
        <w:t>03</w:t>
      </w:r>
      <w:r w:rsidR="00382DD0" w:rsidRPr="00BC4051">
        <w:rPr>
          <w:color w:val="000000"/>
        </w:rPr>
        <w:t xml:space="preserve">, </w:t>
      </w:r>
      <w:r w:rsidR="00382DD0">
        <w:rPr>
          <w:color w:val="000000"/>
        </w:rPr>
        <w:t>η</w:t>
      </w:r>
      <w:r w:rsidR="00382DD0">
        <w:rPr>
          <w:color w:val="000000"/>
          <w:sz w:val="14"/>
          <w:szCs w:val="14"/>
          <w:vertAlign w:val="subscript"/>
        </w:rPr>
        <w:t>p</w:t>
      </w:r>
      <w:r w:rsidR="00382DD0">
        <w:rPr>
          <w:color w:val="000000"/>
          <w:sz w:val="14"/>
          <w:szCs w:val="14"/>
          <w:vertAlign w:val="superscript"/>
        </w:rPr>
        <w:t>2</w:t>
      </w:r>
      <w:r w:rsidR="00382DD0" w:rsidRPr="00BC4051">
        <w:rPr>
          <w:color w:val="000000"/>
        </w:rPr>
        <w:t xml:space="preserve"> = </w:t>
      </w:r>
      <w:r w:rsidR="00382DD0">
        <w:rPr>
          <w:color w:val="000000"/>
        </w:rPr>
        <w:t>0.11</w:t>
      </w:r>
      <w:r w:rsidR="00382DD0" w:rsidRPr="00BC4051">
        <w:rPr>
          <w:color w:val="000000"/>
        </w:rPr>
        <w:t>)</w:t>
      </w:r>
      <w:r>
        <w:t xml:space="preserve">, </w:t>
      </w:r>
      <w:r w:rsidR="00961463">
        <w:t xml:space="preserve">and </w:t>
      </w:r>
      <w:r>
        <w:t xml:space="preserve">between seniors and freshmen for </w:t>
      </w:r>
      <w:r w:rsidR="00961463">
        <w:t>locus of control</w:t>
      </w:r>
      <w:r w:rsidR="00382DD0">
        <w:t xml:space="preserve"> </w:t>
      </w:r>
      <w:r w:rsidR="00382DD0" w:rsidRPr="00BC4051">
        <w:rPr>
          <w:color w:val="000000"/>
        </w:rPr>
        <w:t>(</w:t>
      </w:r>
      <w:r w:rsidR="00382DD0" w:rsidRPr="00C06FAB">
        <w:rPr>
          <w:i/>
          <w:iCs/>
          <w:color w:val="000000"/>
        </w:rPr>
        <w:t>F</w:t>
      </w:r>
      <w:r w:rsidR="00382DD0" w:rsidRPr="00BC4051">
        <w:rPr>
          <w:color w:val="000000"/>
        </w:rPr>
        <w:t>(</w:t>
      </w:r>
      <w:r w:rsidR="00382DD0">
        <w:rPr>
          <w:color w:val="000000"/>
        </w:rPr>
        <w:t>3</w:t>
      </w:r>
      <w:r w:rsidR="00382DD0" w:rsidRPr="00BC4051">
        <w:rPr>
          <w:color w:val="000000"/>
        </w:rPr>
        <w:t xml:space="preserve">, </w:t>
      </w:r>
      <w:r w:rsidR="00382DD0">
        <w:rPr>
          <w:color w:val="000000"/>
        </w:rPr>
        <w:t>559</w:t>
      </w:r>
      <w:r w:rsidR="00382DD0" w:rsidRPr="00BC4051">
        <w:rPr>
          <w:color w:val="000000"/>
        </w:rPr>
        <w:t xml:space="preserve">) = </w:t>
      </w:r>
      <w:r w:rsidR="00382DD0">
        <w:rPr>
          <w:color w:val="000000"/>
        </w:rPr>
        <w:t>1.98</w:t>
      </w:r>
      <w:r w:rsidR="00382DD0" w:rsidRPr="00BC4051">
        <w:rPr>
          <w:color w:val="000000"/>
        </w:rPr>
        <w:t xml:space="preserve">, </w:t>
      </w:r>
      <w:r w:rsidR="00382DD0" w:rsidRPr="00C06FAB">
        <w:rPr>
          <w:i/>
          <w:iCs/>
          <w:color w:val="000000"/>
        </w:rPr>
        <w:t>p</w:t>
      </w:r>
      <w:r w:rsidR="00382DD0" w:rsidRPr="00BC4051">
        <w:rPr>
          <w:color w:val="000000"/>
        </w:rPr>
        <w:t xml:space="preserve"> =</w:t>
      </w:r>
      <w:r w:rsidR="00382DD0">
        <w:rPr>
          <w:color w:val="000000"/>
        </w:rPr>
        <w:t xml:space="preserve"> </w:t>
      </w:r>
      <w:r w:rsidR="00382DD0" w:rsidRPr="00BC4051">
        <w:rPr>
          <w:color w:val="000000"/>
        </w:rPr>
        <w:t>0.</w:t>
      </w:r>
      <w:r w:rsidR="00382DD0">
        <w:rPr>
          <w:color w:val="000000"/>
        </w:rPr>
        <w:t>04</w:t>
      </w:r>
      <w:r w:rsidR="00382DD0" w:rsidRPr="00BC4051">
        <w:rPr>
          <w:color w:val="000000"/>
        </w:rPr>
        <w:t xml:space="preserve">, </w:t>
      </w:r>
      <w:r w:rsidR="00382DD0">
        <w:rPr>
          <w:color w:val="000000"/>
        </w:rPr>
        <w:t>η</w:t>
      </w:r>
      <w:r w:rsidR="00382DD0">
        <w:rPr>
          <w:color w:val="000000"/>
          <w:sz w:val="14"/>
          <w:szCs w:val="14"/>
          <w:vertAlign w:val="subscript"/>
        </w:rPr>
        <w:t>p</w:t>
      </w:r>
      <w:r w:rsidR="00382DD0">
        <w:rPr>
          <w:color w:val="000000"/>
          <w:sz w:val="14"/>
          <w:szCs w:val="14"/>
          <w:vertAlign w:val="superscript"/>
        </w:rPr>
        <w:t>2</w:t>
      </w:r>
      <w:r w:rsidR="00382DD0" w:rsidRPr="00BC4051">
        <w:rPr>
          <w:color w:val="000000"/>
        </w:rPr>
        <w:t xml:space="preserve"> = </w:t>
      </w:r>
      <w:r w:rsidR="00382DD0">
        <w:rPr>
          <w:color w:val="000000"/>
        </w:rPr>
        <w:t>0.07</w:t>
      </w:r>
      <w:r w:rsidR="00382DD0" w:rsidRPr="00BC4051">
        <w:rPr>
          <w:color w:val="000000"/>
        </w:rPr>
        <w:t>)</w:t>
      </w:r>
      <w:r w:rsidR="00961463">
        <w:t xml:space="preserve">. Differences were examined through a t-test for enrollment in an agricultural education </w:t>
      </w:r>
      <w:proofErr w:type="gramStart"/>
      <w:r w:rsidR="00961463">
        <w:t>classes</w:t>
      </w:r>
      <w:proofErr w:type="gramEnd"/>
      <w:r w:rsidR="00961463">
        <w:t>.  Differences existed between those enrolled in agricultural education and those not enrolled for grit</w:t>
      </w:r>
      <w:r w:rsidR="00382DD0">
        <w:t xml:space="preserve"> (</w:t>
      </w:r>
      <w:proofErr w:type="gramStart"/>
      <w:r w:rsidR="00382DD0">
        <w:rPr>
          <w:i/>
        </w:rPr>
        <w:t>t</w:t>
      </w:r>
      <w:r w:rsidR="00382DD0">
        <w:t>(</w:t>
      </w:r>
      <w:proofErr w:type="gramEnd"/>
      <w:r w:rsidR="00382DD0">
        <w:t xml:space="preserve">559) = </w:t>
      </w:r>
      <w:r w:rsidR="00CD0E22">
        <w:t>4.35</w:t>
      </w:r>
      <w:r w:rsidR="00382DD0">
        <w:t xml:space="preserve"> </w:t>
      </w:r>
      <w:r w:rsidR="00382DD0">
        <w:rPr>
          <w:i/>
        </w:rPr>
        <w:t xml:space="preserve">p </w:t>
      </w:r>
      <w:r w:rsidR="00382DD0">
        <w:t>=0.01)</w:t>
      </w:r>
      <w:r w:rsidR="00961463">
        <w:t>, locus of control</w:t>
      </w:r>
      <w:r w:rsidR="00382DD0">
        <w:t xml:space="preserve"> (</w:t>
      </w:r>
      <w:r w:rsidR="00382DD0">
        <w:rPr>
          <w:i/>
        </w:rPr>
        <w:t>t</w:t>
      </w:r>
      <w:r w:rsidR="00382DD0">
        <w:t xml:space="preserve">(559) = </w:t>
      </w:r>
      <w:r w:rsidR="00CD0E22">
        <w:t>3.21</w:t>
      </w:r>
      <w:r w:rsidR="00382DD0">
        <w:t xml:space="preserve">, </w:t>
      </w:r>
      <w:r w:rsidR="00382DD0">
        <w:rPr>
          <w:i/>
        </w:rPr>
        <w:t xml:space="preserve">p </w:t>
      </w:r>
      <w:r w:rsidR="00382DD0">
        <w:t>=0.01)</w:t>
      </w:r>
      <w:r w:rsidR="00961463">
        <w:t>, and self-efficacy</w:t>
      </w:r>
      <w:r w:rsidR="00382DD0">
        <w:t xml:space="preserve"> (</w:t>
      </w:r>
      <w:r w:rsidR="00382DD0">
        <w:rPr>
          <w:i/>
        </w:rPr>
        <w:t>t</w:t>
      </w:r>
      <w:r w:rsidR="00382DD0">
        <w:t xml:space="preserve">(559) = </w:t>
      </w:r>
      <w:r w:rsidR="00CD0E22">
        <w:t>1.87</w:t>
      </w:r>
      <w:r w:rsidR="00382DD0">
        <w:t xml:space="preserve">, </w:t>
      </w:r>
      <w:r w:rsidR="00382DD0">
        <w:rPr>
          <w:i/>
        </w:rPr>
        <w:t xml:space="preserve">p </w:t>
      </w:r>
      <w:r w:rsidR="00382DD0">
        <w:t>=0.0</w:t>
      </w:r>
      <w:r w:rsidR="00CD0E22">
        <w:t>4</w:t>
      </w:r>
      <w:r w:rsidR="00382DD0">
        <w:t>)</w:t>
      </w:r>
      <w:r w:rsidR="00961463">
        <w:t>.</w:t>
      </w:r>
    </w:p>
    <w:p w14:paraId="77D4B8F4" w14:textId="77777777" w:rsidR="00961463" w:rsidRPr="0065341B" w:rsidRDefault="00961463" w:rsidP="006B7014"/>
    <w:p w14:paraId="300560C9" w14:textId="77777777" w:rsidR="00BA690B" w:rsidRPr="00C90F0C" w:rsidRDefault="009264E8" w:rsidP="00C90F0C">
      <w:pPr>
        <w:pStyle w:val="Heading2"/>
        <w:rPr>
          <w:rFonts w:cs="Times New Roman"/>
          <w:sz w:val="24"/>
          <w:szCs w:val="24"/>
        </w:rPr>
      </w:pPr>
      <w:r w:rsidRPr="0065341B">
        <w:rPr>
          <w:rFonts w:cs="Times New Roman"/>
          <w:sz w:val="24"/>
          <w:szCs w:val="24"/>
        </w:rPr>
        <w:t>Conclusion</w:t>
      </w:r>
      <w:r w:rsidR="0010481C" w:rsidRPr="0065341B">
        <w:rPr>
          <w:rFonts w:cs="Times New Roman"/>
          <w:sz w:val="24"/>
          <w:szCs w:val="24"/>
        </w:rPr>
        <w:t>,</w:t>
      </w:r>
      <w:r w:rsidRPr="0065341B">
        <w:rPr>
          <w:rFonts w:cs="Times New Roman"/>
          <w:sz w:val="24"/>
          <w:szCs w:val="24"/>
        </w:rPr>
        <w:t xml:space="preserve"> Recommendation</w:t>
      </w:r>
      <w:r w:rsidR="0010481C" w:rsidRPr="0065341B">
        <w:rPr>
          <w:rFonts w:cs="Times New Roman"/>
          <w:sz w:val="24"/>
          <w:szCs w:val="24"/>
        </w:rPr>
        <w:t>, and Implications</w:t>
      </w:r>
    </w:p>
    <w:p w14:paraId="6B592096" w14:textId="0729BC8D" w:rsidR="00D83096" w:rsidRDefault="00D83096" w:rsidP="00D83096">
      <w:pPr>
        <w:ind w:firstLine="720"/>
      </w:pPr>
      <w:r>
        <w:t xml:space="preserve">Respondents were students living through COVID-19 school shutdowns at the time of data collection. </w:t>
      </w:r>
      <w:r w:rsidR="0079199F">
        <w:t>It is interesting to note that the differences in this study are not as marked between SBAE students and adolescent averages as other administrations to SBAE populations (</w:t>
      </w:r>
      <w:r w:rsidR="00EA2B25">
        <w:t>Smith &amp; Thapa</w:t>
      </w:r>
      <w:r w:rsidR="0079199F">
        <w:t xml:space="preserve">, 2022).  </w:t>
      </w:r>
      <w:r>
        <w:t xml:space="preserve">Much research indicates that there are large scale implications to student mental health and wellness </w:t>
      </w:r>
      <w:r w:rsidR="00BE6D38">
        <w:t>because of</w:t>
      </w:r>
      <w:r>
        <w:t xml:space="preserve"> the events of Spring 2020 </w:t>
      </w:r>
      <w:r w:rsidR="00A76D19">
        <w:t>(Wu, et al., 2020</w:t>
      </w:r>
      <w:r>
        <w:t>) We cannot ignore the potential impact of the cross-sectional timing of this study. How much did student lived</w:t>
      </w:r>
      <w:r w:rsidR="00BE6D38">
        <w:t>-</w:t>
      </w:r>
      <w:r>
        <w:t xml:space="preserve">experience filter into their responses? We may never know, but strongly recommend examining this data in line with other COVID-19 related student mental health </w:t>
      </w:r>
      <w:r w:rsidR="00BE6D38">
        <w:t>data to determine how this data compares to pre and post pandemic information.</w:t>
      </w:r>
    </w:p>
    <w:p w14:paraId="0FD4A20A" w14:textId="77777777" w:rsidR="00D83096" w:rsidRDefault="00D83096" w:rsidP="007D773F">
      <w:pPr>
        <w:ind w:firstLine="720"/>
      </w:pPr>
    </w:p>
    <w:p w14:paraId="31AF184E" w14:textId="1E6B1A15" w:rsidR="00D83096" w:rsidRDefault="00D83096" w:rsidP="007D773F">
      <w:pPr>
        <w:ind w:firstLine="720"/>
      </w:pPr>
      <w:r>
        <w:t>For respondents in this study, differences were found between males and females for self-efficacy. These findings are in line with other researchers who point to higher levels of self-efficacy among adolescent males (</w:t>
      </w:r>
      <w:r w:rsidR="00A76D19" w:rsidRPr="00A76D19">
        <w:t>Pajares, 2002</w:t>
      </w:r>
      <w:r>
        <w:t xml:space="preserve">). We did find differences in locus of control between males and females, with males in this study having a more intrinsic locus of control.  This finding is unique among noncognitive research, which generally points to more </w:t>
      </w:r>
      <w:proofErr w:type="spellStart"/>
      <w:r>
        <w:t>intrinis</w:t>
      </w:r>
      <w:r w:rsidR="00BE6D38">
        <w:t>ic</w:t>
      </w:r>
      <w:proofErr w:type="spellEnd"/>
      <w:r w:rsidR="00BE6D38">
        <w:t xml:space="preserve"> </w:t>
      </w:r>
      <w:r>
        <w:t>locus of control for females</w:t>
      </w:r>
      <w:r w:rsidR="00A76D19">
        <w:t xml:space="preserve"> (Carden, et al., 2004)</w:t>
      </w:r>
      <w:r>
        <w:t xml:space="preserve">.  More examination should be conducted to determine what may have been the impetus for inconsistent results at [School] in the spring of 2020.  </w:t>
      </w:r>
    </w:p>
    <w:p w14:paraId="44EDFE11" w14:textId="77777777" w:rsidR="00D83096" w:rsidRDefault="00D83096" w:rsidP="007D773F">
      <w:pPr>
        <w:ind w:firstLine="720"/>
      </w:pPr>
    </w:p>
    <w:p w14:paraId="518D9087" w14:textId="77777777" w:rsidR="002741D5" w:rsidRDefault="0079199F" w:rsidP="003C75B9">
      <w:pPr>
        <w:ind w:firstLine="720"/>
      </w:pPr>
      <w:r>
        <w:t>W</w:t>
      </w:r>
      <w:r w:rsidR="00C90F0C">
        <w:t xml:space="preserve">e can </w:t>
      </w:r>
      <w:r w:rsidR="00D83096">
        <w:t xml:space="preserve">also </w:t>
      </w:r>
      <w:r w:rsidR="00CD0E22">
        <w:t>conclude that differences existed for the students at [High School] for noncognitive factors of grit, locus of control, and self-efficacy between those who were enrolled in an agricultural education course, and those who were not</w:t>
      </w:r>
      <w:r w:rsidR="00C90F0C">
        <w:t xml:space="preserve">.  </w:t>
      </w:r>
      <w:r w:rsidR="003C75B9">
        <w:t xml:space="preserve">These findings support the work of Cheng and Hitt (2018) who concluded that CTE students typically report noncognitive skills at rates higher than </w:t>
      </w:r>
      <w:r w:rsidR="00CD0E22">
        <w:t xml:space="preserve">students not enrolled in CTE courses. </w:t>
      </w:r>
      <w:r>
        <w:t xml:space="preserve">There is more work to be done in this area. More research is needed to determine </w:t>
      </w:r>
      <w:r w:rsidR="002741D5">
        <w:t xml:space="preserve">if </w:t>
      </w:r>
      <w:r>
        <w:t>there are differences in noncognitive skills between SBAE and non-SBAE students</w:t>
      </w:r>
      <w:r w:rsidR="002741D5">
        <w:t xml:space="preserve"> in other populations</w:t>
      </w:r>
      <w:r>
        <w:t xml:space="preserve">. Isolating variables which contribute to attracting, retaining, or instructing noncognitive skills in students is an important next step. </w:t>
      </w:r>
    </w:p>
    <w:p w14:paraId="5B647AFA" w14:textId="77777777" w:rsidR="002741D5" w:rsidRDefault="002741D5" w:rsidP="003C75B9">
      <w:pPr>
        <w:ind w:firstLine="720"/>
      </w:pPr>
    </w:p>
    <w:p w14:paraId="17082B17" w14:textId="3EEE69FA" w:rsidR="007D773F" w:rsidRDefault="007D773F" w:rsidP="003C75B9">
      <w:pPr>
        <w:ind w:firstLine="720"/>
      </w:pPr>
      <w:r>
        <w:lastRenderedPageBreak/>
        <w:t xml:space="preserve">Knowing student scores for noncognitive factors can help administrators and educators better understand how to develop these skills in students.  </w:t>
      </w:r>
      <w:r w:rsidR="00AB267E">
        <w:t xml:space="preserve">Khine and </w:t>
      </w:r>
      <w:proofErr w:type="spellStart"/>
      <w:r w:rsidR="00AB267E" w:rsidRPr="000E3D03">
        <w:rPr>
          <w:color w:val="000000" w:themeColor="text1"/>
          <w:shd w:val="clear" w:color="auto" w:fill="FFFFFF"/>
        </w:rPr>
        <w:t>Areepattamannil</w:t>
      </w:r>
      <w:proofErr w:type="spellEnd"/>
      <w:r w:rsidR="00AB267E">
        <w:rPr>
          <w:color w:val="000000" w:themeColor="text1"/>
          <w:shd w:val="clear" w:color="auto" w:fill="FFFFFF"/>
        </w:rPr>
        <w:t xml:space="preserve"> (2016) stress the ability to guide students toward increasing noncognitive skills. </w:t>
      </w:r>
      <w:r>
        <w:t xml:space="preserve">We recommend </w:t>
      </w:r>
      <w:r w:rsidR="0079199F">
        <w:t xml:space="preserve">expanding this topic into </w:t>
      </w:r>
      <w:r>
        <w:t xml:space="preserve">experimental research to determine the influence of targeted training </w:t>
      </w:r>
      <w:r w:rsidR="00AB267E">
        <w:t xml:space="preserve">and best practices for incorporating </w:t>
      </w:r>
      <w:r>
        <w:t>noncognitive skills</w:t>
      </w:r>
      <w:r w:rsidR="00AB267E">
        <w:t xml:space="preserve"> in education </w:t>
      </w:r>
      <w:r w:rsidR="0079199F">
        <w:t>for secondary</w:t>
      </w:r>
      <w:r>
        <w:t xml:space="preserve"> students.  For educators, we recommend incorporating noncognitive awareness and development </w:t>
      </w:r>
      <w:r w:rsidR="0079199F">
        <w:t>of</w:t>
      </w:r>
      <w:r>
        <w:t xml:space="preserve"> noncognitive skills in all classes.  </w:t>
      </w:r>
    </w:p>
    <w:p w14:paraId="2F69CBE0" w14:textId="77777777" w:rsidR="00AB267E" w:rsidRDefault="00AB267E" w:rsidP="003C75B9">
      <w:pPr>
        <w:ind w:firstLine="720"/>
      </w:pPr>
    </w:p>
    <w:p w14:paraId="5298EED2" w14:textId="77777777" w:rsidR="009264E8" w:rsidRPr="00F118A2" w:rsidRDefault="009264E8" w:rsidP="00911937">
      <w:pPr>
        <w:jc w:val="center"/>
        <w:rPr>
          <w:b/>
        </w:rPr>
      </w:pPr>
      <w:r w:rsidRPr="00F118A2">
        <w:rPr>
          <w:b/>
        </w:rPr>
        <w:t>References</w:t>
      </w:r>
    </w:p>
    <w:p w14:paraId="500EC847" w14:textId="77777777" w:rsidR="00A16B9A" w:rsidRPr="00A16B9A" w:rsidRDefault="00A16B9A" w:rsidP="00A16B9A">
      <w:pPr>
        <w:jc w:val="center"/>
      </w:pPr>
    </w:p>
    <w:p w14:paraId="62262B66" w14:textId="77777777" w:rsidR="006F7FBE" w:rsidRDefault="006F7FBE" w:rsidP="006F7FBE">
      <w:pPr>
        <w:ind w:left="720" w:hanging="720"/>
        <w:rPr>
          <w:color w:val="000000"/>
        </w:rPr>
      </w:pPr>
      <w:r w:rsidRPr="00F30D96">
        <w:rPr>
          <w:color w:val="000000"/>
        </w:rPr>
        <w:t>Alfeld, C., Hansen, D. M., Aragon, S. R., Stone J. R. III. (2006). Inside the black box: Exploring the value added by career and technical student organizations to students' high school experience.</w:t>
      </w:r>
      <w:r>
        <w:rPr>
          <w:color w:val="000000"/>
        </w:rPr>
        <w:t xml:space="preserve"> </w:t>
      </w:r>
      <w:r w:rsidRPr="00F30D96">
        <w:rPr>
          <w:i/>
          <w:color w:val="000000"/>
        </w:rPr>
        <w:t>Career and Technical Education Research 31</w:t>
      </w:r>
      <w:r w:rsidRPr="00373C74">
        <w:rPr>
          <w:color w:val="000000"/>
        </w:rPr>
        <w:t>(3),</w:t>
      </w:r>
      <w:r w:rsidRPr="00F30D96">
        <w:rPr>
          <w:i/>
          <w:color w:val="000000"/>
        </w:rPr>
        <w:t xml:space="preserve"> </w:t>
      </w:r>
      <w:r w:rsidRPr="00F30D96">
        <w:rPr>
          <w:color w:val="000000"/>
        </w:rPr>
        <w:t xml:space="preserve">121-155. </w:t>
      </w:r>
    </w:p>
    <w:p w14:paraId="6D5BDF90" w14:textId="77777777" w:rsidR="006F7FBE" w:rsidRDefault="006F7FBE" w:rsidP="006F7FBE">
      <w:pPr>
        <w:ind w:left="720" w:hanging="720"/>
        <w:rPr>
          <w:color w:val="000000"/>
        </w:rPr>
      </w:pPr>
    </w:p>
    <w:p w14:paraId="789C8CA6" w14:textId="77777777" w:rsidR="000E7CCD" w:rsidRPr="002D7D98" w:rsidRDefault="000E7CCD" w:rsidP="000E7CCD">
      <w:pPr>
        <w:ind w:left="720" w:hanging="720"/>
        <w:rPr>
          <w:shd w:val="clear" w:color="auto" w:fill="FFFFFF"/>
        </w:rPr>
      </w:pPr>
      <w:r w:rsidRPr="002D7D98">
        <w:rPr>
          <w:shd w:val="clear" w:color="auto" w:fill="FFFFFF"/>
        </w:rPr>
        <w:t xml:space="preserve">Almeida, D. (2016). Understanding grit in the context of higher education. In Paulsen, M. (Ed.), </w:t>
      </w:r>
      <w:r w:rsidRPr="002D7D98">
        <w:rPr>
          <w:i/>
          <w:shd w:val="clear" w:color="auto" w:fill="FFFFFF"/>
        </w:rPr>
        <w:t>Higher education: Handbook of theory and research</w:t>
      </w:r>
      <w:r w:rsidRPr="002D7D98">
        <w:rPr>
          <w:shd w:val="clear" w:color="auto" w:fill="FFFFFF"/>
        </w:rPr>
        <w:t xml:space="preserve"> (pp. 559-609). Springer. </w:t>
      </w:r>
    </w:p>
    <w:p w14:paraId="28CCA787" w14:textId="77777777" w:rsidR="000E7CCD" w:rsidRDefault="000E7CCD" w:rsidP="00A16B9A">
      <w:pPr>
        <w:ind w:left="720" w:hanging="720"/>
        <w:rPr>
          <w:color w:val="000000"/>
        </w:rPr>
      </w:pPr>
    </w:p>
    <w:p w14:paraId="4E43BD2F" w14:textId="77777777" w:rsidR="00A16B9A" w:rsidRPr="00A16B9A" w:rsidRDefault="00A16B9A" w:rsidP="00A16B9A">
      <w:pPr>
        <w:ind w:left="720" w:hanging="720"/>
        <w:rPr>
          <w:color w:val="000000"/>
        </w:rPr>
      </w:pPr>
      <w:r w:rsidRPr="00A16B9A">
        <w:rPr>
          <w:color w:val="000000"/>
        </w:rPr>
        <w:t xml:space="preserve">Aspinwall, L. G., Taylor, S. E. (1992). Modeling cognitive adaptation: A longitudinal investigation of the impact of individual differences and coping on college adjustment and performance. </w:t>
      </w:r>
      <w:r w:rsidR="000D4FAF">
        <w:rPr>
          <w:i/>
          <w:color w:val="000000"/>
        </w:rPr>
        <w:t>Journal of Personality and Social Psychology</w:t>
      </w:r>
      <w:r w:rsidRPr="00A16B9A">
        <w:rPr>
          <w:color w:val="000000"/>
        </w:rPr>
        <w:t xml:space="preserve"> </w:t>
      </w:r>
      <w:r w:rsidR="000D4FAF">
        <w:rPr>
          <w:i/>
          <w:color w:val="000000"/>
        </w:rPr>
        <w:t>63</w:t>
      </w:r>
      <w:r w:rsidRPr="00A16B9A">
        <w:rPr>
          <w:color w:val="000000"/>
        </w:rPr>
        <w:t>(6), 989 – 1003.</w:t>
      </w:r>
    </w:p>
    <w:p w14:paraId="17BD976F" w14:textId="77777777" w:rsidR="00AE3B16" w:rsidRDefault="00AE3B16" w:rsidP="000E7CCD">
      <w:pPr>
        <w:rPr>
          <w:color w:val="000000"/>
        </w:rPr>
      </w:pPr>
    </w:p>
    <w:p w14:paraId="5F672B41" w14:textId="77777777" w:rsidR="00404563" w:rsidRDefault="00404563" w:rsidP="00A16B9A">
      <w:pPr>
        <w:ind w:left="720" w:hanging="720"/>
        <w:rPr>
          <w:color w:val="000000"/>
        </w:rPr>
      </w:pPr>
      <w:r>
        <w:rPr>
          <w:color w:val="000000"/>
        </w:rPr>
        <w:t xml:space="preserve">Bandura, </w:t>
      </w:r>
      <w:r w:rsidR="00751F0D">
        <w:rPr>
          <w:color w:val="000000"/>
        </w:rPr>
        <w:t xml:space="preserve">A. (2006). </w:t>
      </w:r>
      <w:r w:rsidR="00751F0D" w:rsidRPr="00751F0D">
        <w:rPr>
          <w:i/>
          <w:color w:val="000000"/>
        </w:rPr>
        <w:t>Self-Efficacy Beliefs of Adolescents</w:t>
      </w:r>
      <w:r w:rsidR="00751F0D">
        <w:rPr>
          <w:color w:val="000000"/>
        </w:rPr>
        <w:t xml:space="preserve">. F. Pajares &amp; T. </w:t>
      </w:r>
      <w:proofErr w:type="spellStart"/>
      <w:r w:rsidR="00751F0D">
        <w:rPr>
          <w:color w:val="000000"/>
        </w:rPr>
        <w:t>Urdan</w:t>
      </w:r>
      <w:proofErr w:type="spellEnd"/>
      <w:r w:rsidR="00751F0D">
        <w:rPr>
          <w:color w:val="000000"/>
        </w:rPr>
        <w:t xml:space="preserve"> (Eds). Information Age Publishing.</w:t>
      </w:r>
    </w:p>
    <w:p w14:paraId="13F343B8" w14:textId="77777777" w:rsidR="00404563" w:rsidRDefault="00404563" w:rsidP="00A16B9A">
      <w:pPr>
        <w:ind w:left="720" w:hanging="720"/>
        <w:rPr>
          <w:color w:val="000000"/>
        </w:rPr>
      </w:pPr>
    </w:p>
    <w:p w14:paraId="76799AEB" w14:textId="77777777" w:rsidR="000E7CCD" w:rsidRPr="002D7D98" w:rsidRDefault="000E7CCD" w:rsidP="000E7CCD">
      <w:pPr>
        <w:ind w:left="720" w:hanging="720"/>
        <w:rPr>
          <w:shd w:val="clear" w:color="auto" w:fill="FFFFFF"/>
        </w:rPr>
      </w:pPr>
      <w:r w:rsidRPr="002D7D98">
        <w:rPr>
          <w:shd w:val="clear" w:color="auto" w:fill="FFFFFF"/>
        </w:rPr>
        <w:t>Bloom, B. S. (1976). </w:t>
      </w:r>
      <w:r w:rsidRPr="002D7D98">
        <w:rPr>
          <w:i/>
          <w:iCs/>
          <w:shd w:val="clear" w:color="auto" w:fill="FFFFFF"/>
        </w:rPr>
        <w:t xml:space="preserve">Human characteristics </w:t>
      </w:r>
      <w:r>
        <w:rPr>
          <w:i/>
          <w:iCs/>
          <w:shd w:val="clear" w:color="auto" w:fill="FFFFFF"/>
        </w:rPr>
        <w:t>a</w:t>
      </w:r>
      <w:r w:rsidRPr="002D7D98">
        <w:rPr>
          <w:i/>
          <w:iCs/>
          <w:shd w:val="clear" w:color="auto" w:fill="FFFFFF"/>
        </w:rPr>
        <w:t>nd school learning</w:t>
      </w:r>
      <w:r w:rsidRPr="002D7D98">
        <w:rPr>
          <w:shd w:val="clear" w:color="auto" w:fill="FFFFFF"/>
        </w:rPr>
        <w:t>. McGraw-Hill.</w:t>
      </w:r>
    </w:p>
    <w:p w14:paraId="3239289A" w14:textId="77777777" w:rsidR="000E7CCD" w:rsidRDefault="000E7CCD" w:rsidP="000E7CCD">
      <w:pPr>
        <w:ind w:left="720" w:hanging="720"/>
        <w:rPr>
          <w:shd w:val="clear" w:color="auto" w:fill="FFFFFF"/>
        </w:rPr>
      </w:pPr>
    </w:p>
    <w:p w14:paraId="55D75FE7" w14:textId="77777777" w:rsidR="000E7CCD" w:rsidRPr="002D7D98" w:rsidRDefault="000E7CCD" w:rsidP="000E7CCD">
      <w:pPr>
        <w:ind w:left="720" w:hanging="720"/>
        <w:rPr>
          <w:shd w:val="clear" w:color="auto" w:fill="FFFFFF"/>
        </w:rPr>
      </w:pPr>
      <w:r w:rsidRPr="002D7D98">
        <w:rPr>
          <w:shd w:val="clear" w:color="auto" w:fill="FFFFFF"/>
        </w:rPr>
        <w:t>Brunello, G., &amp; Schlotter, M. (2011). Noncognitive skills and personality traits: Labor market relevance and their development in education &amp; training systems. </w:t>
      </w:r>
      <w:r w:rsidRPr="002D7D98">
        <w:rPr>
          <w:i/>
          <w:iCs/>
          <w:shd w:val="clear" w:color="auto" w:fill="FFFFFF"/>
        </w:rPr>
        <w:t xml:space="preserve">IDEAS Working Paper Series from </w:t>
      </w:r>
      <w:proofErr w:type="spellStart"/>
      <w:r w:rsidRPr="002D7D98">
        <w:rPr>
          <w:i/>
          <w:iCs/>
          <w:shd w:val="clear" w:color="auto" w:fill="FFFFFF"/>
        </w:rPr>
        <w:t>RePEc</w:t>
      </w:r>
      <w:proofErr w:type="spellEnd"/>
      <w:r w:rsidRPr="002D7D98">
        <w:rPr>
          <w:shd w:val="clear" w:color="auto" w:fill="FFFFFF"/>
        </w:rPr>
        <w:t xml:space="preserve">. </w:t>
      </w:r>
      <w:hyperlink r:id="rId7" w:history="1">
        <w:r w:rsidRPr="000E7CCD">
          <w:rPr>
            <w:rStyle w:val="Hyperlink"/>
            <w:shd w:val="clear" w:color="auto" w:fill="FFFFFF"/>
          </w:rPr>
          <w:t>https://ssrn.com/abstract=1858066</w:t>
        </w:r>
      </w:hyperlink>
    </w:p>
    <w:p w14:paraId="42871774" w14:textId="77777777" w:rsidR="000E7CCD" w:rsidRDefault="000E7CCD" w:rsidP="00A16B9A">
      <w:pPr>
        <w:ind w:left="720" w:hanging="720"/>
        <w:rPr>
          <w:color w:val="000000"/>
        </w:rPr>
      </w:pPr>
    </w:p>
    <w:p w14:paraId="539BA49E" w14:textId="77777777" w:rsidR="00022833" w:rsidRDefault="00022833" w:rsidP="00A16B9A">
      <w:pPr>
        <w:ind w:left="720" w:hanging="720"/>
        <w:rPr>
          <w:color w:val="000000"/>
        </w:rPr>
      </w:pPr>
      <w:r w:rsidRPr="00022833">
        <w:rPr>
          <w:color w:val="000000"/>
        </w:rPr>
        <w:t xml:space="preserve">Camfield, L. (2015). ‘Character matters': how do measures of non‐cognitive skills shape understandings of social mobility in the global North and </w:t>
      </w:r>
      <w:proofErr w:type="gramStart"/>
      <w:r w:rsidRPr="00022833">
        <w:rPr>
          <w:color w:val="000000"/>
        </w:rPr>
        <w:t>South?.</w:t>
      </w:r>
      <w:proofErr w:type="gramEnd"/>
      <w:r w:rsidRPr="00022833">
        <w:rPr>
          <w:color w:val="000000"/>
        </w:rPr>
        <w:t> </w:t>
      </w:r>
      <w:r w:rsidRPr="00022833">
        <w:rPr>
          <w:i/>
          <w:iCs/>
          <w:color w:val="000000"/>
        </w:rPr>
        <w:t>Social Anthropology</w:t>
      </w:r>
      <w:r w:rsidRPr="00022833">
        <w:rPr>
          <w:color w:val="000000"/>
        </w:rPr>
        <w:t>, </w:t>
      </w:r>
      <w:r w:rsidRPr="00022833">
        <w:rPr>
          <w:i/>
          <w:iCs/>
          <w:color w:val="000000"/>
        </w:rPr>
        <w:t>23</w:t>
      </w:r>
      <w:r w:rsidRPr="00022833">
        <w:rPr>
          <w:color w:val="000000"/>
        </w:rPr>
        <w:t>(1), 68-79.</w:t>
      </w:r>
    </w:p>
    <w:p w14:paraId="15071552" w14:textId="77777777" w:rsidR="00022833" w:rsidRDefault="00022833" w:rsidP="00A16B9A">
      <w:pPr>
        <w:ind w:left="720" w:hanging="720"/>
        <w:rPr>
          <w:color w:val="000000"/>
        </w:rPr>
      </w:pPr>
    </w:p>
    <w:p w14:paraId="4BC9AF0C" w14:textId="0DD464CF" w:rsidR="00A16B9A" w:rsidRPr="00A16B9A" w:rsidRDefault="00A16B9A" w:rsidP="00A16B9A">
      <w:pPr>
        <w:ind w:left="720" w:hanging="720"/>
        <w:rPr>
          <w:color w:val="000000"/>
        </w:rPr>
      </w:pPr>
      <w:r w:rsidRPr="00A16B9A">
        <w:rPr>
          <w:color w:val="000000"/>
        </w:rPr>
        <w:t>Carden, R., Bryant, C., Moss, R. (2004). Locus of control, test anxiety, academic procrastination, and achievement among college students</w:t>
      </w:r>
      <w:r w:rsidR="000D4FAF">
        <w:rPr>
          <w:color w:val="000000"/>
        </w:rPr>
        <w:t xml:space="preserve">. </w:t>
      </w:r>
      <w:r w:rsidR="000D4FAF">
        <w:rPr>
          <w:i/>
          <w:color w:val="000000"/>
        </w:rPr>
        <w:t>Psychological Reports 95</w:t>
      </w:r>
      <w:r w:rsidRPr="00A16B9A">
        <w:rPr>
          <w:color w:val="000000"/>
        </w:rPr>
        <w:t>(2), 581-582.</w:t>
      </w:r>
    </w:p>
    <w:p w14:paraId="134D4B69" w14:textId="77777777" w:rsidR="000E3D03" w:rsidRDefault="000E3D03" w:rsidP="000E7CCD">
      <w:pPr>
        <w:rPr>
          <w:color w:val="000000"/>
        </w:rPr>
      </w:pPr>
    </w:p>
    <w:p w14:paraId="1752ABC7" w14:textId="77777777" w:rsidR="000E7CCD" w:rsidRPr="002D7D98" w:rsidRDefault="000E7CCD" w:rsidP="000E7CCD">
      <w:pPr>
        <w:ind w:left="720" w:hanging="720"/>
      </w:pPr>
      <w:r w:rsidRPr="002D7D98">
        <w:t>Carroll, J. (1963). A model of school learning. </w:t>
      </w:r>
      <w:r w:rsidRPr="002D7D98">
        <w:rPr>
          <w:i/>
          <w:iCs/>
        </w:rPr>
        <w:t>The Teachers College Record</w:t>
      </w:r>
      <w:r w:rsidRPr="002D7D98">
        <w:t xml:space="preserve">, </w:t>
      </w:r>
      <w:r w:rsidRPr="002D7D98">
        <w:rPr>
          <w:i/>
          <w:iCs/>
        </w:rPr>
        <w:t>64</w:t>
      </w:r>
      <w:r w:rsidRPr="002D7D98">
        <w:t>(8), 723-723.</w:t>
      </w:r>
    </w:p>
    <w:p w14:paraId="5994A059" w14:textId="77777777" w:rsidR="000E7CCD" w:rsidRDefault="000E7CCD" w:rsidP="00A16B9A">
      <w:pPr>
        <w:ind w:left="720" w:hanging="720"/>
        <w:rPr>
          <w:color w:val="000000"/>
        </w:rPr>
      </w:pPr>
    </w:p>
    <w:p w14:paraId="35D852DF" w14:textId="77777777" w:rsidR="00A16B9A" w:rsidRPr="00A16B9A" w:rsidRDefault="00A16B9A" w:rsidP="00A16B9A">
      <w:pPr>
        <w:ind w:left="720" w:hanging="720"/>
        <w:rPr>
          <w:color w:val="000000"/>
        </w:rPr>
      </w:pPr>
      <w:proofErr w:type="spellStart"/>
      <w:r w:rsidRPr="00A16B9A">
        <w:rPr>
          <w:color w:val="000000"/>
        </w:rPr>
        <w:t>Chemers</w:t>
      </w:r>
      <w:proofErr w:type="spellEnd"/>
      <w:r w:rsidRPr="00A16B9A">
        <w:rPr>
          <w:color w:val="000000"/>
        </w:rPr>
        <w:t xml:space="preserve">, M. M., Hu, L., Garcia, B. F. (2001). Academic self-efficacy and first year college student performance and adjustment. </w:t>
      </w:r>
      <w:r w:rsidRPr="000D4FAF">
        <w:rPr>
          <w:i/>
          <w:color w:val="000000"/>
        </w:rPr>
        <w:t>Journal of Educational Psychology, 93</w:t>
      </w:r>
      <w:r w:rsidRPr="00A16B9A">
        <w:rPr>
          <w:color w:val="000000"/>
        </w:rPr>
        <w:t>(1), 55-64.</w:t>
      </w:r>
    </w:p>
    <w:p w14:paraId="46EFF500" w14:textId="77777777" w:rsidR="00A16B9A" w:rsidRDefault="00A16B9A" w:rsidP="006F7FBE">
      <w:pPr>
        <w:ind w:left="720" w:hanging="720"/>
      </w:pPr>
    </w:p>
    <w:p w14:paraId="7E96DF7B" w14:textId="77777777" w:rsidR="000E7CCD" w:rsidRDefault="000E7CCD" w:rsidP="000E7CCD">
      <w:pPr>
        <w:ind w:left="720" w:hanging="720"/>
      </w:pPr>
      <w:r>
        <w:t xml:space="preserve">Crawford, P. &amp; Fink, W. (2020). </w:t>
      </w:r>
      <w:r w:rsidRPr="005276C7">
        <w:rPr>
          <w:i/>
          <w:iCs/>
        </w:rPr>
        <w:t>From Academia to the Workforce: Critical Growth Areas for Students Today</w:t>
      </w:r>
      <w:r>
        <w:t>. APLU</w:t>
      </w:r>
    </w:p>
    <w:p w14:paraId="7D0873C1" w14:textId="77777777" w:rsidR="000E7CCD" w:rsidRDefault="000E7CCD" w:rsidP="000E7CCD">
      <w:pPr>
        <w:ind w:left="720" w:hanging="720"/>
      </w:pPr>
    </w:p>
    <w:p w14:paraId="484DBFE7" w14:textId="77777777" w:rsidR="00A16B9A" w:rsidRPr="00A16B9A" w:rsidRDefault="00A16B9A" w:rsidP="00A16B9A">
      <w:pPr>
        <w:ind w:left="720" w:hanging="720"/>
        <w:rPr>
          <w:color w:val="000000"/>
        </w:rPr>
      </w:pPr>
      <w:r w:rsidRPr="00A16B9A">
        <w:rPr>
          <w:color w:val="000000"/>
        </w:rPr>
        <w:lastRenderedPageBreak/>
        <w:t xml:space="preserve">Duckworth, A. L., Peterson, C., Matthews, M. D., &amp; Kelly, D. R. (2007). Grit: Perseverance and passion for long-term goals. </w:t>
      </w:r>
      <w:r w:rsidRPr="000D4FAF">
        <w:rPr>
          <w:i/>
          <w:color w:val="000000"/>
        </w:rPr>
        <w:t>Journal of Personality and Social Psychology, 92</w:t>
      </w:r>
      <w:r w:rsidRPr="00A16B9A">
        <w:rPr>
          <w:color w:val="000000"/>
        </w:rPr>
        <w:t xml:space="preserve">(6), 1087-1101. </w:t>
      </w:r>
      <w:hyperlink r:id="rId8" w:history="1">
        <w:r w:rsidR="000E7CCD" w:rsidRPr="000E7CCD">
          <w:rPr>
            <w:rStyle w:val="Hyperlink"/>
          </w:rPr>
          <w:t>http://</w:t>
        </w:r>
        <w:r w:rsidRPr="000E7CCD">
          <w:rPr>
            <w:rStyle w:val="Hyperlink"/>
          </w:rPr>
          <w:t>doi.org/10.1037/0022-3514.92.6.1087</w:t>
        </w:r>
      </w:hyperlink>
    </w:p>
    <w:p w14:paraId="69C7E672" w14:textId="77777777" w:rsidR="00A16B9A" w:rsidRDefault="00A16B9A" w:rsidP="006F7FBE">
      <w:pPr>
        <w:ind w:left="720" w:hanging="720"/>
      </w:pPr>
    </w:p>
    <w:p w14:paraId="34E081F9" w14:textId="77777777" w:rsidR="00F76687" w:rsidRPr="00F30D96" w:rsidRDefault="00F76687" w:rsidP="00F76687">
      <w:pPr>
        <w:ind w:left="720" w:hanging="720"/>
        <w:rPr>
          <w:i/>
        </w:rPr>
      </w:pPr>
      <w:r w:rsidRPr="00F30D96">
        <w:t xml:space="preserve">Duckworth, A., &amp; Quinn, P. (2009). Development and validation of the short grit scale (Grit-S). </w:t>
      </w:r>
      <w:r w:rsidRPr="00F30D96">
        <w:rPr>
          <w:i/>
        </w:rPr>
        <w:t>Journal of Personality Assessment, 91</w:t>
      </w:r>
      <w:r w:rsidRPr="00777637">
        <w:t>(2),</w:t>
      </w:r>
      <w:r w:rsidRPr="00F30D96">
        <w:rPr>
          <w:i/>
        </w:rPr>
        <w:t xml:space="preserve"> </w:t>
      </w:r>
      <w:r w:rsidRPr="00F30D96">
        <w:t>166-174.</w:t>
      </w:r>
    </w:p>
    <w:p w14:paraId="23E71024" w14:textId="77777777" w:rsidR="009264E5" w:rsidRDefault="009264E5" w:rsidP="006F7FBE"/>
    <w:p w14:paraId="58C532A5" w14:textId="3B3D9FA1" w:rsidR="000E7CCD" w:rsidRPr="009264E5" w:rsidRDefault="000E7CCD" w:rsidP="00A76D19">
      <w:pPr>
        <w:ind w:left="720" w:hanging="720"/>
      </w:pPr>
      <w:r w:rsidRPr="002D7D98">
        <w:t>Pajares, F. (2009). Toward a positive psychology of academic motivation: The role of self-efficacy beliefs. In R. Gilman, E. S. Huebner, &amp; M. J. Furlong (Eds.), </w:t>
      </w:r>
      <w:r w:rsidRPr="002D7D98">
        <w:rPr>
          <w:i/>
          <w:iCs/>
        </w:rPr>
        <w:t>Handbook of positive psychology in schools</w:t>
      </w:r>
      <w:r w:rsidRPr="002D7D98">
        <w:t> (p. 149–160). Routledge.</w:t>
      </w:r>
    </w:p>
    <w:p w14:paraId="2034B817" w14:textId="77777777" w:rsidR="005276C7" w:rsidRDefault="005276C7" w:rsidP="00A16B9A">
      <w:pPr>
        <w:ind w:left="720" w:hanging="720"/>
      </w:pPr>
    </w:p>
    <w:p w14:paraId="2186FD29" w14:textId="77777777" w:rsidR="00243768" w:rsidRDefault="006F7FBE" w:rsidP="00A16B9A">
      <w:pPr>
        <w:ind w:left="720" w:hanging="720"/>
      </w:pPr>
      <w:r w:rsidRPr="00F30D96">
        <w:t>Gordon, H. (2008). </w:t>
      </w:r>
      <w:r w:rsidRPr="00F30D96">
        <w:rPr>
          <w:i/>
          <w:iCs/>
        </w:rPr>
        <w:t>The history and growth of career and technical education in America</w:t>
      </w:r>
      <w:r w:rsidRPr="00F30D96">
        <w:t> (3rd ed.). Waveland Press.</w:t>
      </w:r>
    </w:p>
    <w:p w14:paraId="52AAC737" w14:textId="77777777" w:rsidR="00AE3B16" w:rsidRDefault="00AE3B16" w:rsidP="00A16B9A">
      <w:pPr>
        <w:ind w:left="720" w:hanging="720"/>
        <w:rPr>
          <w:color w:val="000000" w:themeColor="text1"/>
          <w:shd w:val="clear" w:color="auto" w:fill="FFFFFF"/>
        </w:rPr>
      </w:pPr>
    </w:p>
    <w:p w14:paraId="7CA96118" w14:textId="77777777" w:rsidR="00A16B9A" w:rsidRPr="000E3D03" w:rsidRDefault="00A16B9A" w:rsidP="00A16B9A">
      <w:pPr>
        <w:ind w:left="720" w:hanging="720"/>
        <w:rPr>
          <w:color w:val="000000" w:themeColor="text1"/>
        </w:rPr>
      </w:pPr>
      <w:r w:rsidRPr="000E3D03">
        <w:rPr>
          <w:color w:val="000000" w:themeColor="text1"/>
          <w:shd w:val="clear" w:color="auto" w:fill="FFFFFF"/>
        </w:rPr>
        <w:t xml:space="preserve">Khine, M. S., &amp; </w:t>
      </w:r>
      <w:proofErr w:type="spellStart"/>
      <w:r w:rsidRPr="000E3D03">
        <w:rPr>
          <w:color w:val="000000" w:themeColor="text1"/>
          <w:shd w:val="clear" w:color="auto" w:fill="FFFFFF"/>
        </w:rPr>
        <w:t>Areepattamannil</w:t>
      </w:r>
      <w:proofErr w:type="spellEnd"/>
      <w:r w:rsidRPr="000E3D03">
        <w:rPr>
          <w:color w:val="000000" w:themeColor="text1"/>
          <w:shd w:val="clear" w:color="auto" w:fill="FFFFFF"/>
        </w:rPr>
        <w:t>, S. (Eds.). (2016).</w:t>
      </w:r>
      <w:r w:rsidRPr="000E3D03">
        <w:rPr>
          <w:rStyle w:val="apple-converted-space"/>
          <w:rFonts w:eastAsiaTheme="majorEastAsia"/>
          <w:color w:val="000000" w:themeColor="text1"/>
          <w:shd w:val="clear" w:color="auto" w:fill="FFFFFF"/>
        </w:rPr>
        <w:t> </w:t>
      </w:r>
      <w:r w:rsidR="003E691C">
        <w:rPr>
          <w:i/>
          <w:iCs/>
          <w:color w:val="000000" w:themeColor="text1"/>
        </w:rPr>
        <w:t>Noncognitive</w:t>
      </w:r>
      <w:r w:rsidR="000D4FAF">
        <w:rPr>
          <w:i/>
          <w:iCs/>
          <w:color w:val="000000" w:themeColor="text1"/>
        </w:rPr>
        <w:t xml:space="preserve"> S</w:t>
      </w:r>
      <w:r w:rsidRPr="000E3D03">
        <w:rPr>
          <w:i/>
          <w:iCs/>
          <w:color w:val="000000" w:themeColor="text1"/>
        </w:rPr>
        <w:t xml:space="preserve">kills and </w:t>
      </w:r>
      <w:r w:rsidR="000D4FAF">
        <w:rPr>
          <w:i/>
          <w:iCs/>
          <w:color w:val="000000" w:themeColor="text1"/>
        </w:rPr>
        <w:t>F</w:t>
      </w:r>
      <w:r w:rsidRPr="000E3D03">
        <w:rPr>
          <w:i/>
          <w:iCs/>
          <w:color w:val="000000" w:themeColor="text1"/>
        </w:rPr>
        <w:t xml:space="preserve">actors in </w:t>
      </w:r>
      <w:r w:rsidR="000D4FAF">
        <w:rPr>
          <w:i/>
          <w:iCs/>
          <w:color w:val="000000" w:themeColor="text1"/>
        </w:rPr>
        <w:t>E</w:t>
      </w:r>
      <w:r w:rsidRPr="000E3D03">
        <w:rPr>
          <w:i/>
          <w:iCs/>
          <w:color w:val="000000" w:themeColor="text1"/>
        </w:rPr>
        <w:t xml:space="preserve">ducational </w:t>
      </w:r>
      <w:r w:rsidR="000D4FAF">
        <w:rPr>
          <w:i/>
          <w:iCs/>
          <w:color w:val="000000" w:themeColor="text1"/>
        </w:rPr>
        <w:t>A</w:t>
      </w:r>
      <w:r w:rsidRPr="000E3D03">
        <w:rPr>
          <w:i/>
          <w:iCs/>
          <w:color w:val="000000" w:themeColor="text1"/>
        </w:rPr>
        <w:t>ttainment</w:t>
      </w:r>
      <w:r w:rsidRPr="000E3D03">
        <w:rPr>
          <w:color w:val="000000" w:themeColor="text1"/>
          <w:shd w:val="clear" w:color="auto" w:fill="FFFFFF"/>
        </w:rPr>
        <w:t>. Springer.</w:t>
      </w:r>
    </w:p>
    <w:p w14:paraId="08FEC6F0" w14:textId="77777777" w:rsidR="000E3D03" w:rsidRDefault="000E3D03" w:rsidP="000E7CCD"/>
    <w:p w14:paraId="3122AA59" w14:textId="77777777" w:rsidR="000E7CCD" w:rsidRDefault="000E7CCD" w:rsidP="000E7CCD">
      <w:pPr>
        <w:ind w:left="720" w:hanging="720"/>
      </w:pPr>
      <w:r w:rsidRPr="002D7D98">
        <w:t>MacCann, C., Duckworth, A. L., &amp; Roberts, R. D. (2009). Empirical identification of the major facets of conscientiousness. </w:t>
      </w:r>
      <w:r w:rsidRPr="002D7D98">
        <w:rPr>
          <w:i/>
          <w:iCs/>
        </w:rPr>
        <w:t>Learning and Individual Differences</w:t>
      </w:r>
      <w:r w:rsidRPr="002D7D98">
        <w:t>, </w:t>
      </w:r>
      <w:r w:rsidRPr="002D7D98">
        <w:rPr>
          <w:i/>
          <w:iCs/>
        </w:rPr>
        <w:t>19</w:t>
      </w:r>
      <w:r w:rsidRPr="002D7D98">
        <w:t xml:space="preserve">(4), 451-458. </w:t>
      </w:r>
      <w:hyperlink r:id="rId9" w:history="1">
        <w:r w:rsidRPr="000E7CCD">
          <w:rPr>
            <w:rStyle w:val="Hyperlink"/>
          </w:rPr>
          <w:t>https://doi.org10.1016/j.lindif.2009.03.007</w:t>
        </w:r>
      </w:hyperlink>
    </w:p>
    <w:p w14:paraId="19EDE4E9" w14:textId="77777777" w:rsidR="000E7CCD" w:rsidRDefault="000E7CCD" w:rsidP="000E7CCD">
      <w:pPr>
        <w:ind w:left="720" w:hanging="720"/>
      </w:pPr>
    </w:p>
    <w:p w14:paraId="56738A8C" w14:textId="77777777" w:rsidR="000E7CCD" w:rsidRPr="002D7D98" w:rsidRDefault="000E7CCD" w:rsidP="000E7CCD">
      <w:pPr>
        <w:ind w:left="720" w:hanging="720"/>
      </w:pPr>
      <w:r w:rsidRPr="002D7D98">
        <w:t xml:space="preserve">Petway, K. T., Brenneman, M. W., &amp; Kyllonen, P. C. (2016) Connecting noncognitive development to the educational pipeline. In M. S. Khine &amp; S. </w:t>
      </w:r>
      <w:proofErr w:type="spellStart"/>
      <w:r w:rsidRPr="002D7D98">
        <w:t>Areepattamannil</w:t>
      </w:r>
      <w:proofErr w:type="spellEnd"/>
      <w:r w:rsidRPr="002D7D98">
        <w:t xml:space="preserve"> (Eds.), </w:t>
      </w:r>
      <w:r w:rsidRPr="002D7D98">
        <w:rPr>
          <w:i/>
        </w:rPr>
        <w:t>Noncognitive skills and factors in educational attainment</w:t>
      </w:r>
      <w:r w:rsidRPr="002D7D98">
        <w:t>, 13–29. Sense Publishers</w:t>
      </w:r>
    </w:p>
    <w:p w14:paraId="2996F6C6" w14:textId="77777777" w:rsidR="000E7CCD" w:rsidRDefault="000E7CCD" w:rsidP="00F76687">
      <w:pPr>
        <w:ind w:left="720" w:hanging="720"/>
      </w:pPr>
    </w:p>
    <w:p w14:paraId="1F85E292" w14:textId="77777777" w:rsidR="00F76687" w:rsidRPr="00F30D96" w:rsidRDefault="00F76687" w:rsidP="00F76687">
      <w:pPr>
        <w:ind w:left="720" w:hanging="720"/>
      </w:pPr>
      <w:r w:rsidRPr="00F30D96">
        <w:t>Rotter, J. B. (1966). Generalized expectancies for internal versus external control of reinforcement. </w:t>
      </w:r>
      <w:r w:rsidRPr="00F30D96">
        <w:rPr>
          <w:i/>
          <w:iCs/>
        </w:rPr>
        <w:t>Psychological Monographs: General and Applied, 80</w:t>
      </w:r>
      <w:r w:rsidRPr="00F30D96">
        <w:t>(1), 1</w:t>
      </w:r>
      <w:r>
        <w:t>-</w:t>
      </w:r>
      <w:r w:rsidRPr="00F30D96">
        <w:t>28.</w:t>
      </w:r>
    </w:p>
    <w:p w14:paraId="6E51D04E" w14:textId="77777777" w:rsidR="00CF2EEB" w:rsidRDefault="00CF2EEB" w:rsidP="000E7CCD"/>
    <w:p w14:paraId="53B1354C" w14:textId="77777777" w:rsidR="000E7CCD" w:rsidRPr="002D7D98" w:rsidRDefault="000E7CCD" w:rsidP="000E7CCD">
      <w:pPr>
        <w:ind w:left="720" w:hanging="720"/>
      </w:pPr>
      <w:r w:rsidRPr="002D7D98">
        <w:t xml:space="preserve">Scheier, M. F., &amp; Carver, C. S. (1985). Optimism, coping, and health: Assessment and implications of generalized outcome expectancies. </w:t>
      </w:r>
      <w:r w:rsidRPr="002D7D98">
        <w:rPr>
          <w:i/>
        </w:rPr>
        <w:t>Health Psychology</w:t>
      </w:r>
      <w:r w:rsidRPr="002D7D98">
        <w:t xml:space="preserve">, </w:t>
      </w:r>
      <w:r w:rsidRPr="002D7D98">
        <w:rPr>
          <w:i/>
        </w:rPr>
        <w:t>4</w:t>
      </w:r>
      <w:r w:rsidRPr="002D7D98">
        <w:t xml:space="preserve">, 219-247. </w:t>
      </w:r>
      <w:hyperlink r:id="rId10" w:history="1">
        <w:r w:rsidRPr="000E7CCD">
          <w:rPr>
            <w:rStyle w:val="Hyperlink"/>
          </w:rPr>
          <w:t>https://doi.org/10.1037/0278-6133.4.3.219</w:t>
        </w:r>
      </w:hyperlink>
    </w:p>
    <w:p w14:paraId="50569347" w14:textId="77777777" w:rsidR="000E7CCD" w:rsidRDefault="000E7CCD" w:rsidP="00F76687">
      <w:pPr>
        <w:ind w:left="720" w:hanging="720"/>
        <w:rPr>
          <w:color w:val="000000" w:themeColor="text1"/>
        </w:rPr>
      </w:pPr>
    </w:p>
    <w:p w14:paraId="245CEF80" w14:textId="77777777" w:rsidR="00F76687" w:rsidRPr="00F30D96" w:rsidRDefault="00F76687" w:rsidP="00F76687">
      <w:pPr>
        <w:ind w:left="720" w:hanging="720"/>
        <w:rPr>
          <w:color w:val="000000" w:themeColor="text1"/>
        </w:rPr>
      </w:pPr>
      <w:r w:rsidRPr="00F30D96">
        <w:rPr>
          <w:color w:val="000000" w:themeColor="text1"/>
        </w:rPr>
        <w:t>Scheier, M. F., Carver, C. S., &amp; Bridges, M. W. (1994). Distinguishing optimism from neuroticism (and trait anxiety, self-mastery, and self-esteem): A reevaluation of the Life Orientation Test. </w:t>
      </w:r>
      <w:r w:rsidRPr="00F30D96">
        <w:rPr>
          <w:i/>
          <w:iCs/>
          <w:color w:val="000000" w:themeColor="text1"/>
        </w:rPr>
        <w:t xml:space="preserve">Journal </w:t>
      </w:r>
      <w:r w:rsidR="00782347">
        <w:rPr>
          <w:i/>
          <w:iCs/>
          <w:color w:val="000000" w:themeColor="text1"/>
        </w:rPr>
        <w:t>o</w:t>
      </w:r>
      <w:r w:rsidRPr="00F30D96">
        <w:rPr>
          <w:i/>
          <w:iCs/>
          <w:color w:val="000000" w:themeColor="text1"/>
        </w:rPr>
        <w:t xml:space="preserve">f Personality </w:t>
      </w:r>
      <w:r w:rsidR="00D3682E">
        <w:rPr>
          <w:i/>
          <w:iCs/>
          <w:color w:val="000000" w:themeColor="text1"/>
        </w:rPr>
        <w:t>a</w:t>
      </w:r>
      <w:r w:rsidRPr="00F30D96">
        <w:rPr>
          <w:i/>
          <w:iCs/>
          <w:color w:val="000000" w:themeColor="text1"/>
        </w:rPr>
        <w:t>nd Social Psychology</w:t>
      </w:r>
      <w:r w:rsidRPr="00F30D96">
        <w:rPr>
          <w:color w:val="000000" w:themeColor="text1"/>
        </w:rPr>
        <w:t>, </w:t>
      </w:r>
      <w:r w:rsidRPr="00F30D96">
        <w:rPr>
          <w:i/>
          <w:iCs/>
          <w:color w:val="000000" w:themeColor="text1"/>
        </w:rPr>
        <w:t>67</w:t>
      </w:r>
      <w:r w:rsidRPr="00F30D96">
        <w:rPr>
          <w:color w:val="000000" w:themeColor="text1"/>
        </w:rPr>
        <w:t xml:space="preserve">(6), 1063-1078. </w:t>
      </w:r>
      <w:hyperlink r:id="rId11" w:history="1">
        <w:r w:rsidR="000E7CCD" w:rsidRPr="000E7CCD">
          <w:rPr>
            <w:rStyle w:val="Hyperlink"/>
          </w:rPr>
          <w:t>https://</w:t>
        </w:r>
        <w:r w:rsidRPr="000E7CCD">
          <w:rPr>
            <w:rStyle w:val="Hyperlink"/>
          </w:rPr>
          <w:t>doi</w:t>
        </w:r>
        <w:r w:rsidR="000E7CCD" w:rsidRPr="000E7CCD">
          <w:rPr>
            <w:rStyle w:val="Hyperlink"/>
          </w:rPr>
          <w:t>.org/</w:t>
        </w:r>
        <w:r w:rsidRPr="000E7CCD">
          <w:rPr>
            <w:rStyle w:val="Hyperlink"/>
          </w:rPr>
          <w:t>10.1037/0022-3514.67.6.1063</w:t>
        </w:r>
      </w:hyperlink>
    </w:p>
    <w:p w14:paraId="1C5CB9C6" w14:textId="77777777" w:rsidR="00F76687" w:rsidRDefault="00F76687" w:rsidP="00CF2EEB">
      <w:pPr>
        <w:ind w:left="720" w:hanging="720"/>
      </w:pPr>
    </w:p>
    <w:p w14:paraId="2C4FA438" w14:textId="77777777" w:rsidR="00F76687" w:rsidRPr="00F30D96" w:rsidRDefault="00F76687" w:rsidP="00F76687">
      <w:pPr>
        <w:ind w:left="720" w:hanging="720"/>
      </w:pPr>
      <w:r w:rsidRPr="00F30D96">
        <w:t xml:space="preserve">Schwarzer, R., &amp; Jerusalem, M. (1995). Generalized self-efficacy scale. In J. Weinman, S. Wright, &amp; M. Johnston, </w:t>
      </w:r>
      <w:r w:rsidRPr="00F30D96">
        <w:rPr>
          <w:i/>
          <w:iCs/>
        </w:rPr>
        <w:t xml:space="preserve">Measures in health psychology: A user’s portfolio. Causal and control beliefs, </w:t>
      </w:r>
      <w:r w:rsidRPr="00F30D96">
        <w:t xml:space="preserve">35- 37. NFER-NELSON. </w:t>
      </w:r>
    </w:p>
    <w:p w14:paraId="065BB02B" w14:textId="77777777" w:rsidR="00CF2EEB" w:rsidRDefault="00CF2EEB" w:rsidP="000E7CCD"/>
    <w:p w14:paraId="7965C6D6" w14:textId="1DB038F2" w:rsidR="00B36F7E" w:rsidRPr="009D07B4" w:rsidRDefault="00B36F7E" w:rsidP="00CF2EEB">
      <w:pPr>
        <w:ind w:left="720" w:hanging="720"/>
      </w:pPr>
      <w:r>
        <w:t xml:space="preserve">Smith, K. L., &amp; Thapa, B. (2022). </w:t>
      </w:r>
      <w:r w:rsidR="00505FAC">
        <w:t>E</w:t>
      </w:r>
      <w:r w:rsidR="00505FAC" w:rsidRPr="00B36F7E">
        <w:t>xamining differences in noncognitive skills for state-level career development and leadership development event participants</w:t>
      </w:r>
      <w:r w:rsidR="00EF3DF5">
        <w:t xml:space="preserve">. </w:t>
      </w:r>
      <w:r w:rsidR="00EF3DF5">
        <w:rPr>
          <w:i/>
          <w:iCs/>
        </w:rPr>
        <w:t xml:space="preserve">Journal of Agricultural Education </w:t>
      </w:r>
      <w:r w:rsidR="009D07B4">
        <w:rPr>
          <w:i/>
          <w:iCs/>
        </w:rPr>
        <w:t>63</w:t>
      </w:r>
      <w:r w:rsidR="009D07B4">
        <w:t xml:space="preserve">(2). </w:t>
      </w:r>
      <w:hyperlink r:id="rId12" w:history="1">
        <w:r w:rsidR="00EA2B25" w:rsidRPr="00EA2B25">
          <w:rPr>
            <w:rStyle w:val="Hyperlink"/>
          </w:rPr>
          <w:t>https://doi.org/10.5032/jae.2022.02251</w:t>
        </w:r>
      </w:hyperlink>
    </w:p>
    <w:p w14:paraId="6F91F94C" w14:textId="77777777" w:rsidR="00B36F7E" w:rsidRDefault="00B36F7E" w:rsidP="00CF2EEB">
      <w:pPr>
        <w:ind w:left="720" w:hanging="720"/>
      </w:pPr>
    </w:p>
    <w:p w14:paraId="06822177" w14:textId="168EA53D" w:rsidR="00FE2656" w:rsidRDefault="00FE2656" w:rsidP="00CF2EEB">
      <w:pPr>
        <w:ind w:left="720" w:hanging="720"/>
      </w:pPr>
      <w:r w:rsidRPr="00FE2656">
        <w:lastRenderedPageBreak/>
        <w:t>Stone III, J. R. (2014). More than One Way: The Case for High-Quality CTE. </w:t>
      </w:r>
      <w:r w:rsidRPr="00FE2656">
        <w:rPr>
          <w:i/>
          <w:iCs/>
        </w:rPr>
        <w:t>American Educator</w:t>
      </w:r>
      <w:r w:rsidRPr="00FE2656">
        <w:t>, </w:t>
      </w:r>
      <w:r w:rsidRPr="00FE2656">
        <w:rPr>
          <w:i/>
          <w:iCs/>
        </w:rPr>
        <w:t>38</w:t>
      </w:r>
      <w:r w:rsidRPr="00FE2656">
        <w:t>(3), 4.</w:t>
      </w:r>
    </w:p>
    <w:p w14:paraId="494A7C6A" w14:textId="77777777" w:rsidR="00E94EA1" w:rsidRDefault="00E94EA1" w:rsidP="000E7CCD">
      <w:pPr>
        <w:rPr>
          <w:color w:val="000000"/>
        </w:rPr>
      </w:pPr>
    </w:p>
    <w:p w14:paraId="38631CBA" w14:textId="462A7282" w:rsidR="00A76D19" w:rsidRDefault="00A76D19" w:rsidP="00A16B9A">
      <w:pPr>
        <w:ind w:left="720" w:hanging="720"/>
        <w:rPr>
          <w:color w:val="000000"/>
        </w:rPr>
      </w:pPr>
      <w:r w:rsidRPr="00A76D19">
        <w:rPr>
          <w:color w:val="000000"/>
        </w:rPr>
        <w:t>Wu, M., Xu, W., Yao, Y., Zhang, L., Guo, L., Fan, J., &amp; Chen, J. (2020). Mental health status of students’ parents during COVID-19 pandemic and its influence factors. </w:t>
      </w:r>
      <w:r w:rsidRPr="00A76D19">
        <w:rPr>
          <w:i/>
          <w:iCs/>
          <w:color w:val="000000"/>
        </w:rPr>
        <w:t>General Psychiatry</w:t>
      </w:r>
      <w:r w:rsidRPr="00A76D19">
        <w:rPr>
          <w:color w:val="000000"/>
        </w:rPr>
        <w:t>, </w:t>
      </w:r>
      <w:r w:rsidRPr="00A76D19">
        <w:rPr>
          <w:i/>
          <w:iCs/>
          <w:color w:val="000000"/>
        </w:rPr>
        <w:t>33</w:t>
      </w:r>
      <w:r w:rsidRPr="00A76D19">
        <w:rPr>
          <w:color w:val="000000"/>
        </w:rPr>
        <w:t>(4).</w:t>
      </w:r>
    </w:p>
    <w:p w14:paraId="6577AD3B" w14:textId="77777777" w:rsidR="00A76D19" w:rsidRDefault="00A76D19" w:rsidP="00A16B9A">
      <w:pPr>
        <w:ind w:left="720" w:hanging="720"/>
        <w:rPr>
          <w:color w:val="000000"/>
        </w:rPr>
      </w:pPr>
    </w:p>
    <w:p w14:paraId="687BF5C3" w14:textId="1630A982" w:rsidR="003D215E" w:rsidRDefault="003D215E" w:rsidP="00A16B9A">
      <w:pPr>
        <w:ind w:left="720" w:hanging="720"/>
        <w:rPr>
          <w:color w:val="000000"/>
        </w:rPr>
      </w:pPr>
      <w:r w:rsidRPr="003D215E">
        <w:rPr>
          <w:color w:val="000000"/>
        </w:rPr>
        <w:t xml:space="preserve">Yeager, D. S., Hanselman, P., Walton, G. M., Murray, J. S., Crosnoe, R., Muller, C., ... &amp; Dweck, C. S. (2019). A national experiment reveals where a growth mindset improves achievement. </w:t>
      </w:r>
      <w:r w:rsidRPr="003D215E">
        <w:rPr>
          <w:i/>
          <w:iCs/>
          <w:color w:val="000000"/>
        </w:rPr>
        <w:t>Nature</w:t>
      </w:r>
      <w:r w:rsidRPr="003D215E">
        <w:rPr>
          <w:color w:val="000000"/>
        </w:rPr>
        <w:t xml:space="preserve">, </w:t>
      </w:r>
      <w:r w:rsidRPr="003D215E">
        <w:rPr>
          <w:i/>
          <w:iCs/>
          <w:color w:val="000000"/>
        </w:rPr>
        <w:t>573</w:t>
      </w:r>
      <w:r w:rsidRPr="003D215E">
        <w:rPr>
          <w:color w:val="000000"/>
        </w:rPr>
        <w:t>(7774), 364-369.</w:t>
      </w:r>
    </w:p>
    <w:p w14:paraId="63E38FBB" w14:textId="77777777" w:rsidR="003D215E" w:rsidRDefault="003D215E" w:rsidP="00A16B9A">
      <w:pPr>
        <w:ind w:left="720" w:hanging="720"/>
        <w:rPr>
          <w:color w:val="000000"/>
        </w:rPr>
      </w:pPr>
    </w:p>
    <w:p w14:paraId="4993D276" w14:textId="6A30AD79" w:rsidR="00A16B9A" w:rsidRPr="00F30D96" w:rsidRDefault="00A16B9A" w:rsidP="00A16B9A">
      <w:pPr>
        <w:ind w:left="720" w:hanging="720"/>
        <w:rPr>
          <w:color w:val="000000"/>
        </w:rPr>
      </w:pPr>
      <w:r w:rsidRPr="00A16B9A">
        <w:rPr>
          <w:color w:val="000000"/>
        </w:rPr>
        <w:t xml:space="preserve">Zimmerman, B. J. (2000). Self-efficacy: An essential motive to learn. </w:t>
      </w:r>
      <w:r w:rsidRPr="000D4FAF">
        <w:rPr>
          <w:i/>
          <w:color w:val="000000"/>
        </w:rPr>
        <w:t>Contemporary Educational Psychology, 25</w:t>
      </w:r>
      <w:r w:rsidRPr="00A16B9A">
        <w:rPr>
          <w:color w:val="000000"/>
        </w:rPr>
        <w:t xml:space="preserve">(1), 82-91. </w:t>
      </w:r>
      <w:hyperlink r:id="rId13" w:history="1">
        <w:r w:rsidR="000E7CCD" w:rsidRPr="000E7CCD">
          <w:rPr>
            <w:rStyle w:val="Hyperlink"/>
          </w:rPr>
          <w:t>https//</w:t>
        </w:r>
        <w:r w:rsidRPr="000E7CCD">
          <w:rPr>
            <w:rStyle w:val="Hyperlink"/>
          </w:rPr>
          <w:t>doi</w:t>
        </w:r>
        <w:r w:rsidR="000E7CCD" w:rsidRPr="000E7CCD">
          <w:rPr>
            <w:rStyle w:val="Hyperlink"/>
          </w:rPr>
          <w:t>.org/</w:t>
        </w:r>
        <w:r w:rsidRPr="000E7CCD">
          <w:rPr>
            <w:rStyle w:val="Hyperlink"/>
          </w:rPr>
          <w:t>10.1006/ceps.1999.1016</w:t>
        </w:r>
      </w:hyperlink>
    </w:p>
    <w:p w14:paraId="46FDDE8B" w14:textId="77777777" w:rsidR="00A16B9A" w:rsidRDefault="00A16B9A" w:rsidP="00A16B9A">
      <w:pPr>
        <w:ind w:left="720" w:hanging="720"/>
      </w:pPr>
    </w:p>
    <w:p w14:paraId="144F66FF" w14:textId="77777777" w:rsidR="00A16B9A" w:rsidRPr="000E7CCD" w:rsidRDefault="00A16B9A" w:rsidP="000E7CCD">
      <w:pPr>
        <w:ind w:left="720" w:hanging="720"/>
        <w:rPr>
          <w:iCs/>
        </w:rPr>
      </w:pPr>
      <w:r w:rsidRPr="00F30D96">
        <w:t xml:space="preserve">Zirkle, C., &amp; Connors, J. (2003). The contribution of career and technical student organizations (CTSO) to the development and assessment of workplace skills and knowledge: A literature review. </w:t>
      </w:r>
      <w:r w:rsidRPr="00552B9F">
        <w:rPr>
          <w:i/>
        </w:rPr>
        <w:t>In</w:t>
      </w:r>
      <w:r w:rsidRPr="00F30D96">
        <w:t> </w:t>
      </w:r>
      <w:r w:rsidRPr="00F30D96">
        <w:rPr>
          <w:i/>
          <w:iCs/>
        </w:rPr>
        <w:t>Workforce Education Forum</w:t>
      </w:r>
      <w:r>
        <w:rPr>
          <w:i/>
          <w:iCs/>
        </w:rPr>
        <w:t>, 30</w:t>
      </w:r>
      <w:r w:rsidRPr="00C44429">
        <w:rPr>
          <w:iCs/>
        </w:rPr>
        <w:t>(2),</w:t>
      </w:r>
      <w:r>
        <w:rPr>
          <w:i/>
          <w:iCs/>
        </w:rPr>
        <w:t xml:space="preserve"> </w:t>
      </w:r>
      <w:r>
        <w:rPr>
          <w:iCs/>
        </w:rPr>
        <w:t>15-26.</w:t>
      </w:r>
    </w:p>
    <w:sectPr w:rsidR="00A16B9A" w:rsidRPr="000E7CCD" w:rsidSect="00E02A96">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D1972" w14:textId="77777777" w:rsidR="00C457F6" w:rsidRDefault="00C457F6" w:rsidP="00072107">
      <w:r>
        <w:separator/>
      </w:r>
    </w:p>
  </w:endnote>
  <w:endnote w:type="continuationSeparator" w:id="0">
    <w:p w14:paraId="590807A1" w14:textId="77777777" w:rsidR="00C457F6" w:rsidRDefault="00C457F6" w:rsidP="00072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234332"/>
      <w:docPartObj>
        <w:docPartGallery w:val="Page Numbers (Bottom of Page)"/>
        <w:docPartUnique/>
      </w:docPartObj>
    </w:sdtPr>
    <w:sdtEndPr>
      <w:rPr>
        <w:rStyle w:val="PageNumber"/>
      </w:rPr>
    </w:sdtEndPr>
    <w:sdtContent>
      <w:p w14:paraId="78C3249B" w14:textId="77777777" w:rsidR="00894BE7" w:rsidRDefault="00894BE7" w:rsidP="0005740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6040F2" w14:textId="77777777" w:rsidR="00894BE7" w:rsidRDefault="00894B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256512"/>
      <w:docPartObj>
        <w:docPartGallery w:val="Page Numbers (Bottom of Page)"/>
        <w:docPartUnique/>
      </w:docPartObj>
    </w:sdtPr>
    <w:sdtEndPr>
      <w:rPr>
        <w:noProof/>
      </w:rPr>
    </w:sdtEndPr>
    <w:sdtContent>
      <w:p w14:paraId="23BD3D45" w14:textId="67F076EB" w:rsidR="00690CFD" w:rsidRDefault="00690C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F91B1D" w14:textId="77777777" w:rsidR="00894BE7" w:rsidRDefault="00894B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B8B49" w14:textId="77777777" w:rsidR="00894BE7" w:rsidRDefault="00894B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09338" w14:textId="77777777" w:rsidR="00C457F6" w:rsidRDefault="00C457F6" w:rsidP="00072107">
      <w:r>
        <w:separator/>
      </w:r>
    </w:p>
  </w:footnote>
  <w:footnote w:type="continuationSeparator" w:id="0">
    <w:p w14:paraId="7D239C06" w14:textId="77777777" w:rsidR="00C457F6" w:rsidRDefault="00C457F6" w:rsidP="000721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2B13C" w14:textId="77777777" w:rsidR="00894BE7" w:rsidRDefault="00894B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2A9DB" w14:textId="77777777" w:rsidR="00894BE7" w:rsidRDefault="00894B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78929" w14:textId="77777777" w:rsidR="00894BE7" w:rsidRDefault="00894B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380367"/>
    <w:multiLevelType w:val="multilevel"/>
    <w:tmpl w:val="6C98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496817"/>
    <w:multiLevelType w:val="hybridMultilevel"/>
    <w:tmpl w:val="5C348EDE"/>
    <w:lvl w:ilvl="0" w:tplc="04090011">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59394584">
    <w:abstractNumId w:val="0"/>
  </w:num>
  <w:num w:numId="2" w16cid:durableId="1727299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E18"/>
    <w:rsid w:val="00013365"/>
    <w:rsid w:val="00022833"/>
    <w:rsid w:val="00031DFA"/>
    <w:rsid w:val="0005740E"/>
    <w:rsid w:val="0006583E"/>
    <w:rsid w:val="00072107"/>
    <w:rsid w:val="00096428"/>
    <w:rsid w:val="000A7745"/>
    <w:rsid w:val="000C019C"/>
    <w:rsid w:val="000C03DD"/>
    <w:rsid w:val="000C2AE0"/>
    <w:rsid w:val="000D4FAF"/>
    <w:rsid w:val="000E0C9D"/>
    <w:rsid w:val="000E3D03"/>
    <w:rsid w:val="000E7CCD"/>
    <w:rsid w:val="0010481C"/>
    <w:rsid w:val="0011476E"/>
    <w:rsid w:val="00156ED5"/>
    <w:rsid w:val="00191608"/>
    <w:rsid w:val="00197434"/>
    <w:rsid w:val="001976E0"/>
    <w:rsid w:val="0020010F"/>
    <w:rsid w:val="00212BCE"/>
    <w:rsid w:val="00215F46"/>
    <w:rsid w:val="00243768"/>
    <w:rsid w:val="00251F95"/>
    <w:rsid w:val="00262505"/>
    <w:rsid w:val="002741D5"/>
    <w:rsid w:val="002864E6"/>
    <w:rsid w:val="002A73CE"/>
    <w:rsid w:val="002C342D"/>
    <w:rsid w:val="002F75BA"/>
    <w:rsid w:val="00301D68"/>
    <w:rsid w:val="00327B98"/>
    <w:rsid w:val="00331F6D"/>
    <w:rsid w:val="0033754D"/>
    <w:rsid w:val="00342894"/>
    <w:rsid w:val="00345A09"/>
    <w:rsid w:val="00345E6C"/>
    <w:rsid w:val="003552AE"/>
    <w:rsid w:val="00377D5C"/>
    <w:rsid w:val="00382DD0"/>
    <w:rsid w:val="003B1D50"/>
    <w:rsid w:val="003C75B9"/>
    <w:rsid w:val="003D215E"/>
    <w:rsid w:val="003E691C"/>
    <w:rsid w:val="00404563"/>
    <w:rsid w:val="00422739"/>
    <w:rsid w:val="00435C1B"/>
    <w:rsid w:val="0044177E"/>
    <w:rsid w:val="00447B5B"/>
    <w:rsid w:val="00455377"/>
    <w:rsid w:val="0046125B"/>
    <w:rsid w:val="004B560B"/>
    <w:rsid w:val="004D2D24"/>
    <w:rsid w:val="004E5BFC"/>
    <w:rsid w:val="00505FAC"/>
    <w:rsid w:val="00514ABB"/>
    <w:rsid w:val="005219BE"/>
    <w:rsid w:val="005276C7"/>
    <w:rsid w:val="00533C64"/>
    <w:rsid w:val="0053475D"/>
    <w:rsid w:val="00557B83"/>
    <w:rsid w:val="00561A28"/>
    <w:rsid w:val="00562CED"/>
    <w:rsid w:val="0056737E"/>
    <w:rsid w:val="005923B4"/>
    <w:rsid w:val="005E2B08"/>
    <w:rsid w:val="005F34D7"/>
    <w:rsid w:val="00624EA9"/>
    <w:rsid w:val="00645351"/>
    <w:rsid w:val="0065341B"/>
    <w:rsid w:val="0065794F"/>
    <w:rsid w:val="0067549F"/>
    <w:rsid w:val="0068633E"/>
    <w:rsid w:val="00690CFD"/>
    <w:rsid w:val="006B43AA"/>
    <w:rsid w:val="006B7014"/>
    <w:rsid w:val="006F7FBE"/>
    <w:rsid w:val="00711793"/>
    <w:rsid w:val="00717CA6"/>
    <w:rsid w:val="00730775"/>
    <w:rsid w:val="00732CF1"/>
    <w:rsid w:val="00751F0D"/>
    <w:rsid w:val="0076622D"/>
    <w:rsid w:val="007722A6"/>
    <w:rsid w:val="00782347"/>
    <w:rsid w:val="0079199F"/>
    <w:rsid w:val="007939CB"/>
    <w:rsid w:val="007A2C4B"/>
    <w:rsid w:val="007A5DA0"/>
    <w:rsid w:val="007A5F2B"/>
    <w:rsid w:val="007A72FB"/>
    <w:rsid w:val="007C0788"/>
    <w:rsid w:val="007D773F"/>
    <w:rsid w:val="007E0F04"/>
    <w:rsid w:val="007F5063"/>
    <w:rsid w:val="00801895"/>
    <w:rsid w:val="00813FC8"/>
    <w:rsid w:val="008415B3"/>
    <w:rsid w:val="0084469D"/>
    <w:rsid w:val="00885E1D"/>
    <w:rsid w:val="008871B6"/>
    <w:rsid w:val="00894BE7"/>
    <w:rsid w:val="008B4345"/>
    <w:rsid w:val="008C3CBB"/>
    <w:rsid w:val="008C6D1E"/>
    <w:rsid w:val="008E0BED"/>
    <w:rsid w:val="00904D69"/>
    <w:rsid w:val="009061F7"/>
    <w:rsid w:val="00911937"/>
    <w:rsid w:val="009145FA"/>
    <w:rsid w:val="009220FC"/>
    <w:rsid w:val="00925B18"/>
    <w:rsid w:val="009264E5"/>
    <w:rsid w:val="009264E8"/>
    <w:rsid w:val="00927D54"/>
    <w:rsid w:val="00961463"/>
    <w:rsid w:val="00966DBD"/>
    <w:rsid w:val="009745C1"/>
    <w:rsid w:val="00976055"/>
    <w:rsid w:val="009924AD"/>
    <w:rsid w:val="00997D97"/>
    <w:rsid w:val="009A586B"/>
    <w:rsid w:val="009C04F8"/>
    <w:rsid w:val="009D07B4"/>
    <w:rsid w:val="009F1833"/>
    <w:rsid w:val="00A16B9A"/>
    <w:rsid w:val="00A40E18"/>
    <w:rsid w:val="00A53866"/>
    <w:rsid w:val="00A6321B"/>
    <w:rsid w:val="00A76D19"/>
    <w:rsid w:val="00A8145A"/>
    <w:rsid w:val="00A8578C"/>
    <w:rsid w:val="00A96446"/>
    <w:rsid w:val="00AA066B"/>
    <w:rsid w:val="00AA601C"/>
    <w:rsid w:val="00AB267E"/>
    <w:rsid w:val="00AB35C0"/>
    <w:rsid w:val="00AC663D"/>
    <w:rsid w:val="00AD5503"/>
    <w:rsid w:val="00AD62E5"/>
    <w:rsid w:val="00AE3B16"/>
    <w:rsid w:val="00B2474F"/>
    <w:rsid w:val="00B302FC"/>
    <w:rsid w:val="00B36F7E"/>
    <w:rsid w:val="00B4539B"/>
    <w:rsid w:val="00B64B51"/>
    <w:rsid w:val="00B66BF1"/>
    <w:rsid w:val="00BA4E62"/>
    <w:rsid w:val="00BA690B"/>
    <w:rsid w:val="00BB1482"/>
    <w:rsid w:val="00BE0094"/>
    <w:rsid w:val="00BE37E7"/>
    <w:rsid w:val="00BE49A9"/>
    <w:rsid w:val="00BE6D38"/>
    <w:rsid w:val="00C249CE"/>
    <w:rsid w:val="00C333F4"/>
    <w:rsid w:val="00C41DAA"/>
    <w:rsid w:val="00C457F6"/>
    <w:rsid w:val="00C4622D"/>
    <w:rsid w:val="00C5386B"/>
    <w:rsid w:val="00C700ED"/>
    <w:rsid w:val="00C7033D"/>
    <w:rsid w:val="00C771FC"/>
    <w:rsid w:val="00C90F0C"/>
    <w:rsid w:val="00C96B09"/>
    <w:rsid w:val="00CA01DC"/>
    <w:rsid w:val="00CA1231"/>
    <w:rsid w:val="00CB0F9A"/>
    <w:rsid w:val="00CD0862"/>
    <w:rsid w:val="00CD0E22"/>
    <w:rsid w:val="00CD7230"/>
    <w:rsid w:val="00CE3E55"/>
    <w:rsid w:val="00CE7AA0"/>
    <w:rsid w:val="00CF2EEB"/>
    <w:rsid w:val="00CF30FA"/>
    <w:rsid w:val="00D13F88"/>
    <w:rsid w:val="00D1460C"/>
    <w:rsid w:val="00D3682E"/>
    <w:rsid w:val="00D56755"/>
    <w:rsid w:val="00D572B2"/>
    <w:rsid w:val="00D57474"/>
    <w:rsid w:val="00D575F7"/>
    <w:rsid w:val="00D72754"/>
    <w:rsid w:val="00D81F0E"/>
    <w:rsid w:val="00D83096"/>
    <w:rsid w:val="00D942C9"/>
    <w:rsid w:val="00DD0598"/>
    <w:rsid w:val="00DE1D25"/>
    <w:rsid w:val="00DE451A"/>
    <w:rsid w:val="00DF192B"/>
    <w:rsid w:val="00E02A96"/>
    <w:rsid w:val="00E131A1"/>
    <w:rsid w:val="00E15F57"/>
    <w:rsid w:val="00E25B5C"/>
    <w:rsid w:val="00E30EC2"/>
    <w:rsid w:val="00E32F10"/>
    <w:rsid w:val="00E57337"/>
    <w:rsid w:val="00E64ADB"/>
    <w:rsid w:val="00E76F83"/>
    <w:rsid w:val="00E81D22"/>
    <w:rsid w:val="00E94EA1"/>
    <w:rsid w:val="00EA2B25"/>
    <w:rsid w:val="00EB7A49"/>
    <w:rsid w:val="00EC1535"/>
    <w:rsid w:val="00EC7217"/>
    <w:rsid w:val="00ED3E09"/>
    <w:rsid w:val="00ED7BFC"/>
    <w:rsid w:val="00EF3DF5"/>
    <w:rsid w:val="00F0136D"/>
    <w:rsid w:val="00F118A2"/>
    <w:rsid w:val="00F1229D"/>
    <w:rsid w:val="00F206A2"/>
    <w:rsid w:val="00F33BAA"/>
    <w:rsid w:val="00F34DB2"/>
    <w:rsid w:val="00F52DD2"/>
    <w:rsid w:val="00F76687"/>
    <w:rsid w:val="00F7742E"/>
    <w:rsid w:val="00F84BD0"/>
    <w:rsid w:val="00F94CE9"/>
    <w:rsid w:val="00FB712F"/>
    <w:rsid w:val="00FC239C"/>
    <w:rsid w:val="00FC5973"/>
    <w:rsid w:val="00FE18DF"/>
    <w:rsid w:val="00FE2171"/>
    <w:rsid w:val="00FE2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2755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B9A"/>
    <w:rPr>
      <w:rFonts w:ascii="Times New Roman" w:eastAsia="Times New Roman" w:hAnsi="Times New Roman" w:cs="Times New Roman"/>
    </w:rPr>
  </w:style>
  <w:style w:type="paragraph" w:styleId="Heading2">
    <w:name w:val="heading 2"/>
    <w:basedOn w:val="Normal"/>
    <w:next w:val="Normal"/>
    <w:link w:val="Heading2Char"/>
    <w:uiPriority w:val="9"/>
    <w:unhideWhenUsed/>
    <w:qFormat/>
    <w:rsid w:val="009264E8"/>
    <w:pPr>
      <w:keepNext/>
      <w:keepLines/>
      <w:spacing w:before="40" w:line="480" w:lineRule="auto"/>
      <w:jc w:val="center"/>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3768"/>
    <w:pPr>
      <w:spacing w:before="100" w:beforeAutospacing="1" w:after="100" w:afterAutospacing="1"/>
    </w:pPr>
  </w:style>
  <w:style w:type="character" w:customStyle="1" w:styleId="Heading2Char">
    <w:name w:val="Heading 2 Char"/>
    <w:basedOn w:val="DefaultParagraphFont"/>
    <w:link w:val="Heading2"/>
    <w:uiPriority w:val="9"/>
    <w:rsid w:val="009264E8"/>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732CF1"/>
    <w:pPr>
      <w:ind w:left="720"/>
      <w:contextualSpacing/>
    </w:pPr>
    <w:rPr>
      <w:rFonts w:eastAsiaTheme="minorEastAsia"/>
    </w:rPr>
  </w:style>
  <w:style w:type="paragraph" w:styleId="Footer">
    <w:name w:val="footer"/>
    <w:basedOn w:val="Normal"/>
    <w:link w:val="FooterChar"/>
    <w:uiPriority w:val="99"/>
    <w:unhideWhenUsed/>
    <w:rsid w:val="00072107"/>
    <w:pPr>
      <w:tabs>
        <w:tab w:val="center" w:pos="4680"/>
        <w:tab w:val="right" w:pos="9360"/>
      </w:tabs>
    </w:pPr>
  </w:style>
  <w:style w:type="character" w:customStyle="1" w:styleId="FooterChar">
    <w:name w:val="Footer Char"/>
    <w:basedOn w:val="DefaultParagraphFont"/>
    <w:link w:val="Footer"/>
    <w:uiPriority w:val="99"/>
    <w:rsid w:val="00072107"/>
    <w:rPr>
      <w:rFonts w:ascii="Times New Roman" w:hAnsi="Times New Roman"/>
    </w:rPr>
  </w:style>
  <w:style w:type="character" w:styleId="PageNumber">
    <w:name w:val="page number"/>
    <w:basedOn w:val="DefaultParagraphFont"/>
    <w:uiPriority w:val="99"/>
    <w:semiHidden/>
    <w:unhideWhenUsed/>
    <w:rsid w:val="00072107"/>
  </w:style>
  <w:style w:type="table" w:styleId="TableGrid">
    <w:name w:val="Table Grid"/>
    <w:basedOn w:val="TableNormal"/>
    <w:uiPriority w:val="39"/>
    <w:rsid w:val="006B701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Spacing"/>
    <w:next w:val="NoSpacing"/>
    <w:uiPriority w:val="35"/>
    <w:unhideWhenUsed/>
    <w:qFormat/>
    <w:rsid w:val="006B7014"/>
    <w:rPr>
      <w:rFonts w:eastAsiaTheme="minorEastAsia"/>
      <w:iCs/>
      <w:color w:val="000000" w:themeColor="text1"/>
      <w:szCs w:val="18"/>
    </w:rPr>
  </w:style>
  <w:style w:type="paragraph" w:styleId="NoSpacing">
    <w:name w:val="No Spacing"/>
    <w:uiPriority w:val="1"/>
    <w:qFormat/>
    <w:rsid w:val="006B7014"/>
    <w:rPr>
      <w:rFonts w:ascii="Times New Roman" w:hAnsi="Times New Roman"/>
    </w:rPr>
  </w:style>
  <w:style w:type="paragraph" w:styleId="BalloonText">
    <w:name w:val="Balloon Text"/>
    <w:basedOn w:val="Normal"/>
    <w:link w:val="BalloonTextChar"/>
    <w:uiPriority w:val="99"/>
    <w:semiHidden/>
    <w:unhideWhenUsed/>
    <w:rsid w:val="00C5386B"/>
    <w:rPr>
      <w:sz w:val="18"/>
      <w:szCs w:val="18"/>
    </w:rPr>
  </w:style>
  <w:style w:type="character" w:customStyle="1" w:styleId="BalloonTextChar">
    <w:name w:val="Balloon Text Char"/>
    <w:basedOn w:val="DefaultParagraphFont"/>
    <w:link w:val="BalloonText"/>
    <w:uiPriority w:val="99"/>
    <w:semiHidden/>
    <w:rsid w:val="00C5386B"/>
    <w:rPr>
      <w:rFonts w:ascii="Times New Roman" w:hAnsi="Times New Roman" w:cs="Times New Roman"/>
      <w:sz w:val="18"/>
      <w:szCs w:val="18"/>
    </w:rPr>
  </w:style>
  <w:style w:type="character" w:customStyle="1" w:styleId="apple-converted-space">
    <w:name w:val="apple-converted-space"/>
    <w:basedOn w:val="DefaultParagraphFont"/>
    <w:rsid w:val="00A16B9A"/>
  </w:style>
  <w:style w:type="character" w:styleId="Hyperlink">
    <w:name w:val="Hyperlink"/>
    <w:basedOn w:val="DefaultParagraphFont"/>
    <w:uiPriority w:val="99"/>
    <w:unhideWhenUsed/>
    <w:rsid w:val="000E3D03"/>
    <w:rPr>
      <w:color w:val="0563C1" w:themeColor="hyperlink"/>
      <w:u w:val="single"/>
    </w:rPr>
  </w:style>
  <w:style w:type="character" w:customStyle="1" w:styleId="UnresolvedMention1">
    <w:name w:val="Unresolved Mention1"/>
    <w:basedOn w:val="DefaultParagraphFont"/>
    <w:uiPriority w:val="99"/>
    <w:semiHidden/>
    <w:unhideWhenUsed/>
    <w:rsid w:val="00CF2EEB"/>
    <w:rPr>
      <w:color w:val="605E5C"/>
      <w:shd w:val="clear" w:color="auto" w:fill="E1DFDD"/>
    </w:rPr>
  </w:style>
  <w:style w:type="paragraph" w:styleId="Header">
    <w:name w:val="header"/>
    <w:basedOn w:val="Normal"/>
    <w:link w:val="HeaderChar"/>
    <w:uiPriority w:val="99"/>
    <w:unhideWhenUsed/>
    <w:rsid w:val="000D4FAF"/>
    <w:pPr>
      <w:tabs>
        <w:tab w:val="center" w:pos="4680"/>
        <w:tab w:val="right" w:pos="9360"/>
      </w:tabs>
    </w:pPr>
  </w:style>
  <w:style w:type="character" w:customStyle="1" w:styleId="HeaderChar">
    <w:name w:val="Header Char"/>
    <w:basedOn w:val="DefaultParagraphFont"/>
    <w:link w:val="Header"/>
    <w:uiPriority w:val="99"/>
    <w:rsid w:val="000D4FAF"/>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CE3E55"/>
    <w:rPr>
      <w:sz w:val="16"/>
      <w:szCs w:val="16"/>
    </w:rPr>
  </w:style>
  <w:style w:type="paragraph" w:styleId="CommentText">
    <w:name w:val="annotation text"/>
    <w:basedOn w:val="Normal"/>
    <w:link w:val="CommentTextChar"/>
    <w:uiPriority w:val="99"/>
    <w:semiHidden/>
    <w:unhideWhenUsed/>
    <w:rsid w:val="00CE3E55"/>
    <w:rPr>
      <w:rFonts w:eastAsiaTheme="minorEastAsia" w:cstheme="minorBidi"/>
      <w:sz w:val="20"/>
      <w:szCs w:val="20"/>
    </w:rPr>
  </w:style>
  <w:style w:type="character" w:customStyle="1" w:styleId="CommentTextChar">
    <w:name w:val="Comment Text Char"/>
    <w:basedOn w:val="DefaultParagraphFont"/>
    <w:link w:val="CommentText"/>
    <w:uiPriority w:val="99"/>
    <w:semiHidden/>
    <w:rsid w:val="00CE3E55"/>
    <w:rPr>
      <w:rFonts w:ascii="Times New Roman" w:eastAsiaTheme="minorEastAsia" w:hAnsi="Times New Roman"/>
      <w:sz w:val="20"/>
      <w:szCs w:val="20"/>
    </w:rPr>
  </w:style>
  <w:style w:type="character" w:styleId="UnresolvedMention">
    <w:name w:val="Unresolved Mention"/>
    <w:basedOn w:val="DefaultParagraphFont"/>
    <w:uiPriority w:val="99"/>
    <w:semiHidden/>
    <w:unhideWhenUsed/>
    <w:rsid w:val="000E7C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050417">
      <w:bodyDiv w:val="1"/>
      <w:marLeft w:val="0"/>
      <w:marRight w:val="0"/>
      <w:marTop w:val="0"/>
      <w:marBottom w:val="0"/>
      <w:divBdr>
        <w:top w:val="none" w:sz="0" w:space="0" w:color="auto"/>
        <w:left w:val="none" w:sz="0" w:space="0" w:color="auto"/>
        <w:bottom w:val="none" w:sz="0" w:space="0" w:color="auto"/>
        <w:right w:val="none" w:sz="0" w:space="0" w:color="auto"/>
      </w:divBdr>
    </w:div>
    <w:div w:id="562836675">
      <w:bodyDiv w:val="1"/>
      <w:marLeft w:val="0"/>
      <w:marRight w:val="0"/>
      <w:marTop w:val="0"/>
      <w:marBottom w:val="0"/>
      <w:divBdr>
        <w:top w:val="none" w:sz="0" w:space="0" w:color="auto"/>
        <w:left w:val="none" w:sz="0" w:space="0" w:color="auto"/>
        <w:bottom w:val="none" w:sz="0" w:space="0" w:color="auto"/>
        <w:right w:val="none" w:sz="0" w:space="0" w:color="auto"/>
      </w:divBdr>
    </w:div>
    <w:div w:id="785193583">
      <w:bodyDiv w:val="1"/>
      <w:marLeft w:val="0"/>
      <w:marRight w:val="0"/>
      <w:marTop w:val="0"/>
      <w:marBottom w:val="0"/>
      <w:divBdr>
        <w:top w:val="none" w:sz="0" w:space="0" w:color="auto"/>
        <w:left w:val="none" w:sz="0" w:space="0" w:color="auto"/>
        <w:bottom w:val="none" w:sz="0" w:space="0" w:color="auto"/>
        <w:right w:val="none" w:sz="0" w:space="0" w:color="auto"/>
      </w:divBdr>
      <w:divsChild>
        <w:div w:id="1008407881">
          <w:marLeft w:val="0"/>
          <w:marRight w:val="0"/>
          <w:marTop w:val="0"/>
          <w:marBottom w:val="0"/>
          <w:divBdr>
            <w:top w:val="none" w:sz="0" w:space="0" w:color="auto"/>
            <w:left w:val="none" w:sz="0" w:space="0" w:color="auto"/>
            <w:bottom w:val="none" w:sz="0" w:space="0" w:color="auto"/>
            <w:right w:val="none" w:sz="0" w:space="0" w:color="auto"/>
          </w:divBdr>
          <w:divsChild>
            <w:div w:id="1131284946">
              <w:marLeft w:val="0"/>
              <w:marRight w:val="0"/>
              <w:marTop w:val="0"/>
              <w:marBottom w:val="0"/>
              <w:divBdr>
                <w:top w:val="none" w:sz="0" w:space="0" w:color="auto"/>
                <w:left w:val="none" w:sz="0" w:space="0" w:color="auto"/>
                <w:bottom w:val="none" w:sz="0" w:space="0" w:color="auto"/>
                <w:right w:val="none" w:sz="0" w:space="0" w:color="auto"/>
              </w:divBdr>
              <w:divsChild>
                <w:div w:id="35901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48117">
      <w:bodyDiv w:val="1"/>
      <w:marLeft w:val="0"/>
      <w:marRight w:val="0"/>
      <w:marTop w:val="0"/>
      <w:marBottom w:val="0"/>
      <w:divBdr>
        <w:top w:val="none" w:sz="0" w:space="0" w:color="auto"/>
        <w:left w:val="none" w:sz="0" w:space="0" w:color="auto"/>
        <w:bottom w:val="none" w:sz="0" w:space="0" w:color="auto"/>
        <w:right w:val="none" w:sz="0" w:space="0" w:color="auto"/>
      </w:divBdr>
    </w:div>
    <w:div w:id="1572080316">
      <w:bodyDiv w:val="1"/>
      <w:marLeft w:val="0"/>
      <w:marRight w:val="0"/>
      <w:marTop w:val="0"/>
      <w:marBottom w:val="0"/>
      <w:divBdr>
        <w:top w:val="none" w:sz="0" w:space="0" w:color="auto"/>
        <w:left w:val="none" w:sz="0" w:space="0" w:color="auto"/>
        <w:bottom w:val="none" w:sz="0" w:space="0" w:color="auto"/>
        <w:right w:val="none" w:sz="0" w:space="0" w:color="auto"/>
      </w:divBdr>
    </w:div>
    <w:div w:id="174918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i.org/10.1037/0022-3514.92.6.1087" TargetMode="External"/><Relationship Id="rId13" Type="http://schemas.openxmlformats.org/officeDocument/2006/relationships/hyperlink" Target="file:///C:\Users\klsmith\Desktop\ALL%20THE%20THINGS\Research\WR%202019%20Papers\https\doi.org\10.1006\ceps.1999.1016"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ssrn.com/abstract=1858066" TargetMode="External"/><Relationship Id="rId12" Type="http://schemas.openxmlformats.org/officeDocument/2006/relationships/hyperlink" Target="https://doi.org/10.5032/jae.2022.0225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0022-3514.67.6.1063"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i.org/10.1037/0278-6133.4.3.219"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doi.org10.1016/j.lindif.2009.03.007"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3326</Words>
  <Characters>18963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2022-09-02T20:41:00Z</dcterms:created>
  <dcterms:modified xsi:type="dcterms:W3CDTF">2022-09-02T20:41:00Z</dcterms:modified>
</cp:coreProperties>
</file>