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1191B" w14:textId="77777777" w:rsidR="00CE1F5D" w:rsidRDefault="00000000">
      <w:pPr>
        <w:spacing w:line="240" w:lineRule="auto"/>
        <w:jc w:val="center"/>
        <w:rPr>
          <w:b/>
        </w:rPr>
      </w:pPr>
      <w:r>
        <w:rPr>
          <w:b/>
        </w:rPr>
        <w:t>How Are Organizations Communicating about the Wild Horse and Burro Controversary? An Analysis of Facebook Pages</w:t>
      </w:r>
    </w:p>
    <w:p w14:paraId="1EECE119" w14:textId="77777777" w:rsidR="00CE1F5D" w:rsidRDefault="00CE1F5D">
      <w:pPr>
        <w:spacing w:line="240" w:lineRule="auto"/>
        <w:jc w:val="center"/>
        <w:rPr>
          <w:b/>
        </w:rPr>
      </w:pPr>
    </w:p>
    <w:p w14:paraId="00845015" w14:textId="77777777" w:rsidR="00CE1F5D" w:rsidRDefault="00000000">
      <w:pPr>
        <w:jc w:val="center"/>
      </w:pPr>
      <w:r>
        <w:rPr>
          <w:b/>
        </w:rPr>
        <w:t>Introduction/Theoretical Framework</w:t>
      </w:r>
    </w:p>
    <w:p w14:paraId="6F00DA7E" w14:textId="77777777" w:rsidR="00CE1F5D" w:rsidRDefault="00000000">
      <w:pPr>
        <w:spacing w:line="240" w:lineRule="auto"/>
        <w:ind w:firstLine="720"/>
      </w:pPr>
      <w:r>
        <w:t>Controversy surrounding the management of wild horse populations on public lands has the attention of the Bureau of Land Management (BLM), mustang advocate organizations, and members of the public. Concerns about the various tools of management included roundups for horses to be disposed of or relocated to government holding facilities, adoption and sales, and use of reproductive control to decrease growth rates (Daly, 2021). Scientists who advise the BLM suggested that the reduction of wild horses on public lands is urgent due to the ecological effects of climate change and the competition for food and water between the horses, wildlife, and livestock (Daly, 2021); however, some wild horse advocates argued that the BLM “unfairly targets horses and instead should look to reduce the number of livestock grazing public lands” (Daly, 2021, para. 12). In a survey conducted by Utah State University Extension about the public’s knowledge of free-roaming horses and their management, Frey (2022) collected 3,177 responses from the five regions of the United States. Frey found that less than 10% of the respondents “knew that there are currently more than 75,000 free roaming horses on public lands” (para. 15). In the survey, participants could select all the locations they thought wild horses were present. Nearly 50% selected Wyoming and over 40% selected Montana, but fewer respondents were aware of wild horses in the other eight states listed. Frey inferred those respondents were influenced by Western fiction, movies, or social media. Nearly 50% of respondents didn’t know which tools the BLM use to manage wild horse populations.</w:t>
      </w:r>
    </w:p>
    <w:p w14:paraId="0ECAFBB4" w14:textId="77777777" w:rsidR="00CE1F5D" w:rsidRDefault="00CE1F5D">
      <w:pPr>
        <w:spacing w:line="240" w:lineRule="auto"/>
        <w:ind w:firstLine="720"/>
      </w:pPr>
    </w:p>
    <w:p w14:paraId="1C26E503" w14:textId="77777777" w:rsidR="00CE1F5D" w:rsidRDefault="00000000">
      <w:pPr>
        <w:spacing w:line="240" w:lineRule="auto"/>
        <w:ind w:firstLine="720"/>
      </w:pPr>
      <w:r>
        <w:t>The BLM’s Wild Horse and Burro Program manages the size of horse herds by using three tools: fertility control, removal of the horses from public rangelands and placement in long-term holding facilities, and adoption and sale of horses from the holding facilities (Frey, 2022). The BLM manages wild horses and burros in 177 herd management areas that spans 26.9 million acres across 10 western states (Bureau of Land Management n.d.). Most of these wild horses are managed in Nevada, California, Oregon, Utah, and Wyoming (Frey, 2022), with an estimated 86,000 wild horses roaming as of March 1, 2021 (Bureau of Land Management, 2022). In 2021, more than 8,600 wild horses were placed into private care through adoptions and sales (Bureau of Land Management, 2022). The program has expanded wild horse gather and fertility control operations in 2022 because climate change and extreme drought impact the West (Bureau of Land Management, 2022). The program plans to gather 22,000 wild horses, removing 19,000 animals and treating 2,300 animals with fertility control methods before releasing them back on public lands by September 2022.</w:t>
      </w:r>
    </w:p>
    <w:p w14:paraId="1B2C558C" w14:textId="77777777" w:rsidR="00CE1F5D" w:rsidRDefault="00CE1F5D">
      <w:pPr>
        <w:spacing w:line="240" w:lineRule="auto"/>
        <w:ind w:firstLine="720"/>
      </w:pPr>
    </w:p>
    <w:p w14:paraId="0EDA8AD8" w14:textId="77777777" w:rsidR="00CE1F5D" w:rsidRDefault="00000000">
      <w:pPr>
        <w:spacing w:line="240" w:lineRule="auto"/>
        <w:ind w:firstLine="720"/>
        <w:rPr>
          <w:color w:val="000000"/>
        </w:rPr>
      </w:pPr>
      <w:r>
        <w:rPr>
          <w:color w:val="000000"/>
        </w:rPr>
        <w:t xml:space="preserve">Many agricultural organizations manage Facebook pages or groups as a communication tool that promotes their messages or agriculture-related causes to their audiences (Meyers et al., 2011). </w:t>
      </w:r>
      <w:r>
        <w:t xml:space="preserve">Social media can connect organizations to their supporters, reach new people, and build a community around their message or mission. As a result of social media platforms’ accessibility, “content sharing and user interaction has become relatively easy and efficient” (Baruah, 2012, p. 2). The BLM’s efforts to communicate with wild horse and burro program participants includes social networking (Bureau of Land Management, 2012, 2013). The BLM social media is used to “promote the BLM’s mission, advance a BLM priority, or address a tangible public need” </w:t>
      </w:r>
      <w:r>
        <w:lastRenderedPageBreak/>
        <w:t xml:space="preserve">(Bureau of Land Management, 2012, para. 14). The program’s largest following is on Facebook with more than 108,000 followers. Additionally, mustang advocate associations and nonprofit mustang organizations use Facebook to discuss how wild horses should be managed and allow people to comment. These agricultural conversations are not immune to misinformation that “often drives the public perception,” which can impact consumer behavior (Roberts et al., 2016, p. 59). While open conversation across platforms is a way to gauge public opinion and gain feedback, there is a need to ensure these stakeholders have reliable information to base their opinions and arguments on. </w:t>
      </w:r>
    </w:p>
    <w:p w14:paraId="710D2FAC" w14:textId="77777777" w:rsidR="00CE1F5D" w:rsidRDefault="00CE1F5D">
      <w:pPr>
        <w:spacing w:line="240" w:lineRule="auto"/>
      </w:pPr>
    </w:p>
    <w:p w14:paraId="21EAC3F6" w14:textId="77777777" w:rsidR="00CE1F5D" w:rsidRDefault="00000000">
      <w:pPr>
        <w:spacing w:line="240" w:lineRule="auto"/>
        <w:ind w:firstLine="720"/>
      </w:pPr>
      <w:r>
        <w:t>The controversy surrounding wild horse and burro management has become both a political and social issue with multiple opinions, mixed public knowledge levels, and the opportunity to educate (DeConcini &amp; Rice, 2021). Having knowledge about wild horse management is part of agriculture literacy. The public’s minimal involvement in the agriculture or relevant industry could potentially create a knowledge gap, suggesting it’s the responsibility of those who are in the industry to accurately inform the public about agricultural issues. If society has an “understanding of agriculture and current economic, social, and environmental impacts,” they can make informed decisions and support change that could “lessen current challenges facing agriculture” (Kovar &amp; Ball, 2013, p. 168). On the other hand, if a population is not agriculturally literate, they may be more likely to believe misinformation, potentially impacting the agricultural market (Kovar &amp; Ball, 2013). With the potential impacts of inaccurate agriculture information, strategic social media posts are important to educate followers on topics, such as wild horse management (Betts, 2009).</w:t>
      </w:r>
    </w:p>
    <w:p w14:paraId="466C6C30" w14:textId="77777777" w:rsidR="00CE1F5D" w:rsidRDefault="00CE1F5D">
      <w:pPr>
        <w:spacing w:line="240" w:lineRule="auto"/>
        <w:ind w:firstLine="720"/>
      </w:pPr>
    </w:p>
    <w:p w14:paraId="487F53A4" w14:textId="77777777" w:rsidR="00CE1F5D" w:rsidRDefault="00000000">
      <w:pPr>
        <w:spacing w:line="240" w:lineRule="auto"/>
        <w:ind w:firstLine="720"/>
      </w:pPr>
      <w:r>
        <w:t>To better understand the ways wild horse management is being communicated, framing theory was the theoretical framework for this study. Framing exhibits how people construct social narratives, interactions, and meanings through “linguistic and paralinguistic means” (Gordon, 2018, p. 324). By using frames, organizations can portray content to their audience from a certain point-of-view or angle, which “can have an impact on both the volume and character of messages about a particular issue” (Scheufele &amp; Tewksbury, 2007, p. 12). Another use of frames is to efficiently present complex issues to audiences that may not know a lot about the subject (Scheufele &amp; Tewksbury, 2007).</w:t>
      </w:r>
    </w:p>
    <w:p w14:paraId="57B88B20" w14:textId="77777777" w:rsidR="00CE1F5D" w:rsidRDefault="00CE1F5D">
      <w:pPr>
        <w:spacing w:line="240" w:lineRule="auto"/>
      </w:pPr>
    </w:p>
    <w:p w14:paraId="5DBE2E94" w14:textId="77777777" w:rsidR="00CE1F5D" w:rsidRDefault="00000000">
      <w:pPr>
        <w:jc w:val="center"/>
      </w:pPr>
      <w:r>
        <w:rPr>
          <w:b/>
        </w:rPr>
        <w:t>Purpose and Research Questions</w:t>
      </w:r>
    </w:p>
    <w:p w14:paraId="640DC971" w14:textId="77777777" w:rsidR="00CE1F5D" w:rsidRDefault="00000000">
      <w:pPr>
        <w:spacing w:line="240" w:lineRule="auto"/>
        <w:ind w:firstLine="720"/>
      </w:pPr>
      <w:r>
        <w:t>This study aimed to understand framing of conversations, sentiment, and engagement of wild horse management and issues on Facebook. This manuscript addresses two research questions: (1) how many total mentions of keywords occurred, and (2) what were the organizations’ messages within each frame discussing wild horses?</w:t>
      </w:r>
    </w:p>
    <w:p w14:paraId="7FF5E08B" w14:textId="77777777" w:rsidR="00CE1F5D" w:rsidRDefault="00CE1F5D">
      <w:pPr>
        <w:spacing w:line="240" w:lineRule="auto"/>
        <w:ind w:firstLine="720"/>
      </w:pPr>
    </w:p>
    <w:p w14:paraId="16B4354D" w14:textId="77777777" w:rsidR="00CE1F5D" w:rsidRDefault="00000000">
      <w:pPr>
        <w:jc w:val="center"/>
        <w:rPr>
          <w:i/>
          <w:color w:val="3C4043"/>
          <w:highlight w:val="white"/>
        </w:rPr>
      </w:pPr>
      <w:r>
        <w:rPr>
          <w:b/>
        </w:rPr>
        <w:t>Methods</w:t>
      </w:r>
    </w:p>
    <w:p w14:paraId="1A6D87BE" w14:textId="77777777" w:rsidR="00CE1F5D" w:rsidRDefault="00000000">
      <w:pPr>
        <w:spacing w:line="240" w:lineRule="auto"/>
        <w:ind w:firstLine="720"/>
      </w:pPr>
      <w:r>
        <w:t xml:space="preserve">Data for this study were collected using Meltwater, a social media monitoring and analytics program. Facebook was selected because the BLM and mustang advocate organizations have public pages that enable them to bridge the gap between their organization’s goals and their public’s interests, as well as engage with the media (Morrison, 2015). The start date for data collection was June 1, 2021, because the BLM hosted a Wild Horse Advisory Board meeting in </w:t>
      </w:r>
      <w:r>
        <w:lastRenderedPageBreak/>
        <w:t>June to discuss management plans that could impact online conversations, and data collection stopped January 31, 2022, because on that date the BLM released its annual plan for wild horse gathers based on the advisory board discussions. Boolean searches in Meltwater identified posts that contain at least one of the following keywords: (1) “contraception,” “birth control,” “fertility control,” or “herd population,” (2) “roundup” or “gather,” (3) “adoption,” and (4) “wild horse management.” These Boolean searches analyzed Facebook posts for three nonprofit organizations (Return to Freedom, Wild Horse Conservation; American Wild Horse Campaign; and Wild Horse Education) and the government’s BLM Wild Horse and Burro Program. Return to Freedom has a Facebook following of over 271,000 and works on protective legislation, conservation, and educational outreach. American Wild Horse Campaign has a Facebook following of 569,000 and wants to stop the BLM gather operations and reform the policies and methods for herd management. Wild Horse Education’s purpose is to protect wild horses from slaughter and preserve the herds and public land on which they graze. This organization’s Facebook page has a following of over 121,600. Data were exported as an Excel file containing 690 posts, and descriptive statistics were ran using IBM</w:t>
      </w:r>
      <w:sdt>
        <w:sdtPr>
          <w:tag w:val="goog_rdk_0"/>
          <w:id w:val="-1732832330"/>
        </w:sdtPr>
        <w:sdtContent>
          <w:r>
            <w:rPr>
              <w:rFonts w:ascii="Arial Unicode MS" w:eastAsia="Arial Unicode MS" w:hAnsi="Arial Unicode MS" w:cs="Arial Unicode MS"/>
              <w:vertAlign w:val="superscript"/>
            </w:rPr>
            <w:t>Ⓡ</w:t>
          </w:r>
        </w:sdtContent>
      </w:sdt>
      <w:r>
        <w:t xml:space="preserve"> SPSS Statistics version 28. </w:t>
      </w:r>
    </w:p>
    <w:p w14:paraId="76FD4369" w14:textId="77777777" w:rsidR="00CE1F5D" w:rsidRDefault="00CE1F5D">
      <w:pPr>
        <w:spacing w:line="240" w:lineRule="auto"/>
        <w:ind w:firstLine="720"/>
        <w:rPr>
          <w:sz w:val="22"/>
          <w:szCs w:val="22"/>
        </w:rPr>
      </w:pPr>
    </w:p>
    <w:p w14:paraId="6D10069B" w14:textId="77777777" w:rsidR="00CE1F5D" w:rsidRDefault="00000000">
      <w:pPr>
        <w:jc w:val="center"/>
        <w:rPr>
          <w:b/>
        </w:rPr>
      </w:pPr>
      <w:r>
        <w:rPr>
          <w:b/>
        </w:rPr>
        <w:t>Results/Findings</w:t>
      </w:r>
    </w:p>
    <w:p w14:paraId="1ADA6511" w14:textId="77777777" w:rsidR="00CE1F5D" w:rsidRDefault="00000000">
      <w:pPr>
        <w:widowControl w:val="0"/>
        <w:spacing w:line="240" w:lineRule="auto"/>
      </w:pPr>
      <w:r>
        <w:tab/>
        <w:t>Research question one used Boolean searches to identify the number of mentions of the keywords. Mentions of “roundup” occurred the most by the nonprofit organizations, with Return to Freedom, Wild Horse Conservation contributing 235 posts (65.5%; Table 1). The BLM posted about removing horses from public lands; however, they referred to it as a “gather” or “gathering operation” in five posts, using different terminology than the nonprofit organizations. The BLM Wild Horse and Burro Program focused their posts on adoption the most, attributing to 40 of the posts that contained the keyword (44.9%). Of the posts mentioning “wild horse management,” 78 mentions (72.2%) were attributed to Return to Freedom, Wild Horse Conservation.</w:t>
      </w:r>
    </w:p>
    <w:p w14:paraId="47640149" w14:textId="77777777" w:rsidR="00CE1F5D" w:rsidRDefault="00CE1F5D">
      <w:pPr>
        <w:widowControl w:val="0"/>
        <w:spacing w:line="240" w:lineRule="auto"/>
      </w:pPr>
    </w:p>
    <w:p w14:paraId="62922BA1" w14:textId="77777777" w:rsidR="00CE1F5D" w:rsidRDefault="00000000">
      <w:pPr>
        <w:spacing w:line="240" w:lineRule="auto"/>
      </w:pPr>
      <w:r>
        <w:rPr>
          <w:color w:val="000000"/>
        </w:rPr>
        <w:t>Table 1.</w:t>
      </w:r>
    </w:p>
    <w:p w14:paraId="1CA09EBA" w14:textId="77777777" w:rsidR="00CE1F5D" w:rsidRDefault="00CE1F5D">
      <w:pPr>
        <w:spacing w:line="240" w:lineRule="auto"/>
      </w:pPr>
    </w:p>
    <w:p w14:paraId="58F5F3E0" w14:textId="77777777" w:rsidR="00CE1F5D" w:rsidRDefault="00000000">
      <w:pPr>
        <w:spacing w:line="240" w:lineRule="auto"/>
        <w:rPr>
          <w:i/>
          <w:color w:val="000000"/>
        </w:rPr>
      </w:pPr>
      <w:r>
        <w:rPr>
          <w:i/>
          <w:color w:val="000000"/>
        </w:rPr>
        <w:t>Total Mentions of Keywords in Facebook Posts from June 1, 2021, to January 31, 2022</w:t>
      </w:r>
    </w:p>
    <w:p w14:paraId="6E99BBF4" w14:textId="77777777" w:rsidR="00CE1F5D" w:rsidRDefault="00CE1F5D">
      <w:pPr>
        <w:widowControl w:val="0"/>
        <w:spacing w:line="240" w:lineRule="auto"/>
      </w:pPr>
    </w:p>
    <w:tbl>
      <w:tblPr>
        <w:tblStyle w:val="a"/>
        <w:tblW w:w="963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2160"/>
        <w:gridCol w:w="630"/>
        <w:gridCol w:w="990"/>
        <w:gridCol w:w="720"/>
        <w:gridCol w:w="720"/>
        <w:gridCol w:w="720"/>
        <w:gridCol w:w="810"/>
        <w:gridCol w:w="630"/>
        <w:gridCol w:w="720"/>
        <w:gridCol w:w="630"/>
        <w:gridCol w:w="900"/>
      </w:tblGrid>
      <w:tr w:rsidR="00CE1F5D" w14:paraId="630094FE" w14:textId="77777777" w:rsidTr="00CE1F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left w:val="nil"/>
              <w:bottom w:val="nil"/>
              <w:right w:val="nil"/>
            </w:tcBorders>
          </w:tcPr>
          <w:p w14:paraId="1ACC68D8"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Organization</w:t>
            </w:r>
          </w:p>
        </w:tc>
        <w:tc>
          <w:tcPr>
            <w:tcW w:w="1620" w:type="dxa"/>
            <w:gridSpan w:val="2"/>
            <w:tcBorders>
              <w:left w:val="nil"/>
              <w:bottom w:val="single" w:sz="4" w:space="0" w:color="000000"/>
              <w:right w:val="nil"/>
            </w:tcBorders>
          </w:tcPr>
          <w:p w14:paraId="2EDEDAD8" w14:textId="77777777" w:rsidR="00CE1F5D" w:rsidRDefault="0000000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Contraception</w:t>
            </w:r>
          </w:p>
        </w:tc>
        <w:tc>
          <w:tcPr>
            <w:tcW w:w="1440" w:type="dxa"/>
            <w:gridSpan w:val="2"/>
            <w:tcBorders>
              <w:left w:val="nil"/>
              <w:bottom w:val="single" w:sz="4" w:space="0" w:color="000000"/>
              <w:right w:val="nil"/>
            </w:tcBorders>
          </w:tcPr>
          <w:p w14:paraId="367E6909" w14:textId="77777777" w:rsidR="00CE1F5D" w:rsidRDefault="0000000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Fertility Control</w:t>
            </w:r>
          </w:p>
        </w:tc>
        <w:tc>
          <w:tcPr>
            <w:tcW w:w="1530" w:type="dxa"/>
            <w:gridSpan w:val="2"/>
            <w:tcBorders>
              <w:left w:val="nil"/>
              <w:bottom w:val="single" w:sz="4" w:space="0" w:color="000000"/>
              <w:right w:val="nil"/>
            </w:tcBorders>
          </w:tcPr>
          <w:p w14:paraId="2A904C92" w14:textId="77777777" w:rsidR="00CE1F5D" w:rsidRDefault="0000000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Roundup or</w:t>
            </w:r>
            <w:r>
              <w:rPr>
                <w:rFonts w:ascii="Times New Roman" w:eastAsia="Times New Roman" w:hAnsi="Times New Roman" w:cs="Times New Roman"/>
                <w:b w:val="0"/>
                <w:sz w:val="24"/>
                <w:szCs w:val="24"/>
              </w:rPr>
              <w:br/>
              <w:t>Gather</w:t>
            </w:r>
          </w:p>
        </w:tc>
        <w:tc>
          <w:tcPr>
            <w:tcW w:w="1350" w:type="dxa"/>
            <w:gridSpan w:val="2"/>
            <w:tcBorders>
              <w:left w:val="nil"/>
              <w:bottom w:val="single" w:sz="4" w:space="0" w:color="000000"/>
              <w:right w:val="nil"/>
            </w:tcBorders>
          </w:tcPr>
          <w:p w14:paraId="7CD64FC2" w14:textId="77777777" w:rsidR="00CE1F5D" w:rsidRDefault="0000000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Adoption</w:t>
            </w:r>
          </w:p>
        </w:tc>
        <w:tc>
          <w:tcPr>
            <w:tcW w:w="1530" w:type="dxa"/>
            <w:gridSpan w:val="2"/>
            <w:tcBorders>
              <w:left w:val="nil"/>
              <w:bottom w:val="single" w:sz="4" w:space="0" w:color="000000"/>
              <w:right w:val="nil"/>
            </w:tcBorders>
          </w:tcPr>
          <w:p w14:paraId="44BEB3B2" w14:textId="77777777" w:rsidR="00CE1F5D" w:rsidRDefault="0000000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Management</w:t>
            </w:r>
          </w:p>
        </w:tc>
      </w:tr>
      <w:tr w:rsidR="00CE1F5D" w14:paraId="1BB499D6" w14:textId="77777777" w:rsidTr="00CE1F5D">
        <w:tc>
          <w:tcPr>
            <w:cnfStyle w:val="001000000000" w:firstRow="0" w:lastRow="0" w:firstColumn="1" w:lastColumn="0" w:oddVBand="0" w:evenVBand="0" w:oddHBand="0" w:evenHBand="0" w:firstRowFirstColumn="0" w:firstRowLastColumn="0" w:lastRowFirstColumn="0" w:lastRowLastColumn="0"/>
            <w:tcW w:w="2160" w:type="dxa"/>
            <w:tcBorders>
              <w:top w:val="nil"/>
              <w:left w:val="nil"/>
              <w:bottom w:val="single" w:sz="4" w:space="0" w:color="000000"/>
              <w:right w:val="nil"/>
            </w:tcBorders>
          </w:tcPr>
          <w:p w14:paraId="2860D29B" w14:textId="77777777" w:rsidR="00CE1F5D" w:rsidRDefault="00CE1F5D">
            <w:pPr>
              <w:rPr>
                <w:rFonts w:ascii="Times New Roman" w:eastAsia="Times New Roman" w:hAnsi="Times New Roman" w:cs="Times New Roman"/>
                <w:sz w:val="24"/>
                <w:szCs w:val="24"/>
              </w:rPr>
            </w:pPr>
          </w:p>
        </w:tc>
        <w:tc>
          <w:tcPr>
            <w:tcW w:w="630" w:type="dxa"/>
            <w:tcBorders>
              <w:left w:val="nil"/>
              <w:bottom w:val="single" w:sz="4" w:space="0" w:color="000000"/>
              <w:right w:val="nil"/>
            </w:tcBorders>
          </w:tcPr>
          <w:p w14:paraId="257C413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w:t>
            </w:r>
          </w:p>
        </w:tc>
        <w:tc>
          <w:tcPr>
            <w:tcW w:w="990" w:type="dxa"/>
            <w:tcBorders>
              <w:left w:val="nil"/>
              <w:bottom w:val="single" w:sz="4" w:space="0" w:color="000000"/>
              <w:right w:val="nil"/>
            </w:tcBorders>
          </w:tcPr>
          <w:p w14:paraId="2ADF1B66"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720" w:type="dxa"/>
            <w:tcBorders>
              <w:left w:val="nil"/>
              <w:bottom w:val="single" w:sz="4" w:space="0" w:color="000000"/>
              <w:right w:val="nil"/>
            </w:tcBorders>
          </w:tcPr>
          <w:p w14:paraId="4C2ADCE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720" w:type="dxa"/>
            <w:tcBorders>
              <w:left w:val="nil"/>
              <w:bottom w:val="single" w:sz="4" w:space="0" w:color="000000"/>
              <w:right w:val="nil"/>
            </w:tcBorders>
          </w:tcPr>
          <w:p w14:paraId="2369D41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720" w:type="dxa"/>
            <w:tcBorders>
              <w:left w:val="nil"/>
              <w:bottom w:val="single" w:sz="4" w:space="0" w:color="000000"/>
              <w:right w:val="nil"/>
            </w:tcBorders>
          </w:tcPr>
          <w:p w14:paraId="2DF9B94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810" w:type="dxa"/>
            <w:tcBorders>
              <w:left w:val="nil"/>
              <w:bottom w:val="single" w:sz="4" w:space="0" w:color="000000"/>
              <w:right w:val="nil"/>
            </w:tcBorders>
          </w:tcPr>
          <w:p w14:paraId="6046244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30" w:type="dxa"/>
            <w:tcBorders>
              <w:left w:val="nil"/>
              <w:bottom w:val="single" w:sz="4" w:space="0" w:color="000000"/>
              <w:right w:val="nil"/>
            </w:tcBorders>
          </w:tcPr>
          <w:p w14:paraId="7DEB5E55"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720" w:type="dxa"/>
            <w:tcBorders>
              <w:left w:val="nil"/>
              <w:bottom w:val="single" w:sz="4" w:space="0" w:color="000000"/>
              <w:right w:val="nil"/>
            </w:tcBorders>
          </w:tcPr>
          <w:p w14:paraId="498EE43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30" w:type="dxa"/>
            <w:tcBorders>
              <w:left w:val="nil"/>
              <w:bottom w:val="single" w:sz="4" w:space="0" w:color="000000"/>
              <w:right w:val="nil"/>
            </w:tcBorders>
          </w:tcPr>
          <w:p w14:paraId="09D58C8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900" w:type="dxa"/>
            <w:tcBorders>
              <w:left w:val="nil"/>
              <w:bottom w:val="single" w:sz="4" w:space="0" w:color="000000"/>
              <w:right w:val="nil"/>
            </w:tcBorders>
          </w:tcPr>
          <w:p w14:paraId="607C4D76"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CE1F5D" w14:paraId="23ADDD13" w14:textId="77777777" w:rsidTr="00CE1F5D">
        <w:tc>
          <w:tcPr>
            <w:cnfStyle w:val="001000000000" w:firstRow="0" w:lastRow="0" w:firstColumn="1" w:lastColumn="0" w:oddVBand="0" w:evenVBand="0" w:oddHBand="0" w:evenHBand="0" w:firstRowFirstColumn="0" w:firstRowLastColumn="0" w:lastRowFirstColumn="0" w:lastRowLastColumn="0"/>
            <w:tcW w:w="2160" w:type="dxa"/>
            <w:tcBorders>
              <w:left w:val="nil"/>
              <w:bottom w:val="nil"/>
              <w:right w:val="nil"/>
            </w:tcBorders>
          </w:tcPr>
          <w:p w14:paraId="7A7E64C8"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Return to Freedom, Wild Horse Conservation</w:t>
            </w:r>
          </w:p>
        </w:tc>
        <w:tc>
          <w:tcPr>
            <w:tcW w:w="630" w:type="dxa"/>
            <w:tcBorders>
              <w:left w:val="nil"/>
              <w:bottom w:val="nil"/>
              <w:right w:val="nil"/>
            </w:tcBorders>
          </w:tcPr>
          <w:p w14:paraId="5DED35C7"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 </w:t>
            </w:r>
          </w:p>
        </w:tc>
        <w:tc>
          <w:tcPr>
            <w:tcW w:w="990" w:type="dxa"/>
            <w:tcBorders>
              <w:left w:val="nil"/>
              <w:bottom w:val="nil"/>
              <w:right w:val="nil"/>
            </w:tcBorders>
          </w:tcPr>
          <w:p w14:paraId="70350D80"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720" w:type="dxa"/>
            <w:tcBorders>
              <w:left w:val="nil"/>
              <w:bottom w:val="nil"/>
              <w:right w:val="nil"/>
            </w:tcBorders>
          </w:tcPr>
          <w:p w14:paraId="3E53CB28"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p>
        </w:tc>
        <w:tc>
          <w:tcPr>
            <w:tcW w:w="720" w:type="dxa"/>
            <w:tcBorders>
              <w:left w:val="nil"/>
              <w:bottom w:val="nil"/>
              <w:right w:val="nil"/>
            </w:tcBorders>
          </w:tcPr>
          <w:p w14:paraId="2FA5877D"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84.4</w:t>
            </w:r>
          </w:p>
        </w:tc>
        <w:tc>
          <w:tcPr>
            <w:tcW w:w="720" w:type="dxa"/>
            <w:tcBorders>
              <w:left w:val="nil"/>
              <w:bottom w:val="nil"/>
              <w:right w:val="nil"/>
            </w:tcBorders>
          </w:tcPr>
          <w:p w14:paraId="7C4B8499"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p>
        </w:tc>
        <w:tc>
          <w:tcPr>
            <w:tcW w:w="810" w:type="dxa"/>
            <w:tcBorders>
              <w:left w:val="nil"/>
              <w:bottom w:val="nil"/>
              <w:right w:val="nil"/>
            </w:tcBorders>
          </w:tcPr>
          <w:p w14:paraId="782AD8A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64.5</w:t>
            </w:r>
          </w:p>
        </w:tc>
        <w:tc>
          <w:tcPr>
            <w:tcW w:w="630" w:type="dxa"/>
            <w:tcBorders>
              <w:left w:val="nil"/>
              <w:bottom w:val="nil"/>
              <w:right w:val="nil"/>
            </w:tcBorders>
          </w:tcPr>
          <w:p w14:paraId="1EC5FD8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720" w:type="dxa"/>
            <w:tcBorders>
              <w:left w:val="nil"/>
              <w:bottom w:val="nil"/>
              <w:right w:val="nil"/>
            </w:tcBorders>
          </w:tcPr>
          <w:p w14:paraId="2C9CA1F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p>
        </w:tc>
        <w:tc>
          <w:tcPr>
            <w:tcW w:w="630" w:type="dxa"/>
            <w:tcBorders>
              <w:left w:val="nil"/>
              <w:bottom w:val="nil"/>
              <w:right w:val="nil"/>
            </w:tcBorders>
          </w:tcPr>
          <w:p w14:paraId="0FFEBD8E"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w:t>
            </w:r>
          </w:p>
        </w:tc>
        <w:tc>
          <w:tcPr>
            <w:tcW w:w="900" w:type="dxa"/>
            <w:tcBorders>
              <w:left w:val="nil"/>
              <w:bottom w:val="nil"/>
              <w:right w:val="nil"/>
            </w:tcBorders>
          </w:tcPr>
          <w:p w14:paraId="3ABA99DF"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72.2</w:t>
            </w:r>
          </w:p>
        </w:tc>
      </w:tr>
      <w:tr w:rsidR="00CE1F5D" w14:paraId="29500ABA" w14:textId="77777777" w:rsidTr="00CE1F5D">
        <w:tc>
          <w:tcPr>
            <w:cnfStyle w:val="001000000000" w:firstRow="0" w:lastRow="0" w:firstColumn="1" w:lastColumn="0" w:oddVBand="0" w:evenVBand="0" w:oddHBand="0" w:evenHBand="0" w:firstRowFirstColumn="0" w:firstRowLastColumn="0" w:lastRowFirstColumn="0" w:lastRowLastColumn="0"/>
            <w:tcW w:w="2160" w:type="dxa"/>
            <w:tcBorders>
              <w:top w:val="nil"/>
              <w:left w:val="nil"/>
              <w:bottom w:val="nil"/>
              <w:right w:val="nil"/>
            </w:tcBorders>
          </w:tcPr>
          <w:p w14:paraId="6006EC4E"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American Wild Horse</w:t>
            </w:r>
          </w:p>
          <w:p w14:paraId="04A45457"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Campaign</w:t>
            </w:r>
          </w:p>
        </w:tc>
        <w:tc>
          <w:tcPr>
            <w:tcW w:w="630" w:type="dxa"/>
            <w:tcBorders>
              <w:top w:val="nil"/>
              <w:left w:val="nil"/>
              <w:bottom w:val="nil"/>
              <w:right w:val="nil"/>
            </w:tcBorders>
          </w:tcPr>
          <w:p w14:paraId="2F44459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990" w:type="dxa"/>
            <w:tcBorders>
              <w:top w:val="nil"/>
              <w:left w:val="nil"/>
              <w:bottom w:val="nil"/>
              <w:right w:val="nil"/>
            </w:tcBorders>
          </w:tcPr>
          <w:p w14:paraId="692E0C8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c>
          <w:tcPr>
            <w:tcW w:w="720" w:type="dxa"/>
            <w:tcBorders>
              <w:top w:val="nil"/>
              <w:left w:val="nil"/>
              <w:bottom w:val="nil"/>
              <w:right w:val="nil"/>
            </w:tcBorders>
          </w:tcPr>
          <w:p w14:paraId="26A3F8CE"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w:t>
            </w:r>
          </w:p>
        </w:tc>
        <w:tc>
          <w:tcPr>
            <w:tcW w:w="720" w:type="dxa"/>
            <w:tcBorders>
              <w:top w:val="nil"/>
              <w:left w:val="nil"/>
              <w:bottom w:val="nil"/>
              <w:right w:val="nil"/>
            </w:tcBorders>
          </w:tcPr>
          <w:p w14:paraId="7B8CB52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5.5</w:t>
            </w:r>
          </w:p>
        </w:tc>
        <w:tc>
          <w:tcPr>
            <w:tcW w:w="720" w:type="dxa"/>
            <w:tcBorders>
              <w:top w:val="nil"/>
              <w:left w:val="nil"/>
              <w:bottom w:val="nil"/>
              <w:right w:val="nil"/>
            </w:tcBorders>
          </w:tcPr>
          <w:p w14:paraId="600F5DFB"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87</w:t>
            </w:r>
          </w:p>
        </w:tc>
        <w:tc>
          <w:tcPr>
            <w:tcW w:w="810" w:type="dxa"/>
            <w:tcBorders>
              <w:top w:val="nil"/>
              <w:left w:val="nil"/>
              <w:bottom w:val="nil"/>
              <w:right w:val="nil"/>
            </w:tcBorders>
          </w:tcPr>
          <w:p w14:paraId="48954FE8"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23.9</w:t>
            </w:r>
          </w:p>
        </w:tc>
        <w:tc>
          <w:tcPr>
            <w:tcW w:w="630" w:type="dxa"/>
            <w:tcBorders>
              <w:top w:val="nil"/>
              <w:left w:val="nil"/>
              <w:bottom w:val="nil"/>
              <w:right w:val="nil"/>
            </w:tcBorders>
          </w:tcPr>
          <w:p w14:paraId="23275C70"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720" w:type="dxa"/>
            <w:tcBorders>
              <w:top w:val="nil"/>
              <w:left w:val="nil"/>
              <w:bottom w:val="nil"/>
              <w:right w:val="nil"/>
            </w:tcBorders>
          </w:tcPr>
          <w:p w14:paraId="3811F068"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30.3</w:t>
            </w:r>
          </w:p>
        </w:tc>
        <w:tc>
          <w:tcPr>
            <w:tcW w:w="630" w:type="dxa"/>
            <w:tcBorders>
              <w:top w:val="nil"/>
              <w:left w:val="nil"/>
              <w:bottom w:val="nil"/>
              <w:right w:val="nil"/>
            </w:tcBorders>
          </w:tcPr>
          <w:p w14:paraId="234096B5"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900" w:type="dxa"/>
            <w:tcBorders>
              <w:top w:val="nil"/>
              <w:left w:val="nil"/>
              <w:bottom w:val="nil"/>
              <w:right w:val="nil"/>
            </w:tcBorders>
          </w:tcPr>
          <w:p w14:paraId="7FE257D2"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r>
      <w:tr w:rsidR="00CE1F5D" w14:paraId="6A6D0F4E" w14:textId="77777777" w:rsidTr="00CE1F5D">
        <w:tc>
          <w:tcPr>
            <w:cnfStyle w:val="001000000000" w:firstRow="0" w:lastRow="0" w:firstColumn="1" w:lastColumn="0" w:oddVBand="0" w:evenVBand="0" w:oddHBand="0" w:evenHBand="0" w:firstRowFirstColumn="0" w:firstRowLastColumn="0" w:lastRowFirstColumn="0" w:lastRowLastColumn="0"/>
            <w:tcW w:w="2160" w:type="dxa"/>
            <w:tcBorders>
              <w:top w:val="nil"/>
              <w:left w:val="nil"/>
              <w:bottom w:val="nil"/>
              <w:right w:val="nil"/>
            </w:tcBorders>
          </w:tcPr>
          <w:p w14:paraId="7EB849B9"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Wild Horse Education</w:t>
            </w:r>
          </w:p>
        </w:tc>
        <w:tc>
          <w:tcPr>
            <w:tcW w:w="630" w:type="dxa"/>
            <w:tcBorders>
              <w:top w:val="nil"/>
              <w:left w:val="nil"/>
              <w:bottom w:val="nil"/>
              <w:right w:val="nil"/>
            </w:tcBorders>
          </w:tcPr>
          <w:p w14:paraId="7EF13B55"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990" w:type="dxa"/>
            <w:tcBorders>
              <w:top w:val="nil"/>
              <w:left w:val="nil"/>
              <w:bottom w:val="nil"/>
              <w:right w:val="nil"/>
            </w:tcBorders>
          </w:tcPr>
          <w:p w14:paraId="077E3946"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720" w:type="dxa"/>
            <w:tcBorders>
              <w:top w:val="nil"/>
              <w:left w:val="nil"/>
              <w:bottom w:val="nil"/>
              <w:right w:val="nil"/>
            </w:tcBorders>
          </w:tcPr>
          <w:p w14:paraId="1067DC9E"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w:t>
            </w:r>
          </w:p>
        </w:tc>
        <w:tc>
          <w:tcPr>
            <w:tcW w:w="720" w:type="dxa"/>
            <w:tcBorders>
              <w:top w:val="nil"/>
              <w:left w:val="nil"/>
              <w:bottom w:val="nil"/>
              <w:right w:val="nil"/>
            </w:tcBorders>
          </w:tcPr>
          <w:p w14:paraId="7B8756F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4.7</w:t>
            </w:r>
          </w:p>
        </w:tc>
        <w:tc>
          <w:tcPr>
            <w:tcW w:w="720" w:type="dxa"/>
            <w:tcBorders>
              <w:top w:val="nil"/>
              <w:left w:val="nil"/>
              <w:bottom w:val="nil"/>
              <w:right w:val="nil"/>
            </w:tcBorders>
          </w:tcPr>
          <w:p w14:paraId="12210D97"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810" w:type="dxa"/>
            <w:tcBorders>
              <w:top w:val="nil"/>
              <w:left w:val="nil"/>
              <w:bottom w:val="nil"/>
              <w:right w:val="nil"/>
            </w:tcBorders>
          </w:tcPr>
          <w:p w14:paraId="19132011"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c>
          <w:tcPr>
            <w:tcW w:w="630" w:type="dxa"/>
            <w:tcBorders>
              <w:top w:val="nil"/>
              <w:left w:val="nil"/>
              <w:bottom w:val="nil"/>
              <w:right w:val="nil"/>
            </w:tcBorders>
          </w:tcPr>
          <w:p w14:paraId="0DC1E739"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720" w:type="dxa"/>
            <w:tcBorders>
              <w:top w:val="nil"/>
              <w:left w:val="nil"/>
              <w:bottom w:val="nil"/>
              <w:right w:val="nil"/>
            </w:tcBorders>
          </w:tcPr>
          <w:p w14:paraId="62D02E47"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w:t>
            </w:r>
          </w:p>
        </w:tc>
        <w:tc>
          <w:tcPr>
            <w:tcW w:w="630" w:type="dxa"/>
            <w:tcBorders>
              <w:top w:val="nil"/>
              <w:left w:val="nil"/>
              <w:bottom w:val="nil"/>
              <w:right w:val="nil"/>
            </w:tcBorders>
          </w:tcPr>
          <w:p w14:paraId="678C38F3"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w:t>
            </w:r>
          </w:p>
        </w:tc>
        <w:tc>
          <w:tcPr>
            <w:tcW w:w="900" w:type="dxa"/>
            <w:tcBorders>
              <w:top w:val="nil"/>
              <w:left w:val="nil"/>
              <w:bottom w:val="nil"/>
              <w:right w:val="nil"/>
            </w:tcBorders>
          </w:tcPr>
          <w:p w14:paraId="0971B658"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w:t>
            </w:r>
          </w:p>
        </w:tc>
      </w:tr>
      <w:tr w:rsidR="00CE1F5D" w14:paraId="4F1D1FD9" w14:textId="77777777" w:rsidTr="00CE1F5D">
        <w:trPr>
          <w:trHeight w:val="837"/>
        </w:trPr>
        <w:tc>
          <w:tcPr>
            <w:cnfStyle w:val="001000000000" w:firstRow="0" w:lastRow="0" w:firstColumn="1" w:lastColumn="0" w:oddVBand="0" w:evenVBand="0" w:oddHBand="0" w:evenHBand="0" w:firstRowFirstColumn="0" w:firstRowLastColumn="0" w:lastRowFirstColumn="0" w:lastRowLastColumn="0"/>
            <w:tcW w:w="2160" w:type="dxa"/>
            <w:tcBorders>
              <w:top w:val="nil"/>
              <w:left w:val="nil"/>
              <w:right w:val="nil"/>
            </w:tcBorders>
          </w:tcPr>
          <w:p w14:paraId="74F10C28"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BLM Wild Horse and Burro</w:t>
            </w:r>
          </w:p>
          <w:p w14:paraId="5E6C5F27" w14:textId="77777777" w:rsidR="00CE1F5D" w:rsidRDefault="00000000">
            <w:pPr>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Program</w:t>
            </w:r>
          </w:p>
        </w:tc>
        <w:tc>
          <w:tcPr>
            <w:tcW w:w="630" w:type="dxa"/>
            <w:tcBorders>
              <w:top w:val="nil"/>
              <w:left w:val="nil"/>
              <w:right w:val="nil"/>
            </w:tcBorders>
          </w:tcPr>
          <w:p w14:paraId="7E8B487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990" w:type="dxa"/>
            <w:tcBorders>
              <w:top w:val="nil"/>
              <w:left w:val="nil"/>
              <w:right w:val="nil"/>
            </w:tcBorders>
          </w:tcPr>
          <w:p w14:paraId="4068BDC6"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720" w:type="dxa"/>
            <w:tcBorders>
              <w:top w:val="nil"/>
              <w:left w:val="nil"/>
              <w:right w:val="nil"/>
            </w:tcBorders>
          </w:tcPr>
          <w:p w14:paraId="0D45312B"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w:t>
            </w:r>
          </w:p>
        </w:tc>
        <w:tc>
          <w:tcPr>
            <w:tcW w:w="720" w:type="dxa"/>
            <w:tcBorders>
              <w:top w:val="nil"/>
              <w:left w:val="nil"/>
              <w:right w:val="nil"/>
            </w:tcBorders>
          </w:tcPr>
          <w:p w14:paraId="327C091A"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5.5</w:t>
            </w:r>
          </w:p>
        </w:tc>
        <w:tc>
          <w:tcPr>
            <w:tcW w:w="720" w:type="dxa"/>
            <w:tcBorders>
              <w:top w:val="nil"/>
              <w:left w:val="nil"/>
              <w:right w:val="nil"/>
            </w:tcBorders>
          </w:tcPr>
          <w:p w14:paraId="5B75F30D"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w:t>
            </w:r>
          </w:p>
        </w:tc>
        <w:tc>
          <w:tcPr>
            <w:tcW w:w="810" w:type="dxa"/>
            <w:tcBorders>
              <w:top w:val="nil"/>
              <w:left w:val="nil"/>
              <w:right w:val="nil"/>
            </w:tcBorders>
          </w:tcPr>
          <w:p w14:paraId="56FA13EF"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w:t>
            </w:r>
          </w:p>
        </w:tc>
        <w:tc>
          <w:tcPr>
            <w:tcW w:w="630" w:type="dxa"/>
            <w:tcBorders>
              <w:top w:val="nil"/>
              <w:left w:val="nil"/>
              <w:right w:val="nil"/>
            </w:tcBorders>
          </w:tcPr>
          <w:p w14:paraId="52DBAC56"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720" w:type="dxa"/>
            <w:tcBorders>
              <w:top w:val="nil"/>
              <w:left w:val="nil"/>
              <w:right w:val="nil"/>
            </w:tcBorders>
          </w:tcPr>
          <w:p w14:paraId="506F4A64"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44.9</w:t>
            </w:r>
          </w:p>
        </w:tc>
        <w:tc>
          <w:tcPr>
            <w:tcW w:w="630" w:type="dxa"/>
            <w:tcBorders>
              <w:top w:val="nil"/>
              <w:left w:val="nil"/>
              <w:right w:val="nil"/>
            </w:tcBorders>
          </w:tcPr>
          <w:p w14:paraId="5885AE6D"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900" w:type="dxa"/>
            <w:tcBorders>
              <w:top w:val="nil"/>
              <w:left w:val="nil"/>
              <w:right w:val="nil"/>
            </w:tcBorders>
          </w:tcPr>
          <w:p w14:paraId="1B816C1C" w14:textId="77777777" w:rsidR="00CE1F5D" w:rsidRDefault="0000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17.6</w:t>
            </w:r>
          </w:p>
        </w:tc>
      </w:tr>
    </w:tbl>
    <w:p w14:paraId="2B5BB215" w14:textId="77777777" w:rsidR="00CE1F5D" w:rsidRDefault="00000000">
      <w:pPr>
        <w:spacing w:line="240" w:lineRule="auto"/>
        <w:ind w:firstLine="720"/>
      </w:pPr>
      <w:r>
        <w:lastRenderedPageBreak/>
        <w:t>Research question two described the organizations’ messages within these frames: roundup, fertility control, adoption, and wild horse management. For posts that mentioned “roundup,” nonprofit organizations focused on giving timely roundup updates, including the number of horses captured or killed and further reports. The American Wild Horse Campaign advertised policy changes they were pursuing: “We challenge the Biden Administration to live up to its promise of science-based governance by using this latest scientific information to re-evaluate federal wild horse roundup,” and continued to update followers on the status of their pursuits.</w:t>
      </w:r>
      <w:r>
        <w:rPr>
          <w:rFonts w:ascii="Arial" w:eastAsia="Arial" w:hAnsi="Arial" w:cs="Arial"/>
          <w:color w:val="E4E6EB"/>
          <w:sz w:val="23"/>
          <w:szCs w:val="23"/>
        </w:rPr>
        <w:t xml:space="preserve"> </w:t>
      </w:r>
      <w:r>
        <w:t>Contrarily, the BLM’s messages about gather operations included links to studies on how they were a safe management option.</w:t>
      </w:r>
    </w:p>
    <w:p w14:paraId="77CB98D5" w14:textId="77777777" w:rsidR="00CE1F5D" w:rsidRDefault="00CE1F5D">
      <w:pPr>
        <w:spacing w:line="240" w:lineRule="auto"/>
      </w:pPr>
    </w:p>
    <w:p w14:paraId="58B30EFA" w14:textId="77777777" w:rsidR="00CE1F5D" w:rsidRDefault="00000000">
      <w:pPr>
        <w:spacing w:line="240" w:lineRule="auto"/>
        <w:ind w:firstLine="720"/>
      </w:pPr>
      <w:r>
        <w:t>Posts about fertility control discussed sterilization such as Porcine Zona Pellucida (PZP-22), including a post by Return to Freedom that communicated BLM plans to “treat and release with the fertility control vaccine PZP-22 up to 30 mares.” The American Wild Horse Campaign mentioned political actions taking place. The BLM mentioned fertility control the least of the four groups and spoke about improvements they were planning to make: “The BLM has extended the deadline for new research proposals to develop safe, effective and longer-lasting fertility control methods…”.</w:t>
      </w:r>
    </w:p>
    <w:p w14:paraId="6852605D" w14:textId="77777777" w:rsidR="00CE1F5D" w:rsidRDefault="00CE1F5D">
      <w:pPr>
        <w:spacing w:line="240" w:lineRule="auto"/>
        <w:ind w:firstLine="720"/>
      </w:pPr>
    </w:p>
    <w:p w14:paraId="3B47BDEE" w14:textId="77777777" w:rsidR="00CE1F5D" w:rsidRDefault="00000000">
      <w:pPr>
        <w:spacing w:line="240" w:lineRule="auto"/>
        <w:ind w:firstLine="720"/>
      </w:pPr>
      <w:r>
        <w:t xml:space="preserve">The BLM’s messages mentioning adoption advertised information on upcoming events and additional resources for viewers to learn how to get involved. The BLM even connected other practices, such as gathers, back to adoption: “Check out this story of an Idaho adopter who finally was able to take home not just one, but three wild horses gathered from the Challis Herd Management Area, thanks in part to the Adoption Incentive Program.” The nonprofit organizations voiced their concerns about the BLM’s adoption fees and incentive programs, including direct quotes and statements. </w:t>
      </w:r>
    </w:p>
    <w:p w14:paraId="4A4E2DC0" w14:textId="77777777" w:rsidR="00CE1F5D" w:rsidRDefault="00CE1F5D">
      <w:pPr>
        <w:spacing w:line="240" w:lineRule="auto"/>
        <w:ind w:firstLine="720"/>
      </w:pPr>
    </w:p>
    <w:p w14:paraId="343DF3DF" w14:textId="77777777" w:rsidR="00CE1F5D" w:rsidRDefault="00000000">
      <w:pPr>
        <w:spacing w:line="240" w:lineRule="auto"/>
        <w:ind w:firstLine="720"/>
      </w:pPr>
      <w:r>
        <w:t>Of the posts mentioning wild horse management, 72.2% of them were from Return to Freedom, Wild Horse Conservation. The mission statement on Return to Freedom’s Facebook page is about conservation of wild horse freedom and habitats, thus posting about how the management of the horses is relevant to their goals. These posts contained calls to action or links to petitions for their followers, providing resources for followers to engage and build a community around their mission. As the organization that conducts the management of wild horses, the BLM focused on mentioning their practices: #FunFactFriday: “The Bureau of Land Management uses aerial surveys to estimate wild horse and burro populations for each herd management area on public lands.”</w:t>
      </w:r>
    </w:p>
    <w:p w14:paraId="47C172AD" w14:textId="77777777" w:rsidR="00CE1F5D" w:rsidRDefault="00CE1F5D">
      <w:pPr>
        <w:spacing w:line="240" w:lineRule="auto"/>
      </w:pPr>
    </w:p>
    <w:p w14:paraId="63592752" w14:textId="77777777" w:rsidR="00CE1F5D" w:rsidRDefault="00000000">
      <w:pPr>
        <w:spacing w:line="240" w:lineRule="auto"/>
        <w:jc w:val="center"/>
        <w:rPr>
          <w:b/>
        </w:rPr>
      </w:pPr>
      <w:r>
        <w:rPr>
          <w:b/>
        </w:rPr>
        <w:t>Conclusions/Discussion/Implications</w:t>
      </w:r>
    </w:p>
    <w:p w14:paraId="6E4651C6" w14:textId="77777777" w:rsidR="00CE1F5D" w:rsidRDefault="00CE1F5D">
      <w:pPr>
        <w:spacing w:line="240" w:lineRule="auto"/>
        <w:jc w:val="center"/>
        <w:rPr>
          <w:b/>
        </w:rPr>
      </w:pPr>
    </w:p>
    <w:p w14:paraId="1ABC02BB" w14:textId="77777777" w:rsidR="00CE1F5D" w:rsidRDefault="00000000">
      <w:pPr>
        <w:spacing w:line="240" w:lineRule="auto"/>
        <w:ind w:firstLine="720"/>
      </w:pPr>
      <w:r>
        <w:t xml:space="preserve">This study’s implications for practitioners include knowledge of organizations’ and government agency’s social media messages about wild horse management. The compilation of posts by keywords and frames would help organizations know whether their posts build a community around their messages or mission. The choice of keywords can reflect an organization’s purpose, goals, or mission statement, which drive how and what they communicate on social media (Baruah, 2012). The data found differences in the mention of keywords about fertility control and the removal of the horses from public rangelands. The BLM used gather or gathering operations to describe their process of removing horses from public </w:t>
      </w:r>
      <w:r>
        <w:lastRenderedPageBreak/>
        <w:t>lands, whereas the three nonprofit organizations referred to this management tool as roundups. The BLM published a small number of posts about fertility control, which was unexpected because the government organization uses a vaccine called PZP-22. The BLM could control the messaging by explaining its use of various forms of fertility control, its effectiveness, and funding of research projects to improve fertility control. These findings have implications on how we build agricultural literacy about wild horse management. The use of different keywords could confuse the public and influence their awareness and what they know about the management tools, ultimately influencing how they react to the BLM’s choices for how they manage the size of horse herds.</w:t>
      </w:r>
    </w:p>
    <w:p w14:paraId="39C185B1" w14:textId="77777777" w:rsidR="00CE1F5D" w:rsidRDefault="00CE1F5D">
      <w:pPr>
        <w:spacing w:line="240" w:lineRule="auto"/>
        <w:ind w:firstLine="720"/>
      </w:pPr>
    </w:p>
    <w:p w14:paraId="5032B543" w14:textId="77777777" w:rsidR="00CE1F5D" w:rsidRDefault="00000000">
      <w:pPr>
        <w:spacing w:line="240" w:lineRule="auto"/>
        <w:ind w:firstLine="720"/>
      </w:pPr>
      <w:r>
        <w:t xml:space="preserve">It was not surprising that the BLM’s adoption posts focused on their upcoming adoption events. The BLM initiative is to place wild horses into private care through its adoption and sales programs. The nonprofit organizations voiced their concerns about the BLM’s adoption fees and incentive programs, which could impact the public’s participation and support of the adoption and sales program. The BLM missed an opportunity to address public concerns about their program’s fees or incentives leading to the possible resale of wild horses to slaughter facilities, as the program’s success depends upon public participation. </w:t>
      </w:r>
    </w:p>
    <w:p w14:paraId="44609CA3" w14:textId="77777777" w:rsidR="00CE1F5D" w:rsidRDefault="00CE1F5D">
      <w:pPr>
        <w:spacing w:line="240" w:lineRule="auto"/>
        <w:jc w:val="center"/>
        <w:rPr>
          <w:b/>
        </w:rPr>
      </w:pPr>
    </w:p>
    <w:p w14:paraId="4965F620" w14:textId="77777777" w:rsidR="00CE1F5D" w:rsidRDefault="00000000">
      <w:pPr>
        <w:spacing w:line="240" w:lineRule="auto"/>
        <w:ind w:firstLine="720"/>
      </w:pPr>
      <w:r>
        <w:t>The messages about wild horse management intended to emphasize specific policies or management practices and exclude contrasting opinions to impact public opinion based on the organization’s goal. Of the posts mentioning wild horse management, 72.2% of them were from Return to Freedom, Wild Horse Conservation. Return to Freedom’s mission is conservation of wild horse freedom and habitats, so their posts on how to change herd management is relevant to their goals (Return to Freedom Wild Horse Conservation, n.d.). Furthermore, part of American Wild Horse Campaign’s mission is to reform federal and state legislation to improve the welfare of wild horses and burros on the range and in government holding facilities (American Wild Horse Campaign, n.d.), making policy updates relevant to their objectives as an organization.</w:t>
      </w:r>
    </w:p>
    <w:p w14:paraId="67A00C74" w14:textId="77777777" w:rsidR="00CE1F5D" w:rsidRDefault="00CE1F5D">
      <w:pPr>
        <w:spacing w:line="240" w:lineRule="auto"/>
      </w:pPr>
    </w:p>
    <w:p w14:paraId="020AAE63" w14:textId="1A101603" w:rsidR="00CE1F5D" w:rsidRDefault="00000000">
      <w:pPr>
        <w:spacing w:line="240" w:lineRule="auto"/>
        <w:ind w:firstLine="720"/>
        <w:rPr>
          <w:b/>
        </w:rPr>
      </w:pPr>
      <w:r>
        <w:t>One limitation of this study was that it focused on public Facebook pages; it did not include Twitter. Future research should identify the keywords and frames of tweets to gain deeper insights on the conversations about wild horse management. We only analyzed the posts published by the organizations and did not include the comments on the organizations’ public Facebook pages. Looking at comments of followers would be a recommendation for future studies to better understand what types of messages encourage engagement so that these organizations can improve their communication efforts. Coding each Facebook post for its communicative function is also a recommendation. The first function that Lovejoy and Saxon (2012) list is information, which consists of facts, current news, policies</w:t>
      </w:r>
      <w:r w:rsidR="00E947A6">
        <w:t>,</w:t>
      </w:r>
      <w:r>
        <w:t xml:space="preserve"> and ethical points. Another function is community, in which posts aim to facilitate and strengthen an online community through post engagement (</w:t>
      </w:r>
      <w:r w:rsidR="00E947A6">
        <w:t xml:space="preserve">Lovejoy &amp; Saxon, </w:t>
      </w:r>
      <w:r>
        <w:t xml:space="preserve">2012). The final function is action, where a post has </w:t>
      </w:r>
      <w:proofErr w:type="gramStart"/>
      <w:r>
        <w:t>direct</w:t>
      </w:r>
      <w:proofErr w:type="gramEnd"/>
      <w:r>
        <w:t xml:space="preserve"> instructions, utilizes links, and seeks to mobilize their viewers to reach a goal. By identifying what conversations and communicative functions are engaging people, organizations </w:t>
      </w:r>
      <w:r w:rsidR="00E947A6">
        <w:t xml:space="preserve">and government agencies </w:t>
      </w:r>
      <w:r>
        <w:t>can develop better social media marketing strategies, as well as improve the public’s literacy about complicated and multi-faceted issue</w:t>
      </w:r>
      <w:r w:rsidR="00E947A6">
        <w:t>s, such as wild horse management</w:t>
      </w:r>
      <w:r>
        <w:t>.</w:t>
      </w:r>
      <w:r>
        <w:br w:type="page"/>
      </w:r>
    </w:p>
    <w:p w14:paraId="6ED0C32F" w14:textId="77777777" w:rsidR="00CE1F5D" w:rsidRDefault="00000000">
      <w:pPr>
        <w:jc w:val="center"/>
      </w:pPr>
      <w:r>
        <w:rPr>
          <w:b/>
        </w:rPr>
        <w:lastRenderedPageBreak/>
        <w:t>References</w:t>
      </w:r>
    </w:p>
    <w:p w14:paraId="59DCDD42" w14:textId="77777777" w:rsidR="00CE1F5D" w:rsidRDefault="00000000">
      <w:pPr>
        <w:spacing w:line="240" w:lineRule="auto"/>
        <w:ind w:left="720" w:hanging="720"/>
      </w:pPr>
      <w:r>
        <w:t xml:space="preserve">American Wild Horse Campaign. (n.d.). </w:t>
      </w:r>
      <w:r>
        <w:rPr>
          <w:i/>
        </w:rPr>
        <w:t>Legislation</w:t>
      </w:r>
      <w:r>
        <w:t xml:space="preserve">. Retrieved April 18, 2022, from  </w:t>
      </w:r>
      <w:hyperlink r:id="rId7">
        <w:r>
          <w:rPr>
            <w:color w:val="0000FF"/>
            <w:u w:val="single"/>
          </w:rPr>
          <w:t>https://www.americanwildhorsecampaign.org/legislation</w:t>
        </w:r>
      </w:hyperlink>
    </w:p>
    <w:p w14:paraId="09210F36" w14:textId="77777777" w:rsidR="00CE1F5D" w:rsidRDefault="00CE1F5D">
      <w:pPr>
        <w:spacing w:line="240" w:lineRule="auto"/>
        <w:ind w:left="720" w:hanging="720"/>
      </w:pPr>
    </w:p>
    <w:p w14:paraId="5451431D" w14:textId="77777777" w:rsidR="00CE1F5D" w:rsidRDefault="00000000">
      <w:pPr>
        <w:spacing w:line="240" w:lineRule="auto"/>
        <w:ind w:left="720" w:hanging="720"/>
      </w:pPr>
      <w:r>
        <w:t xml:space="preserve">Baruah, T. D. (2012). Effectiveness of social media as a tool of communication and its potential </w:t>
      </w:r>
    </w:p>
    <w:p w14:paraId="4C8887BA" w14:textId="77777777" w:rsidR="00CE1F5D" w:rsidRDefault="00000000">
      <w:pPr>
        <w:spacing w:line="240" w:lineRule="auto"/>
        <w:ind w:left="720"/>
      </w:pPr>
      <w:r>
        <w:t>for technology enabled connections: A micro-level study.</w:t>
      </w:r>
      <w:r>
        <w:rPr>
          <w:i/>
        </w:rPr>
        <w:t xml:space="preserve"> International Journal of Scientific and Research Publications, 2</w:t>
      </w:r>
      <w:r>
        <w:t xml:space="preserve">(5), 1-10. </w:t>
      </w:r>
      <w:hyperlink r:id="rId8">
        <w:r>
          <w:rPr>
            <w:color w:val="0000FF"/>
            <w:u w:val="single"/>
          </w:rPr>
          <w:t>http://www.ijsrp.org/research_paper_may2012/ijsrp-may-2012-24.pdf</w:t>
        </w:r>
      </w:hyperlink>
    </w:p>
    <w:p w14:paraId="2CCBBC65" w14:textId="77777777" w:rsidR="00CE1F5D" w:rsidRDefault="00CE1F5D">
      <w:pPr>
        <w:spacing w:line="240" w:lineRule="auto"/>
      </w:pPr>
    </w:p>
    <w:p w14:paraId="1F072FA8" w14:textId="77777777" w:rsidR="00CE1F5D" w:rsidRDefault="00000000">
      <w:pPr>
        <w:spacing w:line="240" w:lineRule="auto"/>
      </w:pPr>
      <w:r>
        <w:t xml:space="preserve">Betts, K. (2009). Lost in translation: Importance of effective communication in online </w:t>
      </w:r>
    </w:p>
    <w:p w14:paraId="71BC0603" w14:textId="77777777" w:rsidR="00CE1F5D" w:rsidRDefault="00000000">
      <w:pPr>
        <w:spacing w:line="240" w:lineRule="auto"/>
        <w:ind w:left="720"/>
        <w:rPr>
          <w:b/>
        </w:rPr>
      </w:pPr>
      <w:r>
        <w:t xml:space="preserve">education. </w:t>
      </w:r>
      <w:r>
        <w:rPr>
          <w:i/>
        </w:rPr>
        <w:t>Online Journal of Distance Learning Administration</w:t>
      </w:r>
      <w:r>
        <w:t xml:space="preserve">, 12. </w:t>
      </w:r>
      <w:hyperlink r:id="rId9">
        <w:r>
          <w:rPr>
            <w:color w:val="1155CC"/>
            <w:u w:val="single"/>
          </w:rPr>
          <w:t>https://www.semanticscholar.org/paper/Lost-in-Translation%3A-Importance-of-Effective-in-Betts/7c07a4a6e4391736d20d6a6ed7d13a62124119d1</w:t>
        </w:r>
      </w:hyperlink>
    </w:p>
    <w:p w14:paraId="553F93F4" w14:textId="77777777" w:rsidR="00CE1F5D" w:rsidRDefault="00CE1F5D">
      <w:pPr>
        <w:spacing w:line="240" w:lineRule="auto"/>
        <w:ind w:left="720" w:hanging="720"/>
      </w:pPr>
    </w:p>
    <w:p w14:paraId="031BE304" w14:textId="77777777" w:rsidR="00CE1F5D" w:rsidRDefault="00000000">
      <w:pPr>
        <w:spacing w:line="240" w:lineRule="auto"/>
        <w:ind w:left="720" w:hanging="720"/>
        <w:rPr>
          <w:color w:val="1155CC"/>
          <w:u w:val="single"/>
        </w:rPr>
      </w:pPr>
      <w:r>
        <w:t xml:space="preserve">Bureau of Land Management. (n.d.). </w:t>
      </w:r>
      <w:r>
        <w:rPr>
          <w:i/>
        </w:rPr>
        <w:t xml:space="preserve">About wild horses and burros. </w:t>
      </w:r>
      <w:hyperlink r:id="rId10">
        <w:r>
          <w:rPr>
            <w:color w:val="0000FF"/>
            <w:u w:val="single"/>
          </w:rPr>
          <w:t>https://www.blm.gov/</w:t>
        </w:r>
        <w:r>
          <w:rPr>
            <w:color w:val="0000FF"/>
            <w:u w:val="single"/>
          </w:rPr>
          <w:br/>
          <w:t>programs/wild-horse-and-burro/about-the-program/about-wild-horses-and-burros</w:t>
        </w:r>
      </w:hyperlink>
    </w:p>
    <w:p w14:paraId="5FE0CF17" w14:textId="77777777" w:rsidR="00CE1F5D" w:rsidRDefault="00CE1F5D">
      <w:pPr>
        <w:spacing w:line="240" w:lineRule="auto"/>
      </w:pPr>
    </w:p>
    <w:p w14:paraId="4E759FDD" w14:textId="77777777" w:rsidR="00CE1F5D" w:rsidRDefault="00000000">
      <w:pPr>
        <w:spacing w:line="240" w:lineRule="auto"/>
        <w:ind w:left="720" w:hanging="720"/>
      </w:pPr>
      <w:r>
        <w:t xml:space="preserve">Bureau of Land Management. (2012, May 3). </w:t>
      </w:r>
      <w:r>
        <w:rPr>
          <w:i/>
        </w:rPr>
        <w:t xml:space="preserve">Bureau new media and social networking policy </w:t>
      </w:r>
      <w:r>
        <w:t>[</w:t>
      </w:r>
      <w:r>
        <w:rPr>
          <w:color w:val="212529"/>
        </w:rPr>
        <w:t>Memorandum]</w:t>
      </w:r>
      <w:r>
        <w:t xml:space="preserve">. </w:t>
      </w:r>
      <w:hyperlink r:id="rId11">
        <w:r>
          <w:rPr>
            <w:color w:val="1155CC"/>
            <w:u w:val="single"/>
          </w:rPr>
          <w:t>https://www.blm.gov/policy/im-2012-113</w:t>
        </w:r>
      </w:hyperlink>
    </w:p>
    <w:p w14:paraId="1182D175" w14:textId="77777777" w:rsidR="00CE1F5D" w:rsidRDefault="00CE1F5D">
      <w:pPr>
        <w:spacing w:line="240" w:lineRule="auto"/>
        <w:ind w:left="720" w:hanging="720"/>
      </w:pPr>
    </w:p>
    <w:p w14:paraId="62AA25C2" w14:textId="77777777" w:rsidR="00CE1F5D" w:rsidRDefault="00000000">
      <w:pPr>
        <w:spacing w:line="240" w:lineRule="auto"/>
        <w:ind w:left="720" w:hanging="720"/>
      </w:pPr>
      <w:r>
        <w:t xml:space="preserve">Bureau of Land Management. (2013, January 23). Wild horse and burro gathers: Internal and external communicating and reporting [Memorandum]. </w:t>
      </w:r>
      <w:hyperlink r:id="rId12">
        <w:r>
          <w:rPr>
            <w:color w:val="0000FF"/>
            <w:u w:val="single"/>
          </w:rPr>
          <w:t>https://www.blm.gov/policy/im-2013-061</w:t>
        </w:r>
      </w:hyperlink>
      <w:r>
        <w:t xml:space="preserve"> </w:t>
      </w:r>
    </w:p>
    <w:p w14:paraId="34775C6B" w14:textId="77777777" w:rsidR="00CE1F5D" w:rsidRDefault="00CE1F5D">
      <w:pPr>
        <w:spacing w:line="240" w:lineRule="auto"/>
        <w:ind w:left="720" w:hanging="720"/>
      </w:pPr>
    </w:p>
    <w:p w14:paraId="62213FA6" w14:textId="77777777" w:rsidR="00CE1F5D" w:rsidRDefault="00000000">
      <w:pPr>
        <w:spacing w:line="240" w:lineRule="auto"/>
        <w:ind w:left="720" w:hanging="720"/>
        <w:rPr>
          <w:b/>
        </w:rPr>
      </w:pPr>
      <w:r>
        <w:t xml:space="preserve">Bureau of Land Management. (2022, January 5). </w:t>
      </w:r>
      <w:r>
        <w:rPr>
          <w:i/>
        </w:rPr>
        <w:t xml:space="preserve">BLM releases annual plan for wild horse and burro gathers and fertility control operations </w:t>
      </w:r>
      <w:r>
        <w:t xml:space="preserve">[Press release]. </w:t>
      </w:r>
      <w:hyperlink r:id="rId13">
        <w:r>
          <w:rPr>
            <w:color w:val="0000FF"/>
            <w:u w:val="single"/>
          </w:rPr>
          <w:t>https://www.blm.gov/press-release/blm-releases-annual-plan-wild-horse-and-burro-gathers-and-fertility-control</w:t>
        </w:r>
      </w:hyperlink>
      <w:r>
        <w:t xml:space="preserve"> </w:t>
      </w:r>
    </w:p>
    <w:p w14:paraId="3093A7C9" w14:textId="77777777" w:rsidR="00CE1F5D" w:rsidRDefault="00CE1F5D">
      <w:pPr>
        <w:spacing w:line="240" w:lineRule="auto"/>
      </w:pPr>
    </w:p>
    <w:p w14:paraId="2B9893C0" w14:textId="77777777" w:rsidR="00CE1F5D" w:rsidRDefault="00000000">
      <w:pPr>
        <w:spacing w:line="240" w:lineRule="auto"/>
      </w:pPr>
      <w:r>
        <w:t xml:space="preserve">Daly, N. (2021, July 29). 86,000 wild mustangs that roam the west are at the center of Raging </w:t>
      </w:r>
    </w:p>
    <w:p w14:paraId="1768FC67" w14:textId="77777777" w:rsidR="00CE1F5D" w:rsidRDefault="00000000">
      <w:pPr>
        <w:spacing w:line="240" w:lineRule="auto"/>
        <w:ind w:left="720"/>
        <w:rPr>
          <w:color w:val="1155CC"/>
        </w:rPr>
      </w:pPr>
      <w:r>
        <w:t xml:space="preserve">controversy. </w:t>
      </w:r>
      <w:r>
        <w:rPr>
          <w:i/>
        </w:rPr>
        <w:t>National Geographic</w:t>
      </w:r>
      <w:r>
        <w:t xml:space="preserve">. </w:t>
      </w:r>
      <w:hyperlink r:id="rId14">
        <w:r>
          <w:rPr>
            <w:color w:val="1155CC"/>
            <w:u w:val="single"/>
          </w:rPr>
          <w:t>https://www.nationalgeographic.com/animals/article/86000-wild-mustangs-that-roam-the-west-are-at-the-center-of-raging-controversy</w:t>
        </w:r>
      </w:hyperlink>
    </w:p>
    <w:p w14:paraId="31A7B21E" w14:textId="77777777" w:rsidR="00CE1F5D" w:rsidRDefault="00CE1F5D">
      <w:pPr>
        <w:spacing w:line="240" w:lineRule="auto"/>
      </w:pPr>
    </w:p>
    <w:p w14:paraId="0968F34E" w14:textId="77777777" w:rsidR="00CE1F5D" w:rsidRDefault="00000000">
      <w:pPr>
        <w:spacing w:line="240" w:lineRule="auto"/>
        <w:ind w:left="720" w:hanging="720"/>
        <w:rPr>
          <w:color w:val="1155CC"/>
        </w:rPr>
      </w:pPr>
      <w:r>
        <w:rPr>
          <w:shd w:val="clear" w:color="auto" w:fill="FAFAFA"/>
        </w:rPr>
        <w:t xml:space="preserve">DeConcini, J. &amp; Rice, A. H. (2021). The influence of social media content framing on audience perceptions of the wild horse and burro controversy. </w:t>
      </w:r>
      <w:r>
        <w:rPr>
          <w:i/>
        </w:rPr>
        <w:t>Journal of Agricultural Education, 62</w:t>
      </w:r>
      <w:r>
        <w:rPr>
          <w:shd w:val="clear" w:color="auto" w:fill="FAFAFA"/>
        </w:rPr>
        <w:t>(4), 15-34.</w:t>
      </w:r>
      <w:r>
        <w:t xml:space="preserve"> </w:t>
      </w:r>
      <w:hyperlink r:id="rId15">
        <w:r>
          <w:rPr>
            <w:color w:val="1155CC"/>
            <w:u w:val="single"/>
            <w:shd w:val="clear" w:color="auto" w:fill="FAFAFA"/>
          </w:rPr>
          <w:t>https://doi.org/10.5032/jae.2021.04015</w:t>
        </w:r>
      </w:hyperlink>
    </w:p>
    <w:p w14:paraId="1A4AB8FA" w14:textId="77777777" w:rsidR="00CE1F5D" w:rsidRDefault="00CE1F5D">
      <w:pPr>
        <w:spacing w:line="240" w:lineRule="auto"/>
      </w:pPr>
    </w:p>
    <w:p w14:paraId="3FA706CB" w14:textId="77777777" w:rsidR="00CE1F5D" w:rsidRDefault="00000000">
      <w:pPr>
        <w:spacing w:line="240" w:lineRule="auto"/>
        <w:ind w:left="720" w:hanging="720"/>
        <w:rPr>
          <w:color w:val="1155CC"/>
        </w:rPr>
      </w:pPr>
      <w:r>
        <w:t xml:space="preserve">Frey, N. (2022, February). </w:t>
      </w:r>
      <w:r>
        <w:rPr>
          <w:i/>
        </w:rPr>
        <w:t>U. S. survey of the public knowledge and opinions of free-roaming horses and their management</w:t>
      </w:r>
      <w:r>
        <w:t xml:space="preserve">. USU Extension. </w:t>
      </w:r>
      <w:hyperlink r:id="rId16">
        <w:r>
          <w:rPr>
            <w:color w:val="1155CC"/>
            <w:u w:val="single"/>
          </w:rPr>
          <w:t>https://www.usuhumanwildlifeinteractions.com/knowledgeofwildhorses.html</w:t>
        </w:r>
      </w:hyperlink>
    </w:p>
    <w:p w14:paraId="05BC6787" w14:textId="77777777" w:rsidR="00CE1F5D" w:rsidRDefault="00CE1F5D">
      <w:pPr>
        <w:spacing w:line="240" w:lineRule="auto"/>
      </w:pPr>
    </w:p>
    <w:p w14:paraId="27DC47FD" w14:textId="77777777" w:rsidR="00CE1F5D" w:rsidRDefault="00000000">
      <w:pPr>
        <w:spacing w:line="240" w:lineRule="auto"/>
        <w:ind w:left="720" w:hanging="720"/>
      </w:pPr>
      <w:r>
        <w:t xml:space="preserve">Gordon, C. (2018). Framing and positioning. In H. E. Hamilton, D. Tannen, &amp; D. Schiffrin (Eds.), </w:t>
      </w:r>
      <w:r>
        <w:rPr>
          <w:i/>
        </w:rPr>
        <w:t>The handbook of discourse analysis</w:t>
      </w:r>
      <w:r>
        <w:t xml:space="preserve">, (2nd ed., pp. 324-345). Wiley Blackwell. </w:t>
      </w:r>
      <w:hyperlink r:id="rId17" w:anchor="v=onepage&amp;q&amp;f=false">
        <w:r>
          <w:rPr>
            <w:color w:val="1155CC"/>
            <w:u w:val="single"/>
          </w:rPr>
          <w:t>https://books.google.com/books?hl=en&amp;lr=&amp;id=B45FDwAAQBAJ&amp;oi=fnd&amp;pg=PA324&amp;ots=DzWLHuKZfQ&amp;sig=lFph_yYhqSuzSMdgA2idFI_7YG4#v=onepage&amp;q&amp;f=false</w:t>
        </w:r>
      </w:hyperlink>
    </w:p>
    <w:p w14:paraId="48C27340" w14:textId="77777777" w:rsidR="00CE1F5D" w:rsidRDefault="00CE1F5D">
      <w:pPr>
        <w:widowControl w:val="0"/>
        <w:spacing w:line="240" w:lineRule="auto"/>
        <w:ind w:left="509" w:right="320" w:hanging="478"/>
        <w:rPr>
          <w:color w:val="000000"/>
        </w:rPr>
      </w:pPr>
    </w:p>
    <w:p w14:paraId="66CC3CE2" w14:textId="77777777" w:rsidR="00CE1F5D" w:rsidRDefault="00000000">
      <w:pPr>
        <w:widowControl w:val="0"/>
        <w:spacing w:line="240" w:lineRule="auto"/>
        <w:ind w:left="509" w:right="320" w:hanging="478"/>
        <w:rPr>
          <w:color w:val="000000"/>
        </w:rPr>
      </w:pPr>
      <w:r>
        <w:rPr>
          <w:color w:val="000000"/>
        </w:rPr>
        <w:t xml:space="preserve">Kovar, K., &amp; Ball, A. (2013). Two decades of agricultural literacy research: A synthesis of the literature. </w:t>
      </w:r>
      <w:r>
        <w:rPr>
          <w:i/>
          <w:color w:val="000000"/>
        </w:rPr>
        <w:t>Journal of Agricultural Education</w:t>
      </w:r>
      <w:r>
        <w:rPr>
          <w:color w:val="000000"/>
        </w:rPr>
        <w:t xml:space="preserve">, </w:t>
      </w:r>
      <w:r>
        <w:rPr>
          <w:i/>
          <w:color w:val="000000"/>
        </w:rPr>
        <w:t>54</w:t>
      </w:r>
      <w:r>
        <w:rPr>
          <w:color w:val="000000"/>
        </w:rPr>
        <w:t xml:space="preserve">(1), 167–178.  </w:t>
      </w:r>
    </w:p>
    <w:p w14:paraId="444893C0" w14:textId="77777777" w:rsidR="00CE1F5D" w:rsidRDefault="00000000">
      <w:pPr>
        <w:widowControl w:val="0"/>
        <w:spacing w:line="240" w:lineRule="auto"/>
        <w:ind w:left="508"/>
      </w:pPr>
      <w:hyperlink r:id="rId18">
        <w:r>
          <w:rPr>
            <w:color w:val="1155CC"/>
            <w:u w:val="single"/>
          </w:rPr>
          <w:t>https://doi.org/10.5032/jae.2013.01167</w:t>
        </w:r>
      </w:hyperlink>
    </w:p>
    <w:p w14:paraId="2F590AF0" w14:textId="77777777" w:rsidR="00CE1F5D" w:rsidRDefault="00CE1F5D">
      <w:pPr>
        <w:spacing w:line="240" w:lineRule="auto"/>
      </w:pPr>
    </w:p>
    <w:p w14:paraId="06055908" w14:textId="77777777" w:rsidR="00CE1F5D" w:rsidRDefault="00000000">
      <w:pPr>
        <w:spacing w:line="240" w:lineRule="auto"/>
        <w:ind w:left="720" w:hanging="720"/>
      </w:pPr>
      <w:r>
        <w:t xml:space="preserve">Meyers, C., Irlbeck, E., Graybill-Leonard, M., &amp; Doerfert, D. (2011). Advocacy in agricultural social movements: Exploring Facebook as a public relations communication tool. </w:t>
      </w:r>
      <w:r>
        <w:rPr>
          <w:i/>
        </w:rPr>
        <w:t>Journal of Applied Communications, 95</w:t>
      </w:r>
      <w:r>
        <w:t xml:space="preserve">(3). </w:t>
      </w:r>
      <w:hyperlink r:id="rId19">
        <w:r>
          <w:rPr>
            <w:color w:val="1155CC"/>
            <w:u w:val="single"/>
          </w:rPr>
          <w:t>https://doi.org/10.4148/1051-0834.1166</w:t>
        </w:r>
      </w:hyperlink>
      <w:r>
        <w:t xml:space="preserve">  </w:t>
      </w:r>
    </w:p>
    <w:p w14:paraId="16353218" w14:textId="77777777" w:rsidR="00CE1F5D" w:rsidRDefault="00CE1F5D">
      <w:pPr>
        <w:spacing w:line="240" w:lineRule="auto"/>
        <w:ind w:left="720" w:hanging="720"/>
      </w:pPr>
    </w:p>
    <w:p w14:paraId="11CF8050" w14:textId="24E19602" w:rsidR="00CE1F5D" w:rsidRDefault="00000000">
      <w:pPr>
        <w:spacing w:line="240" w:lineRule="auto"/>
        <w:ind w:left="720" w:hanging="720"/>
        <w:rPr>
          <w:color w:val="1155CC"/>
          <w:highlight w:val="white"/>
        </w:rPr>
      </w:pPr>
      <w:r>
        <w:rPr>
          <w:color w:val="333333"/>
          <w:highlight w:val="white"/>
        </w:rPr>
        <w:t xml:space="preserve">Morrison, L. C. (2015). </w:t>
      </w:r>
      <w:r>
        <w:rPr>
          <w:i/>
          <w:color w:val="333333"/>
          <w:highlight w:val="white"/>
        </w:rPr>
        <w:t xml:space="preserve">The exploration of social media as a media relations tool for agricultural organizations </w:t>
      </w:r>
      <w:r>
        <w:rPr>
          <w:color w:val="333333"/>
          <w:highlight w:val="white"/>
        </w:rPr>
        <w:t>[Master’s thesis, The Ohio State University]. Ohio L</w:t>
      </w:r>
      <w:r w:rsidR="00E947A6">
        <w:rPr>
          <w:color w:val="333333"/>
          <w:highlight w:val="white"/>
        </w:rPr>
        <w:t>i</w:t>
      </w:r>
      <w:r>
        <w:rPr>
          <w:color w:val="333333"/>
          <w:highlight w:val="white"/>
        </w:rPr>
        <w:t xml:space="preserve">nk Electronic Theses &amp; Dissertations Center. </w:t>
      </w:r>
      <w:hyperlink r:id="rId20">
        <w:r>
          <w:rPr>
            <w:color w:val="1155CC"/>
            <w:highlight w:val="white"/>
            <w:u w:val="single"/>
          </w:rPr>
          <w:t>http://rave.ohiolink.edu/etdc/view?acc_num=osu1424880649</w:t>
        </w:r>
      </w:hyperlink>
    </w:p>
    <w:p w14:paraId="607A3C60" w14:textId="77777777" w:rsidR="00CE1F5D" w:rsidRDefault="00CE1F5D">
      <w:pPr>
        <w:spacing w:line="240" w:lineRule="auto"/>
        <w:ind w:left="720" w:hanging="720"/>
        <w:rPr>
          <w:i/>
          <w:color w:val="333333"/>
          <w:highlight w:val="white"/>
        </w:rPr>
      </w:pPr>
    </w:p>
    <w:p w14:paraId="4C6B1B5F" w14:textId="77777777" w:rsidR="00CE1F5D" w:rsidRDefault="00000000">
      <w:pPr>
        <w:spacing w:line="240" w:lineRule="auto"/>
        <w:ind w:left="720" w:hanging="720"/>
        <w:rPr>
          <w:color w:val="1155CC"/>
          <w:highlight w:val="white"/>
        </w:rPr>
      </w:pPr>
      <w:r>
        <w:rPr>
          <w:color w:val="333333"/>
          <w:highlight w:val="white"/>
        </w:rPr>
        <w:t xml:space="preserve">Return to Freedom, Wild Horse Conservation. (n.d.). </w:t>
      </w:r>
      <w:r>
        <w:rPr>
          <w:i/>
          <w:color w:val="333333"/>
        </w:rPr>
        <w:t>Home</w:t>
      </w:r>
      <w:r>
        <w:rPr>
          <w:color w:val="333333"/>
          <w:highlight w:val="white"/>
        </w:rPr>
        <w:t xml:space="preserve"> [Facebook page]. Facebook. Retrieved April 18, 2022, from </w:t>
      </w:r>
      <w:hyperlink r:id="rId21">
        <w:r>
          <w:rPr>
            <w:color w:val="1155CC"/>
            <w:highlight w:val="white"/>
            <w:u w:val="single"/>
          </w:rPr>
          <w:t>https://www.facebook.com/returntofreedom/about/</w:t>
        </w:r>
        <w:r>
          <w:rPr>
            <w:color w:val="1155CC"/>
            <w:highlight w:val="white"/>
            <w:u w:val="single"/>
          </w:rPr>
          <w:br/>
          <w:t>?ref=</w:t>
        </w:r>
        <w:proofErr w:type="spellStart"/>
        <w:r>
          <w:rPr>
            <w:color w:val="1155CC"/>
            <w:highlight w:val="white"/>
            <w:u w:val="single"/>
          </w:rPr>
          <w:t>page_internal</w:t>
        </w:r>
        <w:proofErr w:type="spellEnd"/>
      </w:hyperlink>
    </w:p>
    <w:p w14:paraId="4405E5F3" w14:textId="77777777" w:rsidR="00CE1F5D" w:rsidRDefault="00CE1F5D">
      <w:pPr>
        <w:spacing w:line="240" w:lineRule="auto"/>
      </w:pPr>
    </w:p>
    <w:p w14:paraId="31537E55" w14:textId="77777777" w:rsidR="00CE1F5D" w:rsidRDefault="00000000">
      <w:pPr>
        <w:widowControl w:val="0"/>
        <w:spacing w:line="240" w:lineRule="auto"/>
        <w:ind w:left="720" w:right="201" w:hanging="720"/>
        <w:rPr>
          <w:color w:val="1155CC"/>
        </w:rPr>
      </w:pPr>
      <w:r>
        <w:rPr>
          <w:color w:val="000000"/>
        </w:rPr>
        <w:t xml:space="preserve">Roberts, T. G., Harder, A., &amp; Brashears, M. T. (Eds). (2016). </w:t>
      </w:r>
      <w:r>
        <w:rPr>
          <w:i/>
          <w:color w:val="000000"/>
        </w:rPr>
        <w:t>American Association for Agricultural Education national research agenda: 2016-2020</w:t>
      </w:r>
      <w:r>
        <w:rPr>
          <w:color w:val="000000"/>
        </w:rPr>
        <w:t xml:space="preserve">. Gainesville, FL: </w:t>
      </w:r>
      <w:proofErr w:type="gramStart"/>
      <w:r>
        <w:rPr>
          <w:color w:val="000000"/>
        </w:rPr>
        <w:t>Department  of</w:t>
      </w:r>
      <w:proofErr w:type="gramEnd"/>
      <w:r>
        <w:rPr>
          <w:color w:val="000000"/>
        </w:rPr>
        <w:t xml:space="preserve"> Agricultural Education and Communication. </w:t>
      </w:r>
      <w:hyperlink r:id="rId22">
        <w:r>
          <w:rPr>
            <w:color w:val="1155CC"/>
            <w:u w:val="single"/>
          </w:rPr>
          <w:t>http://aaaeonline.org/resources/Documents/AAAE_National_Research_Agenda_2016-2020.pdf</w:t>
        </w:r>
      </w:hyperlink>
    </w:p>
    <w:p w14:paraId="6B2261A9" w14:textId="77777777" w:rsidR="00CE1F5D" w:rsidRDefault="00CE1F5D">
      <w:pPr>
        <w:spacing w:line="240" w:lineRule="auto"/>
      </w:pPr>
    </w:p>
    <w:p w14:paraId="210987FB" w14:textId="77777777" w:rsidR="00CE1F5D" w:rsidRDefault="00000000">
      <w:pPr>
        <w:spacing w:line="240" w:lineRule="auto"/>
        <w:ind w:left="720" w:hanging="720"/>
        <w:rPr>
          <w:i/>
          <w:color w:val="1155CC"/>
          <w:sz w:val="54"/>
          <w:szCs w:val="54"/>
        </w:rPr>
      </w:pPr>
      <w:r>
        <w:t xml:space="preserve">Scheufele, D. A., &amp; Tewksbury, D. (2007). Framing, agenda setting, and priming: The evolution of three media effects models: Models of media effects. </w:t>
      </w:r>
      <w:r>
        <w:rPr>
          <w:i/>
        </w:rPr>
        <w:t>Journal of Communication, 57</w:t>
      </w:r>
      <w:r>
        <w:t xml:space="preserve">(1), 9–20. </w:t>
      </w:r>
      <w:hyperlink r:id="rId23">
        <w:r>
          <w:rPr>
            <w:color w:val="1155CC"/>
            <w:u w:val="single"/>
          </w:rPr>
          <w:t>https://doi.org/10.1111/j.0021-9916.2007.00326.x</w:t>
        </w:r>
      </w:hyperlink>
    </w:p>
    <w:sectPr w:rsidR="00CE1F5D">
      <w:headerReference w:type="default" r:id="rId24"/>
      <w:footerReference w:type="even"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3525A" w14:textId="77777777" w:rsidR="00384AEF" w:rsidRDefault="00384AEF">
      <w:pPr>
        <w:spacing w:line="240" w:lineRule="auto"/>
      </w:pPr>
      <w:r>
        <w:separator/>
      </w:r>
    </w:p>
  </w:endnote>
  <w:endnote w:type="continuationSeparator" w:id="0">
    <w:p w14:paraId="56F6EDE4" w14:textId="77777777" w:rsidR="00384AEF" w:rsidRDefault="00384A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8D2F" w14:textId="77777777" w:rsidR="00CE1F5D" w:rsidRDefault="00000000">
    <w:pPr>
      <w:pBdr>
        <w:top w:val="nil"/>
        <w:left w:val="nil"/>
        <w:bottom w:val="nil"/>
        <w:right w:val="nil"/>
        <w:between w:val="nil"/>
      </w:pBdr>
      <w:tabs>
        <w:tab w:val="center" w:pos="4680"/>
        <w:tab w:val="right" w:pos="9360"/>
      </w:tabs>
      <w:spacing w:line="240" w:lineRule="auto"/>
      <w:jc w:val="center"/>
    </w:pPr>
    <w:r>
      <w:fldChar w:fldCharType="begin"/>
    </w:r>
    <w:r>
      <w:instrText>PAGE</w:instrText>
    </w:r>
    <w:r>
      <w:fldChar w:fldCharType="separate"/>
    </w:r>
    <w:r>
      <w:fldChar w:fldCharType="end"/>
    </w:r>
  </w:p>
  <w:p w14:paraId="5F990316" w14:textId="77777777" w:rsidR="00CE1F5D" w:rsidRDefault="00CE1F5D">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B6BF" w14:textId="77777777" w:rsidR="00CE1F5D" w:rsidRDefault="00000000">
    <w:pPr>
      <w:pBdr>
        <w:top w:val="nil"/>
        <w:left w:val="nil"/>
        <w:bottom w:val="nil"/>
        <w:right w:val="nil"/>
        <w:between w:val="nil"/>
      </w:pBdr>
      <w:tabs>
        <w:tab w:val="center" w:pos="4680"/>
        <w:tab w:val="right" w:pos="9360"/>
      </w:tabs>
      <w:spacing w:line="240" w:lineRule="auto"/>
      <w:jc w:val="center"/>
    </w:pPr>
    <w:r>
      <w:fldChar w:fldCharType="begin"/>
    </w:r>
    <w:r>
      <w:instrText>PAGE</w:instrText>
    </w:r>
    <w:r>
      <w:fldChar w:fldCharType="separate"/>
    </w:r>
    <w:r w:rsidR="00E947A6">
      <w:rPr>
        <w:noProof/>
      </w:rPr>
      <w:t>1</w:t>
    </w:r>
    <w:r>
      <w:fldChar w:fldCharType="end"/>
    </w:r>
  </w:p>
  <w:p w14:paraId="56AF7894" w14:textId="77777777" w:rsidR="00CE1F5D" w:rsidRDefault="00CE1F5D">
    <w:pPr>
      <w:pBdr>
        <w:top w:val="nil"/>
        <w:left w:val="nil"/>
        <w:bottom w:val="nil"/>
        <w:right w:val="nil"/>
        <w:between w:val="nil"/>
      </w:pBdr>
      <w:tabs>
        <w:tab w:val="center" w:pos="4680"/>
        <w:tab w:val="right" w:pos="9360"/>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74831" w14:textId="77777777" w:rsidR="00384AEF" w:rsidRDefault="00384AEF">
      <w:pPr>
        <w:spacing w:line="240" w:lineRule="auto"/>
      </w:pPr>
      <w:r>
        <w:separator/>
      </w:r>
    </w:p>
  </w:footnote>
  <w:footnote w:type="continuationSeparator" w:id="0">
    <w:p w14:paraId="7C68ADB8" w14:textId="77777777" w:rsidR="00384AEF" w:rsidRDefault="00384A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DCC95" w14:textId="77777777" w:rsidR="00CE1F5D" w:rsidRDefault="00CE1F5D">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5D"/>
    <w:rsid w:val="00384AEF"/>
    <w:rsid w:val="00CE1F5D"/>
    <w:rsid w:val="00E94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CF0521"/>
  <w15:docId w15:val="{C34D5DC9-1A5C-8B48-B7BA-51321326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firstLine="720"/>
      <w:outlineLvl w:val="0"/>
    </w:pPr>
    <w:rPr>
      <w:highlight w:val="whit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PlainTable2">
    <w:name w:val="Plain Table 2"/>
    <w:basedOn w:val="TableNormal"/>
    <w:uiPriority w:val="42"/>
    <w:rsid w:val="00BB5E81"/>
    <w:pPr>
      <w:spacing w:line="240" w:lineRule="auto"/>
    </w:pPr>
    <w:rPr>
      <w:rFonts w:asciiTheme="minorHAnsi" w:eastAsiaTheme="minorHAnsi" w:hAnsiTheme="minorHAnsi" w:cstheme="minorBidi"/>
      <w:color w:val="auto"/>
      <w:sz w:val="22"/>
      <w:szCs w:val="22"/>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206789"/>
    <w:pPr>
      <w:spacing w:before="100" w:beforeAutospacing="1" w:after="100" w:afterAutospacing="1" w:line="240" w:lineRule="auto"/>
    </w:pPr>
    <w:rPr>
      <w:color w:val="auto"/>
      <w:lang w:val="en-US"/>
    </w:rPr>
  </w:style>
  <w:style w:type="character" w:styleId="Hyperlink">
    <w:name w:val="Hyperlink"/>
    <w:basedOn w:val="DefaultParagraphFont"/>
    <w:uiPriority w:val="99"/>
    <w:unhideWhenUsed/>
    <w:rsid w:val="00206789"/>
    <w:rPr>
      <w:color w:val="0000FF"/>
      <w:u w:val="single"/>
    </w:rPr>
  </w:style>
  <w:style w:type="paragraph" w:customStyle="1" w:styleId="DecimalAligned">
    <w:name w:val="Decimal Aligned"/>
    <w:basedOn w:val="Normal"/>
    <w:uiPriority w:val="40"/>
    <w:qFormat/>
    <w:rsid w:val="00AD2462"/>
    <w:pPr>
      <w:tabs>
        <w:tab w:val="decimal" w:pos="360"/>
      </w:tabs>
      <w:spacing w:after="200" w:line="276" w:lineRule="auto"/>
    </w:pPr>
    <w:rPr>
      <w:rFonts w:asciiTheme="minorHAnsi" w:eastAsiaTheme="minorEastAsia" w:hAnsiTheme="minorHAnsi"/>
      <w:color w:val="auto"/>
      <w:sz w:val="22"/>
      <w:szCs w:val="22"/>
      <w:lang w:val="en-US"/>
    </w:rPr>
  </w:style>
  <w:style w:type="paragraph" w:styleId="Revision">
    <w:name w:val="Revision"/>
    <w:hidden/>
    <w:uiPriority w:val="99"/>
    <w:semiHidden/>
    <w:rsid w:val="002B1F8D"/>
    <w:pPr>
      <w:spacing w:line="240" w:lineRule="auto"/>
    </w:pPr>
  </w:style>
  <w:style w:type="paragraph" w:styleId="Header">
    <w:name w:val="header"/>
    <w:basedOn w:val="Normal"/>
    <w:link w:val="HeaderChar"/>
    <w:uiPriority w:val="99"/>
    <w:unhideWhenUsed/>
    <w:rsid w:val="00BC5435"/>
    <w:pPr>
      <w:tabs>
        <w:tab w:val="center" w:pos="4680"/>
        <w:tab w:val="right" w:pos="9360"/>
      </w:tabs>
      <w:spacing w:line="240" w:lineRule="auto"/>
    </w:pPr>
  </w:style>
  <w:style w:type="character" w:customStyle="1" w:styleId="HeaderChar">
    <w:name w:val="Header Char"/>
    <w:basedOn w:val="DefaultParagraphFont"/>
    <w:link w:val="Header"/>
    <w:uiPriority w:val="99"/>
    <w:rsid w:val="00BC5435"/>
  </w:style>
  <w:style w:type="paragraph" w:styleId="Footer">
    <w:name w:val="footer"/>
    <w:basedOn w:val="Normal"/>
    <w:link w:val="FooterChar"/>
    <w:uiPriority w:val="99"/>
    <w:unhideWhenUsed/>
    <w:rsid w:val="00BC5435"/>
    <w:pPr>
      <w:tabs>
        <w:tab w:val="center" w:pos="4680"/>
        <w:tab w:val="right" w:pos="9360"/>
      </w:tabs>
      <w:spacing w:line="240" w:lineRule="auto"/>
    </w:pPr>
  </w:style>
  <w:style w:type="character" w:customStyle="1" w:styleId="FooterChar">
    <w:name w:val="Footer Char"/>
    <w:basedOn w:val="DefaultParagraphFont"/>
    <w:link w:val="Footer"/>
    <w:uiPriority w:val="99"/>
    <w:rsid w:val="00BC5435"/>
  </w:style>
  <w:style w:type="character" w:styleId="PageNumber">
    <w:name w:val="page number"/>
    <w:basedOn w:val="DefaultParagraphFont"/>
    <w:uiPriority w:val="99"/>
    <w:semiHidden/>
    <w:unhideWhenUsed/>
    <w:rsid w:val="00BC5435"/>
  </w:style>
  <w:style w:type="character" w:styleId="UnresolvedMention">
    <w:name w:val="Unresolved Mention"/>
    <w:basedOn w:val="DefaultParagraphFont"/>
    <w:uiPriority w:val="99"/>
    <w:semiHidden/>
    <w:unhideWhenUsed/>
    <w:rsid w:val="000D5CC6"/>
    <w:rPr>
      <w:color w:val="605E5C"/>
      <w:shd w:val="clear" w:color="auto" w:fill="E1DFDD"/>
    </w:rPr>
  </w:style>
  <w:style w:type="table" w:customStyle="1" w:styleId="a">
    <w:basedOn w:val="TableNormal"/>
    <w:pPr>
      <w:spacing w:line="240" w:lineRule="auto"/>
    </w:pPr>
    <w:rPr>
      <w:rFonts w:ascii="Cambria" w:eastAsia="Cambria" w:hAnsi="Cambria" w:cs="Cambria"/>
      <w:color w:val="000000"/>
      <w:sz w:val="22"/>
      <w:szCs w:val="22"/>
    </w:r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jsrp.org/research_paper_may2012/ijsrp-may-2012-24.pdf" TargetMode="External"/><Relationship Id="rId13" Type="http://schemas.openxmlformats.org/officeDocument/2006/relationships/hyperlink" Target="https://www.blm.gov/press-release/blm-releases-annual-plan-wild-horse-and-burro-gathers-and-fertility-control" TargetMode="External"/><Relationship Id="rId18" Type="http://schemas.openxmlformats.org/officeDocument/2006/relationships/hyperlink" Target="https://doi.org/10.5032/jae.2013.01167"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facebook.com/returntofreedom/about/?ref=page_internal" TargetMode="External"/><Relationship Id="rId7" Type="http://schemas.openxmlformats.org/officeDocument/2006/relationships/hyperlink" Target="https://www.americanwildhorsecampaign.org/legislation" TargetMode="External"/><Relationship Id="rId12" Type="http://schemas.openxmlformats.org/officeDocument/2006/relationships/hyperlink" Target="https://www.blm.gov/policy/im-2013-061" TargetMode="External"/><Relationship Id="rId17" Type="http://schemas.openxmlformats.org/officeDocument/2006/relationships/hyperlink" Target="https://books.google.com/books?hl=en&amp;lr=&amp;id=B45FDwAAQBAJ&amp;oi=fnd&amp;pg=PA324&amp;ots=DzWLHuKZfQ&amp;sig=lFph_yYhqSuzSMdgA2idFI_7YG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suhumanwildlifeinteractions.com/knowledgeofwildhorses.html" TargetMode="External"/><Relationship Id="rId20" Type="http://schemas.openxmlformats.org/officeDocument/2006/relationships/hyperlink" Target="http://rave.ohiolink.edu/etdc/view?acc_num=osu142488064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lm.gov/policy/im-2012-11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5032/jae.2021.04015" TargetMode="External"/><Relationship Id="rId23" Type="http://schemas.openxmlformats.org/officeDocument/2006/relationships/hyperlink" Target="https://doi.org/10.1111/j.0021-9916.2007.00326.x" TargetMode="External"/><Relationship Id="rId28" Type="http://schemas.openxmlformats.org/officeDocument/2006/relationships/theme" Target="theme/theme1.xml"/><Relationship Id="rId10" Type="http://schemas.openxmlformats.org/officeDocument/2006/relationships/hyperlink" Target="https://www.blm.gov/programs/wild-horse-and-burro/about-the-program/about-wild-horses-and-burros" TargetMode="External"/><Relationship Id="rId19" Type="http://schemas.openxmlformats.org/officeDocument/2006/relationships/hyperlink" Target="https://doi.org/10.4148/1051-0834.1166" TargetMode="External"/><Relationship Id="rId4" Type="http://schemas.openxmlformats.org/officeDocument/2006/relationships/webSettings" Target="webSettings.xml"/><Relationship Id="rId9" Type="http://schemas.openxmlformats.org/officeDocument/2006/relationships/hyperlink" Target="https://www.semanticscholar.org/paper/Lost-in-Translation%3A-Importance-of-Effective-in-Betts/7c07a4a6e4391736d20d6a6ed7d13a62124119d1" TargetMode="External"/><Relationship Id="rId14" Type="http://schemas.openxmlformats.org/officeDocument/2006/relationships/hyperlink" Target="https://www.nationalgeographic.com/animals/article/86000-wild-mustangs-that-roam-the-west-are-at-the-center-of-raging-controversy" TargetMode="External"/><Relationship Id="rId22" Type="http://schemas.openxmlformats.org/officeDocument/2006/relationships/hyperlink" Target="http://aaaeonline.org/resources/Documents/AAAE_National_Research_Agenda_2016-2020.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9A2MjeNsZlakdAnU45Qn6bQ60w==">AMUW2mWTM03YtJZNB4AvBqnFTjw/te9etZxfSkvOZTRTPdc/ZpdQInHcM8ZNKOFR/vgW38T/fLGh9qz4bbp0y9MEizVPZhLezgSd40fDwFI4KH90/4cuI52dkZUJwZm83EEF99qsBoKE8omRHMwZMbo+GEpPK+QeJN/Aym3ExVx5J88V+FksrCI=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3316</Words>
  <Characters>18902</Characters>
  <Application>Microsoft Office Word</Application>
  <DocSecurity>0</DocSecurity>
  <Lines>157</Lines>
  <Paragraphs>44</Paragraphs>
  <ScaleCrop>false</ScaleCrop>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Kelsey Hall</cp:lastModifiedBy>
  <cp:revision>2</cp:revision>
  <dcterms:created xsi:type="dcterms:W3CDTF">2022-05-03T12:56:00Z</dcterms:created>
  <dcterms:modified xsi:type="dcterms:W3CDTF">2022-09-02T04:58:00Z</dcterms:modified>
</cp:coreProperties>
</file>