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5E1C" w:rsidRPr="00AA04F6" w:rsidRDefault="000A5E1C" w:rsidP="00AA04F6">
      <w:pPr>
        <w:pStyle w:val="NoSpacing"/>
        <w:jc w:val="center"/>
        <w:rPr>
          <w:rFonts w:ascii="Times New Roman" w:hAnsi="Times New Roman" w:cs="Times New Roman"/>
          <w:b/>
          <w:sz w:val="24"/>
          <w:szCs w:val="24"/>
        </w:rPr>
      </w:pPr>
      <w:r w:rsidRPr="00AA04F6">
        <w:rPr>
          <w:rFonts w:ascii="Times New Roman" w:hAnsi="Times New Roman" w:cs="Times New Roman"/>
          <w:b/>
          <w:sz w:val="24"/>
          <w:szCs w:val="24"/>
        </w:rPr>
        <w:t>Implementing a Workshop Evaluation Instrument Based on Satisfaction Attainment Theory</w:t>
      </w:r>
    </w:p>
    <w:p w:rsidR="000A5E1C" w:rsidRPr="00A23E90" w:rsidRDefault="000A5E1C" w:rsidP="00A23E90">
      <w:pPr>
        <w:pStyle w:val="NoSpacing"/>
        <w:jc w:val="center"/>
        <w:rPr>
          <w:rFonts w:ascii="Times New Roman" w:hAnsi="Times New Roman" w:cs="Times New Roman"/>
          <w:sz w:val="24"/>
          <w:szCs w:val="24"/>
        </w:rPr>
      </w:pPr>
      <w:r w:rsidRPr="00A23E90">
        <w:rPr>
          <w:rFonts w:ascii="Times New Roman" w:hAnsi="Times New Roman" w:cs="Times New Roman"/>
          <w:sz w:val="24"/>
          <w:szCs w:val="24"/>
        </w:rPr>
        <w:t xml:space="preserve">Jennifer </w:t>
      </w:r>
      <w:proofErr w:type="spellStart"/>
      <w:r w:rsidRPr="00A23E90">
        <w:rPr>
          <w:rFonts w:ascii="Times New Roman" w:hAnsi="Times New Roman" w:cs="Times New Roman"/>
          <w:sz w:val="24"/>
          <w:szCs w:val="24"/>
        </w:rPr>
        <w:t>Spraberry</w:t>
      </w:r>
      <w:proofErr w:type="spellEnd"/>
      <w:r w:rsidRPr="00A23E90">
        <w:rPr>
          <w:rFonts w:ascii="Times New Roman" w:hAnsi="Times New Roman" w:cs="Times New Roman"/>
          <w:sz w:val="24"/>
          <w:szCs w:val="24"/>
        </w:rPr>
        <w:t>, Mark Russell, Dr. Todd Brashears, Texas Tech University</w:t>
      </w:r>
    </w:p>
    <w:p w:rsidR="005B7147" w:rsidRPr="00A23E90" w:rsidRDefault="005B7147" w:rsidP="005B7147">
      <w:pPr>
        <w:pStyle w:val="NoSpacing"/>
        <w:jc w:val="center"/>
        <w:rPr>
          <w:rFonts w:ascii="Times New Roman" w:hAnsi="Times New Roman" w:cs="Times New Roman"/>
          <w:b/>
          <w:sz w:val="24"/>
          <w:szCs w:val="24"/>
        </w:rPr>
      </w:pPr>
    </w:p>
    <w:p w:rsidR="000A5E1C" w:rsidRPr="005B7147" w:rsidRDefault="000A5E1C" w:rsidP="005B7147">
      <w:pPr>
        <w:pStyle w:val="NoSpacing"/>
        <w:jc w:val="center"/>
        <w:rPr>
          <w:rFonts w:ascii="Times New Roman" w:hAnsi="Times New Roman" w:cs="Times New Roman"/>
          <w:b/>
          <w:sz w:val="24"/>
          <w:szCs w:val="24"/>
        </w:rPr>
      </w:pPr>
      <w:r w:rsidRPr="005B7147">
        <w:rPr>
          <w:rFonts w:ascii="Times New Roman" w:hAnsi="Times New Roman" w:cs="Times New Roman"/>
          <w:b/>
          <w:sz w:val="24"/>
          <w:szCs w:val="24"/>
        </w:rPr>
        <w:t>Introduction</w:t>
      </w:r>
    </w:p>
    <w:p w:rsidR="009136BC" w:rsidRDefault="000A5E1C" w:rsidP="00A05C9C">
      <w:pPr>
        <w:autoSpaceDE w:val="0"/>
        <w:autoSpaceDN w:val="0"/>
        <w:adjustRightInd w:val="0"/>
        <w:spacing w:after="0" w:line="240" w:lineRule="auto"/>
        <w:rPr>
          <w:rFonts w:ascii="Times New Roman" w:hAnsi="Times New Roman" w:cs="Times New Roman"/>
          <w:sz w:val="24"/>
          <w:szCs w:val="24"/>
        </w:rPr>
      </w:pPr>
      <w:r>
        <w:tab/>
      </w:r>
      <w:r>
        <w:rPr>
          <w:rFonts w:ascii="Times New Roman" w:hAnsi="Times New Roman" w:cs="Times New Roman"/>
          <w:sz w:val="24"/>
          <w:szCs w:val="24"/>
        </w:rPr>
        <w:t xml:space="preserve">Within the contextual area of Agricultural Education in Domestic and International Settings: Extension and Outreach in the </w:t>
      </w:r>
      <w:r w:rsidRPr="00B1693F">
        <w:rPr>
          <w:rFonts w:ascii="Times New Roman" w:hAnsi="Times New Roman"/>
          <w:i/>
          <w:sz w:val="24"/>
          <w:szCs w:val="24"/>
        </w:rPr>
        <w:t>National Research Agenda (NRA): Agricultural Education and Communication 2007-</w:t>
      </w:r>
      <w:r>
        <w:rPr>
          <w:rFonts w:ascii="Times New Roman" w:hAnsi="Times New Roman"/>
          <w:i/>
          <w:sz w:val="24"/>
          <w:szCs w:val="24"/>
        </w:rPr>
        <w:t xml:space="preserve">2010 </w:t>
      </w:r>
      <w:r w:rsidRPr="00017CA6">
        <w:rPr>
          <w:rFonts w:ascii="Times New Roman" w:hAnsi="Times New Roman"/>
          <w:sz w:val="24"/>
          <w:szCs w:val="24"/>
        </w:rPr>
        <w:t>(</w:t>
      </w:r>
      <w:r>
        <w:rPr>
          <w:rFonts w:ascii="Times New Roman" w:hAnsi="Times New Roman" w:cs="Times New Roman"/>
          <w:sz w:val="24"/>
        </w:rPr>
        <w:t>Osborne, n.d.), an</w:t>
      </w:r>
      <w:r>
        <w:rPr>
          <w:rFonts w:ascii="Times New Roman" w:hAnsi="Times New Roman" w:cs="Times New Roman"/>
          <w:sz w:val="24"/>
          <w:szCs w:val="24"/>
        </w:rPr>
        <w:t xml:space="preserve"> identified research </w:t>
      </w:r>
      <w:r w:rsidR="00E04E51">
        <w:rPr>
          <w:rFonts w:ascii="Times New Roman" w:hAnsi="Times New Roman" w:cs="Times New Roman"/>
          <w:sz w:val="24"/>
          <w:szCs w:val="24"/>
        </w:rPr>
        <w:t>priority area</w:t>
      </w:r>
      <w:r>
        <w:rPr>
          <w:rFonts w:ascii="Times New Roman" w:hAnsi="Times New Roman" w:cs="Times New Roman"/>
          <w:sz w:val="24"/>
          <w:szCs w:val="24"/>
        </w:rPr>
        <w:t xml:space="preserve"> is to </w:t>
      </w:r>
      <w:r>
        <w:rPr>
          <w:rFonts w:ascii="Times New Roman" w:hAnsi="Times New Roman" w:cs="Times New Roman"/>
          <w:sz w:val="24"/>
        </w:rPr>
        <w:t>i</w:t>
      </w:r>
      <w:r w:rsidRPr="001E531A">
        <w:rPr>
          <w:rFonts w:ascii="Times New Roman" w:hAnsi="Times New Roman" w:cs="Times New Roman"/>
          <w:sz w:val="24"/>
        </w:rPr>
        <w:t xml:space="preserve">dentify and </w:t>
      </w:r>
      <w:r>
        <w:rPr>
          <w:rFonts w:ascii="Times New Roman" w:hAnsi="Times New Roman" w:cs="Times New Roman"/>
          <w:sz w:val="24"/>
        </w:rPr>
        <w:t xml:space="preserve">use evaluation systems to assess program impact. </w:t>
      </w:r>
      <w:r w:rsidRPr="00954B6E">
        <w:rPr>
          <w:rFonts w:ascii="Times New Roman" w:hAnsi="Times New Roman" w:cs="Times New Roman"/>
          <w:sz w:val="24"/>
          <w:szCs w:val="24"/>
        </w:rPr>
        <w:t>Kirkpatrick (</w:t>
      </w:r>
      <w:r>
        <w:rPr>
          <w:rFonts w:ascii="Times New Roman" w:hAnsi="Times New Roman" w:cs="Times New Roman"/>
          <w:sz w:val="24"/>
          <w:szCs w:val="24"/>
        </w:rPr>
        <w:t>1994</w:t>
      </w:r>
      <w:r w:rsidRPr="00954B6E">
        <w:rPr>
          <w:rFonts w:ascii="Times New Roman" w:hAnsi="Times New Roman" w:cs="Times New Roman"/>
          <w:sz w:val="24"/>
          <w:szCs w:val="24"/>
        </w:rPr>
        <w:t>)</w:t>
      </w:r>
      <w:r>
        <w:rPr>
          <w:rFonts w:ascii="Times New Roman" w:hAnsi="Times New Roman" w:cs="Times New Roman"/>
          <w:sz w:val="24"/>
          <w:szCs w:val="24"/>
        </w:rPr>
        <w:t xml:space="preserve"> said evaluation is needed to make sure training or workshops are meeting an organization’s goals, to determine what information should be included in trainings, and to decide if additional training programs are needed. </w:t>
      </w:r>
    </w:p>
    <w:p w:rsidR="00E85133" w:rsidRDefault="00E85133" w:rsidP="00A05C9C">
      <w:pPr>
        <w:autoSpaceDE w:val="0"/>
        <w:autoSpaceDN w:val="0"/>
        <w:adjustRightInd w:val="0"/>
        <w:spacing w:after="0" w:line="240" w:lineRule="auto"/>
        <w:rPr>
          <w:rFonts w:ascii="Times New Roman" w:hAnsi="Times New Roman" w:cs="Times New Roman"/>
          <w:sz w:val="24"/>
          <w:szCs w:val="24"/>
        </w:rPr>
      </w:pPr>
    </w:p>
    <w:p w:rsidR="009136BC" w:rsidRDefault="009136BC" w:rsidP="00A05C9C">
      <w:pPr>
        <w:autoSpaceDE w:val="0"/>
        <w:autoSpaceDN w:val="0"/>
        <w:adjustRightInd w:val="0"/>
        <w:spacing w:after="0" w:line="240" w:lineRule="auto"/>
        <w:ind w:firstLine="720"/>
        <w:rPr>
          <w:rFonts w:ascii="Times New Roman" w:hAnsi="Times New Roman"/>
          <w:sz w:val="24"/>
          <w:szCs w:val="24"/>
        </w:rPr>
      </w:pPr>
      <w:r>
        <w:rPr>
          <w:rFonts w:ascii="Times New Roman" w:hAnsi="Times New Roman"/>
          <w:sz w:val="24"/>
          <w:szCs w:val="24"/>
        </w:rPr>
        <w:t xml:space="preserve">The International Center for Food and Industry Excellence (ICFIE) hosts many workshops to educate industry professionals in improving food safety at both the pre-harvest and post-harvest levels. These workshops take place both in the United States and internationally. ICFIE continues to seek new and innovative ideas to improve their food safety workshops. Moreover, ICFIE strives to provide workshop participants with clear, concise information that will help improve the safety of the food production system. Currently, IFCIE personnel use a variety of instruments to evaluate the effectiveness of their workshops. </w:t>
      </w:r>
    </w:p>
    <w:p w:rsidR="00E85133" w:rsidRPr="009136BC" w:rsidRDefault="00E85133" w:rsidP="00A05C9C">
      <w:pPr>
        <w:autoSpaceDE w:val="0"/>
        <w:autoSpaceDN w:val="0"/>
        <w:adjustRightInd w:val="0"/>
        <w:spacing w:after="0" w:line="240" w:lineRule="auto"/>
        <w:ind w:firstLine="720"/>
        <w:rPr>
          <w:rFonts w:ascii="Times New Roman" w:hAnsi="Times New Roman" w:cs="Times New Roman"/>
          <w:sz w:val="24"/>
          <w:szCs w:val="24"/>
        </w:rPr>
      </w:pPr>
    </w:p>
    <w:p w:rsidR="009136BC" w:rsidRDefault="009136BC" w:rsidP="00A05C9C">
      <w:pPr>
        <w:autoSpaceDE w:val="0"/>
        <w:autoSpaceDN w:val="0"/>
        <w:spacing w:line="240" w:lineRule="auto"/>
        <w:ind w:firstLine="720"/>
        <w:rPr>
          <w:rFonts w:ascii="Times New Roman" w:hAnsi="Times New Roman"/>
          <w:sz w:val="24"/>
          <w:szCs w:val="24"/>
        </w:rPr>
      </w:pPr>
      <w:r>
        <w:rPr>
          <w:rFonts w:ascii="Times New Roman" w:hAnsi="Times New Roman"/>
          <w:sz w:val="24"/>
          <w:szCs w:val="24"/>
        </w:rPr>
        <w:t xml:space="preserve">One method to develop an evaluation instrument it to use the Satisfaction Attainment Theory, which is a causal model of meeting satisfaction based on three constructs: satisfaction outcomes (SO), satisfaction process (SP) and perceived net goal attainment (PN) (Briggs, de </w:t>
      </w:r>
      <w:proofErr w:type="spellStart"/>
      <w:r>
        <w:rPr>
          <w:rFonts w:ascii="Times New Roman" w:hAnsi="Times New Roman"/>
          <w:sz w:val="24"/>
          <w:szCs w:val="24"/>
        </w:rPr>
        <w:t>Vreede</w:t>
      </w:r>
      <w:proofErr w:type="spellEnd"/>
      <w:r>
        <w:rPr>
          <w:rFonts w:ascii="Times New Roman" w:hAnsi="Times New Roman"/>
          <w:sz w:val="24"/>
          <w:szCs w:val="24"/>
        </w:rPr>
        <w:t xml:space="preserve">, &amp; Reining, 2002). ICFIE uses an instrument based on the SAT to evaluate the participants’ satisfaction of workshops. Before this theory was implemented for instrument development, ICFIE had no standardized model of evaluating workshops. The purpose of this project was </w:t>
      </w:r>
      <w:r w:rsidR="009476D3">
        <w:rPr>
          <w:rFonts w:ascii="Times New Roman" w:hAnsi="Times New Roman"/>
          <w:sz w:val="24"/>
          <w:szCs w:val="24"/>
        </w:rPr>
        <w:t xml:space="preserve">to </w:t>
      </w:r>
      <w:r>
        <w:rPr>
          <w:rFonts w:ascii="Times New Roman" w:hAnsi="Times New Roman"/>
          <w:sz w:val="24"/>
          <w:szCs w:val="24"/>
        </w:rPr>
        <w:t xml:space="preserve">test an instrument for workshop evaluation developed using the SAT. </w:t>
      </w:r>
    </w:p>
    <w:p w:rsidR="000A5E1C" w:rsidRPr="005D4363" w:rsidRDefault="000A5E1C" w:rsidP="00A05C9C">
      <w:pPr>
        <w:pStyle w:val="NoSpacing"/>
        <w:jc w:val="center"/>
        <w:rPr>
          <w:rFonts w:ascii="Times New Roman" w:hAnsi="Times New Roman" w:cs="Times New Roman"/>
          <w:b/>
          <w:sz w:val="24"/>
        </w:rPr>
      </w:pPr>
      <w:r w:rsidRPr="005D4363">
        <w:rPr>
          <w:rFonts w:ascii="Times New Roman" w:hAnsi="Times New Roman" w:cs="Times New Roman"/>
          <w:b/>
          <w:sz w:val="24"/>
        </w:rPr>
        <w:t>Methodology</w:t>
      </w:r>
    </w:p>
    <w:p w:rsidR="000A5E1C" w:rsidRPr="00AA04F6" w:rsidRDefault="000A5E1C" w:rsidP="00B445E2">
      <w:pPr>
        <w:spacing w:line="240" w:lineRule="auto"/>
        <w:ind w:firstLine="720"/>
        <w:rPr>
          <w:rFonts w:ascii="Times New Roman" w:hAnsi="Times New Roman" w:cs="Times New Roman"/>
          <w:b/>
          <w:sz w:val="24"/>
          <w:szCs w:val="24"/>
        </w:rPr>
      </w:pPr>
      <w:r w:rsidRPr="00AA04F6">
        <w:rPr>
          <w:rFonts w:ascii="Times New Roman" w:hAnsi="Times New Roman" w:cs="Times New Roman"/>
          <w:sz w:val="24"/>
          <w:szCs w:val="24"/>
        </w:rPr>
        <w:t xml:space="preserve">Data were collected on June 17, 2009 at a workshop for food safety at the pre-harvest level. Participants included 30 beef industry professionals. At the conclusion of the three-day workshop, each participant was asked to complete the workshop evaluation instrument. This instrument consisted of 15 items with five items representing each of the three SAT constructs. All 30 instruments were completed and collected by the researchers. Analysis was conducted using SPSS version 16.0. </w:t>
      </w:r>
    </w:p>
    <w:p w:rsidR="000A5E1C" w:rsidRDefault="000A5E1C" w:rsidP="000A5E1C">
      <w:pPr>
        <w:pStyle w:val="NoSpacing"/>
        <w:ind w:left="360"/>
        <w:jc w:val="center"/>
        <w:rPr>
          <w:rFonts w:ascii="Times New Roman" w:hAnsi="Times New Roman" w:cs="Times New Roman"/>
          <w:b/>
          <w:sz w:val="24"/>
        </w:rPr>
      </w:pPr>
    </w:p>
    <w:p w:rsidR="000A5E1C" w:rsidRPr="00C842C9" w:rsidRDefault="000A5E1C" w:rsidP="00A05C9C">
      <w:pPr>
        <w:pStyle w:val="NoSpacing"/>
        <w:jc w:val="center"/>
        <w:rPr>
          <w:rFonts w:ascii="Times New Roman" w:hAnsi="Times New Roman" w:cs="Times New Roman"/>
          <w:b/>
          <w:sz w:val="24"/>
          <w:szCs w:val="24"/>
        </w:rPr>
      </w:pPr>
      <w:r w:rsidRPr="005F4FCF">
        <w:rPr>
          <w:rFonts w:ascii="Times New Roman" w:hAnsi="Times New Roman" w:cs="Times New Roman"/>
          <w:b/>
          <w:sz w:val="24"/>
        </w:rPr>
        <w:t>Results</w:t>
      </w:r>
      <w:r>
        <w:rPr>
          <w:rFonts w:ascii="Times New Roman" w:hAnsi="Times New Roman" w:cs="Times New Roman"/>
          <w:b/>
          <w:sz w:val="24"/>
        </w:rPr>
        <w:t>/</w:t>
      </w:r>
      <w:r w:rsidRPr="00422639">
        <w:rPr>
          <w:rFonts w:ascii="Times New Roman" w:hAnsi="Times New Roman" w:cs="Times New Roman"/>
          <w:b/>
          <w:sz w:val="24"/>
          <w:szCs w:val="24"/>
        </w:rPr>
        <w:t xml:space="preserve"> </w:t>
      </w:r>
      <w:r w:rsidRPr="00C842C9">
        <w:rPr>
          <w:rFonts w:ascii="Times New Roman" w:hAnsi="Times New Roman" w:cs="Times New Roman"/>
          <w:b/>
          <w:sz w:val="24"/>
          <w:szCs w:val="24"/>
        </w:rPr>
        <w:t>Implications</w:t>
      </w:r>
    </w:p>
    <w:p w:rsidR="000A5E1C" w:rsidRDefault="000A5E1C" w:rsidP="00B445E2">
      <w:pPr>
        <w:spacing w:line="240" w:lineRule="auto"/>
        <w:ind w:firstLine="720"/>
        <w:rPr>
          <w:rFonts w:ascii="Times New Roman" w:hAnsi="Times New Roman" w:cs="Times New Roman"/>
          <w:sz w:val="24"/>
        </w:rPr>
      </w:pPr>
      <w:r>
        <w:rPr>
          <w:rFonts w:ascii="Times New Roman" w:hAnsi="Times New Roman" w:cs="Times New Roman"/>
          <w:sz w:val="24"/>
        </w:rPr>
        <w:t xml:space="preserve">Analysis of the three constructs can be seen in Table 1. Reliability scores within the three constructs were adequate indicating consistency of response on like items. Measures of central tendency were high and similar between constructs indicating satisfaction in all areas on the part of the participants. This instrument appears adequate for providing evaluation data to the researchers for the purpose of future improvement. The three constructs allows </w:t>
      </w:r>
      <w:r>
        <w:rPr>
          <w:rFonts w:ascii="Times New Roman" w:hAnsi="Times New Roman" w:cs="Times New Roman"/>
          <w:sz w:val="24"/>
        </w:rPr>
        <w:lastRenderedPageBreak/>
        <w:t xml:space="preserve">workshop presenters to focus on improving specific areas when participant satisfaction decreases in a single construct area. </w:t>
      </w:r>
    </w:p>
    <w:p w:rsidR="000A5E1C" w:rsidRPr="005F4FCF" w:rsidRDefault="000A5E1C" w:rsidP="000A5E1C">
      <w:pPr>
        <w:spacing w:before="240" w:after="0" w:line="240" w:lineRule="auto"/>
        <w:ind w:left="360"/>
        <w:rPr>
          <w:rFonts w:ascii="Times New Roman" w:hAnsi="Times New Roman" w:cs="Times New Roman"/>
          <w:sz w:val="24"/>
        </w:rPr>
      </w:pPr>
      <w:proofErr w:type="gramStart"/>
      <w:r>
        <w:rPr>
          <w:rFonts w:ascii="Times New Roman" w:hAnsi="Times New Roman" w:cs="Times New Roman"/>
          <w:sz w:val="24"/>
        </w:rPr>
        <w:t>Table 1.</w:t>
      </w:r>
      <w:proofErr w:type="gramEnd"/>
      <w:r>
        <w:rPr>
          <w:rFonts w:ascii="Times New Roman" w:hAnsi="Times New Roman" w:cs="Times New Roman"/>
          <w:sz w:val="24"/>
        </w:rPr>
        <w:t xml:space="preserve"> </w:t>
      </w:r>
      <w:r w:rsidRPr="00FD2A90">
        <w:rPr>
          <w:rFonts w:ascii="Times New Roman" w:hAnsi="Times New Roman" w:cs="Times New Roman"/>
          <w:i/>
          <w:sz w:val="24"/>
        </w:rPr>
        <w:t>Construct reliability a</w:t>
      </w:r>
      <w:r w:rsidR="005B7147">
        <w:rPr>
          <w:rFonts w:ascii="Times New Roman" w:hAnsi="Times New Roman" w:cs="Times New Roman"/>
          <w:i/>
          <w:sz w:val="24"/>
        </w:rPr>
        <w:t>nd measures of central tendency</w:t>
      </w:r>
      <w:r w:rsidRPr="00FD2A90">
        <w:rPr>
          <w:rFonts w:ascii="Times New Roman" w:hAnsi="Times New Roman" w:cs="Times New Roman"/>
          <w:i/>
          <w:sz w:val="24"/>
        </w:rPr>
        <w:t xml:space="preserve"> (N=30)</w:t>
      </w:r>
    </w:p>
    <w:tbl>
      <w:tblPr>
        <w:tblStyle w:val="TableGrid"/>
        <w:tblW w:w="0" w:type="auto"/>
        <w:tblLook w:val="04A0"/>
      </w:tblPr>
      <w:tblGrid>
        <w:gridCol w:w="2265"/>
        <w:gridCol w:w="1843"/>
        <w:gridCol w:w="1283"/>
        <w:gridCol w:w="1178"/>
        <w:gridCol w:w="1655"/>
      </w:tblGrid>
      <w:tr w:rsidR="000A5E1C" w:rsidTr="00AD09E4">
        <w:tc>
          <w:tcPr>
            <w:tcW w:w="2265" w:type="dxa"/>
            <w:tcBorders>
              <w:left w:val="nil"/>
              <w:bottom w:val="single" w:sz="4" w:space="0" w:color="000000" w:themeColor="text1"/>
              <w:right w:val="nil"/>
            </w:tcBorders>
          </w:tcPr>
          <w:p w:rsidR="000A5E1C" w:rsidRDefault="000A5E1C" w:rsidP="00AD09E4">
            <w:pPr>
              <w:spacing w:before="240"/>
              <w:ind w:left="360"/>
              <w:rPr>
                <w:rFonts w:ascii="Times New Roman" w:hAnsi="Times New Roman" w:cs="Times New Roman"/>
                <w:b/>
                <w:sz w:val="24"/>
                <w:szCs w:val="24"/>
              </w:rPr>
            </w:pPr>
          </w:p>
          <w:p w:rsidR="000A5E1C" w:rsidRPr="00D31256" w:rsidRDefault="000A5E1C" w:rsidP="00AD09E4">
            <w:pPr>
              <w:ind w:left="360"/>
              <w:rPr>
                <w:rFonts w:ascii="Times New Roman" w:hAnsi="Times New Roman" w:cs="Times New Roman"/>
                <w:b/>
                <w:sz w:val="24"/>
                <w:szCs w:val="24"/>
              </w:rPr>
            </w:pPr>
            <w:r w:rsidRPr="00D31256">
              <w:rPr>
                <w:rFonts w:ascii="Times New Roman" w:hAnsi="Times New Roman" w:cs="Times New Roman"/>
                <w:b/>
                <w:sz w:val="24"/>
                <w:szCs w:val="24"/>
              </w:rPr>
              <w:t>Construct</w:t>
            </w:r>
          </w:p>
        </w:tc>
        <w:tc>
          <w:tcPr>
            <w:tcW w:w="1843" w:type="dxa"/>
            <w:tcBorders>
              <w:left w:val="nil"/>
              <w:bottom w:val="single" w:sz="4" w:space="0" w:color="000000" w:themeColor="text1"/>
              <w:right w:val="nil"/>
            </w:tcBorders>
          </w:tcPr>
          <w:p w:rsidR="000A5E1C" w:rsidRPr="00D31256" w:rsidRDefault="000A5E1C" w:rsidP="00AD09E4">
            <w:pPr>
              <w:ind w:left="360"/>
              <w:jc w:val="center"/>
              <w:rPr>
                <w:rFonts w:ascii="Times New Roman" w:hAnsi="Times New Roman" w:cs="Times New Roman"/>
                <w:b/>
                <w:sz w:val="24"/>
                <w:szCs w:val="24"/>
              </w:rPr>
            </w:pPr>
            <w:r w:rsidRPr="00D31256">
              <w:rPr>
                <w:rFonts w:ascii="Times New Roman" w:hAnsi="Times New Roman" w:cs="Times New Roman"/>
                <w:b/>
                <w:sz w:val="24"/>
                <w:szCs w:val="24"/>
              </w:rPr>
              <w:t>Reliability</w:t>
            </w:r>
          </w:p>
          <w:p w:rsidR="000A5E1C" w:rsidRPr="00D31256" w:rsidRDefault="000A5E1C" w:rsidP="00AD09E4">
            <w:pPr>
              <w:ind w:left="360"/>
              <w:jc w:val="center"/>
              <w:rPr>
                <w:rFonts w:ascii="Times New Roman" w:hAnsi="Times New Roman" w:cs="Times New Roman"/>
                <w:b/>
                <w:sz w:val="24"/>
                <w:szCs w:val="24"/>
              </w:rPr>
            </w:pPr>
            <w:proofErr w:type="spellStart"/>
            <w:r w:rsidRPr="00D31256">
              <w:rPr>
                <w:rFonts w:ascii="Times New Roman" w:hAnsi="Times New Roman" w:cs="Times New Roman"/>
                <w:b/>
                <w:sz w:val="24"/>
                <w:szCs w:val="24"/>
              </w:rPr>
              <w:t>Cronbach’s</w:t>
            </w:r>
            <w:proofErr w:type="spellEnd"/>
            <w:r w:rsidRPr="00D31256">
              <w:rPr>
                <w:rFonts w:ascii="Times New Roman" w:hAnsi="Times New Roman" w:cs="Times New Roman"/>
                <w:b/>
                <w:sz w:val="24"/>
                <w:szCs w:val="24"/>
              </w:rPr>
              <w:t xml:space="preserve"> Alpha</w:t>
            </w:r>
          </w:p>
        </w:tc>
        <w:tc>
          <w:tcPr>
            <w:tcW w:w="1283" w:type="dxa"/>
            <w:tcBorders>
              <w:left w:val="nil"/>
              <w:bottom w:val="single" w:sz="4" w:space="0" w:color="000000" w:themeColor="text1"/>
              <w:right w:val="nil"/>
            </w:tcBorders>
          </w:tcPr>
          <w:p w:rsidR="000A5E1C" w:rsidRDefault="000A5E1C" w:rsidP="00AD09E4">
            <w:pPr>
              <w:ind w:left="360"/>
              <w:jc w:val="center"/>
              <w:rPr>
                <w:rFonts w:ascii="Times New Roman" w:hAnsi="Times New Roman" w:cs="Times New Roman"/>
                <w:b/>
                <w:sz w:val="24"/>
                <w:szCs w:val="24"/>
              </w:rPr>
            </w:pPr>
          </w:p>
          <w:p w:rsidR="000A5E1C" w:rsidRPr="00D31256" w:rsidRDefault="000A5E1C" w:rsidP="00AD09E4">
            <w:pPr>
              <w:ind w:left="360"/>
              <w:jc w:val="center"/>
              <w:rPr>
                <w:rFonts w:ascii="Times New Roman" w:hAnsi="Times New Roman" w:cs="Times New Roman"/>
                <w:b/>
                <w:sz w:val="24"/>
                <w:szCs w:val="24"/>
              </w:rPr>
            </w:pPr>
            <w:r w:rsidRPr="00D31256">
              <w:rPr>
                <w:rFonts w:ascii="Times New Roman" w:hAnsi="Times New Roman" w:cs="Times New Roman"/>
                <w:b/>
                <w:sz w:val="24"/>
                <w:szCs w:val="24"/>
              </w:rPr>
              <w:t xml:space="preserve">Mean </w:t>
            </w:r>
          </w:p>
        </w:tc>
        <w:tc>
          <w:tcPr>
            <w:tcW w:w="1178" w:type="dxa"/>
            <w:tcBorders>
              <w:left w:val="nil"/>
              <w:bottom w:val="single" w:sz="4" w:space="0" w:color="000000" w:themeColor="text1"/>
              <w:right w:val="nil"/>
            </w:tcBorders>
          </w:tcPr>
          <w:p w:rsidR="000A5E1C" w:rsidRDefault="000A5E1C" w:rsidP="00AD09E4">
            <w:pPr>
              <w:ind w:left="360"/>
              <w:jc w:val="center"/>
              <w:rPr>
                <w:rFonts w:ascii="Times New Roman" w:hAnsi="Times New Roman" w:cs="Times New Roman"/>
                <w:b/>
                <w:sz w:val="24"/>
                <w:szCs w:val="24"/>
              </w:rPr>
            </w:pPr>
          </w:p>
          <w:p w:rsidR="000A5E1C" w:rsidRPr="00D31256" w:rsidRDefault="000A5E1C" w:rsidP="00AD09E4">
            <w:pPr>
              <w:ind w:left="360"/>
              <w:jc w:val="center"/>
              <w:rPr>
                <w:rFonts w:ascii="Times New Roman" w:hAnsi="Times New Roman" w:cs="Times New Roman"/>
                <w:b/>
                <w:sz w:val="24"/>
                <w:szCs w:val="24"/>
              </w:rPr>
            </w:pPr>
            <w:r w:rsidRPr="00D31256">
              <w:rPr>
                <w:rFonts w:ascii="Times New Roman" w:hAnsi="Times New Roman" w:cs="Times New Roman"/>
                <w:b/>
                <w:sz w:val="24"/>
                <w:szCs w:val="24"/>
              </w:rPr>
              <w:t>Mode</w:t>
            </w:r>
          </w:p>
        </w:tc>
        <w:tc>
          <w:tcPr>
            <w:tcW w:w="1655" w:type="dxa"/>
            <w:tcBorders>
              <w:left w:val="nil"/>
              <w:bottom w:val="single" w:sz="4" w:space="0" w:color="000000" w:themeColor="text1"/>
              <w:right w:val="nil"/>
            </w:tcBorders>
          </w:tcPr>
          <w:p w:rsidR="000A5E1C" w:rsidRPr="00D31256" w:rsidRDefault="000A5E1C" w:rsidP="00AD09E4">
            <w:pPr>
              <w:ind w:left="360"/>
              <w:jc w:val="center"/>
              <w:rPr>
                <w:rFonts w:ascii="Times New Roman" w:hAnsi="Times New Roman" w:cs="Times New Roman"/>
                <w:b/>
                <w:sz w:val="24"/>
                <w:szCs w:val="24"/>
              </w:rPr>
            </w:pPr>
            <w:r w:rsidRPr="00D31256">
              <w:rPr>
                <w:rFonts w:ascii="Times New Roman" w:hAnsi="Times New Roman" w:cs="Times New Roman"/>
                <w:b/>
                <w:sz w:val="24"/>
                <w:szCs w:val="24"/>
              </w:rPr>
              <w:t>Standard Deviation</w:t>
            </w:r>
          </w:p>
        </w:tc>
      </w:tr>
      <w:tr w:rsidR="000A5E1C" w:rsidTr="00AD09E4">
        <w:tc>
          <w:tcPr>
            <w:tcW w:w="2265" w:type="dxa"/>
            <w:tcBorders>
              <w:left w:val="nil"/>
              <w:bottom w:val="nil"/>
              <w:right w:val="nil"/>
            </w:tcBorders>
          </w:tcPr>
          <w:p w:rsidR="000A5E1C" w:rsidRDefault="000A5E1C" w:rsidP="00AD09E4">
            <w:pPr>
              <w:ind w:left="360"/>
              <w:rPr>
                <w:rFonts w:ascii="Times New Roman" w:hAnsi="Times New Roman" w:cs="Times New Roman"/>
                <w:sz w:val="24"/>
                <w:szCs w:val="24"/>
              </w:rPr>
            </w:pPr>
            <w:r w:rsidRPr="00D31256">
              <w:rPr>
                <w:rFonts w:ascii="Times New Roman" w:hAnsi="Times New Roman" w:cs="Times New Roman"/>
                <w:sz w:val="24"/>
                <w:szCs w:val="24"/>
              </w:rPr>
              <w:t>Satisfaction with Outcomes (SO)</w:t>
            </w:r>
          </w:p>
          <w:p w:rsidR="000A5E1C" w:rsidRPr="00D31256" w:rsidRDefault="000A5E1C" w:rsidP="00AD09E4">
            <w:pPr>
              <w:ind w:left="360"/>
              <w:rPr>
                <w:rFonts w:ascii="Times New Roman" w:hAnsi="Times New Roman" w:cs="Times New Roman"/>
                <w:sz w:val="24"/>
                <w:szCs w:val="24"/>
              </w:rPr>
            </w:pPr>
          </w:p>
        </w:tc>
        <w:tc>
          <w:tcPr>
            <w:tcW w:w="1843" w:type="dxa"/>
            <w:tcBorders>
              <w:left w:val="nil"/>
              <w:bottom w:val="nil"/>
              <w:right w:val="nil"/>
            </w:tcBorders>
            <w:vAlign w:val="center"/>
          </w:tcPr>
          <w:p w:rsidR="000A5E1C" w:rsidRPr="00D31256" w:rsidRDefault="000A5E1C" w:rsidP="00AD09E4">
            <w:pPr>
              <w:ind w:left="360"/>
              <w:jc w:val="center"/>
              <w:rPr>
                <w:rFonts w:ascii="Times New Roman" w:hAnsi="Times New Roman" w:cs="Times New Roman"/>
                <w:sz w:val="24"/>
                <w:szCs w:val="24"/>
              </w:rPr>
            </w:pPr>
            <w:r w:rsidRPr="00D31256">
              <w:rPr>
                <w:rFonts w:ascii="Times New Roman" w:hAnsi="Times New Roman" w:cs="Times New Roman"/>
                <w:sz w:val="24"/>
                <w:szCs w:val="24"/>
              </w:rPr>
              <w:t>.96</w:t>
            </w:r>
          </w:p>
        </w:tc>
        <w:tc>
          <w:tcPr>
            <w:tcW w:w="1283" w:type="dxa"/>
            <w:tcBorders>
              <w:left w:val="nil"/>
              <w:bottom w:val="nil"/>
              <w:right w:val="nil"/>
            </w:tcBorders>
            <w:vAlign w:val="center"/>
          </w:tcPr>
          <w:p w:rsidR="000A5E1C" w:rsidRPr="00D31256" w:rsidRDefault="000A5E1C" w:rsidP="00AD09E4">
            <w:pPr>
              <w:ind w:left="360"/>
              <w:jc w:val="center"/>
              <w:rPr>
                <w:rFonts w:ascii="Times New Roman" w:hAnsi="Times New Roman" w:cs="Times New Roman"/>
                <w:sz w:val="24"/>
                <w:szCs w:val="24"/>
              </w:rPr>
            </w:pPr>
            <w:r w:rsidRPr="00D31256">
              <w:rPr>
                <w:rFonts w:ascii="Times New Roman" w:hAnsi="Times New Roman" w:cs="Times New Roman"/>
                <w:sz w:val="24"/>
                <w:szCs w:val="24"/>
              </w:rPr>
              <w:t>6.00</w:t>
            </w:r>
          </w:p>
        </w:tc>
        <w:tc>
          <w:tcPr>
            <w:tcW w:w="1178" w:type="dxa"/>
            <w:tcBorders>
              <w:left w:val="nil"/>
              <w:bottom w:val="nil"/>
              <w:right w:val="nil"/>
            </w:tcBorders>
            <w:vAlign w:val="center"/>
          </w:tcPr>
          <w:p w:rsidR="000A5E1C" w:rsidRPr="00D31256" w:rsidRDefault="000A5E1C" w:rsidP="00AD09E4">
            <w:pPr>
              <w:ind w:left="360"/>
              <w:jc w:val="center"/>
              <w:rPr>
                <w:rFonts w:ascii="Times New Roman" w:hAnsi="Times New Roman" w:cs="Times New Roman"/>
                <w:sz w:val="24"/>
                <w:szCs w:val="24"/>
              </w:rPr>
            </w:pPr>
            <w:r w:rsidRPr="00D31256">
              <w:rPr>
                <w:rFonts w:ascii="Times New Roman" w:hAnsi="Times New Roman" w:cs="Times New Roman"/>
                <w:sz w:val="24"/>
                <w:szCs w:val="24"/>
              </w:rPr>
              <w:t>6</w:t>
            </w:r>
          </w:p>
        </w:tc>
        <w:tc>
          <w:tcPr>
            <w:tcW w:w="1655" w:type="dxa"/>
            <w:tcBorders>
              <w:left w:val="nil"/>
              <w:bottom w:val="nil"/>
              <w:right w:val="nil"/>
            </w:tcBorders>
            <w:vAlign w:val="center"/>
          </w:tcPr>
          <w:p w:rsidR="000A5E1C" w:rsidRPr="00D31256" w:rsidRDefault="000A5E1C" w:rsidP="00AD09E4">
            <w:pPr>
              <w:ind w:left="360"/>
              <w:jc w:val="center"/>
              <w:rPr>
                <w:rFonts w:ascii="Times New Roman" w:hAnsi="Times New Roman" w:cs="Times New Roman"/>
                <w:sz w:val="24"/>
                <w:szCs w:val="24"/>
              </w:rPr>
            </w:pPr>
            <w:r w:rsidRPr="00D31256">
              <w:rPr>
                <w:rFonts w:ascii="Times New Roman" w:hAnsi="Times New Roman" w:cs="Times New Roman"/>
                <w:sz w:val="24"/>
                <w:szCs w:val="24"/>
              </w:rPr>
              <w:t>1.17</w:t>
            </w:r>
          </w:p>
        </w:tc>
      </w:tr>
      <w:tr w:rsidR="000A5E1C" w:rsidTr="00AD09E4">
        <w:tc>
          <w:tcPr>
            <w:tcW w:w="2265" w:type="dxa"/>
            <w:tcBorders>
              <w:top w:val="nil"/>
              <w:left w:val="nil"/>
              <w:bottom w:val="nil"/>
              <w:right w:val="nil"/>
            </w:tcBorders>
          </w:tcPr>
          <w:p w:rsidR="000A5E1C" w:rsidRDefault="000A5E1C" w:rsidP="00AD09E4">
            <w:pPr>
              <w:ind w:left="360"/>
              <w:rPr>
                <w:rFonts w:ascii="Times New Roman" w:hAnsi="Times New Roman" w:cs="Times New Roman"/>
                <w:sz w:val="24"/>
                <w:szCs w:val="24"/>
              </w:rPr>
            </w:pPr>
            <w:r w:rsidRPr="00D31256">
              <w:rPr>
                <w:rFonts w:ascii="Times New Roman" w:hAnsi="Times New Roman" w:cs="Times New Roman"/>
                <w:sz w:val="24"/>
                <w:szCs w:val="24"/>
              </w:rPr>
              <w:t>Satisfaction with Processes (SP)</w:t>
            </w:r>
          </w:p>
          <w:p w:rsidR="000A5E1C" w:rsidRPr="00D31256" w:rsidRDefault="000A5E1C" w:rsidP="00AD09E4">
            <w:pPr>
              <w:ind w:left="360"/>
              <w:rPr>
                <w:rFonts w:ascii="Times New Roman" w:hAnsi="Times New Roman" w:cs="Times New Roman"/>
                <w:sz w:val="24"/>
                <w:szCs w:val="24"/>
              </w:rPr>
            </w:pPr>
          </w:p>
        </w:tc>
        <w:tc>
          <w:tcPr>
            <w:tcW w:w="1843" w:type="dxa"/>
            <w:tcBorders>
              <w:top w:val="nil"/>
              <w:left w:val="nil"/>
              <w:bottom w:val="nil"/>
              <w:right w:val="nil"/>
            </w:tcBorders>
            <w:vAlign w:val="center"/>
          </w:tcPr>
          <w:p w:rsidR="000A5E1C" w:rsidRPr="00D31256" w:rsidRDefault="000A5E1C" w:rsidP="00AD09E4">
            <w:pPr>
              <w:ind w:left="360"/>
              <w:jc w:val="center"/>
              <w:rPr>
                <w:rFonts w:ascii="Times New Roman" w:hAnsi="Times New Roman" w:cs="Times New Roman"/>
                <w:sz w:val="24"/>
                <w:szCs w:val="24"/>
              </w:rPr>
            </w:pPr>
            <w:r w:rsidRPr="00D31256">
              <w:rPr>
                <w:rFonts w:ascii="Times New Roman" w:hAnsi="Times New Roman" w:cs="Times New Roman"/>
                <w:sz w:val="24"/>
                <w:szCs w:val="24"/>
              </w:rPr>
              <w:t>.97</w:t>
            </w:r>
          </w:p>
        </w:tc>
        <w:tc>
          <w:tcPr>
            <w:tcW w:w="1283" w:type="dxa"/>
            <w:tcBorders>
              <w:top w:val="nil"/>
              <w:left w:val="nil"/>
              <w:bottom w:val="nil"/>
              <w:right w:val="nil"/>
            </w:tcBorders>
            <w:vAlign w:val="center"/>
          </w:tcPr>
          <w:p w:rsidR="000A5E1C" w:rsidRPr="00D31256" w:rsidRDefault="000A5E1C" w:rsidP="00AD09E4">
            <w:pPr>
              <w:ind w:left="360"/>
              <w:jc w:val="center"/>
              <w:rPr>
                <w:rFonts w:ascii="Times New Roman" w:hAnsi="Times New Roman" w:cs="Times New Roman"/>
                <w:sz w:val="24"/>
                <w:szCs w:val="24"/>
              </w:rPr>
            </w:pPr>
            <w:r w:rsidRPr="00D31256">
              <w:rPr>
                <w:rFonts w:ascii="Times New Roman" w:hAnsi="Times New Roman" w:cs="Times New Roman"/>
                <w:sz w:val="24"/>
                <w:szCs w:val="24"/>
              </w:rPr>
              <w:t>6.11</w:t>
            </w:r>
          </w:p>
        </w:tc>
        <w:tc>
          <w:tcPr>
            <w:tcW w:w="1178" w:type="dxa"/>
            <w:tcBorders>
              <w:top w:val="nil"/>
              <w:left w:val="nil"/>
              <w:bottom w:val="nil"/>
              <w:right w:val="nil"/>
            </w:tcBorders>
            <w:vAlign w:val="center"/>
          </w:tcPr>
          <w:p w:rsidR="000A5E1C" w:rsidRPr="00D31256" w:rsidRDefault="000A5E1C" w:rsidP="00AD09E4">
            <w:pPr>
              <w:ind w:left="360"/>
              <w:jc w:val="center"/>
              <w:rPr>
                <w:rFonts w:ascii="Times New Roman" w:hAnsi="Times New Roman" w:cs="Times New Roman"/>
                <w:sz w:val="24"/>
                <w:szCs w:val="24"/>
              </w:rPr>
            </w:pPr>
            <w:r w:rsidRPr="00D31256">
              <w:rPr>
                <w:rFonts w:ascii="Times New Roman" w:hAnsi="Times New Roman" w:cs="Times New Roman"/>
                <w:sz w:val="24"/>
                <w:szCs w:val="24"/>
              </w:rPr>
              <w:t>6</w:t>
            </w:r>
          </w:p>
        </w:tc>
        <w:tc>
          <w:tcPr>
            <w:tcW w:w="1655" w:type="dxa"/>
            <w:tcBorders>
              <w:top w:val="nil"/>
              <w:left w:val="nil"/>
              <w:bottom w:val="nil"/>
              <w:right w:val="nil"/>
            </w:tcBorders>
            <w:vAlign w:val="center"/>
          </w:tcPr>
          <w:p w:rsidR="000A5E1C" w:rsidRPr="00D31256" w:rsidRDefault="000A5E1C" w:rsidP="00AD09E4">
            <w:pPr>
              <w:ind w:left="360"/>
              <w:jc w:val="center"/>
              <w:rPr>
                <w:rFonts w:ascii="Times New Roman" w:hAnsi="Times New Roman" w:cs="Times New Roman"/>
                <w:sz w:val="24"/>
                <w:szCs w:val="24"/>
              </w:rPr>
            </w:pPr>
            <w:r w:rsidRPr="00D31256">
              <w:rPr>
                <w:rFonts w:ascii="Times New Roman" w:hAnsi="Times New Roman" w:cs="Times New Roman"/>
                <w:sz w:val="24"/>
                <w:szCs w:val="24"/>
              </w:rPr>
              <w:t>1.02</w:t>
            </w:r>
          </w:p>
        </w:tc>
      </w:tr>
      <w:tr w:rsidR="000A5E1C" w:rsidTr="00AD09E4">
        <w:tc>
          <w:tcPr>
            <w:tcW w:w="2265" w:type="dxa"/>
            <w:tcBorders>
              <w:top w:val="nil"/>
              <w:left w:val="nil"/>
              <w:bottom w:val="single" w:sz="4" w:space="0" w:color="000000" w:themeColor="text1"/>
              <w:right w:val="nil"/>
            </w:tcBorders>
          </w:tcPr>
          <w:p w:rsidR="000A5E1C" w:rsidRPr="00D31256" w:rsidRDefault="000A5E1C" w:rsidP="00AD09E4">
            <w:pPr>
              <w:ind w:left="360"/>
              <w:rPr>
                <w:rFonts w:ascii="Times New Roman" w:hAnsi="Times New Roman" w:cs="Times New Roman"/>
                <w:sz w:val="24"/>
                <w:szCs w:val="24"/>
              </w:rPr>
            </w:pPr>
            <w:r w:rsidRPr="00D31256">
              <w:rPr>
                <w:rFonts w:ascii="Times New Roman" w:hAnsi="Times New Roman" w:cs="Times New Roman"/>
                <w:sz w:val="24"/>
                <w:szCs w:val="24"/>
              </w:rPr>
              <w:t>Perceived Net Goal Attainment (PN)</w:t>
            </w:r>
          </w:p>
        </w:tc>
        <w:tc>
          <w:tcPr>
            <w:tcW w:w="1843" w:type="dxa"/>
            <w:tcBorders>
              <w:top w:val="nil"/>
              <w:left w:val="nil"/>
              <w:bottom w:val="single" w:sz="4" w:space="0" w:color="000000" w:themeColor="text1"/>
              <w:right w:val="nil"/>
            </w:tcBorders>
            <w:vAlign w:val="center"/>
          </w:tcPr>
          <w:p w:rsidR="000A5E1C" w:rsidRPr="00D31256" w:rsidRDefault="000A5E1C" w:rsidP="00AD09E4">
            <w:pPr>
              <w:ind w:left="360"/>
              <w:jc w:val="center"/>
              <w:rPr>
                <w:rFonts w:ascii="Times New Roman" w:hAnsi="Times New Roman" w:cs="Times New Roman"/>
                <w:sz w:val="24"/>
                <w:szCs w:val="24"/>
              </w:rPr>
            </w:pPr>
            <w:r w:rsidRPr="00D31256">
              <w:rPr>
                <w:rFonts w:ascii="Times New Roman" w:hAnsi="Times New Roman" w:cs="Times New Roman"/>
                <w:sz w:val="24"/>
                <w:szCs w:val="24"/>
              </w:rPr>
              <w:t>.94</w:t>
            </w:r>
          </w:p>
        </w:tc>
        <w:tc>
          <w:tcPr>
            <w:tcW w:w="1283" w:type="dxa"/>
            <w:tcBorders>
              <w:top w:val="nil"/>
              <w:left w:val="nil"/>
              <w:bottom w:val="single" w:sz="4" w:space="0" w:color="000000" w:themeColor="text1"/>
              <w:right w:val="nil"/>
            </w:tcBorders>
            <w:vAlign w:val="center"/>
          </w:tcPr>
          <w:p w:rsidR="000A5E1C" w:rsidRPr="00D31256" w:rsidRDefault="000A5E1C" w:rsidP="00AD09E4">
            <w:pPr>
              <w:ind w:left="360"/>
              <w:jc w:val="center"/>
              <w:rPr>
                <w:rFonts w:ascii="Times New Roman" w:hAnsi="Times New Roman" w:cs="Times New Roman"/>
                <w:sz w:val="24"/>
                <w:szCs w:val="24"/>
              </w:rPr>
            </w:pPr>
            <w:r w:rsidRPr="00D31256">
              <w:rPr>
                <w:rFonts w:ascii="Times New Roman" w:hAnsi="Times New Roman" w:cs="Times New Roman"/>
                <w:sz w:val="24"/>
                <w:szCs w:val="24"/>
              </w:rPr>
              <w:t>6.17</w:t>
            </w:r>
          </w:p>
        </w:tc>
        <w:tc>
          <w:tcPr>
            <w:tcW w:w="1178" w:type="dxa"/>
            <w:tcBorders>
              <w:top w:val="nil"/>
              <w:left w:val="nil"/>
              <w:bottom w:val="single" w:sz="4" w:space="0" w:color="000000" w:themeColor="text1"/>
              <w:right w:val="nil"/>
            </w:tcBorders>
            <w:vAlign w:val="center"/>
          </w:tcPr>
          <w:p w:rsidR="000A5E1C" w:rsidRPr="00D31256" w:rsidRDefault="000A5E1C" w:rsidP="00AD09E4">
            <w:pPr>
              <w:ind w:left="360"/>
              <w:jc w:val="center"/>
              <w:rPr>
                <w:rFonts w:ascii="Times New Roman" w:hAnsi="Times New Roman" w:cs="Times New Roman"/>
                <w:sz w:val="24"/>
                <w:szCs w:val="24"/>
              </w:rPr>
            </w:pPr>
            <w:r w:rsidRPr="00D31256">
              <w:rPr>
                <w:rFonts w:ascii="Times New Roman" w:hAnsi="Times New Roman" w:cs="Times New Roman"/>
                <w:sz w:val="24"/>
                <w:szCs w:val="24"/>
              </w:rPr>
              <w:t>6</w:t>
            </w:r>
          </w:p>
        </w:tc>
        <w:tc>
          <w:tcPr>
            <w:tcW w:w="1655" w:type="dxa"/>
            <w:tcBorders>
              <w:top w:val="nil"/>
              <w:left w:val="nil"/>
              <w:bottom w:val="single" w:sz="4" w:space="0" w:color="000000" w:themeColor="text1"/>
              <w:right w:val="nil"/>
            </w:tcBorders>
            <w:vAlign w:val="center"/>
          </w:tcPr>
          <w:p w:rsidR="000A5E1C" w:rsidRPr="00D31256" w:rsidRDefault="000A5E1C" w:rsidP="00AD09E4">
            <w:pPr>
              <w:ind w:left="360"/>
              <w:jc w:val="center"/>
              <w:rPr>
                <w:rFonts w:ascii="Times New Roman" w:hAnsi="Times New Roman" w:cs="Times New Roman"/>
                <w:sz w:val="24"/>
                <w:szCs w:val="24"/>
              </w:rPr>
            </w:pPr>
            <w:r w:rsidRPr="00D31256">
              <w:rPr>
                <w:rFonts w:ascii="Times New Roman" w:hAnsi="Times New Roman" w:cs="Times New Roman"/>
                <w:sz w:val="24"/>
                <w:szCs w:val="24"/>
              </w:rPr>
              <w:t>1.15</w:t>
            </w:r>
          </w:p>
        </w:tc>
      </w:tr>
    </w:tbl>
    <w:p w:rsidR="000A5E1C" w:rsidRPr="00D31256" w:rsidRDefault="000A5E1C" w:rsidP="000A5E1C">
      <w:pPr>
        <w:pStyle w:val="NoSpacing"/>
        <w:ind w:left="360"/>
        <w:rPr>
          <w:rFonts w:ascii="Times New Roman" w:hAnsi="Times New Roman" w:cs="Times New Roman"/>
          <w:sz w:val="20"/>
          <w:szCs w:val="24"/>
        </w:rPr>
      </w:pPr>
      <w:r w:rsidRPr="00FD2A90">
        <w:rPr>
          <w:rFonts w:ascii="Times New Roman" w:hAnsi="Times New Roman" w:cs="Times New Roman"/>
          <w:i/>
          <w:sz w:val="20"/>
          <w:szCs w:val="24"/>
        </w:rPr>
        <w:t>Note</w:t>
      </w:r>
      <w:r>
        <w:rPr>
          <w:rFonts w:ascii="Times New Roman" w:hAnsi="Times New Roman" w:cs="Times New Roman"/>
          <w:sz w:val="20"/>
          <w:szCs w:val="24"/>
        </w:rPr>
        <w:t xml:space="preserve">: </w:t>
      </w:r>
      <w:r w:rsidRPr="00D31256">
        <w:rPr>
          <w:rFonts w:ascii="Times New Roman" w:hAnsi="Times New Roman" w:cs="Times New Roman"/>
          <w:sz w:val="20"/>
          <w:szCs w:val="24"/>
        </w:rPr>
        <w:t>1=Strongly Disagree, 7</w:t>
      </w:r>
      <w:r>
        <w:rPr>
          <w:rFonts w:ascii="Times New Roman" w:hAnsi="Times New Roman" w:cs="Times New Roman"/>
          <w:sz w:val="20"/>
          <w:szCs w:val="24"/>
        </w:rPr>
        <w:t>=</w:t>
      </w:r>
      <w:r w:rsidRPr="00D31256">
        <w:rPr>
          <w:rFonts w:ascii="Times New Roman" w:hAnsi="Times New Roman" w:cs="Times New Roman"/>
          <w:sz w:val="20"/>
          <w:szCs w:val="24"/>
        </w:rPr>
        <w:t>Strongly Agree</w:t>
      </w:r>
      <w:r w:rsidR="005B7147">
        <w:rPr>
          <w:rFonts w:ascii="Times New Roman" w:hAnsi="Times New Roman" w:cs="Times New Roman"/>
          <w:sz w:val="20"/>
          <w:szCs w:val="24"/>
        </w:rPr>
        <w:t>.</w:t>
      </w:r>
    </w:p>
    <w:p w:rsidR="000A5E1C" w:rsidRPr="00C842C9" w:rsidRDefault="000A5E1C" w:rsidP="000A5E1C">
      <w:pPr>
        <w:pStyle w:val="NoSpacing"/>
        <w:ind w:left="360"/>
        <w:rPr>
          <w:rFonts w:ascii="Times New Roman" w:hAnsi="Times New Roman" w:cs="Times New Roman"/>
          <w:b/>
          <w:sz w:val="24"/>
          <w:szCs w:val="24"/>
          <w:highlight w:val="yellow"/>
        </w:rPr>
      </w:pPr>
    </w:p>
    <w:p w:rsidR="000A5E1C" w:rsidRPr="00943891" w:rsidRDefault="000A5E1C" w:rsidP="00A05C9C">
      <w:pPr>
        <w:pStyle w:val="NoSpacing"/>
        <w:jc w:val="center"/>
        <w:rPr>
          <w:rFonts w:ascii="Times New Roman" w:hAnsi="Times New Roman" w:cs="Times New Roman"/>
          <w:b/>
        </w:rPr>
      </w:pPr>
      <w:r>
        <w:rPr>
          <w:rFonts w:ascii="Times New Roman" w:hAnsi="Times New Roman" w:cs="Times New Roman"/>
          <w:b/>
        </w:rPr>
        <w:t>Advice to Others/Future Plans</w:t>
      </w:r>
    </w:p>
    <w:p w:rsidR="000A5E1C" w:rsidRPr="00B445E2" w:rsidRDefault="000A5E1C" w:rsidP="00B445E2">
      <w:pPr>
        <w:spacing w:line="240" w:lineRule="auto"/>
        <w:ind w:firstLine="720"/>
        <w:rPr>
          <w:rFonts w:ascii="Times New Roman" w:hAnsi="Times New Roman" w:cs="Times New Roman"/>
          <w:sz w:val="24"/>
          <w:szCs w:val="24"/>
        </w:rPr>
      </w:pPr>
      <w:r w:rsidRPr="00B445E2">
        <w:rPr>
          <w:rFonts w:ascii="Times New Roman" w:hAnsi="Times New Roman" w:cs="Times New Roman"/>
          <w:sz w:val="24"/>
          <w:szCs w:val="24"/>
        </w:rPr>
        <w:t xml:space="preserve">Results of this trial lead researchers to adopt the instrument grounded in SAT at future workshops. In order to maximize the effectiveness of participant satisfaction in workshops, the researchers have three recommendations. First, the researchers propose the future use of the SAT instrument to evaluate satisfaction in various workshop settings. Second, work should progress on validating this as a universal instrument workshop satisfaction, and finally, research should be conducted to determine relationships between participant satisfaction and other variables associated with evaluation methodologies. </w:t>
      </w:r>
    </w:p>
    <w:p w:rsidR="000A5E1C" w:rsidRDefault="000A5E1C" w:rsidP="000A5E1C">
      <w:pPr>
        <w:pStyle w:val="NoSpacing"/>
        <w:ind w:left="360"/>
        <w:jc w:val="center"/>
        <w:rPr>
          <w:rFonts w:ascii="Times New Roman" w:hAnsi="Times New Roman" w:cs="Times New Roman"/>
          <w:b/>
          <w:sz w:val="24"/>
          <w:szCs w:val="24"/>
        </w:rPr>
      </w:pPr>
    </w:p>
    <w:p w:rsidR="000A5E1C" w:rsidRDefault="000A5E1C" w:rsidP="00A05C9C">
      <w:pPr>
        <w:pStyle w:val="NoSpacing"/>
        <w:jc w:val="center"/>
        <w:rPr>
          <w:rFonts w:ascii="Times New Roman" w:hAnsi="Times New Roman" w:cs="Times New Roman"/>
          <w:b/>
          <w:sz w:val="24"/>
          <w:szCs w:val="24"/>
        </w:rPr>
      </w:pPr>
      <w:r w:rsidRPr="00C842C9">
        <w:rPr>
          <w:rFonts w:ascii="Times New Roman" w:hAnsi="Times New Roman" w:cs="Times New Roman"/>
          <w:b/>
          <w:sz w:val="24"/>
          <w:szCs w:val="24"/>
        </w:rPr>
        <w:t>Costs</w:t>
      </w:r>
    </w:p>
    <w:p w:rsidR="000A5E1C" w:rsidRDefault="000A5E1C" w:rsidP="000F2111">
      <w:pPr>
        <w:spacing w:line="240" w:lineRule="auto"/>
        <w:ind w:firstLine="720"/>
        <w:rPr>
          <w:rFonts w:ascii="Times New Roman" w:hAnsi="Times New Roman" w:cs="Times New Roman"/>
          <w:sz w:val="24"/>
          <w:szCs w:val="24"/>
        </w:rPr>
      </w:pPr>
      <w:r w:rsidRPr="00E7123D">
        <w:rPr>
          <w:rFonts w:ascii="Times New Roman" w:hAnsi="Times New Roman" w:cs="Times New Roman"/>
          <w:sz w:val="24"/>
          <w:szCs w:val="24"/>
        </w:rPr>
        <w:t>Costs for the project were immersed in both faculty and graduate student labor to evaluate the instrument.</w:t>
      </w:r>
    </w:p>
    <w:p w:rsidR="000A5E1C" w:rsidRPr="00A05C9C" w:rsidRDefault="000A5E1C" w:rsidP="00A05C9C">
      <w:pPr>
        <w:pStyle w:val="NoSpacing"/>
        <w:jc w:val="center"/>
        <w:rPr>
          <w:rFonts w:ascii="Times New Roman" w:hAnsi="Times New Roman" w:cs="Times New Roman"/>
          <w:b/>
          <w:sz w:val="24"/>
          <w:szCs w:val="24"/>
        </w:rPr>
      </w:pPr>
      <w:r w:rsidRPr="00A05C9C">
        <w:rPr>
          <w:rFonts w:ascii="Times New Roman" w:hAnsi="Times New Roman" w:cs="Times New Roman"/>
          <w:b/>
          <w:sz w:val="24"/>
          <w:szCs w:val="24"/>
        </w:rPr>
        <w:t>References</w:t>
      </w:r>
    </w:p>
    <w:p w:rsidR="000A5E1C" w:rsidRDefault="000A5E1C" w:rsidP="00A05C9C">
      <w:pPr>
        <w:ind w:left="360" w:hanging="360"/>
        <w:rPr>
          <w:rFonts w:ascii="Times New Roman" w:hAnsi="Times New Roman" w:cs="Times New Roman"/>
          <w:sz w:val="24"/>
          <w:szCs w:val="24"/>
        </w:rPr>
      </w:pPr>
      <w:proofErr w:type="gramStart"/>
      <w:r>
        <w:rPr>
          <w:rFonts w:ascii="Times New Roman" w:hAnsi="Times New Roman" w:cs="Times New Roman"/>
          <w:sz w:val="24"/>
          <w:szCs w:val="24"/>
        </w:rPr>
        <w:t xml:space="preserve">Briggs, R.O., </w:t>
      </w:r>
      <w:proofErr w:type="spellStart"/>
      <w:r>
        <w:rPr>
          <w:rFonts w:ascii="Times New Roman" w:hAnsi="Times New Roman" w:cs="Times New Roman"/>
          <w:sz w:val="24"/>
          <w:szCs w:val="24"/>
        </w:rPr>
        <w:t>Vreede</w:t>
      </w:r>
      <w:proofErr w:type="spellEnd"/>
      <w:r>
        <w:rPr>
          <w:rFonts w:ascii="Times New Roman" w:hAnsi="Times New Roman" w:cs="Times New Roman"/>
          <w:sz w:val="24"/>
          <w:szCs w:val="24"/>
        </w:rPr>
        <w:t>, G.J. de, &amp; Reining, B.A. (2003).</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A theory and measurement of meeting satisfaction.</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In Proceedings of the 36</w:t>
      </w:r>
      <w:r w:rsidRPr="000A5E1C">
        <w:rPr>
          <w:rFonts w:ascii="Times New Roman" w:hAnsi="Times New Roman" w:cs="Times New Roman"/>
          <w:sz w:val="24"/>
          <w:szCs w:val="24"/>
          <w:vertAlign w:val="superscript"/>
        </w:rPr>
        <w:t>th</w:t>
      </w:r>
      <w:r>
        <w:rPr>
          <w:rFonts w:ascii="Times New Roman" w:hAnsi="Times New Roman" w:cs="Times New Roman"/>
          <w:sz w:val="24"/>
          <w:szCs w:val="24"/>
        </w:rPr>
        <w:t xml:space="preserve"> Hawaiian International Conference on System Sciences.</w:t>
      </w:r>
      <w:proofErr w:type="gramEnd"/>
      <w:r>
        <w:rPr>
          <w:rFonts w:ascii="Times New Roman" w:hAnsi="Times New Roman" w:cs="Times New Roman"/>
          <w:sz w:val="24"/>
          <w:szCs w:val="24"/>
        </w:rPr>
        <w:t xml:space="preserve"> Los Alamitos, CA: IEEE Computer Society Press. </w:t>
      </w:r>
    </w:p>
    <w:p w:rsidR="000A5E1C" w:rsidRDefault="000A5E1C" w:rsidP="00A05C9C">
      <w:pPr>
        <w:ind w:left="360" w:hanging="360"/>
        <w:rPr>
          <w:rFonts w:ascii="Times New Roman" w:hAnsi="Times New Roman" w:cs="Times New Roman"/>
          <w:sz w:val="24"/>
          <w:szCs w:val="24"/>
        </w:rPr>
      </w:pPr>
      <w:r>
        <w:rPr>
          <w:rFonts w:ascii="Times New Roman" w:hAnsi="Times New Roman" w:cs="Times New Roman"/>
          <w:sz w:val="24"/>
          <w:szCs w:val="24"/>
        </w:rPr>
        <w:t xml:space="preserve">Kirkpatrick, D.L. (1994). </w:t>
      </w:r>
      <w:proofErr w:type="gramStart"/>
      <w:r w:rsidRPr="000A5E1C">
        <w:rPr>
          <w:rFonts w:ascii="Times New Roman" w:hAnsi="Times New Roman" w:cs="Times New Roman"/>
          <w:i/>
          <w:sz w:val="24"/>
          <w:szCs w:val="24"/>
        </w:rPr>
        <w:t>Evaluating training programs, the four levels</w:t>
      </w:r>
      <w:r>
        <w:rPr>
          <w:rFonts w:ascii="Times New Roman" w:hAnsi="Times New Roman" w:cs="Times New Roman"/>
          <w:sz w:val="24"/>
          <w:szCs w:val="24"/>
        </w:rPr>
        <w:t>.</w:t>
      </w:r>
      <w:proofErr w:type="gramEnd"/>
      <w:r>
        <w:rPr>
          <w:rFonts w:ascii="Times New Roman" w:hAnsi="Times New Roman" w:cs="Times New Roman"/>
          <w:sz w:val="24"/>
          <w:szCs w:val="24"/>
        </w:rPr>
        <w:t xml:space="preserve"> San Francisco, CA: </w:t>
      </w:r>
      <w:proofErr w:type="spellStart"/>
      <w:r>
        <w:rPr>
          <w:rFonts w:ascii="Times New Roman" w:hAnsi="Times New Roman" w:cs="Times New Roman"/>
          <w:sz w:val="24"/>
          <w:szCs w:val="24"/>
        </w:rPr>
        <w:t>Berrett</w:t>
      </w:r>
      <w:proofErr w:type="spellEnd"/>
      <w:r>
        <w:rPr>
          <w:rFonts w:ascii="Times New Roman" w:hAnsi="Times New Roman" w:cs="Times New Roman"/>
          <w:sz w:val="24"/>
          <w:szCs w:val="24"/>
        </w:rPr>
        <w:t>-Koehler Publishers, Inc.</w:t>
      </w:r>
    </w:p>
    <w:p w:rsidR="000A5E1C" w:rsidRPr="000A5E1C" w:rsidRDefault="000A5E1C" w:rsidP="00A05C9C">
      <w:pPr>
        <w:ind w:left="360" w:hanging="360"/>
        <w:rPr>
          <w:rFonts w:ascii="Times New Roman" w:hAnsi="Times New Roman" w:cs="Times New Roman"/>
          <w:sz w:val="24"/>
          <w:szCs w:val="24"/>
        </w:rPr>
      </w:pPr>
      <w:r>
        <w:rPr>
          <w:rFonts w:ascii="Times New Roman" w:hAnsi="Times New Roman" w:cs="Times New Roman"/>
          <w:sz w:val="24"/>
          <w:szCs w:val="24"/>
        </w:rPr>
        <w:t>Osborne, E.W. (</w:t>
      </w:r>
      <w:proofErr w:type="gramStart"/>
      <w:r>
        <w:rPr>
          <w:rFonts w:ascii="Times New Roman" w:hAnsi="Times New Roman" w:cs="Times New Roman"/>
          <w:sz w:val="24"/>
          <w:szCs w:val="24"/>
        </w:rPr>
        <w:t>ed</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(n.d.).</w:t>
      </w:r>
      <w:proofErr w:type="gramEnd"/>
      <w:r>
        <w:rPr>
          <w:rFonts w:ascii="Times New Roman" w:hAnsi="Times New Roman" w:cs="Times New Roman"/>
          <w:sz w:val="24"/>
          <w:szCs w:val="24"/>
        </w:rPr>
        <w:t xml:space="preserve"> </w:t>
      </w:r>
      <w:proofErr w:type="gramStart"/>
      <w:r w:rsidRPr="000A5E1C">
        <w:rPr>
          <w:rFonts w:ascii="Times New Roman" w:hAnsi="Times New Roman" w:cs="Times New Roman"/>
          <w:i/>
          <w:sz w:val="24"/>
          <w:szCs w:val="24"/>
        </w:rPr>
        <w:t>National research agenda, agricultural education and communications: Research priority areas and initiatives</w:t>
      </w:r>
      <w:r>
        <w:rPr>
          <w:rFonts w:ascii="Times New Roman" w:hAnsi="Times New Roman" w:cs="Times New Roman"/>
          <w:sz w:val="24"/>
          <w:szCs w:val="24"/>
        </w:rPr>
        <w:t>, 2007-2010.</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Gainsville</w:t>
      </w:r>
      <w:proofErr w:type="spellEnd"/>
      <w:r>
        <w:rPr>
          <w:rFonts w:ascii="Times New Roman" w:hAnsi="Times New Roman" w:cs="Times New Roman"/>
          <w:sz w:val="24"/>
          <w:szCs w:val="24"/>
        </w:rPr>
        <w:t xml:space="preserve">, Fl: University of Florida, Department of Agricultural Education and Communication. </w:t>
      </w:r>
    </w:p>
    <w:sectPr w:rsidR="000A5E1C" w:rsidRPr="000A5E1C" w:rsidSect="000A5E1C">
      <w:pgSz w:w="12240" w:h="15840"/>
      <w:pgMar w:top="1440" w:right="144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Consolas">
    <w:panose1 w:val="020B0609020204030204"/>
    <w:charset w:val="00"/>
    <w:family w:val="modern"/>
    <w:pitch w:val="fixed"/>
    <w:sig w:usb0="A00002EF" w:usb1="40002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20"/>
  <w:characterSpacingControl w:val="doNotCompress"/>
  <w:compat/>
  <w:rsids>
    <w:rsidRoot w:val="000A5E1C"/>
    <w:rsid w:val="000A5E1C"/>
    <w:rsid w:val="000F2111"/>
    <w:rsid w:val="00143336"/>
    <w:rsid w:val="00334F33"/>
    <w:rsid w:val="005B7147"/>
    <w:rsid w:val="005C01A5"/>
    <w:rsid w:val="00823A18"/>
    <w:rsid w:val="009136BC"/>
    <w:rsid w:val="009476D3"/>
    <w:rsid w:val="00A05C9C"/>
    <w:rsid w:val="00A23E90"/>
    <w:rsid w:val="00A731E4"/>
    <w:rsid w:val="00A85FB4"/>
    <w:rsid w:val="00AA04F6"/>
    <w:rsid w:val="00B445E2"/>
    <w:rsid w:val="00CE2D8A"/>
    <w:rsid w:val="00DB635D"/>
    <w:rsid w:val="00E04E51"/>
    <w:rsid w:val="00E85133"/>
    <w:rsid w:val="00FD2A9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5E1C"/>
  </w:style>
  <w:style w:type="paragraph" w:styleId="Heading2">
    <w:name w:val="heading 2"/>
    <w:basedOn w:val="Normal"/>
    <w:next w:val="Normal"/>
    <w:link w:val="Heading2Char"/>
    <w:uiPriority w:val="9"/>
    <w:unhideWhenUsed/>
    <w:qFormat/>
    <w:rsid w:val="000A5E1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A5E1C"/>
    <w:rPr>
      <w:rFonts w:asciiTheme="majorHAnsi" w:eastAsiaTheme="majorEastAsia" w:hAnsiTheme="majorHAnsi" w:cstheme="majorBidi"/>
      <w:b/>
      <w:bCs/>
      <w:color w:val="4F81BD" w:themeColor="accent1"/>
      <w:sz w:val="26"/>
      <w:szCs w:val="26"/>
    </w:rPr>
  </w:style>
  <w:style w:type="character" w:styleId="CommentReference">
    <w:name w:val="annotation reference"/>
    <w:basedOn w:val="DefaultParagraphFont"/>
    <w:uiPriority w:val="99"/>
    <w:semiHidden/>
    <w:unhideWhenUsed/>
    <w:rsid w:val="000A5E1C"/>
    <w:rPr>
      <w:sz w:val="16"/>
      <w:szCs w:val="16"/>
    </w:rPr>
  </w:style>
  <w:style w:type="paragraph" w:styleId="CommentText">
    <w:name w:val="annotation text"/>
    <w:basedOn w:val="Normal"/>
    <w:link w:val="CommentTextChar"/>
    <w:uiPriority w:val="99"/>
    <w:semiHidden/>
    <w:unhideWhenUsed/>
    <w:rsid w:val="000A5E1C"/>
    <w:pPr>
      <w:spacing w:line="240" w:lineRule="auto"/>
    </w:pPr>
    <w:rPr>
      <w:sz w:val="20"/>
      <w:szCs w:val="20"/>
    </w:rPr>
  </w:style>
  <w:style w:type="character" w:customStyle="1" w:styleId="CommentTextChar">
    <w:name w:val="Comment Text Char"/>
    <w:basedOn w:val="DefaultParagraphFont"/>
    <w:link w:val="CommentText"/>
    <w:uiPriority w:val="99"/>
    <w:semiHidden/>
    <w:rsid w:val="000A5E1C"/>
    <w:rPr>
      <w:sz w:val="20"/>
      <w:szCs w:val="20"/>
    </w:rPr>
  </w:style>
  <w:style w:type="paragraph" w:styleId="NoSpacing">
    <w:name w:val="No Spacing"/>
    <w:uiPriority w:val="1"/>
    <w:qFormat/>
    <w:rsid w:val="000A5E1C"/>
    <w:pPr>
      <w:spacing w:after="0" w:line="240" w:lineRule="auto"/>
    </w:pPr>
  </w:style>
  <w:style w:type="table" w:styleId="TableGrid">
    <w:name w:val="Table Grid"/>
    <w:basedOn w:val="TableNormal"/>
    <w:uiPriority w:val="59"/>
    <w:rsid w:val="000A5E1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A5E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5E1C"/>
    <w:rPr>
      <w:rFonts w:ascii="Tahoma" w:hAnsi="Tahoma" w:cs="Tahoma"/>
      <w:sz w:val="16"/>
      <w:szCs w:val="16"/>
    </w:rPr>
  </w:style>
  <w:style w:type="paragraph" w:styleId="Bibliography">
    <w:name w:val="Bibliography"/>
    <w:basedOn w:val="Normal"/>
    <w:next w:val="Normal"/>
    <w:uiPriority w:val="37"/>
    <w:unhideWhenUsed/>
    <w:rsid w:val="000A5E1C"/>
  </w:style>
  <w:style w:type="paragraph" w:styleId="PlainText">
    <w:name w:val="Plain Text"/>
    <w:basedOn w:val="Normal"/>
    <w:link w:val="PlainTextChar"/>
    <w:uiPriority w:val="99"/>
    <w:unhideWhenUsed/>
    <w:rsid w:val="000A5E1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A5E1C"/>
    <w:rPr>
      <w:rFonts w:ascii="Consolas" w:hAnsi="Consolas"/>
      <w:sz w:val="21"/>
      <w:szCs w:val="21"/>
    </w:rPr>
  </w:style>
</w:styles>
</file>

<file path=word/webSettings.xml><?xml version="1.0" encoding="utf-8"?>
<w:webSettings xmlns:r="http://schemas.openxmlformats.org/officeDocument/2006/relationships" xmlns:w="http://schemas.openxmlformats.org/wordprocessingml/2006/main">
  <w:divs>
    <w:div w:id="409887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Bri02</b:Tag>
    <b:SourceType>ConferenceProceedings</b:SourceType>
    <b:Guid>{6D4C6393-0CDD-4C0B-8742-DB826C972B56}</b:Guid>
    <b:LCID>0</b:LCID>
    <b:Author>
      <b:Author>
        <b:NameList>
          <b:Person>
            <b:Last>Briggs</b:Last>
            <b:First>Robert</b:First>
            <b:Middle>O</b:Middle>
          </b:Person>
          <b:Person>
            <b:Last>de Vreede</b:Last>
            <b:First>Gert</b:First>
            <b:Middle>Jan-</b:Middle>
          </b:Person>
          <b:Person>
            <b:Last>Reining</b:Last>
            <b:First>Bruce</b:First>
            <b:Middle>A</b:Middle>
          </b:Person>
        </b:NameList>
      </b:Author>
    </b:Author>
    <b:Title>A Theory and Masurement of Meeting Satisfaction</b:Title>
    <b:Year>2002</b:Year>
    <b:Publisher>IEEE Computer Society</b:Publisher>
    <b:Pages>?</b:Pages>
    <b:ConferenceName>Hawaii International Confernece on System Sciences</b:ConferenceName>
    <b:RefOrder>1</b:RefOrder>
  </b:Source>
  <b:Source>
    <b:Tag>The091</b:Tag>
    <b:SourceType>DocumentFromInternetSite</b:SourceType>
    <b:Guid>{B1CDBAD3-FC96-44CD-B95B-6E56CBC2ED12}</b:Guid>
    <b:LCID>0</b:LCID>
    <b:Title>The Center</b:Title>
    <b:InternetSiteTitle>International Center for Food and Industry Excellence</b:InternetSiteTitle>
    <b:YearAccessed>2009</b:YearAccessed>
    <b:MonthAccessed>October</b:MonthAccessed>
    <b:DayAccessed>3</b:DayAccessed>
    <b:URL>http://www.icfie.com/htm/Center.html#Mission</b:URL>
    <b:RefOrder>2</b:RefOrder>
  </b:Source>
  <b:Source>
    <b:Tag>Kor94</b:Tag>
    <b:SourceType>Book</b:SourceType>
    <b:Guid>{65C07A63-20A3-4A0A-A9BE-AD3FFC7457E4}</b:Guid>
    <b:LCID>0</b:LCID>
    <b:Author>
      <b:Author>
        <b:NameList>
          <b:Person>
            <b:Last>Kirkpatrick</b:Last>
            <b:First>Donald</b:First>
            <b:Middle>L</b:Middle>
          </b:Person>
        </b:NameList>
      </b:Author>
    </b:Author>
    <b:Title>Evaluating training programs, the four levels</b:Title>
    <b:Year>1994</b:Year>
    <b:City>San Francisco, CA</b:City>
    <b:Publisher>Berrett-Koehler Publishers, Inc.</b:Publisher>
    <b:RefOrder>3</b:RefOrder>
  </b:Source>
</b:Sources>
</file>

<file path=customXml/itemProps1.xml><?xml version="1.0" encoding="utf-8"?>
<ds:datastoreItem xmlns:ds="http://schemas.openxmlformats.org/officeDocument/2006/customXml" ds:itemID="{3699FDAD-44F7-4122-8C97-58CF81944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716</Words>
  <Characters>4087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TTU</Company>
  <LinksUpToDate>false</LinksUpToDate>
  <CharactersWithSpaces>4794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dc:creator>
  <cp:keywords/>
  <dc:description/>
  <cp:lastModifiedBy>Jenn</cp:lastModifiedBy>
  <cp:revision>2</cp:revision>
  <dcterms:created xsi:type="dcterms:W3CDTF">2009-10-23T21:34:00Z</dcterms:created>
  <dcterms:modified xsi:type="dcterms:W3CDTF">2009-10-23T21:34:00Z</dcterms:modified>
</cp:coreProperties>
</file>