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p>
    <w:p w:rsidR="009E2FC1" w:rsidRDefault="009E2FC1" w:rsidP="009C768A">
      <w:pPr>
        <w:spacing w:line="240" w:lineRule="auto"/>
        <w:ind w:firstLine="216"/>
        <w:jc w:val="center"/>
        <w:rPr>
          <w:rFonts w:ascii="Times New Roman" w:hAnsi="Times New Roman"/>
          <w:b/>
          <w:sz w:val="24"/>
          <w:szCs w:val="24"/>
        </w:rPr>
      </w:pPr>
      <w:r w:rsidRPr="00C80C3A">
        <w:rPr>
          <w:rFonts w:ascii="Times New Roman" w:hAnsi="Times New Roman"/>
          <w:b/>
          <w:sz w:val="24"/>
          <w:szCs w:val="24"/>
        </w:rPr>
        <w:t>Factors Motivating Members of a Farm Bureau in a Southern State to Participate in the Policy Development and Implementation Process</w:t>
      </w:r>
    </w:p>
    <w:p w:rsidR="009E2FC1" w:rsidRPr="009E2FC1" w:rsidRDefault="009E2FC1" w:rsidP="009C768A">
      <w:pPr>
        <w:spacing w:line="240" w:lineRule="auto"/>
        <w:ind w:firstLine="216"/>
        <w:jc w:val="center"/>
        <w:rPr>
          <w:rFonts w:ascii="Times New Roman" w:hAnsi="Times New Roman"/>
          <w:sz w:val="24"/>
          <w:szCs w:val="24"/>
        </w:rPr>
      </w:pPr>
      <w:r w:rsidRPr="009E2FC1">
        <w:rPr>
          <w:rFonts w:ascii="Times New Roman" w:hAnsi="Times New Roman"/>
          <w:sz w:val="24"/>
          <w:szCs w:val="24"/>
        </w:rPr>
        <w:t>Katelyn Crow Landrum</w:t>
      </w:r>
      <w:r w:rsidRPr="009E2FC1">
        <w:rPr>
          <w:rFonts w:ascii="Times New Roman" w:hAnsi="Times New Roman"/>
          <w:sz w:val="24"/>
          <w:szCs w:val="24"/>
        </w:rPr>
        <w:br/>
        <w:t>kscrow@ufl.edu</w:t>
      </w:r>
    </w:p>
    <w:p w:rsidR="009E2FC1" w:rsidRPr="009E2FC1" w:rsidRDefault="009E2FC1" w:rsidP="009E2FC1">
      <w:pPr>
        <w:spacing w:line="240" w:lineRule="auto"/>
        <w:ind w:firstLine="216"/>
        <w:jc w:val="center"/>
        <w:rPr>
          <w:rFonts w:ascii="Times New Roman" w:hAnsi="Times New Roman"/>
          <w:sz w:val="24"/>
          <w:szCs w:val="24"/>
        </w:rPr>
      </w:pPr>
      <w:r w:rsidRPr="009E2FC1">
        <w:rPr>
          <w:rFonts w:ascii="Times New Roman" w:hAnsi="Times New Roman"/>
          <w:sz w:val="24"/>
          <w:szCs w:val="24"/>
        </w:rPr>
        <w:t>Dr. Nicole Stedman</w:t>
      </w:r>
      <w:r w:rsidRPr="009E2FC1">
        <w:rPr>
          <w:rFonts w:ascii="Times New Roman" w:hAnsi="Times New Roman"/>
          <w:sz w:val="24"/>
          <w:szCs w:val="24"/>
        </w:rPr>
        <w:br/>
        <w:t>nstedman@ufl.edu</w:t>
      </w:r>
    </w:p>
    <w:p w:rsidR="0098198E" w:rsidRPr="009E2FC1" w:rsidRDefault="009E2FC1" w:rsidP="009E2FC1">
      <w:pPr>
        <w:spacing w:line="240" w:lineRule="auto"/>
        <w:ind w:firstLine="216"/>
        <w:jc w:val="center"/>
        <w:rPr>
          <w:rFonts w:ascii="Times New Roman" w:hAnsi="Times New Roman"/>
          <w:sz w:val="24"/>
          <w:szCs w:val="24"/>
        </w:rPr>
      </w:pPr>
      <w:r w:rsidRPr="009E2FC1">
        <w:rPr>
          <w:rFonts w:ascii="Times New Roman" w:hAnsi="Times New Roman"/>
          <w:sz w:val="24"/>
          <w:szCs w:val="24"/>
        </w:rPr>
        <w:t>3127 McCarty B</w:t>
      </w:r>
      <w:r w:rsidRPr="009E2FC1">
        <w:rPr>
          <w:rFonts w:ascii="Times New Roman" w:hAnsi="Times New Roman"/>
          <w:sz w:val="24"/>
          <w:szCs w:val="24"/>
        </w:rPr>
        <w:br/>
        <w:t>PO Box 110540</w:t>
      </w:r>
      <w:r w:rsidRPr="009E2FC1">
        <w:rPr>
          <w:rFonts w:ascii="Times New Roman" w:hAnsi="Times New Roman"/>
          <w:sz w:val="24"/>
          <w:szCs w:val="24"/>
        </w:rPr>
        <w:br/>
        <w:t>Gainesville, FL 32611-0540</w:t>
      </w:r>
      <w:r>
        <w:rPr>
          <w:rFonts w:ascii="Times New Roman" w:hAnsi="Times New Roman"/>
          <w:sz w:val="24"/>
          <w:szCs w:val="24"/>
        </w:rPr>
        <w:br/>
        <w:t>Phone: (352) 392 - 1663</w:t>
      </w:r>
      <w:r>
        <w:rPr>
          <w:rFonts w:ascii="Times New Roman" w:hAnsi="Times New Roman"/>
          <w:b/>
          <w:sz w:val="24"/>
          <w:szCs w:val="24"/>
        </w:rPr>
        <w:br w:type="page"/>
      </w:r>
      <w:r w:rsidR="0098198E" w:rsidRPr="00C80C3A">
        <w:rPr>
          <w:rFonts w:ascii="Times New Roman" w:hAnsi="Times New Roman"/>
          <w:b/>
          <w:sz w:val="24"/>
          <w:szCs w:val="24"/>
        </w:rPr>
        <w:t xml:space="preserve">Factors Motivating </w:t>
      </w:r>
      <w:r w:rsidR="00693240" w:rsidRPr="00C80C3A">
        <w:rPr>
          <w:rFonts w:ascii="Times New Roman" w:hAnsi="Times New Roman"/>
          <w:b/>
          <w:sz w:val="24"/>
          <w:szCs w:val="24"/>
        </w:rPr>
        <w:t>Members of a Farm Bureau in a Southern State</w:t>
      </w:r>
      <w:r w:rsidR="0098198E" w:rsidRPr="00C80C3A">
        <w:rPr>
          <w:rFonts w:ascii="Times New Roman" w:hAnsi="Times New Roman"/>
          <w:b/>
          <w:sz w:val="24"/>
          <w:szCs w:val="24"/>
        </w:rPr>
        <w:t xml:space="preserve"> to Participate in the Policy Development and Implementation Process</w:t>
      </w:r>
    </w:p>
    <w:p w:rsidR="00F259C7" w:rsidRPr="009C768A" w:rsidRDefault="0098198E" w:rsidP="009C768A">
      <w:pPr>
        <w:spacing w:line="240" w:lineRule="auto"/>
        <w:outlineLvl w:val="0"/>
        <w:rPr>
          <w:rFonts w:ascii="Times New Roman" w:hAnsi="Times New Roman"/>
          <w:b/>
          <w:sz w:val="24"/>
        </w:rPr>
      </w:pPr>
      <w:r w:rsidRPr="00C80C3A">
        <w:rPr>
          <w:rFonts w:ascii="Times New Roman" w:hAnsi="Times New Roman"/>
          <w:b/>
          <w:sz w:val="24"/>
        </w:rPr>
        <w:t>Introduction</w:t>
      </w:r>
      <w:r w:rsidR="009C768A">
        <w:rPr>
          <w:rFonts w:ascii="Times New Roman" w:hAnsi="Times New Roman"/>
          <w:b/>
          <w:sz w:val="24"/>
        </w:rPr>
        <w:br/>
      </w:r>
      <w:r w:rsidRPr="00C80C3A">
        <w:rPr>
          <w:rFonts w:ascii="Times New Roman" w:hAnsi="Times New Roman"/>
          <w:sz w:val="24"/>
          <w:szCs w:val="24"/>
        </w:rPr>
        <w:t>The decline of civic engagement over the last few decades in America and worldwide has become a growing concern</w:t>
      </w:r>
      <w:r w:rsidR="00194539">
        <w:rPr>
          <w:rFonts w:ascii="Times New Roman" w:hAnsi="Times New Roman"/>
          <w:sz w:val="24"/>
          <w:szCs w:val="24"/>
        </w:rPr>
        <w:t xml:space="preserve"> </w:t>
      </w:r>
      <w:r w:rsidR="00194539" w:rsidRPr="00C80C3A">
        <w:rPr>
          <w:rFonts w:ascii="Times New Roman" w:hAnsi="Times New Roman"/>
          <w:sz w:val="24"/>
          <w:szCs w:val="24"/>
        </w:rPr>
        <w:t>(Putnam, 1995)</w:t>
      </w:r>
      <w:r w:rsidRPr="00C80C3A">
        <w:rPr>
          <w:rFonts w:ascii="Times New Roman" w:hAnsi="Times New Roman"/>
          <w:sz w:val="24"/>
          <w:szCs w:val="24"/>
        </w:rPr>
        <w:t>. Research has shown that a lack of civic engagement, where political efficacy is formed (Leighly, 1991), can result in an eventual distrust of government institutions (Bowler &amp; Karp, 2004). The perpetuating and revolving nature of participation in political activities combined with the need for trust in government (Putnam</w:t>
      </w:r>
      <w:r w:rsidR="00194539">
        <w:rPr>
          <w:rFonts w:ascii="Times New Roman" w:hAnsi="Times New Roman"/>
          <w:sz w:val="24"/>
          <w:szCs w:val="24"/>
        </w:rPr>
        <w:t>, 1995</w:t>
      </w:r>
      <w:r w:rsidRPr="00C80C3A">
        <w:rPr>
          <w:rFonts w:ascii="Times New Roman" w:hAnsi="Times New Roman"/>
          <w:sz w:val="24"/>
          <w:szCs w:val="24"/>
        </w:rPr>
        <w:t xml:space="preserve">), calls for an understanding of the factors which can counter this growing mistrust, thus overcoming political inactivity. Currently, the majority of studies looking at participation motivation have focused on participation in general areas of </w:t>
      </w:r>
      <w:r w:rsidR="002358B5">
        <w:rPr>
          <w:rFonts w:ascii="Times New Roman" w:hAnsi="Times New Roman"/>
          <w:sz w:val="24"/>
          <w:szCs w:val="24"/>
        </w:rPr>
        <w:t>an</w:t>
      </w:r>
      <w:r w:rsidRPr="00C80C3A">
        <w:rPr>
          <w:rFonts w:ascii="Times New Roman" w:hAnsi="Times New Roman"/>
          <w:sz w:val="24"/>
          <w:szCs w:val="24"/>
        </w:rPr>
        <w:t xml:space="preserve"> organization. Theses studies have not identified specific factors that may influence participation in one sect of an organization versus another</w:t>
      </w:r>
      <w:r w:rsidR="003E552B">
        <w:rPr>
          <w:rFonts w:ascii="Times New Roman" w:hAnsi="Times New Roman"/>
          <w:sz w:val="24"/>
          <w:szCs w:val="24"/>
        </w:rPr>
        <w:t>.</w:t>
      </w:r>
    </w:p>
    <w:p w:rsidR="0098198E" w:rsidRDefault="0098198E" w:rsidP="009C768A">
      <w:pPr>
        <w:spacing w:line="240" w:lineRule="auto"/>
        <w:rPr>
          <w:rFonts w:ascii="Times New Roman" w:hAnsi="Times New Roman"/>
          <w:sz w:val="24"/>
          <w:szCs w:val="24"/>
        </w:rPr>
      </w:pPr>
      <w:r w:rsidRPr="00C80C3A">
        <w:rPr>
          <w:rFonts w:ascii="Times New Roman" w:hAnsi="Times New Roman"/>
          <w:sz w:val="24"/>
          <w:szCs w:val="24"/>
        </w:rPr>
        <w:t xml:space="preserve"> The purpose of this research is to ascertain the specific factors</w:t>
      </w:r>
      <w:r w:rsidR="00693240" w:rsidRPr="00C80C3A">
        <w:rPr>
          <w:rFonts w:ascii="Times New Roman" w:hAnsi="Times New Roman"/>
          <w:sz w:val="24"/>
          <w:szCs w:val="24"/>
        </w:rPr>
        <w:t>, which motivate certain members of Farm Bureau in a southern state</w:t>
      </w:r>
      <w:r w:rsidRPr="00C80C3A">
        <w:rPr>
          <w:rFonts w:ascii="Times New Roman" w:hAnsi="Times New Roman"/>
          <w:sz w:val="24"/>
          <w:szCs w:val="24"/>
        </w:rPr>
        <w:t xml:space="preserve"> to participate in the policy development and implementation process. </w:t>
      </w:r>
      <w:r w:rsidR="001D3C73">
        <w:rPr>
          <w:rFonts w:ascii="Times New Roman" w:hAnsi="Times New Roman"/>
          <w:sz w:val="24"/>
          <w:szCs w:val="24"/>
        </w:rPr>
        <w:t>Specific objectives of this study are to:</w:t>
      </w:r>
    </w:p>
    <w:p w:rsidR="00D42C14" w:rsidRDefault="001D3C73" w:rsidP="009C768A">
      <w:pPr>
        <w:pStyle w:val="ListParagraph"/>
        <w:numPr>
          <w:ilvl w:val="0"/>
          <w:numId w:val="1"/>
        </w:numPr>
        <w:spacing w:line="240" w:lineRule="auto"/>
        <w:rPr>
          <w:rFonts w:ascii="Times New Roman" w:hAnsi="Times New Roman"/>
          <w:sz w:val="24"/>
          <w:szCs w:val="24"/>
        </w:rPr>
      </w:pPr>
      <w:r>
        <w:rPr>
          <w:rFonts w:ascii="Times New Roman" w:hAnsi="Times New Roman"/>
          <w:sz w:val="24"/>
          <w:szCs w:val="24"/>
        </w:rPr>
        <w:t>Determine the perceptions of Farm Bureau members as they relate to Farm Bureau’s organizational policy development efforts.</w:t>
      </w:r>
    </w:p>
    <w:p w:rsidR="00D42C14" w:rsidRDefault="001D3C73" w:rsidP="009C768A">
      <w:pPr>
        <w:pStyle w:val="ListParagraph"/>
        <w:numPr>
          <w:ilvl w:val="0"/>
          <w:numId w:val="1"/>
        </w:numPr>
        <w:spacing w:line="240" w:lineRule="auto"/>
        <w:rPr>
          <w:rFonts w:ascii="Times New Roman" w:hAnsi="Times New Roman"/>
          <w:sz w:val="24"/>
          <w:szCs w:val="24"/>
        </w:rPr>
      </w:pPr>
      <w:r>
        <w:rPr>
          <w:rFonts w:ascii="Times New Roman" w:hAnsi="Times New Roman"/>
          <w:sz w:val="24"/>
          <w:szCs w:val="24"/>
        </w:rPr>
        <w:t>Determine the perceptions of Farm Bureau members as they relate to their personal ability to make an impact on Farm Bureau’s policy development efforts.</w:t>
      </w:r>
    </w:p>
    <w:p w:rsidR="00D42C14" w:rsidRDefault="0062023A" w:rsidP="009C768A">
      <w:pPr>
        <w:pStyle w:val="ListParagraph"/>
        <w:numPr>
          <w:ilvl w:val="0"/>
          <w:numId w:val="1"/>
        </w:numPr>
        <w:spacing w:line="240" w:lineRule="auto"/>
        <w:rPr>
          <w:rFonts w:ascii="Times New Roman" w:hAnsi="Times New Roman"/>
          <w:sz w:val="24"/>
          <w:szCs w:val="24"/>
        </w:rPr>
      </w:pPr>
      <w:r>
        <w:rPr>
          <w:rFonts w:ascii="Times New Roman" w:hAnsi="Times New Roman"/>
          <w:sz w:val="24"/>
          <w:szCs w:val="24"/>
        </w:rPr>
        <w:t>Determine differences which exist among Farm Bureau members related to Farm Bureau’s policy development efforts.</w:t>
      </w:r>
    </w:p>
    <w:p w:rsidR="00D42C14" w:rsidRDefault="0062023A" w:rsidP="009C768A">
      <w:pPr>
        <w:pStyle w:val="ListParagraph"/>
        <w:numPr>
          <w:ilvl w:val="0"/>
          <w:numId w:val="1"/>
        </w:numPr>
        <w:spacing w:line="240" w:lineRule="auto"/>
        <w:rPr>
          <w:rFonts w:ascii="Times New Roman" w:hAnsi="Times New Roman"/>
          <w:sz w:val="24"/>
          <w:szCs w:val="24"/>
        </w:rPr>
      </w:pPr>
      <w:r>
        <w:rPr>
          <w:rFonts w:ascii="Times New Roman" w:hAnsi="Times New Roman"/>
          <w:sz w:val="24"/>
          <w:szCs w:val="24"/>
        </w:rPr>
        <w:t>Determine differences which exist among Farm Bureau members related to personal impact on Farm Bureau policy development efforts.</w:t>
      </w:r>
    </w:p>
    <w:p w:rsidR="0098198E" w:rsidRPr="009C768A" w:rsidRDefault="0098198E" w:rsidP="009C768A">
      <w:pPr>
        <w:spacing w:line="240" w:lineRule="auto"/>
        <w:outlineLvl w:val="0"/>
        <w:rPr>
          <w:rFonts w:ascii="Times New Roman" w:hAnsi="Times New Roman"/>
          <w:b/>
          <w:sz w:val="24"/>
        </w:rPr>
      </w:pPr>
      <w:r w:rsidRPr="00C80C3A">
        <w:rPr>
          <w:rFonts w:ascii="Times New Roman" w:hAnsi="Times New Roman"/>
          <w:b/>
          <w:sz w:val="24"/>
        </w:rPr>
        <w:t>Theoretical Framewor</w:t>
      </w:r>
      <w:r w:rsidR="009C768A">
        <w:rPr>
          <w:rFonts w:ascii="Times New Roman" w:hAnsi="Times New Roman"/>
          <w:b/>
          <w:sz w:val="24"/>
        </w:rPr>
        <w:t>k</w:t>
      </w:r>
      <w:r w:rsidR="009C768A">
        <w:rPr>
          <w:rFonts w:ascii="Times New Roman" w:hAnsi="Times New Roman"/>
          <w:b/>
          <w:sz w:val="24"/>
        </w:rPr>
        <w:br/>
      </w:r>
      <w:r w:rsidR="004B7428">
        <w:rPr>
          <w:rFonts w:ascii="Times New Roman" w:hAnsi="Times New Roman"/>
          <w:sz w:val="24"/>
        </w:rPr>
        <w:t>T</w:t>
      </w:r>
      <w:r w:rsidR="004B7428" w:rsidRPr="00C80C3A">
        <w:rPr>
          <w:rFonts w:ascii="Times New Roman" w:hAnsi="Times New Roman"/>
          <w:sz w:val="24"/>
        </w:rPr>
        <w:t>he</w:t>
      </w:r>
      <w:r w:rsidR="00555B1D" w:rsidRPr="00C80C3A">
        <w:rPr>
          <w:rFonts w:ascii="Times New Roman" w:hAnsi="Times New Roman"/>
          <w:sz w:val="24"/>
        </w:rPr>
        <w:t xml:space="preserve"> framework used for this study was Vroom’s Expectancy Theory of Motivation (</w:t>
      </w:r>
      <w:r w:rsidR="00AD4258" w:rsidRPr="00C80C3A">
        <w:rPr>
          <w:rFonts w:ascii="Times New Roman" w:hAnsi="Times New Roman"/>
          <w:sz w:val="24"/>
        </w:rPr>
        <w:t>1964).</w:t>
      </w:r>
      <w:r w:rsidR="00555B1D" w:rsidRPr="00C80C3A">
        <w:rPr>
          <w:rFonts w:ascii="Times New Roman" w:hAnsi="Times New Roman"/>
          <w:sz w:val="24"/>
        </w:rPr>
        <w:t xml:space="preserve"> The theory states that individuals make choices based upon the alternative, with the purpose of maximizing the positive and avoiding perceived negatives (Montana &amp; Charnov</w:t>
      </w:r>
      <w:r w:rsidR="00C80C3A">
        <w:rPr>
          <w:rFonts w:ascii="Times New Roman" w:hAnsi="Times New Roman"/>
          <w:sz w:val="24"/>
        </w:rPr>
        <w:t>, 2008</w:t>
      </w:r>
      <w:r w:rsidR="00555B1D" w:rsidRPr="00C80C3A">
        <w:rPr>
          <w:rFonts w:ascii="Times New Roman" w:hAnsi="Times New Roman"/>
          <w:sz w:val="24"/>
        </w:rPr>
        <w:t xml:space="preserve">). </w:t>
      </w:r>
      <w:r w:rsidR="00C80C3A" w:rsidRPr="00C80C3A">
        <w:rPr>
          <w:rFonts w:ascii="Times New Roman" w:hAnsi="Times New Roman"/>
          <w:sz w:val="24"/>
        </w:rPr>
        <w:t>The development of Vroom’s expectancy theory of motivation was centered on the need for a greater understanding of employee performance and mot</w:t>
      </w:r>
      <w:r w:rsidR="00C80C3A">
        <w:rPr>
          <w:rFonts w:ascii="Times New Roman" w:hAnsi="Times New Roman"/>
          <w:sz w:val="24"/>
        </w:rPr>
        <w:t>ivation (Montana &amp; Charnov</w:t>
      </w:r>
      <w:r w:rsidR="00584A45">
        <w:rPr>
          <w:rFonts w:ascii="Times New Roman" w:hAnsi="Times New Roman"/>
          <w:sz w:val="24"/>
        </w:rPr>
        <w:t>, 2008</w:t>
      </w:r>
      <w:r w:rsidR="00C80C3A" w:rsidRPr="00C80C3A">
        <w:rPr>
          <w:rFonts w:ascii="Times New Roman" w:hAnsi="Times New Roman"/>
          <w:sz w:val="24"/>
        </w:rPr>
        <w:t>). While the theory was created for its application to work performance and management scenarios, it is applicable to other domains, though little has been done to expand i</w:t>
      </w:r>
      <w:r w:rsidR="00C80C3A">
        <w:rPr>
          <w:rFonts w:ascii="Times New Roman" w:hAnsi="Times New Roman"/>
          <w:sz w:val="24"/>
        </w:rPr>
        <w:t>ts uses (Vroom, 2005)</w:t>
      </w:r>
      <w:r w:rsidR="00584A45">
        <w:rPr>
          <w:rFonts w:ascii="Times New Roman" w:hAnsi="Times New Roman"/>
          <w:sz w:val="24"/>
        </w:rPr>
        <w:t>.</w:t>
      </w:r>
      <w:r w:rsidR="00C80C3A">
        <w:rPr>
          <w:rFonts w:ascii="Times New Roman" w:hAnsi="Times New Roman"/>
          <w:sz w:val="24"/>
        </w:rPr>
        <w:t xml:space="preserve"> </w:t>
      </w:r>
      <w:r w:rsidR="00C80C3A" w:rsidRPr="00C80C3A">
        <w:rPr>
          <w:rFonts w:ascii="Times New Roman" w:hAnsi="Times New Roman"/>
          <w:sz w:val="24"/>
        </w:rPr>
        <w:t>These untested areas include the political, academic, nonprofit and nongovernmental sectors (Lawler &amp; Suttle</w:t>
      </w:r>
      <w:r w:rsidR="00584A45">
        <w:rPr>
          <w:rFonts w:ascii="Times New Roman" w:hAnsi="Times New Roman"/>
          <w:sz w:val="24"/>
        </w:rPr>
        <w:t>, 1973</w:t>
      </w:r>
      <w:r w:rsidR="00C80C3A" w:rsidRPr="00C80C3A">
        <w:rPr>
          <w:rFonts w:ascii="Times New Roman" w:hAnsi="Times New Roman"/>
          <w:sz w:val="24"/>
        </w:rPr>
        <w:t xml:space="preserve">), where participation is often voluntary, making the need for understanding motivations ever present. </w:t>
      </w:r>
    </w:p>
    <w:p w:rsidR="004F3D98" w:rsidRPr="009C768A" w:rsidRDefault="0098198E" w:rsidP="009C768A">
      <w:pPr>
        <w:spacing w:line="240" w:lineRule="auto"/>
        <w:outlineLvl w:val="0"/>
        <w:rPr>
          <w:rFonts w:ascii="Times New Roman" w:hAnsi="Times New Roman"/>
          <w:b/>
          <w:sz w:val="24"/>
        </w:rPr>
      </w:pPr>
      <w:r w:rsidRPr="00C80C3A">
        <w:rPr>
          <w:rFonts w:ascii="Times New Roman" w:hAnsi="Times New Roman"/>
          <w:b/>
          <w:sz w:val="24"/>
        </w:rPr>
        <w:t>Methodology</w:t>
      </w:r>
      <w:r w:rsidR="009C768A">
        <w:rPr>
          <w:rFonts w:ascii="Times New Roman" w:hAnsi="Times New Roman"/>
          <w:b/>
          <w:sz w:val="24"/>
        </w:rPr>
        <w:br/>
      </w:r>
      <w:r w:rsidR="00693240" w:rsidRPr="00C80C3A">
        <w:rPr>
          <w:rFonts w:ascii="Times New Roman" w:hAnsi="Times New Roman"/>
          <w:sz w:val="24"/>
        </w:rPr>
        <w:t>This quantitative study was descriptive in nature with the intent of providing a detailed analysis of the factors that motivate members of a Farm Bureau in a southern state to participate in the policy development and implementation process. The researchers used a convenience sample of active farm bureau members in a southern state, defined by the organization as any due-paying, debt-free individual involved in the production of agriculture or agricultural products (Farm Bureau</w:t>
      </w:r>
      <w:r w:rsidR="00584A45">
        <w:rPr>
          <w:rFonts w:ascii="Times New Roman" w:hAnsi="Times New Roman"/>
          <w:sz w:val="24"/>
        </w:rPr>
        <w:t xml:space="preserve">, </w:t>
      </w:r>
      <w:r w:rsidR="00C962F7">
        <w:rPr>
          <w:rFonts w:ascii="Times New Roman" w:hAnsi="Times New Roman"/>
          <w:sz w:val="24"/>
        </w:rPr>
        <w:t>n.d.)</w:t>
      </w:r>
      <w:r w:rsidR="00584A45">
        <w:rPr>
          <w:rFonts w:ascii="Times New Roman" w:hAnsi="Times New Roman"/>
          <w:sz w:val="24"/>
        </w:rPr>
        <w:t>.</w:t>
      </w:r>
    </w:p>
    <w:p w:rsidR="0098198E" w:rsidRPr="00C80C3A" w:rsidRDefault="00276DCE" w:rsidP="009C768A">
      <w:pPr>
        <w:spacing w:line="240" w:lineRule="auto"/>
        <w:rPr>
          <w:rFonts w:ascii="Times New Roman" w:hAnsi="Times New Roman"/>
          <w:sz w:val="24"/>
        </w:rPr>
      </w:pPr>
      <w:r w:rsidRPr="00C80C3A">
        <w:rPr>
          <w:rFonts w:ascii="Times New Roman" w:hAnsi="Times New Roman"/>
          <w:sz w:val="24"/>
        </w:rPr>
        <w:t>Using the Tailored Design Method (Dillman et al., 2009) a</w:t>
      </w:r>
      <w:r w:rsidR="004F3D98" w:rsidRPr="00C80C3A">
        <w:rPr>
          <w:rFonts w:ascii="Times New Roman" w:hAnsi="Times New Roman"/>
          <w:sz w:val="24"/>
        </w:rPr>
        <w:t xml:space="preserve"> mailed questionnaire was administered to </w:t>
      </w:r>
      <w:r w:rsidRPr="00C80C3A">
        <w:rPr>
          <w:rFonts w:ascii="Times New Roman" w:hAnsi="Times New Roman"/>
          <w:sz w:val="24"/>
        </w:rPr>
        <w:t>all active members of a</w:t>
      </w:r>
      <w:r w:rsidR="004F3D98" w:rsidRPr="00C80C3A">
        <w:rPr>
          <w:rFonts w:ascii="Times New Roman" w:hAnsi="Times New Roman"/>
          <w:sz w:val="24"/>
        </w:rPr>
        <w:t xml:space="preserve"> Farm Bureau in a southern state</w:t>
      </w:r>
      <w:r w:rsidRPr="00C80C3A">
        <w:rPr>
          <w:rFonts w:ascii="Times New Roman" w:hAnsi="Times New Roman"/>
          <w:sz w:val="24"/>
        </w:rPr>
        <w:t xml:space="preserve"> (</w:t>
      </w:r>
      <w:r w:rsidRPr="00C80C3A">
        <w:rPr>
          <w:rFonts w:ascii="Times New Roman" w:hAnsi="Times New Roman"/>
          <w:i/>
          <w:sz w:val="24"/>
        </w:rPr>
        <w:t xml:space="preserve">n </w:t>
      </w:r>
      <w:r w:rsidRPr="00C80C3A">
        <w:rPr>
          <w:rFonts w:ascii="Times New Roman" w:hAnsi="Times New Roman"/>
          <w:sz w:val="24"/>
        </w:rPr>
        <w:t>= 25,000)</w:t>
      </w:r>
      <w:r w:rsidR="004F3D98" w:rsidRPr="00C80C3A">
        <w:rPr>
          <w:rFonts w:ascii="Times New Roman" w:hAnsi="Times New Roman"/>
          <w:sz w:val="24"/>
        </w:rPr>
        <w:t>. Specific data was collected in three sections regarding policy development, policy implementation, and industry affiliation; additional questions regar</w:t>
      </w:r>
      <w:r w:rsidRPr="00C80C3A">
        <w:rPr>
          <w:rFonts w:ascii="Times New Roman" w:hAnsi="Times New Roman"/>
          <w:sz w:val="24"/>
        </w:rPr>
        <w:t>ding demographic information were also</w:t>
      </w:r>
      <w:r w:rsidR="004F3D98" w:rsidRPr="00C80C3A">
        <w:rPr>
          <w:rFonts w:ascii="Times New Roman" w:hAnsi="Times New Roman"/>
          <w:sz w:val="24"/>
        </w:rPr>
        <w:t xml:space="preserve"> included. </w:t>
      </w:r>
      <w:r w:rsidRPr="00C80C3A">
        <w:rPr>
          <w:rFonts w:ascii="Times New Roman" w:hAnsi="Times New Roman"/>
          <w:sz w:val="24"/>
        </w:rPr>
        <w:t xml:space="preserve">To address non-response, the researcher compared early and late respondents using a chi-square test. Various statistical analyses were used to report findings on the </w:t>
      </w:r>
      <w:r w:rsidR="00C962F7">
        <w:rPr>
          <w:rFonts w:ascii="Times New Roman" w:hAnsi="Times New Roman"/>
          <w:sz w:val="24"/>
        </w:rPr>
        <w:t>four</w:t>
      </w:r>
      <w:r w:rsidR="00C962F7" w:rsidRPr="00C80C3A">
        <w:rPr>
          <w:rFonts w:ascii="Times New Roman" w:hAnsi="Times New Roman"/>
          <w:sz w:val="24"/>
        </w:rPr>
        <w:t xml:space="preserve"> </w:t>
      </w:r>
      <w:r w:rsidRPr="00C80C3A">
        <w:rPr>
          <w:rFonts w:ascii="Times New Roman" w:hAnsi="Times New Roman"/>
          <w:sz w:val="24"/>
        </w:rPr>
        <w:t>objectives of the study</w:t>
      </w:r>
      <w:r w:rsidR="00C962F7">
        <w:rPr>
          <w:rFonts w:ascii="Times New Roman" w:hAnsi="Times New Roman"/>
          <w:sz w:val="24"/>
        </w:rPr>
        <w:t>.</w:t>
      </w:r>
      <w:r w:rsidRPr="00C80C3A">
        <w:rPr>
          <w:rFonts w:ascii="Times New Roman" w:hAnsi="Times New Roman"/>
          <w:sz w:val="24"/>
          <w:szCs w:val="24"/>
        </w:rPr>
        <w:t xml:space="preserve"> </w:t>
      </w:r>
    </w:p>
    <w:p w:rsidR="00C962F7" w:rsidRPr="00790175" w:rsidRDefault="0098198E" w:rsidP="00790175">
      <w:pPr>
        <w:pStyle w:val="ListParagraph"/>
        <w:spacing w:line="240" w:lineRule="auto"/>
        <w:ind w:left="0"/>
        <w:rPr>
          <w:rFonts w:ascii="Times New Roman" w:hAnsi="Times New Roman"/>
          <w:sz w:val="24"/>
          <w:szCs w:val="24"/>
        </w:rPr>
      </w:pPr>
      <w:r w:rsidRPr="00C80C3A">
        <w:rPr>
          <w:rFonts w:ascii="Times New Roman" w:hAnsi="Times New Roman"/>
          <w:b/>
          <w:sz w:val="24"/>
        </w:rPr>
        <w:t>Findings</w:t>
      </w:r>
      <w:r w:rsidR="009C768A">
        <w:rPr>
          <w:rFonts w:ascii="Times New Roman" w:hAnsi="Times New Roman"/>
          <w:b/>
          <w:sz w:val="24"/>
        </w:rPr>
        <w:br/>
      </w:r>
      <w:r w:rsidR="009F5F17">
        <w:rPr>
          <w:rFonts w:ascii="Times New Roman" w:hAnsi="Times New Roman"/>
          <w:sz w:val="24"/>
        </w:rPr>
        <w:t>The respondents included active members of a Farm Bureau in a southern state. Using a range of one to four</w:t>
      </w:r>
      <w:r w:rsidR="009C768A">
        <w:rPr>
          <w:rFonts w:ascii="Times New Roman" w:hAnsi="Times New Roman"/>
          <w:sz w:val="24"/>
        </w:rPr>
        <w:t xml:space="preserve"> (1 = “Not at all aware” and 4 = “Very Aware”)</w:t>
      </w:r>
      <w:r w:rsidR="009F5F17">
        <w:rPr>
          <w:rFonts w:ascii="Times New Roman" w:hAnsi="Times New Roman"/>
          <w:sz w:val="24"/>
        </w:rPr>
        <w:t>, the responses (</w:t>
      </w:r>
      <w:r w:rsidR="009F5F17">
        <w:rPr>
          <w:rFonts w:ascii="Times New Roman" w:hAnsi="Times New Roman"/>
          <w:i/>
          <w:sz w:val="24"/>
        </w:rPr>
        <w:t xml:space="preserve">n </w:t>
      </w:r>
      <w:r w:rsidR="009F5F17">
        <w:rPr>
          <w:rFonts w:ascii="Times New Roman" w:hAnsi="Times New Roman"/>
          <w:sz w:val="24"/>
        </w:rPr>
        <w:t>= 1668) indicate that members of th</w:t>
      </w:r>
      <w:r w:rsidR="009C768A">
        <w:rPr>
          <w:rFonts w:ascii="Times New Roman" w:hAnsi="Times New Roman"/>
          <w:sz w:val="24"/>
        </w:rPr>
        <w:t xml:space="preserve">e Farm Bureau are moderately aware </w:t>
      </w:r>
      <w:r w:rsidR="009F5F17">
        <w:rPr>
          <w:rFonts w:ascii="Times New Roman" w:hAnsi="Times New Roman"/>
          <w:sz w:val="24"/>
        </w:rPr>
        <w:t>of the Farm Bureau’s policy development efforts (</w:t>
      </w:r>
      <w:r w:rsidR="009C768A">
        <w:rPr>
          <w:rFonts w:ascii="Times New Roman" w:hAnsi="Times New Roman"/>
          <w:i/>
          <w:sz w:val="24"/>
        </w:rPr>
        <w:t>M</w:t>
      </w:r>
      <w:r w:rsidR="009C768A">
        <w:rPr>
          <w:rFonts w:ascii="Times New Roman" w:hAnsi="Times New Roman"/>
          <w:sz w:val="24"/>
        </w:rPr>
        <w:t xml:space="preserve"> = 2.39</w:t>
      </w:r>
      <w:r w:rsidR="00790175">
        <w:rPr>
          <w:rFonts w:ascii="Times New Roman" w:hAnsi="Times New Roman"/>
          <w:sz w:val="24"/>
        </w:rPr>
        <w:t xml:space="preserve">, </w:t>
      </w:r>
      <w:r w:rsidR="00790175">
        <w:rPr>
          <w:rFonts w:ascii="Times New Roman" w:hAnsi="Times New Roman"/>
          <w:i/>
          <w:sz w:val="24"/>
        </w:rPr>
        <w:t>SD</w:t>
      </w:r>
      <w:r w:rsidR="00790175">
        <w:rPr>
          <w:rFonts w:ascii="Times New Roman" w:hAnsi="Times New Roman"/>
          <w:sz w:val="24"/>
        </w:rPr>
        <w:t xml:space="preserve"> = .891</w:t>
      </w:r>
      <w:r w:rsidR="009C768A">
        <w:rPr>
          <w:rFonts w:ascii="Times New Roman" w:hAnsi="Times New Roman"/>
          <w:sz w:val="24"/>
        </w:rPr>
        <w:t>)</w:t>
      </w:r>
      <w:r w:rsidR="00D163F0">
        <w:rPr>
          <w:rFonts w:ascii="Times New Roman" w:hAnsi="Times New Roman"/>
          <w:sz w:val="24"/>
        </w:rPr>
        <w:t xml:space="preserve"> reporting on objective one</w:t>
      </w:r>
      <w:r w:rsidR="009C768A">
        <w:rPr>
          <w:rFonts w:ascii="Times New Roman" w:hAnsi="Times New Roman"/>
          <w:sz w:val="24"/>
        </w:rPr>
        <w:t xml:space="preserve">. </w:t>
      </w:r>
      <w:r w:rsidR="00D163F0">
        <w:rPr>
          <w:rFonts w:ascii="Times New Roman" w:hAnsi="Times New Roman"/>
          <w:sz w:val="24"/>
        </w:rPr>
        <w:t>For objective two, m</w:t>
      </w:r>
      <w:r w:rsidR="009C768A">
        <w:rPr>
          <w:rFonts w:ascii="Times New Roman" w:hAnsi="Times New Roman"/>
          <w:sz w:val="24"/>
        </w:rPr>
        <w:t>embers also reported (</w:t>
      </w:r>
      <w:r w:rsidR="009C768A">
        <w:rPr>
          <w:rFonts w:ascii="Times New Roman" w:hAnsi="Times New Roman"/>
          <w:i/>
          <w:sz w:val="24"/>
        </w:rPr>
        <w:t xml:space="preserve">n </w:t>
      </w:r>
      <w:r w:rsidR="004B7428">
        <w:rPr>
          <w:rFonts w:ascii="Times New Roman" w:hAnsi="Times New Roman"/>
          <w:sz w:val="24"/>
        </w:rPr>
        <w:t>= 1707) having only a</w:t>
      </w:r>
      <w:r w:rsidR="009C768A">
        <w:rPr>
          <w:rFonts w:ascii="Times New Roman" w:hAnsi="Times New Roman"/>
          <w:sz w:val="24"/>
        </w:rPr>
        <w:t xml:space="preserve"> moderate impact on the Farm Bureau’s policy process (</w:t>
      </w:r>
      <w:r w:rsidR="009C768A">
        <w:rPr>
          <w:rFonts w:ascii="Times New Roman" w:hAnsi="Times New Roman"/>
          <w:i/>
          <w:sz w:val="24"/>
        </w:rPr>
        <w:t>M</w:t>
      </w:r>
      <w:r w:rsidR="009C768A">
        <w:rPr>
          <w:rFonts w:ascii="Times New Roman" w:hAnsi="Times New Roman"/>
          <w:sz w:val="24"/>
        </w:rPr>
        <w:t xml:space="preserve"> = 2.2853</w:t>
      </w:r>
      <w:r w:rsidR="00790175">
        <w:rPr>
          <w:rFonts w:ascii="Times New Roman" w:hAnsi="Times New Roman"/>
          <w:sz w:val="24"/>
        </w:rPr>
        <w:t xml:space="preserve">, </w:t>
      </w:r>
      <w:r w:rsidR="00790175" w:rsidRPr="00790175">
        <w:rPr>
          <w:rFonts w:ascii="Times New Roman" w:hAnsi="Times New Roman"/>
          <w:i/>
          <w:sz w:val="24"/>
        </w:rPr>
        <w:t>SD</w:t>
      </w:r>
      <w:r w:rsidR="00790175">
        <w:rPr>
          <w:rFonts w:ascii="Times New Roman" w:hAnsi="Times New Roman"/>
          <w:sz w:val="24"/>
        </w:rPr>
        <w:t xml:space="preserve"> = .96238</w:t>
      </w:r>
      <w:r w:rsidR="009C768A">
        <w:rPr>
          <w:rFonts w:ascii="Times New Roman" w:hAnsi="Times New Roman"/>
          <w:sz w:val="24"/>
        </w:rPr>
        <w:t>)</w:t>
      </w:r>
      <w:r w:rsidR="004B7428">
        <w:rPr>
          <w:rFonts w:ascii="Times New Roman" w:hAnsi="Times New Roman"/>
          <w:sz w:val="24"/>
        </w:rPr>
        <w:t xml:space="preserve">. A difference among the members’ political awareness of the Farm Bureau’s policy process and their impact on the Farm Bureau’s policy process was found to be significant reported by a </w:t>
      </w:r>
      <w:r w:rsidR="004B7428">
        <w:rPr>
          <w:rFonts w:ascii="Times New Roman" w:hAnsi="Times New Roman"/>
          <w:i/>
          <w:sz w:val="24"/>
        </w:rPr>
        <w:t>p</w:t>
      </w:r>
      <w:r w:rsidR="004B7428">
        <w:rPr>
          <w:rFonts w:ascii="Times New Roman" w:hAnsi="Times New Roman"/>
          <w:sz w:val="24"/>
        </w:rPr>
        <w:t xml:space="preserve"> &lt; .05</w:t>
      </w:r>
      <w:r w:rsidR="003E552B">
        <w:rPr>
          <w:rFonts w:ascii="Times New Roman" w:hAnsi="Times New Roman"/>
          <w:sz w:val="24"/>
        </w:rPr>
        <w:t>,</w:t>
      </w:r>
      <w:r w:rsidR="004B7428">
        <w:rPr>
          <w:rFonts w:ascii="Times New Roman" w:hAnsi="Times New Roman"/>
          <w:sz w:val="24"/>
        </w:rPr>
        <w:t xml:space="preserve"> </w:t>
      </w:r>
      <w:r w:rsidR="00D163F0">
        <w:rPr>
          <w:rFonts w:ascii="Times New Roman" w:hAnsi="Times New Roman"/>
          <w:sz w:val="24"/>
        </w:rPr>
        <w:t>set</w:t>
      </w:r>
      <w:r w:rsidR="004B7428" w:rsidRPr="00D163F0">
        <w:rPr>
          <w:rFonts w:ascii="Times New Roman" w:hAnsi="Times New Roman"/>
          <w:i/>
          <w:sz w:val="24"/>
        </w:rPr>
        <w:t xml:space="preserve"> a priori</w:t>
      </w:r>
      <w:r w:rsidR="004B7428">
        <w:rPr>
          <w:rFonts w:ascii="Times New Roman" w:hAnsi="Times New Roman"/>
          <w:sz w:val="24"/>
        </w:rPr>
        <w:t xml:space="preserve">. </w:t>
      </w:r>
      <w:r w:rsidR="00D163F0">
        <w:rPr>
          <w:rFonts w:ascii="Times New Roman" w:hAnsi="Times New Roman"/>
          <w:sz w:val="24"/>
        </w:rPr>
        <w:t xml:space="preserve">A t-test was used to analyze objective three to determine if </w:t>
      </w:r>
      <w:r w:rsidR="00D163F0">
        <w:rPr>
          <w:rFonts w:ascii="Times New Roman" w:hAnsi="Times New Roman"/>
          <w:sz w:val="24"/>
          <w:szCs w:val="24"/>
        </w:rPr>
        <w:t xml:space="preserve">differences existed among Farm Bureau members related to Farm Bureau’s policy development effort with  </w:t>
      </w:r>
      <w:r w:rsidR="00D163F0">
        <w:rPr>
          <w:rFonts w:ascii="Times New Roman" w:hAnsi="Times New Roman"/>
          <w:i/>
          <w:sz w:val="24"/>
          <w:szCs w:val="24"/>
        </w:rPr>
        <w:t>t</w:t>
      </w:r>
      <w:r w:rsidR="00D163F0">
        <w:rPr>
          <w:rFonts w:ascii="Times New Roman" w:hAnsi="Times New Roman"/>
          <w:sz w:val="24"/>
          <w:szCs w:val="24"/>
        </w:rPr>
        <w:t xml:space="preserve"> =</w:t>
      </w:r>
      <w:r w:rsidR="00D163F0">
        <w:rPr>
          <w:rFonts w:ascii="Times New Roman" w:hAnsi="Times New Roman"/>
          <w:i/>
          <w:sz w:val="24"/>
          <w:szCs w:val="24"/>
        </w:rPr>
        <w:t xml:space="preserve"> 1</w:t>
      </w:r>
      <w:r w:rsidR="00D163F0">
        <w:rPr>
          <w:rFonts w:ascii="Times New Roman" w:hAnsi="Times New Roman"/>
          <w:sz w:val="24"/>
          <w:szCs w:val="24"/>
        </w:rPr>
        <w:t>09.76 (</w:t>
      </w:r>
      <w:r w:rsidR="00D163F0" w:rsidRPr="00D163F0">
        <w:rPr>
          <w:rFonts w:ascii="Times New Roman" w:hAnsi="Times New Roman"/>
          <w:i/>
          <w:sz w:val="24"/>
          <w:szCs w:val="24"/>
        </w:rPr>
        <w:t xml:space="preserve">df </w:t>
      </w:r>
      <w:r w:rsidR="00D163F0">
        <w:rPr>
          <w:rFonts w:ascii="Times New Roman" w:hAnsi="Times New Roman"/>
          <w:sz w:val="24"/>
          <w:szCs w:val="24"/>
        </w:rPr>
        <w:t xml:space="preserve">= 1667, </w:t>
      </w:r>
      <w:r w:rsidR="00D163F0">
        <w:rPr>
          <w:rFonts w:ascii="Times New Roman" w:hAnsi="Times New Roman"/>
          <w:i/>
          <w:sz w:val="24"/>
          <w:szCs w:val="24"/>
        </w:rPr>
        <w:t>p</w:t>
      </w:r>
      <w:r w:rsidR="00D163F0">
        <w:rPr>
          <w:rFonts w:ascii="Times New Roman" w:hAnsi="Times New Roman"/>
          <w:sz w:val="24"/>
          <w:szCs w:val="24"/>
        </w:rPr>
        <w:t xml:space="preserve"> &lt; .05). </w:t>
      </w:r>
      <w:r w:rsidR="00790175">
        <w:rPr>
          <w:rFonts w:ascii="Times New Roman" w:hAnsi="Times New Roman"/>
          <w:sz w:val="24"/>
          <w:szCs w:val="24"/>
        </w:rPr>
        <w:t>Significant d</w:t>
      </w:r>
      <w:r w:rsidR="00D163F0">
        <w:rPr>
          <w:rFonts w:ascii="Times New Roman" w:hAnsi="Times New Roman"/>
          <w:sz w:val="24"/>
          <w:szCs w:val="24"/>
        </w:rPr>
        <w:t xml:space="preserve">ifferences were also found to exist among Farm Bureau members related to personal impact on Farm Bureau policy development efforts </w:t>
      </w:r>
      <w:r w:rsidR="00790175">
        <w:rPr>
          <w:rFonts w:ascii="Times New Roman" w:hAnsi="Times New Roman"/>
          <w:sz w:val="24"/>
          <w:szCs w:val="24"/>
        </w:rPr>
        <w:t xml:space="preserve">with </w:t>
      </w:r>
      <w:r w:rsidR="00D163F0">
        <w:rPr>
          <w:rFonts w:ascii="Times New Roman" w:hAnsi="Times New Roman"/>
          <w:i/>
          <w:sz w:val="24"/>
          <w:szCs w:val="24"/>
        </w:rPr>
        <w:t>t</w:t>
      </w:r>
      <w:r w:rsidR="00D163F0">
        <w:rPr>
          <w:rFonts w:ascii="Times New Roman" w:hAnsi="Times New Roman"/>
          <w:sz w:val="24"/>
          <w:szCs w:val="24"/>
        </w:rPr>
        <w:t xml:space="preserve"> = 98.110, </w:t>
      </w:r>
      <w:r w:rsidR="00790175">
        <w:rPr>
          <w:rFonts w:ascii="Times New Roman" w:hAnsi="Times New Roman"/>
          <w:sz w:val="24"/>
          <w:szCs w:val="24"/>
        </w:rPr>
        <w:t>(</w:t>
      </w:r>
      <w:r w:rsidR="00D163F0" w:rsidRPr="00D163F0">
        <w:rPr>
          <w:rFonts w:ascii="Times New Roman" w:hAnsi="Times New Roman"/>
          <w:i/>
          <w:sz w:val="24"/>
          <w:szCs w:val="24"/>
        </w:rPr>
        <w:t>df</w:t>
      </w:r>
      <w:r w:rsidR="00D163F0">
        <w:rPr>
          <w:rFonts w:ascii="Times New Roman" w:hAnsi="Times New Roman"/>
          <w:sz w:val="24"/>
          <w:szCs w:val="24"/>
        </w:rPr>
        <w:t xml:space="preserve"> = 1706, </w:t>
      </w:r>
      <w:r w:rsidR="00D163F0" w:rsidRPr="00D163F0">
        <w:rPr>
          <w:rFonts w:ascii="Times New Roman" w:hAnsi="Times New Roman"/>
          <w:i/>
          <w:sz w:val="24"/>
          <w:szCs w:val="24"/>
        </w:rPr>
        <w:t>p</w:t>
      </w:r>
      <w:r w:rsidR="00D163F0">
        <w:rPr>
          <w:rFonts w:ascii="Times New Roman" w:hAnsi="Times New Roman"/>
          <w:sz w:val="24"/>
          <w:szCs w:val="24"/>
        </w:rPr>
        <w:t xml:space="preserve"> &lt; .05) in an analysis of objective four. </w:t>
      </w:r>
    </w:p>
    <w:p w:rsidR="00790175" w:rsidRPr="00062038" w:rsidRDefault="0098198E" w:rsidP="00790175">
      <w:pPr>
        <w:spacing w:line="240" w:lineRule="auto"/>
        <w:rPr>
          <w:rFonts w:ascii="Times New Roman" w:hAnsi="Times New Roman"/>
          <w:b/>
          <w:sz w:val="24"/>
        </w:rPr>
      </w:pPr>
      <w:r w:rsidRPr="00C80C3A">
        <w:rPr>
          <w:rFonts w:ascii="Times New Roman" w:hAnsi="Times New Roman"/>
          <w:b/>
          <w:sz w:val="24"/>
        </w:rPr>
        <w:t>Conclusions</w:t>
      </w:r>
      <w:r w:rsidR="00062038">
        <w:rPr>
          <w:rFonts w:ascii="Times New Roman" w:hAnsi="Times New Roman"/>
          <w:b/>
          <w:sz w:val="24"/>
        </w:rPr>
        <w:br/>
      </w:r>
      <w:r w:rsidR="00790175">
        <w:rPr>
          <w:rFonts w:ascii="Times New Roman" w:hAnsi="Times New Roman"/>
          <w:sz w:val="24"/>
        </w:rPr>
        <w:t xml:space="preserve">Moderate awareness of the Farm Bureau’s development of policy and moderate feelings of impact of on </w:t>
      </w:r>
      <w:r w:rsidR="00647405">
        <w:rPr>
          <w:rFonts w:ascii="Times New Roman" w:hAnsi="Times New Roman"/>
          <w:sz w:val="24"/>
        </w:rPr>
        <w:t>the policy process indicate</w:t>
      </w:r>
      <w:r w:rsidR="00790175">
        <w:rPr>
          <w:rFonts w:ascii="Times New Roman" w:hAnsi="Times New Roman"/>
          <w:sz w:val="24"/>
        </w:rPr>
        <w:t xml:space="preserve"> other factors are contributing the members’</w:t>
      </w:r>
      <w:r w:rsidR="00647405">
        <w:rPr>
          <w:rFonts w:ascii="Times New Roman" w:hAnsi="Times New Roman"/>
          <w:sz w:val="24"/>
        </w:rPr>
        <w:t xml:space="preserve"> lack of participation</w:t>
      </w:r>
      <w:r w:rsidR="00790175">
        <w:rPr>
          <w:rFonts w:ascii="Times New Roman" w:hAnsi="Times New Roman"/>
          <w:sz w:val="24"/>
        </w:rPr>
        <w:t>. It is clear that members have some level of awareness of the Farm Bureau’</w:t>
      </w:r>
      <w:r w:rsidR="00647405">
        <w:rPr>
          <w:rFonts w:ascii="Times New Roman" w:hAnsi="Times New Roman"/>
          <w:sz w:val="24"/>
        </w:rPr>
        <w:t xml:space="preserve">s policy process. Members also report feeling some level of impact on the policy process. It is unknown what additional factors are contributing to a lack of engagement in the policy process. As noted in the literature, individuals make decisions based on the perceived benefits of the choices (Vroom, 2005). Because the Farm Bureau members do not perceive any impact on the policy process, the option of non-participation holds greater value; therefore avoiding the negative of giving effort and having no impact.  </w:t>
      </w:r>
    </w:p>
    <w:p w:rsidR="009E2FC1" w:rsidRDefault="0098198E" w:rsidP="00062038">
      <w:pPr>
        <w:spacing w:line="240" w:lineRule="auto"/>
        <w:rPr>
          <w:rFonts w:ascii="Times New Roman" w:hAnsi="Times New Roman"/>
          <w:b/>
          <w:sz w:val="24"/>
        </w:rPr>
      </w:pPr>
      <w:r w:rsidRPr="00C80C3A">
        <w:rPr>
          <w:rFonts w:ascii="Times New Roman" w:hAnsi="Times New Roman"/>
          <w:b/>
          <w:sz w:val="24"/>
        </w:rPr>
        <w:t>Implications</w:t>
      </w:r>
      <w:r w:rsidR="00062038">
        <w:rPr>
          <w:rFonts w:ascii="Times New Roman" w:hAnsi="Times New Roman"/>
          <w:b/>
          <w:sz w:val="24"/>
        </w:rPr>
        <w:br/>
      </w:r>
      <w:r w:rsidR="00062038">
        <w:rPr>
          <w:rFonts w:ascii="Times New Roman" w:hAnsi="Times New Roman"/>
          <w:sz w:val="24"/>
          <w:szCs w:val="24"/>
        </w:rPr>
        <w:t>As Florida’s agricultural population becomes increasingly diverse the need for a sundry of voices and opinions in the policy development and implementation process is essential to ensure that all sectors of the industry are represented on local, state and federal levels. Findings from this study will serve a guide to learn from and target those specific motivators to encourage a balanced policy process. Understanding the factors that motivate action can also be used to regain trust, which Putnam (1998) says is necessary for meaningful and lasting civic engagement. Furthermore, because of the self-realization aspects of political activities, participation will be revolving and sustained (Leighly, 1991).</w:t>
      </w:r>
      <w:r w:rsidR="00062038" w:rsidRPr="0043497D">
        <w:rPr>
          <w:rFonts w:ascii="Times New Roman" w:hAnsi="Times New Roman"/>
          <w:sz w:val="24"/>
          <w:szCs w:val="24"/>
        </w:rPr>
        <w:t xml:space="preserve"> </w:t>
      </w:r>
      <w:r w:rsidR="00062038">
        <w:rPr>
          <w:rFonts w:ascii="Times New Roman" w:hAnsi="Times New Roman"/>
          <w:sz w:val="24"/>
          <w:szCs w:val="24"/>
        </w:rPr>
        <w:t xml:space="preserve">Also, findings from this study can be extended to other grassroots and NGO organizations for the purposes of recruiting participation. Lastly, this study will generate suggestions for similar organizations with feedback of the “hot issues” in the industry, members’ perceptions towards those issues, and what steps can be taken to deal with those issues. </w:t>
      </w:r>
    </w:p>
    <w:p w:rsidR="00555B1D" w:rsidRPr="00062038" w:rsidRDefault="00555B1D" w:rsidP="00062038">
      <w:pPr>
        <w:spacing w:line="240" w:lineRule="auto"/>
        <w:rPr>
          <w:rFonts w:ascii="Times New Roman" w:hAnsi="Times New Roman"/>
          <w:b/>
          <w:sz w:val="24"/>
        </w:rPr>
      </w:pPr>
      <w:r w:rsidRPr="00C80C3A">
        <w:rPr>
          <w:rFonts w:ascii="Times New Roman" w:hAnsi="Times New Roman"/>
          <w:b/>
          <w:sz w:val="24"/>
        </w:rPr>
        <w:t>References</w:t>
      </w:r>
    </w:p>
    <w:p w:rsidR="00555B1D" w:rsidRPr="00C80C3A" w:rsidRDefault="00555B1D" w:rsidP="00555B1D">
      <w:pPr>
        <w:spacing w:line="240" w:lineRule="auto"/>
        <w:rPr>
          <w:rFonts w:ascii="Times New Roman" w:hAnsi="Times New Roman"/>
          <w:sz w:val="24"/>
          <w:szCs w:val="24"/>
        </w:rPr>
      </w:pPr>
      <w:r w:rsidRPr="00C80C3A">
        <w:rPr>
          <w:rFonts w:ascii="Times New Roman" w:hAnsi="Times New Roman"/>
          <w:sz w:val="24"/>
          <w:szCs w:val="24"/>
        </w:rPr>
        <w:t xml:space="preserve">Bowler, S., &amp; Karp, J.A. (2004). Politicians, scandals and trust in government. </w:t>
      </w:r>
      <w:r w:rsidRPr="00C80C3A">
        <w:rPr>
          <w:rFonts w:ascii="Times New Roman" w:hAnsi="Times New Roman"/>
          <w:i/>
          <w:sz w:val="24"/>
          <w:szCs w:val="24"/>
        </w:rPr>
        <w:t>Political</w:t>
      </w:r>
      <w:r w:rsidRPr="00C80C3A">
        <w:rPr>
          <w:rFonts w:ascii="Times New Roman" w:hAnsi="Times New Roman"/>
          <w:i/>
          <w:sz w:val="24"/>
          <w:szCs w:val="24"/>
        </w:rPr>
        <w:br/>
      </w:r>
      <w:r w:rsidRPr="00C80C3A">
        <w:rPr>
          <w:rFonts w:ascii="Times New Roman" w:hAnsi="Times New Roman"/>
          <w:i/>
          <w:sz w:val="24"/>
          <w:szCs w:val="24"/>
        </w:rPr>
        <w:tab/>
        <w:t>Behavior, 26(</w:t>
      </w:r>
      <w:r w:rsidRPr="00C80C3A">
        <w:rPr>
          <w:rFonts w:ascii="Times New Roman" w:hAnsi="Times New Roman"/>
          <w:sz w:val="24"/>
          <w:szCs w:val="24"/>
        </w:rPr>
        <w:t>3).</w:t>
      </w:r>
    </w:p>
    <w:p w:rsidR="00555B1D" w:rsidRPr="00C80C3A" w:rsidRDefault="00555B1D" w:rsidP="00555B1D">
      <w:pPr>
        <w:spacing w:line="240" w:lineRule="auto"/>
        <w:rPr>
          <w:rFonts w:ascii="Times New Roman" w:hAnsi="Times New Roman"/>
          <w:sz w:val="24"/>
          <w:szCs w:val="24"/>
        </w:rPr>
      </w:pPr>
      <w:r w:rsidRPr="00C80C3A">
        <w:rPr>
          <w:rFonts w:ascii="Times New Roman" w:hAnsi="Times New Roman"/>
          <w:sz w:val="24"/>
          <w:szCs w:val="24"/>
        </w:rPr>
        <w:t xml:space="preserve">Dillman, D., Smyth, J., &amp; Christian, L. M. (2009) </w:t>
      </w:r>
      <w:r w:rsidRPr="00C80C3A">
        <w:rPr>
          <w:rFonts w:ascii="Times New Roman" w:hAnsi="Times New Roman"/>
          <w:i/>
          <w:sz w:val="24"/>
          <w:szCs w:val="24"/>
        </w:rPr>
        <w:t>Internet, mail and mixed-mode surveys:</w:t>
      </w:r>
      <w:r w:rsidRPr="00C80C3A">
        <w:rPr>
          <w:rFonts w:ascii="Times New Roman" w:hAnsi="Times New Roman"/>
          <w:i/>
          <w:sz w:val="24"/>
          <w:szCs w:val="24"/>
        </w:rPr>
        <w:br/>
      </w:r>
      <w:r w:rsidRPr="00C80C3A">
        <w:rPr>
          <w:rFonts w:ascii="Times New Roman" w:hAnsi="Times New Roman"/>
          <w:i/>
          <w:sz w:val="24"/>
          <w:szCs w:val="24"/>
        </w:rPr>
        <w:tab/>
        <w:t>the tailored design method.</w:t>
      </w:r>
      <w:r w:rsidRPr="00C80C3A">
        <w:rPr>
          <w:rFonts w:ascii="Times New Roman" w:hAnsi="Times New Roman"/>
          <w:sz w:val="24"/>
          <w:szCs w:val="24"/>
        </w:rPr>
        <w:t xml:space="preserve"> Hoboken, N.J. John Wiley &amp; Sons, Inc.</w:t>
      </w:r>
    </w:p>
    <w:p w:rsidR="00555B1D" w:rsidRPr="00C80C3A" w:rsidRDefault="00555B1D" w:rsidP="00555B1D">
      <w:pPr>
        <w:tabs>
          <w:tab w:val="left" w:pos="180"/>
        </w:tabs>
        <w:spacing w:line="480" w:lineRule="auto"/>
        <w:rPr>
          <w:rFonts w:ascii="Times New Roman" w:hAnsi="Times New Roman"/>
          <w:i/>
          <w:sz w:val="24"/>
          <w:szCs w:val="24"/>
        </w:rPr>
      </w:pPr>
      <w:r w:rsidRPr="00C80C3A">
        <w:rPr>
          <w:rFonts w:ascii="Times New Roman" w:hAnsi="Times New Roman"/>
          <w:sz w:val="24"/>
          <w:szCs w:val="24"/>
        </w:rPr>
        <w:t>Farm Bureau Federation. (</w:t>
      </w:r>
      <w:r w:rsidR="003E552B">
        <w:rPr>
          <w:rFonts w:ascii="Times New Roman" w:hAnsi="Times New Roman"/>
          <w:sz w:val="24"/>
          <w:szCs w:val="24"/>
        </w:rPr>
        <w:t>n.d.</w:t>
      </w:r>
      <w:r w:rsidRPr="00C80C3A">
        <w:rPr>
          <w:rFonts w:ascii="Times New Roman" w:hAnsi="Times New Roman"/>
          <w:sz w:val="24"/>
          <w:szCs w:val="24"/>
        </w:rPr>
        <w:t xml:space="preserve">). </w:t>
      </w:r>
      <w:r w:rsidRPr="00C80C3A">
        <w:rPr>
          <w:rFonts w:ascii="Times New Roman" w:hAnsi="Times New Roman"/>
          <w:i/>
          <w:sz w:val="24"/>
          <w:szCs w:val="24"/>
        </w:rPr>
        <w:t xml:space="preserve">Constitution and Bylaws </w:t>
      </w:r>
      <w:r w:rsidRPr="00C80C3A">
        <w:rPr>
          <w:rFonts w:ascii="Times New Roman" w:hAnsi="Times New Roman"/>
          <w:sz w:val="24"/>
          <w:szCs w:val="24"/>
        </w:rPr>
        <w:t>(1</w:t>
      </w:r>
      <w:r w:rsidRPr="00C80C3A">
        <w:rPr>
          <w:rFonts w:ascii="Times New Roman" w:hAnsi="Times New Roman"/>
          <w:sz w:val="24"/>
          <w:szCs w:val="24"/>
          <w:vertAlign w:val="superscript"/>
        </w:rPr>
        <w:t>st</w:t>
      </w:r>
      <w:r w:rsidRPr="00C80C3A">
        <w:rPr>
          <w:rFonts w:ascii="Times New Roman" w:hAnsi="Times New Roman"/>
          <w:sz w:val="24"/>
          <w:szCs w:val="24"/>
        </w:rPr>
        <w:t xml:space="preserve"> ed). </w:t>
      </w:r>
    </w:p>
    <w:p w:rsidR="00C80C3A" w:rsidRPr="00C80C3A" w:rsidRDefault="00C80C3A" w:rsidP="00C80C3A">
      <w:pPr>
        <w:spacing w:line="240" w:lineRule="auto"/>
        <w:ind w:left="720" w:hanging="720"/>
        <w:rPr>
          <w:rFonts w:ascii="Times New Roman" w:hAnsi="Times New Roman"/>
          <w:i/>
          <w:sz w:val="24"/>
        </w:rPr>
      </w:pPr>
      <w:r w:rsidRPr="00C80C3A">
        <w:rPr>
          <w:rFonts w:ascii="Times New Roman" w:hAnsi="Times New Roman"/>
          <w:sz w:val="24"/>
        </w:rPr>
        <w:t xml:space="preserve">Lawler, E.E. &amp; Suttle, J.L. (1973). Expectancy theory and job behavior. </w:t>
      </w:r>
      <w:r w:rsidRPr="00C80C3A">
        <w:rPr>
          <w:rFonts w:ascii="Times New Roman" w:hAnsi="Times New Roman"/>
          <w:i/>
          <w:sz w:val="24"/>
        </w:rPr>
        <w:t>Organizational</w:t>
      </w:r>
      <w:r>
        <w:rPr>
          <w:rFonts w:ascii="Times New Roman" w:hAnsi="Times New Roman"/>
          <w:i/>
          <w:sz w:val="24"/>
        </w:rPr>
        <w:t xml:space="preserve"> </w:t>
      </w:r>
      <w:r w:rsidRPr="00C80C3A">
        <w:rPr>
          <w:rFonts w:ascii="Times New Roman" w:hAnsi="Times New Roman"/>
          <w:i/>
          <w:sz w:val="24"/>
        </w:rPr>
        <w:t>Behavior and Human Performance</w:t>
      </w:r>
      <w:r w:rsidRPr="00C80C3A">
        <w:rPr>
          <w:rFonts w:ascii="Times New Roman" w:hAnsi="Times New Roman"/>
          <w:sz w:val="24"/>
        </w:rPr>
        <w:t xml:space="preserve">, </w:t>
      </w:r>
      <w:r w:rsidRPr="00C80C3A">
        <w:rPr>
          <w:rFonts w:ascii="Times New Roman" w:hAnsi="Times New Roman"/>
          <w:i/>
          <w:sz w:val="24"/>
        </w:rPr>
        <w:t>9</w:t>
      </w:r>
      <w:r w:rsidRPr="00C80C3A">
        <w:rPr>
          <w:rFonts w:ascii="Times New Roman" w:hAnsi="Times New Roman"/>
          <w:sz w:val="24"/>
        </w:rPr>
        <w:t>(3</w:t>
      </w:r>
      <w:r>
        <w:rPr>
          <w:rFonts w:ascii="Times New Roman" w:hAnsi="Times New Roman"/>
          <w:sz w:val="24"/>
        </w:rPr>
        <w:t>).</w:t>
      </w:r>
    </w:p>
    <w:p w:rsidR="00555B1D" w:rsidRPr="00C80C3A" w:rsidRDefault="00555B1D" w:rsidP="00555B1D">
      <w:pPr>
        <w:tabs>
          <w:tab w:val="left" w:pos="180"/>
        </w:tabs>
        <w:spacing w:line="240" w:lineRule="auto"/>
        <w:rPr>
          <w:rFonts w:ascii="Times New Roman" w:hAnsi="Times New Roman"/>
          <w:sz w:val="24"/>
          <w:szCs w:val="24"/>
        </w:rPr>
      </w:pPr>
      <w:r w:rsidRPr="00C80C3A">
        <w:rPr>
          <w:rFonts w:ascii="Times New Roman" w:hAnsi="Times New Roman"/>
          <w:sz w:val="24"/>
          <w:szCs w:val="24"/>
        </w:rPr>
        <w:t xml:space="preserve">Leighly, J. (1991). Participation as a stimulus of political conceptualization. </w:t>
      </w:r>
      <w:r w:rsidRPr="00C80C3A">
        <w:rPr>
          <w:rFonts w:ascii="Times New Roman" w:hAnsi="Times New Roman"/>
          <w:i/>
          <w:sz w:val="24"/>
          <w:szCs w:val="24"/>
        </w:rPr>
        <w:t xml:space="preserve">Journal of </w:t>
      </w:r>
      <w:r w:rsidRPr="00C80C3A">
        <w:rPr>
          <w:rFonts w:ascii="Times New Roman" w:hAnsi="Times New Roman"/>
          <w:sz w:val="24"/>
          <w:szCs w:val="24"/>
        </w:rPr>
        <w:t xml:space="preserve"> </w:t>
      </w:r>
      <w:r w:rsidRPr="00C80C3A">
        <w:rPr>
          <w:rFonts w:ascii="Times New Roman" w:hAnsi="Times New Roman"/>
          <w:sz w:val="24"/>
          <w:szCs w:val="24"/>
        </w:rPr>
        <w:tab/>
      </w:r>
      <w:r w:rsidRPr="00C80C3A">
        <w:rPr>
          <w:rFonts w:ascii="Times New Roman" w:hAnsi="Times New Roman"/>
          <w:sz w:val="24"/>
          <w:szCs w:val="24"/>
        </w:rPr>
        <w:tab/>
      </w:r>
      <w:r w:rsidRPr="00C80C3A">
        <w:rPr>
          <w:rFonts w:ascii="Times New Roman" w:hAnsi="Times New Roman"/>
          <w:sz w:val="24"/>
          <w:szCs w:val="24"/>
        </w:rPr>
        <w:tab/>
      </w:r>
      <w:r w:rsidRPr="00C80C3A">
        <w:rPr>
          <w:rFonts w:ascii="Times New Roman" w:hAnsi="Times New Roman"/>
          <w:i/>
          <w:sz w:val="24"/>
          <w:szCs w:val="24"/>
        </w:rPr>
        <w:t>Politics</w:t>
      </w:r>
      <w:r w:rsidRPr="00C80C3A">
        <w:rPr>
          <w:rFonts w:ascii="Times New Roman" w:hAnsi="Times New Roman"/>
          <w:sz w:val="24"/>
          <w:szCs w:val="24"/>
        </w:rPr>
        <w:t xml:space="preserve">, </w:t>
      </w:r>
      <w:r w:rsidRPr="00C80C3A">
        <w:rPr>
          <w:rFonts w:ascii="Times New Roman" w:hAnsi="Times New Roman"/>
          <w:i/>
          <w:sz w:val="24"/>
          <w:szCs w:val="24"/>
        </w:rPr>
        <w:t>53</w:t>
      </w:r>
      <w:r w:rsidRPr="00C80C3A">
        <w:rPr>
          <w:rFonts w:ascii="Times New Roman" w:hAnsi="Times New Roman"/>
          <w:sz w:val="24"/>
          <w:szCs w:val="24"/>
        </w:rPr>
        <w:t xml:space="preserve">(1). </w:t>
      </w:r>
    </w:p>
    <w:p w:rsidR="00AD4258" w:rsidRPr="00C80C3A" w:rsidRDefault="00AD4258" w:rsidP="00AD4258">
      <w:pPr>
        <w:spacing w:line="240" w:lineRule="auto"/>
        <w:ind w:left="720" w:hanging="720"/>
        <w:rPr>
          <w:rFonts w:ascii="Times New Roman" w:hAnsi="Times New Roman"/>
          <w:sz w:val="24"/>
        </w:rPr>
      </w:pPr>
      <w:r w:rsidRPr="00C80C3A">
        <w:rPr>
          <w:rFonts w:ascii="Times New Roman" w:hAnsi="Times New Roman"/>
          <w:sz w:val="24"/>
        </w:rPr>
        <w:t xml:space="preserve">Montana, P.J., &amp; Charnov, B.H. (2008). </w:t>
      </w:r>
      <w:r w:rsidRPr="00C80C3A">
        <w:rPr>
          <w:rFonts w:ascii="Times New Roman" w:hAnsi="Times New Roman"/>
          <w:i/>
          <w:sz w:val="24"/>
        </w:rPr>
        <w:t>Management 4</w:t>
      </w:r>
      <w:r w:rsidRPr="00C80C3A">
        <w:rPr>
          <w:rFonts w:ascii="Times New Roman" w:hAnsi="Times New Roman"/>
          <w:i/>
          <w:sz w:val="24"/>
          <w:vertAlign w:val="superscript"/>
        </w:rPr>
        <w:t>th</w:t>
      </w:r>
      <w:r w:rsidRPr="00C80C3A">
        <w:rPr>
          <w:rFonts w:ascii="Times New Roman" w:hAnsi="Times New Roman"/>
          <w:i/>
          <w:sz w:val="24"/>
        </w:rPr>
        <w:t xml:space="preserve"> Ed</w:t>
      </w:r>
      <w:r w:rsidRPr="00C80C3A">
        <w:rPr>
          <w:rFonts w:ascii="Times New Roman" w:hAnsi="Times New Roman"/>
          <w:sz w:val="24"/>
        </w:rPr>
        <w:t xml:space="preserve">. Hauppauge, NY: Barron’s Educational Series, Inc. </w:t>
      </w:r>
    </w:p>
    <w:p w:rsidR="00555B1D" w:rsidRPr="00C80C3A" w:rsidRDefault="00555B1D" w:rsidP="00555B1D">
      <w:pPr>
        <w:tabs>
          <w:tab w:val="left" w:pos="720"/>
        </w:tabs>
        <w:spacing w:line="240" w:lineRule="auto"/>
        <w:ind w:left="810" w:hanging="810"/>
        <w:rPr>
          <w:rFonts w:ascii="Times New Roman" w:hAnsi="Times New Roman"/>
          <w:sz w:val="24"/>
          <w:szCs w:val="24"/>
        </w:rPr>
      </w:pPr>
      <w:r w:rsidRPr="00C80C3A">
        <w:rPr>
          <w:rFonts w:ascii="Times New Roman" w:hAnsi="Times New Roman"/>
          <w:sz w:val="24"/>
          <w:szCs w:val="24"/>
        </w:rPr>
        <w:t xml:space="preserve">Putnam, R. (1995). Tuning in, tuning out: The strange disappearance of social capital in </w:t>
      </w:r>
      <w:r w:rsidRPr="00C80C3A">
        <w:rPr>
          <w:rFonts w:ascii="Times New Roman" w:hAnsi="Times New Roman"/>
          <w:sz w:val="24"/>
          <w:szCs w:val="24"/>
        </w:rPr>
        <w:br/>
        <w:t xml:space="preserve">America. </w:t>
      </w:r>
      <w:r w:rsidRPr="00C80C3A">
        <w:rPr>
          <w:rFonts w:ascii="Times New Roman" w:hAnsi="Times New Roman"/>
          <w:i/>
          <w:sz w:val="24"/>
          <w:szCs w:val="24"/>
        </w:rPr>
        <w:t>PS: Political Science and Politics, 28</w:t>
      </w:r>
      <w:r w:rsidRPr="00C80C3A">
        <w:rPr>
          <w:rFonts w:ascii="Times New Roman" w:hAnsi="Times New Roman"/>
          <w:sz w:val="24"/>
          <w:szCs w:val="24"/>
        </w:rPr>
        <w:t>(4).</w:t>
      </w:r>
    </w:p>
    <w:p w:rsidR="00AD4258" w:rsidRPr="00C80C3A" w:rsidRDefault="00AD4258" w:rsidP="00AD4258">
      <w:pPr>
        <w:spacing w:line="240" w:lineRule="auto"/>
        <w:ind w:left="720" w:hanging="720"/>
        <w:rPr>
          <w:rFonts w:ascii="Times New Roman" w:hAnsi="Times New Roman"/>
          <w:sz w:val="24"/>
        </w:rPr>
      </w:pPr>
      <w:r w:rsidRPr="00C80C3A">
        <w:rPr>
          <w:rFonts w:ascii="Times New Roman" w:hAnsi="Times New Roman"/>
          <w:sz w:val="24"/>
        </w:rPr>
        <w:t xml:space="preserve">Vroom, V.H. (1964). </w:t>
      </w:r>
      <w:r w:rsidRPr="00C80C3A">
        <w:rPr>
          <w:rFonts w:ascii="Times New Roman" w:hAnsi="Times New Roman"/>
          <w:i/>
          <w:sz w:val="24"/>
        </w:rPr>
        <w:t>Work and Motivation</w:t>
      </w:r>
      <w:r w:rsidRPr="00C80C3A">
        <w:rPr>
          <w:rFonts w:ascii="Times New Roman" w:hAnsi="Times New Roman"/>
          <w:sz w:val="24"/>
        </w:rPr>
        <w:t>. New York: Wiley Publishing</w:t>
      </w:r>
      <w:r w:rsidRPr="00C80C3A">
        <w:rPr>
          <w:rFonts w:ascii="Times New Roman" w:hAnsi="Times New Roman"/>
          <w:sz w:val="24"/>
        </w:rPr>
        <w:br/>
      </w:r>
    </w:p>
    <w:p w:rsidR="00555B1D" w:rsidRPr="00C80C3A" w:rsidRDefault="00555B1D" w:rsidP="00AD4258">
      <w:pPr>
        <w:spacing w:line="240" w:lineRule="auto"/>
        <w:ind w:left="720" w:hanging="720"/>
        <w:rPr>
          <w:rFonts w:ascii="Times New Roman" w:hAnsi="Times New Roman"/>
          <w:sz w:val="24"/>
        </w:rPr>
      </w:pPr>
      <w:r w:rsidRPr="00C80C3A">
        <w:rPr>
          <w:rFonts w:ascii="Times New Roman" w:hAnsi="Times New Roman"/>
          <w:sz w:val="24"/>
        </w:rPr>
        <w:t>Vroom, V.H. (2005). On the Origins of Expectancy Theory. In K. Smith &amp; M. Hitt (Ed.), Great</w:t>
      </w:r>
      <w:r w:rsidR="00AD4258" w:rsidRPr="00C80C3A">
        <w:rPr>
          <w:rFonts w:ascii="Times New Roman" w:hAnsi="Times New Roman"/>
          <w:sz w:val="24"/>
        </w:rPr>
        <w:t xml:space="preserve"> </w:t>
      </w:r>
      <w:r w:rsidRPr="00C80C3A">
        <w:rPr>
          <w:rFonts w:ascii="Times New Roman" w:hAnsi="Times New Roman"/>
          <w:sz w:val="24"/>
        </w:rPr>
        <w:t>minds in management: The process of theory development (pp. 239-247)</w:t>
      </w:r>
      <w:r w:rsidRPr="00C80C3A">
        <w:rPr>
          <w:rFonts w:ascii="Times New Roman" w:hAnsi="Times New Roman"/>
          <w:i/>
          <w:sz w:val="24"/>
        </w:rPr>
        <w:t xml:space="preserve">. </w:t>
      </w:r>
      <w:r w:rsidRPr="00C80C3A">
        <w:rPr>
          <w:rFonts w:ascii="Times New Roman" w:hAnsi="Times New Roman"/>
          <w:sz w:val="24"/>
        </w:rPr>
        <w:t>New York:</w:t>
      </w:r>
      <w:r w:rsidR="00AD4258" w:rsidRPr="00C80C3A">
        <w:rPr>
          <w:rFonts w:ascii="Times New Roman" w:hAnsi="Times New Roman"/>
          <w:sz w:val="24"/>
        </w:rPr>
        <w:t xml:space="preserve"> </w:t>
      </w:r>
      <w:r w:rsidRPr="00C80C3A">
        <w:rPr>
          <w:rFonts w:ascii="Times New Roman" w:hAnsi="Times New Roman"/>
          <w:sz w:val="24"/>
        </w:rPr>
        <w:t xml:space="preserve">Oxford University Press. </w:t>
      </w:r>
    </w:p>
    <w:p w:rsidR="00555B1D" w:rsidRPr="00C80C3A" w:rsidRDefault="00555B1D" w:rsidP="00555B1D">
      <w:pPr>
        <w:tabs>
          <w:tab w:val="left" w:pos="180"/>
        </w:tabs>
        <w:spacing w:line="480" w:lineRule="auto"/>
        <w:rPr>
          <w:rFonts w:ascii="Times New Roman" w:hAnsi="Times New Roman"/>
          <w:i/>
          <w:sz w:val="24"/>
          <w:szCs w:val="24"/>
        </w:rPr>
      </w:pPr>
    </w:p>
    <w:p w:rsidR="00C80C3A" w:rsidRPr="00C80C3A" w:rsidRDefault="00C80C3A" w:rsidP="00C80C3A">
      <w:pPr>
        <w:rPr>
          <w:rFonts w:ascii="Times New Roman" w:hAnsi="Times New Roman"/>
          <w:sz w:val="24"/>
        </w:rPr>
      </w:pPr>
    </w:p>
    <w:p w:rsidR="00C80C3A" w:rsidRDefault="00C80C3A">
      <w:pPr>
        <w:rPr>
          <w:rFonts w:asciiTheme="minorHAnsi" w:eastAsiaTheme="minorHAnsi" w:hAnsiTheme="minorHAnsi" w:cstheme="minorBidi"/>
          <w:sz w:val="20"/>
          <w:szCs w:val="20"/>
        </w:rPr>
      </w:pPr>
    </w:p>
    <w:sectPr w:rsidR="00C80C3A" w:rsidSect="00143483">
      <w:pgSz w:w="12240" w:h="15840"/>
      <w:pgMar w:top="1440" w:right="1440" w:bottom="1440" w:left="1800" w:gutter="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626187E"/>
    <w:multiLevelType w:val="hybridMultilevel"/>
    <w:tmpl w:val="1C6E06CA"/>
    <w:lvl w:ilvl="0" w:tplc="EE3ADE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C45DA1"/>
    <w:multiLevelType w:val="hybridMultilevel"/>
    <w:tmpl w:val="1C6E06CA"/>
    <w:lvl w:ilvl="0" w:tplc="EE3ADE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6E7D2E"/>
    <w:rsid w:val="00062038"/>
    <w:rsid w:val="00086D4C"/>
    <w:rsid w:val="00143483"/>
    <w:rsid w:val="00194539"/>
    <w:rsid w:val="001A60DE"/>
    <w:rsid w:val="001D3C73"/>
    <w:rsid w:val="002358B5"/>
    <w:rsid w:val="00254315"/>
    <w:rsid w:val="00276DCE"/>
    <w:rsid w:val="00376E13"/>
    <w:rsid w:val="003E552B"/>
    <w:rsid w:val="004B7428"/>
    <w:rsid w:val="004F3D98"/>
    <w:rsid w:val="00555B1D"/>
    <w:rsid w:val="00556C75"/>
    <w:rsid w:val="00584A45"/>
    <w:rsid w:val="005C2452"/>
    <w:rsid w:val="0062023A"/>
    <w:rsid w:val="00647405"/>
    <w:rsid w:val="00693240"/>
    <w:rsid w:val="006E7D2E"/>
    <w:rsid w:val="00790175"/>
    <w:rsid w:val="007D0E8C"/>
    <w:rsid w:val="008534E0"/>
    <w:rsid w:val="00863F83"/>
    <w:rsid w:val="009073D5"/>
    <w:rsid w:val="0098198E"/>
    <w:rsid w:val="009C5C6C"/>
    <w:rsid w:val="009C768A"/>
    <w:rsid w:val="009E2FC1"/>
    <w:rsid w:val="009F5F17"/>
    <w:rsid w:val="00A30A38"/>
    <w:rsid w:val="00AD4258"/>
    <w:rsid w:val="00C80C3A"/>
    <w:rsid w:val="00C962F7"/>
    <w:rsid w:val="00D163F0"/>
    <w:rsid w:val="00D42C14"/>
    <w:rsid w:val="00F168D0"/>
    <w:rsid w:val="00F259C7"/>
    <w:rsid w:val="00F835A6"/>
  </w:rsids>
  <m:mathPr>
    <m:mathFont m:val="Abadi MT Condensed Extra Bold"/>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8198E"/>
    <w:pPr>
      <w:spacing w:after="200" w:line="276" w:lineRule="auto"/>
    </w:pPr>
    <w:rPr>
      <w:rFonts w:ascii="Calibri" w:eastAsia="Calibri" w:hAnsi="Calibri" w:cs="Times New Roman"/>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CommentReference">
    <w:name w:val="annotation reference"/>
    <w:basedOn w:val="DefaultParagraphFont"/>
    <w:uiPriority w:val="99"/>
    <w:semiHidden/>
    <w:unhideWhenUsed/>
    <w:rsid w:val="004F3D98"/>
    <w:rPr>
      <w:sz w:val="18"/>
      <w:szCs w:val="18"/>
    </w:rPr>
  </w:style>
  <w:style w:type="paragraph" w:styleId="CommentText">
    <w:name w:val="annotation text"/>
    <w:basedOn w:val="Normal"/>
    <w:link w:val="CommentTextChar"/>
    <w:uiPriority w:val="99"/>
    <w:semiHidden/>
    <w:unhideWhenUsed/>
    <w:rsid w:val="004F3D98"/>
    <w:pPr>
      <w:spacing w:line="240" w:lineRule="auto"/>
    </w:pPr>
    <w:rPr>
      <w:sz w:val="24"/>
      <w:szCs w:val="24"/>
    </w:rPr>
  </w:style>
  <w:style w:type="character" w:customStyle="1" w:styleId="CommentTextChar">
    <w:name w:val="Comment Text Char"/>
    <w:basedOn w:val="DefaultParagraphFont"/>
    <w:link w:val="CommentText"/>
    <w:uiPriority w:val="99"/>
    <w:semiHidden/>
    <w:rsid w:val="004F3D98"/>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4F3D98"/>
    <w:rPr>
      <w:b/>
      <w:bCs/>
      <w:sz w:val="20"/>
      <w:szCs w:val="20"/>
    </w:rPr>
  </w:style>
  <w:style w:type="character" w:customStyle="1" w:styleId="CommentSubjectChar">
    <w:name w:val="Comment Subject Char"/>
    <w:basedOn w:val="CommentTextChar"/>
    <w:link w:val="CommentSubject"/>
    <w:uiPriority w:val="99"/>
    <w:semiHidden/>
    <w:rsid w:val="004F3D98"/>
    <w:rPr>
      <w:b/>
      <w:bCs/>
    </w:rPr>
  </w:style>
  <w:style w:type="paragraph" w:styleId="BalloonText">
    <w:name w:val="Balloon Text"/>
    <w:basedOn w:val="Normal"/>
    <w:link w:val="BalloonTextChar"/>
    <w:uiPriority w:val="99"/>
    <w:semiHidden/>
    <w:unhideWhenUsed/>
    <w:rsid w:val="004F3D9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F3D98"/>
    <w:rPr>
      <w:rFonts w:ascii="Lucida Grande" w:eastAsia="Calibri" w:hAnsi="Lucida Grande" w:cs="Times New Roman"/>
      <w:sz w:val="18"/>
      <w:szCs w:val="18"/>
    </w:rPr>
  </w:style>
  <w:style w:type="paragraph" w:styleId="ListParagraph">
    <w:name w:val="List Paragraph"/>
    <w:basedOn w:val="Normal"/>
    <w:uiPriority w:val="34"/>
    <w:qFormat/>
    <w:rsid w:val="001D3C73"/>
    <w:pPr>
      <w:ind w:left="720"/>
      <w:contextualSpacing/>
    </w:pPr>
  </w:style>
  <w:style w:type="paragraph" w:styleId="DocumentMap">
    <w:name w:val="Document Map"/>
    <w:basedOn w:val="Normal"/>
    <w:link w:val="DocumentMapChar"/>
    <w:uiPriority w:val="99"/>
    <w:semiHidden/>
    <w:unhideWhenUsed/>
    <w:rsid w:val="00C962F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962F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417FB-36AC-45E3-8407-E004A6D1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1170</Words>
  <Characters>6670</Characters>
  <Application>Microsoft Macintosh Word</Application>
  <DocSecurity>0</DocSecurity>
  <Lines>55</Lines>
  <Paragraphs>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The decline of civic engagement over the last few decades in Americ</vt:lpstr>
      <vt:lpstr>Theoretical Framework The framework used for this study was Vroom’s Expectancy T</vt:lpstr>
      <vt:lpstr>Methodology This quantitative study was descriptive in nature with the intent of</vt:lpstr>
      <vt:lpstr>Understand the issues that are motivating members to act</vt:lpstr>
      <vt:lpstr>References</vt:lpstr>
    </vt:vector>
  </TitlesOfParts>
  <Company>University of Florida</Company>
  <LinksUpToDate>false</LinksUpToDate>
  <CharactersWithSpaces>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Stedman,Nicole Lamee Perez</dc:creator>
  <cp:keywords/>
  <cp:lastModifiedBy>Kyle Landrum</cp:lastModifiedBy>
  <cp:revision>4</cp:revision>
  <cp:lastPrinted>2009-10-30T14:14:00Z</cp:lastPrinted>
  <dcterms:created xsi:type="dcterms:W3CDTF">2009-10-30T20:09:00Z</dcterms:created>
  <dcterms:modified xsi:type="dcterms:W3CDTF">2009-10-30T20:19:00Z</dcterms:modified>
</cp:coreProperties>
</file>