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3FC" w:rsidRDefault="007033FC" w:rsidP="007033FC">
      <w:pPr>
        <w:jc w:val="center"/>
        <w:rPr>
          <w:noProof/>
        </w:rPr>
      </w:pPr>
    </w:p>
    <w:p w:rsidR="007033FC" w:rsidRDefault="007033FC" w:rsidP="007033FC">
      <w:pPr>
        <w:jc w:val="center"/>
        <w:rPr>
          <w:noProof/>
        </w:rPr>
      </w:pPr>
    </w:p>
    <w:p w:rsidR="007033FC" w:rsidRDefault="007033FC" w:rsidP="007033FC">
      <w:pPr>
        <w:jc w:val="center"/>
        <w:rPr>
          <w:noProof/>
        </w:rPr>
      </w:pPr>
    </w:p>
    <w:p w:rsidR="007033FC" w:rsidRDefault="007033FC" w:rsidP="007033FC">
      <w:pPr>
        <w:jc w:val="center"/>
        <w:rPr>
          <w:noProof/>
        </w:rPr>
      </w:pPr>
    </w:p>
    <w:p w:rsidR="007033FC" w:rsidRDefault="007033FC" w:rsidP="007033FC">
      <w:pPr>
        <w:jc w:val="center"/>
        <w:rPr>
          <w:noProof/>
        </w:rPr>
      </w:pPr>
    </w:p>
    <w:p w:rsidR="007033FC" w:rsidRDefault="007033FC" w:rsidP="007033FC">
      <w:pPr>
        <w:jc w:val="center"/>
        <w:rPr>
          <w:noProof/>
        </w:rPr>
      </w:pPr>
    </w:p>
    <w:p w:rsidR="007033FC" w:rsidRDefault="007033FC" w:rsidP="007033FC">
      <w:pPr>
        <w:jc w:val="center"/>
        <w:rPr>
          <w:noProof/>
        </w:rPr>
      </w:pPr>
      <w:r>
        <w:rPr>
          <w:noProof/>
        </w:rPr>
        <w:t>Teaching Controversial Issues Through Guided Group Discussion – An Approach To Cognitive Dissonance And Conceptual Change</w:t>
      </w:r>
    </w:p>
    <w:p w:rsidR="00A503FF" w:rsidRDefault="00A503FF"/>
    <w:p w:rsidR="007033FC" w:rsidRDefault="007033FC"/>
    <w:p w:rsidR="007033FC" w:rsidRDefault="007033FC"/>
    <w:p w:rsidR="007033FC" w:rsidRPr="003F511F" w:rsidRDefault="007033FC" w:rsidP="007033FC">
      <w:pPr>
        <w:jc w:val="center"/>
        <w:rPr>
          <w:noProof/>
        </w:rPr>
      </w:pPr>
      <w:r w:rsidRPr="003F511F">
        <w:rPr>
          <w:noProof/>
        </w:rPr>
        <w:t xml:space="preserve">Mr. </w:t>
      </w:r>
      <w:r>
        <w:rPr>
          <w:noProof/>
        </w:rPr>
        <w:t>Chaney W. Mosley</w:t>
      </w:r>
    </w:p>
    <w:p w:rsidR="007033FC" w:rsidRPr="003F511F" w:rsidRDefault="007033FC" w:rsidP="007033FC">
      <w:pPr>
        <w:jc w:val="center"/>
        <w:rPr>
          <w:noProof/>
        </w:rPr>
      </w:pPr>
      <w:r w:rsidRPr="003F511F">
        <w:rPr>
          <w:noProof/>
        </w:rPr>
        <w:t>Virginia Polytechnic Institute and State University</w:t>
      </w:r>
    </w:p>
    <w:p w:rsidR="007033FC" w:rsidRPr="003F511F" w:rsidRDefault="007033FC" w:rsidP="007033FC">
      <w:pPr>
        <w:jc w:val="center"/>
        <w:rPr>
          <w:noProof/>
        </w:rPr>
      </w:pPr>
      <w:r>
        <w:rPr>
          <w:noProof/>
        </w:rPr>
        <w:t>276</w:t>
      </w:r>
      <w:r w:rsidRPr="003F511F">
        <w:rPr>
          <w:noProof/>
        </w:rPr>
        <w:t xml:space="preserve"> Litton-Reaves Hall</w:t>
      </w:r>
    </w:p>
    <w:p w:rsidR="007033FC" w:rsidRPr="003F511F" w:rsidRDefault="007033FC" w:rsidP="007033FC">
      <w:pPr>
        <w:jc w:val="center"/>
        <w:rPr>
          <w:noProof/>
        </w:rPr>
      </w:pPr>
      <w:r w:rsidRPr="003F511F">
        <w:rPr>
          <w:noProof/>
        </w:rPr>
        <w:t>Blacksburg, VA 24061</w:t>
      </w:r>
    </w:p>
    <w:p w:rsidR="007033FC" w:rsidRPr="003F511F" w:rsidRDefault="007033FC" w:rsidP="007033FC">
      <w:pPr>
        <w:jc w:val="center"/>
        <w:rPr>
          <w:noProof/>
        </w:rPr>
      </w:pPr>
      <w:r w:rsidRPr="003F511F">
        <w:rPr>
          <w:noProof/>
        </w:rPr>
        <w:t>Phone:  5</w:t>
      </w:r>
      <w:r>
        <w:rPr>
          <w:noProof/>
        </w:rPr>
        <w:t>40</w:t>
      </w:r>
      <w:r w:rsidRPr="003F511F">
        <w:rPr>
          <w:noProof/>
        </w:rPr>
        <w:t>.231.7422</w:t>
      </w:r>
    </w:p>
    <w:p w:rsidR="007033FC" w:rsidRPr="003F511F" w:rsidRDefault="007033FC" w:rsidP="007033FC">
      <w:pPr>
        <w:jc w:val="center"/>
        <w:rPr>
          <w:noProof/>
        </w:rPr>
      </w:pPr>
      <w:r w:rsidRPr="003F511F">
        <w:rPr>
          <w:noProof/>
        </w:rPr>
        <w:t>Fax:  540.231.3824</w:t>
      </w:r>
    </w:p>
    <w:p w:rsidR="007033FC" w:rsidRPr="003F511F" w:rsidRDefault="007033FC" w:rsidP="007033FC">
      <w:pPr>
        <w:jc w:val="center"/>
        <w:rPr>
          <w:noProof/>
        </w:rPr>
      </w:pPr>
      <w:hyperlink r:id="rId4" w:history="1">
        <w:r>
          <w:rPr>
            <w:rStyle w:val="Hyperlink"/>
            <w:noProof/>
          </w:rPr>
          <w:t>cmosley@vt.edu</w:t>
        </w:r>
      </w:hyperlink>
      <w:r w:rsidRPr="003F511F">
        <w:rPr>
          <w:noProof/>
        </w:rPr>
        <w:t xml:space="preserve"> </w:t>
      </w:r>
    </w:p>
    <w:p w:rsidR="007033FC" w:rsidRPr="003F511F" w:rsidRDefault="007033FC" w:rsidP="007033FC">
      <w:pPr>
        <w:jc w:val="center"/>
        <w:rPr>
          <w:noProof/>
        </w:rPr>
      </w:pPr>
    </w:p>
    <w:p w:rsidR="007033FC" w:rsidRPr="003F511F" w:rsidRDefault="007033FC" w:rsidP="007033FC">
      <w:pPr>
        <w:jc w:val="center"/>
        <w:rPr>
          <w:noProof/>
        </w:rPr>
      </w:pPr>
    </w:p>
    <w:p w:rsidR="007033FC" w:rsidRPr="003F511F" w:rsidRDefault="007033FC" w:rsidP="007033FC">
      <w:pPr>
        <w:jc w:val="center"/>
        <w:rPr>
          <w:noProof/>
        </w:rPr>
      </w:pPr>
    </w:p>
    <w:p w:rsidR="007033FC" w:rsidRPr="006A4CFC" w:rsidRDefault="007033FC" w:rsidP="007033FC">
      <w:pPr>
        <w:jc w:val="center"/>
      </w:pPr>
      <w:r w:rsidRPr="006A4CFC">
        <w:t xml:space="preserve">Dr. Thomas W. Broyles </w:t>
      </w:r>
    </w:p>
    <w:p w:rsidR="007033FC" w:rsidRPr="003F511F" w:rsidRDefault="007033FC" w:rsidP="007033FC">
      <w:pPr>
        <w:jc w:val="center"/>
        <w:rPr>
          <w:noProof/>
        </w:rPr>
      </w:pPr>
      <w:r w:rsidRPr="003F511F">
        <w:rPr>
          <w:noProof/>
        </w:rPr>
        <w:t>Virginia Polytechnic Institute and State University</w:t>
      </w:r>
    </w:p>
    <w:p w:rsidR="007033FC" w:rsidRPr="006A4CFC" w:rsidRDefault="007033FC" w:rsidP="007033FC">
      <w:pPr>
        <w:pStyle w:val="Default"/>
        <w:jc w:val="center"/>
        <w:rPr>
          <w:color w:val="auto"/>
        </w:rPr>
      </w:pPr>
      <w:r w:rsidRPr="006A4CFC">
        <w:rPr>
          <w:color w:val="auto"/>
        </w:rPr>
        <w:t>268 Litton</w:t>
      </w:r>
      <w:r>
        <w:rPr>
          <w:color w:val="auto"/>
        </w:rPr>
        <w:t>-</w:t>
      </w:r>
      <w:r w:rsidRPr="006A4CFC">
        <w:rPr>
          <w:color w:val="auto"/>
        </w:rPr>
        <w:t xml:space="preserve">Reaves Hall </w:t>
      </w:r>
    </w:p>
    <w:p w:rsidR="007033FC" w:rsidRPr="006A4CFC" w:rsidRDefault="007033FC" w:rsidP="007033FC">
      <w:pPr>
        <w:pStyle w:val="Default"/>
        <w:jc w:val="center"/>
        <w:rPr>
          <w:color w:val="auto"/>
        </w:rPr>
      </w:pPr>
      <w:r w:rsidRPr="006A4CFC">
        <w:rPr>
          <w:color w:val="auto"/>
        </w:rPr>
        <w:t xml:space="preserve">Blacksburg, VA 24061 </w:t>
      </w:r>
    </w:p>
    <w:p w:rsidR="007033FC" w:rsidRPr="006A4CFC" w:rsidRDefault="007033FC" w:rsidP="007033FC">
      <w:pPr>
        <w:pStyle w:val="Default"/>
        <w:jc w:val="center"/>
        <w:rPr>
          <w:color w:val="auto"/>
        </w:rPr>
      </w:pPr>
      <w:r w:rsidRPr="006A4CFC">
        <w:rPr>
          <w:color w:val="auto"/>
        </w:rPr>
        <w:t xml:space="preserve">Phone: 540.231.8188 </w:t>
      </w:r>
    </w:p>
    <w:p w:rsidR="007033FC" w:rsidRPr="006A4CFC" w:rsidRDefault="007033FC" w:rsidP="007033FC">
      <w:pPr>
        <w:pStyle w:val="Default"/>
        <w:jc w:val="center"/>
        <w:rPr>
          <w:color w:val="auto"/>
        </w:rPr>
      </w:pPr>
      <w:r w:rsidRPr="006A4CFC">
        <w:rPr>
          <w:color w:val="auto"/>
        </w:rPr>
        <w:t xml:space="preserve">Fax: 540.231.3824 </w:t>
      </w:r>
    </w:p>
    <w:p w:rsidR="007033FC" w:rsidRPr="006A4CFC" w:rsidRDefault="007033FC" w:rsidP="007033FC">
      <w:pPr>
        <w:pStyle w:val="Default"/>
        <w:jc w:val="center"/>
        <w:rPr>
          <w:color w:val="auto"/>
        </w:rPr>
      </w:pPr>
      <w:hyperlink r:id="rId5" w:history="1">
        <w:r w:rsidRPr="004A65B7">
          <w:rPr>
            <w:rStyle w:val="Hyperlink"/>
          </w:rPr>
          <w:t>tbroyles@vt.edu</w:t>
        </w:r>
      </w:hyperlink>
      <w:r w:rsidRPr="006A4CFC">
        <w:rPr>
          <w:color w:val="auto"/>
        </w:rPr>
        <w:t xml:space="preserve"> </w:t>
      </w:r>
    </w:p>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p w:rsidR="007033FC" w:rsidRDefault="007033FC" w:rsidP="007033FC">
      <w:pPr>
        <w:jc w:val="center"/>
      </w:pPr>
      <w:r>
        <w:lastRenderedPageBreak/>
        <w:t>Introduction</w:t>
      </w:r>
    </w:p>
    <w:p w:rsidR="007033FC" w:rsidRDefault="007033FC" w:rsidP="007033FC">
      <w:pPr>
        <w:ind w:firstLine="720"/>
      </w:pPr>
      <w:r>
        <w:t>Many controver</w:t>
      </w:r>
      <w:r>
        <w:t>sial issues</w:t>
      </w:r>
      <w:r>
        <w:t xml:space="preserve"> relate to agriculture.  Consequentl</w:t>
      </w:r>
      <w:r>
        <w:t xml:space="preserve">y, much of these topics </w:t>
      </w:r>
      <w:r>
        <w:t>become infused into agricultural education curriculum.  Example</w:t>
      </w:r>
      <w:r>
        <w:t>s are</w:t>
      </w:r>
      <w:r>
        <w:t xml:space="preserve"> environmental matters, such as sustainable agriculture, or biological themes - genetic engineering for instance.  Often, these issues entail conflicting ideas and values (Cotton, 2006a).  For example, agricultural education teachers are unsure about the potential for sustainable agriculture to enhance the quality of life for famers and society (</w:t>
      </w:r>
      <w:proofErr w:type="spellStart"/>
      <w:r>
        <w:t>Agbaje</w:t>
      </w:r>
      <w:proofErr w:type="spellEnd"/>
      <w:r>
        <w:t>, Martin, &amp; Williams, 2001).  It is questionable whether teachers can maintain neutrality when teaching such topics.  The rhetorical nature of controversial issues suggests that teacher neutrality may be impractical and “the idea of maintaining a neutral position is portrayed as an illusion” (Cotton, 2006b).  This viewpoint, then, begs the question, why teach controversial issues and, if taught, what is the best method for instruction?</w:t>
      </w:r>
    </w:p>
    <w:p w:rsidR="007033FC" w:rsidRDefault="007033FC" w:rsidP="007033FC">
      <w:pPr>
        <w:ind w:firstLine="720"/>
      </w:pPr>
    </w:p>
    <w:p w:rsidR="007033FC" w:rsidRDefault="007033FC" w:rsidP="007033FC">
      <w:pPr>
        <w:ind w:firstLine="720"/>
      </w:pPr>
      <w:r>
        <w:t>Teaching about issues that are controversial, while requiring a lot of time and preparation, has been viewed as a useful tool for preparing students to become effective citizens (</w:t>
      </w:r>
      <w:proofErr w:type="spellStart"/>
      <w:r>
        <w:t>Soley</w:t>
      </w:r>
      <w:proofErr w:type="spellEnd"/>
      <w:r>
        <w:t>, 1996).  A healthy democracy is based on the nature of open discussion about issues of public concern.  Therefore, it is critical that young citizens be trained in the discussion of social, political, and economical policies that are controversial (Harwood &amp; Hahn, 1990).  Additionally, it serves as an appropriate way for students to learn about values and value conflicts.  Another advantage of such instruction is the encouragement of thinking.  Assessment that measures students’ ability to regurgitate facts requires low levels of thinking; however, teaching controversial issues requires in-depth study, on the students’ part, consideration of facts versus opinions, and critical examination of the issues.  Learning how to approach, investigate, and form an opinion on controversial issues that may present cognitive dissonance can also serve as a bridge for assisting students in dealing with their own personal conflicts (</w:t>
      </w:r>
      <w:proofErr w:type="spellStart"/>
      <w:r>
        <w:t>Soley</w:t>
      </w:r>
      <w:proofErr w:type="spellEnd"/>
      <w:r>
        <w:t xml:space="preserve">, 1996).  </w:t>
      </w:r>
    </w:p>
    <w:p w:rsidR="007033FC" w:rsidRDefault="007033FC" w:rsidP="007033FC">
      <w:pPr>
        <w:ind w:firstLine="720"/>
      </w:pPr>
    </w:p>
    <w:p w:rsidR="007033FC" w:rsidRDefault="007033FC" w:rsidP="007033FC">
      <w:pPr>
        <w:ind w:firstLine="720"/>
      </w:pPr>
      <w:r>
        <w:t>When introducing controversial issues, adopting a stance that is non-committal and neutral is critical (</w:t>
      </w:r>
      <w:proofErr w:type="spellStart"/>
      <w:r>
        <w:t>Asimeng-Boahene</w:t>
      </w:r>
      <w:proofErr w:type="spellEnd"/>
      <w:r>
        <w:t>, 2004).  “Everything the teacher does, as well as the manner in which he does it, incites the child to respond in some way or another, and each response tends to get the child’s attitude in some way or the other” (Dewey, 1933).  After selecting the issue to be discussed, teachers must prepare students for the discussion, provide an adequate amount of information sources, ensure an intellectual balance, and encourage equal participation.  It can be argued that teaching the facts or concepts is easier and more straightforward than helping students examine attitudes, values, and beliefs associated with controversial issues.  However, if students do not learn to address moral dilemmas and argue social issues in school, when will they?  It is the responsibility of teachers to supply a format for learning how to identify controversy and labor through it (</w:t>
      </w:r>
      <w:proofErr w:type="spellStart"/>
      <w:r>
        <w:t>Asimeng-Boahene</w:t>
      </w:r>
      <w:proofErr w:type="spellEnd"/>
      <w:r>
        <w:t>, 2004).</w:t>
      </w:r>
    </w:p>
    <w:p w:rsidR="007033FC" w:rsidRDefault="007033FC" w:rsidP="007033FC">
      <w:pPr>
        <w:ind w:firstLine="720"/>
      </w:pPr>
      <w:r>
        <w:t xml:space="preserve">  </w:t>
      </w:r>
    </w:p>
    <w:p w:rsidR="007033FC" w:rsidRDefault="007033FC" w:rsidP="007033FC">
      <w:pPr>
        <w:jc w:val="center"/>
      </w:pPr>
      <w:r>
        <w:t>How It Works</w:t>
      </w:r>
    </w:p>
    <w:p w:rsidR="007033FC" w:rsidRDefault="007033FC" w:rsidP="007033FC">
      <w:r>
        <w:tab/>
        <w:t xml:space="preserve">Teaching controversial issues through guided group discussion involves many steps.  First, the instructor identifies a subject that is controversial in nature.  Once the topic has been identified, the teacher then performs a quick review of the topic to discover the various aspects of controversy.  After this, the educator creates a list of neutral research questions that focus on the characteristics of controversy – these will </w:t>
      </w:r>
      <w:r>
        <w:lastRenderedPageBreak/>
        <w:t xml:space="preserve">later be given to students.  At this point, it is necessary to inform students that they will be participating in a group discussion on a controversial issue and provide an explanation, or framing, of what this activity will look like in action.  During this explanation, it is critical to emphasize that students maintain a neutral position during the discussion – at no point in this activity should the teacher or other students be able to identify an individual’s stance on the topic.  Next, students are presented the controversial topic along with the neutral research questions and instructed to answer these questions, individually, in preparation for a group discussion – deadlines must be associated with this assignment and a date for the discussion should be set.  Finally, the discussion takes place with the teacher serving as the moderator, probing the students with neutral questions, facilitating equitable talk time amongst participants, and preventing the discussion from becoming a debate.  During the discussion, participating students take notes on various points that are made - at the conclusion of the discussion, each student is asked to formulate a position on the topic and articulate this position in a closing statement that references specific points of discussion.   </w:t>
      </w:r>
    </w:p>
    <w:p w:rsidR="007033FC" w:rsidRDefault="007033FC"/>
    <w:p w:rsidR="007033FC" w:rsidRDefault="007033FC" w:rsidP="007033FC">
      <w:pPr>
        <w:jc w:val="center"/>
      </w:pPr>
      <w:r>
        <w:t>Implications</w:t>
      </w:r>
    </w:p>
    <w:p w:rsidR="007033FC" w:rsidRDefault="007033FC" w:rsidP="007033FC">
      <w:r>
        <w:tab/>
        <w:t xml:space="preserve">This method of instruction has many implications for agricultural education.  Because information presented in the discussion might create cognitive dissonance for some students, it is possible that conceptual change could occur.  Teaching through guided group discussion provides agricultural educators with a vehicle for instruction that allows them to maintain a neutral position.  This removes concern that personal views may influence the opinions of students, leaving the student accountable for his or her own conceptual change.  Additionally, this technique encourages higher order thinking, where students move beyond the lower levels of Bloom’s Taxonomy, and participate in the analysis, synthesis, and evaluation of controversial issues.  For students, this approach fosters an investigation into opposing viewpoints and cultivates an awareness of both sides of a topic.  Furthermore, participating in discussion, rather than debate, eliminates a hostile environment and encourages open dialogue.  </w:t>
      </w:r>
    </w:p>
    <w:p w:rsidR="007033FC" w:rsidRDefault="007033FC" w:rsidP="007033FC"/>
    <w:p w:rsidR="007033FC" w:rsidRDefault="007033FC" w:rsidP="007033FC">
      <w:pPr>
        <w:jc w:val="center"/>
      </w:pPr>
      <w:r>
        <w:t>Future Plans</w:t>
      </w:r>
    </w:p>
    <w:p w:rsidR="007033FC" w:rsidRDefault="007033FC" w:rsidP="007033FC">
      <w:pPr>
        <w:ind w:firstLine="720"/>
      </w:pPr>
      <w:r>
        <w:t xml:space="preserve">Virginia Tech graduate students are designing a research study that will involve undergraduate students enrolled in the course titled Communicating Agricultural and Life Sciences in Speaking.  In this study, students will participate in small group discussions according to the steps identified in the methodology section.  Prior to the group discussion, students will be given a </w:t>
      </w:r>
      <w:proofErr w:type="spellStart"/>
      <w:r>
        <w:t>Likert</w:t>
      </w:r>
      <w:proofErr w:type="spellEnd"/>
      <w:r>
        <w:t xml:space="preserve">-type pretest to determine attitudes toward specific controversial issues.  After the discussion, students will be given the same instrument in a post test.  Results of these surveys will be analyzed to determine the degree of conceptual change that may occur.     </w:t>
      </w:r>
    </w:p>
    <w:p w:rsidR="007033FC" w:rsidRDefault="007033FC" w:rsidP="007033FC">
      <w:pPr>
        <w:ind w:firstLine="720"/>
      </w:pPr>
    </w:p>
    <w:p w:rsidR="007033FC" w:rsidRDefault="007033FC" w:rsidP="007033FC">
      <w:pPr>
        <w:jc w:val="center"/>
      </w:pPr>
      <w:r>
        <w:t>Resources Needed</w:t>
      </w:r>
    </w:p>
    <w:p w:rsidR="007033FC" w:rsidRDefault="007033FC" w:rsidP="007033FC">
      <w:r>
        <w:t>This method of instruction requires research tools such as library resources, computers with internet access, and periodicals related to the subject.  Other resources needed are neutral questions, prepared by the instructor, which will help guide the group discussion.  For the research study that will be conducted</w:t>
      </w:r>
      <w:proofErr w:type="gramStart"/>
      <w:r>
        <w:t>,  topic</w:t>
      </w:r>
      <w:proofErr w:type="gramEnd"/>
      <w:r>
        <w:t xml:space="preserve"> specific attitude surveys will be required.</w:t>
      </w:r>
    </w:p>
    <w:p w:rsidR="007033FC" w:rsidRDefault="007033FC" w:rsidP="007033FC">
      <w:pPr>
        <w:jc w:val="center"/>
      </w:pPr>
      <w:r>
        <w:lastRenderedPageBreak/>
        <w:t>References</w:t>
      </w:r>
    </w:p>
    <w:p w:rsidR="007033FC" w:rsidRPr="009735C4" w:rsidRDefault="007033FC" w:rsidP="007033FC">
      <w:pPr>
        <w:jc w:val="center"/>
        <w:rPr>
          <w:rFonts w:ascii="TimesNewRomanPSMT" w:hAnsi="TimesNewRomanPSMT" w:cs="TimesNewRomanPSMT"/>
          <w:lang w:bidi="en-US"/>
        </w:rPr>
      </w:pPr>
    </w:p>
    <w:p w:rsidR="007033FC" w:rsidRDefault="007033FC" w:rsidP="007033FC">
      <w:proofErr w:type="spellStart"/>
      <w:r>
        <w:t>Agbaje</w:t>
      </w:r>
      <w:proofErr w:type="spellEnd"/>
      <w:r>
        <w:t xml:space="preserve">, K., Martin, R., &amp; Williams, D. (2001, January 1). Impact of Sustainable </w:t>
      </w:r>
    </w:p>
    <w:p w:rsidR="007033FC" w:rsidRDefault="007033FC" w:rsidP="007033FC">
      <w:pPr>
        <w:ind w:left="720"/>
      </w:pPr>
      <w:proofErr w:type="gramStart"/>
      <w:r>
        <w:t>Agriculture on Secondary School Agricultural Education Teachers and Programs in the North Central Region.</w:t>
      </w:r>
      <w:proofErr w:type="gramEnd"/>
      <w:r>
        <w:t xml:space="preserve"> </w:t>
      </w:r>
      <w:r>
        <w:rPr>
          <w:i/>
          <w:iCs/>
        </w:rPr>
        <w:t>Journal of Agricultural Education</w:t>
      </w:r>
      <w:r>
        <w:t xml:space="preserve">, </w:t>
      </w:r>
      <w:r>
        <w:rPr>
          <w:i/>
          <w:iCs/>
        </w:rPr>
        <w:t>42</w:t>
      </w:r>
      <w:r>
        <w:t xml:space="preserve">(2), 38-45. </w:t>
      </w:r>
      <w:proofErr w:type="gramStart"/>
      <w:r>
        <w:t>(ERIC Document Reproduction Service No.</w:t>
      </w:r>
      <w:proofErr w:type="gramEnd"/>
      <w:r>
        <w:t xml:space="preserve"> EJ636564) Retrieved September 14, 2009, from ERIC database.</w:t>
      </w:r>
    </w:p>
    <w:p w:rsidR="007033FC" w:rsidRDefault="007033FC" w:rsidP="007033FC"/>
    <w:p w:rsidR="007033FC" w:rsidRDefault="007033FC" w:rsidP="007033FC">
      <w:proofErr w:type="spellStart"/>
      <w:r>
        <w:t>Asimeng-Boahene</w:t>
      </w:r>
      <w:proofErr w:type="spellEnd"/>
      <w:r>
        <w:t xml:space="preserve">, L. (2007, August 1). Creating Strategies to Deal with Problems of </w:t>
      </w:r>
    </w:p>
    <w:p w:rsidR="007033FC" w:rsidRDefault="007033FC" w:rsidP="007033FC">
      <w:pPr>
        <w:ind w:left="720"/>
      </w:pPr>
      <w:proofErr w:type="gramStart"/>
      <w:r>
        <w:t>Teaching Controversial Issues in Social Studies Education in African Schools.</w:t>
      </w:r>
      <w:proofErr w:type="gramEnd"/>
      <w:r>
        <w:t xml:space="preserve"> </w:t>
      </w:r>
      <w:r>
        <w:rPr>
          <w:i/>
          <w:iCs/>
        </w:rPr>
        <w:t>Intercultural Education</w:t>
      </w:r>
      <w:r>
        <w:t xml:space="preserve">, </w:t>
      </w:r>
      <w:r>
        <w:rPr>
          <w:i/>
          <w:iCs/>
        </w:rPr>
        <w:t>18</w:t>
      </w:r>
      <w:r>
        <w:t xml:space="preserve">(3), 231-242. </w:t>
      </w:r>
      <w:proofErr w:type="gramStart"/>
      <w:r>
        <w:t>(ERIC Document Reproduction Service No.</w:t>
      </w:r>
      <w:proofErr w:type="gramEnd"/>
      <w:r>
        <w:t xml:space="preserve"> EJ772576) Retrieved September 14, 2009, from ERIC database.</w:t>
      </w:r>
    </w:p>
    <w:p w:rsidR="007033FC" w:rsidRDefault="007033FC" w:rsidP="007033FC"/>
    <w:p w:rsidR="007033FC" w:rsidRDefault="007033FC" w:rsidP="007033FC">
      <w:r>
        <w:t xml:space="preserve">Cotton, D. (2006a, February 1). Implementing Curriculum Guidance on Environmental </w:t>
      </w:r>
    </w:p>
    <w:p w:rsidR="007033FC" w:rsidRDefault="007033FC" w:rsidP="007033FC">
      <w:pPr>
        <w:ind w:left="720"/>
      </w:pPr>
      <w:r>
        <w:t xml:space="preserve">Education: The Importance of Teachers' Beliefs. </w:t>
      </w:r>
      <w:r>
        <w:rPr>
          <w:i/>
          <w:iCs/>
        </w:rPr>
        <w:t>Journal of Curriculum Studies</w:t>
      </w:r>
      <w:r>
        <w:t xml:space="preserve">, </w:t>
      </w:r>
      <w:r>
        <w:rPr>
          <w:i/>
          <w:iCs/>
        </w:rPr>
        <w:t>38</w:t>
      </w:r>
      <w:r>
        <w:t xml:space="preserve">(1), 67-83. </w:t>
      </w:r>
      <w:proofErr w:type="gramStart"/>
      <w:r>
        <w:t>(ERIC Document Reproduction Service No.</w:t>
      </w:r>
      <w:proofErr w:type="gramEnd"/>
      <w:r>
        <w:t xml:space="preserve"> EJ729304) Retrieved September 14, 2009, from ERIC database.</w:t>
      </w:r>
    </w:p>
    <w:p w:rsidR="007033FC" w:rsidRDefault="007033FC" w:rsidP="007033FC">
      <w:pPr>
        <w:ind w:left="720"/>
      </w:pPr>
    </w:p>
    <w:p w:rsidR="007033FC" w:rsidRDefault="007033FC" w:rsidP="007033FC">
      <w:pPr>
        <w:rPr>
          <w:sz w:val="23"/>
          <w:szCs w:val="23"/>
        </w:rPr>
      </w:pPr>
      <w:r>
        <w:rPr>
          <w:sz w:val="23"/>
          <w:szCs w:val="23"/>
        </w:rPr>
        <w:t xml:space="preserve">Cotton, D. (2006b, June 1). Teaching controversial environmental issues: Neutrality and </w:t>
      </w:r>
    </w:p>
    <w:p w:rsidR="007033FC" w:rsidRDefault="007033FC" w:rsidP="007033FC">
      <w:pPr>
        <w:ind w:left="720"/>
        <w:rPr>
          <w:sz w:val="23"/>
          <w:szCs w:val="23"/>
        </w:rPr>
      </w:pPr>
      <w:proofErr w:type="gramStart"/>
      <w:r>
        <w:rPr>
          <w:sz w:val="23"/>
          <w:szCs w:val="23"/>
        </w:rPr>
        <w:t>balance</w:t>
      </w:r>
      <w:proofErr w:type="gramEnd"/>
      <w:r>
        <w:rPr>
          <w:sz w:val="23"/>
          <w:szCs w:val="23"/>
        </w:rPr>
        <w:t xml:space="preserve"> in the reality of the classroom. </w:t>
      </w:r>
      <w:r>
        <w:rPr>
          <w:i/>
          <w:iCs/>
          <w:sz w:val="23"/>
          <w:szCs w:val="23"/>
        </w:rPr>
        <w:t>Educational Research, 48</w:t>
      </w:r>
      <w:r>
        <w:rPr>
          <w:sz w:val="23"/>
          <w:szCs w:val="23"/>
        </w:rPr>
        <w:t xml:space="preserve">(2), 223-241.  </w:t>
      </w:r>
      <w:proofErr w:type="gramStart"/>
      <w:r>
        <w:rPr>
          <w:sz w:val="23"/>
          <w:szCs w:val="23"/>
        </w:rPr>
        <w:t>(ERIC Document Reproduction Service No.</w:t>
      </w:r>
      <w:proofErr w:type="gramEnd"/>
      <w:r>
        <w:rPr>
          <w:sz w:val="23"/>
          <w:szCs w:val="23"/>
        </w:rPr>
        <w:t xml:space="preserve"> EJ737417) Retrieved September 14, 2009, from ERIC database.</w:t>
      </w:r>
    </w:p>
    <w:p w:rsidR="007033FC" w:rsidRDefault="007033FC" w:rsidP="007033FC">
      <w:pPr>
        <w:rPr>
          <w:sz w:val="23"/>
          <w:szCs w:val="23"/>
        </w:rPr>
      </w:pPr>
    </w:p>
    <w:p w:rsidR="007033FC" w:rsidRDefault="007033FC" w:rsidP="007033FC">
      <w:pPr>
        <w:rPr>
          <w:sz w:val="23"/>
          <w:szCs w:val="23"/>
        </w:rPr>
      </w:pPr>
      <w:r>
        <w:rPr>
          <w:sz w:val="23"/>
          <w:szCs w:val="23"/>
        </w:rPr>
        <w:t xml:space="preserve">Dewey, J. (1933). </w:t>
      </w:r>
      <w:r w:rsidRPr="00184C4C">
        <w:rPr>
          <w:i/>
          <w:sz w:val="23"/>
          <w:szCs w:val="23"/>
        </w:rPr>
        <w:t>How we think</w:t>
      </w:r>
      <w:r>
        <w:rPr>
          <w:sz w:val="23"/>
          <w:szCs w:val="23"/>
        </w:rPr>
        <w:t xml:space="preserve">. Boston:  D. C. Heath. </w:t>
      </w:r>
    </w:p>
    <w:p w:rsidR="007033FC" w:rsidRDefault="007033FC" w:rsidP="007033FC">
      <w:pPr>
        <w:rPr>
          <w:sz w:val="23"/>
          <w:szCs w:val="23"/>
        </w:rPr>
      </w:pPr>
    </w:p>
    <w:p w:rsidR="007033FC" w:rsidRDefault="007033FC" w:rsidP="007033FC">
      <w:r>
        <w:t xml:space="preserve">Harwood, A., Hahn, C., &amp; ERIC Clearinghouse for Social Studies/Social Science </w:t>
      </w:r>
    </w:p>
    <w:p w:rsidR="007033FC" w:rsidRDefault="007033FC" w:rsidP="007033FC">
      <w:pPr>
        <w:ind w:left="720"/>
      </w:pPr>
      <w:r>
        <w:t xml:space="preserve">Education, B. (1990, September 1). </w:t>
      </w:r>
      <w:proofErr w:type="gramStart"/>
      <w:r>
        <w:rPr>
          <w:i/>
          <w:iCs/>
        </w:rPr>
        <w:t>Controversial Issues in the Classroom.</w:t>
      </w:r>
      <w:proofErr w:type="gramEnd"/>
      <w:r>
        <w:rPr>
          <w:i/>
          <w:iCs/>
        </w:rPr>
        <w:t xml:space="preserve"> ERIC Digest</w:t>
      </w:r>
      <w:r>
        <w:t xml:space="preserve">.  </w:t>
      </w:r>
      <w:proofErr w:type="gramStart"/>
      <w:r>
        <w:t>(ERIC Document Reproduction Service No.</w:t>
      </w:r>
      <w:proofErr w:type="gramEnd"/>
      <w:r>
        <w:t xml:space="preserve"> ED327453) Retrieved September 14, 2009, from ERIC database.</w:t>
      </w:r>
    </w:p>
    <w:p w:rsidR="007033FC" w:rsidRDefault="007033FC" w:rsidP="007033FC"/>
    <w:p w:rsidR="007033FC" w:rsidRDefault="007033FC" w:rsidP="007033FC">
      <w:proofErr w:type="spellStart"/>
      <w:r>
        <w:t>Soley</w:t>
      </w:r>
      <w:proofErr w:type="spellEnd"/>
      <w:r>
        <w:t xml:space="preserve">, M. (1995, January 1). If It's Controversial, Why Teach It? </w:t>
      </w:r>
      <w:r>
        <w:rPr>
          <w:i/>
          <w:iCs/>
        </w:rPr>
        <w:t>Social Education</w:t>
      </w:r>
      <w:r>
        <w:t xml:space="preserve">, </w:t>
      </w:r>
      <w:r>
        <w:rPr>
          <w:i/>
          <w:iCs/>
        </w:rPr>
        <w:t>60</w:t>
      </w:r>
      <w:r>
        <w:t xml:space="preserve">(1), </w:t>
      </w:r>
    </w:p>
    <w:p w:rsidR="007033FC" w:rsidRDefault="007033FC" w:rsidP="007033FC">
      <w:pPr>
        <w:ind w:left="720"/>
      </w:pPr>
      <w:proofErr w:type="gramStart"/>
      <w:r>
        <w:t>9-14. (ERIC Document Reproduction Service No.</w:t>
      </w:r>
      <w:proofErr w:type="gramEnd"/>
      <w:r>
        <w:t xml:space="preserve"> EJ525308) Retrieved September 14, 2009, from ERIC database.</w:t>
      </w:r>
    </w:p>
    <w:p w:rsidR="007033FC" w:rsidRDefault="007033FC" w:rsidP="007033FC"/>
    <w:sectPr w:rsidR="007033FC" w:rsidSect="007033FC">
      <w:pgSz w:w="12240" w:h="15840"/>
      <w:pgMar w:top="1440" w:right="1440" w:bottom="1440" w:left="21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33FC"/>
    <w:rsid w:val="00075300"/>
    <w:rsid w:val="007033FC"/>
    <w:rsid w:val="00A503FF"/>
    <w:rsid w:val="00BC43F3"/>
    <w:rsid w:val="00FF21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3FC"/>
    <w:pPr>
      <w:spacing w:after="0" w:line="240" w:lineRule="auto"/>
    </w:pPr>
    <w:rPr>
      <w:rFonts w:eastAsia="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033FC"/>
    <w:rPr>
      <w:color w:val="0000FF"/>
      <w:u w:val="single"/>
    </w:rPr>
  </w:style>
  <w:style w:type="paragraph" w:customStyle="1" w:styleId="Default">
    <w:name w:val="Default"/>
    <w:rsid w:val="007033FC"/>
    <w:pPr>
      <w:autoSpaceDE w:val="0"/>
      <w:autoSpaceDN w:val="0"/>
      <w:adjustRightInd w:val="0"/>
      <w:spacing w:after="0" w:line="240" w:lineRule="auto"/>
    </w:pPr>
    <w:rPr>
      <w:rFonts w:eastAsia="Times New Roman"/>
      <w:lang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broyles@vt.edu" TargetMode="External"/><Relationship Id="rId4" Type="http://schemas.openxmlformats.org/officeDocument/2006/relationships/hyperlink" Target="mailto:cmosley@v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1419</Words>
  <Characters>7809</Characters>
  <Application>Microsoft Office Word</Application>
  <DocSecurity>0</DocSecurity>
  <Lines>104</Lines>
  <Paragraphs>14</Paragraphs>
  <ScaleCrop>false</ScaleCrop>
  <Company>Hewlett-Packard</Company>
  <LinksUpToDate>false</LinksUpToDate>
  <CharactersWithSpaces>9214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CWM</dc:creator>
  <cp:lastModifiedBy>CWM</cp:lastModifiedBy>
  <cp:revision>1</cp:revision>
  <dcterms:created xsi:type="dcterms:W3CDTF">2009-10-30T20:48:00Z</dcterms:created>
  <dcterms:modified xsi:type="dcterms:W3CDTF">2009-10-30T20:55:00Z</dcterms:modified>
</cp:coreProperties>
</file>