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930FD" w14:textId="77777777" w:rsidR="00BB3365" w:rsidRDefault="00BB3365" w:rsidP="00BB3365">
      <w:pPr>
        <w:pStyle w:val="NormalWeb"/>
        <w:rPr>
          <w:rFonts w:ascii="TimesNewRomanPS" w:hAnsi="TimesNewRomanPS"/>
          <w:b/>
          <w:bCs/>
        </w:rPr>
      </w:pPr>
    </w:p>
    <w:p w14:paraId="533F45CB" w14:textId="77777777" w:rsidR="00BB3365" w:rsidRDefault="00BB3365" w:rsidP="00BB3365">
      <w:pPr>
        <w:pStyle w:val="NormalWeb"/>
        <w:rPr>
          <w:rFonts w:ascii="TimesNewRomanPS" w:hAnsi="TimesNewRomanPS"/>
          <w:b/>
          <w:bCs/>
        </w:rPr>
      </w:pPr>
    </w:p>
    <w:p w14:paraId="745B62CA" w14:textId="77777777" w:rsidR="00BB3365" w:rsidRDefault="00BB3365" w:rsidP="00BB3365">
      <w:pPr>
        <w:pStyle w:val="NormalWeb"/>
        <w:rPr>
          <w:rFonts w:ascii="TimesNewRomanPS" w:hAnsi="TimesNewRomanPS"/>
          <w:b/>
          <w:bCs/>
        </w:rPr>
      </w:pPr>
    </w:p>
    <w:p w14:paraId="566CF816" w14:textId="77777777" w:rsidR="00BB3365" w:rsidRDefault="00BB3365" w:rsidP="00BB3365">
      <w:pPr>
        <w:pStyle w:val="NormalWeb"/>
        <w:rPr>
          <w:rFonts w:ascii="TimesNewRomanPS" w:hAnsi="TimesNewRomanPS"/>
          <w:b/>
          <w:bCs/>
        </w:rPr>
      </w:pPr>
    </w:p>
    <w:p w14:paraId="2E7F0B69" w14:textId="77777777" w:rsidR="00BB3365" w:rsidRDefault="00BB3365" w:rsidP="00BB3365">
      <w:pPr>
        <w:pStyle w:val="NormalWeb"/>
        <w:rPr>
          <w:rFonts w:ascii="TimesNewRomanPS" w:hAnsi="TimesNewRomanPS"/>
          <w:b/>
          <w:bCs/>
        </w:rPr>
      </w:pPr>
    </w:p>
    <w:p w14:paraId="33C26288" w14:textId="77777777" w:rsidR="00BB3365" w:rsidRDefault="00BB3365" w:rsidP="00BB3365">
      <w:pPr>
        <w:pStyle w:val="NormalWeb"/>
        <w:rPr>
          <w:rFonts w:ascii="TimesNewRomanPS" w:hAnsi="TimesNewRomanPS"/>
          <w:b/>
          <w:bCs/>
        </w:rPr>
      </w:pPr>
    </w:p>
    <w:p w14:paraId="6E8248BD" w14:textId="5AE58F96" w:rsidR="00BB3365" w:rsidRDefault="00BB3365" w:rsidP="00BB3365">
      <w:pPr>
        <w:pStyle w:val="NormalWeb"/>
      </w:pPr>
      <w:r>
        <w:rPr>
          <w:rFonts w:ascii="TimesNewRomanPS" w:hAnsi="TimesNewRomanPS"/>
          <w:b/>
          <w:bCs/>
        </w:rPr>
        <w:t xml:space="preserve">A Study on Preservice Teachers’ Self-Efficacy and Challenges in Greenhouse Management </w:t>
      </w:r>
    </w:p>
    <w:p w14:paraId="56E65372" w14:textId="77777777" w:rsidR="00BB3365" w:rsidRPr="00F359E9" w:rsidRDefault="00BB3365" w:rsidP="00BB3365">
      <w:pPr>
        <w:pStyle w:val="paragraph"/>
        <w:spacing w:before="0" w:beforeAutospacing="0" w:after="0" w:afterAutospacing="0"/>
        <w:jc w:val="center"/>
        <w:textAlignment w:val="baseline"/>
        <w:rPr>
          <w:rStyle w:val="eop"/>
          <w:color w:val="000000" w:themeColor="text1"/>
        </w:rPr>
      </w:pPr>
    </w:p>
    <w:p w14:paraId="5D1C1521" w14:textId="77777777" w:rsidR="00BB3365" w:rsidRPr="00F359E9" w:rsidRDefault="00BB3365" w:rsidP="00BB3365">
      <w:pPr>
        <w:pStyle w:val="paragraph"/>
        <w:spacing w:before="0" w:beforeAutospacing="0" w:after="0" w:afterAutospacing="0"/>
        <w:jc w:val="center"/>
        <w:textAlignment w:val="baseline"/>
        <w:rPr>
          <w:rStyle w:val="eop"/>
          <w:color w:val="000000" w:themeColor="text1"/>
        </w:rPr>
      </w:pPr>
    </w:p>
    <w:p w14:paraId="19636F3A" w14:textId="77777777" w:rsidR="00BB3365" w:rsidRDefault="00BB3365" w:rsidP="00BB3365">
      <w:pPr>
        <w:pStyle w:val="NormalWeb"/>
        <w:jc w:val="center"/>
        <w:rPr>
          <w:color w:val="000000" w:themeColor="text1"/>
        </w:rPr>
      </w:pPr>
    </w:p>
    <w:p w14:paraId="16AECE8D" w14:textId="77777777" w:rsidR="00BB3365" w:rsidRPr="00F359E9" w:rsidRDefault="00BB3365" w:rsidP="00BB3365">
      <w:pPr>
        <w:pStyle w:val="NormalWeb"/>
        <w:jc w:val="center"/>
        <w:rPr>
          <w:color w:val="000000" w:themeColor="text1"/>
        </w:rPr>
      </w:pPr>
      <w:r w:rsidRPr="00F359E9">
        <w:rPr>
          <w:color w:val="000000" w:themeColor="text1"/>
        </w:rPr>
        <w:t>Maria R. Helm</w:t>
      </w:r>
      <w:r w:rsidRPr="00F359E9">
        <w:rPr>
          <w:color w:val="000000" w:themeColor="text1"/>
          <w:vertAlign w:val="superscript"/>
        </w:rPr>
        <w:t>1</w:t>
      </w:r>
      <w:r w:rsidRPr="00F359E9">
        <w:rPr>
          <w:color w:val="000000" w:themeColor="text1"/>
        </w:rPr>
        <w:t>, Nicholas E. Fuhrman</w:t>
      </w:r>
      <w:r w:rsidRPr="00F359E9">
        <w:rPr>
          <w:color w:val="000000" w:themeColor="text1"/>
          <w:vertAlign w:val="superscript"/>
        </w:rPr>
        <w:t>2</w:t>
      </w:r>
      <w:r w:rsidRPr="00F359E9">
        <w:rPr>
          <w:color w:val="000000" w:themeColor="text1"/>
        </w:rPr>
        <w:t>, and Jason B. Peake</w:t>
      </w:r>
      <w:r w:rsidRPr="00F359E9">
        <w:rPr>
          <w:color w:val="000000" w:themeColor="text1"/>
          <w:vertAlign w:val="superscript"/>
        </w:rPr>
        <w:t>3</w:t>
      </w:r>
    </w:p>
    <w:p w14:paraId="4B36BFD4" w14:textId="77777777" w:rsidR="00BB3365" w:rsidRPr="00F359E9" w:rsidRDefault="00BB3365" w:rsidP="00BB3365">
      <w:pPr>
        <w:pStyle w:val="NormalWeb"/>
        <w:jc w:val="center"/>
        <w:rPr>
          <w:color w:val="000000" w:themeColor="text1"/>
        </w:rPr>
      </w:pPr>
    </w:p>
    <w:p w14:paraId="0E6A023C" w14:textId="77777777" w:rsidR="00BB3365" w:rsidRPr="00F359E9" w:rsidRDefault="00BB3365" w:rsidP="00BB3365">
      <w:pPr>
        <w:pStyle w:val="NormalWeb"/>
        <w:jc w:val="center"/>
        <w:rPr>
          <w:color w:val="000000" w:themeColor="text1"/>
        </w:rPr>
      </w:pPr>
    </w:p>
    <w:p w14:paraId="13E45F96" w14:textId="77777777" w:rsidR="00BB3365" w:rsidRPr="00F359E9" w:rsidRDefault="00BB3365" w:rsidP="00BB3365">
      <w:pPr>
        <w:pStyle w:val="NormalWeb"/>
        <w:jc w:val="center"/>
        <w:rPr>
          <w:color w:val="000000" w:themeColor="text1"/>
        </w:rPr>
      </w:pPr>
    </w:p>
    <w:p w14:paraId="3B33C247" w14:textId="77777777" w:rsidR="00BB3365" w:rsidRPr="00F359E9" w:rsidRDefault="00BB3365" w:rsidP="00BB3365">
      <w:pPr>
        <w:pStyle w:val="NormalWeb"/>
        <w:jc w:val="center"/>
        <w:rPr>
          <w:color w:val="000000" w:themeColor="text1"/>
        </w:rPr>
      </w:pPr>
      <w:r w:rsidRPr="00F359E9">
        <w:rPr>
          <w:color w:val="000000" w:themeColor="text1"/>
          <w:vertAlign w:val="superscript"/>
        </w:rPr>
        <w:t>1,3</w:t>
      </w:r>
      <w:r w:rsidRPr="00F359E9">
        <w:rPr>
          <w:color w:val="000000" w:themeColor="text1"/>
        </w:rPr>
        <w:t>Department of Agricultural Leadership, Education &amp; Communication, University of Georgia</w:t>
      </w:r>
    </w:p>
    <w:p w14:paraId="4BB0EDE4" w14:textId="77777777" w:rsidR="00BB3365" w:rsidRPr="00F359E9" w:rsidRDefault="00BB3365" w:rsidP="00BB3365">
      <w:pPr>
        <w:pStyle w:val="NormalWeb"/>
        <w:jc w:val="center"/>
        <w:rPr>
          <w:color w:val="000000" w:themeColor="text1"/>
        </w:rPr>
      </w:pPr>
      <w:r w:rsidRPr="00F359E9">
        <w:rPr>
          <w:color w:val="000000" w:themeColor="text1"/>
          <w:vertAlign w:val="superscript"/>
        </w:rPr>
        <w:t>2</w:t>
      </w:r>
      <w:r w:rsidRPr="00F359E9">
        <w:rPr>
          <w:color w:val="000000" w:themeColor="text1"/>
        </w:rPr>
        <w:t>Warnell School of Forestry and Natural Resources, University of Georgia</w:t>
      </w:r>
    </w:p>
    <w:p w14:paraId="5DA32456" w14:textId="77777777" w:rsidR="00BB3365" w:rsidRPr="00F359E9" w:rsidRDefault="00BB3365" w:rsidP="00BB3365">
      <w:pPr>
        <w:pStyle w:val="paragraph"/>
        <w:spacing w:before="0" w:beforeAutospacing="0" w:after="0" w:afterAutospacing="0"/>
        <w:jc w:val="center"/>
        <w:textAlignment w:val="baseline"/>
        <w:rPr>
          <w:color w:val="000000" w:themeColor="text1"/>
        </w:rPr>
      </w:pPr>
    </w:p>
    <w:p w14:paraId="274B75ED" w14:textId="77777777" w:rsidR="00BB3365" w:rsidRDefault="00BB3365">
      <w:pPr>
        <w:rPr>
          <w:rFonts w:ascii="TimesNewRomanPS" w:eastAsia="Times New Roman" w:hAnsi="TimesNewRomanPS" w:cs="Times New Roman"/>
          <w:b/>
          <w:bCs/>
          <w:kern w:val="0"/>
          <w14:ligatures w14:val="none"/>
        </w:rPr>
      </w:pPr>
      <w:r>
        <w:rPr>
          <w:rFonts w:ascii="TimesNewRomanPS" w:hAnsi="TimesNewRomanPS"/>
          <w:b/>
          <w:bCs/>
        </w:rPr>
        <w:br w:type="page"/>
      </w:r>
    </w:p>
    <w:p w14:paraId="2F287988" w14:textId="434ACA9B" w:rsidR="009C21DD" w:rsidRDefault="009C21DD" w:rsidP="009C21DD">
      <w:pPr>
        <w:pStyle w:val="NormalWeb"/>
      </w:pPr>
      <w:r>
        <w:rPr>
          <w:rFonts w:ascii="TimesNewRomanPS" w:hAnsi="TimesNewRomanPS"/>
          <w:b/>
          <w:bCs/>
        </w:rPr>
        <w:lastRenderedPageBreak/>
        <w:t xml:space="preserve">A Study on Preservice Teachers’ Self-Efficacy and Challenges in Greenhouse Management </w:t>
      </w:r>
    </w:p>
    <w:p w14:paraId="0E72FD89" w14:textId="2B1183A3" w:rsidR="009C21DD" w:rsidRPr="009C21DD" w:rsidRDefault="009C21DD" w:rsidP="009C21DD">
      <w:pPr>
        <w:spacing w:before="100" w:beforeAutospacing="1" w:after="100" w:afterAutospacing="1"/>
        <w:jc w:val="center"/>
        <w:rPr>
          <w:rFonts w:ascii="Times New Roman" w:eastAsia="Times New Roman" w:hAnsi="Times New Roman" w:cs="Times New Roman"/>
          <w:kern w:val="0"/>
          <w14:ligatures w14:val="none"/>
        </w:rPr>
      </w:pPr>
      <w:r w:rsidRPr="009C21DD">
        <w:rPr>
          <w:rFonts w:ascii="TimesNewRomanPS" w:eastAsia="Times New Roman" w:hAnsi="TimesNewRomanPS" w:cs="Times New Roman"/>
          <w:b/>
          <w:bCs/>
          <w:kern w:val="0"/>
          <w14:ligatures w14:val="none"/>
        </w:rPr>
        <w:t>Introduction</w:t>
      </w:r>
    </w:p>
    <w:p w14:paraId="6C753627" w14:textId="77777777" w:rsidR="009C21DD" w:rsidRPr="009C21DD" w:rsidRDefault="009C21DD" w:rsidP="009C21DD">
      <w:pPr>
        <w:spacing w:before="100" w:beforeAutospacing="1" w:after="100" w:afterAutospacing="1"/>
        <w:ind w:firstLine="720"/>
        <w:jc w:val="both"/>
        <w:rPr>
          <w:rFonts w:ascii="Times New Roman" w:eastAsia="Times New Roman" w:hAnsi="Times New Roman" w:cs="Times New Roman"/>
          <w:kern w:val="0"/>
          <w14:ligatures w14:val="none"/>
        </w:rPr>
      </w:pPr>
      <w:r w:rsidRPr="009C21DD">
        <w:rPr>
          <w:rFonts w:ascii="TimesNewRomanPSMT" w:eastAsia="Times New Roman" w:hAnsi="TimesNewRomanPSMT" w:cs="Times New Roman"/>
          <w:color w:val="0C0F19"/>
          <w:kern w:val="0"/>
          <w14:ligatures w14:val="none"/>
        </w:rPr>
        <w:t>As we move into an era where sustainable practices are not merely encouraged but mandated, the significance of environmental education has heightened (UNESCO, 2017). Such education is pivotal for achieving sustainable development (SD). It empowers learners to make informed decisions and act responsibly, ensuring environmental integrity, economic viability, and social justice for current and future generations (</w:t>
      </w:r>
      <w:proofErr w:type="spellStart"/>
      <w:r w:rsidRPr="009C21DD">
        <w:rPr>
          <w:rFonts w:ascii="TimesNewRomanPSMT" w:eastAsia="Times New Roman" w:hAnsi="TimesNewRomanPSMT" w:cs="Times New Roman"/>
          <w:color w:val="0C0F19"/>
          <w:kern w:val="0"/>
          <w14:ligatures w14:val="none"/>
        </w:rPr>
        <w:t>Kioupi</w:t>
      </w:r>
      <w:proofErr w:type="spellEnd"/>
      <w:r w:rsidRPr="009C21DD">
        <w:rPr>
          <w:rFonts w:ascii="TimesNewRomanPSMT" w:eastAsia="Times New Roman" w:hAnsi="TimesNewRomanPSMT" w:cs="Times New Roman"/>
          <w:color w:val="0C0F19"/>
          <w:kern w:val="0"/>
          <w14:ligatures w14:val="none"/>
        </w:rPr>
        <w:t xml:space="preserve"> &amp; </w:t>
      </w:r>
      <w:proofErr w:type="spellStart"/>
      <w:r w:rsidRPr="009C21DD">
        <w:rPr>
          <w:rFonts w:ascii="TimesNewRomanPSMT" w:eastAsia="Times New Roman" w:hAnsi="TimesNewRomanPSMT" w:cs="Times New Roman"/>
          <w:color w:val="0C0F19"/>
          <w:kern w:val="0"/>
          <w14:ligatures w14:val="none"/>
        </w:rPr>
        <w:t>Voulvoulis</w:t>
      </w:r>
      <w:proofErr w:type="spellEnd"/>
      <w:r w:rsidRPr="009C21DD">
        <w:rPr>
          <w:rFonts w:ascii="TimesNewRomanPSMT" w:eastAsia="Times New Roman" w:hAnsi="TimesNewRomanPSMT" w:cs="Times New Roman"/>
          <w:color w:val="0C0F19"/>
          <w:kern w:val="0"/>
          <w14:ligatures w14:val="none"/>
        </w:rPr>
        <w:t xml:space="preserve">, 2019; </w:t>
      </w:r>
      <w:proofErr w:type="spellStart"/>
      <w:r w:rsidRPr="009C21DD">
        <w:rPr>
          <w:rFonts w:ascii="TimesNewRomanPSMT" w:eastAsia="Times New Roman" w:hAnsi="TimesNewRomanPSMT" w:cs="Times New Roman"/>
          <w:color w:val="0C0F19"/>
          <w:kern w:val="0"/>
          <w14:ligatures w14:val="none"/>
        </w:rPr>
        <w:t>Kopnina</w:t>
      </w:r>
      <w:proofErr w:type="spellEnd"/>
      <w:r w:rsidRPr="009C21DD">
        <w:rPr>
          <w:rFonts w:ascii="TimesNewRomanPSMT" w:eastAsia="Times New Roman" w:hAnsi="TimesNewRomanPSMT" w:cs="Times New Roman"/>
          <w:color w:val="0C0F19"/>
          <w:kern w:val="0"/>
          <w14:ligatures w14:val="none"/>
        </w:rPr>
        <w:t>, 2020). With the unsustainable path of present economic endeavors clearly acknowledged, a global swing towards SD strategies is evident (Lozano et al., 2013). However, despite the increased awareness of environmental sustainability, research on incorporating greenhouse management skills in teacher education remains limited. A study by Sanders et al. (2023) disclosed that a mere 46.7% of the 33 agricultural education certification institutions surveyed in United States mandated a greenhouse management course for their students. This becomes especially significant considering that approximately 90% of high school agriculture education programs in [State] boast greenhouses. Furthermore, pre-service teachers frequently encounter challenges and exhibit varying degrees of self-efficacy when tasked with subjects like environmental education (Ma et al., 2022). It is increasingly recognized that modern teachers’ education programs should focus on broader societal objectives, one of which includes the incorporation of greenhouse management (</w:t>
      </w:r>
      <w:proofErr w:type="spellStart"/>
      <w:r w:rsidRPr="009C21DD">
        <w:rPr>
          <w:rFonts w:ascii="TimesNewRomanPSMT" w:eastAsia="Times New Roman" w:hAnsi="TimesNewRomanPSMT" w:cs="Times New Roman"/>
          <w:color w:val="0C0F19"/>
          <w:kern w:val="0"/>
          <w14:ligatures w14:val="none"/>
        </w:rPr>
        <w:t>Kretchmar</w:t>
      </w:r>
      <w:proofErr w:type="spellEnd"/>
      <w:r w:rsidRPr="009C21DD">
        <w:rPr>
          <w:rFonts w:ascii="TimesNewRomanPSMT" w:eastAsia="Times New Roman" w:hAnsi="TimesNewRomanPSMT" w:cs="Times New Roman"/>
          <w:color w:val="0C0F19"/>
          <w:kern w:val="0"/>
          <w14:ligatures w14:val="none"/>
        </w:rPr>
        <w:t xml:space="preserve"> and </w:t>
      </w:r>
      <w:proofErr w:type="spellStart"/>
      <w:r w:rsidRPr="009C21DD">
        <w:rPr>
          <w:rFonts w:ascii="TimesNewRomanPSMT" w:eastAsia="Times New Roman" w:hAnsi="TimesNewRomanPSMT" w:cs="Times New Roman"/>
          <w:color w:val="0C0F19"/>
          <w:kern w:val="0"/>
          <w14:ligatures w14:val="none"/>
        </w:rPr>
        <w:t>Zeichner</w:t>
      </w:r>
      <w:proofErr w:type="spellEnd"/>
      <w:r w:rsidRPr="009C21DD">
        <w:rPr>
          <w:rFonts w:ascii="TimesNewRomanPSMT" w:eastAsia="Times New Roman" w:hAnsi="TimesNewRomanPSMT" w:cs="Times New Roman"/>
          <w:color w:val="0C0F19"/>
          <w:kern w:val="0"/>
          <w14:ligatures w14:val="none"/>
        </w:rPr>
        <w:t>, 2016). Consequently, it is imperative to explore the influence of greenhouse management education on these pre-service teachers. By understanding this impact, we not only bridge a research gap but also realize immediate practical implications. Elevated self- efficacy can propel more engaged and competent teaching, cultivating a generation of students that are both ecologically conscious and skilled in sustainable practices (</w:t>
      </w:r>
      <w:proofErr w:type="spellStart"/>
      <w:r w:rsidRPr="009C21DD">
        <w:rPr>
          <w:rFonts w:ascii="TimesNewRomanPSMT" w:eastAsia="Times New Roman" w:hAnsi="TimesNewRomanPSMT" w:cs="Times New Roman"/>
          <w:color w:val="0C0F19"/>
          <w:kern w:val="0"/>
          <w14:ligatures w14:val="none"/>
        </w:rPr>
        <w:t>Sökmen</w:t>
      </w:r>
      <w:proofErr w:type="spellEnd"/>
      <w:r w:rsidRPr="009C21DD">
        <w:rPr>
          <w:rFonts w:ascii="TimesNewRomanPSMT" w:eastAsia="Times New Roman" w:hAnsi="TimesNewRomanPSMT" w:cs="Times New Roman"/>
          <w:color w:val="0C0F19"/>
          <w:kern w:val="0"/>
          <w14:ligatures w14:val="none"/>
        </w:rPr>
        <w:t xml:space="preserve">, 2019). </w:t>
      </w:r>
    </w:p>
    <w:p w14:paraId="67AB57A6" w14:textId="53766688" w:rsidR="009C21DD" w:rsidRPr="009C21DD" w:rsidRDefault="009C21DD" w:rsidP="009C21DD">
      <w:pPr>
        <w:spacing w:before="100" w:beforeAutospacing="1" w:after="100" w:afterAutospacing="1"/>
        <w:jc w:val="center"/>
        <w:rPr>
          <w:rFonts w:ascii="Times New Roman" w:eastAsia="Times New Roman" w:hAnsi="Times New Roman" w:cs="Times New Roman"/>
          <w:kern w:val="0"/>
          <w14:ligatures w14:val="none"/>
        </w:rPr>
      </w:pPr>
      <w:r w:rsidRPr="009C21DD">
        <w:rPr>
          <w:rFonts w:ascii="TimesNewRomanPS" w:eastAsia="Times New Roman" w:hAnsi="TimesNewRomanPS" w:cs="Times New Roman"/>
          <w:b/>
          <w:bCs/>
          <w:kern w:val="0"/>
          <w14:ligatures w14:val="none"/>
        </w:rPr>
        <w:t>Theoretical Framework</w:t>
      </w:r>
    </w:p>
    <w:p w14:paraId="334E6148" w14:textId="77777777" w:rsidR="009C21DD" w:rsidRPr="009C21DD" w:rsidRDefault="009C21DD" w:rsidP="009C21DD">
      <w:pPr>
        <w:spacing w:before="100" w:beforeAutospacing="1" w:after="100" w:afterAutospacing="1"/>
        <w:ind w:firstLine="720"/>
        <w:jc w:val="both"/>
        <w:rPr>
          <w:rFonts w:ascii="Times New Roman" w:eastAsia="Times New Roman" w:hAnsi="Times New Roman" w:cs="Times New Roman"/>
          <w:kern w:val="0"/>
          <w14:ligatures w14:val="none"/>
        </w:rPr>
      </w:pPr>
      <w:r w:rsidRPr="009C21DD">
        <w:rPr>
          <w:rFonts w:ascii="TimesNewRomanPSMT" w:eastAsia="Times New Roman" w:hAnsi="TimesNewRomanPSMT" w:cs="Times New Roman"/>
          <w:kern w:val="0"/>
          <w14:ligatures w14:val="none"/>
        </w:rPr>
        <w:t xml:space="preserve">This study integrates Kolb’s Experiential Learning Theory (1984) with constructivist principles. Kolb posited that experiential learning is impactful only for those who possess the cognitive capacity to correlate their learning with experiences (Schunk, 2020). On the other hand, constructivist principles assert that learners continually hone their knowledge structures through tasks, critical dialogues, and problem-solving experiences, as elucidated by Baker (2022) and Schunk (2020). Compelling empirical evidence suggests that students with a robust sense of self-efficacy are not only more motivated but also deeply immersed in self-regulated learning and utilize effective learning strategies (Fives &amp; </w:t>
      </w:r>
      <w:proofErr w:type="spellStart"/>
      <w:r w:rsidRPr="009C21DD">
        <w:rPr>
          <w:rFonts w:ascii="TimesNewRomanPSMT" w:eastAsia="Times New Roman" w:hAnsi="TimesNewRomanPSMT" w:cs="Times New Roman"/>
          <w:kern w:val="0"/>
          <w14:ligatures w14:val="none"/>
        </w:rPr>
        <w:t>Buehl</w:t>
      </w:r>
      <w:proofErr w:type="spellEnd"/>
      <w:r w:rsidRPr="009C21DD">
        <w:rPr>
          <w:rFonts w:ascii="TimesNewRomanPSMT" w:eastAsia="Times New Roman" w:hAnsi="TimesNewRomanPSMT" w:cs="Times New Roman"/>
          <w:kern w:val="0"/>
          <w14:ligatures w14:val="none"/>
        </w:rPr>
        <w:t xml:space="preserve">, 2016). Kurose (2015) posits that students' achievements bolster their intrinsic motivation and fortify their self-efficacy. Corroborating this perspective, recent research by Soler et al. (2022) underscores the pivotal role of academic institutions in enhancing student confidence. </w:t>
      </w:r>
    </w:p>
    <w:p w14:paraId="60F6E929" w14:textId="68DAE217" w:rsidR="009C21DD" w:rsidRPr="009C21DD" w:rsidRDefault="009C21DD" w:rsidP="009C21DD">
      <w:pPr>
        <w:spacing w:before="100" w:beforeAutospacing="1" w:after="100" w:afterAutospacing="1"/>
        <w:jc w:val="center"/>
        <w:rPr>
          <w:rFonts w:ascii="Times New Roman" w:eastAsia="Times New Roman" w:hAnsi="Times New Roman" w:cs="Times New Roman"/>
          <w:kern w:val="0"/>
          <w14:ligatures w14:val="none"/>
        </w:rPr>
      </w:pPr>
      <w:r w:rsidRPr="009C21DD">
        <w:rPr>
          <w:rFonts w:ascii="TimesNewRomanPS" w:eastAsia="Times New Roman" w:hAnsi="TimesNewRomanPS" w:cs="Times New Roman"/>
          <w:b/>
          <w:bCs/>
          <w:kern w:val="0"/>
          <w14:ligatures w14:val="none"/>
        </w:rPr>
        <w:t>Methodology</w:t>
      </w:r>
    </w:p>
    <w:p w14:paraId="6871FEAE" w14:textId="39C13887" w:rsidR="009C21DD" w:rsidRPr="009C21DD" w:rsidRDefault="009C21DD" w:rsidP="009C21DD">
      <w:pPr>
        <w:spacing w:before="100" w:beforeAutospacing="1" w:after="100" w:afterAutospacing="1"/>
        <w:ind w:firstLine="720"/>
        <w:contextualSpacing/>
        <w:rPr>
          <w:rFonts w:ascii="Times New Roman" w:eastAsia="Times New Roman" w:hAnsi="Times New Roman" w:cs="Times New Roman"/>
          <w:kern w:val="0"/>
          <w14:ligatures w14:val="none"/>
        </w:rPr>
      </w:pPr>
      <w:r w:rsidRPr="009C21DD">
        <w:rPr>
          <w:rFonts w:ascii="TimesNewRomanPSMT" w:eastAsia="Times New Roman" w:hAnsi="TimesNewRomanPSMT" w:cs="Times New Roman"/>
          <w:kern w:val="0"/>
          <w14:ligatures w14:val="none"/>
        </w:rPr>
        <w:t>Drawing from a constructivist paradigm that emphasizes knowledge as a dynamic</w:t>
      </w:r>
      <w:r>
        <w:rPr>
          <w:rFonts w:ascii="TimesNewRomanPSMT" w:eastAsia="Times New Roman" w:hAnsi="TimesNewRomanPSMT" w:cs="Times New Roman"/>
          <w:kern w:val="0"/>
          <w14:ligatures w14:val="none"/>
        </w:rPr>
        <w:t xml:space="preserve"> </w:t>
      </w:r>
      <w:r w:rsidRPr="009C21DD">
        <w:rPr>
          <w:rFonts w:ascii="TimesNewRomanPSMT" w:eastAsia="Times New Roman" w:hAnsi="TimesNewRomanPSMT" w:cs="Times New Roman"/>
          <w:kern w:val="0"/>
          <w14:ligatures w14:val="none"/>
        </w:rPr>
        <w:t xml:space="preserve">interplay between individual experiences and broader socio-cultural contexts (Baker, 2022), </w:t>
      </w:r>
      <w:proofErr w:type="gramStart"/>
      <w:r w:rsidRPr="009C21DD">
        <w:rPr>
          <w:rFonts w:ascii="TimesNewRomanPSMT" w:eastAsia="Times New Roman" w:hAnsi="TimesNewRomanPSMT" w:cs="Times New Roman"/>
          <w:kern w:val="0"/>
          <w14:ligatures w14:val="none"/>
        </w:rPr>
        <w:t>this</w:t>
      </w:r>
      <w:proofErr w:type="gramEnd"/>
      <w:r w:rsidRPr="009C21DD">
        <w:rPr>
          <w:rFonts w:ascii="TimesNewRomanPSMT" w:eastAsia="Times New Roman" w:hAnsi="TimesNewRomanPSMT" w:cs="Times New Roman"/>
          <w:kern w:val="0"/>
          <w14:ligatures w14:val="none"/>
        </w:rPr>
        <w:t xml:space="preserve"> </w:t>
      </w:r>
    </w:p>
    <w:p w14:paraId="78444B19" w14:textId="77777777" w:rsidR="009C21DD" w:rsidRPr="009C21DD" w:rsidRDefault="009C21DD" w:rsidP="009C21DD">
      <w:pPr>
        <w:spacing w:before="100" w:beforeAutospacing="1" w:after="100" w:afterAutospacing="1"/>
        <w:contextualSpacing/>
        <w:rPr>
          <w:rFonts w:ascii="Times New Roman" w:eastAsia="Times New Roman" w:hAnsi="Times New Roman" w:cs="Times New Roman"/>
          <w:kern w:val="0"/>
          <w14:ligatures w14:val="none"/>
        </w:rPr>
      </w:pPr>
      <w:r w:rsidRPr="009C21DD">
        <w:rPr>
          <w:rFonts w:ascii="TimesNewRomanPSMT" w:eastAsia="Times New Roman" w:hAnsi="TimesNewRomanPSMT" w:cs="Times New Roman"/>
          <w:kern w:val="0"/>
          <w14:ligatures w14:val="none"/>
        </w:rPr>
        <w:t xml:space="preserve">study sought to elucidate the intricate layers of students’ lived experiences within a </w:t>
      </w:r>
      <w:proofErr w:type="gramStart"/>
      <w:r w:rsidRPr="009C21DD">
        <w:rPr>
          <w:rFonts w:ascii="TimesNewRomanPSMT" w:eastAsia="Times New Roman" w:hAnsi="TimesNewRomanPSMT" w:cs="Times New Roman"/>
          <w:kern w:val="0"/>
          <w14:ligatures w14:val="none"/>
        </w:rPr>
        <w:t>greenhouse</w:t>
      </w:r>
      <w:proofErr w:type="gramEnd"/>
      <w:r w:rsidRPr="009C21DD">
        <w:rPr>
          <w:rFonts w:ascii="TimesNewRomanPSMT" w:eastAsia="Times New Roman" w:hAnsi="TimesNewRomanPSMT" w:cs="Times New Roman"/>
          <w:kern w:val="0"/>
          <w14:ligatures w14:val="none"/>
        </w:rPr>
        <w:t xml:space="preserve"> </w:t>
      </w:r>
    </w:p>
    <w:p w14:paraId="6F0201E1" w14:textId="77777777" w:rsidR="009C21DD" w:rsidRPr="009C21DD" w:rsidRDefault="009C21DD" w:rsidP="009C21DD">
      <w:pPr>
        <w:spacing w:before="100" w:beforeAutospacing="1" w:after="100" w:afterAutospacing="1"/>
        <w:contextualSpacing/>
        <w:rPr>
          <w:rFonts w:ascii="Times New Roman" w:eastAsia="Times New Roman" w:hAnsi="Times New Roman" w:cs="Times New Roman"/>
          <w:kern w:val="0"/>
          <w14:ligatures w14:val="none"/>
        </w:rPr>
      </w:pPr>
      <w:r w:rsidRPr="009C21DD">
        <w:rPr>
          <w:rFonts w:ascii="TimesNewRomanPSMT" w:eastAsia="Times New Roman" w:hAnsi="TimesNewRomanPSMT" w:cs="Times New Roman"/>
          <w:kern w:val="0"/>
          <w14:ligatures w14:val="none"/>
        </w:rPr>
        <w:t xml:space="preserve">management course at a land-grant institution. Triangulated data —including introspective </w:t>
      </w:r>
      <w:proofErr w:type="gramStart"/>
      <w:r w:rsidRPr="009C21DD">
        <w:rPr>
          <w:rFonts w:ascii="TimesNewRomanPSMT" w:eastAsia="Times New Roman" w:hAnsi="TimesNewRomanPSMT" w:cs="Times New Roman"/>
          <w:kern w:val="0"/>
          <w14:ligatures w14:val="none"/>
        </w:rPr>
        <w:t>class</w:t>
      </w:r>
      <w:proofErr w:type="gramEnd"/>
      <w:r w:rsidRPr="009C21DD">
        <w:rPr>
          <w:rFonts w:ascii="TimesNewRomanPSMT" w:eastAsia="Times New Roman" w:hAnsi="TimesNewRomanPSMT" w:cs="Times New Roman"/>
          <w:kern w:val="0"/>
          <w14:ligatures w14:val="none"/>
        </w:rPr>
        <w:t xml:space="preserve"> </w:t>
      </w:r>
    </w:p>
    <w:p w14:paraId="57183877" w14:textId="77777777" w:rsidR="009C21DD" w:rsidRDefault="009C21DD" w:rsidP="009C21DD">
      <w:pPr>
        <w:pStyle w:val="NormalWeb"/>
        <w:contextualSpacing/>
      </w:pPr>
      <w:r>
        <w:rPr>
          <w:rFonts w:ascii="TimesNewRomanPSMT" w:hAnsi="TimesNewRomanPSMT"/>
        </w:rPr>
        <w:lastRenderedPageBreak/>
        <w:t xml:space="preserve">journals, participant-produced photographs, and findings from a 90-minute focus group </w:t>
      </w:r>
    </w:p>
    <w:p w14:paraId="573B0D36" w14:textId="77777777" w:rsidR="009C21DD" w:rsidRDefault="009C21DD" w:rsidP="009C21DD">
      <w:pPr>
        <w:pStyle w:val="NormalWeb"/>
        <w:contextualSpacing/>
      </w:pPr>
      <w:r>
        <w:rPr>
          <w:rFonts w:ascii="TimesNewRomanPSMT" w:hAnsi="TimesNewRomanPSMT"/>
        </w:rPr>
        <w:t xml:space="preserve">meeting—underwent a reflexive thematic analysis using MAXQDA 2020 (Braun &amp; Clarke, </w:t>
      </w:r>
    </w:p>
    <w:p w14:paraId="0F76C49C" w14:textId="77777777" w:rsidR="009C21DD" w:rsidRDefault="009C21DD" w:rsidP="009C21DD">
      <w:pPr>
        <w:pStyle w:val="NormalWeb"/>
        <w:contextualSpacing/>
      </w:pPr>
      <w:r>
        <w:rPr>
          <w:rFonts w:ascii="TimesNewRomanPSMT" w:hAnsi="TimesNewRomanPSMT"/>
        </w:rPr>
        <w:t xml:space="preserve">2020). This approach posits that themes are not just patterns in the data, but creative and </w:t>
      </w:r>
    </w:p>
    <w:p w14:paraId="5A614F0A" w14:textId="77777777" w:rsidR="009C21DD" w:rsidRDefault="009C21DD" w:rsidP="009C21DD">
      <w:pPr>
        <w:pStyle w:val="NormalWeb"/>
        <w:contextualSpacing/>
      </w:pPr>
      <w:r>
        <w:rPr>
          <w:rFonts w:ascii="TimesNewRomanPSMT" w:hAnsi="TimesNewRomanPSMT"/>
        </w:rPr>
        <w:t xml:space="preserve">interpretive narratives formed at the confluence of the researcher’s theoretical assumptions, </w:t>
      </w:r>
    </w:p>
    <w:p w14:paraId="62221F94" w14:textId="77777777" w:rsidR="009C21DD" w:rsidRDefault="009C21DD" w:rsidP="009C21DD">
      <w:pPr>
        <w:pStyle w:val="NormalWeb"/>
        <w:contextualSpacing/>
      </w:pPr>
      <w:r>
        <w:rPr>
          <w:rFonts w:ascii="TimesNewRomanPSMT" w:hAnsi="TimesNewRomanPSMT"/>
        </w:rPr>
        <w:t xml:space="preserve">analytic abilities, and the data itself (Braun &amp; Clarke, 2020). The semi-structured interview </w:t>
      </w:r>
    </w:p>
    <w:p w14:paraId="52224EA6" w14:textId="77777777" w:rsidR="009C21DD" w:rsidRDefault="009C21DD" w:rsidP="009C21DD">
      <w:pPr>
        <w:pStyle w:val="NormalWeb"/>
        <w:contextualSpacing/>
      </w:pPr>
      <w:r>
        <w:rPr>
          <w:rFonts w:ascii="TimesNewRomanPSMT" w:hAnsi="TimesNewRomanPSMT"/>
        </w:rPr>
        <w:t xml:space="preserve">prompts were shaped by an exhaustive literature review and aligned with the study’s </w:t>
      </w:r>
      <w:proofErr w:type="gramStart"/>
      <w:r>
        <w:rPr>
          <w:rFonts w:ascii="TimesNewRomanPSMT" w:hAnsi="TimesNewRomanPSMT"/>
        </w:rPr>
        <w:t>objectives</w:t>
      </w:r>
      <w:proofErr w:type="gramEnd"/>
      <w:r>
        <w:rPr>
          <w:rFonts w:ascii="TimesNewRomanPSMT" w:hAnsi="TimesNewRomanPSMT"/>
        </w:rPr>
        <w:t xml:space="preserve"> </w:t>
      </w:r>
    </w:p>
    <w:p w14:paraId="09302700" w14:textId="77777777" w:rsidR="009C21DD" w:rsidRDefault="009C21DD" w:rsidP="009C21DD">
      <w:pPr>
        <w:pStyle w:val="NormalWeb"/>
        <w:contextualSpacing/>
      </w:pPr>
      <w:r>
        <w:rPr>
          <w:rFonts w:ascii="TimesNewRomanPSMT" w:hAnsi="TimesNewRomanPSMT"/>
        </w:rPr>
        <w:t xml:space="preserve">(Roulston, 2022). </w:t>
      </w:r>
    </w:p>
    <w:p w14:paraId="14908D5A" w14:textId="77777777" w:rsidR="009C21DD" w:rsidRDefault="009C21DD" w:rsidP="009C21DD">
      <w:pPr>
        <w:pStyle w:val="NormalWeb"/>
        <w:rPr>
          <w:rFonts w:ascii="TimesNewRomanPS" w:hAnsi="TimesNewRomanPS"/>
          <w:b/>
          <w:bCs/>
        </w:rPr>
      </w:pPr>
    </w:p>
    <w:p w14:paraId="1754E5AC" w14:textId="088B650E" w:rsidR="009C21DD" w:rsidRDefault="009C21DD" w:rsidP="009C21DD">
      <w:pPr>
        <w:pStyle w:val="NormalWeb"/>
        <w:jc w:val="center"/>
      </w:pPr>
      <w:r>
        <w:rPr>
          <w:rFonts w:ascii="TimesNewRomanPS" w:hAnsi="TimesNewRomanPS"/>
          <w:b/>
          <w:bCs/>
        </w:rPr>
        <w:t>Results</w:t>
      </w:r>
    </w:p>
    <w:p w14:paraId="2EFBB394" w14:textId="77777777" w:rsidR="009C21DD" w:rsidRDefault="009C21DD" w:rsidP="009C21DD">
      <w:pPr>
        <w:pStyle w:val="NormalWeb"/>
        <w:ind w:firstLine="720"/>
      </w:pPr>
      <w:r>
        <w:rPr>
          <w:rFonts w:ascii="TimesNewRomanPSMT" w:hAnsi="TimesNewRomanPSMT"/>
          <w:color w:val="0C0F19"/>
        </w:rPr>
        <w:t xml:space="preserve">The findings of this study underscore the transformative power of experiential learning in bolstering preservice teachers’ confidence and readiness for their future roles as educators. Three salient themes emerged. First, the </w:t>
      </w:r>
      <w:r>
        <w:rPr>
          <w:rFonts w:ascii="TimesNewRomanPS" w:hAnsi="TimesNewRomanPS"/>
          <w:b/>
          <w:bCs/>
          <w:i/>
          <w:iCs/>
          <w:color w:val="0C0F19"/>
        </w:rPr>
        <w:t xml:space="preserve">significance of hands-on experience </w:t>
      </w:r>
      <w:r>
        <w:rPr>
          <w:rFonts w:ascii="TimesNewRomanPSMT" w:hAnsi="TimesNewRomanPSMT"/>
          <w:color w:val="0C0F19"/>
        </w:rPr>
        <w:t xml:space="preserve">was frequently emphasized. One student poignantly reflected, “half the time, when we would talk about something in class, I would not fully understand what we were talking about until I went out to the greenhouse and did it myself.” Equally resonant was the theme of the </w:t>
      </w:r>
      <w:r>
        <w:rPr>
          <w:rFonts w:ascii="TimesNewRomanPS" w:hAnsi="TimesNewRomanPS"/>
          <w:b/>
          <w:bCs/>
          <w:i/>
          <w:iCs/>
          <w:color w:val="0C0F19"/>
        </w:rPr>
        <w:t>importance of teamwork and communication</w:t>
      </w:r>
      <w:r>
        <w:rPr>
          <w:rFonts w:ascii="TimesNewRomanPSMT" w:hAnsi="TimesNewRomanPSMT"/>
          <w:color w:val="0C0F19"/>
        </w:rPr>
        <w:t xml:space="preserve">. This collective approach was vividly expressed by a student who recounted, “I loved that we could all talk to each other throughout the semester whenever necessary.” The third theme centered on the </w:t>
      </w:r>
      <w:r>
        <w:rPr>
          <w:rFonts w:ascii="TimesNewRomanPS" w:hAnsi="TimesNewRomanPS"/>
          <w:b/>
          <w:bCs/>
          <w:i/>
          <w:iCs/>
          <w:color w:val="0C0F19"/>
        </w:rPr>
        <w:t xml:space="preserve">discovery of passion and the therapeutic value </w:t>
      </w:r>
      <w:r>
        <w:rPr>
          <w:rFonts w:ascii="TimesNewRomanPSMT" w:hAnsi="TimesNewRomanPSMT"/>
          <w:color w:val="0C0F19"/>
        </w:rPr>
        <w:t xml:space="preserve">of their hands-on engagements. One student expressed this sentiment, stating, “one of the biggest things I enjoyed, and will continue to think about and share with others, is just how relaxing planting plants is.” It's notable that despite confronting initial challenges such as </w:t>
      </w:r>
      <w:r>
        <w:rPr>
          <w:rFonts w:ascii="TimesNewRomanPS" w:hAnsi="TimesNewRomanPS"/>
          <w:b/>
          <w:bCs/>
          <w:i/>
          <w:iCs/>
          <w:color w:val="0C0F19"/>
        </w:rPr>
        <w:t xml:space="preserve">limited prior knowledge, misconceptions, </w:t>
      </w:r>
      <w:r>
        <w:rPr>
          <w:rFonts w:ascii="TimesNewRomanPSMT" w:hAnsi="TimesNewRomanPSMT"/>
          <w:color w:val="0C0F19"/>
        </w:rPr>
        <w:t xml:space="preserve">and </w:t>
      </w:r>
      <w:r>
        <w:rPr>
          <w:rFonts w:ascii="TimesNewRomanPS" w:hAnsi="TimesNewRomanPS"/>
          <w:b/>
          <w:bCs/>
          <w:i/>
          <w:iCs/>
          <w:color w:val="0C0F19"/>
        </w:rPr>
        <w:t>misaligned expectations</w:t>
      </w:r>
      <w:r>
        <w:rPr>
          <w:rFonts w:ascii="TimesNewRomanPSMT" w:hAnsi="TimesNewRomanPSMT"/>
          <w:color w:val="0C0F19"/>
        </w:rPr>
        <w:t xml:space="preserve">, the greenhouse management course undeniably fostered skill development and cultivated a deeper appreciation of environment and agriculture which is primarily rooted in hands-on learning experiences. </w:t>
      </w:r>
    </w:p>
    <w:p w14:paraId="0925022C" w14:textId="14763B3F" w:rsidR="009C21DD" w:rsidRDefault="009C21DD" w:rsidP="009C21DD">
      <w:pPr>
        <w:pStyle w:val="NormalWeb"/>
        <w:jc w:val="center"/>
      </w:pPr>
      <w:r>
        <w:rPr>
          <w:rFonts w:ascii="TimesNewRomanPS" w:hAnsi="TimesNewRomanPS"/>
          <w:b/>
          <w:bCs/>
        </w:rPr>
        <w:t>Conclusions and Recommendations</w:t>
      </w:r>
    </w:p>
    <w:p w14:paraId="6BD0F772" w14:textId="77777777" w:rsidR="009C21DD" w:rsidRDefault="009C21DD" w:rsidP="009C21DD">
      <w:pPr>
        <w:pStyle w:val="NormalWeb"/>
        <w:ind w:firstLine="720"/>
        <w:jc w:val="both"/>
      </w:pPr>
      <w:r>
        <w:rPr>
          <w:rFonts w:ascii="TimesNewRomanPSMT" w:hAnsi="TimesNewRomanPSMT"/>
          <w:color w:val="0C0F19"/>
        </w:rPr>
        <w:t xml:space="preserve">The emphasis on sustainable practices and environmental education mirrors the swiftly evolving global landscape of today. Universities have a crucial role in shaping student perspectives and honing their skillsets, an observation that is underscored by this study. The course on greenhouse management functions as an exemplar, illustrating the effectiveness of Kolb's model of experiential learning. This alignment showcases the pedagogical utility of an educational framework that prioritizes learning through direct experience. These teaching methodologies not only endow students with hands-on skills but also fortify their self-efficacy, a critical factor influencing their future interactions with sustainable initiatives. Drawing from these insights, this study recommends: </w:t>
      </w:r>
    </w:p>
    <w:p w14:paraId="4AB1C9B9" w14:textId="77777777" w:rsidR="009C21DD" w:rsidRDefault="009C21DD" w:rsidP="009C21DD">
      <w:pPr>
        <w:pStyle w:val="NormalWeb"/>
        <w:numPr>
          <w:ilvl w:val="0"/>
          <w:numId w:val="2"/>
        </w:numPr>
        <w:jc w:val="both"/>
        <w:rPr>
          <w:rFonts w:ascii="TimesNewRomanPSMT" w:hAnsi="TimesNewRomanPSMT"/>
          <w:color w:val="0C0F19"/>
        </w:rPr>
      </w:pPr>
      <w:r>
        <w:rPr>
          <w:rFonts w:ascii="TimesNewRomanPSMT" w:hAnsi="TimesNewRomanPSMT"/>
          <w:color w:val="0C0F19"/>
        </w:rPr>
        <w:t xml:space="preserve">Universities should integrate greenhouse management to environmental and agricultural courses in the foundational first year, as they enhance both practical skills and students' self-efficacy. </w:t>
      </w:r>
    </w:p>
    <w:p w14:paraId="21949B0C" w14:textId="77777777" w:rsidR="009C21DD" w:rsidRDefault="009C21DD" w:rsidP="009C21DD">
      <w:pPr>
        <w:pStyle w:val="NormalWeb"/>
        <w:numPr>
          <w:ilvl w:val="0"/>
          <w:numId w:val="2"/>
        </w:numPr>
        <w:jc w:val="both"/>
        <w:rPr>
          <w:rFonts w:ascii="TimesNewRomanPSMT" w:hAnsi="TimesNewRomanPSMT"/>
          <w:color w:val="0C0F19"/>
        </w:rPr>
      </w:pPr>
      <w:r>
        <w:rPr>
          <w:rFonts w:ascii="TimesNewRomanPSMT" w:hAnsi="TimesNewRomanPSMT"/>
          <w:color w:val="0C0F19"/>
        </w:rPr>
        <w:t xml:space="preserve">Comprehensive research is needed to identify curricular approaches that best foster self- efficacy and sustainable development principles. </w:t>
      </w:r>
    </w:p>
    <w:p w14:paraId="5D0CD0DB" w14:textId="77777777" w:rsidR="009C21DD" w:rsidRDefault="009C21DD" w:rsidP="009C21DD">
      <w:pPr>
        <w:pStyle w:val="NormalWeb"/>
        <w:numPr>
          <w:ilvl w:val="0"/>
          <w:numId w:val="2"/>
        </w:numPr>
        <w:jc w:val="both"/>
        <w:rPr>
          <w:rFonts w:ascii="TimesNewRomanPSMT" w:hAnsi="TimesNewRomanPSMT"/>
          <w:color w:val="0C0F19"/>
        </w:rPr>
      </w:pPr>
      <w:r>
        <w:rPr>
          <w:rFonts w:ascii="TimesNewRomanPSMT" w:hAnsi="TimesNewRomanPSMT"/>
          <w:color w:val="0C0F19"/>
        </w:rPr>
        <w:t xml:space="preserve">Inter-departmental collaborations are essential, emphasizing sustainability, environmental awareness, and experiential learning across the academic spectrum. </w:t>
      </w:r>
    </w:p>
    <w:p w14:paraId="5FC2480E" w14:textId="536C8E53" w:rsidR="009C21DD" w:rsidRDefault="009C21DD" w:rsidP="009C21DD">
      <w:pPr>
        <w:pStyle w:val="NormalWeb"/>
        <w:ind w:left="360"/>
        <w:jc w:val="center"/>
      </w:pPr>
      <w:r>
        <w:rPr>
          <w:rFonts w:ascii="TimesNewRomanPS" w:hAnsi="TimesNewRomanPS"/>
          <w:b/>
          <w:bCs/>
        </w:rPr>
        <w:lastRenderedPageBreak/>
        <w:t>References</w:t>
      </w:r>
    </w:p>
    <w:p w14:paraId="3B53384C" w14:textId="77777777" w:rsidR="009C21DD" w:rsidRPr="00FA30A8" w:rsidRDefault="009C21DD" w:rsidP="00FA30A8">
      <w:pPr>
        <w:pStyle w:val="NormalWeb"/>
        <w:ind w:left="1440" w:hanging="720"/>
        <w:contextualSpacing/>
        <w:rPr>
          <w:rFonts w:ascii="TimesNewRomanPSMT" w:hAnsi="TimesNewRomanPSMT"/>
          <w:color w:val="000000" w:themeColor="text1"/>
          <w:sz w:val="22"/>
          <w:szCs w:val="22"/>
        </w:rPr>
      </w:pPr>
      <w:r w:rsidRPr="00FA30A8">
        <w:rPr>
          <w:rFonts w:ascii="TimesNewRomanPSMT" w:hAnsi="TimesNewRomanPSMT"/>
          <w:color w:val="000000" w:themeColor="text1"/>
          <w:sz w:val="22"/>
          <w:szCs w:val="22"/>
        </w:rPr>
        <w:t xml:space="preserve">Baker, E. (2022). </w:t>
      </w:r>
      <w:r w:rsidRPr="00FA30A8">
        <w:rPr>
          <w:rFonts w:ascii="TimesNewRomanPS" w:hAnsi="TimesNewRomanPS"/>
          <w:i/>
          <w:iCs/>
          <w:color w:val="000000" w:themeColor="text1"/>
          <w:sz w:val="22"/>
          <w:szCs w:val="22"/>
        </w:rPr>
        <w:t xml:space="preserve">Crafting Qualitative Research Questions. </w:t>
      </w:r>
      <w:r w:rsidRPr="00FA30A8">
        <w:rPr>
          <w:rFonts w:ascii="TimesNewRomanPSMT" w:hAnsi="TimesNewRomanPSMT"/>
          <w:color w:val="000000" w:themeColor="text1"/>
          <w:sz w:val="22"/>
          <w:szCs w:val="22"/>
        </w:rPr>
        <w:t xml:space="preserve">SAGE </w:t>
      </w:r>
    </w:p>
    <w:p w14:paraId="50336337" w14:textId="77777777" w:rsidR="00C4082D" w:rsidRPr="00FA30A8" w:rsidRDefault="00C4082D" w:rsidP="00FA30A8">
      <w:pPr>
        <w:pStyle w:val="NormalWeb"/>
        <w:ind w:left="1440" w:hanging="720"/>
        <w:contextualSpacing/>
        <w:rPr>
          <w:color w:val="000000" w:themeColor="text1"/>
          <w:sz w:val="22"/>
          <w:szCs w:val="22"/>
        </w:rPr>
      </w:pPr>
    </w:p>
    <w:p w14:paraId="02A39514" w14:textId="2655FB9A" w:rsidR="009C21DD" w:rsidRPr="00FA30A8" w:rsidRDefault="009C21DD" w:rsidP="00FA30A8">
      <w:pPr>
        <w:pStyle w:val="NormalWeb"/>
        <w:ind w:left="1440" w:hanging="720"/>
        <w:contextualSpacing/>
        <w:rPr>
          <w:rFonts w:ascii="TimesNewRomanPSMT" w:hAnsi="TimesNewRomanPSMT"/>
          <w:color w:val="000000" w:themeColor="text1"/>
          <w:sz w:val="22"/>
          <w:szCs w:val="22"/>
        </w:rPr>
      </w:pPr>
      <w:r w:rsidRPr="00FA30A8">
        <w:rPr>
          <w:rFonts w:ascii="TimesNewRomanPSMT" w:hAnsi="TimesNewRomanPSMT"/>
          <w:color w:val="000000" w:themeColor="text1"/>
          <w:sz w:val="22"/>
          <w:szCs w:val="22"/>
        </w:rPr>
        <w:t xml:space="preserve">Braun, V., &amp; Clarke, V. (2020). One size </w:t>
      </w:r>
      <w:proofErr w:type="gramStart"/>
      <w:r w:rsidRPr="00FA30A8">
        <w:rPr>
          <w:rFonts w:ascii="TimesNewRomanPSMT" w:hAnsi="TimesNewRomanPSMT"/>
          <w:color w:val="000000" w:themeColor="text1"/>
          <w:sz w:val="22"/>
          <w:szCs w:val="22"/>
        </w:rPr>
        <w:t>fits</w:t>
      </w:r>
      <w:proofErr w:type="gramEnd"/>
      <w:r w:rsidRPr="00FA30A8">
        <w:rPr>
          <w:rFonts w:ascii="TimesNewRomanPSMT" w:hAnsi="TimesNewRomanPSMT"/>
          <w:color w:val="000000" w:themeColor="text1"/>
          <w:sz w:val="22"/>
          <w:szCs w:val="22"/>
        </w:rPr>
        <w:t xml:space="preserve"> all? What counts as quality practice in (reflexive) thematic analysis? </w:t>
      </w:r>
      <w:r w:rsidRPr="00FA30A8">
        <w:rPr>
          <w:rFonts w:ascii="TimesNewRomanPS" w:hAnsi="TimesNewRomanPS"/>
          <w:i/>
          <w:iCs/>
          <w:color w:val="000000" w:themeColor="text1"/>
          <w:sz w:val="22"/>
          <w:szCs w:val="22"/>
        </w:rPr>
        <w:t>Qualitative Research in Psychology</w:t>
      </w:r>
      <w:r w:rsidRPr="00FA30A8">
        <w:rPr>
          <w:rFonts w:ascii="TimesNewRomanPSMT" w:hAnsi="TimesNewRomanPSMT"/>
          <w:color w:val="000000" w:themeColor="text1"/>
          <w:sz w:val="22"/>
          <w:szCs w:val="22"/>
        </w:rPr>
        <w:t xml:space="preserve">, </w:t>
      </w:r>
      <w:r w:rsidRPr="00FA30A8">
        <w:rPr>
          <w:rFonts w:ascii="TimesNewRomanPS" w:hAnsi="TimesNewRomanPS"/>
          <w:i/>
          <w:iCs/>
          <w:color w:val="000000" w:themeColor="text1"/>
          <w:sz w:val="22"/>
          <w:szCs w:val="22"/>
        </w:rPr>
        <w:t>18</w:t>
      </w:r>
      <w:r w:rsidRPr="00FA30A8">
        <w:rPr>
          <w:rFonts w:ascii="TimesNewRomanPSMT" w:hAnsi="TimesNewRomanPSMT"/>
          <w:color w:val="000000" w:themeColor="text1"/>
          <w:sz w:val="22"/>
          <w:szCs w:val="22"/>
        </w:rPr>
        <w:t xml:space="preserve">(3), 328–352. </w:t>
      </w:r>
      <w:r w:rsidR="00C4082D" w:rsidRPr="00FA30A8">
        <w:rPr>
          <w:rFonts w:ascii="TimesNewRomanPSMT" w:hAnsi="TimesNewRomanPSMT"/>
          <w:color w:val="000000" w:themeColor="text1"/>
          <w:sz w:val="22"/>
          <w:szCs w:val="22"/>
        </w:rPr>
        <w:t>https://doi.org/10.1080/14780887.2020.1769238</w:t>
      </w:r>
      <w:r w:rsidRPr="00FA30A8">
        <w:rPr>
          <w:rFonts w:ascii="TimesNewRomanPSMT" w:hAnsi="TimesNewRomanPSMT"/>
          <w:color w:val="000000" w:themeColor="text1"/>
          <w:sz w:val="22"/>
          <w:szCs w:val="22"/>
        </w:rPr>
        <w:t xml:space="preserve"> </w:t>
      </w:r>
    </w:p>
    <w:p w14:paraId="580E6734" w14:textId="77777777" w:rsidR="00C4082D" w:rsidRPr="00FA30A8" w:rsidRDefault="00C4082D" w:rsidP="00FA30A8">
      <w:pPr>
        <w:pStyle w:val="NormalWeb"/>
        <w:ind w:left="1440" w:hanging="720"/>
        <w:contextualSpacing/>
        <w:rPr>
          <w:color w:val="000000" w:themeColor="text1"/>
          <w:sz w:val="22"/>
          <w:szCs w:val="22"/>
        </w:rPr>
      </w:pPr>
    </w:p>
    <w:p w14:paraId="589ACF18" w14:textId="77777777" w:rsidR="009C21DD" w:rsidRPr="00FA30A8" w:rsidRDefault="009C21DD" w:rsidP="00FA30A8">
      <w:pPr>
        <w:pStyle w:val="NormalWeb"/>
        <w:ind w:left="1440" w:hanging="720"/>
        <w:contextualSpacing/>
        <w:rPr>
          <w:rFonts w:ascii="TimesNewRomanPSMT" w:hAnsi="TimesNewRomanPSMT"/>
          <w:color w:val="000000" w:themeColor="text1"/>
          <w:sz w:val="22"/>
          <w:szCs w:val="22"/>
        </w:rPr>
      </w:pPr>
      <w:r w:rsidRPr="00FA30A8">
        <w:rPr>
          <w:rFonts w:ascii="TimesNewRomanPSMT" w:hAnsi="TimesNewRomanPSMT"/>
          <w:color w:val="000000" w:themeColor="text1"/>
          <w:sz w:val="22"/>
          <w:szCs w:val="22"/>
        </w:rPr>
        <w:t xml:space="preserve">Fives, H., &amp; </w:t>
      </w:r>
      <w:proofErr w:type="spellStart"/>
      <w:r w:rsidRPr="00FA30A8">
        <w:rPr>
          <w:rFonts w:ascii="TimesNewRomanPSMT" w:hAnsi="TimesNewRomanPSMT"/>
          <w:color w:val="000000" w:themeColor="text1"/>
          <w:sz w:val="22"/>
          <w:szCs w:val="22"/>
        </w:rPr>
        <w:t>Buehl</w:t>
      </w:r>
      <w:proofErr w:type="spellEnd"/>
      <w:r w:rsidRPr="00FA30A8">
        <w:rPr>
          <w:rFonts w:ascii="TimesNewRomanPSMT" w:hAnsi="TimesNewRomanPSMT"/>
          <w:color w:val="000000" w:themeColor="text1"/>
          <w:sz w:val="22"/>
          <w:szCs w:val="22"/>
        </w:rPr>
        <w:t xml:space="preserve">, M. M. (2016). Teacher motivation: Self-efficacy, and goal orientation. In D. Schunk (Ed.), Learning theories: An educational perspective (8th ed., pp. 126-127). Pearson </w:t>
      </w:r>
    </w:p>
    <w:p w14:paraId="6B5C68AF" w14:textId="77777777" w:rsidR="00C4082D" w:rsidRPr="00FA30A8" w:rsidRDefault="00C4082D" w:rsidP="00FA30A8">
      <w:pPr>
        <w:pStyle w:val="NormalWeb"/>
        <w:ind w:left="1440" w:hanging="720"/>
        <w:contextualSpacing/>
        <w:rPr>
          <w:color w:val="000000" w:themeColor="text1"/>
          <w:sz w:val="22"/>
          <w:szCs w:val="22"/>
        </w:rPr>
      </w:pPr>
    </w:p>
    <w:p w14:paraId="4607B9B7" w14:textId="21D303C0" w:rsidR="009C21DD" w:rsidRPr="00FA30A8" w:rsidRDefault="009C21DD" w:rsidP="00FA30A8">
      <w:pPr>
        <w:pStyle w:val="NormalWeb"/>
        <w:ind w:left="1440" w:hanging="720"/>
        <w:contextualSpacing/>
        <w:rPr>
          <w:rFonts w:ascii="TimesNewRomanPSMT" w:hAnsi="TimesNewRomanPSMT"/>
          <w:color w:val="000000" w:themeColor="text1"/>
          <w:sz w:val="22"/>
          <w:szCs w:val="22"/>
        </w:rPr>
      </w:pPr>
      <w:proofErr w:type="spellStart"/>
      <w:r w:rsidRPr="00FA30A8">
        <w:rPr>
          <w:rFonts w:ascii="TimesNewRomanPSMT" w:hAnsi="TimesNewRomanPSMT"/>
          <w:color w:val="000000" w:themeColor="text1"/>
          <w:sz w:val="22"/>
          <w:szCs w:val="22"/>
        </w:rPr>
        <w:t>Kioupi</w:t>
      </w:r>
      <w:proofErr w:type="spellEnd"/>
      <w:r w:rsidRPr="00FA30A8">
        <w:rPr>
          <w:rFonts w:ascii="TimesNewRomanPSMT" w:hAnsi="TimesNewRomanPSMT"/>
          <w:color w:val="000000" w:themeColor="text1"/>
          <w:sz w:val="22"/>
          <w:szCs w:val="22"/>
        </w:rPr>
        <w:t xml:space="preserve">, V., &amp; </w:t>
      </w:r>
      <w:proofErr w:type="spellStart"/>
      <w:r w:rsidRPr="00FA30A8">
        <w:rPr>
          <w:rFonts w:ascii="TimesNewRomanPSMT" w:hAnsi="TimesNewRomanPSMT"/>
          <w:color w:val="000000" w:themeColor="text1"/>
          <w:sz w:val="22"/>
          <w:szCs w:val="22"/>
        </w:rPr>
        <w:t>Voulvoulis</w:t>
      </w:r>
      <w:proofErr w:type="spellEnd"/>
      <w:r w:rsidRPr="00FA30A8">
        <w:rPr>
          <w:rFonts w:ascii="TimesNewRomanPSMT" w:hAnsi="TimesNewRomanPSMT"/>
          <w:color w:val="000000" w:themeColor="text1"/>
          <w:sz w:val="22"/>
          <w:szCs w:val="22"/>
        </w:rPr>
        <w:t xml:space="preserve">, N. (2019, November 2). </w:t>
      </w:r>
      <w:r w:rsidRPr="00FA30A8">
        <w:rPr>
          <w:rFonts w:ascii="TimesNewRomanPS" w:hAnsi="TimesNewRomanPS"/>
          <w:i/>
          <w:iCs/>
          <w:color w:val="000000" w:themeColor="text1"/>
          <w:sz w:val="22"/>
          <w:szCs w:val="22"/>
        </w:rPr>
        <w:t>Education for Sustainable Development: A Systemic Framework for Connecting the SDGs to Educational Outcomes</w:t>
      </w:r>
      <w:r w:rsidRPr="00FA30A8">
        <w:rPr>
          <w:rFonts w:ascii="TimesNewRomanPSMT" w:hAnsi="TimesNewRomanPSMT"/>
          <w:color w:val="000000" w:themeColor="text1"/>
          <w:sz w:val="22"/>
          <w:szCs w:val="22"/>
        </w:rPr>
        <w:t xml:space="preserve">. Sustainability; Multidisciplinary Digital Publishing Institute. </w:t>
      </w:r>
      <w:r w:rsidR="00C4082D" w:rsidRPr="00FA30A8">
        <w:rPr>
          <w:rFonts w:ascii="TimesNewRomanPSMT" w:hAnsi="TimesNewRomanPSMT"/>
          <w:color w:val="000000" w:themeColor="text1"/>
          <w:sz w:val="22"/>
          <w:szCs w:val="22"/>
        </w:rPr>
        <w:t>https://doi.org/10.3390/su11216104</w:t>
      </w:r>
      <w:r w:rsidRPr="00FA30A8">
        <w:rPr>
          <w:rFonts w:ascii="TimesNewRomanPSMT" w:hAnsi="TimesNewRomanPSMT"/>
          <w:color w:val="000000" w:themeColor="text1"/>
          <w:sz w:val="22"/>
          <w:szCs w:val="22"/>
        </w:rPr>
        <w:t xml:space="preserve"> </w:t>
      </w:r>
    </w:p>
    <w:p w14:paraId="10EB9C58" w14:textId="77777777" w:rsidR="00C4082D" w:rsidRPr="00FA30A8" w:rsidRDefault="00C4082D" w:rsidP="00FA30A8">
      <w:pPr>
        <w:pStyle w:val="NormalWeb"/>
        <w:ind w:left="1440" w:hanging="720"/>
        <w:contextualSpacing/>
        <w:rPr>
          <w:color w:val="000000" w:themeColor="text1"/>
          <w:sz w:val="22"/>
          <w:szCs w:val="22"/>
        </w:rPr>
      </w:pPr>
    </w:p>
    <w:p w14:paraId="6EFD16E2" w14:textId="77777777" w:rsidR="00C4082D" w:rsidRPr="00FA30A8" w:rsidRDefault="009C21DD" w:rsidP="00FA30A8">
      <w:pPr>
        <w:pStyle w:val="NormalWeb"/>
        <w:ind w:left="1440" w:hanging="720"/>
        <w:contextualSpacing/>
        <w:rPr>
          <w:rFonts w:ascii="TimesNewRomanPSMT" w:hAnsi="TimesNewRomanPSMT"/>
          <w:color w:val="000000" w:themeColor="text1"/>
          <w:sz w:val="22"/>
          <w:szCs w:val="22"/>
        </w:rPr>
      </w:pPr>
      <w:r w:rsidRPr="00FA30A8">
        <w:rPr>
          <w:rFonts w:ascii="TimesNewRomanPSMT" w:hAnsi="TimesNewRomanPSMT"/>
          <w:color w:val="000000" w:themeColor="text1"/>
          <w:sz w:val="22"/>
          <w:szCs w:val="22"/>
        </w:rPr>
        <w:t xml:space="preserve">Kolb, D. (1984). </w:t>
      </w:r>
      <w:r w:rsidRPr="00FA30A8">
        <w:rPr>
          <w:rFonts w:ascii="TimesNewRomanPS" w:hAnsi="TimesNewRomanPS"/>
          <w:i/>
          <w:iCs/>
          <w:color w:val="000000" w:themeColor="text1"/>
          <w:sz w:val="22"/>
          <w:szCs w:val="22"/>
        </w:rPr>
        <w:t>Experiential Learning as the source of learning and development</w:t>
      </w:r>
      <w:r w:rsidRPr="00FA30A8">
        <w:rPr>
          <w:rFonts w:ascii="TimesNewRomanPSMT" w:hAnsi="TimesNewRomanPSMT"/>
          <w:color w:val="000000" w:themeColor="text1"/>
          <w:sz w:val="22"/>
          <w:szCs w:val="22"/>
        </w:rPr>
        <w:t xml:space="preserve">. Prentice Hall. </w:t>
      </w:r>
    </w:p>
    <w:p w14:paraId="00B18ED0" w14:textId="77777777" w:rsidR="00C4082D" w:rsidRPr="00FA30A8" w:rsidRDefault="00C4082D" w:rsidP="00FA30A8">
      <w:pPr>
        <w:pStyle w:val="NormalWeb"/>
        <w:ind w:left="1440" w:hanging="720"/>
        <w:contextualSpacing/>
        <w:rPr>
          <w:color w:val="000000" w:themeColor="text1"/>
          <w:sz w:val="22"/>
          <w:szCs w:val="22"/>
        </w:rPr>
      </w:pPr>
    </w:p>
    <w:p w14:paraId="4C298A4C" w14:textId="642B5F8A" w:rsidR="009C21DD" w:rsidRPr="00FA30A8" w:rsidRDefault="009C21DD" w:rsidP="00FA30A8">
      <w:pPr>
        <w:pStyle w:val="NormalWeb"/>
        <w:ind w:left="1440" w:hanging="720"/>
        <w:contextualSpacing/>
        <w:rPr>
          <w:rFonts w:ascii="TimesNewRomanPSMT" w:hAnsi="TimesNewRomanPSMT"/>
          <w:color w:val="000000" w:themeColor="text1"/>
          <w:sz w:val="22"/>
          <w:szCs w:val="22"/>
        </w:rPr>
      </w:pPr>
      <w:proofErr w:type="spellStart"/>
      <w:r w:rsidRPr="00FA30A8">
        <w:rPr>
          <w:rFonts w:ascii="TimesNewRomanPSMT" w:hAnsi="TimesNewRomanPSMT"/>
          <w:color w:val="000000" w:themeColor="text1"/>
          <w:sz w:val="22"/>
          <w:szCs w:val="22"/>
        </w:rPr>
        <w:t>Kophina</w:t>
      </w:r>
      <w:proofErr w:type="spellEnd"/>
      <w:r w:rsidRPr="00FA30A8">
        <w:rPr>
          <w:rFonts w:ascii="TimesNewRomanPSMT" w:hAnsi="TimesNewRomanPSMT"/>
          <w:color w:val="000000" w:themeColor="text1"/>
          <w:sz w:val="22"/>
          <w:szCs w:val="22"/>
        </w:rPr>
        <w:t xml:space="preserve">, H. (2020). </w:t>
      </w:r>
      <w:proofErr w:type="spellStart"/>
      <w:r w:rsidRPr="00FA30A8">
        <w:rPr>
          <w:rFonts w:ascii="TimesNewRomanPSMT" w:hAnsi="TimesNewRomanPSMT"/>
          <w:color w:val="000000" w:themeColor="text1"/>
          <w:sz w:val="22"/>
          <w:szCs w:val="22"/>
        </w:rPr>
        <w:t>Edcation</w:t>
      </w:r>
      <w:proofErr w:type="spellEnd"/>
      <w:r w:rsidRPr="00FA30A8">
        <w:rPr>
          <w:rFonts w:ascii="TimesNewRomanPSMT" w:hAnsi="TimesNewRomanPSMT"/>
          <w:color w:val="000000" w:themeColor="text1"/>
          <w:sz w:val="22"/>
          <w:szCs w:val="22"/>
        </w:rPr>
        <w:t xml:space="preserve"> for the future? Critical evaluation of education for sustainable development goals. </w:t>
      </w:r>
      <w:r w:rsidRPr="00FA30A8">
        <w:rPr>
          <w:rFonts w:ascii="TimesNewRomanPSMT" w:hAnsi="TimesNewRomanPSMT"/>
          <w:i/>
          <w:iCs/>
          <w:color w:val="000000" w:themeColor="text1"/>
          <w:sz w:val="22"/>
          <w:szCs w:val="22"/>
        </w:rPr>
        <w:t>The Journal of Environmental Education, 5</w:t>
      </w:r>
      <w:r w:rsidR="00C4082D" w:rsidRPr="00FA30A8">
        <w:rPr>
          <w:rFonts w:ascii="TimesNewRomanPSMT" w:hAnsi="TimesNewRomanPSMT"/>
          <w:i/>
          <w:iCs/>
          <w:color w:val="000000" w:themeColor="text1"/>
          <w:sz w:val="22"/>
          <w:szCs w:val="22"/>
        </w:rPr>
        <w:t>1</w:t>
      </w:r>
      <w:r w:rsidR="00C4082D" w:rsidRPr="00FA30A8">
        <w:rPr>
          <w:rFonts w:ascii="TimesNewRomanPSMT" w:hAnsi="TimesNewRomanPSMT"/>
          <w:color w:val="000000" w:themeColor="text1"/>
          <w:sz w:val="22"/>
          <w:szCs w:val="22"/>
        </w:rPr>
        <w:t xml:space="preserve">(4), 280-292, DOI: 10.1080/00958964.2019.1710444 </w:t>
      </w:r>
    </w:p>
    <w:p w14:paraId="11622648" w14:textId="77777777" w:rsidR="00C4082D" w:rsidRPr="00FA30A8" w:rsidRDefault="00C4082D" w:rsidP="00FA30A8">
      <w:pPr>
        <w:pStyle w:val="NormalWeb"/>
        <w:ind w:left="1440" w:hanging="720"/>
        <w:contextualSpacing/>
        <w:rPr>
          <w:color w:val="000000" w:themeColor="text1"/>
          <w:sz w:val="22"/>
          <w:szCs w:val="22"/>
        </w:rPr>
      </w:pPr>
    </w:p>
    <w:p w14:paraId="2B30DA0A" w14:textId="3879364B" w:rsidR="009C21DD" w:rsidRPr="00FA30A8" w:rsidRDefault="009C21DD" w:rsidP="00FA30A8">
      <w:pPr>
        <w:pStyle w:val="NormalWeb"/>
        <w:ind w:left="1440" w:hanging="720"/>
        <w:contextualSpacing/>
        <w:rPr>
          <w:rFonts w:ascii="TimesNewRomanPSMT" w:hAnsi="TimesNewRomanPSMT"/>
          <w:color w:val="000000" w:themeColor="text1"/>
          <w:sz w:val="22"/>
          <w:szCs w:val="22"/>
        </w:rPr>
      </w:pPr>
      <w:proofErr w:type="spellStart"/>
      <w:r w:rsidRPr="00FA30A8">
        <w:rPr>
          <w:rFonts w:ascii="TimesNewRomanPSMT" w:hAnsi="TimesNewRomanPSMT"/>
          <w:color w:val="000000" w:themeColor="text1"/>
          <w:sz w:val="22"/>
          <w:szCs w:val="22"/>
        </w:rPr>
        <w:t>Kretchmar</w:t>
      </w:r>
      <w:proofErr w:type="spellEnd"/>
      <w:r w:rsidRPr="00FA30A8">
        <w:rPr>
          <w:rFonts w:ascii="TimesNewRomanPSMT" w:hAnsi="TimesNewRomanPSMT"/>
          <w:color w:val="000000" w:themeColor="text1"/>
          <w:sz w:val="22"/>
          <w:szCs w:val="22"/>
        </w:rPr>
        <w:t xml:space="preserve">, K., &amp; </w:t>
      </w:r>
      <w:proofErr w:type="spellStart"/>
      <w:r w:rsidRPr="00FA30A8">
        <w:rPr>
          <w:rFonts w:ascii="TimesNewRomanPSMT" w:hAnsi="TimesNewRomanPSMT"/>
          <w:color w:val="000000" w:themeColor="text1"/>
          <w:sz w:val="22"/>
          <w:szCs w:val="22"/>
        </w:rPr>
        <w:t>Zeichner</w:t>
      </w:r>
      <w:proofErr w:type="spellEnd"/>
      <w:r w:rsidRPr="00FA30A8">
        <w:rPr>
          <w:rFonts w:ascii="TimesNewRomanPSMT" w:hAnsi="TimesNewRomanPSMT"/>
          <w:color w:val="000000" w:themeColor="text1"/>
          <w:sz w:val="22"/>
          <w:szCs w:val="22"/>
        </w:rPr>
        <w:t xml:space="preserve">, K. (2016, August 7). Teacher prep 3.0: a vision for teacher education to impact social transformation. </w:t>
      </w:r>
      <w:r w:rsidRPr="00FA30A8">
        <w:rPr>
          <w:rFonts w:ascii="TimesNewRomanPS" w:hAnsi="TimesNewRomanPS"/>
          <w:i/>
          <w:iCs/>
          <w:color w:val="000000" w:themeColor="text1"/>
          <w:sz w:val="22"/>
          <w:szCs w:val="22"/>
        </w:rPr>
        <w:t>Journal of Education for Teaching</w:t>
      </w:r>
      <w:r w:rsidRPr="00FA30A8">
        <w:rPr>
          <w:rFonts w:ascii="TimesNewRomanPSMT" w:hAnsi="TimesNewRomanPSMT"/>
          <w:color w:val="000000" w:themeColor="text1"/>
          <w:sz w:val="22"/>
          <w:szCs w:val="22"/>
        </w:rPr>
        <w:t xml:space="preserve">, </w:t>
      </w:r>
      <w:r w:rsidRPr="00FA30A8">
        <w:rPr>
          <w:rFonts w:ascii="TimesNewRomanPS" w:hAnsi="TimesNewRomanPS"/>
          <w:i/>
          <w:iCs/>
          <w:color w:val="000000" w:themeColor="text1"/>
          <w:sz w:val="22"/>
          <w:szCs w:val="22"/>
        </w:rPr>
        <w:t>42</w:t>
      </w:r>
      <w:r w:rsidRPr="00FA30A8">
        <w:rPr>
          <w:rFonts w:ascii="TimesNewRomanPSMT" w:hAnsi="TimesNewRomanPSMT"/>
          <w:color w:val="000000" w:themeColor="text1"/>
          <w:sz w:val="22"/>
          <w:szCs w:val="22"/>
        </w:rPr>
        <w:t xml:space="preserve">(4), 417–433. </w:t>
      </w:r>
      <w:r w:rsidR="00C4082D" w:rsidRPr="00FA30A8">
        <w:rPr>
          <w:rFonts w:ascii="TimesNewRomanPSMT" w:hAnsi="TimesNewRomanPSMT"/>
          <w:color w:val="000000" w:themeColor="text1"/>
          <w:sz w:val="22"/>
          <w:szCs w:val="22"/>
        </w:rPr>
        <w:t>https://doi.org/10.1080/02607476.2016.1215550</w:t>
      </w:r>
      <w:r w:rsidRPr="00FA30A8">
        <w:rPr>
          <w:rFonts w:ascii="TimesNewRomanPSMT" w:hAnsi="TimesNewRomanPSMT"/>
          <w:color w:val="000000" w:themeColor="text1"/>
          <w:sz w:val="22"/>
          <w:szCs w:val="22"/>
        </w:rPr>
        <w:t xml:space="preserve"> </w:t>
      </w:r>
    </w:p>
    <w:p w14:paraId="670E43DD" w14:textId="77777777" w:rsidR="00C4082D" w:rsidRPr="00FA30A8" w:rsidRDefault="00C4082D" w:rsidP="00FA30A8">
      <w:pPr>
        <w:pStyle w:val="NormalWeb"/>
        <w:ind w:left="1440" w:hanging="720"/>
        <w:contextualSpacing/>
        <w:rPr>
          <w:color w:val="000000" w:themeColor="text1"/>
          <w:sz w:val="22"/>
          <w:szCs w:val="22"/>
        </w:rPr>
      </w:pPr>
    </w:p>
    <w:p w14:paraId="0C297260" w14:textId="208F4958" w:rsidR="009C21DD" w:rsidRPr="00FA30A8" w:rsidRDefault="009C21DD" w:rsidP="00FA30A8">
      <w:pPr>
        <w:pStyle w:val="NormalWeb"/>
        <w:ind w:left="1440" w:hanging="720"/>
        <w:contextualSpacing/>
        <w:rPr>
          <w:rFonts w:ascii="TimesNewRomanPSMT" w:hAnsi="TimesNewRomanPSMT"/>
          <w:color w:val="000000" w:themeColor="text1"/>
          <w:sz w:val="22"/>
          <w:szCs w:val="22"/>
        </w:rPr>
      </w:pPr>
      <w:r w:rsidRPr="00FA30A8">
        <w:rPr>
          <w:rFonts w:ascii="TimesNewRomanPSMT" w:hAnsi="TimesNewRomanPSMT"/>
          <w:color w:val="000000" w:themeColor="text1"/>
          <w:sz w:val="22"/>
          <w:szCs w:val="22"/>
        </w:rPr>
        <w:t xml:space="preserve">Lozano, R., Lozano, F. J., Mulder, K., </w:t>
      </w:r>
      <w:proofErr w:type="spellStart"/>
      <w:r w:rsidRPr="00FA30A8">
        <w:rPr>
          <w:rFonts w:ascii="TimesNewRomanPSMT" w:hAnsi="TimesNewRomanPSMT"/>
          <w:color w:val="000000" w:themeColor="text1"/>
          <w:sz w:val="22"/>
          <w:szCs w:val="22"/>
        </w:rPr>
        <w:t>Huisingh</w:t>
      </w:r>
      <w:proofErr w:type="spellEnd"/>
      <w:r w:rsidRPr="00FA30A8">
        <w:rPr>
          <w:rFonts w:ascii="TimesNewRomanPSMT" w:hAnsi="TimesNewRomanPSMT"/>
          <w:color w:val="000000" w:themeColor="text1"/>
          <w:sz w:val="22"/>
          <w:szCs w:val="22"/>
        </w:rPr>
        <w:t xml:space="preserve">, D., &amp; </w:t>
      </w:r>
      <w:proofErr w:type="spellStart"/>
      <w:r w:rsidRPr="00FA30A8">
        <w:rPr>
          <w:rFonts w:ascii="TimesNewRomanPSMT" w:hAnsi="TimesNewRomanPSMT"/>
          <w:color w:val="000000" w:themeColor="text1"/>
          <w:sz w:val="22"/>
          <w:szCs w:val="22"/>
        </w:rPr>
        <w:t>Waas</w:t>
      </w:r>
      <w:proofErr w:type="spellEnd"/>
      <w:r w:rsidRPr="00FA30A8">
        <w:rPr>
          <w:rFonts w:ascii="TimesNewRomanPSMT" w:hAnsi="TimesNewRomanPSMT"/>
          <w:color w:val="000000" w:themeColor="text1"/>
          <w:sz w:val="22"/>
          <w:szCs w:val="22"/>
        </w:rPr>
        <w:t xml:space="preserve">, T. (2013). Advancing Higher Education for Sustainable Development: international insights and critical reflections. </w:t>
      </w:r>
      <w:r w:rsidRPr="00FA30A8">
        <w:rPr>
          <w:rFonts w:ascii="TimesNewRomanPS" w:hAnsi="TimesNewRomanPS"/>
          <w:i/>
          <w:iCs/>
          <w:color w:val="000000" w:themeColor="text1"/>
          <w:sz w:val="22"/>
          <w:szCs w:val="22"/>
        </w:rPr>
        <w:t>Journal of Cleaner Production</w:t>
      </w:r>
      <w:r w:rsidRPr="00FA30A8">
        <w:rPr>
          <w:rFonts w:ascii="TimesNewRomanPSMT" w:hAnsi="TimesNewRomanPSMT"/>
          <w:color w:val="000000" w:themeColor="text1"/>
          <w:sz w:val="22"/>
          <w:szCs w:val="22"/>
        </w:rPr>
        <w:t xml:space="preserve">, </w:t>
      </w:r>
      <w:r w:rsidRPr="00FA30A8">
        <w:rPr>
          <w:rFonts w:ascii="TimesNewRomanPS" w:hAnsi="TimesNewRomanPS"/>
          <w:i/>
          <w:iCs/>
          <w:color w:val="000000" w:themeColor="text1"/>
          <w:sz w:val="22"/>
          <w:szCs w:val="22"/>
        </w:rPr>
        <w:t>48</w:t>
      </w:r>
      <w:r w:rsidRPr="00FA30A8">
        <w:rPr>
          <w:rFonts w:ascii="TimesNewRomanPSMT" w:hAnsi="TimesNewRomanPSMT"/>
          <w:color w:val="000000" w:themeColor="text1"/>
          <w:sz w:val="22"/>
          <w:szCs w:val="22"/>
        </w:rPr>
        <w:t xml:space="preserve">, 3–9. </w:t>
      </w:r>
      <w:r w:rsidR="00C4082D" w:rsidRPr="00FA30A8">
        <w:rPr>
          <w:rFonts w:ascii="TimesNewRomanPSMT" w:hAnsi="TimesNewRomanPSMT"/>
          <w:color w:val="000000" w:themeColor="text1"/>
          <w:sz w:val="22"/>
          <w:szCs w:val="22"/>
        </w:rPr>
        <w:t>https://doi.org/10.1016/j.jclepro.2013.03.034</w:t>
      </w:r>
      <w:r w:rsidRPr="00FA30A8">
        <w:rPr>
          <w:rFonts w:ascii="TimesNewRomanPSMT" w:hAnsi="TimesNewRomanPSMT"/>
          <w:color w:val="000000" w:themeColor="text1"/>
          <w:sz w:val="22"/>
          <w:szCs w:val="22"/>
        </w:rPr>
        <w:t xml:space="preserve"> </w:t>
      </w:r>
    </w:p>
    <w:p w14:paraId="7A86CA04" w14:textId="77777777" w:rsidR="00C4082D" w:rsidRPr="00FA30A8" w:rsidRDefault="00C4082D" w:rsidP="00FA30A8">
      <w:pPr>
        <w:pStyle w:val="NormalWeb"/>
        <w:ind w:left="1440" w:hanging="720"/>
        <w:contextualSpacing/>
        <w:rPr>
          <w:color w:val="000000" w:themeColor="text1"/>
          <w:sz w:val="22"/>
          <w:szCs w:val="22"/>
        </w:rPr>
      </w:pPr>
    </w:p>
    <w:p w14:paraId="2D157DF4" w14:textId="5A57054A" w:rsidR="009C21DD" w:rsidRPr="00FA30A8" w:rsidRDefault="009C21DD" w:rsidP="00FA30A8">
      <w:pPr>
        <w:pStyle w:val="NormalWeb"/>
        <w:ind w:left="1440" w:hanging="720"/>
        <w:contextualSpacing/>
        <w:rPr>
          <w:rFonts w:ascii="TimesNewRomanPSMT" w:hAnsi="TimesNewRomanPSMT"/>
          <w:color w:val="000000" w:themeColor="text1"/>
          <w:sz w:val="22"/>
          <w:szCs w:val="22"/>
        </w:rPr>
      </w:pPr>
      <w:r w:rsidRPr="00FA30A8">
        <w:rPr>
          <w:rFonts w:ascii="TimesNewRomanPSMT" w:hAnsi="TimesNewRomanPSMT"/>
          <w:color w:val="000000" w:themeColor="text1"/>
          <w:sz w:val="22"/>
          <w:szCs w:val="22"/>
        </w:rPr>
        <w:t xml:space="preserve">Ma, K., </w:t>
      </w:r>
      <w:proofErr w:type="spellStart"/>
      <w:r w:rsidRPr="00FA30A8">
        <w:rPr>
          <w:rFonts w:ascii="TimesNewRomanPSMT" w:hAnsi="TimesNewRomanPSMT"/>
          <w:color w:val="000000" w:themeColor="text1"/>
          <w:sz w:val="22"/>
          <w:szCs w:val="22"/>
        </w:rPr>
        <w:t>McMaugh</w:t>
      </w:r>
      <w:proofErr w:type="spellEnd"/>
      <w:r w:rsidRPr="00FA30A8">
        <w:rPr>
          <w:rFonts w:ascii="TimesNewRomanPSMT" w:hAnsi="TimesNewRomanPSMT"/>
          <w:color w:val="000000" w:themeColor="text1"/>
          <w:sz w:val="22"/>
          <w:szCs w:val="22"/>
        </w:rPr>
        <w:t xml:space="preserve">, A., &amp; Cavanagh, M. (2022). Changes in pre-service teacher self-efficacy for teaching in relation to professional experience placements. </w:t>
      </w:r>
      <w:r w:rsidRPr="00FA30A8">
        <w:rPr>
          <w:rFonts w:ascii="TimesNewRomanPS" w:hAnsi="TimesNewRomanPS"/>
          <w:i/>
          <w:iCs/>
          <w:color w:val="000000" w:themeColor="text1"/>
          <w:sz w:val="22"/>
          <w:szCs w:val="22"/>
        </w:rPr>
        <w:t>Australian Journal of Education</w:t>
      </w:r>
      <w:r w:rsidRPr="00FA30A8">
        <w:rPr>
          <w:rFonts w:ascii="TimesNewRomanPSMT" w:hAnsi="TimesNewRomanPSMT"/>
          <w:color w:val="000000" w:themeColor="text1"/>
          <w:sz w:val="22"/>
          <w:szCs w:val="22"/>
        </w:rPr>
        <w:t xml:space="preserve">. </w:t>
      </w:r>
      <w:r w:rsidR="00C4082D" w:rsidRPr="00FA30A8">
        <w:rPr>
          <w:rFonts w:ascii="TimesNewRomanPSMT" w:hAnsi="TimesNewRomanPSMT"/>
          <w:color w:val="000000" w:themeColor="text1"/>
          <w:sz w:val="22"/>
          <w:szCs w:val="22"/>
        </w:rPr>
        <w:t>https://doi.org/10.1177_00049441211060474</w:t>
      </w:r>
      <w:r w:rsidRPr="00FA30A8">
        <w:rPr>
          <w:rFonts w:ascii="TimesNewRomanPSMT" w:hAnsi="TimesNewRomanPSMT"/>
          <w:color w:val="000000" w:themeColor="text1"/>
          <w:sz w:val="22"/>
          <w:szCs w:val="22"/>
        </w:rPr>
        <w:t xml:space="preserve"> </w:t>
      </w:r>
    </w:p>
    <w:p w14:paraId="547488BD" w14:textId="77777777" w:rsidR="00C4082D" w:rsidRPr="00FA30A8" w:rsidRDefault="00C4082D" w:rsidP="00FA30A8">
      <w:pPr>
        <w:pStyle w:val="NormalWeb"/>
        <w:ind w:left="1440" w:hanging="720"/>
        <w:contextualSpacing/>
        <w:rPr>
          <w:color w:val="000000" w:themeColor="text1"/>
          <w:sz w:val="22"/>
          <w:szCs w:val="22"/>
        </w:rPr>
      </w:pPr>
    </w:p>
    <w:p w14:paraId="2C8DD282" w14:textId="77777777" w:rsidR="009C21DD" w:rsidRPr="00FA30A8" w:rsidRDefault="009C21DD" w:rsidP="00FA30A8">
      <w:pPr>
        <w:pStyle w:val="NormalWeb"/>
        <w:ind w:left="1440" w:hanging="720"/>
        <w:contextualSpacing/>
        <w:rPr>
          <w:rFonts w:ascii="TimesNewRomanPSMT" w:hAnsi="TimesNewRomanPSMT"/>
          <w:color w:val="000000" w:themeColor="text1"/>
          <w:sz w:val="22"/>
          <w:szCs w:val="22"/>
        </w:rPr>
      </w:pPr>
      <w:r w:rsidRPr="00FA30A8">
        <w:rPr>
          <w:rFonts w:ascii="TimesNewRomanPSMT" w:hAnsi="TimesNewRomanPSMT"/>
          <w:color w:val="000000" w:themeColor="text1"/>
          <w:sz w:val="22"/>
          <w:szCs w:val="22"/>
        </w:rPr>
        <w:t xml:space="preserve">Roulston, K. (2022). </w:t>
      </w:r>
      <w:r w:rsidRPr="00FA30A8">
        <w:rPr>
          <w:rFonts w:ascii="TimesNewRomanPS" w:hAnsi="TimesNewRomanPS"/>
          <w:i/>
          <w:iCs/>
          <w:color w:val="000000" w:themeColor="text1"/>
          <w:sz w:val="22"/>
          <w:szCs w:val="22"/>
        </w:rPr>
        <w:t xml:space="preserve">Interviewing: A guide to theory and practice. </w:t>
      </w:r>
      <w:r w:rsidRPr="00FA30A8">
        <w:rPr>
          <w:rFonts w:ascii="TimesNewRomanPSMT" w:hAnsi="TimesNewRomanPSMT"/>
          <w:color w:val="000000" w:themeColor="text1"/>
          <w:sz w:val="22"/>
          <w:szCs w:val="22"/>
        </w:rPr>
        <w:t xml:space="preserve">SAGE </w:t>
      </w:r>
    </w:p>
    <w:p w14:paraId="557E1B81" w14:textId="77777777" w:rsidR="00C4082D" w:rsidRPr="00FA30A8" w:rsidRDefault="00C4082D" w:rsidP="00FA30A8">
      <w:pPr>
        <w:pStyle w:val="NormalWeb"/>
        <w:ind w:left="1440" w:hanging="720"/>
        <w:contextualSpacing/>
        <w:rPr>
          <w:color w:val="000000" w:themeColor="text1"/>
          <w:sz w:val="22"/>
          <w:szCs w:val="22"/>
        </w:rPr>
      </w:pPr>
    </w:p>
    <w:p w14:paraId="57D18909" w14:textId="28F294FB" w:rsidR="009C21DD" w:rsidRPr="00FA30A8" w:rsidRDefault="009C21DD" w:rsidP="00FA30A8">
      <w:pPr>
        <w:pStyle w:val="NormalWeb"/>
        <w:ind w:left="1440" w:hanging="720"/>
        <w:contextualSpacing/>
        <w:rPr>
          <w:rFonts w:ascii="TimesNewRomanPSMT" w:hAnsi="TimesNewRomanPSMT"/>
          <w:color w:val="000000" w:themeColor="text1"/>
          <w:sz w:val="22"/>
          <w:szCs w:val="22"/>
        </w:rPr>
      </w:pPr>
      <w:r w:rsidRPr="00FA30A8">
        <w:rPr>
          <w:rFonts w:ascii="TimesNewRomanPSMT" w:hAnsi="TimesNewRomanPSMT"/>
          <w:color w:val="000000" w:themeColor="text1"/>
          <w:sz w:val="22"/>
          <w:szCs w:val="22"/>
        </w:rPr>
        <w:t xml:space="preserve">Sanders, K., Smalley, S., &amp; </w:t>
      </w:r>
      <w:proofErr w:type="spellStart"/>
      <w:r w:rsidRPr="00FA30A8">
        <w:rPr>
          <w:rFonts w:ascii="TimesNewRomanPSMT" w:hAnsi="TimesNewRomanPSMT"/>
          <w:color w:val="000000" w:themeColor="text1"/>
          <w:sz w:val="22"/>
          <w:szCs w:val="22"/>
        </w:rPr>
        <w:t>Hainline</w:t>
      </w:r>
      <w:proofErr w:type="spellEnd"/>
      <w:r w:rsidRPr="00FA30A8">
        <w:rPr>
          <w:rFonts w:ascii="TimesNewRomanPSMT" w:hAnsi="TimesNewRomanPSMT"/>
          <w:color w:val="000000" w:themeColor="text1"/>
          <w:sz w:val="22"/>
          <w:szCs w:val="22"/>
        </w:rPr>
        <w:t xml:space="preserve">, M. (2023). Evaluating the preparation of pre-service school-based agricultural education teachers in laboratory-based courses. </w:t>
      </w:r>
      <w:r w:rsidRPr="00FA30A8">
        <w:rPr>
          <w:rFonts w:ascii="TimesNewRomanPS" w:hAnsi="TimesNewRomanPS"/>
          <w:i/>
          <w:iCs/>
          <w:color w:val="000000" w:themeColor="text1"/>
          <w:sz w:val="22"/>
          <w:szCs w:val="22"/>
        </w:rPr>
        <w:t>Journal of Agricultural</w:t>
      </w:r>
      <w:r w:rsidR="00C4082D" w:rsidRPr="00FA30A8">
        <w:rPr>
          <w:rFonts w:ascii="TimesNewRomanPS" w:hAnsi="TimesNewRomanPS"/>
          <w:i/>
          <w:iCs/>
          <w:color w:val="000000" w:themeColor="text1"/>
          <w:sz w:val="22"/>
          <w:szCs w:val="22"/>
        </w:rPr>
        <w:t xml:space="preserve"> </w:t>
      </w:r>
      <w:r w:rsidRPr="00FA30A8">
        <w:rPr>
          <w:rFonts w:ascii="TimesNewRomanPS" w:hAnsi="TimesNewRomanPS"/>
          <w:i/>
          <w:iCs/>
          <w:color w:val="000000" w:themeColor="text1"/>
          <w:sz w:val="22"/>
          <w:szCs w:val="22"/>
        </w:rPr>
        <w:t>Education</w:t>
      </w:r>
      <w:r w:rsidRPr="00FA30A8">
        <w:rPr>
          <w:rFonts w:ascii="TimesNewRomanPSMT" w:hAnsi="TimesNewRomanPSMT"/>
          <w:color w:val="000000" w:themeColor="text1"/>
          <w:sz w:val="22"/>
          <w:szCs w:val="22"/>
        </w:rPr>
        <w:t xml:space="preserve">, </w:t>
      </w:r>
      <w:r w:rsidRPr="00FA30A8">
        <w:rPr>
          <w:rFonts w:ascii="TimesNewRomanPS" w:hAnsi="TimesNewRomanPS"/>
          <w:i/>
          <w:iCs/>
          <w:color w:val="000000" w:themeColor="text1"/>
          <w:sz w:val="22"/>
          <w:szCs w:val="22"/>
        </w:rPr>
        <w:t>64</w:t>
      </w:r>
      <w:r w:rsidRPr="00FA30A8">
        <w:rPr>
          <w:rFonts w:ascii="TimesNewRomanPSMT" w:hAnsi="TimesNewRomanPSMT"/>
          <w:color w:val="000000" w:themeColor="text1"/>
          <w:sz w:val="22"/>
          <w:szCs w:val="22"/>
        </w:rPr>
        <w:t xml:space="preserve">(2), 11–29. </w:t>
      </w:r>
      <w:r w:rsidR="00C4082D" w:rsidRPr="00FA30A8">
        <w:rPr>
          <w:rFonts w:ascii="TimesNewRomanPSMT" w:hAnsi="TimesNewRomanPSMT"/>
          <w:color w:val="000000" w:themeColor="text1"/>
          <w:sz w:val="22"/>
          <w:szCs w:val="22"/>
        </w:rPr>
        <w:t>https://doi.org/10.5032/jae.v64i2.71</w:t>
      </w:r>
      <w:r w:rsidRPr="00FA30A8">
        <w:rPr>
          <w:rFonts w:ascii="TimesNewRomanPSMT" w:hAnsi="TimesNewRomanPSMT"/>
          <w:color w:val="000000" w:themeColor="text1"/>
          <w:sz w:val="22"/>
          <w:szCs w:val="22"/>
        </w:rPr>
        <w:t xml:space="preserve"> </w:t>
      </w:r>
    </w:p>
    <w:p w14:paraId="2379916D" w14:textId="77777777" w:rsidR="00C4082D" w:rsidRPr="00FA30A8" w:rsidRDefault="00C4082D" w:rsidP="00FA30A8">
      <w:pPr>
        <w:pStyle w:val="NormalWeb"/>
        <w:ind w:left="1440" w:hanging="720"/>
        <w:contextualSpacing/>
        <w:rPr>
          <w:color w:val="000000" w:themeColor="text1"/>
          <w:sz w:val="22"/>
          <w:szCs w:val="22"/>
        </w:rPr>
      </w:pPr>
    </w:p>
    <w:p w14:paraId="1C8306DF" w14:textId="77777777" w:rsidR="009C21DD" w:rsidRPr="00FA30A8" w:rsidRDefault="009C21DD" w:rsidP="00FA30A8">
      <w:pPr>
        <w:pStyle w:val="NormalWeb"/>
        <w:ind w:left="1440" w:hanging="720"/>
        <w:contextualSpacing/>
        <w:rPr>
          <w:sz w:val="22"/>
          <w:szCs w:val="22"/>
        </w:rPr>
      </w:pPr>
      <w:r w:rsidRPr="00FA30A8">
        <w:rPr>
          <w:rFonts w:ascii="TimesNewRomanPSMT" w:hAnsi="TimesNewRomanPSMT"/>
          <w:color w:val="000000" w:themeColor="text1"/>
          <w:sz w:val="22"/>
          <w:szCs w:val="22"/>
        </w:rPr>
        <w:t xml:space="preserve">Schunk, D. (2020). </w:t>
      </w:r>
      <w:r w:rsidRPr="00FA30A8">
        <w:rPr>
          <w:rFonts w:ascii="TimesNewRomanPS" w:hAnsi="TimesNewRomanPS"/>
          <w:i/>
          <w:iCs/>
          <w:color w:val="000000" w:themeColor="text1"/>
          <w:sz w:val="22"/>
          <w:szCs w:val="22"/>
        </w:rPr>
        <w:t xml:space="preserve">Learning Theories: An Educational Perspectives </w:t>
      </w:r>
      <w:r w:rsidRPr="00FA30A8">
        <w:rPr>
          <w:rFonts w:ascii="TimesNewRomanPSMT" w:hAnsi="TimesNewRomanPSMT"/>
          <w:sz w:val="22"/>
          <w:szCs w:val="22"/>
        </w:rPr>
        <w:t xml:space="preserve">(8th ed.). Pearson, Inc </w:t>
      </w:r>
    </w:p>
    <w:p w14:paraId="148F5A5E" w14:textId="77777777" w:rsidR="00FA30A8" w:rsidRPr="00FA30A8" w:rsidRDefault="00FA30A8" w:rsidP="00FA30A8">
      <w:pPr>
        <w:pStyle w:val="NormalWeb"/>
        <w:ind w:left="1440" w:hanging="720"/>
        <w:contextualSpacing/>
        <w:rPr>
          <w:rFonts w:ascii="TimesNewRomanPSMT" w:hAnsi="TimesNewRomanPSMT"/>
          <w:sz w:val="22"/>
          <w:szCs w:val="22"/>
        </w:rPr>
      </w:pPr>
    </w:p>
    <w:p w14:paraId="74C91596" w14:textId="00388D3F" w:rsidR="00C4082D" w:rsidRPr="00FA30A8" w:rsidRDefault="009C21DD" w:rsidP="00FA30A8">
      <w:pPr>
        <w:pStyle w:val="NormalWeb"/>
        <w:ind w:left="1440" w:hanging="720"/>
        <w:contextualSpacing/>
        <w:rPr>
          <w:rFonts w:ascii="TimesNewRomanPSMT" w:hAnsi="TimesNewRomanPSMT"/>
          <w:sz w:val="22"/>
          <w:szCs w:val="22"/>
        </w:rPr>
      </w:pPr>
      <w:proofErr w:type="spellStart"/>
      <w:r w:rsidRPr="00FA30A8">
        <w:rPr>
          <w:rFonts w:ascii="TimesNewRomanPSMT" w:hAnsi="TimesNewRomanPSMT"/>
          <w:sz w:val="22"/>
          <w:szCs w:val="22"/>
        </w:rPr>
        <w:t>Sökmen</w:t>
      </w:r>
      <w:proofErr w:type="spellEnd"/>
      <w:r w:rsidRPr="00FA30A8">
        <w:rPr>
          <w:rFonts w:ascii="TimesNewRomanPSMT" w:hAnsi="TimesNewRomanPSMT"/>
          <w:sz w:val="22"/>
          <w:szCs w:val="22"/>
        </w:rPr>
        <w:t xml:space="preserve">, Y. (2019). The role of self-efficacy in the relationship between the learning environment and student engagement. </w:t>
      </w:r>
      <w:r w:rsidRPr="00FA30A8">
        <w:rPr>
          <w:rFonts w:ascii="TimesNewRomanPS" w:hAnsi="TimesNewRomanPS"/>
          <w:i/>
          <w:iCs/>
          <w:sz w:val="22"/>
          <w:szCs w:val="22"/>
        </w:rPr>
        <w:t>Educational Studies</w:t>
      </w:r>
      <w:r w:rsidRPr="00FA30A8">
        <w:rPr>
          <w:rFonts w:ascii="TimesNewRomanPSMT" w:hAnsi="TimesNewRomanPSMT"/>
          <w:sz w:val="22"/>
          <w:szCs w:val="22"/>
        </w:rPr>
        <w:t xml:space="preserve">, </w:t>
      </w:r>
      <w:r w:rsidRPr="00FA30A8">
        <w:rPr>
          <w:rFonts w:ascii="TimesNewRomanPS" w:hAnsi="TimesNewRomanPS"/>
          <w:i/>
          <w:iCs/>
          <w:sz w:val="22"/>
          <w:szCs w:val="22"/>
        </w:rPr>
        <w:t>47</w:t>
      </w:r>
      <w:r w:rsidRPr="00FA30A8">
        <w:rPr>
          <w:rFonts w:ascii="TimesNewRomanPSMT" w:hAnsi="TimesNewRomanPSMT"/>
          <w:sz w:val="22"/>
          <w:szCs w:val="22"/>
        </w:rPr>
        <w:t xml:space="preserve">(1), 19–37. </w:t>
      </w:r>
      <w:r w:rsidR="00C4082D" w:rsidRPr="00FA30A8">
        <w:rPr>
          <w:rFonts w:ascii="TimesNewRomanPSMT" w:hAnsi="TimesNewRomanPSMT"/>
          <w:sz w:val="22"/>
          <w:szCs w:val="22"/>
        </w:rPr>
        <w:t>https://doi.org/10.1080/03055698.2019.1665986</w:t>
      </w:r>
      <w:r w:rsidRPr="00FA30A8">
        <w:rPr>
          <w:rFonts w:ascii="TimesNewRomanPSMT" w:hAnsi="TimesNewRomanPSMT"/>
          <w:sz w:val="22"/>
          <w:szCs w:val="22"/>
        </w:rPr>
        <w:t xml:space="preserve"> </w:t>
      </w:r>
    </w:p>
    <w:p w14:paraId="4FA7ACFE" w14:textId="77777777" w:rsidR="00FA30A8" w:rsidRDefault="00FA30A8" w:rsidP="00FA30A8">
      <w:pPr>
        <w:pStyle w:val="NormalWeb"/>
        <w:ind w:left="1440" w:hanging="720"/>
        <w:contextualSpacing/>
        <w:rPr>
          <w:rFonts w:ascii="TimesNewRomanPSMT" w:hAnsi="TimesNewRomanPSMT"/>
          <w:sz w:val="22"/>
          <w:szCs w:val="22"/>
        </w:rPr>
      </w:pPr>
    </w:p>
    <w:p w14:paraId="63B1BA1C" w14:textId="62E86681" w:rsidR="009C21DD" w:rsidRPr="00FA30A8" w:rsidRDefault="00C4082D" w:rsidP="00FA30A8">
      <w:pPr>
        <w:pStyle w:val="NormalWeb"/>
        <w:ind w:left="1440" w:hanging="720"/>
        <w:contextualSpacing/>
        <w:rPr>
          <w:rFonts w:ascii="TimesNewRomanPSMT" w:hAnsi="TimesNewRomanPSMT"/>
          <w:sz w:val="22"/>
          <w:szCs w:val="22"/>
        </w:rPr>
      </w:pPr>
      <w:r w:rsidRPr="00FA30A8">
        <w:rPr>
          <w:rFonts w:ascii="TimesNewRomanPSMT" w:hAnsi="TimesNewRomanPSMT"/>
          <w:sz w:val="22"/>
          <w:szCs w:val="22"/>
        </w:rPr>
        <w:t xml:space="preserve">UNESCO. (2017). </w:t>
      </w:r>
      <w:r w:rsidRPr="00FA30A8">
        <w:rPr>
          <w:rFonts w:ascii="TimesNewRomanPS" w:hAnsi="TimesNewRomanPS"/>
          <w:i/>
          <w:iCs/>
          <w:sz w:val="22"/>
          <w:szCs w:val="22"/>
        </w:rPr>
        <w:t>Education for sustainable development goals: Learning objectives</w:t>
      </w:r>
      <w:r w:rsidRPr="00FA30A8">
        <w:rPr>
          <w:rFonts w:ascii="TimesNewRomanPSMT" w:hAnsi="TimesNewRomanPSMT"/>
          <w:sz w:val="22"/>
          <w:szCs w:val="22"/>
        </w:rPr>
        <w:t xml:space="preserve">. UNESCO. https://www.unesco.org/en/articles/education-sustainable-development-goals-learning-objective </w:t>
      </w:r>
    </w:p>
    <w:sectPr w:rsidR="009C21DD" w:rsidRPr="00FA30A8">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43BD1" w14:textId="77777777" w:rsidR="001271C6" w:rsidRDefault="001271C6" w:rsidP="009C21DD">
      <w:r>
        <w:separator/>
      </w:r>
    </w:p>
  </w:endnote>
  <w:endnote w:type="continuationSeparator" w:id="0">
    <w:p w14:paraId="186B7BF8" w14:textId="77777777" w:rsidR="001271C6" w:rsidRDefault="001271C6" w:rsidP="009C2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
    <w:altName w:val="Times New Roman"/>
    <w:panose1 w:val="020B0604020202020204"/>
    <w:charset w:val="00"/>
    <w:family w:val="roman"/>
    <w:notTrueType/>
    <w:pitch w:val="default"/>
  </w:font>
  <w:font w:name="TimesNewRomanPSM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851D1" w14:textId="77777777" w:rsidR="001271C6" w:rsidRDefault="001271C6" w:rsidP="009C21DD">
      <w:r>
        <w:separator/>
      </w:r>
    </w:p>
  </w:footnote>
  <w:footnote w:type="continuationSeparator" w:id="0">
    <w:p w14:paraId="3A3F4EE6" w14:textId="77777777" w:rsidR="001271C6" w:rsidRDefault="001271C6" w:rsidP="009C21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7BC6F" w14:textId="0135BF3F" w:rsidR="009C21DD" w:rsidRDefault="009C21DD" w:rsidP="009C21DD">
    <w:pPr>
      <w:pStyle w:val="Header"/>
      <w:jc w:val="right"/>
    </w:pPr>
    <w:r>
      <w:t>Research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8F2C17"/>
    <w:multiLevelType w:val="multilevel"/>
    <w:tmpl w:val="4DB6C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B073DE0"/>
    <w:multiLevelType w:val="multilevel"/>
    <w:tmpl w:val="ECB21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8880017">
    <w:abstractNumId w:val="0"/>
  </w:num>
  <w:num w:numId="2" w16cid:durableId="1741754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1DD"/>
    <w:rsid w:val="000C32EC"/>
    <w:rsid w:val="001271C6"/>
    <w:rsid w:val="00504967"/>
    <w:rsid w:val="009C21DD"/>
    <w:rsid w:val="00BB3365"/>
    <w:rsid w:val="00C4082D"/>
    <w:rsid w:val="00F23D90"/>
    <w:rsid w:val="00FA3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C0B76BA"/>
  <w15:chartTrackingRefBased/>
  <w15:docId w15:val="{24468065-F0B4-024F-9275-F35B5E9F3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C21DD"/>
    <w:pPr>
      <w:spacing w:before="100" w:beforeAutospacing="1" w:after="100" w:afterAutospacing="1"/>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9C21DD"/>
    <w:pPr>
      <w:tabs>
        <w:tab w:val="center" w:pos="4680"/>
        <w:tab w:val="right" w:pos="9360"/>
      </w:tabs>
    </w:pPr>
  </w:style>
  <w:style w:type="character" w:customStyle="1" w:styleId="HeaderChar">
    <w:name w:val="Header Char"/>
    <w:basedOn w:val="DefaultParagraphFont"/>
    <w:link w:val="Header"/>
    <w:uiPriority w:val="99"/>
    <w:rsid w:val="009C21DD"/>
  </w:style>
  <w:style w:type="paragraph" w:styleId="Footer">
    <w:name w:val="footer"/>
    <w:basedOn w:val="Normal"/>
    <w:link w:val="FooterChar"/>
    <w:uiPriority w:val="99"/>
    <w:unhideWhenUsed/>
    <w:rsid w:val="009C21DD"/>
    <w:pPr>
      <w:tabs>
        <w:tab w:val="center" w:pos="4680"/>
        <w:tab w:val="right" w:pos="9360"/>
      </w:tabs>
    </w:pPr>
  </w:style>
  <w:style w:type="character" w:customStyle="1" w:styleId="FooterChar">
    <w:name w:val="Footer Char"/>
    <w:basedOn w:val="DefaultParagraphFont"/>
    <w:link w:val="Footer"/>
    <w:uiPriority w:val="99"/>
    <w:rsid w:val="009C21DD"/>
  </w:style>
  <w:style w:type="character" w:styleId="Hyperlink">
    <w:name w:val="Hyperlink"/>
    <w:basedOn w:val="DefaultParagraphFont"/>
    <w:uiPriority w:val="99"/>
    <w:unhideWhenUsed/>
    <w:rsid w:val="009C21DD"/>
    <w:rPr>
      <w:color w:val="0563C1" w:themeColor="hyperlink"/>
      <w:u w:val="single"/>
    </w:rPr>
  </w:style>
  <w:style w:type="character" w:styleId="UnresolvedMention">
    <w:name w:val="Unresolved Mention"/>
    <w:basedOn w:val="DefaultParagraphFont"/>
    <w:uiPriority w:val="99"/>
    <w:semiHidden/>
    <w:unhideWhenUsed/>
    <w:rsid w:val="009C21DD"/>
    <w:rPr>
      <w:color w:val="605E5C"/>
      <w:shd w:val="clear" w:color="auto" w:fill="E1DFDD"/>
    </w:rPr>
  </w:style>
  <w:style w:type="paragraph" w:customStyle="1" w:styleId="paragraph">
    <w:name w:val="paragraph"/>
    <w:basedOn w:val="Normal"/>
    <w:rsid w:val="00BB3365"/>
    <w:pPr>
      <w:spacing w:before="100" w:beforeAutospacing="1" w:after="100" w:afterAutospacing="1"/>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BB3365"/>
  </w:style>
  <w:style w:type="character" w:customStyle="1" w:styleId="eop">
    <w:name w:val="eop"/>
    <w:basedOn w:val="DefaultParagraphFont"/>
    <w:rsid w:val="00BB33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1687">
      <w:bodyDiv w:val="1"/>
      <w:marLeft w:val="0"/>
      <w:marRight w:val="0"/>
      <w:marTop w:val="0"/>
      <w:marBottom w:val="0"/>
      <w:divBdr>
        <w:top w:val="none" w:sz="0" w:space="0" w:color="auto"/>
        <w:left w:val="none" w:sz="0" w:space="0" w:color="auto"/>
        <w:bottom w:val="none" w:sz="0" w:space="0" w:color="auto"/>
        <w:right w:val="none" w:sz="0" w:space="0" w:color="auto"/>
      </w:divBdr>
      <w:divsChild>
        <w:div w:id="1102266406">
          <w:marLeft w:val="0"/>
          <w:marRight w:val="0"/>
          <w:marTop w:val="0"/>
          <w:marBottom w:val="0"/>
          <w:divBdr>
            <w:top w:val="none" w:sz="0" w:space="0" w:color="auto"/>
            <w:left w:val="none" w:sz="0" w:space="0" w:color="auto"/>
            <w:bottom w:val="none" w:sz="0" w:space="0" w:color="auto"/>
            <w:right w:val="none" w:sz="0" w:space="0" w:color="auto"/>
          </w:divBdr>
          <w:divsChild>
            <w:div w:id="265231011">
              <w:marLeft w:val="0"/>
              <w:marRight w:val="0"/>
              <w:marTop w:val="0"/>
              <w:marBottom w:val="0"/>
              <w:divBdr>
                <w:top w:val="none" w:sz="0" w:space="0" w:color="auto"/>
                <w:left w:val="none" w:sz="0" w:space="0" w:color="auto"/>
                <w:bottom w:val="none" w:sz="0" w:space="0" w:color="auto"/>
                <w:right w:val="none" w:sz="0" w:space="0" w:color="auto"/>
              </w:divBdr>
              <w:divsChild>
                <w:div w:id="82144381">
                  <w:marLeft w:val="0"/>
                  <w:marRight w:val="0"/>
                  <w:marTop w:val="0"/>
                  <w:marBottom w:val="0"/>
                  <w:divBdr>
                    <w:top w:val="none" w:sz="0" w:space="0" w:color="auto"/>
                    <w:left w:val="none" w:sz="0" w:space="0" w:color="auto"/>
                    <w:bottom w:val="none" w:sz="0" w:space="0" w:color="auto"/>
                    <w:right w:val="none" w:sz="0" w:space="0" w:color="auto"/>
                  </w:divBdr>
                  <w:divsChild>
                    <w:div w:id="1935162626">
                      <w:marLeft w:val="0"/>
                      <w:marRight w:val="0"/>
                      <w:marTop w:val="0"/>
                      <w:marBottom w:val="0"/>
                      <w:divBdr>
                        <w:top w:val="none" w:sz="0" w:space="0" w:color="auto"/>
                        <w:left w:val="none" w:sz="0" w:space="0" w:color="auto"/>
                        <w:bottom w:val="none" w:sz="0" w:space="0" w:color="auto"/>
                        <w:right w:val="none" w:sz="0" w:space="0" w:color="auto"/>
                      </w:divBdr>
                    </w:div>
                  </w:divsChild>
                </w:div>
                <w:div w:id="1971742633">
                  <w:marLeft w:val="0"/>
                  <w:marRight w:val="0"/>
                  <w:marTop w:val="0"/>
                  <w:marBottom w:val="0"/>
                  <w:divBdr>
                    <w:top w:val="none" w:sz="0" w:space="0" w:color="auto"/>
                    <w:left w:val="none" w:sz="0" w:space="0" w:color="auto"/>
                    <w:bottom w:val="none" w:sz="0" w:space="0" w:color="auto"/>
                    <w:right w:val="none" w:sz="0" w:space="0" w:color="auto"/>
                  </w:divBdr>
                  <w:divsChild>
                    <w:div w:id="817845704">
                      <w:marLeft w:val="0"/>
                      <w:marRight w:val="0"/>
                      <w:marTop w:val="0"/>
                      <w:marBottom w:val="0"/>
                      <w:divBdr>
                        <w:top w:val="none" w:sz="0" w:space="0" w:color="auto"/>
                        <w:left w:val="none" w:sz="0" w:space="0" w:color="auto"/>
                        <w:bottom w:val="none" w:sz="0" w:space="0" w:color="auto"/>
                        <w:right w:val="none" w:sz="0" w:space="0" w:color="auto"/>
                      </w:divBdr>
                    </w:div>
                  </w:divsChild>
                </w:div>
                <w:div w:id="1141195248">
                  <w:marLeft w:val="0"/>
                  <w:marRight w:val="0"/>
                  <w:marTop w:val="0"/>
                  <w:marBottom w:val="0"/>
                  <w:divBdr>
                    <w:top w:val="none" w:sz="0" w:space="0" w:color="auto"/>
                    <w:left w:val="none" w:sz="0" w:space="0" w:color="auto"/>
                    <w:bottom w:val="none" w:sz="0" w:space="0" w:color="auto"/>
                    <w:right w:val="none" w:sz="0" w:space="0" w:color="auto"/>
                  </w:divBdr>
                  <w:divsChild>
                    <w:div w:id="1843928718">
                      <w:marLeft w:val="0"/>
                      <w:marRight w:val="0"/>
                      <w:marTop w:val="0"/>
                      <w:marBottom w:val="0"/>
                      <w:divBdr>
                        <w:top w:val="none" w:sz="0" w:space="0" w:color="auto"/>
                        <w:left w:val="none" w:sz="0" w:space="0" w:color="auto"/>
                        <w:bottom w:val="none" w:sz="0" w:space="0" w:color="auto"/>
                        <w:right w:val="none" w:sz="0" w:space="0" w:color="auto"/>
                      </w:divBdr>
                    </w:div>
                  </w:divsChild>
                </w:div>
                <w:div w:id="1846747663">
                  <w:marLeft w:val="0"/>
                  <w:marRight w:val="0"/>
                  <w:marTop w:val="0"/>
                  <w:marBottom w:val="0"/>
                  <w:divBdr>
                    <w:top w:val="none" w:sz="0" w:space="0" w:color="auto"/>
                    <w:left w:val="none" w:sz="0" w:space="0" w:color="auto"/>
                    <w:bottom w:val="none" w:sz="0" w:space="0" w:color="auto"/>
                    <w:right w:val="none" w:sz="0" w:space="0" w:color="auto"/>
                  </w:divBdr>
                  <w:divsChild>
                    <w:div w:id="754940619">
                      <w:marLeft w:val="0"/>
                      <w:marRight w:val="0"/>
                      <w:marTop w:val="0"/>
                      <w:marBottom w:val="0"/>
                      <w:divBdr>
                        <w:top w:val="none" w:sz="0" w:space="0" w:color="auto"/>
                        <w:left w:val="none" w:sz="0" w:space="0" w:color="auto"/>
                        <w:bottom w:val="none" w:sz="0" w:space="0" w:color="auto"/>
                        <w:right w:val="none" w:sz="0" w:space="0" w:color="auto"/>
                      </w:divBdr>
                    </w:div>
                  </w:divsChild>
                </w:div>
                <w:div w:id="162015296">
                  <w:marLeft w:val="0"/>
                  <w:marRight w:val="0"/>
                  <w:marTop w:val="0"/>
                  <w:marBottom w:val="0"/>
                  <w:divBdr>
                    <w:top w:val="none" w:sz="0" w:space="0" w:color="auto"/>
                    <w:left w:val="none" w:sz="0" w:space="0" w:color="auto"/>
                    <w:bottom w:val="none" w:sz="0" w:space="0" w:color="auto"/>
                    <w:right w:val="none" w:sz="0" w:space="0" w:color="auto"/>
                  </w:divBdr>
                  <w:divsChild>
                    <w:div w:id="618529015">
                      <w:marLeft w:val="0"/>
                      <w:marRight w:val="0"/>
                      <w:marTop w:val="0"/>
                      <w:marBottom w:val="0"/>
                      <w:divBdr>
                        <w:top w:val="none" w:sz="0" w:space="0" w:color="auto"/>
                        <w:left w:val="none" w:sz="0" w:space="0" w:color="auto"/>
                        <w:bottom w:val="none" w:sz="0" w:space="0" w:color="auto"/>
                        <w:right w:val="none" w:sz="0" w:space="0" w:color="auto"/>
                      </w:divBdr>
                    </w:div>
                  </w:divsChild>
                </w:div>
                <w:div w:id="1447457966">
                  <w:marLeft w:val="0"/>
                  <w:marRight w:val="0"/>
                  <w:marTop w:val="0"/>
                  <w:marBottom w:val="0"/>
                  <w:divBdr>
                    <w:top w:val="none" w:sz="0" w:space="0" w:color="auto"/>
                    <w:left w:val="none" w:sz="0" w:space="0" w:color="auto"/>
                    <w:bottom w:val="none" w:sz="0" w:space="0" w:color="auto"/>
                    <w:right w:val="none" w:sz="0" w:space="0" w:color="auto"/>
                  </w:divBdr>
                  <w:divsChild>
                    <w:div w:id="542598991">
                      <w:marLeft w:val="0"/>
                      <w:marRight w:val="0"/>
                      <w:marTop w:val="0"/>
                      <w:marBottom w:val="0"/>
                      <w:divBdr>
                        <w:top w:val="none" w:sz="0" w:space="0" w:color="auto"/>
                        <w:left w:val="none" w:sz="0" w:space="0" w:color="auto"/>
                        <w:bottom w:val="none" w:sz="0" w:space="0" w:color="auto"/>
                        <w:right w:val="none" w:sz="0" w:space="0" w:color="auto"/>
                      </w:divBdr>
                    </w:div>
                  </w:divsChild>
                </w:div>
                <w:div w:id="1552305174">
                  <w:marLeft w:val="0"/>
                  <w:marRight w:val="0"/>
                  <w:marTop w:val="0"/>
                  <w:marBottom w:val="0"/>
                  <w:divBdr>
                    <w:top w:val="none" w:sz="0" w:space="0" w:color="auto"/>
                    <w:left w:val="none" w:sz="0" w:space="0" w:color="auto"/>
                    <w:bottom w:val="none" w:sz="0" w:space="0" w:color="auto"/>
                    <w:right w:val="none" w:sz="0" w:space="0" w:color="auto"/>
                  </w:divBdr>
                  <w:divsChild>
                    <w:div w:id="139107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771637">
              <w:marLeft w:val="0"/>
              <w:marRight w:val="0"/>
              <w:marTop w:val="0"/>
              <w:marBottom w:val="0"/>
              <w:divBdr>
                <w:top w:val="none" w:sz="0" w:space="0" w:color="auto"/>
                <w:left w:val="none" w:sz="0" w:space="0" w:color="auto"/>
                <w:bottom w:val="none" w:sz="0" w:space="0" w:color="auto"/>
                <w:right w:val="none" w:sz="0" w:space="0" w:color="auto"/>
              </w:divBdr>
              <w:divsChild>
                <w:div w:id="162838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42832">
      <w:bodyDiv w:val="1"/>
      <w:marLeft w:val="0"/>
      <w:marRight w:val="0"/>
      <w:marTop w:val="0"/>
      <w:marBottom w:val="0"/>
      <w:divBdr>
        <w:top w:val="none" w:sz="0" w:space="0" w:color="auto"/>
        <w:left w:val="none" w:sz="0" w:space="0" w:color="auto"/>
        <w:bottom w:val="none" w:sz="0" w:space="0" w:color="auto"/>
        <w:right w:val="none" w:sz="0" w:space="0" w:color="auto"/>
      </w:divBdr>
      <w:divsChild>
        <w:div w:id="2043557024">
          <w:marLeft w:val="0"/>
          <w:marRight w:val="0"/>
          <w:marTop w:val="0"/>
          <w:marBottom w:val="0"/>
          <w:divBdr>
            <w:top w:val="none" w:sz="0" w:space="0" w:color="auto"/>
            <w:left w:val="none" w:sz="0" w:space="0" w:color="auto"/>
            <w:bottom w:val="none" w:sz="0" w:space="0" w:color="auto"/>
            <w:right w:val="none" w:sz="0" w:space="0" w:color="auto"/>
          </w:divBdr>
          <w:divsChild>
            <w:div w:id="2013026167">
              <w:marLeft w:val="0"/>
              <w:marRight w:val="0"/>
              <w:marTop w:val="0"/>
              <w:marBottom w:val="0"/>
              <w:divBdr>
                <w:top w:val="none" w:sz="0" w:space="0" w:color="auto"/>
                <w:left w:val="none" w:sz="0" w:space="0" w:color="auto"/>
                <w:bottom w:val="none" w:sz="0" w:space="0" w:color="auto"/>
                <w:right w:val="none" w:sz="0" w:space="0" w:color="auto"/>
              </w:divBdr>
              <w:divsChild>
                <w:div w:id="1007750171">
                  <w:marLeft w:val="0"/>
                  <w:marRight w:val="0"/>
                  <w:marTop w:val="0"/>
                  <w:marBottom w:val="0"/>
                  <w:divBdr>
                    <w:top w:val="none" w:sz="0" w:space="0" w:color="auto"/>
                    <w:left w:val="none" w:sz="0" w:space="0" w:color="auto"/>
                    <w:bottom w:val="none" w:sz="0" w:space="0" w:color="auto"/>
                    <w:right w:val="none" w:sz="0" w:space="0" w:color="auto"/>
                  </w:divBdr>
                </w:div>
              </w:divsChild>
            </w:div>
            <w:div w:id="398019541">
              <w:marLeft w:val="0"/>
              <w:marRight w:val="0"/>
              <w:marTop w:val="0"/>
              <w:marBottom w:val="0"/>
              <w:divBdr>
                <w:top w:val="none" w:sz="0" w:space="0" w:color="auto"/>
                <w:left w:val="none" w:sz="0" w:space="0" w:color="auto"/>
                <w:bottom w:val="none" w:sz="0" w:space="0" w:color="auto"/>
                <w:right w:val="none" w:sz="0" w:space="0" w:color="auto"/>
              </w:divBdr>
              <w:divsChild>
                <w:div w:id="511260803">
                  <w:marLeft w:val="0"/>
                  <w:marRight w:val="0"/>
                  <w:marTop w:val="0"/>
                  <w:marBottom w:val="0"/>
                  <w:divBdr>
                    <w:top w:val="none" w:sz="0" w:space="0" w:color="auto"/>
                    <w:left w:val="none" w:sz="0" w:space="0" w:color="auto"/>
                    <w:bottom w:val="none" w:sz="0" w:space="0" w:color="auto"/>
                    <w:right w:val="none" w:sz="0" w:space="0" w:color="auto"/>
                  </w:divBdr>
                </w:div>
              </w:divsChild>
            </w:div>
            <w:div w:id="1559513637">
              <w:marLeft w:val="0"/>
              <w:marRight w:val="0"/>
              <w:marTop w:val="0"/>
              <w:marBottom w:val="0"/>
              <w:divBdr>
                <w:top w:val="none" w:sz="0" w:space="0" w:color="auto"/>
                <w:left w:val="none" w:sz="0" w:space="0" w:color="auto"/>
                <w:bottom w:val="none" w:sz="0" w:space="0" w:color="auto"/>
                <w:right w:val="none" w:sz="0" w:space="0" w:color="auto"/>
              </w:divBdr>
              <w:divsChild>
                <w:div w:id="435293017">
                  <w:marLeft w:val="0"/>
                  <w:marRight w:val="0"/>
                  <w:marTop w:val="0"/>
                  <w:marBottom w:val="0"/>
                  <w:divBdr>
                    <w:top w:val="none" w:sz="0" w:space="0" w:color="auto"/>
                    <w:left w:val="none" w:sz="0" w:space="0" w:color="auto"/>
                    <w:bottom w:val="none" w:sz="0" w:space="0" w:color="auto"/>
                    <w:right w:val="none" w:sz="0" w:space="0" w:color="auto"/>
                  </w:divBdr>
                  <w:divsChild>
                    <w:div w:id="1497460351">
                      <w:marLeft w:val="0"/>
                      <w:marRight w:val="0"/>
                      <w:marTop w:val="0"/>
                      <w:marBottom w:val="0"/>
                      <w:divBdr>
                        <w:top w:val="none" w:sz="0" w:space="0" w:color="auto"/>
                        <w:left w:val="none" w:sz="0" w:space="0" w:color="auto"/>
                        <w:bottom w:val="none" w:sz="0" w:space="0" w:color="auto"/>
                        <w:right w:val="none" w:sz="0" w:space="0" w:color="auto"/>
                      </w:divBdr>
                    </w:div>
                  </w:divsChild>
                </w:div>
                <w:div w:id="1877961937">
                  <w:marLeft w:val="0"/>
                  <w:marRight w:val="0"/>
                  <w:marTop w:val="0"/>
                  <w:marBottom w:val="0"/>
                  <w:divBdr>
                    <w:top w:val="none" w:sz="0" w:space="0" w:color="auto"/>
                    <w:left w:val="none" w:sz="0" w:space="0" w:color="auto"/>
                    <w:bottom w:val="none" w:sz="0" w:space="0" w:color="auto"/>
                    <w:right w:val="none" w:sz="0" w:space="0" w:color="auto"/>
                  </w:divBdr>
                  <w:divsChild>
                    <w:div w:id="1382246220">
                      <w:marLeft w:val="0"/>
                      <w:marRight w:val="0"/>
                      <w:marTop w:val="0"/>
                      <w:marBottom w:val="0"/>
                      <w:divBdr>
                        <w:top w:val="none" w:sz="0" w:space="0" w:color="auto"/>
                        <w:left w:val="none" w:sz="0" w:space="0" w:color="auto"/>
                        <w:bottom w:val="none" w:sz="0" w:space="0" w:color="auto"/>
                        <w:right w:val="none" w:sz="0" w:space="0" w:color="auto"/>
                      </w:divBdr>
                    </w:div>
                  </w:divsChild>
                </w:div>
                <w:div w:id="1018235274">
                  <w:marLeft w:val="0"/>
                  <w:marRight w:val="0"/>
                  <w:marTop w:val="0"/>
                  <w:marBottom w:val="0"/>
                  <w:divBdr>
                    <w:top w:val="none" w:sz="0" w:space="0" w:color="auto"/>
                    <w:left w:val="none" w:sz="0" w:space="0" w:color="auto"/>
                    <w:bottom w:val="none" w:sz="0" w:space="0" w:color="auto"/>
                    <w:right w:val="none" w:sz="0" w:space="0" w:color="auto"/>
                  </w:divBdr>
                  <w:divsChild>
                    <w:div w:id="669718891">
                      <w:marLeft w:val="0"/>
                      <w:marRight w:val="0"/>
                      <w:marTop w:val="0"/>
                      <w:marBottom w:val="0"/>
                      <w:divBdr>
                        <w:top w:val="none" w:sz="0" w:space="0" w:color="auto"/>
                        <w:left w:val="none" w:sz="0" w:space="0" w:color="auto"/>
                        <w:bottom w:val="none" w:sz="0" w:space="0" w:color="auto"/>
                        <w:right w:val="none" w:sz="0" w:space="0" w:color="auto"/>
                      </w:divBdr>
                    </w:div>
                  </w:divsChild>
                </w:div>
                <w:div w:id="253245223">
                  <w:marLeft w:val="0"/>
                  <w:marRight w:val="0"/>
                  <w:marTop w:val="0"/>
                  <w:marBottom w:val="0"/>
                  <w:divBdr>
                    <w:top w:val="none" w:sz="0" w:space="0" w:color="auto"/>
                    <w:left w:val="none" w:sz="0" w:space="0" w:color="auto"/>
                    <w:bottom w:val="none" w:sz="0" w:space="0" w:color="auto"/>
                    <w:right w:val="none" w:sz="0" w:space="0" w:color="auto"/>
                  </w:divBdr>
                  <w:divsChild>
                    <w:div w:id="16347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860712">
      <w:bodyDiv w:val="1"/>
      <w:marLeft w:val="0"/>
      <w:marRight w:val="0"/>
      <w:marTop w:val="0"/>
      <w:marBottom w:val="0"/>
      <w:divBdr>
        <w:top w:val="none" w:sz="0" w:space="0" w:color="auto"/>
        <w:left w:val="none" w:sz="0" w:space="0" w:color="auto"/>
        <w:bottom w:val="none" w:sz="0" w:space="0" w:color="auto"/>
        <w:right w:val="none" w:sz="0" w:space="0" w:color="auto"/>
      </w:divBdr>
      <w:divsChild>
        <w:div w:id="1064450393">
          <w:marLeft w:val="0"/>
          <w:marRight w:val="0"/>
          <w:marTop w:val="0"/>
          <w:marBottom w:val="0"/>
          <w:divBdr>
            <w:top w:val="none" w:sz="0" w:space="0" w:color="auto"/>
            <w:left w:val="none" w:sz="0" w:space="0" w:color="auto"/>
            <w:bottom w:val="none" w:sz="0" w:space="0" w:color="auto"/>
            <w:right w:val="none" w:sz="0" w:space="0" w:color="auto"/>
          </w:divBdr>
          <w:divsChild>
            <w:div w:id="1508864893">
              <w:marLeft w:val="0"/>
              <w:marRight w:val="0"/>
              <w:marTop w:val="0"/>
              <w:marBottom w:val="0"/>
              <w:divBdr>
                <w:top w:val="none" w:sz="0" w:space="0" w:color="auto"/>
                <w:left w:val="none" w:sz="0" w:space="0" w:color="auto"/>
                <w:bottom w:val="none" w:sz="0" w:space="0" w:color="auto"/>
                <w:right w:val="none" w:sz="0" w:space="0" w:color="auto"/>
              </w:divBdr>
              <w:divsChild>
                <w:div w:id="129926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10498">
      <w:bodyDiv w:val="1"/>
      <w:marLeft w:val="0"/>
      <w:marRight w:val="0"/>
      <w:marTop w:val="0"/>
      <w:marBottom w:val="0"/>
      <w:divBdr>
        <w:top w:val="none" w:sz="0" w:space="0" w:color="auto"/>
        <w:left w:val="none" w:sz="0" w:space="0" w:color="auto"/>
        <w:bottom w:val="none" w:sz="0" w:space="0" w:color="auto"/>
        <w:right w:val="none" w:sz="0" w:space="0" w:color="auto"/>
      </w:divBdr>
      <w:divsChild>
        <w:div w:id="660500262">
          <w:marLeft w:val="0"/>
          <w:marRight w:val="0"/>
          <w:marTop w:val="0"/>
          <w:marBottom w:val="0"/>
          <w:divBdr>
            <w:top w:val="none" w:sz="0" w:space="0" w:color="auto"/>
            <w:left w:val="none" w:sz="0" w:space="0" w:color="auto"/>
            <w:bottom w:val="none" w:sz="0" w:space="0" w:color="auto"/>
            <w:right w:val="none" w:sz="0" w:space="0" w:color="auto"/>
          </w:divBdr>
          <w:divsChild>
            <w:div w:id="1760370726">
              <w:marLeft w:val="0"/>
              <w:marRight w:val="0"/>
              <w:marTop w:val="0"/>
              <w:marBottom w:val="0"/>
              <w:divBdr>
                <w:top w:val="none" w:sz="0" w:space="0" w:color="auto"/>
                <w:left w:val="none" w:sz="0" w:space="0" w:color="auto"/>
                <w:bottom w:val="none" w:sz="0" w:space="0" w:color="auto"/>
                <w:right w:val="none" w:sz="0" w:space="0" w:color="auto"/>
              </w:divBdr>
              <w:divsChild>
                <w:div w:id="611743455">
                  <w:marLeft w:val="0"/>
                  <w:marRight w:val="0"/>
                  <w:marTop w:val="0"/>
                  <w:marBottom w:val="0"/>
                  <w:divBdr>
                    <w:top w:val="none" w:sz="0" w:space="0" w:color="auto"/>
                    <w:left w:val="none" w:sz="0" w:space="0" w:color="auto"/>
                    <w:bottom w:val="none" w:sz="0" w:space="0" w:color="auto"/>
                    <w:right w:val="none" w:sz="0" w:space="0" w:color="auto"/>
                  </w:divBdr>
                </w:div>
              </w:divsChild>
            </w:div>
            <w:div w:id="2088191380">
              <w:marLeft w:val="0"/>
              <w:marRight w:val="0"/>
              <w:marTop w:val="0"/>
              <w:marBottom w:val="0"/>
              <w:divBdr>
                <w:top w:val="none" w:sz="0" w:space="0" w:color="auto"/>
                <w:left w:val="none" w:sz="0" w:space="0" w:color="auto"/>
                <w:bottom w:val="none" w:sz="0" w:space="0" w:color="auto"/>
                <w:right w:val="none" w:sz="0" w:space="0" w:color="auto"/>
              </w:divBdr>
              <w:divsChild>
                <w:div w:id="1542593044">
                  <w:marLeft w:val="0"/>
                  <w:marRight w:val="0"/>
                  <w:marTop w:val="0"/>
                  <w:marBottom w:val="0"/>
                  <w:divBdr>
                    <w:top w:val="none" w:sz="0" w:space="0" w:color="auto"/>
                    <w:left w:val="none" w:sz="0" w:space="0" w:color="auto"/>
                    <w:bottom w:val="none" w:sz="0" w:space="0" w:color="auto"/>
                    <w:right w:val="none" w:sz="0" w:space="0" w:color="auto"/>
                  </w:divBdr>
                </w:div>
              </w:divsChild>
            </w:div>
            <w:div w:id="2013602162">
              <w:marLeft w:val="0"/>
              <w:marRight w:val="0"/>
              <w:marTop w:val="0"/>
              <w:marBottom w:val="0"/>
              <w:divBdr>
                <w:top w:val="none" w:sz="0" w:space="0" w:color="auto"/>
                <w:left w:val="none" w:sz="0" w:space="0" w:color="auto"/>
                <w:bottom w:val="none" w:sz="0" w:space="0" w:color="auto"/>
                <w:right w:val="none" w:sz="0" w:space="0" w:color="auto"/>
              </w:divBdr>
              <w:divsChild>
                <w:div w:id="1789740262">
                  <w:marLeft w:val="0"/>
                  <w:marRight w:val="0"/>
                  <w:marTop w:val="0"/>
                  <w:marBottom w:val="0"/>
                  <w:divBdr>
                    <w:top w:val="none" w:sz="0" w:space="0" w:color="auto"/>
                    <w:left w:val="none" w:sz="0" w:space="0" w:color="auto"/>
                    <w:bottom w:val="none" w:sz="0" w:space="0" w:color="auto"/>
                    <w:right w:val="none" w:sz="0" w:space="0" w:color="auto"/>
                  </w:divBdr>
                  <w:divsChild>
                    <w:div w:id="1686444297">
                      <w:marLeft w:val="0"/>
                      <w:marRight w:val="0"/>
                      <w:marTop w:val="0"/>
                      <w:marBottom w:val="0"/>
                      <w:divBdr>
                        <w:top w:val="none" w:sz="0" w:space="0" w:color="auto"/>
                        <w:left w:val="none" w:sz="0" w:space="0" w:color="auto"/>
                        <w:bottom w:val="none" w:sz="0" w:space="0" w:color="auto"/>
                        <w:right w:val="none" w:sz="0" w:space="0" w:color="auto"/>
                      </w:divBdr>
                    </w:div>
                  </w:divsChild>
                </w:div>
                <w:div w:id="1563826189">
                  <w:marLeft w:val="0"/>
                  <w:marRight w:val="0"/>
                  <w:marTop w:val="0"/>
                  <w:marBottom w:val="0"/>
                  <w:divBdr>
                    <w:top w:val="none" w:sz="0" w:space="0" w:color="auto"/>
                    <w:left w:val="none" w:sz="0" w:space="0" w:color="auto"/>
                    <w:bottom w:val="none" w:sz="0" w:space="0" w:color="auto"/>
                    <w:right w:val="none" w:sz="0" w:space="0" w:color="auto"/>
                  </w:divBdr>
                  <w:divsChild>
                    <w:div w:id="953943243">
                      <w:marLeft w:val="0"/>
                      <w:marRight w:val="0"/>
                      <w:marTop w:val="0"/>
                      <w:marBottom w:val="0"/>
                      <w:divBdr>
                        <w:top w:val="none" w:sz="0" w:space="0" w:color="auto"/>
                        <w:left w:val="none" w:sz="0" w:space="0" w:color="auto"/>
                        <w:bottom w:val="none" w:sz="0" w:space="0" w:color="auto"/>
                        <w:right w:val="none" w:sz="0" w:space="0" w:color="auto"/>
                      </w:divBdr>
                    </w:div>
                  </w:divsChild>
                </w:div>
                <w:div w:id="538664657">
                  <w:marLeft w:val="0"/>
                  <w:marRight w:val="0"/>
                  <w:marTop w:val="0"/>
                  <w:marBottom w:val="0"/>
                  <w:divBdr>
                    <w:top w:val="none" w:sz="0" w:space="0" w:color="auto"/>
                    <w:left w:val="none" w:sz="0" w:space="0" w:color="auto"/>
                    <w:bottom w:val="none" w:sz="0" w:space="0" w:color="auto"/>
                    <w:right w:val="none" w:sz="0" w:space="0" w:color="auto"/>
                  </w:divBdr>
                  <w:divsChild>
                    <w:div w:id="1025406114">
                      <w:marLeft w:val="0"/>
                      <w:marRight w:val="0"/>
                      <w:marTop w:val="0"/>
                      <w:marBottom w:val="0"/>
                      <w:divBdr>
                        <w:top w:val="none" w:sz="0" w:space="0" w:color="auto"/>
                        <w:left w:val="none" w:sz="0" w:space="0" w:color="auto"/>
                        <w:bottom w:val="none" w:sz="0" w:space="0" w:color="auto"/>
                        <w:right w:val="none" w:sz="0" w:space="0" w:color="auto"/>
                      </w:divBdr>
                    </w:div>
                  </w:divsChild>
                </w:div>
                <w:div w:id="1797020455">
                  <w:marLeft w:val="0"/>
                  <w:marRight w:val="0"/>
                  <w:marTop w:val="0"/>
                  <w:marBottom w:val="0"/>
                  <w:divBdr>
                    <w:top w:val="none" w:sz="0" w:space="0" w:color="auto"/>
                    <w:left w:val="none" w:sz="0" w:space="0" w:color="auto"/>
                    <w:bottom w:val="none" w:sz="0" w:space="0" w:color="auto"/>
                    <w:right w:val="none" w:sz="0" w:space="0" w:color="auto"/>
                  </w:divBdr>
                  <w:divsChild>
                    <w:div w:id="19531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514259">
          <w:marLeft w:val="0"/>
          <w:marRight w:val="0"/>
          <w:marTop w:val="0"/>
          <w:marBottom w:val="0"/>
          <w:divBdr>
            <w:top w:val="none" w:sz="0" w:space="0" w:color="auto"/>
            <w:left w:val="none" w:sz="0" w:space="0" w:color="auto"/>
            <w:bottom w:val="none" w:sz="0" w:space="0" w:color="auto"/>
            <w:right w:val="none" w:sz="0" w:space="0" w:color="auto"/>
          </w:divBdr>
          <w:divsChild>
            <w:div w:id="2070305445">
              <w:marLeft w:val="0"/>
              <w:marRight w:val="0"/>
              <w:marTop w:val="0"/>
              <w:marBottom w:val="0"/>
              <w:divBdr>
                <w:top w:val="none" w:sz="0" w:space="0" w:color="auto"/>
                <w:left w:val="none" w:sz="0" w:space="0" w:color="auto"/>
                <w:bottom w:val="none" w:sz="0" w:space="0" w:color="auto"/>
                <w:right w:val="none" w:sz="0" w:space="0" w:color="auto"/>
              </w:divBdr>
              <w:divsChild>
                <w:div w:id="881287328">
                  <w:marLeft w:val="0"/>
                  <w:marRight w:val="0"/>
                  <w:marTop w:val="0"/>
                  <w:marBottom w:val="0"/>
                  <w:divBdr>
                    <w:top w:val="none" w:sz="0" w:space="0" w:color="auto"/>
                    <w:left w:val="none" w:sz="0" w:space="0" w:color="auto"/>
                    <w:bottom w:val="none" w:sz="0" w:space="0" w:color="auto"/>
                    <w:right w:val="none" w:sz="0" w:space="0" w:color="auto"/>
                  </w:divBdr>
                </w:div>
              </w:divsChild>
            </w:div>
            <w:div w:id="1395005014">
              <w:marLeft w:val="0"/>
              <w:marRight w:val="0"/>
              <w:marTop w:val="0"/>
              <w:marBottom w:val="0"/>
              <w:divBdr>
                <w:top w:val="none" w:sz="0" w:space="0" w:color="auto"/>
                <w:left w:val="none" w:sz="0" w:space="0" w:color="auto"/>
                <w:bottom w:val="none" w:sz="0" w:space="0" w:color="auto"/>
                <w:right w:val="none" w:sz="0" w:space="0" w:color="auto"/>
              </w:divBdr>
              <w:divsChild>
                <w:div w:id="1173959907">
                  <w:marLeft w:val="0"/>
                  <w:marRight w:val="0"/>
                  <w:marTop w:val="0"/>
                  <w:marBottom w:val="0"/>
                  <w:divBdr>
                    <w:top w:val="none" w:sz="0" w:space="0" w:color="auto"/>
                    <w:left w:val="none" w:sz="0" w:space="0" w:color="auto"/>
                    <w:bottom w:val="none" w:sz="0" w:space="0" w:color="auto"/>
                    <w:right w:val="none" w:sz="0" w:space="0" w:color="auto"/>
                  </w:divBdr>
                  <w:divsChild>
                    <w:div w:id="283777615">
                      <w:marLeft w:val="0"/>
                      <w:marRight w:val="0"/>
                      <w:marTop w:val="0"/>
                      <w:marBottom w:val="0"/>
                      <w:divBdr>
                        <w:top w:val="none" w:sz="0" w:space="0" w:color="auto"/>
                        <w:left w:val="none" w:sz="0" w:space="0" w:color="auto"/>
                        <w:bottom w:val="none" w:sz="0" w:space="0" w:color="auto"/>
                        <w:right w:val="none" w:sz="0" w:space="0" w:color="auto"/>
                      </w:divBdr>
                    </w:div>
                  </w:divsChild>
                </w:div>
                <w:div w:id="1784029703">
                  <w:marLeft w:val="0"/>
                  <w:marRight w:val="0"/>
                  <w:marTop w:val="0"/>
                  <w:marBottom w:val="0"/>
                  <w:divBdr>
                    <w:top w:val="none" w:sz="0" w:space="0" w:color="auto"/>
                    <w:left w:val="none" w:sz="0" w:space="0" w:color="auto"/>
                    <w:bottom w:val="none" w:sz="0" w:space="0" w:color="auto"/>
                    <w:right w:val="none" w:sz="0" w:space="0" w:color="auto"/>
                  </w:divBdr>
                  <w:divsChild>
                    <w:div w:id="116027122">
                      <w:marLeft w:val="0"/>
                      <w:marRight w:val="0"/>
                      <w:marTop w:val="0"/>
                      <w:marBottom w:val="0"/>
                      <w:divBdr>
                        <w:top w:val="none" w:sz="0" w:space="0" w:color="auto"/>
                        <w:left w:val="none" w:sz="0" w:space="0" w:color="auto"/>
                        <w:bottom w:val="none" w:sz="0" w:space="0" w:color="auto"/>
                        <w:right w:val="none" w:sz="0" w:space="0" w:color="auto"/>
                      </w:divBdr>
                    </w:div>
                  </w:divsChild>
                </w:div>
                <w:div w:id="1177039831">
                  <w:marLeft w:val="0"/>
                  <w:marRight w:val="0"/>
                  <w:marTop w:val="0"/>
                  <w:marBottom w:val="0"/>
                  <w:divBdr>
                    <w:top w:val="none" w:sz="0" w:space="0" w:color="auto"/>
                    <w:left w:val="none" w:sz="0" w:space="0" w:color="auto"/>
                    <w:bottom w:val="none" w:sz="0" w:space="0" w:color="auto"/>
                    <w:right w:val="none" w:sz="0" w:space="0" w:color="auto"/>
                  </w:divBdr>
                  <w:divsChild>
                    <w:div w:id="1804157308">
                      <w:marLeft w:val="0"/>
                      <w:marRight w:val="0"/>
                      <w:marTop w:val="0"/>
                      <w:marBottom w:val="0"/>
                      <w:divBdr>
                        <w:top w:val="none" w:sz="0" w:space="0" w:color="auto"/>
                        <w:left w:val="none" w:sz="0" w:space="0" w:color="auto"/>
                        <w:bottom w:val="none" w:sz="0" w:space="0" w:color="auto"/>
                        <w:right w:val="none" w:sz="0" w:space="0" w:color="auto"/>
                      </w:divBdr>
                    </w:div>
                  </w:divsChild>
                </w:div>
                <w:div w:id="441845507">
                  <w:marLeft w:val="0"/>
                  <w:marRight w:val="0"/>
                  <w:marTop w:val="0"/>
                  <w:marBottom w:val="0"/>
                  <w:divBdr>
                    <w:top w:val="none" w:sz="0" w:space="0" w:color="auto"/>
                    <w:left w:val="none" w:sz="0" w:space="0" w:color="auto"/>
                    <w:bottom w:val="none" w:sz="0" w:space="0" w:color="auto"/>
                    <w:right w:val="none" w:sz="0" w:space="0" w:color="auto"/>
                  </w:divBdr>
                  <w:divsChild>
                    <w:div w:id="1329363447">
                      <w:marLeft w:val="0"/>
                      <w:marRight w:val="0"/>
                      <w:marTop w:val="0"/>
                      <w:marBottom w:val="0"/>
                      <w:divBdr>
                        <w:top w:val="none" w:sz="0" w:space="0" w:color="auto"/>
                        <w:left w:val="none" w:sz="0" w:space="0" w:color="auto"/>
                        <w:bottom w:val="none" w:sz="0" w:space="0" w:color="auto"/>
                        <w:right w:val="none" w:sz="0" w:space="0" w:color="auto"/>
                      </w:divBdr>
                    </w:div>
                  </w:divsChild>
                </w:div>
                <w:div w:id="1610577916">
                  <w:marLeft w:val="0"/>
                  <w:marRight w:val="0"/>
                  <w:marTop w:val="0"/>
                  <w:marBottom w:val="0"/>
                  <w:divBdr>
                    <w:top w:val="none" w:sz="0" w:space="0" w:color="auto"/>
                    <w:left w:val="none" w:sz="0" w:space="0" w:color="auto"/>
                    <w:bottom w:val="none" w:sz="0" w:space="0" w:color="auto"/>
                    <w:right w:val="none" w:sz="0" w:space="0" w:color="auto"/>
                  </w:divBdr>
                  <w:divsChild>
                    <w:div w:id="338698658">
                      <w:marLeft w:val="0"/>
                      <w:marRight w:val="0"/>
                      <w:marTop w:val="0"/>
                      <w:marBottom w:val="0"/>
                      <w:divBdr>
                        <w:top w:val="none" w:sz="0" w:space="0" w:color="auto"/>
                        <w:left w:val="none" w:sz="0" w:space="0" w:color="auto"/>
                        <w:bottom w:val="none" w:sz="0" w:space="0" w:color="auto"/>
                        <w:right w:val="none" w:sz="0" w:space="0" w:color="auto"/>
                      </w:divBdr>
                    </w:div>
                  </w:divsChild>
                </w:div>
                <w:div w:id="683671680">
                  <w:marLeft w:val="0"/>
                  <w:marRight w:val="0"/>
                  <w:marTop w:val="0"/>
                  <w:marBottom w:val="0"/>
                  <w:divBdr>
                    <w:top w:val="none" w:sz="0" w:space="0" w:color="auto"/>
                    <w:left w:val="none" w:sz="0" w:space="0" w:color="auto"/>
                    <w:bottom w:val="none" w:sz="0" w:space="0" w:color="auto"/>
                    <w:right w:val="none" w:sz="0" w:space="0" w:color="auto"/>
                  </w:divBdr>
                  <w:divsChild>
                    <w:div w:id="507407015">
                      <w:marLeft w:val="0"/>
                      <w:marRight w:val="0"/>
                      <w:marTop w:val="0"/>
                      <w:marBottom w:val="0"/>
                      <w:divBdr>
                        <w:top w:val="none" w:sz="0" w:space="0" w:color="auto"/>
                        <w:left w:val="none" w:sz="0" w:space="0" w:color="auto"/>
                        <w:bottom w:val="none" w:sz="0" w:space="0" w:color="auto"/>
                        <w:right w:val="none" w:sz="0" w:space="0" w:color="auto"/>
                      </w:divBdr>
                    </w:div>
                  </w:divsChild>
                </w:div>
                <w:div w:id="489558803">
                  <w:marLeft w:val="0"/>
                  <w:marRight w:val="0"/>
                  <w:marTop w:val="0"/>
                  <w:marBottom w:val="0"/>
                  <w:divBdr>
                    <w:top w:val="none" w:sz="0" w:space="0" w:color="auto"/>
                    <w:left w:val="none" w:sz="0" w:space="0" w:color="auto"/>
                    <w:bottom w:val="none" w:sz="0" w:space="0" w:color="auto"/>
                    <w:right w:val="none" w:sz="0" w:space="0" w:color="auto"/>
                  </w:divBdr>
                  <w:divsChild>
                    <w:div w:id="80898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43888">
              <w:marLeft w:val="0"/>
              <w:marRight w:val="0"/>
              <w:marTop w:val="0"/>
              <w:marBottom w:val="0"/>
              <w:divBdr>
                <w:top w:val="none" w:sz="0" w:space="0" w:color="auto"/>
                <w:left w:val="none" w:sz="0" w:space="0" w:color="auto"/>
                <w:bottom w:val="none" w:sz="0" w:space="0" w:color="auto"/>
                <w:right w:val="none" w:sz="0" w:space="0" w:color="auto"/>
              </w:divBdr>
              <w:divsChild>
                <w:div w:id="94892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429467">
          <w:marLeft w:val="0"/>
          <w:marRight w:val="0"/>
          <w:marTop w:val="0"/>
          <w:marBottom w:val="0"/>
          <w:divBdr>
            <w:top w:val="none" w:sz="0" w:space="0" w:color="auto"/>
            <w:left w:val="none" w:sz="0" w:space="0" w:color="auto"/>
            <w:bottom w:val="none" w:sz="0" w:space="0" w:color="auto"/>
            <w:right w:val="none" w:sz="0" w:space="0" w:color="auto"/>
          </w:divBdr>
          <w:divsChild>
            <w:div w:id="427042112">
              <w:marLeft w:val="0"/>
              <w:marRight w:val="0"/>
              <w:marTop w:val="0"/>
              <w:marBottom w:val="0"/>
              <w:divBdr>
                <w:top w:val="none" w:sz="0" w:space="0" w:color="auto"/>
                <w:left w:val="none" w:sz="0" w:space="0" w:color="auto"/>
                <w:bottom w:val="none" w:sz="0" w:space="0" w:color="auto"/>
                <w:right w:val="none" w:sz="0" w:space="0" w:color="auto"/>
              </w:divBdr>
              <w:divsChild>
                <w:div w:id="1206942536">
                  <w:marLeft w:val="0"/>
                  <w:marRight w:val="0"/>
                  <w:marTop w:val="0"/>
                  <w:marBottom w:val="0"/>
                  <w:divBdr>
                    <w:top w:val="none" w:sz="0" w:space="0" w:color="auto"/>
                    <w:left w:val="none" w:sz="0" w:space="0" w:color="auto"/>
                    <w:bottom w:val="none" w:sz="0" w:space="0" w:color="auto"/>
                    <w:right w:val="none" w:sz="0" w:space="0" w:color="auto"/>
                  </w:divBdr>
                </w:div>
              </w:divsChild>
            </w:div>
            <w:div w:id="1910993798">
              <w:marLeft w:val="0"/>
              <w:marRight w:val="0"/>
              <w:marTop w:val="0"/>
              <w:marBottom w:val="0"/>
              <w:divBdr>
                <w:top w:val="none" w:sz="0" w:space="0" w:color="auto"/>
                <w:left w:val="none" w:sz="0" w:space="0" w:color="auto"/>
                <w:bottom w:val="none" w:sz="0" w:space="0" w:color="auto"/>
                <w:right w:val="none" w:sz="0" w:space="0" w:color="auto"/>
              </w:divBdr>
              <w:divsChild>
                <w:div w:id="668602125">
                  <w:marLeft w:val="0"/>
                  <w:marRight w:val="0"/>
                  <w:marTop w:val="0"/>
                  <w:marBottom w:val="0"/>
                  <w:divBdr>
                    <w:top w:val="none" w:sz="0" w:space="0" w:color="auto"/>
                    <w:left w:val="none" w:sz="0" w:space="0" w:color="auto"/>
                    <w:bottom w:val="none" w:sz="0" w:space="0" w:color="auto"/>
                    <w:right w:val="none" w:sz="0" w:space="0" w:color="auto"/>
                  </w:divBdr>
                </w:div>
              </w:divsChild>
            </w:div>
            <w:div w:id="2118678215">
              <w:marLeft w:val="0"/>
              <w:marRight w:val="0"/>
              <w:marTop w:val="0"/>
              <w:marBottom w:val="0"/>
              <w:divBdr>
                <w:top w:val="none" w:sz="0" w:space="0" w:color="auto"/>
                <w:left w:val="none" w:sz="0" w:space="0" w:color="auto"/>
                <w:bottom w:val="none" w:sz="0" w:space="0" w:color="auto"/>
                <w:right w:val="none" w:sz="0" w:space="0" w:color="auto"/>
              </w:divBdr>
              <w:divsChild>
                <w:div w:id="39134824">
                  <w:marLeft w:val="0"/>
                  <w:marRight w:val="0"/>
                  <w:marTop w:val="0"/>
                  <w:marBottom w:val="0"/>
                  <w:divBdr>
                    <w:top w:val="none" w:sz="0" w:space="0" w:color="auto"/>
                    <w:left w:val="none" w:sz="0" w:space="0" w:color="auto"/>
                    <w:bottom w:val="none" w:sz="0" w:space="0" w:color="auto"/>
                    <w:right w:val="none" w:sz="0" w:space="0" w:color="auto"/>
                  </w:divBdr>
                </w:div>
              </w:divsChild>
            </w:div>
            <w:div w:id="1781485892">
              <w:marLeft w:val="0"/>
              <w:marRight w:val="0"/>
              <w:marTop w:val="0"/>
              <w:marBottom w:val="0"/>
              <w:divBdr>
                <w:top w:val="none" w:sz="0" w:space="0" w:color="auto"/>
                <w:left w:val="none" w:sz="0" w:space="0" w:color="auto"/>
                <w:bottom w:val="none" w:sz="0" w:space="0" w:color="auto"/>
                <w:right w:val="none" w:sz="0" w:space="0" w:color="auto"/>
              </w:divBdr>
              <w:divsChild>
                <w:div w:id="1452630526">
                  <w:marLeft w:val="0"/>
                  <w:marRight w:val="0"/>
                  <w:marTop w:val="0"/>
                  <w:marBottom w:val="0"/>
                  <w:divBdr>
                    <w:top w:val="none" w:sz="0" w:space="0" w:color="auto"/>
                    <w:left w:val="none" w:sz="0" w:space="0" w:color="auto"/>
                    <w:bottom w:val="none" w:sz="0" w:space="0" w:color="auto"/>
                    <w:right w:val="none" w:sz="0" w:space="0" w:color="auto"/>
                  </w:divBdr>
                </w:div>
              </w:divsChild>
            </w:div>
            <w:div w:id="1191916576">
              <w:marLeft w:val="0"/>
              <w:marRight w:val="0"/>
              <w:marTop w:val="0"/>
              <w:marBottom w:val="0"/>
              <w:divBdr>
                <w:top w:val="none" w:sz="0" w:space="0" w:color="auto"/>
                <w:left w:val="none" w:sz="0" w:space="0" w:color="auto"/>
                <w:bottom w:val="none" w:sz="0" w:space="0" w:color="auto"/>
                <w:right w:val="none" w:sz="0" w:space="0" w:color="auto"/>
              </w:divBdr>
              <w:divsChild>
                <w:div w:id="831944147">
                  <w:marLeft w:val="0"/>
                  <w:marRight w:val="0"/>
                  <w:marTop w:val="0"/>
                  <w:marBottom w:val="0"/>
                  <w:divBdr>
                    <w:top w:val="none" w:sz="0" w:space="0" w:color="auto"/>
                    <w:left w:val="none" w:sz="0" w:space="0" w:color="auto"/>
                    <w:bottom w:val="none" w:sz="0" w:space="0" w:color="auto"/>
                    <w:right w:val="none" w:sz="0" w:space="0" w:color="auto"/>
                  </w:divBdr>
                </w:div>
              </w:divsChild>
            </w:div>
            <w:div w:id="1942835449">
              <w:marLeft w:val="0"/>
              <w:marRight w:val="0"/>
              <w:marTop w:val="0"/>
              <w:marBottom w:val="0"/>
              <w:divBdr>
                <w:top w:val="none" w:sz="0" w:space="0" w:color="auto"/>
                <w:left w:val="none" w:sz="0" w:space="0" w:color="auto"/>
                <w:bottom w:val="none" w:sz="0" w:space="0" w:color="auto"/>
                <w:right w:val="none" w:sz="0" w:space="0" w:color="auto"/>
              </w:divBdr>
              <w:divsChild>
                <w:div w:id="941034309">
                  <w:marLeft w:val="0"/>
                  <w:marRight w:val="0"/>
                  <w:marTop w:val="0"/>
                  <w:marBottom w:val="0"/>
                  <w:divBdr>
                    <w:top w:val="none" w:sz="0" w:space="0" w:color="auto"/>
                    <w:left w:val="none" w:sz="0" w:space="0" w:color="auto"/>
                    <w:bottom w:val="none" w:sz="0" w:space="0" w:color="auto"/>
                    <w:right w:val="none" w:sz="0" w:space="0" w:color="auto"/>
                  </w:divBdr>
                </w:div>
              </w:divsChild>
            </w:div>
            <w:div w:id="772238203">
              <w:marLeft w:val="0"/>
              <w:marRight w:val="0"/>
              <w:marTop w:val="0"/>
              <w:marBottom w:val="0"/>
              <w:divBdr>
                <w:top w:val="none" w:sz="0" w:space="0" w:color="auto"/>
                <w:left w:val="none" w:sz="0" w:space="0" w:color="auto"/>
                <w:bottom w:val="none" w:sz="0" w:space="0" w:color="auto"/>
                <w:right w:val="none" w:sz="0" w:space="0" w:color="auto"/>
              </w:divBdr>
              <w:divsChild>
                <w:div w:id="2090927966">
                  <w:marLeft w:val="0"/>
                  <w:marRight w:val="0"/>
                  <w:marTop w:val="0"/>
                  <w:marBottom w:val="0"/>
                  <w:divBdr>
                    <w:top w:val="none" w:sz="0" w:space="0" w:color="auto"/>
                    <w:left w:val="none" w:sz="0" w:space="0" w:color="auto"/>
                    <w:bottom w:val="none" w:sz="0" w:space="0" w:color="auto"/>
                    <w:right w:val="none" w:sz="0" w:space="0" w:color="auto"/>
                  </w:divBdr>
                </w:div>
              </w:divsChild>
            </w:div>
            <w:div w:id="249896473">
              <w:marLeft w:val="0"/>
              <w:marRight w:val="0"/>
              <w:marTop w:val="0"/>
              <w:marBottom w:val="0"/>
              <w:divBdr>
                <w:top w:val="none" w:sz="0" w:space="0" w:color="auto"/>
                <w:left w:val="none" w:sz="0" w:space="0" w:color="auto"/>
                <w:bottom w:val="none" w:sz="0" w:space="0" w:color="auto"/>
                <w:right w:val="none" w:sz="0" w:space="0" w:color="auto"/>
              </w:divBdr>
              <w:divsChild>
                <w:div w:id="1692147831">
                  <w:marLeft w:val="0"/>
                  <w:marRight w:val="0"/>
                  <w:marTop w:val="0"/>
                  <w:marBottom w:val="0"/>
                  <w:divBdr>
                    <w:top w:val="none" w:sz="0" w:space="0" w:color="auto"/>
                    <w:left w:val="none" w:sz="0" w:space="0" w:color="auto"/>
                    <w:bottom w:val="none" w:sz="0" w:space="0" w:color="auto"/>
                    <w:right w:val="none" w:sz="0" w:space="0" w:color="auto"/>
                  </w:divBdr>
                </w:div>
              </w:divsChild>
            </w:div>
            <w:div w:id="579877134">
              <w:marLeft w:val="0"/>
              <w:marRight w:val="0"/>
              <w:marTop w:val="0"/>
              <w:marBottom w:val="0"/>
              <w:divBdr>
                <w:top w:val="none" w:sz="0" w:space="0" w:color="auto"/>
                <w:left w:val="none" w:sz="0" w:space="0" w:color="auto"/>
                <w:bottom w:val="none" w:sz="0" w:space="0" w:color="auto"/>
                <w:right w:val="none" w:sz="0" w:space="0" w:color="auto"/>
              </w:divBdr>
              <w:divsChild>
                <w:div w:id="105214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629070">
      <w:bodyDiv w:val="1"/>
      <w:marLeft w:val="0"/>
      <w:marRight w:val="0"/>
      <w:marTop w:val="0"/>
      <w:marBottom w:val="0"/>
      <w:divBdr>
        <w:top w:val="none" w:sz="0" w:space="0" w:color="auto"/>
        <w:left w:val="none" w:sz="0" w:space="0" w:color="auto"/>
        <w:bottom w:val="none" w:sz="0" w:space="0" w:color="auto"/>
        <w:right w:val="none" w:sz="0" w:space="0" w:color="auto"/>
      </w:divBdr>
      <w:divsChild>
        <w:div w:id="1091463463">
          <w:marLeft w:val="0"/>
          <w:marRight w:val="0"/>
          <w:marTop w:val="0"/>
          <w:marBottom w:val="0"/>
          <w:divBdr>
            <w:top w:val="none" w:sz="0" w:space="0" w:color="auto"/>
            <w:left w:val="none" w:sz="0" w:space="0" w:color="auto"/>
            <w:bottom w:val="none" w:sz="0" w:space="0" w:color="auto"/>
            <w:right w:val="none" w:sz="0" w:space="0" w:color="auto"/>
          </w:divBdr>
          <w:divsChild>
            <w:div w:id="805853036">
              <w:marLeft w:val="0"/>
              <w:marRight w:val="0"/>
              <w:marTop w:val="0"/>
              <w:marBottom w:val="0"/>
              <w:divBdr>
                <w:top w:val="none" w:sz="0" w:space="0" w:color="auto"/>
                <w:left w:val="none" w:sz="0" w:space="0" w:color="auto"/>
                <w:bottom w:val="none" w:sz="0" w:space="0" w:color="auto"/>
                <w:right w:val="none" w:sz="0" w:space="0" w:color="auto"/>
              </w:divBdr>
              <w:divsChild>
                <w:div w:id="1271889877">
                  <w:marLeft w:val="0"/>
                  <w:marRight w:val="0"/>
                  <w:marTop w:val="0"/>
                  <w:marBottom w:val="0"/>
                  <w:divBdr>
                    <w:top w:val="none" w:sz="0" w:space="0" w:color="auto"/>
                    <w:left w:val="none" w:sz="0" w:space="0" w:color="auto"/>
                    <w:bottom w:val="none" w:sz="0" w:space="0" w:color="auto"/>
                    <w:right w:val="none" w:sz="0" w:space="0" w:color="auto"/>
                  </w:divBdr>
                </w:div>
              </w:divsChild>
            </w:div>
            <w:div w:id="932128240">
              <w:marLeft w:val="0"/>
              <w:marRight w:val="0"/>
              <w:marTop w:val="0"/>
              <w:marBottom w:val="0"/>
              <w:divBdr>
                <w:top w:val="none" w:sz="0" w:space="0" w:color="auto"/>
                <w:left w:val="none" w:sz="0" w:space="0" w:color="auto"/>
                <w:bottom w:val="none" w:sz="0" w:space="0" w:color="auto"/>
                <w:right w:val="none" w:sz="0" w:space="0" w:color="auto"/>
              </w:divBdr>
              <w:divsChild>
                <w:div w:id="2043746474">
                  <w:marLeft w:val="0"/>
                  <w:marRight w:val="0"/>
                  <w:marTop w:val="0"/>
                  <w:marBottom w:val="0"/>
                  <w:divBdr>
                    <w:top w:val="none" w:sz="0" w:space="0" w:color="auto"/>
                    <w:left w:val="none" w:sz="0" w:space="0" w:color="auto"/>
                    <w:bottom w:val="none" w:sz="0" w:space="0" w:color="auto"/>
                    <w:right w:val="none" w:sz="0" w:space="0" w:color="auto"/>
                  </w:divBdr>
                </w:div>
              </w:divsChild>
            </w:div>
            <w:div w:id="1937052311">
              <w:marLeft w:val="0"/>
              <w:marRight w:val="0"/>
              <w:marTop w:val="0"/>
              <w:marBottom w:val="0"/>
              <w:divBdr>
                <w:top w:val="none" w:sz="0" w:space="0" w:color="auto"/>
                <w:left w:val="none" w:sz="0" w:space="0" w:color="auto"/>
                <w:bottom w:val="none" w:sz="0" w:space="0" w:color="auto"/>
                <w:right w:val="none" w:sz="0" w:space="0" w:color="auto"/>
              </w:divBdr>
              <w:divsChild>
                <w:div w:id="215547913">
                  <w:marLeft w:val="0"/>
                  <w:marRight w:val="0"/>
                  <w:marTop w:val="0"/>
                  <w:marBottom w:val="0"/>
                  <w:divBdr>
                    <w:top w:val="none" w:sz="0" w:space="0" w:color="auto"/>
                    <w:left w:val="none" w:sz="0" w:space="0" w:color="auto"/>
                    <w:bottom w:val="none" w:sz="0" w:space="0" w:color="auto"/>
                    <w:right w:val="none" w:sz="0" w:space="0" w:color="auto"/>
                  </w:divBdr>
                </w:div>
              </w:divsChild>
            </w:div>
            <w:div w:id="788742561">
              <w:marLeft w:val="0"/>
              <w:marRight w:val="0"/>
              <w:marTop w:val="0"/>
              <w:marBottom w:val="0"/>
              <w:divBdr>
                <w:top w:val="none" w:sz="0" w:space="0" w:color="auto"/>
                <w:left w:val="none" w:sz="0" w:space="0" w:color="auto"/>
                <w:bottom w:val="none" w:sz="0" w:space="0" w:color="auto"/>
                <w:right w:val="none" w:sz="0" w:space="0" w:color="auto"/>
              </w:divBdr>
              <w:divsChild>
                <w:div w:id="855342030">
                  <w:marLeft w:val="0"/>
                  <w:marRight w:val="0"/>
                  <w:marTop w:val="0"/>
                  <w:marBottom w:val="0"/>
                  <w:divBdr>
                    <w:top w:val="none" w:sz="0" w:space="0" w:color="auto"/>
                    <w:left w:val="none" w:sz="0" w:space="0" w:color="auto"/>
                    <w:bottom w:val="none" w:sz="0" w:space="0" w:color="auto"/>
                    <w:right w:val="none" w:sz="0" w:space="0" w:color="auto"/>
                  </w:divBdr>
                </w:div>
              </w:divsChild>
            </w:div>
            <w:div w:id="878011047">
              <w:marLeft w:val="0"/>
              <w:marRight w:val="0"/>
              <w:marTop w:val="0"/>
              <w:marBottom w:val="0"/>
              <w:divBdr>
                <w:top w:val="none" w:sz="0" w:space="0" w:color="auto"/>
                <w:left w:val="none" w:sz="0" w:space="0" w:color="auto"/>
                <w:bottom w:val="none" w:sz="0" w:space="0" w:color="auto"/>
                <w:right w:val="none" w:sz="0" w:space="0" w:color="auto"/>
              </w:divBdr>
              <w:divsChild>
                <w:div w:id="135076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657897">
      <w:bodyDiv w:val="1"/>
      <w:marLeft w:val="0"/>
      <w:marRight w:val="0"/>
      <w:marTop w:val="0"/>
      <w:marBottom w:val="0"/>
      <w:divBdr>
        <w:top w:val="none" w:sz="0" w:space="0" w:color="auto"/>
        <w:left w:val="none" w:sz="0" w:space="0" w:color="auto"/>
        <w:bottom w:val="none" w:sz="0" w:space="0" w:color="auto"/>
        <w:right w:val="none" w:sz="0" w:space="0" w:color="auto"/>
      </w:divBdr>
      <w:divsChild>
        <w:div w:id="1298493858">
          <w:marLeft w:val="0"/>
          <w:marRight w:val="0"/>
          <w:marTop w:val="0"/>
          <w:marBottom w:val="0"/>
          <w:divBdr>
            <w:top w:val="none" w:sz="0" w:space="0" w:color="auto"/>
            <w:left w:val="none" w:sz="0" w:space="0" w:color="auto"/>
            <w:bottom w:val="none" w:sz="0" w:space="0" w:color="auto"/>
            <w:right w:val="none" w:sz="0" w:space="0" w:color="auto"/>
          </w:divBdr>
          <w:divsChild>
            <w:div w:id="1545675739">
              <w:marLeft w:val="0"/>
              <w:marRight w:val="0"/>
              <w:marTop w:val="0"/>
              <w:marBottom w:val="0"/>
              <w:divBdr>
                <w:top w:val="none" w:sz="0" w:space="0" w:color="auto"/>
                <w:left w:val="none" w:sz="0" w:space="0" w:color="auto"/>
                <w:bottom w:val="none" w:sz="0" w:space="0" w:color="auto"/>
                <w:right w:val="none" w:sz="0" w:space="0" w:color="auto"/>
              </w:divBdr>
              <w:divsChild>
                <w:div w:id="991374758">
                  <w:marLeft w:val="0"/>
                  <w:marRight w:val="0"/>
                  <w:marTop w:val="0"/>
                  <w:marBottom w:val="0"/>
                  <w:divBdr>
                    <w:top w:val="none" w:sz="0" w:space="0" w:color="auto"/>
                    <w:left w:val="none" w:sz="0" w:space="0" w:color="auto"/>
                    <w:bottom w:val="none" w:sz="0" w:space="0" w:color="auto"/>
                    <w:right w:val="none" w:sz="0" w:space="0" w:color="auto"/>
                  </w:divBdr>
                </w:div>
              </w:divsChild>
            </w:div>
            <w:div w:id="542136001">
              <w:marLeft w:val="0"/>
              <w:marRight w:val="0"/>
              <w:marTop w:val="0"/>
              <w:marBottom w:val="0"/>
              <w:divBdr>
                <w:top w:val="none" w:sz="0" w:space="0" w:color="auto"/>
                <w:left w:val="none" w:sz="0" w:space="0" w:color="auto"/>
                <w:bottom w:val="none" w:sz="0" w:space="0" w:color="auto"/>
                <w:right w:val="none" w:sz="0" w:space="0" w:color="auto"/>
              </w:divBdr>
              <w:divsChild>
                <w:div w:id="16679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391213">
      <w:bodyDiv w:val="1"/>
      <w:marLeft w:val="0"/>
      <w:marRight w:val="0"/>
      <w:marTop w:val="0"/>
      <w:marBottom w:val="0"/>
      <w:divBdr>
        <w:top w:val="none" w:sz="0" w:space="0" w:color="auto"/>
        <w:left w:val="none" w:sz="0" w:space="0" w:color="auto"/>
        <w:bottom w:val="none" w:sz="0" w:space="0" w:color="auto"/>
        <w:right w:val="none" w:sz="0" w:space="0" w:color="auto"/>
      </w:divBdr>
      <w:divsChild>
        <w:div w:id="942418169">
          <w:marLeft w:val="0"/>
          <w:marRight w:val="0"/>
          <w:marTop w:val="0"/>
          <w:marBottom w:val="0"/>
          <w:divBdr>
            <w:top w:val="none" w:sz="0" w:space="0" w:color="auto"/>
            <w:left w:val="none" w:sz="0" w:space="0" w:color="auto"/>
            <w:bottom w:val="none" w:sz="0" w:space="0" w:color="auto"/>
            <w:right w:val="none" w:sz="0" w:space="0" w:color="auto"/>
          </w:divBdr>
          <w:divsChild>
            <w:div w:id="403650058">
              <w:marLeft w:val="0"/>
              <w:marRight w:val="0"/>
              <w:marTop w:val="0"/>
              <w:marBottom w:val="0"/>
              <w:divBdr>
                <w:top w:val="none" w:sz="0" w:space="0" w:color="auto"/>
                <w:left w:val="none" w:sz="0" w:space="0" w:color="auto"/>
                <w:bottom w:val="none" w:sz="0" w:space="0" w:color="auto"/>
                <w:right w:val="none" w:sz="0" w:space="0" w:color="auto"/>
              </w:divBdr>
              <w:divsChild>
                <w:div w:id="107967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885077">
      <w:bodyDiv w:val="1"/>
      <w:marLeft w:val="0"/>
      <w:marRight w:val="0"/>
      <w:marTop w:val="0"/>
      <w:marBottom w:val="0"/>
      <w:divBdr>
        <w:top w:val="none" w:sz="0" w:space="0" w:color="auto"/>
        <w:left w:val="none" w:sz="0" w:space="0" w:color="auto"/>
        <w:bottom w:val="none" w:sz="0" w:space="0" w:color="auto"/>
        <w:right w:val="none" w:sz="0" w:space="0" w:color="auto"/>
      </w:divBdr>
      <w:divsChild>
        <w:div w:id="2080518828">
          <w:marLeft w:val="0"/>
          <w:marRight w:val="0"/>
          <w:marTop w:val="0"/>
          <w:marBottom w:val="0"/>
          <w:divBdr>
            <w:top w:val="none" w:sz="0" w:space="0" w:color="auto"/>
            <w:left w:val="none" w:sz="0" w:space="0" w:color="auto"/>
            <w:bottom w:val="none" w:sz="0" w:space="0" w:color="auto"/>
            <w:right w:val="none" w:sz="0" w:space="0" w:color="auto"/>
          </w:divBdr>
          <w:divsChild>
            <w:div w:id="2098211646">
              <w:marLeft w:val="0"/>
              <w:marRight w:val="0"/>
              <w:marTop w:val="0"/>
              <w:marBottom w:val="0"/>
              <w:divBdr>
                <w:top w:val="none" w:sz="0" w:space="0" w:color="auto"/>
                <w:left w:val="none" w:sz="0" w:space="0" w:color="auto"/>
                <w:bottom w:val="none" w:sz="0" w:space="0" w:color="auto"/>
                <w:right w:val="none" w:sz="0" w:space="0" w:color="auto"/>
              </w:divBdr>
              <w:divsChild>
                <w:div w:id="10592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1437</Words>
  <Characters>8193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Reynalyn Helm</dc:creator>
  <cp:keywords/>
  <dc:description/>
  <cp:lastModifiedBy>Maria Reynalyn Helm</cp:lastModifiedBy>
  <cp:revision>2</cp:revision>
  <dcterms:created xsi:type="dcterms:W3CDTF">2024-01-18T19:46:00Z</dcterms:created>
  <dcterms:modified xsi:type="dcterms:W3CDTF">2024-01-18T19:46:00Z</dcterms:modified>
</cp:coreProperties>
</file>