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386" w:rsidRDefault="00141386" w:rsidP="00141386">
      <w:pPr>
        <w:jc w:val="right"/>
        <w:rPr>
          <w:rFonts w:ascii="Times New Roman" w:hAnsi="Times New Roman" w:cs="Times New Roman"/>
          <w:b/>
          <w:sz w:val="24"/>
        </w:rPr>
      </w:pPr>
      <w:r w:rsidRPr="00141386">
        <w:rPr>
          <w:rFonts w:ascii="Times New Roman" w:hAnsi="Times New Roman" w:cs="Times New Roman"/>
          <w:b/>
          <w:sz w:val="24"/>
        </w:rPr>
        <w:t>Poster Type</w:t>
      </w:r>
      <w:r>
        <w:rPr>
          <w:rFonts w:ascii="Times New Roman" w:hAnsi="Times New Roman" w:cs="Times New Roman"/>
          <w:b/>
          <w:sz w:val="24"/>
        </w:rPr>
        <w:t xml:space="preserve"> (Research)</w:t>
      </w:r>
    </w:p>
    <w:p w:rsidR="00141386" w:rsidRPr="00141386" w:rsidRDefault="00141386" w:rsidP="00141386">
      <w:pPr>
        <w:jc w:val="center"/>
        <w:rPr>
          <w:rFonts w:ascii="Times New Roman" w:hAnsi="Times New Roman" w:cs="Times New Roman"/>
          <w:b/>
          <w:sz w:val="24"/>
        </w:rPr>
      </w:pPr>
      <w:r w:rsidRPr="00141386">
        <w:rPr>
          <w:rFonts w:ascii="Times New Roman" w:hAnsi="Times New Roman" w:cs="Times New Roman"/>
          <w:b/>
          <w:sz w:val="24"/>
        </w:rPr>
        <w:t>Becoming Teachers: Beliefs, Attitudes, and Intent to Teach Agricultural Education</w:t>
      </w:r>
    </w:p>
    <w:p w:rsidR="00141386" w:rsidRDefault="00141386" w:rsidP="00141386">
      <w:pPr>
        <w:jc w:val="center"/>
        <w:rPr>
          <w:rFonts w:ascii="Times New Roman" w:hAnsi="Times New Roman" w:cs="Times New Roman"/>
          <w:b/>
          <w:sz w:val="24"/>
        </w:rPr>
      </w:pPr>
    </w:p>
    <w:p w:rsidR="00141386" w:rsidRPr="00141386" w:rsidRDefault="00141386" w:rsidP="00141386">
      <w:pPr>
        <w:spacing w:after="0" w:line="240" w:lineRule="auto"/>
        <w:jc w:val="center"/>
        <w:rPr>
          <w:rFonts w:ascii="Times New Roman" w:eastAsia="Times New Roman" w:hAnsi="Times New Roman" w:cs="Times New Roman"/>
          <w:b/>
          <w:sz w:val="24"/>
          <w:szCs w:val="24"/>
        </w:rPr>
      </w:pPr>
      <w:r w:rsidRPr="00141386">
        <w:rPr>
          <w:rFonts w:ascii="Times New Roman" w:eastAsia="Times New Roman" w:hAnsi="Times New Roman" w:cs="Times New Roman"/>
          <w:b/>
          <w:sz w:val="24"/>
          <w:szCs w:val="24"/>
        </w:rPr>
        <w:t>Rebecca G. Lawver</w:t>
      </w:r>
    </w:p>
    <w:p w:rsidR="00141386" w:rsidRPr="00141386" w:rsidRDefault="00141386" w:rsidP="00141386">
      <w:pPr>
        <w:spacing w:after="0" w:line="240" w:lineRule="auto"/>
        <w:jc w:val="center"/>
        <w:rPr>
          <w:rFonts w:ascii="Times New Roman" w:eastAsia="Times New Roman" w:hAnsi="Times New Roman" w:cs="Times New Roman"/>
          <w:sz w:val="24"/>
          <w:szCs w:val="24"/>
        </w:rPr>
      </w:pPr>
      <w:smartTag w:uri="urn:schemas-microsoft-com:office:smarttags" w:element="place">
        <w:smartTag w:uri="urn:schemas-microsoft-com:office:smarttags" w:element="PlaceName">
          <w:r w:rsidRPr="00141386">
            <w:rPr>
              <w:rFonts w:ascii="Times New Roman" w:eastAsia="Times New Roman" w:hAnsi="Times New Roman" w:cs="Times New Roman"/>
              <w:sz w:val="24"/>
              <w:szCs w:val="24"/>
            </w:rPr>
            <w:t>Utah</w:t>
          </w:r>
        </w:smartTag>
        <w:r w:rsidRPr="00141386">
          <w:rPr>
            <w:rFonts w:ascii="Times New Roman" w:eastAsia="Times New Roman" w:hAnsi="Times New Roman" w:cs="Times New Roman"/>
            <w:sz w:val="24"/>
            <w:szCs w:val="24"/>
          </w:rPr>
          <w:t xml:space="preserve"> </w:t>
        </w:r>
        <w:smartTag w:uri="urn:schemas-microsoft-com:office:smarttags" w:element="PlaceType">
          <w:r w:rsidRPr="00141386">
            <w:rPr>
              <w:rFonts w:ascii="Times New Roman" w:eastAsia="Times New Roman" w:hAnsi="Times New Roman" w:cs="Times New Roman"/>
              <w:sz w:val="24"/>
              <w:szCs w:val="24"/>
            </w:rPr>
            <w:t>State</w:t>
          </w:r>
        </w:smartTag>
        <w:r w:rsidRPr="00141386">
          <w:rPr>
            <w:rFonts w:ascii="Times New Roman" w:eastAsia="Times New Roman" w:hAnsi="Times New Roman" w:cs="Times New Roman"/>
            <w:sz w:val="24"/>
            <w:szCs w:val="24"/>
          </w:rPr>
          <w:t xml:space="preserve"> </w:t>
        </w:r>
        <w:smartTag w:uri="urn:schemas-microsoft-com:office:smarttags" w:element="PlaceType">
          <w:r w:rsidRPr="00141386">
            <w:rPr>
              <w:rFonts w:ascii="Times New Roman" w:eastAsia="Times New Roman" w:hAnsi="Times New Roman" w:cs="Times New Roman"/>
              <w:sz w:val="24"/>
              <w:szCs w:val="24"/>
            </w:rPr>
            <w:t>University</w:t>
          </w:r>
        </w:smartTag>
      </w:smartTag>
    </w:p>
    <w:p w:rsidR="00141386" w:rsidRPr="00141386" w:rsidRDefault="00141386" w:rsidP="00141386">
      <w:pPr>
        <w:spacing w:after="0" w:line="240" w:lineRule="auto"/>
        <w:jc w:val="center"/>
        <w:rPr>
          <w:rFonts w:ascii="Times New Roman" w:eastAsia="Times New Roman" w:hAnsi="Times New Roman" w:cs="Times New Roman"/>
          <w:sz w:val="24"/>
          <w:szCs w:val="24"/>
        </w:rPr>
      </w:pPr>
      <w:r w:rsidRPr="00141386">
        <w:rPr>
          <w:rFonts w:ascii="Times New Roman" w:eastAsia="Times New Roman" w:hAnsi="Times New Roman" w:cs="Times New Roman"/>
          <w:sz w:val="24"/>
          <w:szCs w:val="24"/>
        </w:rPr>
        <w:t>2300 Old Main Hill</w:t>
      </w:r>
    </w:p>
    <w:p w:rsidR="00141386" w:rsidRPr="00141386" w:rsidRDefault="00141386" w:rsidP="00141386">
      <w:pPr>
        <w:spacing w:after="0" w:line="240" w:lineRule="auto"/>
        <w:jc w:val="center"/>
        <w:rPr>
          <w:rFonts w:ascii="Times New Roman" w:eastAsia="Times New Roman" w:hAnsi="Times New Roman" w:cs="Times New Roman"/>
          <w:sz w:val="24"/>
          <w:szCs w:val="24"/>
        </w:rPr>
      </w:pPr>
      <w:smartTag w:uri="urn:schemas-microsoft-com:office:smarttags" w:element="place">
        <w:smartTag w:uri="urn:schemas-microsoft-com:office:smarttags" w:element="City">
          <w:r w:rsidRPr="00141386">
            <w:rPr>
              <w:rFonts w:ascii="Times New Roman" w:eastAsia="Times New Roman" w:hAnsi="Times New Roman" w:cs="Times New Roman"/>
              <w:sz w:val="24"/>
              <w:szCs w:val="24"/>
            </w:rPr>
            <w:t>Logan</w:t>
          </w:r>
        </w:smartTag>
        <w:r w:rsidRPr="00141386">
          <w:rPr>
            <w:rFonts w:ascii="Times New Roman" w:eastAsia="Times New Roman" w:hAnsi="Times New Roman" w:cs="Times New Roman"/>
            <w:sz w:val="24"/>
            <w:szCs w:val="24"/>
          </w:rPr>
          <w:t xml:space="preserve">, </w:t>
        </w:r>
        <w:smartTag w:uri="urn:schemas-microsoft-com:office:smarttags" w:element="State">
          <w:r w:rsidRPr="00141386">
            <w:rPr>
              <w:rFonts w:ascii="Times New Roman" w:eastAsia="Times New Roman" w:hAnsi="Times New Roman" w:cs="Times New Roman"/>
              <w:sz w:val="24"/>
              <w:szCs w:val="24"/>
            </w:rPr>
            <w:t>UT</w:t>
          </w:r>
        </w:smartTag>
        <w:r w:rsidRPr="00141386">
          <w:rPr>
            <w:rFonts w:ascii="Times New Roman" w:eastAsia="Times New Roman" w:hAnsi="Times New Roman" w:cs="Times New Roman"/>
            <w:sz w:val="24"/>
            <w:szCs w:val="24"/>
          </w:rPr>
          <w:t xml:space="preserve"> </w:t>
        </w:r>
        <w:smartTag w:uri="urn:schemas-microsoft-com:office:smarttags" w:element="PostalCode">
          <w:r w:rsidRPr="00141386">
            <w:rPr>
              <w:rFonts w:ascii="Times New Roman" w:eastAsia="Times New Roman" w:hAnsi="Times New Roman" w:cs="Times New Roman"/>
              <w:sz w:val="24"/>
              <w:szCs w:val="24"/>
            </w:rPr>
            <w:t>84322-2300</w:t>
          </w:r>
        </w:smartTag>
      </w:smartTag>
    </w:p>
    <w:p w:rsidR="00141386" w:rsidRPr="00141386" w:rsidRDefault="00141386" w:rsidP="00141386">
      <w:pPr>
        <w:spacing w:after="0" w:line="240" w:lineRule="auto"/>
        <w:jc w:val="center"/>
        <w:rPr>
          <w:rFonts w:ascii="Times New Roman" w:eastAsia="Times New Roman" w:hAnsi="Times New Roman" w:cs="Times New Roman"/>
          <w:sz w:val="24"/>
          <w:szCs w:val="24"/>
        </w:rPr>
      </w:pPr>
      <w:r w:rsidRPr="00141386">
        <w:rPr>
          <w:rFonts w:ascii="Times New Roman" w:eastAsia="Times New Roman" w:hAnsi="Times New Roman" w:cs="Times New Roman"/>
          <w:sz w:val="24"/>
          <w:szCs w:val="24"/>
        </w:rPr>
        <w:t>435-797-1254</w:t>
      </w:r>
    </w:p>
    <w:p w:rsidR="00141386" w:rsidRDefault="00141386" w:rsidP="00141386">
      <w:pPr>
        <w:spacing w:after="0" w:line="240" w:lineRule="auto"/>
        <w:jc w:val="center"/>
        <w:rPr>
          <w:rFonts w:ascii="Times New Roman" w:eastAsia="Times New Roman" w:hAnsi="Times New Roman" w:cs="Times New Roman"/>
          <w:sz w:val="24"/>
          <w:szCs w:val="24"/>
        </w:rPr>
      </w:pPr>
      <w:hyperlink r:id="rId7" w:history="1">
        <w:r w:rsidRPr="00141386">
          <w:rPr>
            <w:rFonts w:ascii="Times New Roman" w:eastAsia="Times New Roman" w:hAnsi="Times New Roman" w:cs="Times New Roman"/>
            <w:color w:val="0000FF"/>
            <w:sz w:val="24"/>
            <w:szCs w:val="24"/>
            <w:u w:val="single"/>
          </w:rPr>
          <w:t>Rebecca.Lawver@usu.edu</w:t>
        </w:r>
      </w:hyperlink>
    </w:p>
    <w:p w:rsidR="00141386" w:rsidRDefault="00141386" w:rsidP="00141386">
      <w:pPr>
        <w:spacing w:after="0" w:line="240" w:lineRule="auto"/>
        <w:jc w:val="center"/>
        <w:rPr>
          <w:rFonts w:ascii="Times New Roman" w:eastAsia="Times New Roman" w:hAnsi="Times New Roman" w:cs="Times New Roman"/>
          <w:sz w:val="24"/>
          <w:szCs w:val="24"/>
        </w:rPr>
      </w:pPr>
    </w:p>
    <w:p w:rsidR="00141386" w:rsidRDefault="00141386" w:rsidP="0014138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Robert M. Torres</w:t>
      </w:r>
    </w:p>
    <w:p w:rsidR="00141386" w:rsidRDefault="00141386" w:rsidP="0014138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Missouri</w:t>
      </w:r>
    </w:p>
    <w:p w:rsidR="00141386" w:rsidRDefault="00141386" w:rsidP="0014138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126 Gentry Hall</w:t>
      </w:r>
    </w:p>
    <w:p w:rsidR="00141386" w:rsidRDefault="00141386" w:rsidP="0014138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Columbia, MO 65211</w:t>
      </w:r>
    </w:p>
    <w:p w:rsidR="00141386" w:rsidRDefault="00141386" w:rsidP="0014138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573-884-7376</w:t>
      </w:r>
    </w:p>
    <w:p w:rsidR="00141386" w:rsidRDefault="00141386" w:rsidP="00141386">
      <w:pPr>
        <w:spacing w:after="0" w:line="240" w:lineRule="auto"/>
        <w:jc w:val="center"/>
        <w:rPr>
          <w:rFonts w:ascii="Times New Roman" w:eastAsia="Times New Roman" w:hAnsi="Times New Roman" w:cs="Times New Roman"/>
          <w:sz w:val="24"/>
          <w:szCs w:val="24"/>
        </w:rPr>
      </w:pPr>
      <w:hyperlink r:id="rId8" w:history="1">
        <w:r w:rsidRPr="00141386">
          <w:rPr>
            <w:rStyle w:val="Hyperlink"/>
            <w:rFonts w:ascii="Times New Roman" w:eastAsia="Times New Roman" w:hAnsi="Times New Roman" w:cs="Times New Roman"/>
            <w:sz w:val="24"/>
            <w:szCs w:val="24"/>
          </w:rPr>
          <w:t>TorresR@missouri.edu</w:t>
        </w:r>
      </w:hyperlink>
      <w:r w:rsidRPr="001413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rsidR="00141386" w:rsidRPr="00141386" w:rsidRDefault="00141386" w:rsidP="00141386">
      <w:pPr>
        <w:spacing w:after="0" w:line="240" w:lineRule="auto"/>
        <w:jc w:val="center"/>
        <w:rPr>
          <w:rFonts w:ascii="Times New Roman" w:eastAsia="Times New Roman" w:hAnsi="Times New Roman" w:cs="Times New Roman"/>
          <w:sz w:val="24"/>
          <w:szCs w:val="24"/>
        </w:rPr>
      </w:pPr>
    </w:p>
    <w:p w:rsidR="00141386" w:rsidRPr="00141386" w:rsidRDefault="00141386" w:rsidP="00141386">
      <w:pPr>
        <w:jc w:val="center"/>
        <w:rPr>
          <w:rFonts w:ascii="Times New Roman" w:hAnsi="Times New Roman" w:cs="Times New Roman"/>
          <w:b/>
          <w:sz w:val="24"/>
        </w:rPr>
      </w:pPr>
      <w:r w:rsidRPr="00141386">
        <w:rPr>
          <w:rFonts w:ascii="Times New Roman" w:hAnsi="Times New Roman" w:cs="Times New Roman"/>
          <w:b/>
          <w:sz w:val="24"/>
        </w:rPr>
        <w:br w:type="page"/>
      </w:r>
    </w:p>
    <w:p w:rsidR="00913D3A" w:rsidRPr="00141386" w:rsidRDefault="002A672E" w:rsidP="002A672E">
      <w:pPr>
        <w:jc w:val="center"/>
        <w:rPr>
          <w:rFonts w:ascii="Times New Roman" w:hAnsi="Times New Roman" w:cs="Times New Roman"/>
          <w:b/>
          <w:sz w:val="24"/>
        </w:rPr>
      </w:pPr>
      <w:r w:rsidRPr="00141386">
        <w:rPr>
          <w:rFonts w:ascii="Times New Roman" w:hAnsi="Times New Roman" w:cs="Times New Roman"/>
          <w:b/>
          <w:sz w:val="24"/>
        </w:rPr>
        <w:lastRenderedPageBreak/>
        <w:t>Becoming Teachers: Beliefs, Attitudes, and Intent to Teach Agricultural Education</w:t>
      </w:r>
    </w:p>
    <w:p w:rsidR="002A672E" w:rsidRDefault="002A672E" w:rsidP="00F92F20">
      <w:pPr>
        <w:spacing w:after="0" w:line="240" w:lineRule="auto"/>
        <w:jc w:val="center"/>
        <w:rPr>
          <w:rFonts w:ascii="Times New Roman" w:hAnsi="Times New Roman" w:cs="Times New Roman"/>
          <w:b/>
          <w:sz w:val="24"/>
        </w:rPr>
      </w:pPr>
      <w:r w:rsidRPr="00141386">
        <w:rPr>
          <w:rFonts w:ascii="Times New Roman" w:hAnsi="Times New Roman" w:cs="Times New Roman"/>
          <w:b/>
          <w:sz w:val="24"/>
        </w:rPr>
        <w:t>Introduction</w:t>
      </w:r>
    </w:p>
    <w:p w:rsidR="00F92F20" w:rsidRPr="00141386" w:rsidRDefault="00F92F20" w:rsidP="00F92F20">
      <w:pPr>
        <w:spacing w:after="0" w:line="240" w:lineRule="auto"/>
        <w:jc w:val="center"/>
        <w:rPr>
          <w:rFonts w:ascii="Times New Roman" w:hAnsi="Times New Roman" w:cs="Times New Roman"/>
          <w:b/>
          <w:sz w:val="24"/>
        </w:rPr>
      </w:pPr>
    </w:p>
    <w:p w:rsidR="00141386" w:rsidRDefault="002A672E" w:rsidP="00F92F20">
      <w:pPr>
        <w:spacing w:after="0" w:line="240" w:lineRule="auto"/>
        <w:rPr>
          <w:rFonts w:ascii="Times New Roman" w:hAnsi="Times New Roman" w:cs="Times New Roman"/>
          <w:sz w:val="24"/>
        </w:rPr>
      </w:pPr>
      <w:r>
        <w:rPr>
          <w:rFonts w:ascii="Times New Roman" w:hAnsi="Times New Roman" w:cs="Times New Roman"/>
          <w:sz w:val="24"/>
        </w:rPr>
        <w:t>Recruiting students into agricultural education teacher education programs is a critical component in maintaining and growing secondary agricultural education programs across the country. A national study of the supply and de</w:t>
      </w:r>
      <w:r w:rsidR="00141386">
        <w:rPr>
          <w:rFonts w:ascii="Times New Roman" w:hAnsi="Times New Roman" w:cs="Times New Roman"/>
          <w:sz w:val="24"/>
        </w:rPr>
        <w:t xml:space="preserve">mand for Agricultural Education, </w:t>
      </w:r>
      <w:r w:rsidR="00141386" w:rsidRPr="00141386">
        <w:rPr>
          <w:rFonts w:ascii="Times New Roman" w:hAnsi="Times New Roman" w:cs="Times New Roman"/>
          <w:sz w:val="24"/>
        </w:rPr>
        <w:t>Kantrovich</w:t>
      </w:r>
      <w:r w:rsidR="00141386">
        <w:rPr>
          <w:rFonts w:ascii="Times New Roman" w:hAnsi="Times New Roman" w:cs="Times New Roman"/>
          <w:sz w:val="24"/>
        </w:rPr>
        <w:t xml:space="preserve"> (2007) </w:t>
      </w:r>
      <w:r>
        <w:rPr>
          <w:rFonts w:ascii="Times New Roman" w:hAnsi="Times New Roman" w:cs="Times New Roman"/>
          <w:sz w:val="24"/>
        </w:rPr>
        <w:t>reported that almost half of new teacher education graduates in agricultural education chose careers other than classroom teaching. This bec</w:t>
      </w:r>
      <w:r w:rsidR="006766F7">
        <w:rPr>
          <w:rFonts w:ascii="Times New Roman" w:hAnsi="Times New Roman" w:cs="Times New Roman"/>
          <w:sz w:val="24"/>
        </w:rPr>
        <w:t xml:space="preserve">omes problematic as the number </w:t>
      </w:r>
      <w:r>
        <w:rPr>
          <w:rFonts w:ascii="Times New Roman" w:hAnsi="Times New Roman" w:cs="Times New Roman"/>
          <w:sz w:val="24"/>
        </w:rPr>
        <w:t>of positions are either left unfilled, are closed entirely, or administrators are forced to hire uncertified or alternatively certified teachers</w:t>
      </w:r>
      <w:r w:rsidR="00141386">
        <w:rPr>
          <w:rFonts w:ascii="Times New Roman" w:hAnsi="Times New Roman" w:cs="Times New Roman"/>
          <w:sz w:val="24"/>
        </w:rPr>
        <w:t xml:space="preserve"> </w:t>
      </w:r>
      <w:r w:rsidR="00141386" w:rsidRPr="00141386">
        <w:rPr>
          <w:rFonts w:ascii="Times New Roman" w:hAnsi="Times New Roman" w:cs="Times New Roman"/>
          <w:sz w:val="24"/>
        </w:rPr>
        <w:t>(Roberts &amp; Dyer, 2004</w:t>
      </w:r>
      <w:r w:rsidR="00141386">
        <w:rPr>
          <w:rFonts w:ascii="Times New Roman" w:hAnsi="Times New Roman" w:cs="Times New Roman"/>
          <w:sz w:val="24"/>
        </w:rPr>
        <w:t>).</w:t>
      </w:r>
      <w:r w:rsidR="00141386" w:rsidRPr="00141386">
        <w:rPr>
          <w:rFonts w:ascii="Times New Roman" w:hAnsi="Times New Roman" w:cs="Times New Roman"/>
          <w:sz w:val="24"/>
        </w:rPr>
        <w:t>The strength of the agricultural education profession hinges on several variables including state and federal legislation, funding, public perception and local administration, but also on the recruitment of graduates into the profession (Kantrovich).</w:t>
      </w:r>
      <w:r w:rsidR="00141386">
        <w:rPr>
          <w:rFonts w:ascii="Times New Roman" w:hAnsi="Times New Roman" w:cs="Times New Roman"/>
          <w:sz w:val="24"/>
        </w:rPr>
        <w:t xml:space="preserve"> For teacher educators to continue to recruit students into their programs, the factors that influence students’ decisions to teach secondary agricultural education must be learned. </w:t>
      </w:r>
    </w:p>
    <w:p w:rsidR="002A672E" w:rsidRDefault="002A672E" w:rsidP="00F92F20">
      <w:pPr>
        <w:spacing w:after="0" w:line="240" w:lineRule="auto"/>
        <w:jc w:val="center"/>
        <w:rPr>
          <w:rFonts w:ascii="Times New Roman" w:hAnsi="Times New Roman" w:cs="Times New Roman"/>
          <w:b/>
          <w:sz w:val="24"/>
        </w:rPr>
      </w:pPr>
      <w:r w:rsidRPr="00141386">
        <w:rPr>
          <w:rFonts w:ascii="Times New Roman" w:hAnsi="Times New Roman" w:cs="Times New Roman"/>
          <w:b/>
          <w:sz w:val="24"/>
        </w:rPr>
        <w:t>Theoretical Framework</w:t>
      </w:r>
    </w:p>
    <w:p w:rsidR="00F92F20" w:rsidRPr="00141386" w:rsidRDefault="00F92F20" w:rsidP="00F92F20">
      <w:pPr>
        <w:spacing w:after="0" w:line="240" w:lineRule="auto"/>
        <w:jc w:val="center"/>
        <w:rPr>
          <w:rFonts w:ascii="Times New Roman" w:hAnsi="Times New Roman" w:cs="Times New Roman"/>
          <w:b/>
          <w:sz w:val="24"/>
        </w:rPr>
      </w:pPr>
    </w:p>
    <w:p w:rsidR="00141386" w:rsidRPr="00141386" w:rsidRDefault="00141386" w:rsidP="00F92F20">
      <w:pPr>
        <w:spacing w:after="0" w:line="240" w:lineRule="auto"/>
        <w:rPr>
          <w:rFonts w:ascii="Times New Roman" w:hAnsi="Times New Roman" w:cs="Times New Roman"/>
          <w:sz w:val="24"/>
        </w:rPr>
      </w:pPr>
      <w:r w:rsidRPr="00141386">
        <w:rPr>
          <w:rFonts w:ascii="Times New Roman" w:hAnsi="Times New Roman" w:cs="Times New Roman"/>
          <w:sz w:val="24"/>
        </w:rPr>
        <w:t xml:space="preserve">Fishbein and Ajzen (1975) provide the framework for which to better understand antecedents to behaviors. </w:t>
      </w:r>
      <w:r w:rsidR="00F92F20">
        <w:rPr>
          <w:rFonts w:ascii="Times New Roman" w:hAnsi="Times New Roman" w:cs="Times New Roman"/>
          <w:sz w:val="24"/>
        </w:rPr>
        <w:t>F</w:t>
      </w:r>
      <w:r w:rsidR="00F92F20" w:rsidRPr="00141386">
        <w:rPr>
          <w:rFonts w:ascii="Times New Roman" w:hAnsi="Times New Roman" w:cs="Times New Roman"/>
          <w:sz w:val="24"/>
        </w:rPr>
        <w:t>urthermore</w:t>
      </w:r>
      <w:r w:rsidRPr="00141386">
        <w:rPr>
          <w:rFonts w:ascii="Times New Roman" w:hAnsi="Times New Roman" w:cs="Times New Roman"/>
          <w:sz w:val="24"/>
        </w:rPr>
        <w:t xml:space="preserve">, the Expectancy-Value theory is directly linked to Fishbein and Ajzen’s theory with the core belief that behavior is a function of the expectancies an individual has and the value of the goal toward which the individual is working (Watt &amp; Richardson, 2007). The Expectancy-Value theory is the overarching theory in which this study is based upon. </w:t>
      </w:r>
    </w:p>
    <w:p w:rsidR="00F92F20" w:rsidRDefault="00F92F20" w:rsidP="00F92F20">
      <w:pPr>
        <w:spacing w:after="0" w:line="240" w:lineRule="auto"/>
        <w:rPr>
          <w:rFonts w:ascii="Times New Roman" w:hAnsi="Times New Roman" w:cs="Times New Roman"/>
          <w:sz w:val="24"/>
        </w:rPr>
      </w:pPr>
    </w:p>
    <w:p w:rsidR="00F92F20" w:rsidRDefault="00F92F20" w:rsidP="00F92F20">
      <w:pPr>
        <w:spacing w:after="0" w:line="240" w:lineRule="auto"/>
        <w:rPr>
          <w:rFonts w:ascii="Times New Roman" w:hAnsi="Times New Roman" w:cs="Times New Roman"/>
          <w:b/>
          <w:sz w:val="24"/>
        </w:rPr>
      </w:pPr>
      <w:r>
        <w:rPr>
          <w:rFonts w:ascii="Times New Roman" w:hAnsi="Times New Roman" w:cs="Times New Roman"/>
          <w:sz w:val="24"/>
        </w:rPr>
        <w:t>Additionally, t</w:t>
      </w:r>
      <w:r w:rsidR="00141386" w:rsidRPr="00141386">
        <w:rPr>
          <w:rFonts w:ascii="Times New Roman" w:hAnsi="Times New Roman" w:cs="Times New Roman"/>
          <w:sz w:val="24"/>
        </w:rPr>
        <w:t>he F</w:t>
      </w:r>
      <w:r>
        <w:rPr>
          <w:rFonts w:ascii="Times New Roman" w:hAnsi="Times New Roman" w:cs="Times New Roman"/>
          <w:sz w:val="24"/>
        </w:rPr>
        <w:t xml:space="preserve">actors </w:t>
      </w:r>
      <w:r w:rsidR="00141386" w:rsidRPr="00141386">
        <w:rPr>
          <w:rFonts w:ascii="Times New Roman" w:hAnsi="Times New Roman" w:cs="Times New Roman"/>
          <w:sz w:val="24"/>
        </w:rPr>
        <w:t>I</w:t>
      </w:r>
      <w:r>
        <w:rPr>
          <w:rFonts w:ascii="Times New Roman" w:hAnsi="Times New Roman" w:cs="Times New Roman"/>
          <w:sz w:val="24"/>
        </w:rPr>
        <w:t xml:space="preserve">nfluencing </w:t>
      </w:r>
      <w:r w:rsidR="00141386" w:rsidRPr="00141386">
        <w:rPr>
          <w:rFonts w:ascii="Times New Roman" w:hAnsi="Times New Roman" w:cs="Times New Roman"/>
          <w:sz w:val="24"/>
        </w:rPr>
        <w:t>T</w:t>
      </w:r>
      <w:r>
        <w:rPr>
          <w:rFonts w:ascii="Times New Roman" w:hAnsi="Times New Roman" w:cs="Times New Roman"/>
          <w:sz w:val="24"/>
        </w:rPr>
        <w:t>eaching</w:t>
      </w:r>
      <w:r w:rsidR="00141386" w:rsidRPr="00141386">
        <w:rPr>
          <w:rFonts w:ascii="Times New Roman" w:hAnsi="Times New Roman" w:cs="Times New Roman"/>
          <w:sz w:val="24"/>
        </w:rPr>
        <w:t>-Choice</w:t>
      </w:r>
      <w:r>
        <w:rPr>
          <w:rFonts w:ascii="Times New Roman" w:hAnsi="Times New Roman" w:cs="Times New Roman"/>
          <w:sz w:val="24"/>
        </w:rPr>
        <w:t xml:space="preserve"> (FIT-Choice®)</w:t>
      </w:r>
      <w:r w:rsidR="00141386" w:rsidRPr="00141386">
        <w:rPr>
          <w:rFonts w:ascii="Times New Roman" w:hAnsi="Times New Roman" w:cs="Times New Roman"/>
          <w:sz w:val="24"/>
        </w:rPr>
        <w:t xml:space="preserve"> framework provides a comprehensive model to guide systematic investigation into the question of why people choose teaching (Richardson &amp; Watt, 2006). </w:t>
      </w:r>
      <w:r>
        <w:rPr>
          <w:rFonts w:ascii="Times New Roman" w:hAnsi="Times New Roman" w:cs="Times New Roman"/>
          <w:sz w:val="24"/>
        </w:rPr>
        <w:t xml:space="preserve">The FIT-Choice® framework </w:t>
      </w:r>
      <w:r w:rsidR="00141386" w:rsidRPr="00141386">
        <w:rPr>
          <w:rFonts w:ascii="Times New Roman" w:hAnsi="Times New Roman" w:cs="Times New Roman"/>
          <w:sz w:val="24"/>
        </w:rPr>
        <w:t>determines the strength of influence for a range of attitude, motivation and intent from individuals choosing teaching as a career, this framework, founded on the Expectancy-Value theory, provides a comprehensive model to guide systematic investigation into the question of why people choose teaching as a career (Richardson &amp; Watt).</w:t>
      </w:r>
      <w:r w:rsidR="006766F7">
        <w:rPr>
          <w:rFonts w:ascii="Times New Roman" w:hAnsi="Times New Roman" w:cs="Times New Roman"/>
          <w:sz w:val="24"/>
        </w:rPr>
        <w:t xml:space="preserve"> </w:t>
      </w:r>
      <w:r w:rsidR="006766F7" w:rsidRPr="00141386">
        <w:rPr>
          <w:rFonts w:ascii="Times New Roman" w:hAnsi="Times New Roman" w:cs="Times New Roman"/>
          <w:sz w:val="24"/>
        </w:rPr>
        <w:t>Understanding students’ motivations for choosing a teaching as a career has implications for teacher education, curriculum design, and recruitment.</w:t>
      </w:r>
    </w:p>
    <w:p w:rsidR="00F92F20" w:rsidRDefault="00F92F20" w:rsidP="00F92F20">
      <w:pPr>
        <w:spacing w:after="0" w:line="240" w:lineRule="auto"/>
        <w:jc w:val="center"/>
        <w:rPr>
          <w:rFonts w:ascii="Times New Roman" w:hAnsi="Times New Roman" w:cs="Times New Roman"/>
          <w:b/>
          <w:sz w:val="24"/>
        </w:rPr>
      </w:pPr>
    </w:p>
    <w:p w:rsidR="002A672E" w:rsidRPr="00141386" w:rsidRDefault="002A672E" w:rsidP="00F92F20">
      <w:pPr>
        <w:spacing w:after="0" w:line="240" w:lineRule="auto"/>
        <w:jc w:val="center"/>
        <w:rPr>
          <w:rFonts w:ascii="Times New Roman" w:hAnsi="Times New Roman" w:cs="Times New Roman"/>
          <w:b/>
          <w:sz w:val="24"/>
        </w:rPr>
      </w:pPr>
      <w:r w:rsidRPr="00141386">
        <w:rPr>
          <w:rFonts w:ascii="Times New Roman" w:hAnsi="Times New Roman" w:cs="Times New Roman"/>
          <w:b/>
          <w:sz w:val="24"/>
        </w:rPr>
        <w:t>Methodology</w:t>
      </w:r>
    </w:p>
    <w:p w:rsidR="00F92F20" w:rsidRDefault="00F92F20" w:rsidP="00F92F20">
      <w:pPr>
        <w:spacing w:after="0" w:line="240" w:lineRule="auto"/>
        <w:rPr>
          <w:rFonts w:ascii="Times New Roman" w:hAnsi="Times New Roman" w:cs="Times New Roman"/>
          <w:sz w:val="24"/>
        </w:rPr>
      </w:pPr>
    </w:p>
    <w:p w:rsidR="006766F7" w:rsidRDefault="00B375C3" w:rsidP="00F92F20">
      <w:pPr>
        <w:spacing w:after="0" w:line="240" w:lineRule="auto"/>
        <w:rPr>
          <w:rFonts w:ascii="Times New Roman" w:hAnsi="Times New Roman" w:cs="Times New Roman"/>
          <w:sz w:val="24"/>
        </w:rPr>
      </w:pPr>
      <w:r>
        <w:rPr>
          <w:rFonts w:ascii="Times New Roman" w:hAnsi="Times New Roman" w:cs="Times New Roman"/>
          <w:sz w:val="24"/>
        </w:rPr>
        <w:t>T</w:t>
      </w:r>
      <w:r w:rsidR="00F92F20" w:rsidRPr="00F92F20">
        <w:rPr>
          <w:rFonts w:ascii="Times New Roman" w:hAnsi="Times New Roman" w:cs="Times New Roman"/>
          <w:sz w:val="24"/>
        </w:rPr>
        <w:t>his study utilized a nonexperimental descriptive-correlational research design method to meet the purpose and research objectives of the study</w:t>
      </w:r>
      <w:r w:rsidR="002B561F">
        <w:rPr>
          <w:rFonts w:ascii="Times New Roman" w:hAnsi="Times New Roman" w:cs="Times New Roman"/>
          <w:sz w:val="24"/>
        </w:rPr>
        <w:t xml:space="preserve">. </w:t>
      </w:r>
      <w:r w:rsidR="00F92F20" w:rsidRPr="00F92F20">
        <w:rPr>
          <w:rFonts w:ascii="Times New Roman" w:hAnsi="Times New Roman" w:cs="Times New Roman"/>
          <w:sz w:val="24"/>
        </w:rPr>
        <w:t xml:space="preserve">Twenty-six teacher education programs within Arkansas, Illinois, Iowa, Kansas, Kentucky, Missouri, Nebraska, Oklahoma, and Tennessee were initially identified from the American Association for Agricultural Education Directory (2007). Of the 26 teacher education programs within the nine-state area, 19 programs were included in the study. The selection criterion was access to senior-level level agricultural education majors who were to participate in student teaching during the fall of 2008 </w:t>
      </w:r>
      <w:r w:rsidR="002B561F">
        <w:rPr>
          <w:rFonts w:ascii="Times New Roman" w:hAnsi="Times New Roman" w:cs="Times New Roman"/>
          <w:sz w:val="24"/>
        </w:rPr>
        <w:t xml:space="preserve">and was established </w:t>
      </w:r>
      <w:r w:rsidR="002B561F" w:rsidRPr="002B561F">
        <w:rPr>
          <w:rFonts w:ascii="Times New Roman" w:hAnsi="Times New Roman" w:cs="Times New Roman"/>
          <w:i/>
          <w:sz w:val="24"/>
        </w:rPr>
        <w:t>a priori</w:t>
      </w:r>
      <w:r w:rsidR="00F92F20" w:rsidRPr="00F92F20">
        <w:rPr>
          <w:rFonts w:ascii="Times New Roman" w:hAnsi="Times New Roman" w:cs="Times New Roman"/>
          <w:sz w:val="24"/>
        </w:rPr>
        <w:t>. Because students in these programs tend to be defined cohort groups, arguably, cohorts for subsequent years are likely to represent similar dispositions. Consequently, this study is viewed as a time and place sample.</w:t>
      </w:r>
      <w:r w:rsidR="00F92F20">
        <w:rPr>
          <w:rFonts w:ascii="Times New Roman" w:hAnsi="Times New Roman" w:cs="Times New Roman"/>
          <w:sz w:val="24"/>
        </w:rPr>
        <w:t xml:space="preserve"> </w:t>
      </w:r>
    </w:p>
    <w:p w:rsidR="006766F7" w:rsidRDefault="006766F7" w:rsidP="00F92F20">
      <w:pPr>
        <w:spacing w:after="0" w:line="240" w:lineRule="auto"/>
        <w:rPr>
          <w:rFonts w:ascii="Times New Roman" w:hAnsi="Times New Roman" w:cs="Times New Roman"/>
          <w:sz w:val="24"/>
        </w:rPr>
      </w:pPr>
    </w:p>
    <w:p w:rsidR="00C7220B" w:rsidRPr="00C7220B" w:rsidRDefault="00F92F20" w:rsidP="006766F7">
      <w:pPr>
        <w:spacing w:after="0" w:line="240" w:lineRule="auto"/>
        <w:rPr>
          <w:rFonts w:ascii="Times New Roman" w:hAnsi="Times New Roman" w:cs="Times New Roman"/>
          <w:sz w:val="24"/>
        </w:rPr>
      </w:pPr>
      <w:r w:rsidRPr="00F92F20">
        <w:rPr>
          <w:rFonts w:ascii="Times New Roman" w:hAnsi="Times New Roman" w:cs="Times New Roman"/>
          <w:sz w:val="24"/>
        </w:rPr>
        <w:lastRenderedPageBreak/>
        <w:t xml:space="preserve">The data collection instrument was adapted from the FIT-Choice® Scale (Watt &amp; Richardson, 2007). </w:t>
      </w:r>
      <w:r w:rsidR="00C7220B" w:rsidRPr="00C7220B">
        <w:rPr>
          <w:rFonts w:ascii="Times New Roman" w:hAnsi="Times New Roman" w:cs="Times New Roman"/>
          <w:sz w:val="24"/>
        </w:rPr>
        <w:t>Section one included 40 statements</w:t>
      </w:r>
      <w:r w:rsidR="00C7220B" w:rsidRPr="00C7220B" w:rsidDel="00BB2F16">
        <w:rPr>
          <w:rFonts w:ascii="Times New Roman" w:hAnsi="Times New Roman" w:cs="Times New Roman"/>
          <w:sz w:val="24"/>
        </w:rPr>
        <w:t xml:space="preserve"> </w:t>
      </w:r>
      <w:r w:rsidR="00C7220B" w:rsidRPr="00C7220B">
        <w:rPr>
          <w:rFonts w:ascii="Times New Roman" w:hAnsi="Times New Roman" w:cs="Times New Roman"/>
          <w:sz w:val="24"/>
        </w:rPr>
        <w:t>designed to collect data related to students’ attitude toward becoming a secondary agricultural education teacher, section two included 15 items to collect data related to students’ beliefs about teaching, section three included six statements related to students’ intent to teach. Section four included demographic items.</w:t>
      </w:r>
      <w:r w:rsidR="00C7220B">
        <w:rPr>
          <w:rFonts w:ascii="Times New Roman" w:hAnsi="Times New Roman" w:cs="Times New Roman"/>
          <w:sz w:val="24"/>
        </w:rPr>
        <w:t xml:space="preserve"> To ensure validity of the instrument a panel of experts reviewed it for face, content, and construct validity. Additionally, the instrument was pilot tested prior to distribution to address reliability. Reliability estimates ranged from .50 to .90. </w:t>
      </w:r>
      <w:r w:rsidR="00C7220B" w:rsidRPr="00C7220B">
        <w:rPr>
          <w:rFonts w:ascii="Times New Roman" w:hAnsi="Times New Roman" w:cs="Times New Roman"/>
          <w:sz w:val="24"/>
        </w:rPr>
        <w:t>Results include a response rate of 93% as 18 of the 19 institutions that initially agreed to participate returned questionnaires for a total of 145 data points (</w:t>
      </w:r>
      <w:r w:rsidR="00C7220B" w:rsidRPr="00C7220B">
        <w:rPr>
          <w:rFonts w:ascii="Times New Roman" w:hAnsi="Times New Roman" w:cs="Times New Roman"/>
          <w:i/>
          <w:sz w:val="24"/>
        </w:rPr>
        <w:t>n</w:t>
      </w:r>
      <w:r w:rsidR="00C7220B" w:rsidRPr="00C7220B">
        <w:rPr>
          <w:rFonts w:ascii="Times New Roman" w:hAnsi="Times New Roman" w:cs="Times New Roman"/>
          <w:sz w:val="24"/>
        </w:rPr>
        <w:t xml:space="preserve"> = 145). Data were analyzed using SPSS® 15.0 for Windows.</w:t>
      </w:r>
    </w:p>
    <w:p w:rsidR="00F92F20" w:rsidRPr="00F92F20" w:rsidRDefault="00F92F20" w:rsidP="00F92F20">
      <w:pPr>
        <w:spacing w:after="0" w:line="240" w:lineRule="auto"/>
        <w:ind w:left="720"/>
        <w:rPr>
          <w:rFonts w:ascii="Times New Roman" w:hAnsi="Times New Roman" w:cs="Times New Roman"/>
          <w:sz w:val="24"/>
        </w:rPr>
      </w:pPr>
    </w:p>
    <w:p w:rsidR="00874CDA" w:rsidRDefault="00874CDA" w:rsidP="00F92F20">
      <w:pPr>
        <w:spacing w:after="0" w:line="240" w:lineRule="auto"/>
        <w:jc w:val="center"/>
        <w:rPr>
          <w:rFonts w:ascii="Times New Roman" w:hAnsi="Times New Roman" w:cs="Times New Roman"/>
          <w:b/>
          <w:sz w:val="24"/>
        </w:rPr>
      </w:pPr>
      <w:r w:rsidRPr="00141386">
        <w:rPr>
          <w:rFonts w:ascii="Times New Roman" w:hAnsi="Times New Roman" w:cs="Times New Roman"/>
          <w:b/>
          <w:sz w:val="24"/>
        </w:rPr>
        <w:t>Results</w:t>
      </w:r>
    </w:p>
    <w:p w:rsidR="00C7220B" w:rsidRDefault="00C7220B" w:rsidP="00C7220B">
      <w:pPr>
        <w:spacing w:after="0" w:line="240" w:lineRule="auto"/>
        <w:ind w:left="245"/>
      </w:pPr>
    </w:p>
    <w:p w:rsidR="00B0488B" w:rsidRPr="00322510" w:rsidRDefault="00C7220B" w:rsidP="00322510">
      <w:pPr>
        <w:spacing w:after="0" w:line="240" w:lineRule="auto"/>
        <w:rPr>
          <w:rFonts w:ascii="Times New Roman" w:hAnsi="Times New Roman" w:cs="Times New Roman"/>
          <w:sz w:val="24"/>
          <w:szCs w:val="24"/>
        </w:rPr>
      </w:pPr>
      <w:r>
        <w:rPr>
          <w:rFonts w:ascii="Times New Roman" w:hAnsi="Times New Roman" w:cs="Times New Roman"/>
          <w:sz w:val="24"/>
        </w:rPr>
        <w:t>Findings indicate that students’ belief</w:t>
      </w:r>
      <w:r w:rsidR="00322510">
        <w:rPr>
          <w:rFonts w:ascii="Times New Roman" w:hAnsi="Times New Roman" w:cs="Times New Roman"/>
          <w:sz w:val="24"/>
        </w:rPr>
        <w:t>s about teaching regard it an “expert career” and one that has a</w:t>
      </w:r>
      <w:r>
        <w:rPr>
          <w:rFonts w:ascii="Times New Roman" w:hAnsi="Times New Roman" w:cs="Times New Roman"/>
          <w:sz w:val="24"/>
        </w:rPr>
        <w:t xml:space="preserve"> high </w:t>
      </w:r>
      <w:r w:rsidR="00322510">
        <w:rPr>
          <w:rFonts w:ascii="Times New Roman" w:hAnsi="Times New Roman" w:cs="Times New Roman"/>
          <w:sz w:val="24"/>
        </w:rPr>
        <w:t>“</w:t>
      </w:r>
      <w:r>
        <w:rPr>
          <w:rFonts w:ascii="Times New Roman" w:hAnsi="Times New Roman" w:cs="Times New Roman"/>
          <w:sz w:val="24"/>
        </w:rPr>
        <w:t>social status.</w:t>
      </w:r>
      <w:r w:rsidR="00322510">
        <w:rPr>
          <w:rFonts w:ascii="Times New Roman" w:hAnsi="Times New Roman" w:cs="Times New Roman"/>
          <w:sz w:val="24"/>
        </w:rPr>
        <w:t>”</w:t>
      </w:r>
      <w:r>
        <w:rPr>
          <w:rFonts w:ascii="Times New Roman" w:hAnsi="Times New Roman" w:cs="Times New Roman"/>
          <w:sz w:val="24"/>
        </w:rPr>
        <w:t xml:space="preserve"> Students’ had an overall positive attitude about teaching and view the job as a way to make </w:t>
      </w:r>
      <w:r w:rsidR="00322510">
        <w:rPr>
          <w:rFonts w:ascii="Times New Roman" w:hAnsi="Times New Roman" w:cs="Times New Roman"/>
          <w:sz w:val="24"/>
        </w:rPr>
        <w:t>“</w:t>
      </w:r>
      <w:r>
        <w:rPr>
          <w:rFonts w:ascii="Times New Roman" w:hAnsi="Times New Roman" w:cs="Times New Roman"/>
          <w:sz w:val="24"/>
        </w:rPr>
        <w:t>social contributions,</w:t>
      </w:r>
      <w:r w:rsidR="00322510">
        <w:rPr>
          <w:rFonts w:ascii="Times New Roman" w:hAnsi="Times New Roman" w:cs="Times New Roman"/>
          <w:sz w:val="24"/>
        </w:rPr>
        <w:t>”</w:t>
      </w:r>
      <w:r>
        <w:rPr>
          <w:rFonts w:ascii="Times New Roman" w:hAnsi="Times New Roman" w:cs="Times New Roman"/>
          <w:sz w:val="24"/>
        </w:rPr>
        <w:t xml:space="preserve"> have had </w:t>
      </w:r>
      <w:r w:rsidR="00322510">
        <w:rPr>
          <w:rFonts w:ascii="Times New Roman" w:hAnsi="Times New Roman" w:cs="Times New Roman"/>
          <w:sz w:val="24"/>
        </w:rPr>
        <w:t>“</w:t>
      </w:r>
      <w:r>
        <w:rPr>
          <w:rFonts w:ascii="Times New Roman" w:hAnsi="Times New Roman" w:cs="Times New Roman"/>
          <w:sz w:val="24"/>
        </w:rPr>
        <w:t>positive teaching and learning experiences,</w:t>
      </w:r>
      <w:r w:rsidR="00322510">
        <w:rPr>
          <w:rFonts w:ascii="Times New Roman" w:hAnsi="Times New Roman" w:cs="Times New Roman"/>
          <w:sz w:val="24"/>
        </w:rPr>
        <w:t>”</w:t>
      </w:r>
      <w:r>
        <w:rPr>
          <w:rFonts w:ascii="Times New Roman" w:hAnsi="Times New Roman" w:cs="Times New Roman"/>
          <w:sz w:val="24"/>
        </w:rPr>
        <w:t xml:space="preserve"> have the </w:t>
      </w:r>
      <w:r w:rsidR="00322510">
        <w:rPr>
          <w:rFonts w:ascii="Times New Roman" w:hAnsi="Times New Roman" w:cs="Times New Roman"/>
          <w:sz w:val="24"/>
        </w:rPr>
        <w:t>“</w:t>
      </w:r>
      <w:r>
        <w:rPr>
          <w:rFonts w:ascii="Times New Roman" w:hAnsi="Times New Roman" w:cs="Times New Roman"/>
          <w:sz w:val="24"/>
        </w:rPr>
        <w:t>ability</w:t>
      </w:r>
      <w:r w:rsidR="00322510">
        <w:rPr>
          <w:rFonts w:ascii="Times New Roman" w:hAnsi="Times New Roman" w:cs="Times New Roman"/>
          <w:sz w:val="24"/>
        </w:rPr>
        <w:t>”</w:t>
      </w:r>
      <w:r>
        <w:rPr>
          <w:rFonts w:ascii="Times New Roman" w:hAnsi="Times New Roman" w:cs="Times New Roman"/>
          <w:sz w:val="24"/>
        </w:rPr>
        <w:t xml:space="preserve"> to teach, and enjoy </w:t>
      </w:r>
      <w:r w:rsidR="00322510">
        <w:rPr>
          <w:rFonts w:ascii="Times New Roman" w:hAnsi="Times New Roman" w:cs="Times New Roman"/>
          <w:sz w:val="24"/>
        </w:rPr>
        <w:t>“</w:t>
      </w:r>
      <w:r>
        <w:rPr>
          <w:rFonts w:ascii="Times New Roman" w:hAnsi="Times New Roman" w:cs="Times New Roman"/>
          <w:sz w:val="24"/>
        </w:rPr>
        <w:t>working with adolescents.</w:t>
      </w:r>
      <w:r w:rsidR="00322510">
        <w:rPr>
          <w:rFonts w:ascii="Times New Roman" w:hAnsi="Times New Roman" w:cs="Times New Roman"/>
          <w:sz w:val="24"/>
        </w:rPr>
        <w:t>”</w:t>
      </w:r>
      <w:r>
        <w:rPr>
          <w:rFonts w:ascii="Times New Roman" w:hAnsi="Times New Roman" w:cs="Times New Roman"/>
          <w:sz w:val="24"/>
        </w:rPr>
        <w:t xml:space="preserve"> </w:t>
      </w:r>
      <w:r w:rsidR="006766F7">
        <w:rPr>
          <w:rFonts w:ascii="Times New Roman" w:hAnsi="Times New Roman" w:cs="Times New Roman"/>
          <w:sz w:val="24"/>
        </w:rPr>
        <w:t xml:space="preserve"> S</w:t>
      </w:r>
      <w:r>
        <w:rPr>
          <w:rFonts w:ascii="Times New Roman" w:hAnsi="Times New Roman" w:cs="Times New Roman"/>
          <w:sz w:val="24"/>
        </w:rPr>
        <w:t>tudents’ on average are satisfied with their choice to become an agriculture teacher</w:t>
      </w:r>
      <w:r w:rsidRPr="00322510">
        <w:rPr>
          <w:rFonts w:ascii="Times New Roman" w:hAnsi="Times New Roman" w:cs="Times New Roman"/>
          <w:sz w:val="24"/>
          <w:szCs w:val="24"/>
        </w:rPr>
        <w:t>.</w:t>
      </w:r>
      <w:r w:rsidR="00322510" w:rsidRPr="00322510">
        <w:rPr>
          <w:rFonts w:ascii="Times New Roman" w:hAnsi="Times New Roman" w:cs="Times New Roman"/>
          <w:sz w:val="24"/>
          <w:szCs w:val="24"/>
        </w:rPr>
        <w:t xml:space="preserve"> C</w:t>
      </w:r>
      <w:r w:rsidR="00B0488B" w:rsidRPr="00322510">
        <w:rPr>
          <w:rFonts w:ascii="Times New Roman" w:hAnsi="Times New Roman" w:cs="Times New Roman"/>
          <w:sz w:val="24"/>
          <w:szCs w:val="24"/>
        </w:rPr>
        <w:t xml:space="preserve">orrelations between the sub-constructs of attitude, beliefs, intent and selected demographics revealed no strong relationships. </w:t>
      </w:r>
      <w:r w:rsidR="00322510" w:rsidRPr="00322510">
        <w:rPr>
          <w:rFonts w:ascii="Times New Roman" w:hAnsi="Times New Roman" w:cs="Times New Roman"/>
          <w:sz w:val="24"/>
          <w:szCs w:val="24"/>
        </w:rPr>
        <w:t>S</w:t>
      </w:r>
      <w:r w:rsidR="00B0488B" w:rsidRPr="00322510">
        <w:rPr>
          <w:rFonts w:ascii="Times New Roman" w:hAnsi="Times New Roman" w:cs="Times New Roman"/>
          <w:sz w:val="24"/>
          <w:szCs w:val="24"/>
        </w:rPr>
        <w:t xml:space="preserve">tepwise </w:t>
      </w:r>
      <w:r w:rsidR="00322510" w:rsidRPr="00322510">
        <w:rPr>
          <w:rFonts w:ascii="Times New Roman" w:hAnsi="Times New Roman" w:cs="Times New Roman"/>
          <w:sz w:val="24"/>
          <w:szCs w:val="24"/>
        </w:rPr>
        <w:t>multiple linear regression</w:t>
      </w:r>
      <w:r w:rsidR="00B0488B" w:rsidRPr="00322510">
        <w:rPr>
          <w:rFonts w:ascii="Times New Roman" w:hAnsi="Times New Roman" w:cs="Times New Roman"/>
          <w:sz w:val="24"/>
          <w:szCs w:val="24"/>
        </w:rPr>
        <w:t xml:space="preserve"> revealed no variance in students’ intent to teach and the selected characteristics of sex, perceived agriculture experience compared to their peers, years enrolled in school-based agricultural education courses, years of FFA membership, participation in SAE, and years of 4-H membership.</w:t>
      </w:r>
      <w:r w:rsidR="00322510" w:rsidRPr="00322510">
        <w:rPr>
          <w:rFonts w:ascii="Times New Roman" w:hAnsi="Times New Roman" w:cs="Times New Roman"/>
          <w:sz w:val="24"/>
          <w:szCs w:val="24"/>
        </w:rPr>
        <w:t xml:space="preserve"> </w:t>
      </w:r>
      <w:r w:rsidR="006766F7">
        <w:rPr>
          <w:rFonts w:ascii="Times New Roman" w:hAnsi="Times New Roman" w:cs="Times New Roman"/>
          <w:sz w:val="24"/>
          <w:szCs w:val="24"/>
        </w:rPr>
        <w:t>E</w:t>
      </w:r>
      <w:r w:rsidR="00B0488B" w:rsidRPr="00322510">
        <w:rPr>
          <w:rFonts w:ascii="Times New Roman" w:hAnsi="Times New Roman" w:cs="Times New Roman"/>
          <w:sz w:val="24"/>
          <w:szCs w:val="24"/>
        </w:rPr>
        <w:t>leven percent of students’ intent to teach can be explained by the belief sub-constructs of “teacher morale” and “expert career</w:t>
      </w:r>
      <w:r w:rsidR="00B375C3" w:rsidRPr="00322510">
        <w:rPr>
          <w:rFonts w:ascii="Times New Roman" w:hAnsi="Times New Roman" w:cs="Times New Roman"/>
          <w:sz w:val="24"/>
          <w:szCs w:val="24"/>
        </w:rPr>
        <w:t>.</w:t>
      </w:r>
      <w:r w:rsidR="00B0488B" w:rsidRPr="00322510">
        <w:rPr>
          <w:rFonts w:ascii="Times New Roman" w:hAnsi="Times New Roman" w:cs="Times New Roman"/>
          <w:sz w:val="24"/>
          <w:szCs w:val="24"/>
        </w:rPr>
        <w:t xml:space="preserve">” </w:t>
      </w:r>
      <w:r w:rsidR="00322510" w:rsidRPr="00322510">
        <w:rPr>
          <w:rFonts w:ascii="Times New Roman" w:hAnsi="Times New Roman" w:cs="Times New Roman"/>
          <w:sz w:val="24"/>
          <w:szCs w:val="24"/>
        </w:rPr>
        <w:t>Additionally, f</w:t>
      </w:r>
      <w:r w:rsidR="00B0488B" w:rsidRPr="00322510">
        <w:rPr>
          <w:rFonts w:ascii="Times New Roman" w:hAnsi="Times New Roman" w:cs="Times New Roman"/>
          <w:sz w:val="24"/>
          <w:szCs w:val="24"/>
        </w:rPr>
        <w:t>our sub-constructs of attitude including “fallback career,” “working with adolescents,” “intrinsic career value” and “job security” account for 61% of the variance in students’ intent to teach</w:t>
      </w:r>
      <w:r w:rsidR="00B375C3" w:rsidRPr="00322510">
        <w:rPr>
          <w:rFonts w:ascii="Times New Roman" w:hAnsi="Times New Roman" w:cs="Times New Roman"/>
          <w:sz w:val="24"/>
          <w:szCs w:val="24"/>
        </w:rPr>
        <w:t>.</w:t>
      </w:r>
      <w:r w:rsidR="00322510" w:rsidRPr="00322510">
        <w:rPr>
          <w:rFonts w:ascii="Times New Roman" w:hAnsi="Times New Roman" w:cs="Times New Roman"/>
          <w:sz w:val="24"/>
          <w:szCs w:val="24"/>
        </w:rPr>
        <w:t xml:space="preserve"> Finally, 11%</w:t>
      </w:r>
      <w:r w:rsidR="00B0488B" w:rsidRPr="00322510">
        <w:rPr>
          <w:rFonts w:ascii="Times New Roman" w:hAnsi="Times New Roman" w:cs="Times New Roman"/>
          <w:sz w:val="24"/>
          <w:szCs w:val="24"/>
        </w:rPr>
        <w:t xml:space="preserve"> of students’ intent to teach can be accounted for by the variance in attitude about teaching agriculture education when controlling for beliefs</w:t>
      </w:r>
      <w:r w:rsidR="00B375C3" w:rsidRPr="00322510">
        <w:rPr>
          <w:rFonts w:ascii="Times New Roman" w:hAnsi="Times New Roman" w:cs="Times New Roman"/>
          <w:sz w:val="24"/>
          <w:szCs w:val="24"/>
        </w:rPr>
        <w:t>.</w:t>
      </w:r>
    </w:p>
    <w:p w:rsidR="00B0488B" w:rsidRPr="00987BC5" w:rsidRDefault="00B0488B" w:rsidP="00B0488B">
      <w:pPr>
        <w:spacing w:after="60"/>
        <w:ind w:left="245"/>
        <w:rPr>
          <w:sz w:val="18"/>
        </w:rPr>
      </w:pPr>
    </w:p>
    <w:p w:rsidR="00B0488B" w:rsidRPr="00005EA9" w:rsidRDefault="00B0488B" w:rsidP="00B0488B">
      <w:pPr>
        <w:spacing w:after="60"/>
        <w:ind w:left="245"/>
        <w:jc w:val="center"/>
        <w:rPr>
          <w:b/>
        </w:rPr>
      </w:pPr>
      <w:r w:rsidRPr="00005EA9">
        <w:rPr>
          <w:rFonts w:ascii="Arial" w:hAnsi="Arial" w:cs="Arial"/>
          <w:b/>
        </w:rPr>
        <w:t>Recommendations</w:t>
      </w:r>
      <w:r>
        <w:rPr>
          <w:rFonts w:ascii="Arial" w:hAnsi="Arial" w:cs="Arial"/>
          <w:b/>
        </w:rPr>
        <w:t xml:space="preserve"> </w:t>
      </w:r>
    </w:p>
    <w:p w:rsidR="00B0488B" w:rsidRPr="00322510" w:rsidRDefault="00322510" w:rsidP="00322510">
      <w:pPr>
        <w:spacing w:after="0" w:line="240" w:lineRule="auto"/>
        <w:jc w:val="both"/>
        <w:rPr>
          <w:rFonts w:ascii="Times New Roman" w:hAnsi="Times New Roman" w:cs="Times New Roman"/>
          <w:sz w:val="24"/>
        </w:rPr>
      </w:pPr>
      <w:r>
        <w:rPr>
          <w:rFonts w:ascii="Times New Roman" w:hAnsi="Times New Roman" w:cs="Times New Roman"/>
          <w:sz w:val="24"/>
        </w:rPr>
        <w:t xml:space="preserve">As a result of this study, teacher educators </w:t>
      </w:r>
      <w:r w:rsidRPr="00322510">
        <w:rPr>
          <w:rFonts w:ascii="Times New Roman" w:hAnsi="Times New Roman" w:cs="Times New Roman"/>
          <w:sz w:val="24"/>
          <w:szCs w:val="24"/>
        </w:rPr>
        <w:t>should c</w:t>
      </w:r>
      <w:r w:rsidR="00B0488B" w:rsidRPr="00322510">
        <w:rPr>
          <w:rFonts w:ascii="Times New Roman" w:hAnsi="Times New Roman" w:cs="Times New Roman"/>
          <w:sz w:val="24"/>
          <w:szCs w:val="24"/>
        </w:rPr>
        <w:t>ontinue to recruit students from typical sources (i.e. existing agr</w:t>
      </w:r>
      <w:r>
        <w:rPr>
          <w:rFonts w:ascii="Times New Roman" w:hAnsi="Times New Roman" w:cs="Times New Roman"/>
          <w:sz w:val="24"/>
          <w:szCs w:val="24"/>
        </w:rPr>
        <w:t>icultural education programs) and b</w:t>
      </w:r>
      <w:r w:rsidR="00B0488B" w:rsidRPr="00322510">
        <w:rPr>
          <w:rFonts w:ascii="Times New Roman" w:hAnsi="Times New Roman" w:cs="Times New Roman"/>
          <w:sz w:val="24"/>
          <w:szCs w:val="24"/>
        </w:rPr>
        <w:t>egin to explore recruiting from “atypical” populations including urban, suburban and rural areas where no agricultural education programs are offered.</w:t>
      </w:r>
      <w:r>
        <w:rPr>
          <w:rFonts w:ascii="Times New Roman" w:hAnsi="Times New Roman" w:cs="Times New Roman"/>
          <w:sz w:val="24"/>
          <w:szCs w:val="24"/>
        </w:rPr>
        <w:t xml:space="preserve"> Teacher educators should also c</w:t>
      </w:r>
      <w:r w:rsidR="00B0488B" w:rsidRPr="00322510">
        <w:rPr>
          <w:rFonts w:ascii="Times New Roman" w:hAnsi="Times New Roman" w:cs="Times New Roman"/>
          <w:sz w:val="24"/>
        </w:rPr>
        <w:t>oncentrate on enhancing early, positive field experiences.</w:t>
      </w:r>
      <w:r>
        <w:rPr>
          <w:rFonts w:ascii="Times New Roman" w:hAnsi="Times New Roman" w:cs="Times New Roman"/>
          <w:sz w:val="24"/>
        </w:rPr>
        <w:t xml:space="preserve"> The marketing of teaching agricultural education should include the </w:t>
      </w:r>
      <w:r w:rsidR="00B0488B" w:rsidRPr="00322510">
        <w:rPr>
          <w:rFonts w:ascii="Times New Roman" w:hAnsi="Times New Roman" w:cs="Times New Roman"/>
          <w:sz w:val="24"/>
        </w:rPr>
        <w:t xml:space="preserve">positive aspects of the </w:t>
      </w:r>
      <w:r>
        <w:rPr>
          <w:rFonts w:ascii="Times New Roman" w:hAnsi="Times New Roman" w:cs="Times New Roman"/>
          <w:sz w:val="24"/>
        </w:rPr>
        <w:t>job</w:t>
      </w:r>
      <w:r w:rsidR="00B0488B" w:rsidRPr="00322510">
        <w:rPr>
          <w:rFonts w:ascii="Times New Roman" w:hAnsi="Times New Roman" w:cs="Times New Roman"/>
          <w:sz w:val="24"/>
        </w:rPr>
        <w:t>, such as the opportunity to work with adolescents, job security</w:t>
      </w:r>
      <w:r>
        <w:rPr>
          <w:rFonts w:ascii="Times New Roman" w:hAnsi="Times New Roman" w:cs="Times New Roman"/>
          <w:sz w:val="24"/>
        </w:rPr>
        <w:t>,</w:t>
      </w:r>
      <w:r w:rsidR="00B0488B" w:rsidRPr="00322510">
        <w:rPr>
          <w:rFonts w:ascii="Times New Roman" w:hAnsi="Times New Roman" w:cs="Times New Roman"/>
          <w:sz w:val="24"/>
        </w:rPr>
        <w:t xml:space="preserve"> and as one where teachers are </w:t>
      </w:r>
      <w:r>
        <w:rPr>
          <w:rFonts w:ascii="Times New Roman" w:hAnsi="Times New Roman" w:cs="Times New Roman"/>
          <w:sz w:val="24"/>
        </w:rPr>
        <w:t xml:space="preserve">well-respected. </w:t>
      </w:r>
      <w:r w:rsidR="006766F7">
        <w:rPr>
          <w:rFonts w:ascii="Times New Roman" w:hAnsi="Times New Roman" w:cs="Times New Roman"/>
          <w:sz w:val="24"/>
        </w:rPr>
        <w:t xml:space="preserve">Teacher educators should tailor students’ programs of study to incorporate technical coursework from areas the students’ need more experience in. </w:t>
      </w:r>
      <w:r>
        <w:rPr>
          <w:rFonts w:ascii="Times New Roman" w:hAnsi="Times New Roman" w:cs="Times New Roman"/>
          <w:sz w:val="24"/>
        </w:rPr>
        <w:t xml:space="preserve">Additionally, </w:t>
      </w:r>
      <w:r w:rsidR="006766F7">
        <w:rPr>
          <w:rFonts w:ascii="Times New Roman" w:hAnsi="Times New Roman" w:cs="Times New Roman"/>
          <w:sz w:val="24"/>
        </w:rPr>
        <w:t>those interested should promote</w:t>
      </w:r>
      <w:r w:rsidR="00B0488B" w:rsidRPr="00322510">
        <w:rPr>
          <w:rFonts w:ascii="Times New Roman" w:hAnsi="Times New Roman" w:cs="Times New Roman"/>
          <w:sz w:val="24"/>
        </w:rPr>
        <w:t xml:space="preserve"> agricultural education as a career that is a match for students if they have a passion for teaching, want to work with adolescents and want a job that offers a steady career path.</w:t>
      </w:r>
      <w:r>
        <w:rPr>
          <w:rFonts w:ascii="Times New Roman" w:hAnsi="Times New Roman" w:cs="Times New Roman"/>
          <w:sz w:val="24"/>
        </w:rPr>
        <w:t xml:space="preserve"> Finally, </w:t>
      </w:r>
      <w:r w:rsidR="006766F7">
        <w:rPr>
          <w:rFonts w:ascii="Times New Roman" w:hAnsi="Times New Roman" w:cs="Times New Roman"/>
          <w:sz w:val="24"/>
        </w:rPr>
        <w:t>future research should c</w:t>
      </w:r>
      <w:r w:rsidR="00B0488B" w:rsidRPr="00322510">
        <w:rPr>
          <w:rFonts w:ascii="Times New Roman" w:hAnsi="Times New Roman" w:cs="Times New Roman"/>
          <w:sz w:val="24"/>
        </w:rPr>
        <w:t>ontinue to seek understanding about the factors that influence students’ choice to teach agricultural education.</w:t>
      </w:r>
    </w:p>
    <w:p w:rsidR="00874CDA" w:rsidRPr="00141386" w:rsidRDefault="00874CDA" w:rsidP="00F92F20">
      <w:pPr>
        <w:spacing w:after="0" w:line="240" w:lineRule="auto"/>
        <w:jc w:val="center"/>
        <w:rPr>
          <w:rFonts w:ascii="Times New Roman" w:hAnsi="Times New Roman" w:cs="Times New Roman"/>
          <w:b/>
          <w:sz w:val="24"/>
        </w:rPr>
      </w:pPr>
    </w:p>
    <w:p w:rsidR="006766F7" w:rsidRDefault="006766F7" w:rsidP="00F92F20">
      <w:pPr>
        <w:spacing w:after="0" w:line="240" w:lineRule="auto"/>
        <w:jc w:val="center"/>
        <w:rPr>
          <w:rFonts w:ascii="Times New Roman" w:hAnsi="Times New Roman" w:cs="Times New Roman"/>
          <w:b/>
          <w:sz w:val="24"/>
        </w:rPr>
      </w:pPr>
    </w:p>
    <w:p w:rsidR="006766F7" w:rsidRDefault="006766F7" w:rsidP="00F92F20">
      <w:pPr>
        <w:spacing w:after="0" w:line="240" w:lineRule="auto"/>
        <w:jc w:val="center"/>
        <w:rPr>
          <w:rFonts w:ascii="Times New Roman" w:hAnsi="Times New Roman" w:cs="Times New Roman"/>
          <w:b/>
          <w:sz w:val="24"/>
        </w:rPr>
      </w:pPr>
    </w:p>
    <w:p w:rsidR="006766F7" w:rsidRDefault="006766F7" w:rsidP="00F92F20">
      <w:pPr>
        <w:spacing w:after="0" w:line="240" w:lineRule="auto"/>
        <w:jc w:val="center"/>
        <w:rPr>
          <w:rFonts w:ascii="Times New Roman" w:hAnsi="Times New Roman" w:cs="Times New Roman"/>
          <w:b/>
          <w:sz w:val="24"/>
        </w:rPr>
      </w:pPr>
    </w:p>
    <w:p w:rsidR="00874CDA" w:rsidRDefault="00874CDA" w:rsidP="00F92F20">
      <w:pPr>
        <w:spacing w:after="0" w:line="240" w:lineRule="auto"/>
        <w:jc w:val="center"/>
        <w:rPr>
          <w:rFonts w:ascii="Times New Roman" w:hAnsi="Times New Roman" w:cs="Times New Roman"/>
          <w:b/>
          <w:sz w:val="24"/>
        </w:rPr>
      </w:pPr>
      <w:r w:rsidRPr="00141386">
        <w:rPr>
          <w:rFonts w:ascii="Times New Roman" w:hAnsi="Times New Roman" w:cs="Times New Roman"/>
          <w:b/>
          <w:sz w:val="24"/>
        </w:rPr>
        <w:lastRenderedPageBreak/>
        <w:t>References</w:t>
      </w:r>
    </w:p>
    <w:p w:rsidR="009660CD" w:rsidRPr="00141386" w:rsidRDefault="009660CD" w:rsidP="00F92F20">
      <w:pPr>
        <w:spacing w:after="0" w:line="240" w:lineRule="auto"/>
        <w:jc w:val="center"/>
        <w:rPr>
          <w:rFonts w:ascii="Times New Roman" w:hAnsi="Times New Roman" w:cs="Times New Roman"/>
          <w:b/>
          <w:sz w:val="24"/>
        </w:rPr>
      </w:pPr>
    </w:p>
    <w:p w:rsidR="006766F7" w:rsidRPr="006766F7" w:rsidRDefault="006766F7" w:rsidP="009660CD">
      <w:pPr>
        <w:spacing w:after="0" w:line="240" w:lineRule="auto"/>
        <w:ind w:left="720" w:hanging="720"/>
        <w:rPr>
          <w:rFonts w:ascii="Times New Roman" w:hAnsi="Times New Roman" w:cs="Times New Roman"/>
          <w:sz w:val="24"/>
        </w:rPr>
      </w:pPr>
      <w:r w:rsidRPr="006766F7">
        <w:rPr>
          <w:rFonts w:ascii="Times New Roman" w:hAnsi="Times New Roman" w:cs="Times New Roman"/>
          <w:sz w:val="24"/>
        </w:rPr>
        <w:t>American Association for Agricultural Education (2007). Directory. Retrieved from http://www.aaaeonline.org.</w:t>
      </w:r>
    </w:p>
    <w:p w:rsidR="002A672E" w:rsidRDefault="002A672E" w:rsidP="009660CD">
      <w:pPr>
        <w:spacing w:after="0" w:line="240" w:lineRule="auto"/>
        <w:ind w:left="720" w:hanging="720"/>
        <w:rPr>
          <w:rFonts w:ascii="Times New Roman" w:hAnsi="Times New Roman" w:cs="Times New Roman"/>
          <w:sz w:val="24"/>
        </w:rPr>
      </w:pPr>
    </w:p>
    <w:p w:rsidR="009660CD" w:rsidRDefault="009660CD" w:rsidP="009660CD">
      <w:pPr>
        <w:spacing w:after="0" w:line="240" w:lineRule="auto"/>
        <w:ind w:left="720" w:hanging="720"/>
        <w:rPr>
          <w:rFonts w:ascii="Times New Roman" w:hAnsi="Times New Roman" w:cs="Times New Roman"/>
          <w:sz w:val="24"/>
        </w:rPr>
      </w:pPr>
      <w:r w:rsidRPr="009660CD">
        <w:rPr>
          <w:rFonts w:ascii="Times New Roman" w:hAnsi="Times New Roman" w:cs="Times New Roman"/>
          <w:sz w:val="24"/>
        </w:rPr>
        <w:t>Fishbein, M., &amp; Ajzen, I. (1975). Belief, Attitude, Intention, and Behavior: An Introduction to Theory and Research. Reading, MA: Addison-Wesley.</w:t>
      </w:r>
    </w:p>
    <w:p w:rsidR="009660CD" w:rsidRDefault="009660CD" w:rsidP="009660CD">
      <w:pPr>
        <w:spacing w:after="0" w:line="240" w:lineRule="auto"/>
        <w:ind w:left="720" w:hanging="720"/>
        <w:rPr>
          <w:rFonts w:ascii="Times New Roman" w:hAnsi="Times New Roman" w:cs="Times New Roman"/>
          <w:sz w:val="24"/>
        </w:rPr>
      </w:pPr>
    </w:p>
    <w:p w:rsidR="009660CD" w:rsidRDefault="009660CD" w:rsidP="009660CD">
      <w:pPr>
        <w:spacing w:after="0" w:line="240" w:lineRule="auto"/>
        <w:ind w:left="720" w:hanging="720"/>
        <w:rPr>
          <w:rFonts w:ascii="Times New Roman" w:hAnsi="Times New Roman" w:cs="Times New Roman"/>
          <w:sz w:val="24"/>
        </w:rPr>
      </w:pPr>
      <w:r w:rsidRPr="009660CD">
        <w:rPr>
          <w:rFonts w:ascii="Times New Roman" w:hAnsi="Times New Roman" w:cs="Times New Roman"/>
          <w:sz w:val="24"/>
        </w:rPr>
        <w:t>Kantrovich, A.J., (2007). A national study of the supply and demand for teachers of agricultural education from 2004 -2006. Morehead, KY: Morehead State University.</w:t>
      </w:r>
    </w:p>
    <w:p w:rsidR="009660CD" w:rsidRDefault="009660CD" w:rsidP="009660CD">
      <w:pPr>
        <w:spacing w:after="0" w:line="240" w:lineRule="auto"/>
        <w:ind w:left="720" w:hanging="720"/>
        <w:rPr>
          <w:rFonts w:ascii="Times New Roman" w:hAnsi="Times New Roman" w:cs="Times New Roman"/>
          <w:sz w:val="24"/>
        </w:rPr>
      </w:pPr>
    </w:p>
    <w:p w:rsidR="009660CD" w:rsidRDefault="009660CD" w:rsidP="009660CD">
      <w:pPr>
        <w:spacing w:after="0" w:line="240" w:lineRule="auto"/>
        <w:ind w:left="720" w:hanging="720"/>
        <w:rPr>
          <w:rFonts w:ascii="Times New Roman" w:hAnsi="Times New Roman" w:cs="Times New Roman"/>
          <w:sz w:val="24"/>
        </w:rPr>
      </w:pPr>
      <w:r w:rsidRPr="009660CD">
        <w:rPr>
          <w:rFonts w:ascii="Times New Roman" w:hAnsi="Times New Roman" w:cs="Times New Roman"/>
          <w:sz w:val="24"/>
        </w:rPr>
        <w:t xml:space="preserve">Richardson, P. W. &amp; Watt, H. M. G. (2006). Who chooses teaching and why? Profiling characteristics and motivations across three Australian universities. </w:t>
      </w:r>
      <w:r w:rsidRPr="009660CD">
        <w:rPr>
          <w:rFonts w:ascii="Times New Roman" w:hAnsi="Times New Roman" w:cs="Times New Roman"/>
          <w:i/>
          <w:sz w:val="24"/>
        </w:rPr>
        <w:t>Asia-Pacific Journal of Teacher Education</w:t>
      </w:r>
      <w:r w:rsidRPr="009660CD">
        <w:rPr>
          <w:rFonts w:ascii="Times New Roman" w:hAnsi="Times New Roman" w:cs="Times New Roman"/>
          <w:sz w:val="24"/>
        </w:rPr>
        <w:t xml:space="preserve">, </w:t>
      </w:r>
      <w:r w:rsidRPr="009660CD">
        <w:rPr>
          <w:rFonts w:ascii="Times New Roman" w:hAnsi="Times New Roman" w:cs="Times New Roman"/>
          <w:i/>
          <w:sz w:val="24"/>
        </w:rPr>
        <w:t>34</w:t>
      </w:r>
      <w:r w:rsidRPr="009660CD">
        <w:rPr>
          <w:rFonts w:ascii="Times New Roman" w:hAnsi="Times New Roman" w:cs="Times New Roman"/>
          <w:sz w:val="24"/>
        </w:rPr>
        <w:t>(1), 27-56. doi: 10.1080/13598660500480290</w:t>
      </w:r>
    </w:p>
    <w:p w:rsidR="009660CD" w:rsidRDefault="009660CD" w:rsidP="009660CD">
      <w:pPr>
        <w:spacing w:after="0" w:line="240" w:lineRule="auto"/>
        <w:ind w:left="720" w:hanging="720"/>
        <w:rPr>
          <w:rFonts w:ascii="Times New Roman" w:hAnsi="Times New Roman" w:cs="Times New Roman"/>
          <w:sz w:val="24"/>
        </w:rPr>
      </w:pPr>
    </w:p>
    <w:p w:rsidR="009660CD" w:rsidRPr="009660CD" w:rsidRDefault="009660CD" w:rsidP="009660CD">
      <w:pPr>
        <w:spacing w:after="0" w:line="240" w:lineRule="auto"/>
        <w:ind w:left="720" w:hanging="720"/>
        <w:rPr>
          <w:rFonts w:ascii="Times New Roman" w:hAnsi="Times New Roman" w:cs="Times New Roman"/>
          <w:b/>
          <w:sz w:val="24"/>
        </w:rPr>
      </w:pPr>
      <w:r w:rsidRPr="009660CD">
        <w:rPr>
          <w:rFonts w:ascii="Times New Roman" w:hAnsi="Times New Roman" w:cs="Times New Roman"/>
          <w:sz w:val="24"/>
        </w:rPr>
        <w:t xml:space="preserve">Watt, H. M. G., &amp; Richardson, P. W. (2007). Motivational factors influencing teaching as a career choice: Development of the FIT-Choice scale. </w:t>
      </w:r>
      <w:r w:rsidRPr="009660CD">
        <w:rPr>
          <w:rFonts w:ascii="Times New Roman" w:hAnsi="Times New Roman" w:cs="Times New Roman"/>
          <w:i/>
          <w:sz w:val="24"/>
        </w:rPr>
        <w:t>The Journal of Experimental Education</w:t>
      </w:r>
      <w:r w:rsidRPr="009660CD">
        <w:rPr>
          <w:rFonts w:ascii="Times New Roman" w:hAnsi="Times New Roman" w:cs="Times New Roman"/>
          <w:sz w:val="24"/>
        </w:rPr>
        <w:t xml:space="preserve">, </w:t>
      </w:r>
      <w:r w:rsidRPr="009660CD">
        <w:rPr>
          <w:rFonts w:ascii="Times New Roman" w:hAnsi="Times New Roman" w:cs="Times New Roman"/>
          <w:i/>
          <w:sz w:val="24"/>
        </w:rPr>
        <w:t>75</w:t>
      </w:r>
      <w:r w:rsidRPr="009660CD">
        <w:rPr>
          <w:rFonts w:ascii="Times New Roman" w:hAnsi="Times New Roman" w:cs="Times New Roman"/>
          <w:sz w:val="24"/>
        </w:rPr>
        <w:t>(3), 167-202.</w:t>
      </w:r>
    </w:p>
    <w:p w:rsidR="009660CD" w:rsidRPr="009660CD" w:rsidRDefault="009660CD" w:rsidP="009660CD">
      <w:pPr>
        <w:spacing w:after="0" w:line="240" w:lineRule="auto"/>
        <w:rPr>
          <w:rFonts w:ascii="Times New Roman" w:hAnsi="Times New Roman" w:cs="Times New Roman"/>
          <w:sz w:val="24"/>
        </w:rPr>
      </w:pPr>
    </w:p>
    <w:p w:rsidR="009660CD" w:rsidRPr="009660CD" w:rsidRDefault="009660CD" w:rsidP="009660CD">
      <w:pPr>
        <w:spacing w:after="0" w:line="240" w:lineRule="auto"/>
        <w:rPr>
          <w:rFonts w:ascii="Times New Roman" w:hAnsi="Times New Roman" w:cs="Times New Roman"/>
          <w:sz w:val="24"/>
        </w:rPr>
      </w:pPr>
    </w:p>
    <w:p w:rsidR="009660CD" w:rsidRPr="009660CD" w:rsidRDefault="009660CD" w:rsidP="009660CD">
      <w:pPr>
        <w:spacing w:after="0" w:line="240" w:lineRule="auto"/>
        <w:rPr>
          <w:rFonts w:ascii="Times New Roman" w:hAnsi="Times New Roman" w:cs="Times New Roman"/>
          <w:sz w:val="24"/>
        </w:rPr>
      </w:pPr>
    </w:p>
    <w:p w:rsidR="006766F7" w:rsidRPr="002A672E" w:rsidRDefault="006766F7" w:rsidP="00F92F20">
      <w:pPr>
        <w:spacing w:after="0" w:line="240" w:lineRule="auto"/>
        <w:rPr>
          <w:rFonts w:ascii="Times New Roman" w:hAnsi="Times New Roman" w:cs="Times New Roman"/>
          <w:sz w:val="24"/>
        </w:rPr>
      </w:pPr>
    </w:p>
    <w:sectPr w:rsidR="006766F7" w:rsidRPr="002A672E" w:rsidSect="00F92F20">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61B2" w:rsidRDefault="007061B2" w:rsidP="00F92F20">
      <w:pPr>
        <w:spacing w:after="0" w:line="240" w:lineRule="auto"/>
      </w:pPr>
      <w:r>
        <w:separator/>
      </w:r>
    </w:p>
  </w:endnote>
  <w:endnote w:type="continuationSeparator" w:id="0">
    <w:p w:rsidR="007061B2" w:rsidRDefault="007061B2" w:rsidP="00F92F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0538516"/>
      <w:docPartObj>
        <w:docPartGallery w:val="Page Numbers (Bottom of Page)"/>
        <w:docPartUnique/>
      </w:docPartObj>
    </w:sdtPr>
    <w:sdtContent>
      <w:p w:rsidR="00C7220B" w:rsidRDefault="00C7220B">
        <w:pPr>
          <w:pStyle w:val="Footer"/>
          <w:jc w:val="center"/>
        </w:pPr>
        <w:fldSimple w:instr=" PAGE   \* MERGEFORMAT ">
          <w:r w:rsidR="009660CD">
            <w:rPr>
              <w:noProof/>
            </w:rPr>
            <w:t>2</w:t>
          </w:r>
        </w:fldSimple>
      </w:p>
    </w:sdtContent>
  </w:sdt>
  <w:p w:rsidR="00C7220B" w:rsidRDefault="00C7220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61B2" w:rsidRDefault="007061B2" w:rsidP="00F92F20">
      <w:pPr>
        <w:spacing w:after="0" w:line="240" w:lineRule="auto"/>
      </w:pPr>
      <w:r>
        <w:separator/>
      </w:r>
    </w:p>
  </w:footnote>
  <w:footnote w:type="continuationSeparator" w:id="0">
    <w:p w:rsidR="007061B2" w:rsidRDefault="007061B2" w:rsidP="00F92F2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E60E0"/>
    <w:multiLevelType w:val="hybridMultilevel"/>
    <w:tmpl w:val="7F124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9E7B55"/>
    <w:multiLevelType w:val="hybridMultilevel"/>
    <w:tmpl w:val="21E0F64C"/>
    <w:lvl w:ilvl="0" w:tplc="5A841426">
      <w:start w:val="1"/>
      <w:numFmt w:val="bullet"/>
      <w:lvlText w:val=""/>
      <w:lvlJc w:val="left"/>
      <w:pPr>
        <w:tabs>
          <w:tab w:val="num" w:pos="360"/>
        </w:tabs>
        <w:ind w:left="360" w:hanging="360"/>
      </w:pPr>
      <w:rPr>
        <w:rFonts w:ascii="Symbol" w:hAnsi="Symbol" w:hint="default"/>
        <w:b w:val="0"/>
        <w:i w:val="0"/>
        <w:caps w:val="0"/>
        <w:vanish w:val="0"/>
        <w:sz w:val="22"/>
        <w:szCs w:val="22"/>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482C085B"/>
    <w:multiLevelType w:val="hybridMultilevel"/>
    <w:tmpl w:val="7F12402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72865D42"/>
    <w:multiLevelType w:val="hybridMultilevel"/>
    <w:tmpl w:val="E23479A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2A672E"/>
    <w:rsid w:val="00141386"/>
    <w:rsid w:val="002A672E"/>
    <w:rsid w:val="002B561F"/>
    <w:rsid w:val="00322510"/>
    <w:rsid w:val="006766F7"/>
    <w:rsid w:val="007061B2"/>
    <w:rsid w:val="0075564F"/>
    <w:rsid w:val="00874CDA"/>
    <w:rsid w:val="00913D3A"/>
    <w:rsid w:val="009660CD"/>
    <w:rsid w:val="00B0488B"/>
    <w:rsid w:val="00B375C3"/>
    <w:rsid w:val="00C7220B"/>
    <w:rsid w:val="00F92F20"/>
    <w:rsid w:val="00FF07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D3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1386"/>
    <w:rPr>
      <w:color w:val="0000FF" w:themeColor="hyperlink"/>
      <w:u w:val="single"/>
    </w:rPr>
  </w:style>
  <w:style w:type="paragraph" w:styleId="Header">
    <w:name w:val="header"/>
    <w:basedOn w:val="Normal"/>
    <w:link w:val="HeaderChar"/>
    <w:uiPriority w:val="99"/>
    <w:semiHidden/>
    <w:unhideWhenUsed/>
    <w:rsid w:val="00F92F2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2F20"/>
  </w:style>
  <w:style w:type="paragraph" w:styleId="Footer">
    <w:name w:val="footer"/>
    <w:basedOn w:val="Normal"/>
    <w:link w:val="FooterChar"/>
    <w:uiPriority w:val="99"/>
    <w:unhideWhenUsed/>
    <w:rsid w:val="00F92F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2F20"/>
  </w:style>
  <w:style w:type="paragraph" w:styleId="Caption">
    <w:name w:val="caption"/>
    <w:basedOn w:val="Normal"/>
    <w:next w:val="Normal"/>
    <w:uiPriority w:val="35"/>
    <w:unhideWhenUsed/>
    <w:qFormat/>
    <w:rsid w:val="00B0488B"/>
    <w:pPr>
      <w:spacing w:after="0" w:line="480" w:lineRule="auto"/>
    </w:pPr>
    <w:rPr>
      <w:rFonts w:ascii="Times New Roman" w:eastAsia="Calibri" w:hAnsi="Times New Roman" w:cs="Times New Roman"/>
      <w:bCs/>
      <w:sz w:val="24"/>
      <w:szCs w:val="18"/>
    </w:rPr>
  </w:style>
  <w:style w:type="paragraph" w:styleId="BalloonText">
    <w:name w:val="Balloon Text"/>
    <w:basedOn w:val="Normal"/>
    <w:link w:val="BalloonTextChar"/>
    <w:uiPriority w:val="99"/>
    <w:semiHidden/>
    <w:unhideWhenUsed/>
    <w:rsid w:val="00B048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488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rresr@missouri.edu" TargetMode="External"/><Relationship Id="rId3" Type="http://schemas.openxmlformats.org/officeDocument/2006/relationships/settings" Target="settings.xml"/><Relationship Id="rId7" Type="http://schemas.openxmlformats.org/officeDocument/2006/relationships/hyperlink" Target="mailto:Rebecca.Lawver@usu.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1128</TotalTime>
  <Pages>4</Pages>
  <Words>1201</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dc:creator>
  <cp:keywords/>
  <dc:description/>
  <cp:lastModifiedBy>Rebecca</cp:lastModifiedBy>
  <cp:revision>3</cp:revision>
  <dcterms:created xsi:type="dcterms:W3CDTF">2010-01-21T23:02:00Z</dcterms:created>
  <dcterms:modified xsi:type="dcterms:W3CDTF">2010-01-22T18:06:00Z</dcterms:modified>
</cp:coreProperties>
</file>