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E0AD4" w:rsidRDefault="0060094C">
      <w:pPr>
        <w:pBdr>
          <w:top w:val="nil"/>
          <w:left w:val="nil"/>
          <w:bottom w:val="nil"/>
          <w:right w:val="nil"/>
          <w:between w:val="nil"/>
        </w:pBdr>
        <w:spacing w:after="0"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Design thinking and co-creation: engaging smallholder farmers in technological solutions development for sustainable agriculture</w:t>
      </w:r>
    </w:p>
    <w:p w14:paraId="00000002" w14:textId="77777777" w:rsidR="008E0AD4" w:rsidRDefault="008E0AD4">
      <w:pPr>
        <w:spacing w:before="280" w:after="0" w:line="480" w:lineRule="auto"/>
        <w:jc w:val="center"/>
        <w:rPr>
          <w:rFonts w:ascii="Times New Roman" w:eastAsia="Times New Roman" w:hAnsi="Times New Roman" w:cs="Times New Roman"/>
          <w:b/>
        </w:rPr>
      </w:pPr>
    </w:p>
    <w:p w14:paraId="00000006" w14:textId="77777777" w:rsidR="008E0AD4" w:rsidRPr="001E0CC2" w:rsidRDefault="008E0AD4" w:rsidP="00CF5B2C">
      <w:pPr>
        <w:rPr>
          <w:rFonts w:ascii="Times New Roman" w:eastAsia="Times New Roman" w:hAnsi="Times New Roman" w:cs="Times New Roman"/>
        </w:rPr>
      </w:pPr>
    </w:p>
    <w:p w14:paraId="68CAF6FF" w14:textId="77777777" w:rsidR="00CF5B2C" w:rsidRPr="00CF5B2C" w:rsidRDefault="00CF5B2C" w:rsidP="00CF5B2C">
      <w:pPr>
        <w:jc w:val="center"/>
        <w:rPr>
          <w:rFonts w:ascii="Times New Roman" w:eastAsia="Times New Roman" w:hAnsi="Times New Roman" w:cs="Times New Roman"/>
        </w:rPr>
      </w:pPr>
      <w:r w:rsidRPr="00CF5B2C">
        <w:rPr>
          <w:rFonts w:ascii="Times New Roman" w:eastAsia="Times New Roman" w:hAnsi="Times New Roman" w:cs="Times New Roman"/>
        </w:rPr>
        <w:t>Sarahi Morales, Ph.D.</w:t>
      </w:r>
    </w:p>
    <w:p w14:paraId="4D727F69" w14:textId="77777777" w:rsidR="00CF5B2C" w:rsidRPr="0060094C" w:rsidRDefault="00CF5B2C" w:rsidP="00CF5B2C">
      <w:pPr>
        <w:jc w:val="center"/>
        <w:rPr>
          <w:rFonts w:ascii="Times New Roman" w:eastAsia="Times New Roman" w:hAnsi="Times New Roman" w:cs="Times New Roman"/>
        </w:rPr>
      </w:pPr>
      <w:r w:rsidRPr="0060094C">
        <w:rPr>
          <w:rFonts w:ascii="Times New Roman" w:eastAsia="Times New Roman" w:hAnsi="Times New Roman" w:cs="Times New Roman"/>
        </w:rPr>
        <w:t xml:space="preserve">Texas Tech University </w:t>
      </w:r>
    </w:p>
    <w:p w14:paraId="2227B802" w14:textId="77777777" w:rsidR="00CF5B2C" w:rsidRDefault="00CF5B2C">
      <w:pPr>
        <w:pBdr>
          <w:top w:val="nil"/>
          <w:left w:val="nil"/>
          <w:bottom w:val="nil"/>
          <w:right w:val="nil"/>
          <w:between w:val="nil"/>
        </w:pBdr>
        <w:jc w:val="center"/>
        <w:rPr>
          <w:rFonts w:ascii="Times New Roman" w:eastAsia="Times New Roman" w:hAnsi="Times New Roman" w:cs="Times New Roman"/>
        </w:rPr>
      </w:pPr>
    </w:p>
    <w:p w14:paraId="4F1D245A" w14:textId="77777777" w:rsidR="00C8164C" w:rsidRPr="0060094C" w:rsidRDefault="00C8164C" w:rsidP="00C8164C">
      <w:pPr>
        <w:jc w:val="center"/>
        <w:rPr>
          <w:rFonts w:ascii="Times New Roman" w:eastAsia="Times New Roman" w:hAnsi="Times New Roman" w:cs="Times New Roman"/>
          <w:lang w:val="es-ES"/>
        </w:rPr>
      </w:pPr>
      <w:r w:rsidRPr="0060094C">
        <w:rPr>
          <w:rFonts w:ascii="Times New Roman" w:eastAsia="Times New Roman" w:hAnsi="Times New Roman" w:cs="Times New Roman"/>
          <w:lang w:val="es-ES"/>
        </w:rPr>
        <w:t>Oriana Michelle Gómez</w:t>
      </w:r>
    </w:p>
    <w:p w14:paraId="2C087194" w14:textId="77777777" w:rsidR="00C8164C" w:rsidRPr="0060094C" w:rsidRDefault="00C8164C" w:rsidP="00C8164C">
      <w:pPr>
        <w:jc w:val="center"/>
        <w:rPr>
          <w:rFonts w:ascii="Times New Roman" w:eastAsia="Times New Roman" w:hAnsi="Times New Roman" w:cs="Times New Roman"/>
          <w:lang w:val="es-ES"/>
        </w:rPr>
      </w:pPr>
      <w:r w:rsidRPr="0060094C">
        <w:rPr>
          <w:rFonts w:ascii="Times New Roman" w:eastAsia="Times New Roman" w:hAnsi="Times New Roman" w:cs="Times New Roman"/>
          <w:lang w:val="es-ES"/>
        </w:rPr>
        <w:t>VISUALITI SAS</w:t>
      </w:r>
    </w:p>
    <w:p w14:paraId="5AFA0F49" w14:textId="77777777" w:rsidR="00C8164C" w:rsidRPr="0060094C" w:rsidRDefault="00C8164C" w:rsidP="00C8164C">
      <w:pPr>
        <w:jc w:val="center"/>
        <w:rPr>
          <w:rFonts w:ascii="Times New Roman" w:eastAsia="Times New Roman" w:hAnsi="Times New Roman" w:cs="Times New Roman"/>
          <w:lang w:val="es-ES"/>
        </w:rPr>
      </w:pPr>
      <w:r w:rsidRPr="0060094C">
        <w:rPr>
          <w:rFonts w:ascii="Times New Roman" w:eastAsia="Times New Roman" w:hAnsi="Times New Roman" w:cs="Times New Roman"/>
          <w:lang w:val="es-ES"/>
        </w:rPr>
        <w:t>Valle del Cauca, Colombia</w:t>
      </w:r>
    </w:p>
    <w:p w14:paraId="57609B24" w14:textId="77777777" w:rsidR="00C8164C" w:rsidRDefault="00C8164C" w:rsidP="00C8164C">
      <w:pPr>
        <w:pBdr>
          <w:top w:val="nil"/>
          <w:left w:val="nil"/>
          <w:bottom w:val="nil"/>
          <w:right w:val="nil"/>
          <w:between w:val="nil"/>
        </w:pBdr>
        <w:rPr>
          <w:rFonts w:ascii="Times New Roman" w:eastAsia="Times New Roman" w:hAnsi="Times New Roman" w:cs="Times New Roman"/>
          <w:lang w:val="es-ES"/>
        </w:rPr>
      </w:pPr>
    </w:p>
    <w:p w14:paraId="00000007" w14:textId="680D0AB4" w:rsidR="008E0AD4" w:rsidRPr="0060094C" w:rsidRDefault="0060094C">
      <w:pPr>
        <w:pBdr>
          <w:top w:val="nil"/>
          <w:left w:val="nil"/>
          <w:bottom w:val="nil"/>
          <w:right w:val="nil"/>
          <w:between w:val="nil"/>
        </w:pBdr>
        <w:jc w:val="center"/>
        <w:rPr>
          <w:rFonts w:ascii="Times New Roman" w:eastAsia="Times New Roman" w:hAnsi="Times New Roman" w:cs="Times New Roman"/>
          <w:lang w:val="es-ES"/>
        </w:rPr>
      </w:pPr>
      <w:r w:rsidRPr="0060094C">
        <w:rPr>
          <w:rFonts w:ascii="Times New Roman" w:eastAsia="Times New Roman" w:hAnsi="Times New Roman" w:cs="Times New Roman"/>
          <w:lang w:val="es-ES"/>
        </w:rPr>
        <w:t>Brian Bulla Caro</w:t>
      </w:r>
    </w:p>
    <w:p w14:paraId="00000008" w14:textId="77777777" w:rsidR="008E0AD4" w:rsidRPr="0060094C" w:rsidRDefault="0060094C">
      <w:pPr>
        <w:jc w:val="center"/>
        <w:rPr>
          <w:rFonts w:ascii="Times New Roman" w:eastAsia="Times New Roman" w:hAnsi="Times New Roman" w:cs="Times New Roman"/>
          <w:lang w:val="es-ES"/>
        </w:rPr>
      </w:pPr>
      <w:r w:rsidRPr="0060094C">
        <w:rPr>
          <w:rFonts w:ascii="Times New Roman" w:eastAsia="Times New Roman" w:hAnsi="Times New Roman" w:cs="Times New Roman"/>
          <w:lang w:val="es-ES"/>
        </w:rPr>
        <w:t>VISUALITI SAS</w:t>
      </w:r>
    </w:p>
    <w:p w14:paraId="00000009" w14:textId="77777777" w:rsidR="008E0AD4" w:rsidRPr="0060094C" w:rsidRDefault="0060094C">
      <w:pPr>
        <w:jc w:val="center"/>
        <w:rPr>
          <w:rFonts w:ascii="Times New Roman" w:eastAsia="Times New Roman" w:hAnsi="Times New Roman" w:cs="Times New Roman"/>
          <w:lang w:val="es-ES"/>
        </w:rPr>
      </w:pPr>
      <w:r w:rsidRPr="0060094C">
        <w:rPr>
          <w:rFonts w:ascii="Times New Roman" w:eastAsia="Times New Roman" w:hAnsi="Times New Roman" w:cs="Times New Roman"/>
          <w:lang w:val="es-ES"/>
        </w:rPr>
        <w:t>Valle del Cauca, Colombia</w:t>
      </w:r>
    </w:p>
    <w:p w14:paraId="0000000E" w14:textId="77777777" w:rsidR="008E0AD4" w:rsidRPr="0060094C" w:rsidRDefault="008E0AD4" w:rsidP="006B6BA1">
      <w:pPr>
        <w:rPr>
          <w:rFonts w:ascii="Times New Roman" w:eastAsia="Times New Roman" w:hAnsi="Times New Roman" w:cs="Times New Roman"/>
          <w:lang w:val="es-ES"/>
        </w:rPr>
      </w:pPr>
    </w:p>
    <w:p w14:paraId="00B45E39" w14:textId="77777777" w:rsidR="00E32BAF" w:rsidRPr="00372044" w:rsidRDefault="00E32BAF" w:rsidP="00E32BAF">
      <w:pPr>
        <w:jc w:val="center"/>
        <w:rPr>
          <w:rFonts w:ascii="Times New Roman" w:eastAsia="Times New Roman" w:hAnsi="Times New Roman" w:cs="Times New Roman"/>
        </w:rPr>
      </w:pPr>
      <w:r w:rsidRPr="00372044">
        <w:rPr>
          <w:rFonts w:ascii="Times New Roman" w:eastAsia="Times New Roman" w:hAnsi="Times New Roman" w:cs="Times New Roman"/>
        </w:rPr>
        <w:t>Luis Sandoval, Ph.D.</w:t>
      </w:r>
    </w:p>
    <w:p w14:paraId="228F73C5" w14:textId="77777777" w:rsidR="00E32BAF" w:rsidRPr="00CF5B2C" w:rsidRDefault="00E32BAF" w:rsidP="00E32BAF">
      <w:pPr>
        <w:jc w:val="center"/>
        <w:rPr>
          <w:rFonts w:ascii="Times New Roman" w:eastAsia="Times New Roman" w:hAnsi="Times New Roman" w:cs="Times New Roman"/>
        </w:rPr>
      </w:pPr>
      <w:r w:rsidRPr="00372044">
        <w:rPr>
          <w:rFonts w:ascii="Times New Roman" w:eastAsia="Times New Roman" w:hAnsi="Times New Roman" w:cs="Times New Roman"/>
        </w:rPr>
        <w:t>Texas Tech University</w:t>
      </w:r>
    </w:p>
    <w:p w14:paraId="00000014" w14:textId="77777777" w:rsidR="008E0AD4" w:rsidRPr="0060094C" w:rsidRDefault="008E0AD4" w:rsidP="00CF5B2C">
      <w:pPr>
        <w:rPr>
          <w:rFonts w:ascii="Times New Roman" w:eastAsia="Times New Roman" w:hAnsi="Times New Roman" w:cs="Times New Roman"/>
        </w:rPr>
      </w:pPr>
    </w:p>
    <w:p w14:paraId="00000015" w14:textId="77777777" w:rsidR="008E0AD4" w:rsidRPr="0060094C" w:rsidRDefault="008E0AD4">
      <w:pPr>
        <w:jc w:val="center"/>
        <w:rPr>
          <w:rFonts w:ascii="Times New Roman" w:eastAsia="Times New Roman" w:hAnsi="Times New Roman" w:cs="Times New Roman"/>
        </w:rPr>
      </w:pPr>
    </w:p>
    <w:p w14:paraId="00000017" w14:textId="77777777" w:rsidR="008E0AD4" w:rsidRDefault="0060094C">
      <w:pPr>
        <w:spacing w:before="120" w:line="480" w:lineRule="auto"/>
        <w:ind w:firstLine="720"/>
        <w:jc w:val="both"/>
        <w:rPr>
          <w:rFonts w:ascii="Times New Roman" w:eastAsia="Times New Roman" w:hAnsi="Times New Roman" w:cs="Times New Roman"/>
          <w:color w:val="0D0D0D"/>
        </w:rPr>
      </w:pPr>
      <w:bookmarkStart w:id="0" w:name="_heading=h.gjdgxs" w:colFirst="0" w:colLast="0"/>
      <w:bookmarkEnd w:id="0"/>
      <w:r>
        <w:rPr>
          <w:rFonts w:ascii="Times New Roman" w:eastAsia="Times New Roman" w:hAnsi="Times New Roman" w:cs="Times New Roman"/>
          <w:i/>
          <w:color w:val="0D0D0D"/>
        </w:rPr>
        <w:t xml:space="preserve">Keywords: </w:t>
      </w:r>
      <w:r>
        <w:rPr>
          <w:rFonts w:ascii="Times New Roman" w:eastAsia="Times New Roman" w:hAnsi="Times New Roman" w:cs="Times New Roman"/>
          <w:color w:val="0D0D0D"/>
        </w:rPr>
        <w:t xml:space="preserve">smallholder farmers, creative visualization, 4.0 agriculture, innovation, transdisciplinary </w:t>
      </w:r>
    </w:p>
    <w:p w14:paraId="5D635CEF" w14:textId="77777777" w:rsidR="0060094C" w:rsidRDefault="0060094C">
      <w:pPr>
        <w:spacing w:line="480" w:lineRule="auto"/>
        <w:jc w:val="center"/>
        <w:rPr>
          <w:rFonts w:ascii="Times New Roman" w:eastAsia="Times New Roman" w:hAnsi="Times New Roman" w:cs="Times New Roman"/>
          <w:b/>
        </w:rPr>
      </w:pPr>
    </w:p>
    <w:p w14:paraId="0A57E2E5" w14:textId="77777777" w:rsidR="0060094C" w:rsidRDefault="0060094C">
      <w:pPr>
        <w:spacing w:line="480" w:lineRule="auto"/>
        <w:jc w:val="center"/>
        <w:rPr>
          <w:rFonts w:ascii="Times New Roman" w:eastAsia="Times New Roman" w:hAnsi="Times New Roman" w:cs="Times New Roman"/>
          <w:b/>
        </w:rPr>
      </w:pPr>
    </w:p>
    <w:p w14:paraId="148AD959" w14:textId="77777777" w:rsidR="0060094C" w:rsidRDefault="0060094C">
      <w:pPr>
        <w:spacing w:line="480" w:lineRule="auto"/>
        <w:jc w:val="center"/>
        <w:rPr>
          <w:rFonts w:ascii="Times New Roman" w:eastAsia="Times New Roman" w:hAnsi="Times New Roman" w:cs="Times New Roman"/>
          <w:b/>
        </w:rPr>
      </w:pPr>
    </w:p>
    <w:p w14:paraId="3F7DA446" w14:textId="77777777" w:rsidR="006B6BA1" w:rsidRDefault="006B6BA1">
      <w:pPr>
        <w:spacing w:line="480" w:lineRule="auto"/>
        <w:jc w:val="center"/>
        <w:rPr>
          <w:rFonts w:ascii="Times New Roman" w:eastAsia="Times New Roman" w:hAnsi="Times New Roman" w:cs="Times New Roman"/>
          <w:b/>
        </w:rPr>
      </w:pPr>
    </w:p>
    <w:p w14:paraId="6282F8BC" w14:textId="77777777" w:rsidR="006B6BA1" w:rsidRDefault="006B6BA1">
      <w:pPr>
        <w:spacing w:line="480" w:lineRule="auto"/>
        <w:jc w:val="center"/>
        <w:rPr>
          <w:rFonts w:ascii="Times New Roman" w:eastAsia="Times New Roman" w:hAnsi="Times New Roman" w:cs="Times New Roman"/>
          <w:b/>
        </w:rPr>
      </w:pPr>
    </w:p>
    <w:p w14:paraId="00000018" w14:textId="35159B54" w:rsidR="008E0AD4" w:rsidRDefault="004804DC" w:rsidP="00E32BAF">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Introduction</w:t>
      </w:r>
    </w:p>
    <w:p w14:paraId="00000019" w14:textId="16D79788" w:rsidR="008E0AD4" w:rsidRDefault="0060094C" w:rsidP="00E32BAF">
      <w:pPr>
        <w:spacing w:line="240" w:lineRule="auto"/>
        <w:ind w:firstLine="720"/>
        <w:rPr>
          <w:rFonts w:ascii="Times New Roman" w:eastAsia="Times New Roman" w:hAnsi="Times New Roman" w:cs="Times New Roman"/>
          <w:highlight w:val="yellow"/>
        </w:rPr>
      </w:pPr>
      <w:r>
        <w:rPr>
          <w:rFonts w:ascii="Times New Roman" w:eastAsia="Times New Roman" w:hAnsi="Times New Roman" w:cs="Times New Roman"/>
        </w:rPr>
        <w:t>Agrifood systems have been constantly demanded to fulfill the needs of a growing population, and the agricultural industry has made significant contributions to address these needs. However, the demand for food, fiber, and fuel will continue to increase. Contradictory, at least one-third of the world's food production is lost or wasted along the food system with substantial economic, social, and environmental costs</w:t>
      </w:r>
      <w:r w:rsidR="004804DC">
        <w:rPr>
          <w:rFonts w:ascii="Times New Roman" w:eastAsia="Times New Roman" w:hAnsi="Times New Roman" w:cs="Times New Roman"/>
        </w:rPr>
        <w:t xml:space="preserve"> (FAO, 2018)</w:t>
      </w:r>
      <w:r>
        <w:rPr>
          <w:rFonts w:ascii="Times New Roman" w:eastAsia="Times New Roman" w:hAnsi="Times New Roman" w:cs="Times New Roman"/>
        </w:rPr>
        <w:t xml:space="preserve">. </w:t>
      </w:r>
    </w:p>
    <w:p w14:paraId="0000001A" w14:textId="74B9FB87" w:rsidR="008E0AD4" w:rsidRDefault="0060094C" w:rsidP="00E32BAF">
      <w:pPr>
        <w:spacing w:line="240" w:lineRule="auto"/>
        <w:ind w:firstLine="720"/>
        <w:rPr>
          <w:rFonts w:ascii="Times New Roman" w:eastAsia="Times New Roman" w:hAnsi="Times New Roman" w:cs="Times New Roman"/>
        </w:rPr>
      </w:pPr>
      <w:r>
        <w:rPr>
          <w:rFonts w:ascii="Times New Roman" w:eastAsia="Times New Roman" w:hAnsi="Times New Roman" w:cs="Times New Roman"/>
        </w:rPr>
        <w:t>Innovations in agriculture have the potential to increase productivity, optimize quality and minimize the environmental impact of agricultural operations while minimizing risk for workers and consumers. Despite these benefits, there is limited adoption of agricultural innovations among smallholder farmers in developing countries, particularly in Latin America, thus limiting the possibility of the sector to respond to the existing challenges of the agrifood systems in the world. Among the contributing factors for the low adoption rates in developing countries are (1) limited technical knowledge on the part of the producers, (2) designs not adapted for small-scale agriculture, (3) high implementation costs, and (4) lack of after-sales service, among others</w:t>
      </w:r>
      <w:r w:rsidR="004804DC">
        <w:rPr>
          <w:rFonts w:ascii="Times New Roman" w:eastAsia="Times New Roman" w:hAnsi="Times New Roman" w:cs="Times New Roman"/>
        </w:rPr>
        <w:t xml:space="preserve"> </w:t>
      </w:r>
      <w:r w:rsidR="004804DC" w:rsidRPr="004804DC">
        <w:rPr>
          <w:rFonts w:ascii="Times New Roman" w:eastAsia="Times New Roman" w:hAnsi="Times New Roman" w:cs="Times New Roman"/>
        </w:rPr>
        <w:t>(Rodriguez et al., 2018; Takahashi et al., 2019)</w:t>
      </w:r>
      <w:r>
        <w:rPr>
          <w:rFonts w:ascii="Times New Roman" w:eastAsia="Times New Roman" w:hAnsi="Times New Roman" w:cs="Times New Roman"/>
        </w:rPr>
        <w:t>.</w:t>
      </w:r>
    </w:p>
    <w:p w14:paraId="0000001B" w14:textId="291AEADB" w:rsidR="008E0AD4" w:rsidRDefault="0060094C" w:rsidP="00E32BAF">
      <w:pPr>
        <w:spacing w:line="240" w:lineRule="auto"/>
        <w:ind w:firstLine="720"/>
        <w:rPr>
          <w:rFonts w:ascii="Times New Roman" w:eastAsia="Times New Roman" w:hAnsi="Times New Roman" w:cs="Times New Roman"/>
        </w:rPr>
      </w:pPr>
      <w:r>
        <w:rPr>
          <w:rFonts w:ascii="Times New Roman" w:eastAsia="Times New Roman" w:hAnsi="Times New Roman" w:cs="Times New Roman"/>
        </w:rPr>
        <w:t>These challenges cannot be addressed by a single discipline and thus demands the interaction of multiple disciplines and a variety of stakeholders to navigate the complexity of the challenges, reframe the problems and creatively propose lasting solutions. Multiple points of view can give this holistic approach a higher probability of success.  This includes incorporating the social stakeholder, which in the case of the agrifood systems in developing countries means farmers who face these challenges daily</w:t>
      </w:r>
      <w:r w:rsidR="004804DC">
        <w:rPr>
          <w:rFonts w:ascii="Times New Roman" w:eastAsia="Times New Roman" w:hAnsi="Times New Roman" w:cs="Times New Roman"/>
        </w:rPr>
        <w:t xml:space="preserve"> </w:t>
      </w:r>
      <w:r w:rsidR="004804DC" w:rsidRPr="004804DC">
        <w:rPr>
          <w:rFonts w:ascii="Times New Roman" w:eastAsia="Times New Roman" w:hAnsi="Times New Roman" w:cs="Times New Roman"/>
        </w:rPr>
        <w:t>(Hains &amp; Hains, 2020; Rogers, 2003).</w:t>
      </w:r>
    </w:p>
    <w:p w14:paraId="77A0B148" w14:textId="655C7CDA" w:rsidR="004804DC" w:rsidRPr="004804DC" w:rsidRDefault="004804DC" w:rsidP="00E32BAF">
      <w:pP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Methodology </w:t>
      </w:r>
    </w:p>
    <w:p w14:paraId="0000001C" w14:textId="2E33FE0C" w:rsidR="008E0AD4" w:rsidRDefault="0060094C" w:rsidP="00E32BAF">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Design thinking as a methodology aims to collectively garner participants' creativity and has been widely used in multiple industries to encourage innovation. This approach seeks to identify innovative solutions centered on people, adding a human lens to address their challenges. Therefore, incorporating design thinking elements into agricultural processes to solve challenges and farmers will encourage innovation and a higher interest in adopting agricultural technological innovations. In this case, using both frameworks, </w:t>
      </w:r>
      <w:r w:rsidR="001E0CC2">
        <w:rPr>
          <w:rFonts w:ascii="Times New Roman" w:eastAsia="Times New Roman" w:hAnsi="Times New Roman" w:cs="Times New Roman"/>
        </w:rPr>
        <w:t>VISUALITI (</w:t>
      </w:r>
      <w:r>
        <w:rPr>
          <w:rFonts w:ascii="Times New Roman" w:eastAsia="Times New Roman" w:hAnsi="Times New Roman" w:cs="Times New Roman"/>
        </w:rPr>
        <w:t xml:space="preserve">a technology development </w:t>
      </w:r>
      <w:r w:rsidR="001E0CC2">
        <w:rPr>
          <w:rFonts w:ascii="Times New Roman" w:eastAsia="Times New Roman" w:hAnsi="Times New Roman" w:cs="Times New Roman"/>
        </w:rPr>
        <w:t>company)</w:t>
      </w:r>
      <w:r>
        <w:rPr>
          <w:rFonts w:ascii="Times New Roman" w:eastAsia="Times New Roman" w:hAnsi="Times New Roman" w:cs="Times New Roman"/>
        </w:rPr>
        <w:t xml:space="preserve">, together with </w:t>
      </w:r>
      <w:r w:rsidR="001E0CC2">
        <w:rPr>
          <w:rFonts w:ascii="Times New Roman" w:eastAsia="Times New Roman" w:hAnsi="Times New Roman" w:cs="Times New Roman"/>
        </w:rPr>
        <w:t>the Panamerican Agricultural School Zamorano</w:t>
      </w:r>
      <w:r>
        <w:rPr>
          <w:rFonts w:ascii="Times New Roman" w:eastAsia="Times New Roman" w:hAnsi="Times New Roman" w:cs="Times New Roman"/>
        </w:rPr>
        <w:t xml:space="preserve"> and</w:t>
      </w:r>
      <w:r w:rsidR="00A05EDD">
        <w:rPr>
          <w:rFonts w:ascii="Times New Roman" w:eastAsia="Times New Roman" w:hAnsi="Times New Roman" w:cs="Times New Roman"/>
        </w:rPr>
        <w:t xml:space="preserve"> the Alliance Biodiversity International - CIAT</w:t>
      </w:r>
      <w:r>
        <w:rPr>
          <w:rFonts w:ascii="Times New Roman" w:eastAsia="Times New Roman" w:hAnsi="Times New Roman" w:cs="Times New Roman"/>
        </w:rPr>
        <w:t xml:space="preserve">, carried out the five stages that characterize a Human-Centered </w:t>
      </w:r>
      <w:r w:rsidRPr="004804DC">
        <w:rPr>
          <w:rFonts w:ascii="Times New Roman" w:eastAsia="Times New Roman" w:hAnsi="Times New Roman" w:cs="Times New Roman"/>
        </w:rPr>
        <w:t xml:space="preserve">Design </w:t>
      </w:r>
      <w:r w:rsidR="004804DC" w:rsidRPr="004804DC">
        <w:rPr>
          <w:rFonts w:ascii="Times New Roman" w:eastAsia="Times New Roman" w:hAnsi="Times New Roman" w:cs="Times New Roman"/>
        </w:rPr>
        <w:t xml:space="preserve">utilizing </w:t>
      </w:r>
      <w:r w:rsidRPr="004804DC">
        <w:rPr>
          <w:rFonts w:ascii="Times New Roman" w:eastAsia="Times New Roman" w:hAnsi="Times New Roman" w:cs="Times New Roman"/>
        </w:rPr>
        <w:t>the co-creation methodology</w:t>
      </w:r>
      <w:r w:rsidR="004804DC" w:rsidRPr="004804DC">
        <w:rPr>
          <w:rFonts w:ascii="Times New Roman" w:eastAsia="Times New Roman" w:hAnsi="Times New Roman" w:cs="Times New Roman"/>
        </w:rPr>
        <w:t xml:space="preserve"> </w:t>
      </w:r>
      <w:r w:rsidRPr="004804DC">
        <w:rPr>
          <w:rFonts w:ascii="Times New Roman" w:eastAsia="Times New Roman" w:hAnsi="Times New Roman" w:cs="Times New Roman"/>
        </w:rPr>
        <w:t>to meet</w:t>
      </w:r>
      <w:r>
        <w:rPr>
          <w:rFonts w:ascii="Times New Roman" w:eastAsia="Times New Roman" w:hAnsi="Times New Roman" w:cs="Times New Roman"/>
        </w:rPr>
        <w:t xml:space="preserve"> the needs of people (small-scale farmers) in a way that is technologically feasible and commercially viable</w:t>
      </w:r>
      <w:r w:rsidR="00F769D4">
        <w:rPr>
          <w:rFonts w:ascii="Times New Roman" w:eastAsia="Times New Roman" w:hAnsi="Times New Roman" w:cs="Times New Roman"/>
        </w:rPr>
        <w:t xml:space="preserve">, </w:t>
      </w:r>
      <w:r>
        <w:rPr>
          <w:rFonts w:ascii="Times New Roman" w:eastAsia="Times New Roman" w:hAnsi="Times New Roman" w:cs="Times New Roman"/>
        </w:rPr>
        <w:t>a robust, low-cost, high-usability soil moisture sensor</w:t>
      </w:r>
      <w:r w:rsidR="00F769D4">
        <w:rPr>
          <w:rFonts w:ascii="Times New Roman" w:eastAsia="Times New Roman" w:hAnsi="Times New Roman" w:cs="Times New Roman"/>
        </w:rPr>
        <w:t xml:space="preserve"> </w:t>
      </w:r>
      <w:r w:rsidR="004804DC" w:rsidRPr="004804DC">
        <w:rPr>
          <w:rFonts w:ascii="Times New Roman" w:eastAsia="Times New Roman" w:hAnsi="Times New Roman" w:cs="Times New Roman"/>
        </w:rPr>
        <w:t>(Schmidt &amp; Rammer, 2007).</w:t>
      </w:r>
    </w:p>
    <w:p w14:paraId="0E4AF382" w14:textId="5042700C" w:rsidR="004804DC" w:rsidRDefault="0060094C" w:rsidP="00E32BAF">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purpose of this </w:t>
      </w:r>
      <w:r w:rsidR="004804DC">
        <w:rPr>
          <w:rFonts w:ascii="Times New Roman" w:eastAsia="Times New Roman" w:hAnsi="Times New Roman" w:cs="Times New Roman"/>
        </w:rPr>
        <w:t>innovate idea</w:t>
      </w:r>
      <w:r>
        <w:rPr>
          <w:rFonts w:ascii="Times New Roman" w:eastAsia="Times New Roman" w:hAnsi="Times New Roman" w:cs="Times New Roman"/>
        </w:rPr>
        <w:t xml:space="preserve"> included designing a technique that fosters co-creation and dissemination of agricultural technological innovations, promoting inclusiveness by incorporating smallholder farmers into the ideation process, thus encouraging solutions to the agrifood system challenges that are sustainable, equitable, and resilient. </w:t>
      </w:r>
      <w:r w:rsidR="004804DC">
        <w:rPr>
          <w:rFonts w:ascii="Times New Roman" w:eastAsia="Times New Roman" w:hAnsi="Times New Roman" w:cs="Times New Roman"/>
        </w:rPr>
        <w:t xml:space="preserve">Therefore, three workshop were conducted with smallholder farmers in Honduras, Colombia and Nicaragua. Farmers were previously identified as leaders in their communities by partner extension organizations as part of the ideation process. In all workshops, participants were asked to imagine a solution to identify or alert them of low moisture in their soils. Participants were given time to imagine and illustrate their ideas. Afterwards, each participant shared their visualization. </w:t>
      </w:r>
    </w:p>
    <w:p w14:paraId="1D9B96A7" w14:textId="68000116" w:rsidR="004804DC" w:rsidRPr="004804DC" w:rsidRDefault="004804DC" w:rsidP="00E32BAF">
      <w:pPr>
        <w:spacing w:line="240" w:lineRule="auto"/>
        <w:jc w:val="center"/>
        <w:rPr>
          <w:rFonts w:ascii="Times New Roman" w:eastAsia="Times New Roman" w:hAnsi="Times New Roman" w:cs="Times New Roman"/>
          <w:b/>
          <w:bCs/>
        </w:rPr>
      </w:pPr>
      <w:r w:rsidRPr="004804DC">
        <w:rPr>
          <w:rFonts w:ascii="Times New Roman" w:eastAsia="Times New Roman" w:hAnsi="Times New Roman" w:cs="Times New Roman"/>
          <w:b/>
          <w:bCs/>
        </w:rPr>
        <w:t>Results to Date</w:t>
      </w:r>
    </w:p>
    <w:p w14:paraId="2D2E0005" w14:textId="77777777" w:rsidR="004804DC" w:rsidRDefault="004804DC" w:rsidP="00E32BAF">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development of a soil moisture sensor was informed by the direct input from farmers in Honduras, Colombia and Nicaragua. Through transdisciplinary team efforts, a robust, low-cost and highly usable device was designed and field-tested demonstrating its efficacy in measuring soil moisture, particularly in semi-arid areas. </w:t>
      </w:r>
    </w:p>
    <w:p w14:paraId="2F0CA22B" w14:textId="374FB0CA" w:rsidR="004804DC" w:rsidRPr="004804DC" w:rsidRDefault="004804DC" w:rsidP="00E32BAF">
      <w:pPr>
        <w:spacing w:line="24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During the developmental phase, the research team recognized the challenges faced by farmers to understand soil moisture. This realization prompted to a significant shift in the technology’s intended purpose, leading to the identification of extension agents as potential users. Extension agents are uniquely positioned to assist farmers and bridge the gap between agricultural technology advances and sustainable farming practices (</w:t>
      </w:r>
      <w:r w:rsidRPr="004804DC">
        <w:rPr>
          <w:rFonts w:ascii="Times New Roman" w:hAnsi="Times New Roman"/>
          <w:bCs/>
        </w:rPr>
        <w:t>Sulaiman &amp; Misnan</w:t>
      </w:r>
      <w:r>
        <w:rPr>
          <w:rFonts w:ascii="Times New Roman" w:hAnsi="Times New Roman"/>
          <w:bCs/>
        </w:rPr>
        <w:t xml:space="preserve">, </w:t>
      </w:r>
      <w:r w:rsidRPr="004804DC">
        <w:rPr>
          <w:rFonts w:ascii="Times New Roman" w:hAnsi="Times New Roman"/>
          <w:bCs/>
        </w:rPr>
        <w:t>2022).</w:t>
      </w:r>
      <w:r>
        <w:rPr>
          <w:rFonts w:ascii="Times New Roman" w:hAnsi="Times New Roman"/>
          <w:bCs/>
        </w:rPr>
        <w:t xml:space="preserve"> The integration of a soil sensor that is robust, low-cost and highly usable by extension agents has the potentially to enhance their support for farmers, facilitating the way they can translate complex scientific insights about soil moisture into practical and actionable guidance. </w:t>
      </w:r>
    </w:p>
    <w:p w14:paraId="7A18B2C7" w14:textId="660B6C69" w:rsidR="004804DC" w:rsidRDefault="004804DC" w:rsidP="00E32BAF">
      <w:pPr>
        <w:spacing w:line="240" w:lineRule="auto"/>
        <w:ind w:firstLine="720"/>
        <w:rPr>
          <w:rFonts w:ascii="Times New Roman" w:hAnsi="Times New Roman"/>
          <w:bCs/>
        </w:rPr>
      </w:pPr>
      <w:r>
        <w:rPr>
          <w:rFonts w:ascii="Times New Roman" w:hAnsi="Times New Roman"/>
          <w:bCs/>
        </w:rPr>
        <w:t xml:space="preserve">This new approach also underscores the importance of the human-centered design in agricultural technology development and extension. A transdisciplinary approach that prioritizes smallholder farmers and actively engage them in the developmental process, ensures that tools are aligned with the realities of smallholder farming.  Ultimately, this approach can boost agricultural extension efforts to incorporate innovate practices that promote the sustainability of the smallholder farmers available resources, while concurrently enhancing the educational outreach efforts in formal and non-formal settings (Scott et al., 2018). </w:t>
      </w:r>
    </w:p>
    <w:p w14:paraId="5EA93581" w14:textId="3FB985A3" w:rsidR="004804DC" w:rsidRPr="004804DC" w:rsidRDefault="004804DC" w:rsidP="00E32BAF">
      <w:pPr>
        <w:spacing w:line="240" w:lineRule="auto"/>
        <w:jc w:val="center"/>
        <w:rPr>
          <w:rFonts w:ascii="Times New Roman" w:hAnsi="Times New Roman"/>
          <w:b/>
        </w:rPr>
      </w:pPr>
      <w:r w:rsidRPr="004804DC">
        <w:rPr>
          <w:rFonts w:ascii="Times New Roman" w:hAnsi="Times New Roman"/>
          <w:b/>
        </w:rPr>
        <w:t>Future plans</w:t>
      </w:r>
    </w:p>
    <w:p w14:paraId="4EF09D3E" w14:textId="65B92FF8" w:rsidR="004804DC" w:rsidRDefault="004804DC" w:rsidP="00E32BAF">
      <w:pPr>
        <w:spacing w:line="240" w:lineRule="auto"/>
        <w:ind w:firstLine="720"/>
        <w:rPr>
          <w:rFonts w:ascii="Times New Roman" w:hAnsi="Times New Roman"/>
          <w:bCs/>
        </w:rPr>
      </w:pPr>
      <w:r>
        <w:rPr>
          <w:rFonts w:ascii="Times New Roman" w:hAnsi="Times New Roman"/>
          <w:bCs/>
        </w:rPr>
        <w:t xml:space="preserve">As part of a larger research project, the device was finalized and prototype was developed within an open-access platform to allow individuals or agencies interested to adopt, to easily adapt to their needs. All resources are available at: </w:t>
      </w:r>
      <w:hyperlink r:id="rId5" w:history="1">
        <w:r w:rsidR="00807315" w:rsidRPr="006E26C7">
          <w:rPr>
            <w:rStyle w:val="Hyperlink"/>
            <w:rFonts w:ascii="Times New Roman" w:hAnsi="Times New Roman"/>
            <w:bCs/>
          </w:rPr>
          <w:t>https://www.fontagro.org/new/proyectos/digitalization-small-scale/es</w:t>
        </w:r>
      </w:hyperlink>
      <w:r w:rsidR="00807315">
        <w:rPr>
          <w:rFonts w:ascii="Times New Roman" w:hAnsi="Times New Roman"/>
          <w:bCs/>
        </w:rPr>
        <w:t xml:space="preserve"> </w:t>
      </w:r>
      <w:r>
        <w:rPr>
          <w:rFonts w:ascii="Times New Roman" w:hAnsi="Times New Roman"/>
          <w:bCs/>
        </w:rPr>
        <w:t xml:space="preserve"> </w:t>
      </w:r>
    </w:p>
    <w:p w14:paraId="7F68C266" w14:textId="5C9448CB" w:rsidR="004804DC" w:rsidRDefault="004804DC" w:rsidP="00E32BAF">
      <w:pPr>
        <w:spacing w:line="240" w:lineRule="auto"/>
        <w:jc w:val="center"/>
        <w:rPr>
          <w:rFonts w:ascii="Times New Roman" w:hAnsi="Times New Roman"/>
          <w:b/>
        </w:rPr>
      </w:pPr>
      <w:r w:rsidRPr="004804DC">
        <w:rPr>
          <w:rFonts w:ascii="Times New Roman" w:hAnsi="Times New Roman"/>
          <w:b/>
        </w:rPr>
        <w:t>Resources needed</w:t>
      </w:r>
    </w:p>
    <w:p w14:paraId="524C84ED" w14:textId="7558FF8D" w:rsidR="004804DC" w:rsidRPr="004804DC" w:rsidRDefault="004804DC" w:rsidP="00E32BAF">
      <w:pPr>
        <w:spacing w:line="240" w:lineRule="auto"/>
        <w:rPr>
          <w:rFonts w:ascii="Times New Roman" w:hAnsi="Times New Roman"/>
          <w:bCs/>
        </w:rPr>
      </w:pPr>
      <w:r>
        <w:rPr>
          <w:rFonts w:ascii="Times New Roman" w:hAnsi="Times New Roman"/>
          <w:b/>
        </w:rPr>
        <w:tab/>
      </w:r>
      <w:r>
        <w:rPr>
          <w:rFonts w:ascii="Times New Roman" w:hAnsi="Times New Roman"/>
          <w:bCs/>
        </w:rPr>
        <w:t xml:space="preserve">The implementation of the co-creation technique requires that facilitators identify suitable participants that can provide their insight in the developmental stage. This entails ensuring that individuals must be familiar with the process or activity under consideration, in this case, farming in semi-arid remote areas with no irrigation system available. After this preliminary step, the activity can be conducted in a timeframe of 45 minutes. Participants are allowed to use visual aids, such as words, drawings, or artifacts to facilitate the creation of their visualization. The facilitator must identify what recourses are more likely to be needed based on the characteristic of the target population. In this activity, the facilitators utilized various materials, including papers, colors, markers and sissors.  </w:t>
      </w:r>
    </w:p>
    <w:p w14:paraId="20503A30" w14:textId="77777777" w:rsidR="00E32BAF" w:rsidRDefault="00E32BAF" w:rsidP="004804DC">
      <w:pPr>
        <w:spacing w:line="480" w:lineRule="auto"/>
        <w:jc w:val="center"/>
        <w:rPr>
          <w:rFonts w:ascii="Times New Roman" w:eastAsia="Times New Roman" w:hAnsi="Times New Roman" w:cs="Times New Roman"/>
          <w:b/>
        </w:rPr>
      </w:pPr>
    </w:p>
    <w:p w14:paraId="4A5843E5" w14:textId="77777777" w:rsidR="00E32BAF" w:rsidRDefault="00E32BAF" w:rsidP="004804DC">
      <w:pPr>
        <w:spacing w:line="480" w:lineRule="auto"/>
        <w:jc w:val="center"/>
        <w:rPr>
          <w:rFonts w:ascii="Times New Roman" w:eastAsia="Times New Roman" w:hAnsi="Times New Roman" w:cs="Times New Roman"/>
          <w:b/>
        </w:rPr>
      </w:pPr>
    </w:p>
    <w:p w14:paraId="04361D7A" w14:textId="77777777" w:rsidR="00E32BAF" w:rsidRDefault="00E32BAF" w:rsidP="004804DC">
      <w:pPr>
        <w:spacing w:line="480" w:lineRule="auto"/>
        <w:jc w:val="center"/>
        <w:rPr>
          <w:rFonts w:ascii="Times New Roman" w:eastAsia="Times New Roman" w:hAnsi="Times New Roman" w:cs="Times New Roman"/>
          <w:b/>
        </w:rPr>
      </w:pPr>
    </w:p>
    <w:p w14:paraId="70A339A9" w14:textId="77777777" w:rsidR="00E32BAF" w:rsidRDefault="00E32BAF" w:rsidP="004804DC">
      <w:pPr>
        <w:spacing w:line="480" w:lineRule="auto"/>
        <w:jc w:val="center"/>
        <w:rPr>
          <w:rFonts w:ascii="Times New Roman" w:eastAsia="Times New Roman" w:hAnsi="Times New Roman" w:cs="Times New Roman"/>
          <w:b/>
        </w:rPr>
      </w:pPr>
    </w:p>
    <w:p w14:paraId="21621E89" w14:textId="77777777" w:rsidR="00E32BAF" w:rsidRDefault="00E32BAF" w:rsidP="004804DC">
      <w:pPr>
        <w:spacing w:line="480" w:lineRule="auto"/>
        <w:jc w:val="center"/>
        <w:rPr>
          <w:rFonts w:ascii="Times New Roman" w:eastAsia="Times New Roman" w:hAnsi="Times New Roman" w:cs="Times New Roman"/>
          <w:b/>
        </w:rPr>
      </w:pPr>
    </w:p>
    <w:p w14:paraId="7213A644" w14:textId="77777777" w:rsidR="00E32BAF" w:rsidRDefault="00E32BAF" w:rsidP="004804DC">
      <w:pPr>
        <w:spacing w:line="480" w:lineRule="auto"/>
        <w:jc w:val="center"/>
        <w:rPr>
          <w:rFonts w:ascii="Times New Roman" w:eastAsia="Times New Roman" w:hAnsi="Times New Roman" w:cs="Times New Roman"/>
          <w:b/>
        </w:rPr>
      </w:pPr>
    </w:p>
    <w:p w14:paraId="4D44E3A8" w14:textId="77777777" w:rsidR="00E32BAF" w:rsidRDefault="00E32BAF" w:rsidP="004804DC">
      <w:pPr>
        <w:spacing w:line="480" w:lineRule="auto"/>
        <w:jc w:val="center"/>
        <w:rPr>
          <w:rFonts w:ascii="Times New Roman" w:eastAsia="Times New Roman" w:hAnsi="Times New Roman" w:cs="Times New Roman"/>
          <w:b/>
        </w:rPr>
      </w:pPr>
    </w:p>
    <w:p w14:paraId="094898FF" w14:textId="77777777" w:rsidR="00E32BAF" w:rsidRDefault="00E32BAF" w:rsidP="004804DC">
      <w:pPr>
        <w:spacing w:line="480" w:lineRule="auto"/>
        <w:jc w:val="center"/>
        <w:rPr>
          <w:rFonts w:ascii="Times New Roman" w:eastAsia="Times New Roman" w:hAnsi="Times New Roman" w:cs="Times New Roman"/>
          <w:b/>
        </w:rPr>
      </w:pPr>
    </w:p>
    <w:p w14:paraId="0000001F" w14:textId="10863FC1" w:rsidR="008E0AD4" w:rsidRDefault="0060094C" w:rsidP="004804DC">
      <w:pPr>
        <w:spacing w:line="48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References</w:t>
      </w:r>
    </w:p>
    <w:p w14:paraId="317EA26A" w14:textId="77777777" w:rsidR="004804DC" w:rsidRDefault="004804DC" w:rsidP="004804DC">
      <w:pPr>
        <w:spacing w:line="240" w:lineRule="auto"/>
        <w:ind w:firstLine="720"/>
        <w:rPr>
          <w:rFonts w:ascii="Times New Roman" w:hAnsi="Times New Roman"/>
          <w:bCs/>
        </w:rPr>
      </w:pPr>
      <w:r>
        <w:rPr>
          <w:rFonts w:ascii="Times New Roman" w:hAnsi="Times New Roman"/>
          <w:bCs/>
        </w:rPr>
        <w:t xml:space="preserve">FAO. (2018). </w:t>
      </w:r>
      <w:r w:rsidRPr="00197799">
        <w:rPr>
          <w:rFonts w:ascii="Times New Roman" w:hAnsi="Times New Roman"/>
          <w:bCs/>
        </w:rPr>
        <w:t>Sustainable food systems</w:t>
      </w:r>
      <w:r>
        <w:rPr>
          <w:rFonts w:ascii="Times New Roman" w:hAnsi="Times New Roman"/>
          <w:bCs/>
        </w:rPr>
        <w:t>: c</w:t>
      </w:r>
      <w:r w:rsidRPr="00197799">
        <w:rPr>
          <w:rFonts w:ascii="Times New Roman" w:hAnsi="Times New Roman"/>
          <w:bCs/>
        </w:rPr>
        <w:t>oncept and framework</w:t>
      </w:r>
      <w:r>
        <w:rPr>
          <w:rFonts w:ascii="Times New Roman" w:hAnsi="Times New Roman"/>
          <w:bCs/>
        </w:rPr>
        <w:t xml:space="preserve"> [policy brief </w:t>
      </w:r>
      <w:r w:rsidRPr="007F4BA8">
        <w:rPr>
          <w:rFonts w:ascii="Times New Roman" w:hAnsi="Times New Roman"/>
          <w:bCs/>
        </w:rPr>
        <w:t>CA2079EN/1/10.18</w:t>
      </w:r>
      <w:r>
        <w:rPr>
          <w:rFonts w:ascii="Times New Roman" w:hAnsi="Times New Roman"/>
          <w:bCs/>
        </w:rPr>
        <w:t xml:space="preserve">]. Rome: FAO. </w:t>
      </w:r>
      <w:hyperlink r:id="rId6" w:history="1">
        <w:r w:rsidRPr="004766AD">
          <w:rPr>
            <w:rStyle w:val="Hyperlink"/>
            <w:rFonts w:ascii="Times New Roman" w:hAnsi="Times New Roman"/>
            <w:bCs/>
          </w:rPr>
          <w:t>https://www.fao.org/3/ca2079en/CA2079EN.pdf</w:t>
        </w:r>
      </w:hyperlink>
    </w:p>
    <w:p w14:paraId="622987E2" w14:textId="77777777" w:rsidR="004804DC" w:rsidRDefault="004804DC" w:rsidP="004804DC">
      <w:pPr>
        <w:spacing w:line="240" w:lineRule="auto"/>
        <w:ind w:firstLine="720"/>
        <w:rPr>
          <w:rFonts w:ascii="Times New Roman" w:hAnsi="Times New Roman"/>
          <w:bCs/>
        </w:rPr>
      </w:pPr>
      <w:r w:rsidRPr="009438A4">
        <w:rPr>
          <w:rFonts w:ascii="Times New Roman" w:hAnsi="Times New Roman"/>
          <w:bCs/>
        </w:rPr>
        <w:t xml:space="preserve">Hains, B., &amp; Hains, K. (2020). Community reaction towards social innovation: a discussion of Rogers’ diffusion of innovations theory in consideration of community emotional response. </w:t>
      </w:r>
      <w:r w:rsidRPr="00D502C4">
        <w:rPr>
          <w:rFonts w:ascii="Times New Roman" w:hAnsi="Times New Roman"/>
          <w:bCs/>
          <w:i/>
          <w:iCs/>
        </w:rPr>
        <w:t>Journal of International Agricultural and Extension Education, 27</w:t>
      </w:r>
      <w:r w:rsidRPr="009438A4">
        <w:rPr>
          <w:rFonts w:ascii="Times New Roman" w:hAnsi="Times New Roman"/>
          <w:bCs/>
        </w:rPr>
        <w:t xml:space="preserve">(1), 34–46. </w:t>
      </w:r>
      <w:hyperlink r:id="rId7" w:history="1">
        <w:r w:rsidRPr="004766AD">
          <w:rPr>
            <w:rStyle w:val="Hyperlink"/>
            <w:rFonts w:ascii="Times New Roman" w:hAnsi="Times New Roman"/>
            <w:bCs/>
          </w:rPr>
          <w:t>http://doi:10.5191/jiaee.2020.27103</w:t>
        </w:r>
      </w:hyperlink>
      <w:r>
        <w:rPr>
          <w:rFonts w:ascii="Times New Roman" w:hAnsi="Times New Roman"/>
          <w:bCs/>
        </w:rPr>
        <w:t xml:space="preserve"> </w:t>
      </w:r>
    </w:p>
    <w:p w14:paraId="6E4EDEF6" w14:textId="77777777" w:rsidR="004804DC" w:rsidRPr="00D502C4" w:rsidRDefault="004804DC" w:rsidP="004804DC">
      <w:pPr>
        <w:spacing w:line="240" w:lineRule="auto"/>
        <w:ind w:firstLine="720"/>
        <w:rPr>
          <w:rFonts w:ascii="Times New Roman" w:hAnsi="Times New Roman"/>
          <w:bCs/>
        </w:rPr>
      </w:pPr>
      <w:r w:rsidRPr="00D502C4">
        <w:rPr>
          <w:rFonts w:ascii="Times New Roman" w:hAnsi="Times New Roman"/>
          <w:bCs/>
        </w:rPr>
        <w:t xml:space="preserve">Schmidt, Tobias and Rammer, Christian, Non-Technological and Technological Innovation: Strange Bedfellows? (2007). ZEW - Centre for European Economic Research Discussion Paper No. 07-052. Retrieved from https://ssrn.com/abstract=1010301 or </w:t>
      </w:r>
      <w:hyperlink r:id="rId8" w:history="1">
        <w:r w:rsidRPr="004766AD">
          <w:rPr>
            <w:rStyle w:val="Hyperlink"/>
            <w:rFonts w:ascii="Times New Roman" w:hAnsi="Times New Roman"/>
            <w:bCs/>
          </w:rPr>
          <w:t>http://dx.doi.org/10.2139/ssrn.1010301</w:t>
        </w:r>
      </w:hyperlink>
      <w:r>
        <w:rPr>
          <w:rFonts w:ascii="Times New Roman" w:hAnsi="Times New Roman"/>
          <w:bCs/>
        </w:rPr>
        <w:t xml:space="preserve"> </w:t>
      </w:r>
    </w:p>
    <w:p w14:paraId="62CC78DA" w14:textId="77777777" w:rsidR="004804DC" w:rsidRPr="00D502C4" w:rsidRDefault="004804DC" w:rsidP="004804DC">
      <w:pPr>
        <w:spacing w:line="240" w:lineRule="auto"/>
        <w:ind w:firstLine="720"/>
        <w:rPr>
          <w:rFonts w:ascii="Times New Roman" w:hAnsi="Times New Roman"/>
          <w:bCs/>
        </w:rPr>
      </w:pPr>
      <w:r w:rsidRPr="00D502C4">
        <w:rPr>
          <w:rFonts w:ascii="Times New Roman" w:hAnsi="Times New Roman"/>
          <w:bCs/>
        </w:rPr>
        <w:t xml:space="preserve">Scott, M., Weeks, W. G., &amp; Weeks, P. P. (2018). Impact of a professional development experience focused on extension educators as change agents. </w:t>
      </w:r>
      <w:r w:rsidRPr="00D502C4">
        <w:rPr>
          <w:rFonts w:ascii="Times New Roman" w:hAnsi="Times New Roman"/>
          <w:bCs/>
          <w:i/>
          <w:iCs/>
        </w:rPr>
        <w:t>Journal of Extension, 56</w:t>
      </w:r>
      <w:r w:rsidRPr="00D502C4">
        <w:rPr>
          <w:rFonts w:ascii="Times New Roman" w:hAnsi="Times New Roman"/>
          <w:bCs/>
        </w:rPr>
        <w:t xml:space="preserve">(6), Article 6RIB1. Retrieved from </w:t>
      </w:r>
      <w:hyperlink r:id="rId9" w:history="1">
        <w:r w:rsidRPr="004766AD">
          <w:rPr>
            <w:rStyle w:val="Hyperlink"/>
            <w:rFonts w:ascii="Times New Roman" w:hAnsi="Times New Roman"/>
            <w:bCs/>
          </w:rPr>
          <w:t>https://www.joe.org/joe/2018october /rb1.php</w:t>
        </w:r>
      </w:hyperlink>
      <w:r>
        <w:rPr>
          <w:rFonts w:ascii="Times New Roman" w:hAnsi="Times New Roman"/>
          <w:bCs/>
        </w:rPr>
        <w:t xml:space="preserve"> </w:t>
      </w:r>
    </w:p>
    <w:p w14:paraId="5B0131A1" w14:textId="30647070" w:rsidR="004804DC" w:rsidRPr="004804DC" w:rsidRDefault="004804DC" w:rsidP="004804DC">
      <w:pPr>
        <w:spacing w:line="240" w:lineRule="auto"/>
        <w:ind w:firstLine="720"/>
        <w:rPr>
          <w:rFonts w:ascii="Times New Roman" w:hAnsi="Times New Roman"/>
          <w:bCs/>
        </w:rPr>
      </w:pPr>
      <w:r w:rsidRPr="004804DC">
        <w:rPr>
          <w:rFonts w:ascii="Times New Roman" w:hAnsi="Times New Roman"/>
          <w:bCs/>
        </w:rPr>
        <w:t xml:space="preserve">Sulaiman, N. K., &amp; Misnan, S. H. (2022). Environmental Sustainability through Agriculture: Perspectives of Extension Agents on Adoption of Sustainable Practices. </w:t>
      </w:r>
      <w:r w:rsidRPr="004804DC">
        <w:rPr>
          <w:rFonts w:ascii="Times New Roman" w:hAnsi="Times New Roman"/>
          <w:bCs/>
          <w:i/>
          <w:iCs/>
        </w:rPr>
        <w:t>IOP Conference Series: Earth and Environmental Science, 1082</w:t>
      </w:r>
      <w:r w:rsidRPr="004804DC">
        <w:rPr>
          <w:rFonts w:ascii="Times New Roman" w:hAnsi="Times New Roman"/>
          <w:bCs/>
        </w:rPr>
        <w:t xml:space="preserve">(1), 012024. </w:t>
      </w:r>
      <w:hyperlink r:id="rId10" w:history="1">
        <w:r w:rsidRPr="004804DC">
          <w:rPr>
            <w:rStyle w:val="Hyperlink"/>
            <w:rFonts w:ascii="Times New Roman" w:hAnsi="Times New Roman"/>
            <w:bCs/>
          </w:rPr>
          <w:t>https://doi.org/10.1088/1755-1315/1082/1/012024</w:t>
        </w:r>
      </w:hyperlink>
      <w:r w:rsidRPr="004804DC">
        <w:rPr>
          <w:rFonts w:ascii="Times New Roman" w:hAnsi="Times New Roman"/>
          <w:bCs/>
        </w:rPr>
        <w:t xml:space="preserve"> </w:t>
      </w:r>
    </w:p>
    <w:p w14:paraId="59453C34" w14:textId="0FDE376E" w:rsidR="004804DC" w:rsidRPr="00D502C4" w:rsidRDefault="004804DC" w:rsidP="004804DC">
      <w:pPr>
        <w:spacing w:line="240" w:lineRule="auto"/>
        <w:ind w:firstLine="720"/>
        <w:rPr>
          <w:rFonts w:ascii="Times New Roman" w:hAnsi="Times New Roman"/>
          <w:bCs/>
        </w:rPr>
      </w:pPr>
      <w:r w:rsidRPr="00D502C4">
        <w:rPr>
          <w:rFonts w:ascii="Times New Roman" w:hAnsi="Times New Roman"/>
          <w:bCs/>
          <w:lang w:val="es-419"/>
        </w:rPr>
        <w:t xml:space="preserve">Rodriguez, M. T., Roberts, T. G., &amp; Harder, A. (2018). </w:t>
      </w:r>
      <w:r w:rsidRPr="00D502C4">
        <w:rPr>
          <w:rFonts w:ascii="Times New Roman" w:hAnsi="Times New Roman"/>
          <w:bCs/>
        </w:rPr>
        <w:t xml:space="preserve">Exploring the influence of innovation characteristics on the adoption of a water and input saving technology in the Jordan valley: implications for community extension workers. </w:t>
      </w:r>
      <w:r w:rsidRPr="00D502C4">
        <w:rPr>
          <w:rFonts w:ascii="Times New Roman" w:hAnsi="Times New Roman"/>
          <w:bCs/>
          <w:i/>
          <w:iCs/>
        </w:rPr>
        <w:t>Journal of International Agricultural and Extension Education, 25</w:t>
      </w:r>
      <w:r w:rsidRPr="00D502C4">
        <w:rPr>
          <w:rFonts w:ascii="Times New Roman" w:hAnsi="Times New Roman"/>
          <w:bCs/>
        </w:rPr>
        <w:t xml:space="preserve">(3), 81–95. </w:t>
      </w:r>
      <w:hyperlink r:id="rId11" w:history="1">
        <w:r w:rsidRPr="004766AD">
          <w:rPr>
            <w:rStyle w:val="Hyperlink"/>
            <w:rFonts w:ascii="Times New Roman" w:hAnsi="Times New Roman"/>
            <w:bCs/>
          </w:rPr>
          <w:t>https://doi.org/10.5191/jiaee.2018.25306</w:t>
        </w:r>
      </w:hyperlink>
      <w:r>
        <w:rPr>
          <w:rFonts w:ascii="Times New Roman" w:hAnsi="Times New Roman"/>
          <w:bCs/>
        </w:rPr>
        <w:t xml:space="preserve"> </w:t>
      </w:r>
      <w:r w:rsidRPr="00D502C4">
        <w:rPr>
          <w:rFonts w:ascii="Times New Roman" w:hAnsi="Times New Roman"/>
          <w:bCs/>
        </w:rPr>
        <w:t xml:space="preserve"> </w:t>
      </w:r>
      <w:r>
        <w:rPr>
          <w:rFonts w:ascii="Times New Roman" w:hAnsi="Times New Roman"/>
          <w:bCs/>
        </w:rPr>
        <w:t xml:space="preserve"> </w:t>
      </w:r>
    </w:p>
    <w:p w14:paraId="50237E24" w14:textId="77777777" w:rsidR="004804DC" w:rsidRPr="00D502C4" w:rsidRDefault="004804DC" w:rsidP="004804DC">
      <w:pPr>
        <w:spacing w:line="240" w:lineRule="auto"/>
        <w:rPr>
          <w:rFonts w:ascii="Times New Roman" w:hAnsi="Times New Roman"/>
          <w:bCs/>
        </w:rPr>
      </w:pPr>
      <w:r w:rsidRPr="00D502C4">
        <w:rPr>
          <w:rFonts w:ascii="Times New Roman" w:hAnsi="Times New Roman"/>
          <w:bCs/>
        </w:rPr>
        <w:t xml:space="preserve">Rogers, E.M. (2003). Diffusion of Innovations. Free Press, New York. </w:t>
      </w:r>
    </w:p>
    <w:p w14:paraId="7CAB1074" w14:textId="77777777" w:rsidR="004804DC" w:rsidRDefault="004804DC" w:rsidP="004804DC">
      <w:pPr>
        <w:spacing w:line="240" w:lineRule="auto"/>
        <w:ind w:firstLine="720"/>
        <w:rPr>
          <w:rFonts w:ascii="Times New Roman" w:hAnsi="Times New Roman"/>
          <w:bCs/>
        </w:rPr>
      </w:pPr>
      <w:r w:rsidRPr="00D502C4">
        <w:rPr>
          <w:rFonts w:ascii="Times New Roman" w:hAnsi="Times New Roman"/>
          <w:bCs/>
        </w:rPr>
        <w:t xml:space="preserve">Takahashi, K., Muraoka, R., &amp; Otsuka, K. (2019). Technology adoption, impact, and extension in developing countries’ agriculture: A review of the recent literature. </w:t>
      </w:r>
      <w:r w:rsidRPr="00D502C4">
        <w:rPr>
          <w:rFonts w:ascii="Times New Roman" w:hAnsi="Times New Roman"/>
          <w:bCs/>
          <w:i/>
          <w:iCs/>
        </w:rPr>
        <w:t>Agricultural Economics, 51</w:t>
      </w:r>
      <w:r w:rsidRPr="00D502C4">
        <w:rPr>
          <w:rFonts w:ascii="Times New Roman" w:hAnsi="Times New Roman"/>
          <w:bCs/>
        </w:rPr>
        <w:t>(1), 31–45. doi:10.1111/agec.12539</w:t>
      </w:r>
      <w:r>
        <w:rPr>
          <w:rFonts w:ascii="Times New Roman" w:hAnsi="Times New Roman"/>
          <w:bCs/>
        </w:rPr>
        <w:t xml:space="preserve">  </w:t>
      </w:r>
      <w:r w:rsidRPr="009438A4">
        <w:rPr>
          <w:rFonts w:ascii="Times New Roman" w:hAnsi="Times New Roman"/>
          <w:bCs/>
        </w:rPr>
        <w:t xml:space="preserve">   </w:t>
      </w:r>
      <w:r>
        <w:rPr>
          <w:rFonts w:ascii="Times New Roman" w:hAnsi="Times New Roman"/>
          <w:bCs/>
        </w:rPr>
        <w:t xml:space="preserve"> </w:t>
      </w:r>
    </w:p>
    <w:p w14:paraId="00000021" w14:textId="77777777" w:rsidR="008E0AD4" w:rsidRDefault="008E0AD4">
      <w:pPr>
        <w:spacing w:line="480" w:lineRule="auto"/>
        <w:rPr>
          <w:rFonts w:ascii="Times New Roman" w:eastAsia="Times New Roman" w:hAnsi="Times New Roman" w:cs="Times New Roman"/>
        </w:rPr>
      </w:pPr>
    </w:p>
    <w:sectPr w:rsidR="008E0AD4">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AD4"/>
    <w:rsid w:val="001E0CC2"/>
    <w:rsid w:val="00372044"/>
    <w:rsid w:val="003F281B"/>
    <w:rsid w:val="004804DC"/>
    <w:rsid w:val="0060094C"/>
    <w:rsid w:val="006B6BA1"/>
    <w:rsid w:val="007B4C5A"/>
    <w:rsid w:val="00807315"/>
    <w:rsid w:val="008E0AD4"/>
    <w:rsid w:val="00A05EDD"/>
    <w:rsid w:val="00C8164C"/>
    <w:rsid w:val="00CF5B2C"/>
    <w:rsid w:val="00D311F1"/>
    <w:rsid w:val="00E32BAF"/>
    <w:rsid w:val="00F76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14B156"/>
  <w15:docId w15:val="{8E9CF7FB-F2A2-F74D-A761-558B36E5D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9D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p1">
    <w:name w:val="p1"/>
    <w:basedOn w:val="Normal"/>
    <w:rsid w:val="00CA6D20"/>
    <w:pPr>
      <w:spacing w:after="0" w:line="240" w:lineRule="auto"/>
    </w:pPr>
    <w:rPr>
      <w:rFonts w:ascii="Helvetica" w:eastAsia="Times New Roman" w:hAnsi="Helvetica" w:cs="Times New Roman"/>
      <w:sz w:val="18"/>
      <w:szCs w:val="18"/>
    </w:rPr>
  </w:style>
  <w:style w:type="character" w:styleId="Hyperlink">
    <w:name w:val="Hyperlink"/>
    <w:basedOn w:val="DefaultParagraphFont"/>
    <w:uiPriority w:val="99"/>
    <w:unhideWhenUsed/>
    <w:rsid w:val="00CA6D20"/>
    <w:rPr>
      <w:color w:val="0563C1" w:themeColor="hyperlink"/>
      <w:u w:val="single"/>
    </w:rPr>
  </w:style>
  <w:style w:type="character" w:styleId="UnresolvedMention">
    <w:name w:val="Unresolved Mention"/>
    <w:basedOn w:val="DefaultParagraphFont"/>
    <w:uiPriority w:val="99"/>
    <w:semiHidden/>
    <w:unhideWhenUsed/>
    <w:rsid w:val="00CA6D20"/>
    <w:rPr>
      <w:color w:val="605E5C"/>
      <w:shd w:val="clear" w:color="auto" w:fill="E1DFDD"/>
    </w:rPr>
  </w:style>
  <w:style w:type="character" w:styleId="CommentReference">
    <w:name w:val="annotation reference"/>
    <w:basedOn w:val="DefaultParagraphFont"/>
    <w:uiPriority w:val="99"/>
    <w:semiHidden/>
    <w:unhideWhenUsed/>
    <w:rsid w:val="00FF73F6"/>
    <w:rPr>
      <w:sz w:val="16"/>
      <w:szCs w:val="16"/>
    </w:rPr>
  </w:style>
  <w:style w:type="paragraph" w:styleId="CommentText">
    <w:name w:val="annotation text"/>
    <w:basedOn w:val="Normal"/>
    <w:link w:val="CommentTextChar"/>
    <w:uiPriority w:val="99"/>
    <w:unhideWhenUsed/>
    <w:rsid w:val="00FF73F6"/>
    <w:pPr>
      <w:spacing w:line="240" w:lineRule="auto"/>
    </w:pPr>
    <w:rPr>
      <w:sz w:val="20"/>
      <w:szCs w:val="20"/>
    </w:rPr>
  </w:style>
  <w:style w:type="character" w:customStyle="1" w:styleId="CommentTextChar">
    <w:name w:val="Comment Text Char"/>
    <w:basedOn w:val="DefaultParagraphFont"/>
    <w:link w:val="CommentText"/>
    <w:uiPriority w:val="99"/>
    <w:rsid w:val="00FF73F6"/>
    <w:rPr>
      <w:sz w:val="20"/>
      <w:szCs w:val="20"/>
    </w:rPr>
  </w:style>
  <w:style w:type="paragraph" w:styleId="CommentSubject">
    <w:name w:val="annotation subject"/>
    <w:basedOn w:val="CommentText"/>
    <w:next w:val="CommentText"/>
    <w:link w:val="CommentSubjectChar"/>
    <w:uiPriority w:val="99"/>
    <w:semiHidden/>
    <w:unhideWhenUsed/>
    <w:rsid w:val="00FF73F6"/>
    <w:rPr>
      <w:b/>
      <w:bCs/>
    </w:rPr>
  </w:style>
  <w:style w:type="character" w:customStyle="1" w:styleId="CommentSubjectChar">
    <w:name w:val="Comment Subject Char"/>
    <w:basedOn w:val="CommentTextChar"/>
    <w:link w:val="CommentSubject"/>
    <w:uiPriority w:val="99"/>
    <w:semiHidden/>
    <w:rsid w:val="00FF73F6"/>
    <w:rPr>
      <w:b/>
      <w:bCs/>
      <w:sz w:val="20"/>
      <w:szCs w:val="20"/>
    </w:rPr>
  </w:style>
  <w:style w:type="paragraph" w:styleId="Revision">
    <w:name w:val="Revision"/>
    <w:hidden/>
    <w:uiPriority w:val="99"/>
    <w:semiHidden/>
    <w:rsid w:val="00190046"/>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762243">
      <w:bodyDiv w:val="1"/>
      <w:marLeft w:val="0"/>
      <w:marRight w:val="0"/>
      <w:marTop w:val="0"/>
      <w:marBottom w:val="0"/>
      <w:divBdr>
        <w:top w:val="none" w:sz="0" w:space="0" w:color="auto"/>
        <w:left w:val="none" w:sz="0" w:space="0" w:color="auto"/>
        <w:bottom w:val="none" w:sz="0" w:space="0" w:color="auto"/>
        <w:right w:val="none" w:sz="0" w:space="0" w:color="auto"/>
      </w:divBdr>
    </w:div>
    <w:div w:id="172926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x.doi.org/10.2139/ssrn.10103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oi:10.5191/jiaee.2020.271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o.org/3/ca2079en/CA2079EN.pdf" TargetMode="External"/><Relationship Id="rId11" Type="http://schemas.openxmlformats.org/officeDocument/2006/relationships/hyperlink" Target="https://doi.org/10.5191/jiaee.2018.25306" TargetMode="External"/><Relationship Id="rId5" Type="http://schemas.openxmlformats.org/officeDocument/2006/relationships/hyperlink" Target="https://www.fontagro.org/new/proyectos/digitalization-small-scale/es" TargetMode="External"/><Relationship Id="rId10" Type="http://schemas.openxmlformats.org/officeDocument/2006/relationships/hyperlink" Target="https://doi.org/10.1088/1755-1315/1082/1/012024" TargetMode="External"/><Relationship Id="rId4" Type="http://schemas.openxmlformats.org/officeDocument/2006/relationships/webSettings" Target="webSettings.xml"/><Relationship Id="rId9" Type="http://schemas.openxmlformats.org/officeDocument/2006/relationships/hyperlink" Target="https://www.joe.org/joe/2018october%20/rb1.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m2jmO3dKzleOoIGByxl31lHr/wQ==">AMUW2mVlBr/DFlGbtwEORH9WL7QqDT85ltpkebpQXkY49qbr3avpZVfs9I2y+hJY8njfSXsCj+DAeiBIlt4HDXaQC2M2Gq1znShT60zE52i/ssmpY6NXk3J4XOOk0JGBY/5Hc8hea3s5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Suleima Yasmin Patt Cal (22240)</dc:creator>
  <cp:keywords/>
  <dc:description/>
  <cp:lastModifiedBy>Morales-Vanegas, Sarahi</cp:lastModifiedBy>
  <cp:revision>11</cp:revision>
  <dcterms:created xsi:type="dcterms:W3CDTF">2022-10-17T19:36:00Z</dcterms:created>
  <dcterms:modified xsi:type="dcterms:W3CDTF">2025-04-24T20:45:00Z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9e056e28c411dc1b25634fa7269db79c4bdd52bdfcaf35af8473311a051b68b6</vt:lpwstr>
  </property>
</Properties>
</file>