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91E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Leaning into the AAAE Values: Theoretical Frameworks for Systems-Oriented Paradigms</w:t>
      </w:r>
    </w:p>
    <w:p w14:paraId="00000002" w14:textId="77777777" w:rsidR="00791EEA" w:rsidRDefault="00791EEA">
      <w:pPr>
        <w:spacing w:line="240" w:lineRule="auto"/>
        <w:rPr>
          <w:rFonts w:ascii="Times New Roman" w:eastAsia="Times New Roman" w:hAnsi="Times New Roman" w:cs="Times New Roman"/>
          <w:b/>
          <w:sz w:val="24"/>
          <w:szCs w:val="24"/>
        </w:rPr>
      </w:pPr>
    </w:p>
    <w:p w14:paraId="00000003" w14:textId="77777777" w:rsidR="00791E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74778136" w14:textId="77777777" w:rsidR="00495E89" w:rsidRDefault="00495E89" w:rsidP="00495E89">
      <w:pPr>
        <w:spacing w:line="240" w:lineRule="auto"/>
        <w:rPr>
          <w:rFonts w:ascii="Times New Roman" w:eastAsia="Times New Roman" w:hAnsi="Times New Roman" w:cs="Times New Roman"/>
          <w:sz w:val="24"/>
          <w:szCs w:val="24"/>
        </w:rPr>
      </w:pPr>
    </w:p>
    <w:p w14:paraId="00000004" w14:textId="169AC2F0" w:rsidR="00791EEA" w:rsidRDefault="00000000" w:rsidP="00495E8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2023, the American Association for Agricultural Education (AAAE) launched the AAAE Research Values document to guide AAAE members in solving complex agricultural, food, and natural resource (AFNR) problems (AAAE, 2023). The Values document guides our focus, encourages us to confront complexity, and challenges us to address the wicked problems that plague our discipline and world. To do this good work, we need paradigms, frameworks, and methodologies to guide our thinking, scholarship, and practice. </w:t>
      </w:r>
      <w:r w:rsidR="00184314" w:rsidRPr="00184314">
        <w:rPr>
          <w:rFonts w:ascii="Times New Roman" w:eastAsia="Times New Roman" w:hAnsi="Times New Roman" w:cs="Times New Roman"/>
          <w:sz w:val="24"/>
          <w:szCs w:val="24"/>
        </w:rPr>
        <w:t>Therefore, we offer this theoretical abstract as a resource for researchers and practitioners eager to explore complex problems in AFNR systems, beginning with conceptual foundations that distinguish between complicated and complex problems and introducing systems thinking and systems-oriented paradigms.</w:t>
      </w:r>
      <w:r>
        <w:rPr>
          <w:rFonts w:ascii="Times New Roman" w:eastAsia="Times New Roman" w:hAnsi="Times New Roman" w:cs="Times New Roman"/>
          <w:sz w:val="24"/>
          <w:szCs w:val="24"/>
        </w:rPr>
        <w:t xml:space="preserve"> We then offer three theoretical entry points that incorporate systems-oriented paradigms into research and practice. For each of these entry points, we leverage our unique voices as authors and scholars with experience in AFNR system, specifically School-Based Agricultural Education (SBAE), to share our journeys into systems thinking. We end by inviting</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our colleagues to embrace complexity in pursuit of AAAE Values.</w:t>
      </w:r>
    </w:p>
    <w:p w14:paraId="79F5A036" w14:textId="77777777" w:rsidR="00495E89" w:rsidRDefault="00495E89" w:rsidP="00495E89">
      <w:pPr>
        <w:spacing w:line="240" w:lineRule="auto"/>
        <w:rPr>
          <w:rFonts w:ascii="Times New Roman" w:eastAsia="Times New Roman" w:hAnsi="Times New Roman" w:cs="Times New Roman"/>
          <w:sz w:val="24"/>
          <w:szCs w:val="24"/>
        </w:rPr>
      </w:pPr>
    </w:p>
    <w:p w14:paraId="00000005" w14:textId="4AF4169D" w:rsidR="00791EEA" w:rsidRDefault="00000000" w:rsidP="00495E8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Efforts to address issues in the AFNR sectors by exploring inherently complex, interconnected, and multilayered questions necessitate a distinction between</w:t>
      </w:r>
      <w:r>
        <w:rPr>
          <w:rFonts w:ascii="Times New Roman" w:eastAsia="Times New Roman" w:hAnsi="Times New Roman" w:cs="Times New Roman"/>
          <w:i/>
          <w:sz w:val="24"/>
          <w:szCs w:val="24"/>
        </w:rPr>
        <w:t xml:space="preserve"> complicated</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complex</w:t>
      </w:r>
      <w:r>
        <w:rPr>
          <w:rFonts w:ascii="Times New Roman" w:eastAsia="Times New Roman" w:hAnsi="Times New Roman" w:cs="Times New Roman"/>
          <w:sz w:val="24"/>
          <w:szCs w:val="24"/>
        </w:rPr>
        <w:t xml:space="preserve"> problems, as the methods for understanding and managing them differ significantly (Poli, 2013; Snowden &amp; Boone, 2007). </w:t>
      </w:r>
      <w:r>
        <w:rPr>
          <w:rFonts w:ascii="Times New Roman" w:eastAsia="Times New Roman" w:hAnsi="Times New Roman" w:cs="Times New Roman"/>
          <w:i/>
          <w:sz w:val="24"/>
          <w:szCs w:val="24"/>
        </w:rPr>
        <w:t>Complicated</w:t>
      </w:r>
      <w:r>
        <w:rPr>
          <w:rFonts w:ascii="Times New Roman" w:eastAsia="Times New Roman" w:hAnsi="Times New Roman" w:cs="Times New Roman"/>
          <w:sz w:val="24"/>
          <w:szCs w:val="24"/>
        </w:rPr>
        <w:t xml:space="preserve"> problems require (often complicated) solutions, breaking phenomena into discrete components in pursuit of predictability and control (van der Merwe et al., 2018). In contrast, </w:t>
      </w:r>
      <w:r>
        <w:rPr>
          <w:rFonts w:ascii="Times New Roman" w:eastAsia="Times New Roman" w:hAnsi="Times New Roman" w:cs="Times New Roman"/>
          <w:i/>
          <w:sz w:val="24"/>
          <w:szCs w:val="24"/>
        </w:rPr>
        <w:t>complex</w:t>
      </w:r>
      <w:r>
        <w:rPr>
          <w:rFonts w:ascii="Times New Roman" w:eastAsia="Times New Roman" w:hAnsi="Times New Roman" w:cs="Times New Roman"/>
          <w:sz w:val="24"/>
          <w:szCs w:val="24"/>
        </w:rPr>
        <w:t xml:space="preserve"> problems are dynamic and require iterative problem-solving and adaptation, as interventions often create new challenges (Poli, 2013). Ripple effects often span multiple system levels (Gunderson et al., 2022), necessitating broad participation (Biggs et al., 2015; Wenger-Trayner &amp; Wenger-Trayner, 2021). AFNR-related challenges are deeply contextual, making them ideal for applying complex thinking. </w:t>
      </w:r>
      <w:r w:rsidR="005B26D8">
        <w:rPr>
          <w:rFonts w:ascii="Times New Roman" w:eastAsia="Times New Roman" w:hAnsi="Times New Roman" w:cs="Times New Roman"/>
          <w:sz w:val="24"/>
          <w:szCs w:val="24"/>
        </w:rPr>
        <w:t>Systems-oriented paradigms</w:t>
      </w:r>
      <w:r w:rsidR="00D423FC">
        <w:rPr>
          <w:rFonts w:ascii="Times New Roman" w:eastAsia="Times New Roman" w:hAnsi="Times New Roman" w:cs="Times New Roman"/>
          <w:sz w:val="24"/>
          <w:szCs w:val="24"/>
        </w:rPr>
        <w:t xml:space="preserve">, </w:t>
      </w:r>
      <w:r w:rsidR="00D423FC">
        <w:rPr>
          <w:rFonts w:ascii="Times New Roman" w:eastAsia="Times New Roman" w:hAnsi="Times New Roman" w:cs="Times New Roman"/>
          <w:sz w:val="24"/>
          <w:szCs w:val="24"/>
        </w:rPr>
        <w:t>an umbrella term that incorporates approaches and theories that engage with complexity from a systems lens</w:t>
      </w:r>
      <w:r w:rsidR="00D423FC">
        <w:rPr>
          <w:rFonts w:ascii="Times New Roman" w:eastAsia="Times New Roman" w:hAnsi="Times New Roman" w:cs="Times New Roman"/>
          <w:sz w:val="24"/>
          <w:szCs w:val="24"/>
        </w:rPr>
        <w:t>,</w:t>
      </w:r>
      <w:r w:rsidR="005B26D8">
        <w:rPr>
          <w:rFonts w:ascii="Times New Roman" w:eastAsia="Times New Roman" w:hAnsi="Times New Roman" w:cs="Times New Roman"/>
          <w:sz w:val="24"/>
          <w:szCs w:val="24"/>
        </w:rPr>
        <w:t xml:space="preserve"> have an epistemological orientation that recogniz</w:t>
      </w:r>
      <w:r w:rsidR="00D423FC">
        <w:rPr>
          <w:rFonts w:ascii="Times New Roman" w:eastAsia="Times New Roman" w:hAnsi="Times New Roman" w:cs="Times New Roman"/>
          <w:sz w:val="24"/>
          <w:szCs w:val="24"/>
        </w:rPr>
        <w:t>es</w:t>
      </w:r>
      <w:r w:rsidR="005B26D8">
        <w:rPr>
          <w:rFonts w:ascii="Times New Roman" w:eastAsia="Times New Roman" w:hAnsi="Times New Roman" w:cs="Times New Roman"/>
          <w:sz w:val="24"/>
          <w:szCs w:val="24"/>
        </w:rPr>
        <w:t xml:space="preserve"> the world is made up of interconnected, dynamic systems. Systems-oriented paradigms reject reductionism and instead, emphasize relationships, connections, patterns, and context (</w:t>
      </w:r>
      <w:proofErr w:type="spellStart"/>
      <w:r w:rsidR="005B26D8">
        <w:rPr>
          <w:rFonts w:ascii="Times New Roman" w:eastAsia="Times New Roman" w:hAnsi="Times New Roman" w:cs="Times New Roman"/>
          <w:sz w:val="24"/>
          <w:szCs w:val="24"/>
        </w:rPr>
        <w:t>Eoyang</w:t>
      </w:r>
      <w:proofErr w:type="spellEnd"/>
      <w:r w:rsidR="005B26D8">
        <w:rPr>
          <w:rFonts w:ascii="Times New Roman" w:eastAsia="Times New Roman" w:hAnsi="Times New Roman" w:cs="Times New Roman"/>
          <w:sz w:val="24"/>
          <w:szCs w:val="24"/>
        </w:rPr>
        <w:t xml:space="preserve"> &amp; Holladay, 2013). They are also grounded in systems thinking, complexity, and interdependence (</w:t>
      </w:r>
      <w:proofErr w:type="spellStart"/>
      <w:r w:rsidR="005B26D8">
        <w:rPr>
          <w:rFonts w:ascii="Times New Roman" w:eastAsia="Times New Roman" w:hAnsi="Times New Roman" w:cs="Times New Roman"/>
          <w:sz w:val="24"/>
          <w:szCs w:val="24"/>
        </w:rPr>
        <w:t>Eoyang</w:t>
      </w:r>
      <w:proofErr w:type="spellEnd"/>
      <w:r w:rsidR="005B26D8">
        <w:rPr>
          <w:rFonts w:ascii="Times New Roman" w:eastAsia="Times New Roman" w:hAnsi="Times New Roman" w:cs="Times New Roman"/>
          <w:sz w:val="24"/>
          <w:szCs w:val="24"/>
        </w:rPr>
        <w:t xml:space="preserve"> &amp; Holladay, 2013; Tytel &amp; Holladay, 2011). </w:t>
      </w:r>
      <w:r>
        <w:rPr>
          <w:rFonts w:ascii="Times New Roman" w:eastAsia="Times New Roman" w:hAnsi="Times New Roman" w:cs="Times New Roman"/>
          <w:sz w:val="24"/>
          <w:szCs w:val="24"/>
        </w:rPr>
        <w:t xml:space="preserve">Working from a systems paradigm situates challenges as opportunities to remain adaptive to changing conditions rather than something to be solved. As scholars, we have collided head-on with systems challenges and, to varying degrees, stumbled our way into systems-oriented paradigms. In the next section, we offer three theoretical approaches AAAE members could leverage to study AFNR complexity using systems-oriented paradigms. </w:t>
      </w:r>
    </w:p>
    <w:p w14:paraId="00000006" w14:textId="77777777" w:rsidR="00791EEA" w:rsidRDefault="00791EEA">
      <w:pPr>
        <w:spacing w:line="240" w:lineRule="auto"/>
        <w:ind w:left="2160" w:firstLine="720"/>
        <w:rPr>
          <w:rFonts w:ascii="Times New Roman" w:eastAsia="Times New Roman" w:hAnsi="Times New Roman" w:cs="Times New Roman"/>
          <w:sz w:val="24"/>
          <w:szCs w:val="24"/>
        </w:rPr>
      </w:pPr>
    </w:p>
    <w:p w14:paraId="00000007" w14:textId="77777777" w:rsidR="00791EEA" w:rsidRDefault="00000000">
      <w:pPr>
        <w:spacing w:line="240" w:lineRule="auto"/>
        <w:ind w:left="2160"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Applying Systems-Oriented Paradigms </w:t>
      </w:r>
    </w:p>
    <w:p w14:paraId="15C916DF" w14:textId="77777777" w:rsidR="00495E89" w:rsidRDefault="00495E89" w:rsidP="00495E89">
      <w:pPr>
        <w:spacing w:line="240" w:lineRule="auto"/>
        <w:rPr>
          <w:rFonts w:ascii="Times New Roman" w:eastAsia="Times New Roman" w:hAnsi="Times New Roman" w:cs="Times New Roman"/>
          <w:sz w:val="24"/>
          <w:szCs w:val="24"/>
        </w:rPr>
      </w:pPr>
    </w:p>
    <w:p w14:paraId="00000008" w14:textId="074C50EC" w:rsidR="00791EEA" w:rsidRDefault="00000000" w:rsidP="00495E8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need lenses, or distinct ways of studying, for approaching our work and responding to the present (Bingham et al., 2024; Grant &amp; </w:t>
      </w:r>
      <w:proofErr w:type="spellStart"/>
      <w:r>
        <w:rPr>
          <w:rFonts w:ascii="Times New Roman" w:eastAsia="Times New Roman" w:hAnsi="Times New Roman" w:cs="Times New Roman"/>
          <w:sz w:val="24"/>
          <w:szCs w:val="24"/>
        </w:rPr>
        <w:t>Osanaloo</w:t>
      </w:r>
      <w:proofErr w:type="spellEnd"/>
      <w:r>
        <w:rPr>
          <w:rFonts w:ascii="Times New Roman" w:eastAsia="Times New Roman" w:hAnsi="Times New Roman" w:cs="Times New Roman"/>
          <w:sz w:val="24"/>
          <w:szCs w:val="24"/>
        </w:rPr>
        <w:t xml:space="preserve">, 2014). In this section, we offer three theoretical entry points, each contributed by a different author. Through anecdotes and </w:t>
      </w:r>
      <w:r>
        <w:rPr>
          <w:rFonts w:ascii="Times New Roman" w:eastAsia="Times New Roman" w:hAnsi="Times New Roman" w:cs="Times New Roman"/>
          <w:sz w:val="24"/>
          <w:szCs w:val="24"/>
        </w:rPr>
        <w:lastRenderedPageBreak/>
        <w:t>autoethnographic elements related to secondary and postsecondary education, we aim to make each lens less esoteric and more accessible to AAAE members.</w:t>
      </w:r>
    </w:p>
    <w:p w14:paraId="00000009" w14:textId="77777777" w:rsidR="00791EEA" w:rsidRDefault="00791EEA">
      <w:pPr>
        <w:keepNext/>
        <w:widowControl w:val="0"/>
        <w:spacing w:line="240" w:lineRule="auto"/>
        <w:rPr>
          <w:rFonts w:ascii="Times New Roman" w:eastAsia="Times New Roman" w:hAnsi="Times New Roman" w:cs="Times New Roman"/>
          <w:b/>
          <w:sz w:val="24"/>
          <w:szCs w:val="24"/>
        </w:rPr>
      </w:pPr>
    </w:p>
    <w:p w14:paraId="0000000B" w14:textId="3869C944" w:rsidR="00791EEA"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Entry Point One - Social-Ecological Resilience Theory</w:t>
      </w:r>
      <w:r w:rsidR="00495E89">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 xml:space="preserve">I was a resilient SBAE teacher. I provided for my students, finding strength in their energy and passions when I had little of my own. I adapted my professional and personal schedule to accommodate my school’s needs. I even problem-solved to make a National FFA Convention trip happen for one competing student amid a global pandemic. I was resilient, but I was not thriving. Traditional perspectives on resilience assert it is a positive characteristic (Gu &amp; Day, 2007; 2013). But what if a teacher’s resilience, like mine, keeps her in an undesirable situation? Individual and organizational resilience are useful frameworks for supporting the persistence of teachers, students, and school systems in the face of strain imposed upon them; however, these frameworks often overlook the influence of the circumstances surrounding them and the agency of these actors to change the situation altogether (Blinded, 2023). This requires a systems perspective. </w:t>
      </w:r>
    </w:p>
    <w:p w14:paraId="49433728" w14:textId="77777777" w:rsidR="00495E89" w:rsidRDefault="00495E89" w:rsidP="00495E89">
      <w:pPr>
        <w:keepNext/>
        <w:widowControl w:val="0"/>
        <w:spacing w:line="240" w:lineRule="auto"/>
        <w:rPr>
          <w:rFonts w:ascii="Times New Roman" w:eastAsia="Times New Roman" w:hAnsi="Times New Roman" w:cs="Times New Roman"/>
          <w:sz w:val="24"/>
          <w:szCs w:val="24"/>
        </w:rPr>
      </w:pPr>
    </w:p>
    <w:p w14:paraId="0000000C" w14:textId="7F3C5985" w:rsidR="00791EEA"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Social-Ecological Resilience (SER) is a concept born of systems thinking. Core ideas of SER portray the dynamic nature of systems while emphasizing opportunities to strengthen a system’s ability to navigate change. Importantly, SER embraces the notion of constant evolution at multiple scales at any given time (Folke et al., 2010; Gunderson et al., 2022). These cross-scale interactions comprise the non-linear nature of complex dynamics within a system (Gunderson et al., 2022). Nonlinearity and complexity create effects across scales that are only visible when considering the entire system, rather than just a single process (Gunderson et al., 2022). With numerous scales and sources of influence across a large system, SER scholars distinguish between two aspects of resilience: specified and general resilience. </w:t>
      </w:r>
      <w:r>
        <w:rPr>
          <w:rFonts w:ascii="Times New Roman" w:eastAsia="Times New Roman" w:hAnsi="Times New Roman" w:cs="Times New Roman"/>
          <w:i/>
          <w:sz w:val="24"/>
          <w:szCs w:val="24"/>
        </w:rPr>
        <w:t>Specified resilience</w:t>
      </w:r>
      <w:r>
        <w:rPr>
          <w:rFonts w:ascii="Times New Roman" w:eastAsia="Times New Roman" w:hAnsi="Times New Roman" w:cs="Times New Roman"/>
          <w:sz w:val="24"/>
          <w:szCs w:val="24"/>
        </w:rPr>
        <w:t xml:space="preserve"> is “the resilience of some specified part of the system to a specific shock” (Walker &amp; Salt, 2012, p. 18) while </w:t>
      </w:r>
      <w:r>
        <w:rPr>
          <w:rFonts w:ascii="Times New Roman" w:eastAsia="Times New Roman" w:hAnsi="Times New Roman" w:cs="Times New Roman"/>
          <w:i/>
          <w:sz w:val="24"/>
          <w:szCs w:val="24"/>
        </w:rPr>
        <w:t>general resilience</w:t>
      </w:r>
      <w:r>
        <w:rPr>
          <w:rFonts w:ascii="Times New Roman" w:eastAsia="Times New Roman" w:hAnsi="Times New Roman" w:cs="Times New Roman"/>
          <w:sz w:val="24"/>
          <w:szCs w:val="24"/>
        </w:rPr>
        <w:t xml:space="preserve"> is “the capacity of a system that allows it to absorb disturbances of all kinds… so that all parts of the system keep functioning as they have in the past” (Walker &amp; Salt, 2012, p. 18). In other words, in addition to managing specific aspects of a system, understanding and managing how the specific components interconnect </w:t>
      </w:r>
      <w:proofErr w:type="gramStart"/>
      <w:r>
        <w:rPr>
          <w:rFonts w:ascii="Times New Roman" w:eastAsia="Times New Roman" w:hAnsi="Times New Roman" w:cs="Times New Roman"/>
          <w:sz w:val="24"/>
          <w:szCs w:val="24"/>
        </w:rPr>
        <w:t>support</w:t>
      </w:r>
      <w:proofErr w:type="gramEnd"/>
      <w:r>
        <w:rPr>
          <w:rFonts w:ascii="Times New Roman" w:eastAsia="Times New Roman" w:hAnsi="Times New Roman" w:cs="Times New Roman"/>
          <w:sz w:val="24"/>
          <w:szCs w:val="24"/>
        </w:rPr>
        <w:t xml:space="preserve"> the resilience of the entire system. </w:t>
      </w:r>
    </w:p>
    <w:p w14:paraId="6C76C1CC" w14:textId="77777777" w:rsidR="00495E89" w:rsidRDefault="00495E89" w:rsidP="00495E89">
      <w:pPr>
        <w:keepNext/>
        <w:widowControl w:val="0"/>
        <w:spacing w:line="240" w:lineRule="auto"/>
        <w:rPr>
          <w:rFonts w:ascii="Times New Roman" w:eastAsia="Times New Roman" w:hAnsi="Times New Roman" w:cs="Times New Roman"/>
          <w:sz w:val="24"/>
          <w:szCs w:val="24"/>
        </w:rPr>
      </w:pPr>
    </w:p>
    <w:p w14:paraId="0000000E" w14:textId="5641A4E1" w:rsidR="00791EEA"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Building a system’s resilience can seem like a daunting task. </w:t>
      </w:r>
      <w:r w:rsidR="00184314">
        <w:rPr>
          <w:rFonts w:ascii="Times New Roman" w:eastAsia="Times New Roman" w:hAnsi="Times New Roman" w:cs="Times New Roman"/>
          <w:sz w:val="24"/>
          <w:szCs w:val="24"/>
        </w:rPr>
        <w:t>Thankfully,</w:t>
      </w:r>
      <w:r>
        <w:rPr>
          <w:rFonts w:ascii="Times New Roman" w:eastAsia="Times New Roman" w:hAnsi="Times New Roman" w:cs="Times New Roman"/>
          <w:sz w:val="24"/>
          <w:szCs w:val="24"/>
        </w:rPr>
        <w:t xml:space="preserve"> SER scholars identified seven key principles that build resilience, (1) maintain diversity and redundancy, (2) manage connectivity, (3) manage slow variables and </w:t>
      </w:r>
      <w:proofErr w:type="gramStart"/>
      <w:r>
        <w:rPr>
          <w:rFonts w:ascii="Times New Roman" w:eastAsia="Times New Roman" w:hAnsi="Times New Roman" w:cs="Times New Roman"/>
          <w:sz w:val="24"/>
          <w:szCs w:val="24"/>
        </w:rPr>
        <w:t>feedbacks</w:t>
      </w:r>
      <w:proofErr w:type="gramEnd"/>
      <w:r>
        <w:rPr>
          <w:rFonts w:ascii="Times New Roman" w:eastAsia="Times New Roman" w:hAnsi="Times New Roman" w:cs="Times New Roman"/>
          <w:sz w:val="24"/>
          <w:szCs w:val="24"/>
        </w:rPr>
        <w:t>, (4) foster complex adaptive systems thinking, (5) encourage learning, (6) broaden participation, and (7) promote polycentric governance systems (Biggs et al., 2015</w:t>
      </w:r>
      <w:r w:rsidRPr="00184314">
        <w:rPr>
          <w:rFonts w:ascii="Times New Roman" w:eastAsia="Times New Roman" w:hAnsi="Times New Roman" w:cs="Times New Roman"/>
          <w:sz w:val="24"/>
          <w:szCs w:val="24"/>
        </w:rPr>
        <w:t>). In</w:t>
      </w:r>
      <w:r>
        <w:rPr>
          <w:rFonts w:ascii="Times New Roman" w:eastAsia="Times New Roman" w:hAnsi="Times New Roman" w:cs="Times New Roman"/>
          <w:sz w:val="24"/>
          <w:szCs w:val="24"/>
        </w:rPr>
        <w:t xml:space="preserve"> Blinded (2019), we have explored copious SBAE applications of these principles. Social-ecological resilience thinking not only accounts for different perspectives on resilience but also offers entry points for using the natural dynamics of systems to create more desirable outcomes. Change is inevitable. However, with a SER lens, we can better understand the signals for an approaching tipping point that could either force or support change. In SBAE, for example, agriculture teachers face mounting professional demands, often reaching a tipping point. They adapt by setting boundaries, changing schools, or leaving the profession entirely. This turnover increases strain on broader system scales, such as local schools and teacher preparation programs. At the same time, state and national SBAE support teams work to maintain relevance and resilience by updating curriculum standards and expanding opportunities for student engagement. However, while these efforts strengthen the </w:t>
      </w:r>
      <w:r>
        <w:rPr>
          <w:rFonts w:ascii="Times New Roman" w:eastAsia="Times New Roman" w:hAnsi="Times New Roman" w:cs="Times New Roman"/>
          <w:sz w:val="24"/>
          <w:szCs w:val="24"/>
        </w:rPr>
        <w:lastRenderedPageBreak/>
        <w:t xml:space="preserve">system overall, they also reduce SBAE's specific resilience to the loss of highly qualified teachers. Such examples of trade-offs between specific and general resilience at different scales are abundant in SBAE and other complex AFNR systems. Leveraging SER as a theoretical framework and research paradigm has allowed us to explore these and other topics, such as systemic challenges related to agriculture teacher boundary setting and opportunities to strengthen social-ecological research and practice in AFNR social science (Blinded, 2023; Blinded, 2019). We posit that SER can offer a useful framework to explore other complex phenomena outlined in the AAAE values. </w:t>
      </w:r>
    </w:p>
    <w:p w14:paraId="0000000F" w14:textId="77777777" w:rsidR="00791EEA" w:rsidRDefault="00791EEA">
      <w:pPr>
        <w:keepNext/>
        <w:widowControl w:val="0"/>
        <w:spacing w:line="240" w:lineRule="auto"/>
        <w:rPr>
          <w:rFonts w:ascii="Times New Roman" w:eastAsia="Times New Roman" w:hAnsi="Times New Roman" w:cs="Times New Roman"/>
          <w:b/>
          <w:sz w:val="24"/>
          <w:szCs w:val="24"/>
        </w:rPr>
      </w:pPr>
    </w:p>
    <w:p w14:paraId="00000011" w14:textId="72E2DA50" w:rsidR="00791EEA" w:rsidRPr="00495E89"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Entry Point Two - Human Systems Dynamics</w:t>
      </w:r>
      <w:r w:rsidR="00495E89">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As a leadership studies faculty member in higher education, I faced numerous competing pressures: developing a scholarly reputation, staying relevant in my teaching, serving as a research mentor, advancing new programs, engaging in meaningful community work, and eventually taking on administrative responsibilities. The implicit rules of traditional faculty and departments did not always align with my context. This left me with many questions, often looking for guidance on whether I was doing the “right” things to advance on the tenure track. In 2019, I discovered the work of the Human Systems Dynamics Institute. I was excited by the vision, “</w:t>
      </w:r>
      <w:r>
        <w:rPr>
          <w:rFonts w:ascii="Times New Roman" w:eastAsia="Times New Roman" w:hAnsi="Times New Roman" w:cs="Times New Roman"/>
          <w:sz w:val="24"/>
          <w:szCs w:val="24"/>
          <w:highlight w:val="white"/>
        </w:rPr>
        <w:t xml:space="preserve">People everywhere thrive because we see patterns clearly, seek to understand, and act with courage to transform turbulence and uncertainty into possibility for all” (HSD, n.d.), and the direction it provided for addressing the challenges I was experiencing in my faculty role.  </w:t>
      </w:r>
    </w:p>
    <w:p w14:paraId="79D4C4E3" w14:textId="77777777" w:rsidR="00495E89" w:rsidRDefault="00495E89" w:rsidP="00495E89">
      <w:pPr>
        <w:keepNext/>
        <w:widowControl w:val="0"/>
        <w:spacing w:line="240" w:lineRule="auto"/>
        <w:rPr>
          <w:rFonts w:ascii="Times New Roman" w:eastAsia="Times New Roman" w:hAnsi="Times New Roman" w:cs="Times New Roman"/>
          <w:sz w:val="24"/>
          <w:szCs w:val="24"/>
        </w:rPr>
      </w:pPr>
    </w:p>
    <w:p w14:paraId="00000012" w14:textId="3E8B1C98" w:rsidR="00791EEA"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Human Systems Dynamics (HSD) is a field of study and practice, described as a “dynamical theory” that co-evolves with a network of practitioners committed to using its principles and tools to make progress on complex challenges (</w:t>
      </w:r>
      <w:proofErr w:type="spellStart"/>
      <w:r>
        <w:rPr>
          <w:rFonts w:ascii="Times New Roman" w:eastAsia="Times New Roman" w:hAnsi="Times New Roman" w:cs="Times New Roman"/>
          <w:sz w:val="24"/>
          <w:szCs w:val="24"/>
        </w:rPr>
        <w:t>Eoyang</w:t>
      </w:r>
      <w:proofErr w:type="spellEnd"/>
      <w:r>
        <w:rPr>
          <w:rFonts w:ascii="Times New Roman" w:eastAsia="Times New Roman" w:hAnsi="Times New Roman" w:cs="Times New Roman"/>
          <w:sz w:val="24"/>
          <w:szCs w:val="24"/>
        </w:rPr>
        <w:t xml:space="preserve"> &amp; Holladay, 2013, p. 120). A complex adaptive system (CAS) is characterized by a network of individual parts interacting with one another, resulting in system-wide patterns that emerge over time (Dooley, 1997; </w:t>
      </w:r>
      <w:proofErr w:type="spellStart"/>
      <w:r>
        <w:rPr>
          <w:rFonts w:ascii="Times New Roman" w:eastAsia="Times New Roman" w:hAnsi="Times New Roman" w:cs="Times New Roman"/>
          <w:sz w:val="24"/>
          <w:szCs w:val="24"/>
        </w:rPr>
        <w:t>Eoyang</w:t>
      </w:r>
      <w:proofErr w:type="spellEnd"/>
      <w:r>
        <w:rPr>
          <w:rFonts w:ascii="Times New Roman" w:eastAsia="Times New Roman" w:hAnsi="Times New Roman" w:cs="Times New Roman"/>
          <w:sz w:val="24"/>
          <w:szCs w:val="24"/>
        </w:rPr>
        <w:t xml:space="preserve"> and Holladay, 2013). HSD categorizes system conditions as CD&amp;Es - containers, differences, and exchanges. </w:t>
      </w:r>
      <w:r>
        <w:rPr>
          <w:rFonts w:ascii="Times New Roman" w:eastAsia="Times New Roman" w:hAnsi="Times New Roman" w:cs="Times New Roman"/>
          <w:i/>
          <w:sz w:val="24"/>
          <w:szCs w:val="24"/>
        </w:rPr>
        <w:t>Containers</w:t>
      </w:r>
      <w:r>
        <w:rPr>
          <w:rFonts w:ascii="Times New Roman" w:eastAsia="Times New Roman" w:hAnsi="Times New Roman" w:cs="Times New Roman"/>
          <w:sz w:val="24"/>
          <w:szCs w:val="24"/>
        </w:rPr>
        <w:t xml:space="preserve"> encompass the physical, social, and psychological boundaries that hold the system together. For example, this could be shared belief systems, organizational policies, a particular meeting space, or regional affiliation. </w:t>
      </w:r>
      <w:r>
        <w:rPr>
          <w:rFonts w:ascii="Times New Roman" w:eastAsia="Times New Roman" w:hAnsi="Times New Roman" w:cs="Times New Roman"/>
          <w:i/>
          <w:sz w:val="24"/>
          <w:szCs w:val="24"/>
        </w:rPr>
        <w:t>Differences</w:t>
      </w:r>
      <w:r>
        <w:rPr>
          <w:rFonts w:ascii="Times New Roman" w:eastAsia="Times New Roman" w:hAnsi="Times New Roman" w:cs="Times New Roman"/>
          <w:sz w:val="24"/>
          <w:szCs w:val="24"/>
        </w:rPr>
        <w:t xml:space="preserve"> refer to the various ways in which the parts of the system differ, such as differences in roles, training, personality, or cultural backgrounds. Differences create tension in the system, which is not inherently bad, as they prompt adaptation. Because there can be </w:t>
      </w:r>
      <w:proofErr w:type="gramStart"/>
      <w:r>
        <w:rPr>
          <w:rFonts w:ascii="Times New Roman" w:eastAsia="Times New Roman" w:hAnsi="Times New Roman" w:cs="Times New Roman"/>
          <w:sz w:val="24"/>
          <w:szCs w:val="24"/>
        </w:rPr>
        <w:t>a large number of</w:t>
      </w:r>
      <w:proofErr w:type="gramEnd"/>
      <w:r>
        <w:rPr>
          <w:rFonts w:ascii="Times New Roman" w:eastAsia="Times New Roman" w:hAnsi="Times New Roman" w:cs="Times New Roman"/>
          <w:sz w:val="24"/>
          <w:szCs w:val="24"/>
        </w:rPr>
        <w:t xml:space="preserve"> differences, it is useful for practitioners to narrow in on those differences that have the most significant impact or create the most tension. </w:t>
      </w:r>
      <w:r>
        <w:rPr>
          <w:rFonts w:ascii="Times New Roman" w:eastAsia="Times New Roman" w:hAnsi="Times New Roman" w:cs="Times New Roman"/>
          <w:i/>
          <w:sz w:val="24"/>
          <w:szCs w:val="24"/>
        </w:rPr>
        <w:t>Exchanges</w:t>
      </w:r>
      <w:r>
        <w:rPr>
          <w:rFonts w:ascii="Times New Roman" w:eastAsia="Times New Roman" w:hAnsi="Times New Roman" w:cs="Times New Roman"/>
          <w:sz w:val="24"/>
          <w:szCs w:val="24"/>
        </w:rPr>
        <w:t xml:space="preserve"> include the various forms of connection and interactions within the system. How information is shared and with whom are examples of exchanges. CD&amp;Es shape patterns in the system. System patterns encompass similarities, differences, and relationships that hold meaning across space and time (Tytel &amp; Holladay, 2011). Patterns can reveal how people or groups respond to specific circumstances, uncover hidden dynamics, and highlight areas for intervention. Over time, dominant patterns form the culture of the system, strongly influencing ongoing ways of thinking, doing, and being (</w:t>
      </w:r>
      <w:proofErr w:type="spellStart"/>
      <w:r>
        <w:rPr>
          <w:rFonts w:ascii="Times New Roman" w:eastAsia="Times New Roman" w:hAnsi="Times New Roman" w:cs="Times New Roman"/>
          <w:sz w:val="24"/>
          <w:szCs w:val="24"/>
        </w:rPr>
        <w:t>Eoyang</w:t>
      </w:r>
      <w:proofErr w:type="spellEnd"/>
      <w:r>
        <w:rPr>
          <w:rFonts w:ascii="Times New Roman" w:eastAsia="Times New Roman" w:hAnsi="Times New Roman" w:cs="Times New Roman"/>
          <w:sz w:val="24"/>
          <w:szCs w:val="24"/>
        </w:rPr>
        <w:t xml:space="preserve"> &amp; Holladay, 2013). </w:t>
      </w:r>
    </w:p>
    <w:p w14:paraId="62BE578F" w14:textId="77777777" w:rsidR="00495E89" w:rsidRDefault="00495E89" w:rsidP="00495E89">
      <w:pPr>
        <w:keepNext/>
        <w:widowControl w:val="0"/>
        <w:spacing w:line="240" w:lineRule="auto"/>
        <w:rPr>
          <w:rFonts w:ascii="Times New Roman" w:eastAsia="Times New Roman" w:hAnsi="Times New Roman" w:cs="Times New Roman"/>
          <w:sz w:val="24"/>
          <w:szCs w:val="24"/>
        </w:rPr>
      </w:pPr>
    </w:p>
    <w:p w14:paraId="00000013" w14:textId="476AAEBD" w:rsidR="00791EEA"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Complex adaptive systems are naturally self-organizing, meaning parts of the system continually respond to environmental influences to adjust or find a better fit within the system's context (</w:t>
      </w:r>
      <w:proofErr w:type="spellStart"/>
      <w:r>
        <w:rPr>
          <w:rFonts w:ascii="Times New Roman" w:eastAsia="Times New Roman" w:hAnsi="Times New Roman" w:cs="Times New Roman"/>
          <w:sz w:val="24"/>
          <w:szCs w:val="24"/>
        </w:rPr>
        <w:t>Eoyang</w:t>
      </w:r>
      <w:proofErr w:type="spellEnd"/>
      <w:r>
        <w:rPr>
          <w:rFonts w:ascii="Times New Roman" w:eastAsia="Times New Roman" w:hAnsi="Times New Roman" w:cs="Times New Roman"/>
          <w:sz w:val="24"/>
          <w:szCs w:val="24"/>
        </w:rPr>
        <w:t xml:space="preserve"> &amp; Holladay, 2013). As one or more parts of a system change, conditions can shift across the entire system, prompting further adaptations. In human systems, emerging patterns </w:t>
      </w:r>
      <w:r>
        <w:rPr>
          <w:rFonts w:ascii="Times New Roman" w:eastAsia="Times New Roman" w:hAnsi="Times New Roman" w:cs="Times New Roman"/>
          <w:sz w:val="24"/>
          <w:szCs w:val="24"/>
        </w:rPr>
        <w:lastRenderedPageBreak/>
        <w:t>influence the ongoing behavior of individuals within the system (</w:t>
      </w:r>
      <w:proofErr w:type="spellStart"/>
      <w:r>
        <w:rPr>
          <w:rFonts w:ascii="Times New Roman" w:eastAsia="Times New Roman" w:hAnsi="Times New Roman" w:cs="Times New Roman"/>
          <w:sz w:val="24"/>
          <w:szCs w:val="24"/>
        </w:rPr>
        <w:t>Eoyang</w:t>
      </w:r>
      <w:proofErr w:type="spellEnd"/>
      <w:r>
        <w:rPr>
          <w:rFonts w:ascii="Times New Roman" w:eastAsia="Times New Roman" w:hAnsi="Times New Roman" w:cs="Times New Roman"/>
          <w:sz w:val="24"/>
          <w:szCs w:val="24"/>
        </w:rPr>
        <w:t xml:space="preserve"> &amp; Holladay, 2013). Due to this dynamic, no single person is solely responsible for directing change. However, people within the system can create conditions for effective self-organization, allowing solutions to emerge. The ability to recognize patterns is a starting point for influencing change. Then, change agents must work to make meaning of the patterns in the past, present, and future context. From there, they can intentionally alter the conditions that influence these patterns. This change process is referred to in HSD as the </w:t>
      </w:r>
      <w:r>
        <w:rPr>
          <w:rFonts w:ascii="Times New Roman" w:eastAsia="Times New Roman" w:hAnsi="Times New Roman" w:cs="Times New Roman"/>
          <w:i/>
          <w:sz w:val="24"/>
          <w:szCs w:val="24"/>
        </w:rPr>
        <w:t>adaptive action cycle</w:t>
      </w:r>
      <w:r>
        <w:rPr>
          <w:rFonts w:ascii="Times New Roman" w:eastAsia="Times New Roman" w:hAnsi="Times New Roman" w:cs="Times New Roman"/>
          <w:sz w:val="24"/>
          <w:szCs w:val="24"/>
        </w:rPr>
        <w:t xml:space="preserve">. </w:t>
      </w:r>
    </w:p>
    <w:p w14:paraId="1FA96554" w14:textId="77777777" w:rsidR="00495E89" w:rsidRDefault="00495E89" w:rsidP="00495E89">
      <w:pPr>
        <w:keepNext/>
        <w:widowControl w:val="0"/>
        <w:spacing w:line="240" w:lineRule="auto"/>
        <w:rPr>
          <w:rFonts w:ascii="Times New Roman" w:eastAsia="Times New Roman" w:hAnsi="Times New Roman" w:cs="Times New Roman"/>
          <w:i/>
          <w:sz w:val="24"/>
          <w:szCs w:val="24"/>
        </w:rPr>
      </w:pPr>
    </w:p>
    <w:p w14:paraId="00000014" w14:textId="4ED36A7F" w:rsidR="00791EEA"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Adaptive action</w:t>
      </w:r>
      <w:r>
        <w:rPr>
          <w:rFonts w:ascii="Times New Roman" w:eastAsia="Times New Roman" w:hAnsi="Times New Roman" w:cs="Times New Roman"/>
          <w:sz w:val="24"/>
          <w:szCs w:val="24"/>
        </w:rPr>
        <w:t xml:space="preserve"> is a powerful tool central to navigating uncertainty and change. It is a cycle of inquiry guided by three simple questions: </w:t>
      </w:r>
      <w:r>
        <w:rPr>
          <w:rFonts w:ascii="Times New Roman" w:eastAsia="Times New Roman" w:hAnsi="Times New Roman" w:cs="Times New Roman"/>
          <w:i/>
          <w:sz w:val="24"/>
          <w:szCs w:val="24"/>
        </w:rPr>
        <w:t>What?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So What?</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 xml:space="preserve">Now </w:t>
      </w:r>
      <w:proofErr w:type="gramStart"/>
      <w:r>
        <w:rPr>
          <w:rFonts w:ascii="Times New Roman" w:eastAsia="Times New Roman" w:hAnsi="Times New Roman" w:cs="Times New Roman"/>
          <w:i/>
          <w:sz w:val="24"/>
          <w:szCs w:val="24"/>
        </w:rPr>
        <w:t>What?</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which guide people in understanding the current state, interpreting its implications, and choosing practical next steps (</w:t>
      </w:r>
      <w:proofErr w:type="spellStart"/>
      <w:r>
        <w:rPr>
          <w:rFonts w:ascii="Times New Roman" w:eastAsia="Times New Roman" w:hAnsi="Times New Roman" w:cs="Times New Roman"/>
          <w:sz w:val="24"/>
          <w:szCs w:val="24"/>
        </w:rPr>
        <w:t>Eoyang</w:t>
      </w:r>
      <w:proofErr w:type="spellEnd"/>
      <w:r>
        <w:rPr>
          <w:rFonts w:ascii="Times New Roman" w:eastAsia="Times New Roman" w:hAnsi="Times New Roman" w:cs="Times New Roman"/>
          <w:sz w:val="24"/>
          <w:szCs w:val="24"/>
        </w:rPr>
        <w:t xml:space="preserve"> &amp; Holladay, 2013). As environments change, a system’s resilience is in its capacity to respond using adaptive action (Patterson &amp; Holladay, 2024). There are numerous applications for HSD to support resilience across all levels of the SBAE system, a context in which I’m engaged. For example, HSD’s emphasis on recognizing patterns can help SBAE programs identify trends and shifts in students' learning needs, local agricultural practices, and community expectations. This recognition of patterns prompts an understanding of how culture is shaped and how patterns can be shifted. The adaptive action cycle can be a powerful tool for SBAE teachers and administrators, as well as teacher educators and community educators, as they continually evolve their curriculum and approaches to stay relevant in changing educational conditions. More broadly, building adaptive capacity in system stakeholders can have a ripple effect as we prepare resilient and adaptive learners for work in industries, communities, and families, who can navigate an uncertain and changing world.</w:t>
      </w:r>
    </w:p>
    <w:p w14:paraId="00000015" w14:textId="77777777" w:rsidR="00791EEA" w:rsidRDefault="00791EEA">
      <w:pPr>
        <w:keepNext/>
        <w:widowControl w:val="0"/>
        <w:spacing w:line="240" w:lineRule="auto"/>
        <w:rPr>
          <w:rFonts w:ascii="Times New Roman" w:eastAsia="Times New Roman" w:hAnsi="Times New Roman" w:cs="Times New Roman"/>
          <w:b/>
          <w:sz w:val="24"/>
          <w:szCs w:val="24"/>
        </w:rPr>
      </w:pPr>
    </w:p>
    <w:p w14:paraId="00000017" w14:textId="0D88AD3F" w:rsidR="00791EEA"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Entry Point Three - Landscapes of Practice and Systems Convening </w:t>
      </w:r>
      <w:r w:rsidR="00495E89">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As a burnt-out agriculture teacher entering a doctoral program in 2016, I was eager to dive into the literature on SBAE work-life balance, attrition, and the teacher shortage to find answers. Dozens of papers later, two things stood out to me: it seemed that we had not identified the core issue, and the discourse around SBAE teachers was discussed in a deficit perspective—essentially, “fix the teacher, fix the problem.” Initially, I was unsure how to respond to this realization. However, when I encountered theoretical concepts from Communities of Practice (Wenger, 1998) in a Learning Theory class, I suddenly had a framework to explore and describe my SBAE teaching experience. It was a revelation!</w:t>
      </w:r>
      <w:r w:rsidR="005B26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Communities of Practice (CoP), Landscapes of Practice (</w:t>
      </w:r>
      <w:proofErr w:type="spellStart"/>
      <w:r>
        <w:rPr>
          <w:rFonts w:ascii="Times New Roman" w:eastAsia="Times New Roman" w:hAnsi="Times New Roman" w:cs="Times New Roman"/>
          <w:sz w:val="24"/>
          <w:szCs w:val="24"/>
        </w:rPr>
        <w:t>LoP</w:t>
      </w:r>
      <w:proofErr w:type="spellEnd"/>
      <w:r>
        <w:rPr>
          <w:rFonts w:ascii="Times New Roman" w:eastAsia="Times New Roman" w:hAnsi="Times New Roman" w:cs="Times New Roman"/>
          <w:sz w:val="24"/>
          <w:szCs w:val="24"/>
        </w:rPr>
        <w:t>), and Systems Convening represent three generations of theory predominantly developed by Etienne Wenger-Trayner. Through this theoretical lens, learning is viewed as a process of social participation rooted in lived experiences and engagement with the world (Wenger, 1988). Landscapes of Practice (</w:t>
      </w:r>
      <w:proofErr w:type="spellStart"/>
      <w:r>
        <w:rPr>
          <w:rFonts w:ascii="Times New Roman" w:eastAsia="Times New Roman" w:hAnsi="Times New Roman" w:cs="Times New Roman"/>
          <w:sz w:val="24"/>
          <w:szCs w:val="24"/>
        </w:rPr>
        <w:t>LoP</w:t>
      </w:r>
      <w:proofErr w:type="spellEnd"/>
      <w:r>
        <w:rPr>
          <w:rFonts w:ascii="Times New Roman" w:eastAsia="Times New Roman" w:hAnsi="Times New Roman" w:cs="Times New Roman"/>
          <w:sz w:val="24"/>
          <w:szCs w:val="24"/>
        </w:rPr>
        <w:t xml:space="preserve">) acknowledges that professionals navigate multiple, complex Communities of Practice (CoPs) and considers how interconnected communities interact within broader landscapes (Wenger-Trayner &amp; Wenger-Trayner, 2014). </w:t>
      </w:r>
      <w:proofErr w:type="spellStart"/>
      <w:r>
        <w:rPr>
          <w:rFonts w:ascii="Times New Roman" w:eastAsia="Times New Roman" w:hAnsi="Times New Roman" w:cs="Times New Roman"/>
          <w:sz w:val="24"/>
          <w:szCs w:val="24"/>
        </w:rPr>
        <w:t>LoP</w:t>
      </w:r>
      <w:proofErr w:type="spellEnd"/>
      <w:r>
        <w:rPr>
          <w:rFonts w:ascii="Times New Roman" w:eastAsia="Times New Roman" w:hAnsi="Times New Roman" w:cs="Times New Roman"/>
          <w:sz w:val="24"/>
          <w:szCs w:val="24"/>
        </w:rPr>
        <w:t xml:space="preserve"> considers the complexity of actors within the system, as well as the historical and normative forces, reifications, and practices that shape the evolution of CoPs and </w:t>
      </w:r>
      <w:proofErr w:type="spellStart"/>
      <w:r>
        <w:rPr>
          <w:rFonts w:ascii="Times New Roman" w:eastAsia="Times New Roman" w:hAnsi="Times New Roman" w:cs="Times New Roman"/>
          <w:sz w:val="24"/>
          <w:szCs w:val="24"/>
        </w:rPr>
        <w:t>LoPs</w:t>
      </w:r>
      <w:proofErr w:type="spellEnd"/>
      <w:r>
        <w:rPr>
          <w:rFonts w:ascii="Times New Roman" w:eastAsia="Times New Roman" w:hAnsi="Times New Roman" w:cs="Times New Roman"/>
          <w:sz w:val="24"/>
          <w:szCs w:val="24"/>
        </w:rPr>
        <w:t xml:space="preserve">. This theory enabled me to perceive invisible phenomena that were dictating my (and other SBAE teachers’) experiences. Upon finding this treasure of a theory, my colleagues and I explored how SBAE teachers navigate multiple CoPs, each with distinct stakeholders, expectations, and definitions of success (Blinded, 2021a; Blinded, 2021b). We learned that this navigation poses challenges due to the volume and diversity of tasks, as well as the identity work required to reconcile competing demands. </w:t>
      </w:r>
      <w:r>
        <w:rPr>
          <w:rFonts w:ascii="Times New Roman" w:eastAsia="Times New Roman" w:hAnsi="Times New Roman" w:cs="Times New Roman"/>
          <w:sz w:val="24"/>
          <w:szCs w:val="24"/>
        </w:rPr>
        <w:lastRenderedPageBreak/>
        <w:t xml:space="preserve">Balancing these demands often necessitates long hours, personal sacrifice, and constant negotiation. Without theories like </w:t>
      </w:r>
      <w:proofErr w:type="spellStart"/>
      <w:r>
        <w:rPr>
          <w:rFonts w:ascii="Times New Roman" w:eastAsia="Times New Roman" w:hAnsi="Times New Roman" w:cs="Times New Roman"/>
          <w:sz w:val="24"/>
          <w:szCs w:val="24"/>
        </w:rPr>
        <w:t>LoP</w:t>
      </w:r>
      <w:proofErr w:type="spellEnd"/>
      <w:r>
        <w:rPr>
          <w:rFonts w:ascii="Times New Roman" w:eastAsia="Times New Roman" w:hAnsi="Times New Roman" w:cs="Times New Roman"/>
          <w:sz w:val="24"/>
          <w:szCs w:val="24"/>
        </w:rPr>
        <w:t xml:space="preserve"> that acknowledge human interactions, social dynamics, and complexity, one might hastily conclude that stress management workshops, time management resources, or additional teacher preparation coursework would adequately address these challenges. However, theories that embrace complexity </w:t>
      </w:r>
      <w:proofErr w:type="gramStart"/>
      <w:r>
        <w:rPr>
          <w:rFonts w:ascii="Times New Roman" w:eastAsia="Times New Roman" w:hAnsi="Times New Roman" w:cs="Times New Roman"/>
          <w:sz w:val="24"/>
          <w:szCs w:val="24"/>
        </w:rPr>
        <w:t>lead</w:t>
      </w:r>
      <w:proofErr w:type="gramEnd"/>
      <w:r>
        <w:rPr>
          <w:rFonts w:ascii="Times New Roman" w:eastAsia="Times New Roman" w:hAnsi="Times New Roman" w:cs="Times New Roman"/>
          <w:sz w:val="24"/>
          <w:szCs w:val="24"/>
        </w:rPr>
        <w:t xml:space="preserve"> to different conclusions and more questions. Using </w:t>
      </w:r>
      <w:proofErr w:type="spellStart"/>
      <w:r>
        <w:rPr>
          <w:rFonts w:ascii="Times New Roman" w:eastAsia="Times New Roman" w:hAnsi="Times New Roman" w:cs="Times New Roman"/>
          <w:sz w:val="24"/>
          <w:szCs w:val="24"/>
        </w:rPr>
        <w:t>LoP</w:t>
      </w:r>
      <w:proofErr w:type="spellEnd"/>
      <w:r>
        <w:rPr>
          <w:rFonts w:ascii="Times New Roman" w:eastAsia="Times New Roman" w:hAnsi="Times New Roman" w:cs="Times New Roman"/>
          <w:sz w:val="24"/>
          <w:szCs w:val="24"/>
        </w:rPr>
        <w:t xml:space="preserve">, we have, and continue to, examine the communities within the SBAE landscape, the histories and norms shaping the current reality, how SBAE teachers are welcomed or feel a sense of belonging, and how behaviors are validated or rewarded (Blinded, 2020; Blinded, 2021a; Blinded, 2022). </w:t>
      </w:r>
    </w:p>
    <w:p w14:paraId="6D395CCB" w14:textId="77777777" w:rsidR="00495E89" w:rsidRDefault="00495E89" w:rsidP="00495E89">
      <w:pPr>
        <w:keepNext/>
        <w:widowControl w:val="0"/>
        <w:spacing w:line="240" w:lineRule="auto"/>
        <w:rPr>
          <w:rFonts w:ascii="Times New Roman" w:eastAsia="Times New Roman" w:hAnsi="Times New Roman" w:cs="Times New Roman"/>
          <w:sz w:val="24"/>
          <w:szCs w:val="24"/>
        </w:rPr>
      </w:pPr>
    </w:p>
    <w:p w14:paraId="00000018" w14:textId="3EAF7C1E" w:rsidR="00791EEA" w:rsidRDefault="00000000" w:rsidP="00495E89">
      <w:pPr>
        <w:keepNext/>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Yet, describing social landscapes that inform behavior is not the end. Addressing problems that emerge in Landscapes of Practice requires </w:t>
      </w:r>
      <w:r>
        <w:rPr>
          <w:rFonts w:ascii="Times New Roman" w:eastAsia="Times New Roman" w:hAnsi="Times New Roman" w:cs="Times New Roman"/>
          <w:i/>
          <w:sz w:val="24"/>
          <w:szCs w:val="24"/>
        </w:rPr>
        <w:t>systems convening</w:t>
      </w:r>
      <w:r>
        <w:rPr>
          <w:rFonts w:ascii="Times New Roman" w:eastAsia="Times New Roman" w:hAnsi="Times New Roman" w:cs="Times New Roman"/>
          <w:sz w:val="24"/>
          <w:szCs w:val="24"/>
        </w:rPr>
        <w:t xml:space="preserve">, another generation of Wenger-Trayner’s work. Systems convening allows scholars and practitioners to search for root causes rather than merely addressing symptoms of systemic issues (Wenger-Trayner &amp; Wenger-Trayner, 2021). System conveners intentionally design interactions and experiences to foster relatedness, accountability, engagement, and commitment. Wenger-Trayner &amp; Wenger-Trayner (2014) position systems conveners as individuals who forge new learning partnerships across complex landscapes. This concept reflects a systems-oriented paradigm, as it involves understanding and navigating the interconnections and dynamics within and between various CoPs. Wenger-Trayner’s social learning theory provides a wealth of theoretical constructs for examining systems, and we invite AAAE scholars to join us in leveraging this approach to explore these and other complex AFNR challenges. </w:t>
      </w:r>
    </w:p>
    <w:p w14:paraId="00000019" w14:textId="77777777" w:rsidR="00791EEA" w:rsidRDefault="00791EEA">
      <w:pPr>
        <w:keepNext/>
        <w:widowControl w:val="0"/>
        <w:spacing w:line="240" w:lineRule="auto"/>
        <w:ind w:firstLine="720"/>
        <w:rPr>
          <w:rFonts w:ascii="Times New Roman" w:eastAsia="Times New Roman" w:hAnsi="Times New Roman" w:cs="Times New Roman"/>
          <w:sz w:val="24"/>
          <w:szCs w:val="24"/>
        </w:rPr>
      </w:pPr>
    </w:p>
    <w:p w14:paraId="0000001A" w14:textId="77777777" w:rsidR="00791EEA"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533E6AE2" w14:textId="77777777" w:rsidR="00495E89" w:rsidRDefault="00495E89" w:rsidP="00495E89">
      <w:pPr>
        <w:spacing w:line="240" w:lineRule="auto"/>
        <w:rPr>
          <w:rFonts w:ascii="Times New Roman" w:eastAsia="Times New Roman" w:hAnsi="Times New Roman" w:cs="Times New Roman"/>
          <w:sz w:val="24"/>
          <w:szCs w:val="24"/>
        </w:rPr>
      </w:pPr>
    </w:p>
    <w:p w14:paraId="782BD9A8" w14:textId="44F05D16" w:rsidR="00F43B17" w:rsidRPr="00F43B17" w:rsidRDefault="00F43B17" w:rsidP="00F43B17">
      <w:pPr>
        <w:shd w:val="clear" w:color="auto" w:fill="FFFFFF"/>
        <w:spacing w:line="240" w:lineRule="auto"/>
        <w:rPr>
          <w:rFonts w:ascii="Times New Roman" w:eastAsia="Times New Roman" w:hAnsi="Times New Roman" w:cs="Times New Roman"/>
          <w:sz w:val="24"/>
          <w:szCs w:val="24"/>
          <w:lang w:val="en-US"/>
        </w:rPr>
      </w:pPr>
      <w:r w:rsidRPr="00F43B17">
        <w:rPr>
          <w:rFonts w:ascii="Times New Roman" w:eastAsia="Times New Roman" w:hAnsi="Times New Roman" w:cs="Times New Roman"/>
          <w:sz w:val="24"/>
          <w:szCs w:val="24"/>
          <w:lang w:val="en-US"/>
        </w:rPr>
        <w:t>Our AAAE Values of enhancing environmental health, increasing prosperity, creating spaces for belonging, and nurturing positive youth development, among others, are ambitious and complex (AAAE, 2023). As we lean into these values, we must resist the urge to break down problems into finite components and attempt to solve them in isolation from their broader context. Rather, we must embrace complexity and strive for cross-disciplinary, multidisciplinary, and interdisciplinary efforts in hopes of creating sustainable change. Systems-oriented paradigms can aid us in this endeavor.</w:t>
      </w:r>
      <w:r>
        <w:rPr>
          <w:rFonts w:ascii="Times New Roman" w:eastAsia="Times New Roman" w:hAnsi="Times New Roman" w:cs="Times New Roman"/>
          <w:sz w:val="24"/>
          <w:szCs w:val="24"/>
          <w:lang w:val="en-US"/>
        </w:rPr>
        <w:t xml:space="preserve"> </w:t>
      </w:r>
      <w:r w:rsidRPr="00F43B17">
        <w:rPr>
          <w:rFonts w:ascii="Times New Roman" w:eastAsia="Times New Roman" w:hAnsi="Times New Roman" w:cs="Times New Roman"/>
          <w:sz w:val="24"/>
          <w:szCs w:val="24"/>
          <w:lang w:val="en-US"/>
        </w:rPr>
        <w:t xml:space="preserve">Throughout this abstract, we presented three theoretical approaches to applying systems-oriented paradigms to our scholarship in AAAE. Each lens offers scholars and practitioners an entry point into new ways of thinking about and interacting with complexity. Consider how these lenses might advance your work. Do you see theoretical constructs in SER, HSD, or </w:t>
      </w:r>
      <w:proofErr w:type="spellStart"/>
      <w:r w:rsidRPr="00F43B17">
        <w:rPr>
          <w:rFonts w:ascii="Times New Roman" w:eastAsia="Times New Roman" w:hAnsi="Times New Roman" w:cs="Times New Roman"/>
          <w:sz w:val="24"/>
          <w:szCs w:val="24"/>
          <w:lang w:val="en-US"/>
        </w:rPr>
        <w:t>LoP</w:t>
      </w:r>
      <w:proofErr w:type="spellEnd"/>
      <w:r w:rsidRPr="00F43B17">
        <w:rPr>
          <w:rFonts w:ascii="Times New Roman" w:eastAsia="Times New Roman" w:hAnsi="Times New Roman" w:cs="Times New Roman"/>
          <w:sz w:val="24"/>
          <w:szCs w:val="24"/>
          <w:lang w:val="en-US"/>
        </w:rPr>
        <w:t xml:space="preserve"> as helpful as you answer research questions, develop programs, or address challenges in your academic department? In what ways might you operationalize them? What alignment do you see between these lenses and the AAAE Values? Wrestling with these questions is a meaningful step toward embracing complexity.</w:t>
      </w:r>
      <w:r>
        <w:rPr>
          <w:rFonts w:ascii="Times New Roman" w:eastAsia="Times New Roman" w:hAnsi="Times New Roman" w:cs="Times New Roman"/>
          <w:sz w:val="24"/>
          <w:szCs w:val="24"/>
          <w:lang w:val="en-US"/>
        </w:rPr>
        <w:t xml:space="preserve"> </w:t>
      </w:r>
      <w:r w:rsidRPr="00F43B17">
        <w:rPr>
          <w:rFonts w:ascii="Times New Roman" w:eastAsia="Times New Roman" w:hAnsi="Times New Roman" w:cs="Times New Roman"/>
          <w:sz w:val="24"/>
          <w:szCs w:val="24"/>
          <w:lang w:val="en-US"/>
        </w:rPr>
        <w:t>In closing, we acknowledge the tensions inherent in adopting systems-oriented paradigms</w:t>
      </w:r>
      <w:r>
        <w:rPr>
          <w:rFonts w:ascii="Times New Roman" w:eastAsia="Times New Roman" w:hAnsi="Times New Roman" w:cs="Times New Roman"/>
          <w:sz w:val="24"/>
          <w:szCs w:val="24"/>
          <w:lang w:val="en-US"/>
        </w:rPr>
        <w:t xml:space="preserve">, </w:t>
      </w:r>
      <w:r w:rsidRPr="00F43B17">
        <w:rPr>
          <w:rFonts w:ascii="Times New Roman" w:eastAsia="Times New Roman" w:hAnsi="Times New Roman" w:cs="Times New Roman"/>
          <w:sz w:val="24"/>
          <w:szCs w:val="24"/>
          <w:lang w:val="en-US"/>
        </w:rPr>
        <w:t>those that lie between tradition and transformation, familiarity and unfamiliarity. This very abstract departs from typical AAAE scholarship, modeling the kind of boundary-pushing we believe is necessary for our field. We offer this work as an invitation to engage differently, think relationally, and act systemically. By embracing these new ways of seeing and doing, scholars and practitioners alike will help cultivate more resilient, equitable, and adaptive AFNR systems for the future.</w:t>
      </w:r>
    </w:p>
    <w:p w14:paraId="58AD7BD6" w14:textId="77777777" w:rsidR="00D423FC" w:rsidRDefault="00D423FC">
      <w:pPr>
        <w:shd w:val="clear" w:color="auto" w:fill="FFFFFF"/>
        <w:spacing w:line="240" w:lineRule="auto"/>
        <w:jc w:val="center"/>
        <w:rPr>
          <w:rFonts w:ascii="Times New Roman" w:eastAsia="Times New Roman" w:hAnsi="Times New Roman" w:cs="Times New Roman"/>
          <w:b/>
          <w:sz w:val="24"/>
          <w:szCs w:val="24"/>
        </w:rPr>
      </w:pPr>
    </w:p>
    <w:p w14:paraId="0000001D" w14:textId="111473DC" w:rsidR="00791EEA" w:rsidRDefault="00000000">
      <w:pPr>
        <w:shd w:val="clear" w:color="auto" w:fill="FFFFFF"/>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00000024"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American Association for Agricultural Education (AAAE). (2023). </w:t>
      </w:r>
      <w:r w:rsidRPr="00D423FC">
        <w:rPr>
          <w:rFonts w:ascii="Times New Roman" w:eastAsia="Times New Roman" w:hAnsi="Times New Roman" w:cs="Times New Roman"/>
          <w:i/>
          <w:sz w:val="24"/>
          <w:szCs w:val="24"/>
        </w:rPr>
        <w:t>AAAE Research Values</w:t>
      </w:r>
      <w:r w:rsidRPr="00D423FC">
        <w:rPr>
          <w:rFonts w:ascii="Times New Roman" w:eastAsia="Times New Roman" w:hAnsi="Times New Roman" w:cs="Times New Roman"/>
          <w:sz w:val="24"/>
          <w:szCs w:val="24"/>
        </w:rPr>
        <w:t>.</w:t>
      </w:r>
    </w:p>
    <w:p w14:paraId="00000025"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Arnold, R. D., &amp; Wade, J. P. (2017). A complete set of systems thinking skills. </w:t>
      </w:r>
      <w:r w:rsidRPr="00D423FC">
        <w:rPr>
          <w:rFonts w:ascii="Times New Roman" w:eastAsia="Times New Roman" w:hAnsi="Times New Roman" w:cs="Times New Roman"/>
          <w:i/>
          <w:sz w:val="24"/>
          <w:szCs w:val="24"/>
        </w:rPr>
        <w:t>Insight</w:t>
      </w:r>
      <w:r w:rsidRPr="00D423FC">
        <w:rPr>
          <w:rFonts w:ascii="Times New Roman" w:eastAsia="Times New Roman" w:hAnsi="Times New Roman" w:cs="Times New Roman"/>
          <w:sz w:val="24"/>
          <w:szCs w:val="24"/>
        </w:rPr>
        <w:t>, 20(3), 9–17.</w:t>
      </w:r>
      <w:hyperlink r:id="rId6">
        <w:r w:rsidR="00791EEA" w:rsidRPr="00D423FC">
          <w:rPr>
            <w:rFonts w:ascii="Times New Roman" w:eastAsia="Times New Roman" w:hAnsi="Times New Roman" w:cs="Times New Roman"/>
            <w:sz w:val="24"/>
            <w:szCs w:val="24"/>
          </w:rPr>
          <w:t xml:space="preserve"> </w:t>
        </w:r>
      </w:hyperlink>
      <w:hyperlink r:id="rId7">
        <w:r w:rsidR="00791EEA" w:rsidRPr="00D423FC">
          <w:rPr>
            <w:rFonts w:ascii="Times New Roman" w:eastAsia="Times New Roman" w:hAnsi="Times New Roman" w:cs="Times New Roman"/>
            <w:sz w:val="24"/>
            <w:szCs w:val="24"/>
          </w:rPr>
          <w:t>https://doi.org/10.1002/inst.12159</w:t>
        </w:r>
      </w:hyperlink>
    </w:p>
    <w:p w14:paraId="00000026"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Biggs, R., Schlüter, M., &amp; Schoon, M. L. (2015). </w:t>
      </w:r>
      <w:r w:rsidRPr="00D423FC">
        <w:rPr>
          <w:rFonts w:ascii="Times New Roman" w:eastAsia="Times New Roman" w:hAnsi="Times New Roman" w:cs="Times New Roman"/>
          <w:i/>
          <w:sz w:val="24"/>
          <w:szCs w:val="24"/>
        </w:rPr>
        <w:t>Principles for building resilience: Sustaining ecosystem services in social-ecological systems</w:t>
      </w:r>
      <w:r w:rsidRPr="00D423FC">
        <w:rPr>
          <w:rFonts w:ascii="Times New Roman" w:eastAsia="Times New Roman" w:hAnsi="Times New Roman" w:cs="Times New Roman"/>
          <w:sz w:val="24"/>
          <w:szCs w:val="24"/>
        </w:rPr>
        <w:t>. Cambridge University Press.</w:t>
      </w:r>
    </w:p>
    <w:p w14:paraId="00000027"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Bingham, A. J., Mitchell, R., &amp; Carter, D. S. (2024). </w:t>
      </w:r>
      <w:r w:rsidRPr="00D423FC">
        <w:rPr>
          <w:rFonts w:ascii="Times New Roman" w:eastAsia="Times New Roman" w:hAnsi="Times New Roman" w:cs="Times New Roman"/>
          <w:i/>
          <w:sz w:val="24"/>
          <w:szCs w:val="24"/>
        </w:rPr>
        <w:t>A practical guide to theoretical frameworks for social science research</w:t>
      </w:r>
      <w:r w:rsidRPr="00D423FC">
        <w:rPr>
          <w:rFonts w:ascii="Times New Roman" w:eastAsia="Times New Roman" w:hAnsi="Times New Roman" w:cs="Times New Roman"/>
          <w:sz w:val="24"/>
          <w:szCs w:val="24"/>
        </w:rPr>
        <w:t>. Taylor &amp; Francis.</w:t>
      </w:r>
    </w:p>
    <w:p w14:paraId="2B469EA4" w14:textId="77777777" w:rsidR="00D423FC" w:rsidRPr="00D423FC" w:rsidRDefault="00D423FC" w:rsidP="00D423FC">
      <w:pPr>
        <w:spacing w:before="200" w:line="240" w:lineRule="auto"/>
        <w:ind w:left="720" w:hanging="720"/>
        <w:rPr>
          <w:rFonts w:ascii="Times New Roman" w:eastAsia="Times New Roman" w:hAnsi="Times New Roman" w:cs="Times New Roman"/>
          <w:sz w:val="24"/>
          <w:szCs w:val="24"/>
          <w:highlight w:val="white"/>
        </w:rPr>
      </w:pPr>
      <w:r w:rsidRPr="00D423FC">
        <w:rPr>
          <w:rFonts w:ascii="Times New Roman" w:eastAsia="Times New Roman" w:hAnsi="Times New Roman" w:cs="Times New Roman"/>
          <w:sz w:val="24"/>
          <w:szCs w:val="24"/>
          <w:highlight w:val="white"/>
        </w:rPr>
        <w:t xml:space="preserve">Claflin, K., Stewart, J., &amp; Traini, H. Q. (2022). The best of both worlds: Exploring the experiences of alternatively certified agriculture teachers. </w:t>
      </w:r>
      <w:r w:rsidRPr="00D423FC">
        <w:rPr>
          <w:rFonts w:ascii="Times New Roman" w:eastAsia="Times New Roman" w:hAnsi="Times New Roman" w:cs="Times New Roman"/>
          <w:i/>
          <w:iCs/>
          <w:sz w:val="24"/>
          <w:szCs w:val="24"/>
          <w:highlight w:val="white"/>
        </w:rPr>
        <w:t>Journal of Agricultural Education, 63</w:t>
      </w:r>
      <w:r w:rsidRPr="00D423FC">
        <w:rPr>
          <w:rFonts w:ascii="Times New Roman" w:eastAsia="Times New Roman" w:hAnsi="Times New Roman" w:cs="Times New Roman"/>
          <w:sz w:val="24"/>
          <w:szCs w:val="24"/>
          <w:highlight w:val="white"/>
        </w:rPr>
        <w:t>(2), 219–237. https://doi.org/10.5032/jae.2022.02219</w:t>
      </w:r>
    </w:p>
    <w:p w14:paraId="00000028" w14:textId="6CB4185E" w:rsidR="00791EEA" w:rsidRPr="00D423FC" w:rsidRDefault="00000000">
      <w:pPr>
        <w:spacing w:before="240" w:after="240" w:line="240" w:lineRule="auto"/>
        <w:ind w:left="720" w:hanging="630"/>
        <w:rPr>
          <w:rFonts w:ascii="Times New Roman" w:eastAsia="Times New Roman" w:hAnsi="Times New Roman" w:cs="Times New Roman"/>
          <w:sz w:val="24"/>
          <w:szCs w:val="24"/>
        </w:rPr>
      </w:pPr>
      <w:proofErr w:type="spellStart"/>
      <w:r w:rsidRPr="00D423FC">
        <w:rPr>
          <w:rFonts w:ascii="Times New Roman" w:eastAsia="Times New Roman" w:hAnsi="Times New Roman" w:cs="Times New Roman"/>
          <w:sz w:val="24"/>
          <w:szCs w:val="24"/>
        </w:rPr>
        <w:t>Eoyang</w:t>
      </w:r>
      <w:proofErr w:type="spellEnd"/>
      <w:r w:rsidRPr="00D423FC">
        <w:rPr>
          <w:rFonts w:ascii="Times New Roman" w:eastAsia="Times New Roman" w:hAnsi="Times New Roman" w:cs="Times New Roman"/>
          <w:sz w:val="24"/>
          <w:szCs w:val="24"/>
        </w:rPr>
        <w:t xml:space="preserve">, G. H., &amp; Holladay, R. J. (2013). </w:t>
      </w:r>
      <w:r w:rsidRPr="00D423FC">
        <w:rPr>
          <w:rFonts w:ascii="Times New Roman" w:eastAsia="Times New Roman" w:hAnsi="Times New Roman" w:cs="Times New Roman"/>
          <w:i/>
          <w:sz w:val="24"/>
          <w:szCs w:val="24"/>
        </w:rPr>
        <w:t>Adaptive action: Leveraging uncertainty in your organization</w:t>
      </w:r>
      <w:r w:rsidRPr="00D423FC">
        <w:rPr>
          <w:rFonts w:ascii="Times New Roman" w:eastAsia="Times New Roman" w:hAnsi="Times New Roman" w:cs="Times New Roman"/>
          <w:sz w:val="24"/>
          <w:szCs w:val="24"/>
        </w:rPr>
        <w:t>. Stanford Business Books.</w:t>
      </w:r>
    </w:p>
    <w:p w14:paraId="00000029"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Dooley, K. J. (1997). A complex adaptive systems model of organization change. </w:t>
      </w:r>
      <w:r w:rsidRPr="00D423FC">
        <w:rPr>
          <w:rFonts w:ascii="Times New Roman" w:eastAsia="Times New Roman" w:hAnsi="Times New Roman" w:cs="Times New Roman"/>
          <w:i/>
          <w:sz w:val="24"/>
          <w:szCs w:val="24"/>
        </w:rPr>
        <w:t>Nonlinear Dynamics, Psychology, and Life Sciences</w:t>
      </w:r>
      <w:r w:rsidRPr="00D423FC">
        <w:rPr>
          <w:rFonts w:ascii="Times New Roman" w:eastAsia="Times New Roman" w:hAnsi="Times New Roman" w:cs="Times New Roman"/>
          <w:sz w:val="24"/>
          <w:szCs w:val="24"/>
        </w:rPr>
        <w:t>, 1(1), 69–97.</w:t>
      </w:r>
    </w:p>
    <w:p w14:paraId="0000002A"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Folke, C., Carpenter, S. R., Walker, B., Scheffer, M., Chapin, T., &amp; </w:t>
      </w:r>
      <w:proofErr w:type="spellStart"/>
      <w:r w:rsidRPr="00D423FC">
        <w:rPr>
          <w:rFonts w:ascii="Times New Roman" w:eastAsia="Times New Roman" w:hAnsi="Times New Roman" w:cs="Times New Roman"/>
          <w:sz w:val="24"/>
          <w:szCs w:val="24"/>
        </w:rPr>
        <w:t>Rockström</w:t>
      </w:r>
      <w:proofErr w:type="spellEnd"/>
      <w:r w:rsidRPr="00D423FC">
        <w:rPr>
          <w:rFonts w:ascii="Times New Roman" w:eastAsia="Times New Roman" w:hAnsi="Times New Roman" w:cs="Times New Roman"/>
          <w:sz w:val="24"/>
          <w:szCs w:val="24"/>
        </w:rPr>
        <w:t xml:space="preserve">, J. (2010). Resilience thinking: Integrating resilience, adaptability, and transformability. </w:t>
      </w:r>
      <w:r w:rsidRPr="00D423FC">
        <w:rPr>
          <w:rFonts w:ascii="Times New Roman" w:eastAsia="Times New Roman" w:hAnsi="Times New Roman" w:cs="Times New Roman"/>
          <w:i/>
          <w:sz w:val="24"/>
          <w:szCs w:val="24"/>
        </w:rPr>
        <w:t>Ecology and Society</w:t>
      </w:r>
      <w:r w:rsidRPr="00D423FC">
        <w:rPr>
          <w:rFonts w:ascii="Times New Roman" w:eastAsia="Times New Roman" w:hAnsi="Times New Roman" w:cs="Times New Roman"/>
          <w:sz w:val="24"/>
          <w:szCs w:val="24"/>
        </w:rPr>
        <w:t>, 15(4), Article 20.</w:t>
      </w:r>
      <w:hyperlink r:id="rId8">
        <w:r w:rsidR="00791EEA" w:rsidRPr="00D423FC">
          <w:rPr>
            <w:rFonts w:ascii="Times New Roman" w:eastAsia="Times New Roman" w:hAnsi="Times New Roman" w:cs="Times New Roman"/>
            <w:sz w:val="24"/>
            <w:szCs w:val="24"/>
          </w:rPr>
          <w:t xml:space="preserve"> </w:t>
        </w:r>
      </w:hyperlink>
      <w:hyperlink r:id="rId9">
        <w:r w:rsidR="00791EEA" w:rsidRPr="00D423FC">
          <w:rPr>
            <w:rFonts w:ascii="Times New Roman" w:eastAsia="Times New Roman" w:hAnsi="Times New Roman" w:cs="Times New Roman"/>
            <w:sz w:val="24"/>
            <w:szCs w:val="24"/>
          </w:rPr>
          <w:t>http://www.ecologyandsociety.org/vol15/iss4/art20/</w:t>
        </w:r>
      </w:hyperlink>
    </w:p>
    <w:p w14:paraId="0000002B"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Grant, C., &amp; </w:t>
      </w:r>
      <w:proofErr w:type="spellStart"/>
      <w:r w:rsidRPr="00D423FC">
        <w:rPr>
          <w:rFonts w:ascii="Times New Roman" w:eastAsia="Times New Roman" w:hAnsi="Times New Roman" w:cs="Times New Roman"/>
          <w:sz w:val="24"/>
          <w:szCs w:val="24"/>
        </w:rPr>
        <w:t>Osanloo</w:t>
      </w:r>
      <w:proofErr w:type="spellEnd"/>
      <w:r w:rsidRPr="00D423FC">
        <w:rPr>
          <w:rFonts w:ascii="Times New Roman" w:eastAsia="Times New Roman" w:hAnsi="Times New Roman" w:cs="Times New Roman"/>
          <w:sz w:val="24"/>
          <w:szCs w:val="24"/>
        </w:rPr>
        <w:t xml:space="preserve">, A. (2014). Understanding, selecting, and integrating a theoretical framework in dissertation research: Creating the blueprint for your “house.” </w:t>
      </w:r>
      <w:r w:rsidRPr="00D423FC">
        <w:rPr>
          <w:rFonts w:ascii="Times New Roman" w:eastAsia="Times New Roman" w:hAnsi="Times New Roman" w:cs="Times New Roman"/>
          <w:i/>
          <w:sz w:val="24"/>
          <w:szCs w:val="24"/>
        </w:rPr>
        <w:t>Administrative Issues Journal: Connecting Education, Practice, and Research</w:t>
      </w:r>
      <w:r w:rsidRPr="00D423FC">
        <w:rPr>
          <w:rFonts w:ascii="Times New Roman" w:eastAsia="Times New Roman" w:hAnsi="Times New Roman" w:cs="Times New Roman"/>
          <w:sz w:val="24"/>
          <w:szCs w:val="24"/>
        </w:rPr>
        <w:t>, 4(2), 12–26.</w:t>
      </w:r>
      <w:hyperlink r:id="rId10">
        <w:r w:rsidR="00791EEA" w:rsidRPr="00D423FC">
          <w:rPr>
            <w:rFonts w:ascii="Times New Roman" w:eastAsia="Times New Roman" w:hAnsi="Times New Roman" w:cs="Times New Roman"/>
            <w:sz w:val="24"/>
            <w:szCs w:val="24"/>
          </w:rPr>
          <w:t xml:space="preserve"> </w:t>
        </w:r>
      </w:hyperlink>
      <w:hyperlink r:id="rId11">
        <w:r w:rsidR="00791EEA" w:rsidRPr="00D423FC">
          <w:rPr>
            <w:rFonts w:ascii="Times New Roman" w:eastAsia="Times New Roman" w:hAnsi="Times New Roman" w:cs="Times New Roman"/>
            <w:sz w:val="24"/>
            <w:szCs w:val="24"/>
          </w:rPr>
          <w:t>https://dc.swosu.edu/aij/vol4/iss2/4</w:t>
        </w:r>
      </w:hyperlink>
    </w:p>
    <w:p w14:paraId="0000002C"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Gu, Q., &amp; Day, C. (2007). </w:t>
      </w:r>
      <w:proofErr w:type="gramStart"/>
      <w:r w:rsidRPr="00D423FC">
        <w:rPr>
          <w:rFonts w:ascii="Times New Roman" w:eastAsia="Times New Roman" w:hAnsi="Times New Roman" w:cs="Times New Roman"/>
          <w:sz w:val="24"/>
          <w:szCs w:val="24"/>
        </w:rPr>
        <w:t>Teachers</w:t>
      </w:r>
      <w:proofErr w:type="gramEnd"/>
      <w:r w:rsidRPr="00D423FC">
        <w:rPr>
          <w:rFonts w:ascii="Times New Roman" w:eastAsia="Times New Roman" w:hAnsi="Times New Roman" w:cs="Times New Roman"/>
          <w:sz w:val="24"/>
          <w:szCs w:val="24"/>
        </w:rPr>
        <w:t xml:space="preserve"> resilience: A necessary condition for effectiveness. </w:t>
      </w:r>
      <w:r w:rsidRPr="00D423FC">
        <w:rPr>
          <w:rFonts w:ascii="Times New Roman" w:eastAsia="Times New Roman" w:hAnsi="Times New Roman" w:cs="Times New Roman"/>
          <w:i/>
          <w:sz w:val="24"/>
          <w:szCs w:val="24"/>
        </w:rPr>
        <w:t>Teaching and Teacher Education</w:t>
      </w:r>
      <w:r w:rsidRPr="00D423FC">
        <w:rPr>
          <w:rFonts w:ascii="Times New Roman" w:eastAsia="Times New Roman" w:hAnsi="Times New Roman" w:cs="Times New Roman"/>
          <w:sz w:val="24"/>
          <w:szCs w:val="24"/>
        </w:rPr>
        <w:t>, 23(8), 1302–1316.</w:t>
      </w:r>
      <w:hyperlink r:id="rId12">
        <w:r w:rsidR="00791EEA" w:rsidRPr="00D423FC">
          <w:rPr>
            <w:rFonts w:ascii="Times New Roman" w:eastAsia="Times New Roman" w:hAnsi="Times New Roman" w:cs="Times New Roman"/>
            <w:sz w:val="24"/>
            <w:szCs w:val="24"/>
          </w:rPr>
          <w:t xml:space="preserve"> </w:t>
        </w:r>
      </w:hyperlink>
      <w:hyperlink r:id="rId13">
        <w:r w:rsidR="00791EEA" w:rsidRPr="00D423FC">
          <w:rPr>
            <w:rFonts w:ascii="Times New Roman" w:eastAsia="Times New Roman" w:hAnsi="Times New Roman" w:cs="Times New Roman"/>
            <w:sz w:val="24"/>
            <w:szCs w:val="24"/>
          </w:rPr>
          <w:t>https://doi.org/10.1016/j.tate.2006.06.006</w:t>
        </w:r>
      </w:hyperlink>
    </w:p>
    <w:p w14:paraId="0000002D"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Gu, Q., &amp; Day, C. (2013). Challenges to teacher resilience: Conditions count. </w:t>
      </w:r>
      <w:r w:rsidRPr="00D423FC">
        <w:rPr>
          <w:rFonts w:ascii="Times New Roman" w:eastAsia="Times New Roman" w:hAnsi="Times New Roman" w:cs="Times New Roman"/>
          <w:i/>
          <w:sz w:val="24"/>
          <w:szCs w:val="24"/>
        </w:rPr>
        <w:t>British Educational Research Journal</w:t>
      </w:r>
      <w:r w:rsidRPr="00D423FC">
        <w:rPr>
          <w:rFonts w:ascii="Times New Roman" w:eastAsia="Times New Roman" w:hAnsi="Times New Roman" w:cs="Times New Roman"/>
          <w:sz w:val="24"/>
          <w:szCs w:val="24"/>
        </w:rPr>
        <w:t>, 39(1), 22–44.</w:t>
      </w:r>
      <w:hyperlink r:id="rId14">
        <w:r w:rsidR="00791EEA" w:rsidRPr="00D423FC">
          <w:rPr>
            <w:rFonts w:ascii="Times New Roman" w:eastAsia="Times New Roman" w:hAnsi="Times New Roman" w:cs="Times New Roman"/>
            <w:sz w:val="24"/>
            <w:szCs w:val="24"/>
          </w:rPr>
          <w:t xml:space="preserve"> </w:t>
        </w:r>
      </w:hyperlink>
      <w:hyperlink r:id="rId15">
        <w:r w:rsidR="00791EEA" w:rsidRPr="00D423FC">
          <w:rPr>
            <w:rFonts w:ascii="Times New Roman" w:eastAsia="Times New Roman" w:hAnsi="Times New Roman" w:cs="Times New Roman"/>
            <w:sz w:val="24"/>
            <w:szCs w:val="24"/>
          </w:rPr>
          <w:t>http://dx.doi.org/10.1080/01411926.2011.623152</w:t>
        </w:r>
      </w:hyperlink>
    </w:p>
    <w:p w14:paraId="0000002E"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Gunderson, L. H., Allen, C. R., &amp; </w:t>
      </w:r>
      <w:proofErr w:type="spellStart"/>
      <w:r w:rsidRPr="00D423FC">
        <w:rPr>
          <w:rFonts w:ascii="Times New Roman" w:eastAsia="Times New Roman" w:hAnsi="Times New Roman" w:cs="Times New Roman"/>
          <w:sz w:val="24"/>
          <w:szCs w:val="24"/>
        </w:rPr>
        <w:t>Garmestani</w:t>
      </w:r>
      <w:proofErr w:type="spellEnd"/>
      <w:r w:rsidRPr="00D423FC">
        <w:rPr>
          <w:rFonts w:ascii="Times New Roman" w:eastAsia="Times New Roman" w:hAnsi="Times New Roman" w:cs="Times New Roman"/>
          <w:sz w:val="24"/>
          <w:szCs w:val="24"/>
        </w:rPr>
        <w:t xml:space="preserve">, A. (2022). </w:t>
      </w:r>
      <w:r w:rsidRPr="00D423FC">
        <w:rPr>
          <w:rFonts w:ascii="Times New Roman" w:eastAsia="Times New Roman" w:hAnsi="Times New Roman" w:cs="Times New Roman"/>
          <w:i/>
          <w:sz w:val="24"/>
          <w:szCs w:val="24"/>
        </w:rPr>
        <w:t xml:space="preserve">Applied </w:t>
      </w:r>
      <w:proofErr w:type="spellStart"/>
      <w:r w:rsidRPr="00D423FC">
        <w:rPr>
          <w:rFonts w:ascii="Times New Roman" w:eastAsia="Times New Roman" w:hAnsi="Times New Roman" w:cs="Times New Roman"/>
          <w:i/>
          <w:sz w:val="24"/>
          <w:szCs w:val="24"/>
        </w:rPr>
        <w:t>panarchy</w:t>
      </w:r>
      <w:proofErr w:type="spellEnd"/>
      <w:r w:rsidRPr="00D423FC">
        <w:rPr>
          <w:rFonts w:ascii="Times New Roman" w:eastAsia="Times New Roman" w:hAnsi="Times New Roman" w:cs="Times New Roman"/>
          <w:i/>
          <w:sz w:val="24"/>
          <w:szCs w:val="24"/>
        </w:rPr>
        <w:t>: Applications and diffusion across disciplines</w:t>
      </w:r>
      <w:r w:rsidRPr="00D423FC">
        <w:rPr>
          <w:rFonts w:ascii="Times New Roman" w:eastAsia="Times New Roman" w:hAnsi="Times New Roman" w:cs="Times New Roman"/>
          <w:sz w:val="24"/>
          <w:szCs w:val="24"/>
        </w:rPr>
        <w:t>. Island Press.</w:t>
      </w:r>
    </w:p>
    <w:p w14:paraId="15FABDC1" w14:textId="77777777" w:rsidR="00D423FC" w:rsidRPr="00D423FC" w:rsidRDefault="00D423FC" w:rsidP="00D423FC">
      <w:pPr>
        <w:spacing w:before="200" w:line="240" w:lineRule="auto"/>
        <w:ind w:left="720" w:hanging="720"/>
        <w:rPr>
          <w:rFonts w:ascii="Times New Roman" w:eastAsia="Times New Roman" w:hAnsi="Times New Roman" w:cs="Times New Roman"/>
          <w:sz w:val="24"/>
          <w:szCs w:val="24"/>
        </w:rPr>
      </w:pPr>
      <w:r w:rsidRPr="00D423FC">
        <w:rPr>
          <w:rFonts w:ascii="Times New Roman" w:hAnsi="Times New Roman" w:cs="Times New Roman"/>
          <w:sz w:val="24"/>
          <w:szCs w:val="24"/>
        </w:rPr>
        <w:t>Haddad, B., Traini, H., &amp; McKim, A. (2023). We’ve crossed a line: A philosophical examination of systemic implications surrounding SBAE teachers’ attempts at boundary setting. </w:t>
      </w:r>
      <w:r w:rsidRPr="00D423FC">
        <w:rPr>
          <w:rFonts w:ascii="Times New Roman" w:hAnsi="Times New Roman" w:cs="Times New Roman"/>
          <w:i/>
          <w:iCs/>
          <w:sz w:val="24"/>
          <w:szCs w:val="24"/>
        </w:rPr>
        <w:t>Journal of Agricultural Education</w:t>
      </w:r>
      <w:r w:rsidRPr="00D423FC">
        <w:rPr>
          <w:rFonts w:ascii="Times New Roman" w:hAnsi="Times New Roman" w:cs="Times New Roman"/>
          <w:sz w:val="24"/>
          <w:szCs w:val="24"/>
        </w:rPr>
        <w:t>, </w:t>
      </w:r>
      <w:r w:rsidRPr="00D423FC">
        <w:rPr>
          <w:rFonts w:ascii="Times New Roman" w:hAnsi="Times New Roman" w:cs="Times New Roman"/>
          <w:i/>
          <w:iCs/>
          <w:sz w:val="24"/>
          <w:szCs w:val="24"/>
        </w:rPr>
        <w:t>64</w:t>
      </w:r>
      <w:r w:rsidRPr="00D423FC">
        <w:rPr>
          <w:rFonts w:ascii="Times New Roman" w:hAnsi="Times New Roman" w:cs="Times New Roman"/>
          <w:sz w:val="24"/>
          <w:szCs w:val="24"/>
        </w:rPr>
        <w:t>(1), 82–95. https://doi.org/10.5032/jae.v64i1.31</w:t>
      </w:r>
    </w:p>
    <w:p w14:paraId="0000002F" w14:textId="7D31F9BE"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lastRenderedPageBreak/>
        <w:t xml:space="preserve">HSD Institute. (n.d.). Vision. </w:t>
      </w:r>
      <w:r w:rsidRPr="00D423FC">
        <w:rPr>
          <w:rFonts w:ascii="Times New Roman" w:eastAsia="Times New Roman" w:hAnsi="Times New Roman" w:cs="Times New Roman"/>
          <w:i/>
          <w:sz w:val="24"/>
          <w:szCs w:val="24"/>
        </w:rPr>
        <w:t>Human Systems Dynamics Institute</w:t>
      </w:r>
      <w:r w:rsidRPr="00D423FC">
        <w:rPr>
          <w:rFonts w:ascii="Times New Roman" w:eastAsia="Times New Roman" w:hAnsi="Times New Roman" w:cs="Times New Roman"/>
          <w:sz w:val="24"/>
          <w:szCs w:val="24"/>
        </w:rPr>
        <w:t>.</w:t>
      </w:r>
      <w:hyperlink r:id="rId16">
        <w:r w:rsidR="00791EEA" w:rsidRPr="00D423FC">
          <w:rPr>
            <w:rFonts w:ascii="Times New Roman" w:eastAsia="Times New Roman" w:hAnsi="Times New Roman" w:cs="Times New Roman"/>
            <w:sz w:val="24"/>
            <w:szCs w:val="24"/>
          </w:rPr>
          <w:t xml:space="preserve"> </w:t>
        </w:r>
      </w:hyperlink>
      <w:hyperlink r:id="rId17">
        <w:r w:rsidR="00791EEA" w:rsidRPr="00D423FC">
          <w:rPr>
            <w:rFonts w:ascii="Times New Roman" w:eastAsia="Times New Roman" w:hAnsi="Times New Roman" w:cs="Times New Roman"/>
            <w:sz w:val="24"/>
            <w:szCs w:val="24"/>
          </w:rPr>
          <w:t>https://www.hsdinstitute.org/</w:t>
        </w:r>
      </w:hyperlink>
    </w:p>
    <w:p w14:paraId="00000030"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Patterson, L. H., &amp; Holladay, R. (2024). </w:t>
      </w:r>
      <w:r w:rsidRPr="00D423FC">
        <w:rPr>
          <w:rFonts w:ascii="Times New Roman" w:eastAsia="Times New Roman" w:hAnsi="Times New Roman" w:cs="Times New Roman"/>
          <w:i/>
          <w:sz w:val="24"/>
          <w:szCs w:val="24"/>
        </w:rPr>
        <w:t>Create the future together: Family field guide for hope</w:t>
      </w:r>
      <w:r w:rsidRPr="00D423FC">
        <w:rPr>
          <w:rFonts w:ascii="Times New Roman" w:eastAsia="Times New Roman" w:hAnsi="Times New Roman" w:cs="Times New Roman"/>
          <w:sz w:val="24"/>
          <w:szCs w:val="24"/>
        </w:rPr>
        <w:t>. Patterns Press.</w:t>
      </w:r>
    </w:p>
    <w:p w14:paraId="00000031"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Poli, R. (2013). A note on the difference between complicated and complex social systems. </w:t>
      </w:r>
      <w:r w:rsidRPr="00D423FC">
        <w:rPr>
          <w:rFonts w:ascii="Times New Roman" w:eastAsia="Times New Roman" w:hAnsi="Times New Roman" w:cs="Times New Roman"/>
          <w:i/>
          <w:sz w:val="24"/>
          <w:szCs w:val="24"/>
        </w:rPr>
        <w:t>Cadmus</w:t>
      </w:r>
      <w:r w:rsidRPr="00D423FC">
        <w:rPr>
          <w:rFonts w:ascii="Times New Roman" w:eastAsia="Times New Roman" w:hAnsi="Times New Roman" w:cs="Times New Roman"/>
          <w:sz w:val="24"/>
          <w:szCs w:val="24"/>
        </w:rPr>
        <w:t>, 2(1), 142–147.</w:t>
      </w:r>
    </w:p>
    <w:p w14:paraId="00000032"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Snowden, D. F., &amp; Boone, M. E. (2007). A leader’s framework for decision making. </w:t>
      </w:r>
      <w:r w:rsidRPr="00D423FC">
        <w:rPr>
          <w:rFonts w:ascii="Times New Roman" w:eastAsia="Times New Roman" w:hAnsi="Times New Roman" w:cs="Times New Roman"/>
          <w:i/>
          <w:sz w:val="24"/>
          <w:szCs w:val="24"/>
        </w:rPr>
        <w:t>Harvard Business Review</w:t>
      </w:r>
      <w:r w:rsidRPr="00D423FC">
        <w:rPr>
          <w:rFonts w:ascii="Times New Roman" w:eastAsia="Times New Roman" w:hAnsi="Times New Roman" w:cs="Times New Roman"/>
          <w:sz w:val="24"/>
          <w:szCs w:val="24"/>
        </w:rPr>
        <w:t>, 85(11), 68–76.</w:t>
      </w:r>
    </w:p>
    <w:p w14:paraId="774029B3" w14:textId="77777777" w:rsidR="00D423FC" w:rsidRPr="00D423FC" w:rsidRDefault="00D423FC" w:rsidP="00D423FC">
      <w:pPr>
        <w:spacing w:before="200" w:line="240" w:lineRule="auto"/>
        <w:ind w:left="720" w:hanging="720"/>
        <w:rPr>
          <w:rFonts w:ascii="Times New Roman" w:eastAsia="Times New Roman" w:hAnsi="Times New Roman" w:cs="Times New Roman"/>
          <w:sz w:val="24"/>
          <w:szCs w:val="24"/>
          <w:lang w:val="en-US"/>
        </w:rPr>
      </w:pPr>
      <w:r w:rsidRPr="00D423FC">
        <w:rPr>
          <w:rFonts w:ascii="Times New Roman" w:eastAsia="Times New Roman" w:hAnsi="Times New Roman" w:cs="Times New Roman"/>
          <w:sz w:val="24"/>
          <w:szCs w:val="24"/>
          <w:lang w:val="en-US"/>
        </w:rPr>
        <w:t xml:space="preserve">Traini, H. Q., Claflin, K., Stewart, J., &amp; Velez, J. J. (2019). Success, balance, but never both: Exploring reified forms of success in school-based agricultural education. </w:t>
      </w:r>
      <w:r w:rsidRPr="00D423FC">
        <w:rPr>
          <w:rFonts w:ascii="Times New Roman" w:eastAsia="Times New Roman" w:hAnsi="Times New Roman" w:cs="Times New Roman"/>
          <w:i/>
          <w:iCs/>
          <w:sz w:val="24"/>
          <w:szCs w:val="24"/>
          <w:lang w:val="en-US"/>
        </w:rPr>
        <w:t>Journal of Agricultural Education, 60</w:t>
      </w:r>
      <w:r w:rsidRPr="00D423FC">
        <w:rPr>
          <w:rFonts w:ascii="Times New Roman" w:eastAsia="Times New Roman" w:hAnsi="Times New Roman" w:cs="Times New Roman"/>
          <w:sz w:val="24"/>
          <w:szCs w:val="24"/>
          <w:lang w:val="en-US"/>
        </w:rPr>
        <w:t>(4), 240–254. https://doi.org/10.5032/jae.2019.04240</w:t>
      </w:r>
    </w:p>
    <w:p w14:paraId="6CA1875A" w14:textId="77777777" w:rsidR="00D423FC" w:rsidRPr="00D423FC" w:rsidRDefault="00D423FC" w:rsidP="00D423FC">
      <w:pPr>
        <w:spacing w:before="200" w:line="240" w:lineRule="auto"/>
        <w:ind w:left="720" w:hanging="720"/>
        <w:rPr>
          <w:rFonts w:ascii="Times New Roman" w:eastAsia="Times New Roman" w:hAnsi="Times New Roman" w:cs="Times New Roman"/>
          <w:sz w:val="24"/>
          <w:szCs w:val="24"/>
          <w:lang w:val="en-US"/>
        </w:rPr>
      </w:pPr>
      <w:r w:rsidRPr="00D423FC">
        <w:rPr>
          <w:rFonts w:ascii="Times New Roman" w:eastAsia="Times New Roman" w:hAnsi="Times New Roman" w:cs="Times New Roman"/>
          <w:sz w:val="24"/>
          <w:szCs w:val="24"/>
          <w:lang w:val="en-US"/>
        </w:rPr>
        <w:t xml:space="preserve">Traini, H. Q., Yopp, A. M., &amp; Roberts, R. (2020). The success trap: A case study of early career agricultural education teachers’ conceptualizations of work-life balance. </w:t>
      </w:r>
      <w:r w:rsidRPr="00D423FC">
        <w:rPr>
          <w:rFonts w:ascii="Times New Roman" w:eastAsia="Times New Roman" w:hAnsi="Times New Roman" w:cs="Times New Roman"/>
          <w:i/>
          <w:iCs/>
          <w:sz w:val="24"/>
          <w:szCs w:val="24"/>
          <w:lang w:val="en-US"/>
        </w:rPr>
        <w:t>Journal of Agricultural Education, 61</w:t>
      </w:r>
      <w:r w:rsidRPr="00D423FC">
        <w:rPr>
          <w:rFonts w:ascii="Times New Roman" w:eastAsia="Times New Roman" w:hAnsi="Times New Roman" w:cs="Times New Roman"/>
          <w:sz w:val="24"/>
          <w:szCs w:val="24"/>
          <w:lang w:val="en-US"/>
        </w:rPr>
        <w:t>(4), 175–188. https://doi.org/10.5032/jae.2020.04175</w:t>
      </w:r>
    </w:p>
    <w:p w14:paraId="2A735223" w14:textId="77777777" w:rsidR="00D423FC" w:rsidRPr="00D423FC" w:rsidRDefault="00D423FC" w:rsidP="00D423FC">
      <w:pPr>
        <w:spacing w:before="200" w:line="240" w:lineRule="auto"/>
        <w:ind w:left="720" w:hanging="720"/>
        <w:rPr>
          <w:rFonts w:ascii="Times New Roman" w:eastAsia="Times New Roman" w:hAnsi="Times New Roman" w:cs="Times New Roman"/>
          <w:sz w:val="24"/>
          <w:szCs w:val="24"/>
          <w:lang w:val="en-US"/>
        </w:rPr>
      </w:pPr>
      <w:r w:rsidRPr="00D423FC">
        <w:rPr>
          <w:rFonts w:ascii="Times New Roman" w:eastAsia="Times New Roman" w:hAnsi="Times New Roman" w:cs="Times New Roman"/>
          <w:sz w:val="24"/>
          <w:szCs w:val="24"/>
          <w:lang w:val="en-US"/>
        </w:rPr>
        <w:t xml:space="preserve">Traini, H. Q., Stewart, J., &amp; Velez, J. J. (2021a). Navigating the social landscape of school-based agricultural education: A hermeneutic phenomenology. </w:t>
      </w:r>
      <w:r w:rsidRPr="00D423FC">
        <w:rPr>
          <w:rFonts w:ascii="Times New Roman" w:eastAsia="Times New Roman" w:hAnsi="Times New Roman" w:cs="Times New Roman"/>
          <w:i/>
          <w:iCs/>
          <w:sz w:val="24"/>
          <w:szCs w:val="24"/>
          <w:lang w:val="en-US"/>
        </w:rPr>
        <w:t>Journal of Agricultural Education, 62</w:t>
      </w:r>
      <w:r w:rsidRPr="00D423FC">
        <w:rPr>
          <w:rFonts w:ascii="Times New Roman" w:eastAsia="Times New Roman" w:hAnsi="Times New Roman" w:cs="Times New Roman"/>
          <w:sz w:val="24"/>
          <w:szCs w:val="24"/>
          <w:lang w:val="en-US"/>
        </w:rPr>
        <w:t>(1), 61–76. https://doi.org/10.5032/jae.2021.01061</w:t>
      </w:r>
    </w:p>
    <w:p w14:paraId="2522CE66" w14:textId="77777777" w:rsidR="00D423FC" w:rsidRPr="00D423FC" w:rsidRDefault="00D423FC" w:rsidP="00D423FC">
      <w:pPr>
        <w:spacing w:before="200" w:line="240" w:lineRule="auto"/>
        <w:ind w:left="720" w:hanging="720"/>
        <w:rPr>
          <w:rFonts w:ascii="Times New Roman" w:eastAsia="Times New Roman" w:hAnsi="Times New Roman" w:cs="Times New Roman"/>
          <w:sz w:val="24"/>
          <w:szCs w:val="24"/>
          <w:lang w:val="en-US"/>
        </w:rPr>
      </w:pPr>
      <w:r w:rsidRPr="00D423FC">
        <w:rPr>
          <w:rFonts w:ascii="Times New Roman" w:eastAsia="Times New Roman" w:hAnsi="Times New Roman" w:cs="Times New Roman"/>
          <w:sz w:val="24"/>
          <w:szCs w:val="24"/>
          <w:lang w:val="en-US"/>
        </w:rPr>
        <w:t xml:space="preserve">Traini, H. Q., Haddad, B., Stewart, J., &amp; Velez, J. J. (2021b). Adjusting, appeasing, and rearranging: How agriculture teachers reconcile demands of the profession. </w:t>
      </w:r>
      <w:r w:rsidRPr="00D423FC">
        <w:rPr>
          <w:rFonts w:ascii="Times New Roman" w:eastAsia="Times New Roman" w:hAnsi="Times New Roman" w:cs="Times New Roman"/>
          <w:i/>
          <w:iCs/>
          <w:sz w:val="24"/>
          <w:szCs w:val="24"/>
          <w:lang w:val="en-US"/>
        </w:rPr>
        <w:t>Journal of Agricultural Education, 62</w:t>
      </w:r>
      <w:r w:rsidRPr="00D423FC">
        <w:rPr>
          <w:rFonts w:ascii="Times New Roman" w:eastAsia="Times New Roman" w:hAnsi="Times New Roman" w:cs="Times New Roman"/>
          <w:sz w:val="24"/>
          <w:szCs w:val="24"/>
          <w:lang w:val="en-US"/>
        </w:rPr>
        <w:t>(2), 167–184. https://doi.org/10.5032/jae.2021.02167</w:t>
      </w:r>
    </w:p>
    <w:p w14:paraId="00000033" w14:textId="1E5E0204"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Tytel, M., &amp; Holladay, R. (2011). </w:t>
      </w:r>
      <w:r w:rsidRPr="00D423FC">
        <w:rPr>
          <w:rFonts w:ascii="Times New Roman" w:eastAsia="Times New Roman" w:hAnsi="Times New Roman" w:cs="Times New Roman"/>
          <w:i/>
          <w:sz w:val="24"/>
          <w:szCs w:val="24"/>
        </w:rPr>
        <w:t xml:space="preserve">Simple rules: A radical inquiry into self – Going beyond </w:t>
      </w:r>
      <w:proofErr w:type="spellStart"/>
      <w:r w:rsidRPr="00D423FC">
        <w:rPr>
          <w:rFonts w:ascii="Times New Roman" w:eastAsia="Times New Roman" w:hAnsi="Times New Roman" w:cs="Times New Roman"/>
          <w:i/>
          <w:sz w:val="24"/>
          <w:szCs w:val="24"/>
        </w:rPr>
        <w:t>self help</w:t>
      </w:r>
      <w:proofErr w:type="spellEnd"/>
      <w:r w:rsidRPr="00D423FC">
        <w:rPr>
          <w:rFonts w:ascii="Times New Roman" w:eastAsia="Times New Roman" w:hAnsi="Times New Roman" w:cs="Times New Roman"/>
          <w:i/>
          <w:sz w:val="24"/>
          <w:szCs w:val="24"/>
        </w:rPr>
        <w:t xml:space="preserve"> to generate </w:t>
      </w:r>
      <w:proofErr w:type="spellStart"/>
      <w:r w:rsidRPr="00D423FC">
        <w:rPr>
          <w:rFonts w:ascii="Times New Roman" w:eastAsia="Times New Roman" w:hAnsi="Times New Roman" w:cs="Times New Roman"/>
          <w:i/>
          <w:sz w:val="24"/>
          <w:szCs w:val="24"/>
        </w:rPr>
        <w:t>self hope</w:t>
      </w:r>
      <w:proofErr w:type="spellEnd"/>
      <w:r w:rsidRPr="00D423FC">
        <w:rPr>
          <w:rFonts w:ascii="Times New Roman" w:eastAsia="Times New Roman" w:hAnsi="Times New Roman" w:cs="Times New Roman"/>
          <w:sz w:val="24"/>
          <w:szCs w:val="24"/>
        </w:rPr>
        <w:t>. Gold Canyon Press.</w:t>
      </w:r>
    </w:p>
    <w:p w14:paraId="00000034" w14:textId="3190F480"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van der Merwe, L. S. E., Biggs, R., &amp; Preiser, R. (2018). A framework for conceptualizing and assessing the resilience of essential services produced by socio-technical systems. </w:t>
      </w:r>
      <w:r w:rsidRPr="00D423FC">
        <w:rPr>
          <w:rFonts w:ascii="Times New Roman" w:eastAsia="Times New Roman" w:hAnsi="Times New Roman" w:cs="Times New Roman"/>
          <w:i/>
          <w:sz w:val="24"/>
          <w:szCs w:val="24"/>
        </w:rPr>
        <w:t>Ecology and Society</w:t>
      </w:r>
      <w:r w:rsidRPr="00D423FC">
        <w:rPr>
          <w:rFonts w:ascii="Times New Roman" w:eastAsia="Times New Roman" w:hAnsi="Times New Roman" w:cs="Times New Roman"/>
          <w:sz w:val="24"/>
          <w:szCs w:val="24"/>
        </w:rPr>
        <w:t>, 23(2), Article 12.</w:t>
      </w:r>
      <w:hyperlink r:id="rId18">
        <w:r w:rsidR="00791EEA" w:rsidRPr="00D423FC">
          <w:rPr>
            <w:rFonts w:ascii="Times New Roman" w:eastAsia="Times New Roman" w:hAnsi="Times New Roman" w:cs="Times New Roman"/>
            <w:sz w:val="24"/>
            <w:szCs w:val="24"/>
          </w:rPr>
          <w:t xml:space="preserve"> </w:t>
        </w:r>
      </w:hyperlink>
      <w:r w:rsidR="00791EEA" w:rsidRPr="00D423FC">
        <w:rPr>
          <w:rFonts w:ascii="Times New Roman" w:eastAsia="Times New Roman" w:hAnsi="Times New Roman" w:cs="Times New Roman"/>
          <w:sz w:val="24"/>
          <w:szCs w:val="24"/>
        </w:rPr>
        <w:t>https://doi.org/10.5751/ES-09623-230212</w:t>
      </w:r>
    </w:p>
    <w:p w14:paraId="00000035"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Walker, B., &amp; Salt, D. (2012). </w:t>
      </w:r>
      <w:r w:rsidRPr="00D423FC">
        <w:rPr>
          <w:rFonts w:ascii="Times New Roman" w:eastAsia="Times New Roman" w:hAnsi="Times New Roman" w:cs="Times New Roman"/>
          <w:i/>
          <w:sz w:val="24"/>
          <w:szCs w:val="24"/>
        </w:rPr>
        <w:t>Resilience practice: Building capacity to absorb disturbance and maintain function</w:t>
      </w:r>
      <w:r w:rsidRPr="00D423FC">
        <w:rPr>
          <w:rFonts w:ascii="Times New Roman" w:eastAsia="Times New Roman" w:hAnsi="Times New Roman" w:cs="Times New Roman"/>
          <w:sz w:val="24"/>
          <w:szCs w:val="24"/>
        </w:rPr>
        <w:t>. Island Press.</w:t>
      </w:r>
    </w:p>
    <w:p w14:paraId="00000036"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Wenger, E. (1998). </w:t>
      </w:r>
      <w:r w:rsidRPr="00D423FC">
        <w:rPr>
          <w:rFonts w:ascii="Times New Roman" w:eastAsia="Times New Roman" w:hAnsi="Times New Roman" w:cs="Times New Roman"/>
          <w:i/>
          <w:sz w:val="24"/>
          <w:szCs w:val="24"/>
        </w:rPr>
        <w:t>Communities of practice: Learning, meaning, and identity</w:t>
      </w:r>
      <w:r w:rsidRPr="00D423FC">
        <w:rPr>
          <w:rFonts w:ascii="Times New Roman" w:eastAsia="Times New Roman" w:hAnsi="Times New Roman" w:cs="Times New Roman"/>
          <w:sz w:val="24"/>
          <w:szCs w:val="24"/>
        </w:rPr>
        <w:t>. Cambridge University Press.</w:t>
      </w:r>
    </w:p>
    <w:p w14:paraId="00000037"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Wenger-Trayner, E., &amp; Wenger-Trayner, B. (2014). </w:t>
      </w:r>
      <w:proofErr w:type="gramStart"/>
      <w:r w:rsidRPr="00D423FC">
        <w:rPr>
          <w:rFonts w:ascii="Times New Roman" w:eastAsia="Times New Roman" w:hAnsi="Times New Roman" w:cs="Times New Roman"/>
          <w:sz w:val="24"/>
          <w:szCs w:val="24"/>
        </w:rPr>
        <w:t>Learning in</w:t>
      </w:r>
      <w:proofErr w:type="gramEnd"/>
      <w:r w:rsidRPr="00D423FC">
        <w:rPr>
          <w:rFonts w:ascii="Times New Roman" w:eastAsia="Times New Roman" w:hAnsi="Times New Roman" w:cs="Times New Roman"/>
          <w:sz w:val="24"/>
          <w:szCs w:val="24"/>
        </w:rPr>
        <w:t xml:space="preserve"> landscapes of practice: A framework. In E. Wenger-Trayner et al. (Eds.), </w:t>
      </w:r>
      <w:r w:rsidRPr="00D423FC">
        <w:rPr>
          <w:rFonts w:ascii="Times New Roman" w:eastAsia="Times New Roman" w:hAnsi="Times New Roman" w:cs="Times New Roman"/>
          <w:i/>
          <w:sz w:val="24"/>
          <w:szCs w:val="24"/>
        </w:rPr>
        <w:t>Learning in landscapes of practice: Boundaries, identity, and knowledgeability in practice-based learning</w:t>
      </w:r>
      <w:r w:rsidRPr="00D423FC">
        <w:rPr>
          <w:rFonts w:ascii="Times New Roman" w:eastAsia="Times New Roman" w:hAnsi="Times New Roman" w:cs="Times New Roman"/>
          <w:sz w:val="24"/>
          <w:szCs w:val="24"/>
        </w:rPr>
        <w:t xml:space="preserve"> (pp. 13–29). Routledge.</w:t>
      </w:r>
    </w:p>
    <w:p w14:paraId="00000038" w14:textId="77777777" w:rsidR="00791EEA" w:rsidRPr="00D423FC" w:rsidRDefault="00000000">
      <w:pPr>
        <w:spacing w:before="240" w:after="240" w:line="240" w:lineRule="auto"/>
        <w:ind w:left="720" w:hanging="630"/>
        <w:rPr>
          <w:rFonts w:ascii="Times New Roman" w:eastAsia="Times New Roman" w:hAnsi="Times New Roman" w:cs="Times New Roman"/>
          <w:sz w:val="24"/>
          <w:szCs w:val="24"/>
        </w:rPr>
      </w:pPr>
      <w:r w:rsidRPr="00D423FC">
        <w:rPr>
          <w:rFonts w:ascii="Times New Roman" w:eastAsia="Times New Roman" w:hAnsi="Times New Roman" w:cs="Times New Roman"/>
          <w:sz w:val="24"/>
          <w:szCs w:val="24"/>
        </w:rPr>
        <w:t xml:space="preserve">Wenger-Trayner, E., &amp; Wenger-Trayner, B. (2021). </w:t>
      </w:r>
      <w:r w:rsidRPr="00D423FC">
        <w:rPr>
          <w:rFonts w:ascii="Times New Roman" w:eastAsia="Times New Roman" w:hAnsi="Times New Roman" w:cs="Times New Roman"/>
          <w:i/>
          <w:sz w:val="24"/>
          <w:szCs w:val="24"/>
        </w:rPr>
        <w:t>Systems convening: A crucial form of leadership for the 21st century</w:t>
      </w:r>
      <w:r w:rsidRPr="00D423FC">
        <w:rPr>
          <w:rFonts w:ascii="Times New Roman" w:eastAsia="Times New Roman" w:hAnsi="Times New Roman" w:cs="Times New Roman"/>
          <w:sz w:val="24"/>
          <w:szCs w:val="24"/>
        </w:rPr>
        <w:t>. Social Learning Lab.</w:t>
      </w:r>
    </w:p>
    <w:p w14:paraId="00000039" w14:textId="77777777" w:rsidR="00791EEA" w:rsidRPr="00D423FC" w:rsidRDefault="00791EEA">
      <w:pPr>
        <w:spacing w:line="240" w:lineRule="auto"/>
        <w:ind w:firstLine="720"/>
        <w:rPr>
          <w:rFonts w:ascii="Times New Roman" w:eastAsia="Times New Roman" w:hAnsi="Times New Roman" w:cs="Times New Roman"/>
          <w:sz w:val="24"/>
          <w:szCs w:val="24"/>
        </w:rPr>
      </w:pPr>
    </w:p>
    <w:sectPr w:rsidR="00791EEA" w:rsidRPr="00D423F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EF60C" w14:textId="77777777" w:rsidR="006B7A48" w:rsidRDefault="006B7A48" w:rsidP="00495E89">
      <w:pPr>
        <w:spacing w:line="240" w:lineRule="auto"/>
      </w:pPr>
      <w:r>
        <w:separator/>
      </w:r>
    </w:p>
  </w:endnote>
  <w:endnote w:type="continuationSeparator" w:id="0">
    <w:p w14:paraId="385A730D" w14:textId="77777777" w:rsidR="006B7A48" w:rsidRDefault="006B7A48" w:rsidP="00495E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69BD2" w14:textId="77777777" w:rsidR="006B7A48" w:rsidRDefault="006B7A48" w:rsidP="00495E89">
      <w:pPr>
        <w:spacing w:line="240" w:lineRule="auto"/>
      </w:pPr>
      <w:r>
        <w:separator/>
      </w:r>
    </w:p>
  </w:footnote>
  <w:footnote w:type="continuationSeparator" w:id="0">
    <w:p w14:paraId="18DAD60F" w14:textId="77777777" w:rsidR="006B7A48" w:rsidRDefault="006B7A48" w:rsidP="00495E8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EEA"/>
    <w:rsid w:val="000F2D58"/>
    <w:rsid w:val="00184314"/>
    <w:rsid w:val="00320969"/>
    <w:rsid w:val="00436F96"/>
    <w:rsid w:val="00495E89"/>
    <w:rsid w:val="005B26D8"/>
    <w:rsid w:val="006B7A48"/>
    <w:rsid w:val="006F1D60"/>
    <w:rsid w:val="00735E9A"/>
    <w:rsid w:val="00791EEA"/>
    <w:rsid w:val="008237FC"/>
    <w:rsid w:val="00BF2AD8"/>
    <w:rsid w:val="00D423FC"/>
    <w:rsid w:val="00F43B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86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95E89"/>
    <w:pPr>
      <w:tabs>
        <w:tab w:val="center" w:pos="4680"/>
        <w:tab w:val="right" w:pos="9360"/>
      </w:tabs>
      <w:spacing w:line="240" w:lineRule="auto"/>
    </w:pPr>
  </w:style>
  <w:style w:type="character" w:customStyle="1" w:styleId="HeaderChar">
    <w:name w:val="Header Char"/>
    <w:basedOn w:val="DefaultParagraphFont"/>
    <w:link w:val="Header"/>
    <w:uiPriority w:val="99"/>
    <w:rsid w:val="00495E89"/>
  </w:style>
  <w:style w:type="paragraph" w:styleId="Footer">
    <w:name w:val="footer"/>
    <w:basedOn w:val="Normal"/>
    <w:link w:val="FooterChar"/>
    <w:uiPriority w:val="99"/>
    <w:unhideWhenUsed/>
    <w:rsid w:val="00495E89"/>
    <w:pPr>
      <w:tabs>
        <w:tab w:val="center" w:pos="4680"/>
        <w:tab w:val="right" w:pos="9360"/>
      </w:tabs>
      <w:spacing w:line="240" w:lineRule="auto"/>
    </w:pPr>
  </w:style>
  <w:style w:type="character" w:customStyle="1" w:styleId="FooterChar">
    <w:name w:val="Footer Char"/>
    <w:basedOn w:val="DefaultParagraphFont"/>
    <w:link w:val="Footer"/>
    <w:uiPriority w:val="99"/>
    <w:rsid w:val="00495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687274">
      <w:bodyDiv w:val="1"/>
      <w:marLeft w:val="0"/>
      <w:marRight w:val="0"/>
      <w:marTop w:val="0"/>
      <w:marBottom w:val="0"/>
      <w:divBdr>
        <w:top w:val="none" w:sz="0" w:space="0" w:color="auto"/>
        <w:left w:val="none" w:sz="0" w:space="0" w:color="auto"/>
        <w:bottom w:val="none" w:sz="0" w:space="0" w:color="auto"/>
        <w:right w:val="none" w:sz="0" w:space="0" w:color="auto"/>
      </w:divBdr>
    </w:div>
    <w:div w:id="1907647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cologyandsociety.org/vol15/iss4/art20/" TargetMode="External"/><Relationship Id="rId13" Type="http://schemas.openxmlformats.org/officeDocument/2006/relationships/hyperlink" Target="https://doi.org/10.1016/j.tate.2006.06.006" TargetMode="External"/><Relationship Id="rId18" Type="http://schemas.openxmlformats.org/officeDocument/2006/relationships/hyperlink" Target="https://doi.org/10.5751/ES-09623-230212" TargetMode="External"/><Relationship Id="rId3" Type="http://schemas.openxmlformats.org/officeDocument/2006/relationships/webSettings" Target="webSettings.xml"/><Relationship Id="rId7" Type="http://schemas.openxmlformats.org/officeDocument/2006/relationships/hyperlink" Target="https://doi.org/10.1002/inst.12159" TargetMode="External"/><Relationship Id="rId12" Type="http://schemas.openxmlformats.org/officeDocument/2006/relationships/hyperlink" Target="https://doi.org/10.1016/j.tate.2006.06.006" TargetMode="External"/><Relationship Id="rId17" Type="http://schemas.openxmlformats.org/officeDocument/2006/relationships/hyperlink" Target="https://www.hsdinstitute.org/" TargetMode="External"/><Relationship Id="rId2" Type="http://schemas.openxmlformats.org/officeDocument/2006/relationships/settings" Target="settings.xml"/><Relationship Id="rId16" Type="http://schemas.openxmlformats.org/officeDocument/2006/relationships/hyperlink" Target="https://www.hsdinstitute.or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02/inst.12159" TargetMode="External"/><Relationship Id="rId11" Type="http://schemas.openxmlformats.org/officeDocument/2006/relationships/hyperlink" Target="https://dc.swosu.edu/aij/vol4/iss2/4" TargetMode="External"/><Relationship Id="rId5" Type="http://schemas.openxmlformats.org/officeDocument/2006/relationships/endnotes" Target="endnotes.xml"/><Relationship Id="rId15" Type="http://schemas.openxmlformats.org/officeDocument/2006/relationships/hyperlink" Target="http://dx.doi.org/10.1080/01411926.2011.623152" TargetMode="External"/><Relationship Id="rId10" Type="http://schemas.openxmlformats.org/officeDocument/2006/relationships/hyperlink" Target="https://dc.swosu.edu/aij/vol4/iss2/4"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www.ecologyandsociety.org/vol15/iss4/art20/" TargetMode="External"/><Relationship Id="rId14" Type="http://schemas.openxmlformats.org/officeDocument/2006/relationships/hyperlink" Target="http://dx.doi.org/10.1080/01411926.2011.6231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3810</Words>
  <Characters>20766</Characters>
  <Application>Microsoft Office Word</Application>
  <DocSecurity>0</DocSecurity>
  <Lines>384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2025-07-14T16:41:00Z</dcterms:created>
  <dcterms:modified xsi:type="dcterms:W3CDTF">2025-07-14T16:47:00Z</dcterms:modified>
</cp:coreProperties>
</file>