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2B338" w14:textId="5C245DA5" w:rsidR="00D4182C" w:rsidRDefault="1CC24F66" w:rsidP="20E601FE">
      <w:pPr>
        <w:jc w:val="center"/>
        <w:rPr>
          <w:rFonts w:ascii="Times New Roman" w:eastAsia="Times New Roman" w:hAnsi="Times New Roman" w:cs="Times New Roman"/>
          <w:b/>
          <w:bCs/>
        </w:rPr>
      </w:pPr>
      <w:r w:rsidRPr="1CC24F66">
        <w:rPr>
          <w:rFonts w:ascii="Times New Roman" w:eastAsia="Times New Roman" w:hAnsi="Times New Roman" w:cs="Times New Roman"/>
          <w:b/>
          <w:bCs/>
        </w:rPr>
        <w:t>The Impact of School-Based Agricultural Education on Youth Participation in Nigerian Agriculture: A Systematic Review</w:t>
      </w:r>
    </w:p>
    <w:p w14:paraId="17480301" w14:textId="77777777" w:rsidR="00D4182C" w:rsidRDefault="00D4182C" w:rsidP="20E601FE">
      <w:pPr>
        <w:jc w:val="center"/>
        <w:rPr>
          <w:rFonts w:ascii="Times New Roman" w:eastAsia="Times New Roman" w:hAnsi="Times New Roman" w:cs="Times New Roman"/>
          <w:b/>
          <w:bCs/>
        </w:rPr>
      </w:pPr>
    </w:p>
    <w:p w14:paraId="07FFC090" w14:textId="119785DD" w:rsidR="00D4182C" w:rsidRPr="00D4182C" w:rsidRDefault="00D4182C" w:rsidP="20E601FE">
      <w:pPr>
        <w:jc w:val="center"/>
        <w:rPr>
          <w:rFonts w:ascii="Times New Roman" w:eastAsia="Times New Roman" w:hAnsi="Times New Roman" w:cs="Times New Roman"/>
        </w:rPr>
      </w:pPr>
      <w:r w:rsidRPr="00D4182C">
        <w:rPr>
          <w:rFonts w:ascii="Times New Roman" w:eastAsia="Times New Roman" w:hAnsi="Times New Roman" w:cs="Times New Roman"/>
        </w:rPr>
        <w:t>Ehi-</w:t>
      </w:r>
      <w:r>
        <w:rPr>
          <w:rFonts w:ascii="Times New Roman" w:eastAsia="Times New Roman" w:hAnsi="Times New Roman" w:cs="Times New Roman"/>
        </w:rPr>
        <w:t>k</w:t>
      </w:r>
      <w:r w:rsidRPr="00D4182C">
        <w:rPr>
          <w:rFonts w:ascii="Times New Roman" w:eastAsia="Times New Roman" w:hAnsi="Times New Roman" w:cs="Times New Roman"/>
        </w:rPr>
        <w:t>owochio Ogwiji, Oregon State University</w:t>
      </w:r>
    </w:p>
    <w:p w14:paraId="64F40A77" w14:textId="19721EA2" w:rsidR="00D4182C" w:rsidRDefault="00D4182C" w:rsidP="00D4182C">
      <w:pPr>
        <w:jc w:val="center"/>
        <w:rPr>
          <w:rFonts w:ascii="Times New Roman" w:eastAsia="Times New Roman" w:hAnsi="Times New Roman" w:cs="Times New Roman"/>
          <w:b/>
          <w:bCs/>
        </w:rPr>
      </w:pPr>
      <w:r w:rsidRPr="00D4182C">
        <w:rPr>
          <w:rFonts w:ascii="Times New Roman" w:eastAsia="Times New Roman" w:hAnsi="Times New Roman" w:cs="Times New Roman"/>
        </w:rPr>
        <w:t>Haley Q. Traini, Oregon State University</w:t>
      </w:r>
      <w:r>
        <w:rPr>
          <w:rFonts w:ascii="Times New Roman" w:eastAsia="Times New Roman" w:hAnsi="Times New Roman" w:cs="Times New Roman"/>
        </w:rPr>
        <w:t xml:space="preserve"> </w:t>
      </w:r>
    </w:p>
    <w:p w14:paraId="2674711E" w14:textId="77777777" w:rsidR="00D1010D" w:rsidRDefault="00D1010D" w:rsidP="20E601FE">
      <w:pPr>
        <w:jc w:val="center"/>
        <w:rPr>
          <w:rFonts w:ascii="Times New Roman" w:eastAsia="Times New Roman" w:hAnsi="Times New Roman" w:cs="Times New Roman"/>
          <w:b/>
          <w:bCs/>
        </w:rPr>
      </w:pPr>
    </w:p>
    <w:p w14:paraId="388AB7B1" w14:textId="7ADC9A29" w:rsidR="00D1010D" w:rsidRPr="00D00679" w:rsidRDefault="1C0CDC3C" w:rsidP="00D00679">
      <w:pPr>
        <w:jc w:val="center"/>
        <w:rPr>
          <w:rFonts w:ascii="Times New Roman" w:eastAsia="Times New Roman" w:hAnsi="Times New Roman" w:cs="Times New Roman"/>
          <w:b/>
          <w:bCs/>
        </w:rPr>
      </w:pPr>
      <w:r w:rsidRPr="1C0CDC3C">
        <w:rPr>
          <w:rFonts w:ascii="Times New Roman" w:eastAsia="Times New Roman" w:hAnsi="Times New Roman" w:cs="Times New Roman"/>
          <w:b/>
          <w:bCs/>
        </w:rPr>
        <w:t>Introduction</w:t>
      </w:r>
    </w:p>
    <w:p w14:paraId="08628F03" w14:textId="551AEE3A" w:rsidR="00D1010D" w:rsidRDefault="1C0CDC3C" w:rsidP="1C0CDC3C">
      <w:pPr>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Youth participation in agriculture has been described as a critical component of African development despite the steady decline of youth labor hours in the industry (Kote et al., 2024; Chipfupa &amp; Tagwi, 2021).</w:t>
      </w:r>
      <w:r w:rsidRPr="1C0CDC3C">
        <w:rPr>
          <w:rFonts w:ascii="Times New Roman" w:eastAsia="Times New Roman" w:hAnsi="Times New Roman" w:cs="Times New Roman"/>
        </w:rPr>
        <w:t xml:space="preserve"> The economic, political, environmental, and psychological barriers to youth involvement in Sub-Saharan African (SSA) agriculture have been widely studied (</w:t>
      </w:r>
      <w:r w:rsidRPr="1C0CDC3C">
        <w:rPr>
          <w:rFonts w:ascii="Times New Roman" w:eastAsia="Times New Roman" w:hAnsi="Times New Roman" w:cs="Times New Roman"/>
          <w:color w:val="000000" w:themeColor="text1"/>
        </w:rPr>
        <w:t>Madende &amp; Jordaan, 2023; Ajao et al., 2022; Geza et al., 2021; Ajufo, 2013). Nigerian youths, like their counterparts in other SSA countries, are facing similar barriers, further exacerbated by the shifts in national interest and deprioritizing of the agriculture sector following the explosive growth of the nation’s oil wealth in the 1970s (Shaibu, 2023; Adama et al., 2016; Ibrahim, 2014; Akpomedya, 2010). Despite this, farming remains a viable source of livelihood in Nigeria as 65% of the population directly or indirectly rely on agriculture for income, howbeit on small scale production levels (Alawonde &amp; Makinde, 2021; Gill et al., 2016). This figure is insufficient to feed the rapidly growing population (Galal, 2023).</w:t>
      </w:r>
    </w:p>
    <w:p w14:paraId="5064993B" w14:textId="55F60EAE" w:rsidR="1C0CDC3C" w:rsidRDefault="1C0CDC3C" w:rsidP="1C0CDC3C">
      <w:pPr>
        <w:rPr>
          <w:rFonts w:ascii="Times New Roman" w:eastAsia="Times New Roman" w:hAnsi="Times New Roman" w:cs="Times New Roman"/>
          <w:color w:val="000000" w:themeColor="text1"/>
        </w:rPr>
      </w:pPr>
    </w:p>
    <w:p w14:paraId="07173A2F" w14:textId="35564B44" w:rsidR="00D1010D" w:rsidRDefault="1C0CDC3C" w:rsidP="1C0CDC3C">
      <w:pPr>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Considering Nigeria’s exponential population growth, a predominantly youthful populace, and her agricultural sector’s potential to employ the large workforce (Ekezie &amp; Deebom, 2019), scholars have recommended youth involvement in the industry as a strategy to reduce poverty and unemployment (Innocent-Ene et al., 2022; Jooji &amp; Oguchi, 2020). In response, the government launched initiatives targeted at enhancing youth participation in agriculture like the Farm Settlement Scheme (1940-1960), Young Farmers Club (1960s), and Youth Employment in Agriculture Program (2013). However, these initiatives were not as successful in revitalizing the sector (Olukunle, 2013). Scholars posit that an alternative pathway to enhanced youth participation in agriculture is School-Based Agricultural Education (SBAE) (Adeyegba, 2022; Ekezie &amp; Deebom, 2019; Angbre, 2016). Although there is ample evidence that agricultural education is an underexplored path to sustainable agriculture development in Nigeria (Ajao et al., 2022; Adama et al., 2016; Amadi &amp; Blessing, 2016; Egun, 2010), a national outlook on its impact on youth involvement in agriculture has not been studied.</w:t>
      </w:r>
    </w:p>
    <w:p w14:paraId="568231FF" w14:textId="6437357A" w:rsidR="00D1010D" w:rsidRDefault="00D1010D" w:rsidP="162F50A1">
      <w:pPr>
        <w:rPr>
          <w:rFonts w:ascii="Times New Roman" w:eastAsia="Times New Roman" w:hAnsi="Times New Roman" w:cs="Times New Roman"/>
        </w:rPr>
      </w:pPr>
    </w:p>
    <w:p w14:paraId="4B5EC410" w14:textId="7C131B11" w:rsidR="1C0CDC3C" w:rsidRDefault="1C0CDC3C" w:rsidP="00D00679">
      <w:pPr>
        <w:jc w:val="center"/>
        <w:rPr>
          <w:rFonts w:ascii="Times New Roman" w:eastAsia="Times New Roman" w:hAnsi="Times New Roman" w:cs="Times New Roman"/>
        </w:rPr>
      </w:pPr>
      <w:r w:rsidRPr="1C0CDC3C">
        <w:rPr>
          <w:rFonts w:ascii="Times New Roman" w:eastAsia="Times New Roman" w:hAnsi="Times New Roman" w:cs="Times New Roman"/>
          <w:b/>
          <w:bCs/>
        </w:rPr>
        <w:t>Purpose/Objectives</w:t>
      </w:r>
      <w:r w:rsidRPr="1C0CDC3C">
        <w:rPr>
          <w:rFonts w:ascii="Times New Roman" w:eastAsia="Times New Roman" w:hAnsi="Times New Roman" w:cs="Times New Roman"/>
        </w:rPr>
        <w:t xml:space="preserve"> </w:t>
      </w:r>
    </w:p>
    <w:p w14:paraId="040DBD00" w14:textId="76121F51" w:rsidR="00D1010D" w:rsidRDefault="6E522175" w:rsidP="6E522175">
      <w:pPr>
        <w:rPr>
          <w:rFonts w:ascii="Times New Roman" w:eastAsia="Times New Roman" w:hAnsi="Times New Roman" w:cs="Times New Roman"/>
          <w:color w:val="000000" w:themeColor="text1"/>
        </w:rPr>
      </w:pPr>
      <w:r w:rsidRPr="6E522175">
        <w:rPr>
          <w:rFonts w:ascii="Times New Roman" w:eastAsia="Times New Roman" w:hAnsi="Times New Roman" w:cs="Times New Roman"/>
        </w:rPr>
        <w:t xml:space="preserve">This study was designed to explore the impact of SBAE on youth participation in Nigerian agriculture from a national outlook. </w:t>
      </w:r>
      <w:r w:rsidRPr="6E522175">
        <w:rPr>
          <w:rFonts w:ascii="Times New Roman" w:eastAsia="Times New Roman" w:hAnsi="Times New Roman" w:cs="Times New Roman"/>
          <w:color w:val="000000" w:themeColor="text1"/>
        </w:rPr>
        <w:t xml:space="preserve">Existing studies (Owigho et al., 2023; Maigari et al., 2023; Nnamani &amp; Obediah, 2022; Osabohien et al., 2021; Osagie et al., 2020; Latopa &amp; Genty, 2018) related to Nigerian youth participation in agriculture focused on specific states or geo-political regions of the country. Hence, there is a need for a systematic synthesis of evidence to facilitate a national understanding of </w:t>
      </w:r>
      <w:r w:rsidRPr="6E522175">
        <w:rPr>
          <w:rFonts w:ascii="Times New Roman" w:eastAsia="Times New Roman" w:hAnsi="Times New Roman" w:cs="Times New Roman"/>
        </w:rPr>
        <w:t>the impact of SBAE on youth participation in Nigerian agriculture</w:t>
      </w:r>
      <w:r w:rsidRPr="6E522175">
        <w:rPr>
          <w:rFonts w:ascii="Times New Roman" w:eastAsia="Times New Roman" w:hAnsi="Times New Roman" w:cs="Times New Roman"/>
          <w:color w:val="000000" w:themeColor="text1"/>
        </w:rPr>
        <w:t xml:space="preserve">. A few other studies at the intersection of agricultural education and youth involvement in Nigerian agriculture studied the problems, prospects (Adama et al., 2016; Egun, 2010), curriculum design challenges (Ajao et al., 2022), and socioeconomic benefits (Innocent-Ene, 2022; Angbre, 2016) of agricultural education.  The impact of SBAE is widely researched and often framed as projected and actual impact on national development and enhancing youth participation in </w:t>
      </w:r>
      <w:r w:rsidRPr="6E522175">
        <w:rPr>
          <w:rFonts w:ascii="Times New Roman" w:eastAsia="Times New Roman" w:hAnsi="Times New Roman" w:cs="Times New Roman"/>
          <w:color w:val="000000" w:themeColor="text1"/>
        </w:rPr>
        <w:lastRenderedPageBreak/>
        <w:t>agriculture, particularly in terms of perception shifts, acquisition of skills and occupational competency for employment in the industry, and actual transition from the classroom into agriculture careers. However, these have not been systematically documented from a national perspective. Using a systematic review of peer-reviewed literature published between 2013 and 2023, this study was designed to fill the aforementioned gap. Hence, the purpose of this research is to synthesize the impact of SBAE on youth participation in agriculture in Nigeria as documented in peer-reviewed journal articles published between 2013 and 2023? The following objectives guided this study: (1) synthesize the projected impact of agricultural education on Nigerian agriculture, and (2) synthesize the actual impact of agricultural education on youth participation in Nigerian agriculture.</w:t>
      </w:r>
    </w:p>
    <w:p w14:paraId="40EAA240" w14:textId="1091247C" w:rsidR="00D1010D" w:rsidRDefault="00D1010D" w:rsidP="162F50A1">
      <w:pPr>
        <w:rPr>
          <w:rFonts w:ascii="Times New Roman" w:eastAsia="Times New Roman" w:hAnsi="Times New Roman" w:cs="Times New Roman"/>
        </w:rPr>
      </w:pPr>
    </w:p>
    <w:p w14:paraId="2F6D8108" w14:textId="040244E7" w:rsidR="1C0CDC3C" w:rsidRPr="00D00679" w:rsidRDefault="1C0CDC3C" w:rsidP="00D00679">
      <w:pPr>
        <w:jc w:val="center"/>
        <w:rPr>
          <w:rFonts w:ascii="Times New Roman" w:eastAsia="Times New Roman" w:hAnsi="Times New Roman" w:cs="Times New Roman"/>
        </w:rPr>
      </w:pPr>
      <w:r w:rsidRPr="1C0CDC3C">
        <w:rPr>
          <w:rFonts w:ascii="Times New Roman" w:eastAsia="Times New Roman" w:hAnsi="Times New Roman" w:cs="Times New Roman"/>
          <w:b/>
          <w:bCs/>
        </w:rPr>
        <w:t>Methods</w:t>
      </w:r>
    </w:p>
    <w:p w14:paraId="4B0679DC" w14:textId="54D62DF6" w:rsidR="00D1010D" w:rsidRDefault="1C0CDC3C" w:rsidP="1C0CDC3C">
      <w:pPr>
        <w:widowControl w:val="0"/>
        <w:pBdr>
          <w:top w:val="nil"/>
          <w:left w:val="nil"/>
          <w:bottom w:val="nil"/>
          <w:right w:val="nil"/>
          <w:between w:val="nil"/>
        </w:pBdr>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 xml:space="preserve">A qualitative systematic literature review was utilized in this study. Machi &amp; McEvoy (2016) define literature reviews as “a written document presenting a logically argued case founded on a comprehensive understanding of the current state of knowledge about a topic of study” (p.5). A systematic literature review was selected based on the PICO (Population, Intervention, Comparison, Outcome) nomenclature which is known to enhance more precise search of literature (Kloda &amp; Bartlett, 2013). Aligning this study to the PICO nomenclature, Nigerian youths between the age of 15 and 30 make up the </w:t>
      </w:r>
      <w:r w:rsidRPr="1C0CDC3C">
        <w:rPr>
          <w:rFonts w:ascii="Times New Roman" w:eastAsia="Times New Roman" w:hAnsi="Times New Roman" w:cs="Times New Roman"/>
          <w:i/>
          <w:iCs/>
          <w:color w:val="000000" w:themeColor="text1"/>
        </w:rPr>
        <w:t>population</w:t>
      </w:r>
      <w:r w:rsidRPr="1C0CDC3C">
        <w:rPr>
          <w:rFonts w:ascii="Times New Roman" w:eastAsia="Times New Roman" w:hAnsi="Times New Roman" w:cs="Times New Roman"/>
          <w:color w:val="000000" w:themeColor="text1"/>
        </w:rPr>
        <w:t xml:space="preserve">, the </w:t>
      </w:r>
      <w:r w:rsidRPr="1C0CDC3C">
        <w:rPr>
          <w:rFonts w:ascii="Times New Roman" w:eastAsia="Times New Roman" w:hAnsi="Times New Roman" w:cs="Times New Roman"/>
          <w:i/>
          <w:iCs/>
          <w:color w:val="000000" w:themeColor="text1"/>
        </w:rPr>
        <w:t xml:space="preserve">intervention </w:t>
      </w:r>
      <w:r w:rsidRPr="1C0CDC3C">
        <w:rPr>
          <w:rFonts w:ascii="Times New Roman" w:eastAsia="Times New Roman" w:hAnsi="Times New Roman" w:cs="Times New Roman"/>
          <w:color w:val="000000" w:themeColor="text1"/>
        </w:rPr>
        <w:t xml:space="preserve">is formal agricultural education in Nigerian educational institutions where the population of interest are represented, </w:t>
      </w:r>
      <w:r w:rsidRPr="1C0CDC3C">
        <w:rPr>
          <w:rFonts w:ascii="Times New Roman" w:eastAsia="Times New Roman" w:hAnsi="Times New Roman" w:cs="Times New Roman"/>
          <w:i/>
          <w:iCs/>
          <w:color w:val="000000" w:themeColor="text1"/>
        </w:rPr>
        <w:t xml:space="preserve">comparison </w:t>
      </w:r>
      <w:r w:rsidRPr="1C0CDC3C">
        <w:rPr>
          <w:rFonts w:ascii="Times New Roman" w:eastAsia="Times New Roman" w:hAnsi="Times New Roman" w:cs="Times New Roman"/>
          <w:color w:val="000000" w:themeColor="text1"/>
        </w:rPr>
        <w:t xml:space="preserve">addresses a contrast between the projected and actual impact of SBAE, and the </w:t>
      </w:r>
      <w:r w:rsidRPr="1C0CDC3C">
        <w:rPr>
          <w:rFonts w:ascii="Times New Roman" w:eastAsia="Times New Roman" w:hAnsi="Times New Roman" w:cs="Times New Roman"/>
          <w:i/>
          <w:iCs/>
          <w:color w:val="000000" w:themeColor="text1"/>
        </w:rPr>
        <w:t xml:space="preserve">outcome </w:t>
      </w:r>
      <w:r w:rsidRPr="1C0CDC3C">
        <w:rPr>
          <w:rFonts w:ascii="Times New Roman" w:eastAsia="Times New Roman" w:hAnsi="Times New Roman" w:cs="Times New Roman"/>
          <w:color w:val="000000" w:themeColor="text1"/>
        </w:rPr>
        <w:t xml:space="preserve">is enhanced youth participation in agriculture. Munn et al. (2018) states that a PICO framework is well suited for a literature review if it (1) uncovers evidence (2) confirms ongoing practices while identifying novel practices, and (3) uncovers gaps for future research by pointing out discrepancies in existing research. </w:t>
      </w:r>
    </w:p>
    <w:p w14:paraId="38AE4CC5" w14:textId="54769367" w:rsidR="00D1010D" w:rsidRDefault="00D1010D" w:rsidP="1C0CDC3C">
      <w:pPr>
        <w:widowControl w:val="0"/>
        <w:pBdr>
          <w:top w:val="nil"/>
          <w:left w:val="nil"/>
          <w:bottom w:val="nil"/>
          <w:right w:val="nil"/>
          <w:between w:val="nil"/>
        </w:pBdr>
        <w:ind w:firstLine="720"/>
        <w:rPr>
          <w:rFonts w:ascii="Times New Roman" w:eastAsia="Times New Roman" w:hAnsi="Times New Roman" w:cs="Times New Roman"/>
          <w:color w:val="000000" w:themeColor="text1"/>
        </w:rPr>
      </w:pPr>
    </w:p>
    <w:p w14:paraId="25FEA177" w14:textId="22D63964" w:rsidR="00D1010D" w:rsidRDefault="1C0CDC3C" w:rsidP="1C0CDC3C">
      <w:pPr>
        <w:widowControl w:val="0"/>
        <w:pBdr>
          <w:top w:val="nil"/>
          <w:left w:val="nil"/>
          <w:bottom w:val="nil"/>
          <w:right w:val="nil"/>
          <w:between w:val="nil"/>
        </w:pBdr>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The study adhered to the Preferred Reporting Items for Systematic Reviews and Meta-Analyses (PRISMA) framework with the aid of Covidence. Procedures were juxtaposed with the PRISMA 2020 checklist to ensure every component was captured and documented. Bramer et al. (2017) recommend searches from a combination of databases, a minimum of four databases, to ensure the highest possible recall of sources in a literature review. For this study, five databases were selected based on content relevance. These databases are Education Resource Information Centre (ERIC), Google Scholar, Centre for Agriculture and Bioscience International (CABI) Abstracts, Web of Science, and Agriculture and Environmental Science Database. Keywords were created based on studies on youth participation in SSA agriculture (Geza et al., 2021; Kote et al., 2023). This strategy for collating keywords is recommended by Grewal et al. (2016) and Machi &amp; McEvoy (2016). The WILDCARD operator (*), Boolean Operators (“AND” and “OR”), and filters (language -English, years- 2013-2023) were used to enhance recall (Grewal et al., 2016). Six hundred and ninety-five (695) citations were recalled and screened in Covidence—a systematic literature review software. The PRISMA flowchart (Figure.1) summarizes the data recalled, screened, and decisions leading to the eventual inclusion of 124 papers in this study.</w:t>
      </w:r>
    </w:p>
    <w:p w14:paraId="51DD6A8D" w14:textId="226BB1F0" w:rsidR="1C0CDC3C" w:rsidRDefault="1C0CDC3C" w:rsidP="1C0CDC3C">
      <w:pPr>
        <w:widowControl w:val="0"/>
        <w:pBdr>
          <w:top w:val="nil"/>
          <w:left w:val="nil"/>
          <w:bottom w:val="nil"/>
          <w:right w:val="nil"/>
          <w:between w:val="nil"/>
        </w:pBdr>
        <w:rPr>
          <w:rFonts w:ascii="Times New Roman" w:eastAsia="Times New Roman" w:hAnsi="Times New Roman" w:cs="Times New Roman"/>
          <w:color w:val="000000" w:themeColor="text1"/>
        </w:rPr>
      </w:pPr>
    </w:p>
    <w:p w14:paraId="0BC0B3F9" w14:textId="55240785" w:rsidR="00D1010D" w:rsidRDefault="6E522175" w:rsidP="6E522175">
      <w:pPr>
        <w:widowControl w:val="0"/>
        <w:pBdr>
          <w:top w:val="nil"/>
          <w:left w:val="nil"/>
          <w:bottom w:val="nil"/>
          <w:right w:val="nil"/>
          <w:between w:val="nil"/>
        </w:pBdr>
      </w:pPr>
      <w:r w:rsidRPr="6E522175">
        <w:rPr>
          <w:rFonts w:ascii="Times New Roman" w:eastAsia="Times New Roman" w:hAnsi="Times New Roman" w:cs="Times New Roman"/>
          <w:color w:val="000000" w:themeColor="text1"/>
        </w:rPr>
        <w:t xml:space="preserve">A thematic analysis was used to analyze the data in this study. Iyer &amp; Ramachandran (2024) posit that thematic analysis is suitable when the objective of a research transcends summary into inductive interpretation. In alignment with Braun &amp; Clark’s (2023) guidelines for rigorous thematic analysis, this data analysis was conducted in six stages. The first stage entailed getting </w:t>
      </w:r>
      <w:r w:rsidRPr="6E522175">
        <w:rPr>
          <w:rFonts w:ascii="Times New Roman" w:eastAsia="Times New Roman" w:hAnsi="Times New Roman" w:cs="Times New Roman"/>
          <w:color w:val="000000" w:themeColor="text1"/>
        </w:rPr>
        <w:lastRenderedPageBreak/>
        <w:t xml:space="preserve">acquainted with the data. Beyond the multi-stage screening in the extraction stage, we read articles and noted initial thoughts. In the second stage, the initial codes were two provision codes, </w:t>
      </w:r>
      <w:r w:rsidRPr="6E522175">
        <w:rPr>
          <w:rFonts w:ascii="Times New Roman" w:eastAsia="Times New Roman" w:hAnsi="Times New Roman" w:cs="Times New Roman"/>
          <w:i/>
          <w:iCs/>
          <w:color w:val="000000" w:themeColor="text1"/>
        </w:rPr>
        <w:t>project impact</w:t>
      </w:r>
      <w:r w:rsidRPr="6E522175">
        <w:rPr>
          <w:rFonts w:ascii="Times New Roman" w:eastAsia="Times New Roman" w:hAnsi="Times New Roman" w:cs="Times New Roman"/>
          <w:color w:val="000000" w:themeColor="text1"/>
        </w:rPr>
        <w:t xml:space="preserve"> and </w:t>
      </w:r>
      <w:r w:rsidRPr="6E522175">
        <w:rPr>
          <w:rFonts w:ascii="Times New Roman" w:eastAsia="Times New Roman" w:hAnsi="Times New Roman" w:cs="Times New Roman"/>
          <w:i/>
          <w:iCs/>
          <w:color w:val="000000" w:themeColor="text1"/>
        </w:rPr>
        <w:t xml:space="preserve">actual impact </w:t>
      </w:r>
      <w:r w:rsidRPr="6E522175">
        <w:rPr>
          <w:rFonts w:ascii="Times New Roman" w:eastAsia="Times New Roman" w:hAnsi="Times New Roman" w:cs="Times New Roman"/>
          <w:color w:val="000000" w:themeColor="text1"/>
        </w:rPr>
        <w:t xml:space="preserve">based on the study objectives. These provisional codes served as two broad perspectives into which each of the 124 journal articles were placed. </w:t>
      </w:r>
      <w:r w:rsidR="00D1010D">
        <w:rPr>
          <w:noProof/>
        </w:rPr>
        <w:drawing>
          <wp:inline distT="0" distB="0" distL="0" distR="0" wp14:anchorId="3721074B" wp14:editId="026A99E6">
            <wp:extent cx="4713654" cy="3640248"/>
            <wp:effectExtent l="0" t="0" r="0" b="0"/>
            <wp:docPr id="1649876370" name="Picture 1649876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713654" cy="3640248"/>
                    </a:xfrm>
                    <a:prstGeom prst="rect">
                      <a:avLst/>
                    </a:prstGeom>
                  </pic:spPr>
                </pic:pic>
              </a:graphicData>
            </a:graphic>
          </wp:inline>
        </w:drawing>
      </w:r>
    </w:p>
    <w:p w14:paraId="2C0B55D4" w14:textId="66DB7FA9" w:rsidR="00D1010D" w:rsidRDefault="6E522175" w:rsidP="6E522175">
      <w:pPr>
        <w:widowControl w:val="0"/>
        <w:pBdr>
          <w:top w:val="nil"/>
          <w:left w:val="nil"/>
          <w:bottom w:val="nil"/>
          <w:right w:val="nil"/>
          <w:between w:val="nil"/>
        </w:pBdr>
        <w:rPr>
          <w:rFonts w:ascii="Times New Roman" w:eastAsia="Times New Roman" w:hAnsi="Times New Roman" w:cs="Times New Roman"/>
        </w:rPr>
      </w:pPr>
      <w:r w:rsidRPr="6E522175">
        <w:rPr>
          <w:rFonts w:ascii="Times New Roman" w:eastAsia="Times New Roman" w:hAnsi="Times New Roman" w:cs="Times New Roman"/>
          <w:color w:val="000000" w:themeColor="text1"/>
        </w:rPr>
        <w:t xml:space="preserve">Once articles were separated into these two areas, we focused on open coding. Codes were then aggregated into categories and then themes. The fourth stage was focused on refining loosely drafted themes and examining the themes in accordance with Braun &amp; Clark’s (2021) thematic analysis guidelines to check for a clear representation of evidence. This iterative process of examining themes resulted in five main themes. Themes were written for brevity and clarity Braun &amp; Clark (2023). The last two stages of the thematic analysis involved bringing the themes back together to tell a story. </w:t>
      </w:r>
    </w:p>
    <w:p w14:paraId="59D7C11D" w14:textId="47C4FF06" w:rsidR="1C0CDC3C" w:rsidRDefault="1C0CDC3C" w:rsidP="1C0CDC3C">
      <w:pPr>
        <w:widowControl w:val="0"/>
        <w:rPr>
          <w:rFonts w:ascii="Times New Roman" w:eastAsia="Times New Roman" w:hAnsi="Times New Roman" w:cs="Times New Roman"/>
        </w:rPr>
      </w:pPr>
    </w:p>
    <w:p w14:paraId="481DB7A9" w14:textId="36D202F8" w:rsidR="00D1010D" w:rsidRDefault="1C0CDC3C" w:rsidP="1C0CDC3C">
      <w:pPr>
        <w:widowControl w:val="0"/>
        <w:rPr>
          <w:rFonts w:ascii="Times New Roman" w:eastAsia="Times New Roman" w:hAnsi="Times New Roman" w:cs="Times New Roman"/>
          <w:color w:val="000000" w:themeColor="text1"/>
        </w:rPr>
      </w:pPr>
      <w:r w:rsidRPr="1C0CDC3C">
        <w:rPr>
          <w:rFonts w:ascii="Times New Roman" w:eastAsia="Times New Roman" w:hAnsi="Times New Roman" w:cs="Times New Roman"/>
        </w:rPr>
        <w:t xml:space="preserve">To boost </w:t>
      </w:r>
      <w:r w:rsidRPr="1C0CDC3C">
        <w:rPr>
          <w:rFonts w:ascii="Times New Roman" w:eastAsia="Times New Roman" w:hAnsi="Times New Roman" w:cs="Times New Roman"/>
          <w:color w:val="000000" w:themeColor="text1"/>
        </w:rPr>
        <w:t>trustworthiness, we adopted Morse’s (2015) “rigor as an ongoing process” approach. Hence, we screened a cross-section of our data individually and achieved over 85% voting congruence similar to intercoder reliability (Coleman et al., 2024) before the data analysis. Other steps we took to enhance the rigor of this study were documenting research decisions (Brinkmann, 2018), bi-monthly analytical chats to discuss themes (Morse, 2015), reflection to track how researcher biases and identities impacted the study (Creswell, 2013; Daly, 2007), and thick descriptions (Geertz, 1973) to share our results for enhanced result transferability.</w:t>
      </w:r>
    </w:p>
    <w:p w14:paraId="10D68BE5" w14:textId="22063A4C" w:rsidR="20E601FE" w:rsidRDefault="20E601FE" w:rsidP="20E601FE">
      <w:pPr>
        <w:widowControl w:val="0"/>
        <w:rPr>
          <w:rFonts w:ascii="Times New Roman" w:eastAsia="Times New Roman" w:hAnsi="Times New Roman" w:cs="Times New Roman"/>
          <w:b/>
          <w:bCs/>
        </w:rPr>
      </w:pPr>
    </w:p>
    <w:p w14:paraId="7E416F17" w14:textId="661A10C8" w:rsidR="1C0CDC3C" w:rsidRPr="00D00679" w:rsidRDefault="1C0CDC3C" w:rsidP="00D00679">
      <w:pPr>
        <w:widowControl w:val="0"/>
        <w:jc w:val="center"/>
        <w:rPr>
          <w:rFonts w:ascii="Times New Roman" w:eastAsia="Times New Roman" w:hAnsi="Times New Roman" w:cs="Times New Roman"/>
          <w:b/>
          <w:bCs/>
        </w:rPr>
      </w:pPr>
      <w:r w:rsidRPr="1C0CDC3C">
        <w:rPr>
          <w:rFonts w:ascii="Times New Roman" w:eastAsia="Times New Roman" w:hAnsi="Times New Roman" w:cs="Times New Roman"/>
          <w:b/>
          <w:bCs/>
        </w:rPr>
        <w:t>Results/ Findings</w:t>
      </w:r>
    </w:p>
    <w:p w14:paraId="23B583CF" w14:textId="4C360113" w:rsidR="20E601FE" w:rsidRDefault="1C0CDC3C" w:rsidP="1C0CDC3C">
      <w:pPr>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 xml:space="preserve">A total of 124 peer-reviewed journal articles were included in this qualitative systematic literature review. Forty-eight (48%) highlighted the </w:t>
      </w:r>
      <w:r w:rsidRPr="1C0CDC3C">
        <w:rPr>
          <w:rFonts w:ascii="Times New Roman" w:eastAsia="Times New Roman" w:hAnsi="Times New Roman" w:cs="Times New Roman"/>
          <w:i/>
          <w:iCs/>
          <w:color w:val="000000" w:themeColor="text1"/>
        </w:rPr>
        <w:t>projected impact</w:t>
      </w:r>
      <w:r w:rsidRPr="1C0CDC3C">
        <w:rPr>
          <w:rFonts w:ascii="Times New Roman" w:eastAsia="Times New Roman" w:hAnsi="Times New Roman" w:cs="Times New Roman"/>
          <w:color w:val="000000" w:themeColor="text1"/>
        </w:rPr>
        <w:t xml:space="preserve"> of school-based agricultural education (SBAE) programs in Nigeria while 52% focused on the </w:t>
      </w:r>
      <w:r w:rsidRPr="1C0CDC3C">
        <w:rPr>
          <w:rFonts w:ascii="Times New Roman" w:eastAsia="Times New Roman" w:hAnsi="Times New Roman" w:cs="Times New Roman"/>
          <w:i/>
          <w:iCs/>
          <w:color w:val="000000" w:themeColor="text1"/>
        </w:rPr>
        <w:t>actual impact</w:t>
      </w:r>
      <w:r w:rsidRPr="1C0CDC3C">
        <w:rPr>
          <w:rFonts w:ascii="Times New Roman" w:eastAsia="Times New Roman" w:hAnsi="Times New Roman" w:cs="Times New Roman"/>
          <w:color w:val="000000" w:themeColor="text1"/>
        </w:rPr>
        <w:t xml:space="preserve"> of SBAE. Studies reported in the included journal articles were conducted across the six geopolitical regions of the country. The majority (32%) of the studies explored issues in the SW </w:t>
      </w:r>
      <w:r w:rsidRPr="1C0CDC3C">
        <w:rPr>
          <w:rFonts w:ascii="Times New Roman" w:eastAsia="Times New Roman" w:hAnsi="Times New Roman" w:cs="Times New Roman"/>
          <w:color w:val="000000" w:themeColor="text1"/>
        </w:rPr>
        <w:lastRenderedPageBreak/>
        <w:t xml:space="preserve">geopolitical zone while the least studied region was the NW zone (3%). Since agriculture programs exist across education levels, the distribution of studies across educational levels was determined. Table 1 summarizes the distribution of articles along the project impact and actual of SBAE dimensions of this study, educational levels, and the geopolitical zones in Nigeria. </w:t>
      </w:r>
    </w:p>
    <w:p w14:paraId="4012A200" w14:textId="564116C7" w:rsidR="1C0CDC3C" w:rsidRDefault="1C0CDC3C" w:rsidP="1C0CDC3C">
      <w:pPr>
        <w:rPr>
          <w:rFonts w:ascii="Times New Roman" w:eastAsia="Times New Roman" w:hAnsi="Times New Roman" w:cs="Times New Roman"/>
          <w:color w:val="000000" w:themeColor="text1"/>
        </w:rPr>
      </w:pPr>
    </w:p>
    <w:tbl>
      <w:tblPr>
        <w:tblStyle w:val="TableGrid"/>
        <w:tblW w:w="8356"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968"/>
        <w:gridCol w:w="2973"/>
        <w:gridCol w:w="2415"/>
      </w:tblGrid>
      <w:tr w:rsidR="23CFF325" w14:paraId="1224B0E8" w14:textId="77777777" w:rsidTr="1C0CDC3C">
        <w:trPr>
          <w:trHeight w:val="300"/>
        </w:trPr>
        <w:tc>
          <w:tcPr>
            <w:tcW w:w="8356" w:type="dxa"/>
            <w:gridSpan w:val="3"/>
            <w:tcBorders>
              <w:top w:val="nil"/>
              <w:left w:val="nil"/>
              <w:bottom w:val="single" w:sz="12" w:space="0" w:color="000000" w:themeColor="text1"/>
              <w:right w:val="nil"/>
            </w:tcBorders>
            <w:tcMar>
              <w:left w:w="90" w:type="dxa"/>
              <w:right w:w="90" w:type="dxa"/>
            </w:tcMar>
          </w:tcPr>
          <w:p w14:paraId="4978E278" w14:textId="3DC06165" w:rsidR="23CFF325"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Table 1: Distribution of articles along the projected impact and actual impact dimensions, educational levels, and geopolitical zones</w:t>
            </w:r>
          </w:p>
        </w:tc>
      </w:tr>
      <w:tr w:rsidR="23CFF325" w14:paraId="318B7781" w14:textId="77777777" w:rsidTr="1C0CDC3C">
        <w:trPr>
          <w:trHeight w:val="300"/>
        </w:trPr>
        <w:tc>
          <w:tcPr>
            <w:tcW w:w="2968" w:type="dxa"/>
            <w:tcBorders>
              <w:top w:val="single" w:sz="12" w:space="0" w:color="000000" w:themeColor="text1"/>
              <w:left w:val="nil"/>
              <w:bottom w:val="single" w:sz="6" w:space="0" w:color="000000" w:themeColor="text1"/>
              <w:right w:val="nil"/>
            </w:tcBorders>
            <w:tcMar>
              <w:left w:w="90" w:type="dxa"/>
              <w:right w:w="90" w:type="dxa"/>
            </w:tcMar>
          </w:tcPr>
          <w:p w14:paraId="589551DD" w14:textId="4745DCE1" w:rsidR="23CFF325" w:rsidRDefault="23CFF325" w:rsidP="23CFF325">
            <w:pPr>
              <w:rPr>
                <w:rFonts w:ascii="Times New Roman" w:eastAsia="Times New Roman" w:hAnsi="Times New Roman" w:cs="Times New Roman"/>
                <w:color w:val="000000" w:themeColor="text1"/>
              </w:rPr>
            </w:pPr>
          </w:p>
        </w:tc>
        <w:tc>
          <w:tcPr>
            <w:tcW w:w="2973" w:type="dxa"/>
            <w:tcBorders>
              <w:top w:val="single" w:sz="6" w:space="0" w:color="000000" w:themeColor="text1"/>
              <w:left w:val="nil"/>
              <w:bottom w:val="single" w:sz="6" w:space="0" w:color="000000" w:themeColor="text1"/>
              <w:right w:val="nil"/>
            </w:tcBorders>
            <w:tcMar>
              <w:left w:w="90" w:type="dxa"/>
              <w:right w:w="90" w:type="dxa"/>
            </w:tcMar>
          </w:tcPr>
          <w:p w14:paraId="7B48BFBB" w14:textId="7BFD54C4"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Counts</w:t>
            </w:r>
          </w:p>
        </w:tc>
        <w:tc>
          <w:tcPr>
            <w:tcW w:w="2415" w:type="dxa"/>
            <w:tcBorders>
              <w:top w:val="single" w:sz="12" w:space="0" w:color="000000" w:themeColor="text1"/>
              <w:left w:val="nil"/>
              <w:bottom w:val="single" w:sz="6" w:space="0" w:color="000000" w:themeColor="text1"/>
              <w:right w:val="nil"/>
            </w:tcBorders>
            <w:tcMar>
              <w:left w:w="90" w:type="dxa"/>
              <w:right w:w="90" w:type="dxa"/>
            </w:tcMar>
          </w:tcPr>
          <w:p w14:paraId="5000BABD" w14:textId="68771F71"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Percentage</w:t>
            </w:r>
          </w:p>
        </w:tc>
      </w:tr>
      <w:tr w:rsidR="23CFF325" w14:paraId="23BD1100" w14:textId="77777777" w:rsidTr="1C0CDC3C">
        <w:trPr>
          <w:trHeight w:val="300"/>
        </w:trPr>
        <w:tc>
          <w:tcPr>
            <w:tcW w:w="2968" w:type="dxa"/>
            <w:tcBorders>
              <w:top w:val="single" w:sz="6" w:space="0" w:color="000000" w:themeColor="text1"/>
              <w:left w:val="nil"/>
              <w:bottom w:val="single" w:sz="6" w:space="0" w:color="000000" w:themeColor="text1"/>
              <w:right w:val="nil"/>
            </w:tcBorders>
            <w:tcMar>
              <w:left w:w="90" w:type="dxa"/>
              <w:right w:w="90" w:type="dxa"/>
            </w:tcMar>
          </w:tcPr>
          <w:p w14:paraId="60708A27" w14:textId="56454625"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Article type</w:t>
            </w:r>
          </w:p>
        </w:tc>
        <w:tc>
          <w:tcPr>
            <w:tcW w:w="2973" w:type="dxa"/>
            <w:tcBorders>
              <w:top w:val="single" w:sz="6" w:space="0" w:color="000000" w:themeColor="text1"/>
              <w:left w:val="nil"/>
              <w:bottom w:val="single" w:sz="6" w:space="0" w:color="000000" w:themeColor="text1"/>
              <w:right w:val="nil"/>
            </w:tcBorders>
            <w:tcMar>
              <w:left w:w="90" w:type="dxa"/>
              <w:right w:w="90" w:type="dxa"/>
            </w:tcMar>
          </w:tcPr>
          <w:p w14:paraId="35E00FE6" w14:textId="48D8F230" w:rsidR="23CFF325" w:rsidRDefault="23CFF325" w:rsidP="23CFF325">
            <w:pPr>
              <w:rPr>
                <w:rFonts w:ascii="Times New Roman" w:eastAsia="Times New Roman" w:hAnsi="Times New Roman" w:cs="Times New Roman"/>
                <w:color w:val="000000" w:themeColor="text1"/>
              </w:rPr>
            </w:pPr>
          </w:p>
        </w:tc>
        <w:tc>
          <w:tcPr>
            <w:tcW w:w="2415" w:type="dxa"/>
            <w:tcBorders>
              <w:top w:val="single" w:sz="6" w:space="0" w:color="000000" w:themeColor="text1"/>
              <w:left w:val="nil"/>
              <w:bottom w:val="single" w:sz="6" w:space="0" w:color="000000" w:themeColor="text1"/>
              <w:right w:val="nil"/>
            </w:tcBorders>
            <w:tcMar>
              <w:left w:w="90" w:type="dxa"/>
              <w:right w:w="90" w:type="dxa"/>
            </w:tcMar>
          </w:tcPr>
          <w:p w14:paraId="09D7611B" w14:textId="12488DB7" w:rsidR="23CFF325" w:rsidRDefault="23CFF325" w:rsidP="23CFF325">
            <w:pPr>
              <w:rPr>
                <w:rFonts w:ascii="Times New Roman" w:eastAsia="Times New Roman" w:hAnsi="Times New Roman" w:cs="Times New Roman"/>
                <w:color w:val="000000" w:themeColor="text1"/>
              </w:rPr>
            </w:pPr>
          </w:p>
        </w:tc>
      </w:tr>
      <w:tr w:rsidR="23CFF325" w14:paraId="5B413E93" w14:textId="77777777" w:rsidTr="1C0CDC3C">
        <w:trPr>
          <w:trHeight w:val="300"/>
        </w:trPr>
        <w:tc>
          <w:tcPr>
            <w:tcW w:w="2968" w:type="dxa"/>
            <w:tcBorders>
              <w:top w:val="single" w:sz="6" w:space="0" w:color="000000" w:themeColor="text1"/>
              <w:left w:val="nil"/>
              <w:bottom w:val="nil"/>
              <w:right w:val="nil"/>
            </w:tcBorders>
            <w:tcMar>
              <w:left w:w="90" w:type="dxa"/>
              <w:right w:w="90" w:type="dxa"/>
            </w:tcMar>
          </w:tcPr>
          <w:p w14:paraId="086214A2" w14:textId="7BC0029F"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Projected impact</w:t>
            </w:r>
          </w:p>
        </w:tc>
        <w:tc>
          <w:tcPr>
            <w:tcW w:w="2973" w:type="dxa"/>
            <w:tcBorders>
              <w:top w:val="single" w:sz="6" w:space="0" w:color="000000" w:themeColor="text1"/>
              <w:left w:val="nil"/>
              <w:bottom w:val="nil"/>
              <w:right w:val="nil"/>
            </w:tcBorders>
            <w:tcMar>
              <w:left w:w="90" w:type="dxa"/>
              <w:right w:w="90" w:type="dxa"/>
            </w:tcMar>
          </w:tcPr>
          <w:p w14:paraId="06BC112A" w14:textId="05823FF4"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60</w:t>
            </w:r>
          </w:p>
        </w:tc>
        <w:tc>
          <w:tcPr>
            <w:tcW w:w="2415" w:type="dxa"/>
            <w:tcBorders>
              <w:top w:val="single" w:sz="6" w:space="0" w:color="000000" w:themeColor="text1"/>
              <w:left w:val="nil"/>
              <w:bottom w:val="nil"/>
              <w:right w:val="nil"/>
            </w:tcBorders>
            <w:tcMar>
              <w:left w:w="90" w:type="dxa"/>
              <w:right w:w="90" w:type="dxa"/>
            </w:tcMar>
          </w:tcPr>
          <w:p w14:paraId="628CBC0D" w14:textId="4F616411"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48</w:t>
            </w:r>
          </w:p>
        </w:tc>
      </w:tr>
      <w:tr w:rsidR="23CFF325" w14:paraId="702D3C11" w14:textId="77777777" w:rsidTr="1C0CDC3C">
        <w:trPr>
          <w:trHeight w:val="300"/>
        </w:trPr>
        <w:tc>
          <w:tcPr>
            <w:tcW w:w="2968" w:type="dxa"/>
            <w:tcBorders>
              <w:top w:val="nil"/>
              <w:left w:val="nil"/>
              <w:bottom w:val="nil"/>
              <w:right w:val="nil"/>
            </w:tcBorders>
            <w:tcMar>
              <w:left w:w="90" w:type="dxa"/>
              <w:right w:w="90" w:type="dxa"/>
            </w:tcMar>
          </w:tcPr>
          <w:p w14:paraId="39718DC4" w14:textId="2584D946"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Actual impact</w:t>
            </w:r>
          </w:p>
        </w:tc>
        <w:tc>
          <w:tcPr>
            <w:tcW w:w="2973" w:type="dxa"/>
            <w:tcBorders>
              <w:top w:val="nil"/>
              <w:left w:val="nil"/>
              <w:bottom w:val="nil"/>
              <w:right w:val="nil"/>
            </w:tcBorders>
            <w:tcMar>
              <w:left w:w="90" w:type="dxa"/>
              <w:right w:w="90" w:type="dxa"/>
            </w:tcMar>
          </w:tcPr>
          <w:p w14:paraId="5D11E676" w14:textId="6E328B9F"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64</w:t>
            </w:r>
          </w:p>
        </w:tc>
        <w:tc>
          <w:tcPr>
            <w:tcW w:w="2415" w:type="dxa"/>
            <w:tcBorders>
              <w:top w:val="nil"/>
              <w:left w:val="nil"/>
              <w:bottom w:val="nil"/>
              <w:right w:val="nil"/>
            </w:tcBorders>
            <w:tcMar>
              <w:left w:w="90" w:type="dxa"/>
              <w:right w:w="90" w:type="dxa"/>
            </w:tcMar>
          </w:tcPr>
          <w:p w14:paraId="14B639EC" w14:textId="33067B8B" w:rsidR="23CFF325"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52</w:t>
            </w:r>
          </w:p>
        </w:tc>
      </w:tr>
      <w:tr w:rsidR="20E601FE" w14:paraId="59FE743D" w14:textId="77777777" w:rsidTr="1C0CDC3C">
        <w:trPr>
          <w:trHeight w:val="300"/>
        </w:trPr>
        <w:tc>
          <w:tcPr>
            <w:tcW w:w="2968" w:type="dxa"/>
            <w:tcBorders>
              <w:top w:val="nil"/>
              <w:left w:val="nil"/>
              <w:bottom w:val="nil"/>
              <w:right w:val="nil"/>
            </w:tcBorders>
            <w:tcMar>
              <w:left w:w="90" w:type="dxa"/>
              <w:right w:w="90" w:type="dxa"/>
            </w:tcMar>
          </w:tcPr>
          <w:p w14:paraId="5DADC682" w14:textId="32E63727" w:rsidR="20E601FE"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Total</w:t>
            </w:r>
          </w:p>
        </w:tc>
        <w:tc>
          <w:tcPr>
            <w:tcW w:w="2973" w:type="dxa"/>
            <w:tcBorders>
              <w:top w:val="nil"/>
              <w:left w:val="nil"/>
              <w:bottom w:val="nil"/>
              <w:right w:val="nil"/>
            </w:tcBorders>
            <w:tcMar>
              <w:left w:w="90" w:type="dxa"/>
              <w:right w:w="90" w:type="dxa"/>
            </w:tcMar>
          </w:tcPr>
          <w:p w14:paraId="5CF3B109" w14:textId="1CC85424" w:rsidR="20E601FE"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124</w:t>
            </w:r>
          </w:p>
        </w:tc>
        <w:tc>
          <w:tcPr>
            <w:tcW w:w="2415" w:type="dxa"/>
            <w:tcBorders>
              <w:top w:val="nil"/>
              <w:left w:val="nil"/>
              <w:bottom w:val="nil"/>
              <w:right w:val="nil"/>
            </w:tcBorders>
            <w:tcMar>
              <w:left w:w="90" w:type="dxa"/>
              <w:right w:w="90" w:type="dxa"/>
            </w:tcMar>
          </w:tcPr>
          <w:p w14:paraId="3BB2F679" w14:textId="009D3206" w:rsidR="20E601FE"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100</w:t>
            </w:r>
          </w:p>
        </w:tc>
      </w:tr>
      <w:tr w:rsidR="23CFF325" w14:paraId="4FA0993A" w14:textId="77777777" w:rsidTr="1C0CDC3C">
        <w:trPr>
          <w:trHeight w:val="300"/>
        </w:trPr>
        <w:tc>
          <w:tcPr>
            <w:tcW w:w="2968" w:type="dxa"/>
            <w:tcBorders>
              <w:top w:val="nil"/>
              <w:left w:val="nil"/>
              <w:bottom w:val="single" w:sz="6" w:space="0" w:color="000000" w:themeColor="text1"/>
              <w:right w:val="nil"/>
            </w:tcBorders>
            <w:tcMar>
              <w:left w:w="90" w:type="dxa"/>
              <w:right w:w="90" w:type="dxa"/>
            </w:tcMar>
          </w:tcPr>
          <w:p w14:paraId="480694F6" w14:textId="6212254F" w:rsidR="23CFF325"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Education level</w:t>
            </w:r>
          </w:p>
        </w:tc>
        <w:tc>
          <w:tcPr>
            <w:tcW w:w="2973" w:type="dxa"/>
            <w:tcBorders>
              <w:top w:val="nil"/>
              <w:left w:val="nil"/>
              <w:bottom w:val="single" w:sz="6" w:space="0" w:color="000000" w:themeColor="text1"/>
              <w:right w:val="nil"/>
            </w:tcBorders>
            <w:tcMar>
              <w:left w:w="90" w:type="dxa"/>
              <w:right w:w="90" w:type="dxa"/>
            </w:tcMar>
          </w:tcPr>
          <w:p w14:paraId="08FE728D" w14:textId="7B60F7DA" w:rsidR="23CFF325" w:rsidRDefault="23CFF325" w:rsidP="23CFF325">
            <w:pPr>
              <w:rPr>
                <w:rFonts w:ascii="Times New Roman" w:eastAsia="Times New Roman" w:hAnsi="Times New Roman" w:cs="Times New Roman"/>
                <w:color w:val="000000" w:themeColor="text1"/>
              </w:rPr>
            </w:pPr>
          </w:p>
        </w:tc>
        <w:tc>
          <w:tcPr>
            <w:tcW w:w="2415" w:type="dxa"/>
            <w:tcBorders>
              <w:top w:val="nil"/>
              <w:left w:val="nil"/>
              <w:bottom w:val="single" w:sz="6" w:space="0" w:color="000000" w:themeColor="text1"/>
              <w:right w:val="nil"/>
            </w:tcBorders>
            <w:tcMar>
              <w:left w:w="90" w:type="dxa"/>
              <w:right w:w="90" w:type="dxa"/>
            </w:tcMar>
          </w:tcPr>
          <w:p w14:paraId="0CDA997F" w14:textId="22DABD7C" w:rsidR="23CFF325" w:rsidRDefault="23CFF325" w:rsidP="23CFF325">
            <w:pPr>
              <w:rPr>
                <w:rFonts w:ascii="Times New Roman" w:eastAsia="Times New Roman" w:hAnsi="Times New Roman" w:cs="Times New Roman"/>
                <w:color w:val="000000" w:themeColor="text1"/>
              </w:rPr>
            </w:pPr>
          </w:p>
        </w:tc>
      </w:tr>
      <w:tr w:rsidR="23CFF325" w14:paraId="5A08EA6E" w14:textId="77777777" w:rsidTr="1C0CDC3C">
        <w:trPr>
          <w:trHeight w:val="300"/>
        </w:trPr>
        <w:tc>
          <w:tcPr>
            <w:tcW w:w="2968" w:type="dxa"/>
            <w:tcBorders>
              <w:top w:val="single" w:sz="6" w:space="0" w:color="000000" w:themeColor="text1"/>
              <w:left w:val="nil"/>
              <w:bottom w:val="nil"/>
              <w:right w:val="nil"/>
            </w:tcBorders>
            <w:tcMar>
              <w:left w:w="90" w:type="dxa"/>
              <w:right w:w="90" w:type="dxa"/>
            </w:tcMar>
          </w:tcPr>
          <w:p w14:paraId="79B86C29" w14:textId="4A363DD7"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Higher education</w:t>
            </w:r>
          </w:p>
        </w:tc>
        <w:tc>
          <w:tcPr>
            <w:tcW w:w="2973" w:type="dxa"/>
            <w:tcBorders>
              <w:top w:val="single" w:sz="6" w:space="0" w:color="000000" w:themeColor="text1"/>
              <w:left w:val="nil"/>
              <w:bottom w:val="nil"/>
              <w:right w:val="nil"/>
            </w:tcBorders>
            <w:tcMar>
              <w:left w:w="90" w:type="dxa"/>
              <w:right w:w="90" w:type="dxa"/>
            </w:tcMar>
          </w:tcPr>
          <w:p w14:paraId="074611C7" w14:textId="234DF77E"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65</w:t>
            </w:r>
          </w:p>
        </w:tc>
        <w:tc>
          <w:tcPr>
            <w:tcW w:w="2415" w:type="dxa"/>
            <w:tcBorders>
              <w:top w:val="single" w:sz="6" w:space="0" w:color="000000" w:themeColor="text1"/>
              <w:left w:val="nil"/>
              <w:bottom w:val="nil"/>
              <w:right w:val="nil"/>
            </w:tcBorders>
            <w:tcMar>
              <w:left w:w="90" w:type="dxa"/>
              <w:right w:w="90" w:type="dxa"/>
            </w:tcMar>
          </w:tcPr>
          <w:p w14:paraId="6525FF09" w14:textId="781DF7AE" w:rsidR="23CFF325" w:rsidRDefault="37E73B96" w:rsidP="37E73B96">
            <w:pPr>
              <w:rPr>
                <w:rFonts w:ascii="Times New Roman" w:eastAsia="Times New Roman" w:hAnsi="Times New Roman" w:cs="Times New Roman"/>
                <w:color w:val="000000" w:themeColor="text1"/>
              </w:rPr>
            </w:pPr>
            <w:r w:rsidRPr="37E73B96">
              <w:rPr>
                <w:rFonts w:ascii="Times New Roman" w:eastAsia="Times New Roman" w:hAnsi="Times New Roman" w:cs="Times New Roman"/>
                <w:color w:val="000000" w:themeColor="text1"/>
              </w:rPr>
              <w:t>51</w:t>
            </w:r>
          </w:p>
        </w:tc>
      </w:tr>
      <w:tr w:rsidR="23CFF325" w14:paraId="77B148C4" w14:textId="77777777" w:rsidTr="1C0CDC3C">
        <w:trPr>
          <w:trHeight w:val="300"/>
        </w:trPr>
        <w:tc>
          <w:tcPr>
            <w:tcW w:w="2968" w:type="dxa"/>
            <w:tcBorders>
              <w:top w:val="nil"/>
              <w:left w:val="nil"/>
              <w:bottom w:val="nil"/>
              <w:right w:val="nil"/>
            </w:tcBorders>
            <w:tcMar>
              <w:left w:w="90" w:type="dxa"/>
              <w:right w:w="90" w:type="dxa"/>
            </w:tcMar>
          </w:tcPr>
          <w:p w14:paraId="117A6E3B" w14:textId="2820D0D0"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Secondary school</w:t>
            </w:r>
          </w:p>
        </w:tc>
        <w:tc>
          <w:tcPr>
            <w:tcW w:w="2973" w:type="dxa"/>
            <w:tcBorders>
              <w:top w:val="nil"/>
              <w:left w:val="nil"/>
              <w:bottom w:val="nil"/>
              <w:right w:val="nil"/>
            </w:tcBorders>
            <w:tcMar>
              <w:left w:w="90" w:type="dxa"/>
              <w:right w:w="90" w:type="dxa"/>
            </w:tcMar>
          </w:tcPr>
          <w:p w14:paraId="3CD487CA" w14:textId="194C4CD4"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59</w:t>
            </w:r>
          </w:p>
        </w:tc>
        <w:tc>
          <w:tcPr>
            <w:tcW w:w="2415" w:type="dxa"/>
            <w:tcBorders>
              <w:top w:val="nil"/>
              <w:left w:val="nil"/>
              <w:bottom w:val="nil"/>
              <w:right w:val="nil"/>
            </w:tcBorders>
            <w:tcMar>
              <w:left w:w="90" w:type="dxa"/>
              <w:right w:w="90" w:type="dxa"/>
            </w:tcMar>
          </w:tcPr>
          <w:p w14:paraId="600DDED7" w14:textId="5FF2CC27" w:rsidR="23CFF325"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47</w:t>
            </w:r>
          </w:p>
        </w:tc>
      </w:tr>
      <w:tr w:rsidR="23CFF325" w14:paraId="35B4B730" w14:textId="77777777" w:rsidTr="1C0CDC3C">
        <w:trPr>
          <w:trHeight w:val="300"/>
        </w:trPr>
        <w:tc>
          <w:tcPr>
            <w:tcW w:w="2968" w:type="dxa"/>
            <w:tcBorders>
              <w:top w:val="nil"/>
              <w:left w:val="nil"/>
              <w:bottom w:val="nil"/>
              <w:right w:val="nil"/>
            </w:tcBorders>
            <w:tcMar>
              <w:left w:w="90" w:type="dxa"/>
              <w:right w:w="90" w:type="dxa"/>
            </w:tcMar>
          </w:tcPr>
          <w:p w14:paraId="6AD93367" w14:textId="666B0B1C"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Primary school</w:t>
            </w:r>
          </w:p>
        </w:tc>
        <w:tc>
          <w:tcPr>
            <w:tcW w:w="2973" w:type="dxa"/>
            <w:tcBorders>
              <w:top w:val="nil"/>
              <w:left w:val="nil"/>
              <w:bottom w:val="nil"/>
              <w:right w:val="nil"/>
            </w:tcBorders>
            <w:tcMar>
              <w:left w:w="90" w:type="dxa"/>
              <w:right w:w="90" w:type="dxa"/>
            </w:tcMar>
          </w:tcPr>
          <w:p w14:paraId="4CF758A8" w14:textId="4C4B0351"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2</w:t>
            </w:r>
          </w:p>
        </w:tc>
        <w:tc>
          <w:tcPr>
            <w:tcW w:w="2415" w:type="dxa"/>
            <w:tcBorders>
              <w:top w:val="nil"/>
              <w:left w:val="nil"/>
              <w:bottom w:val="nil"/>
              <w:right w:val="nil"/>
            </w:tcBorders>
            <w:tcMar>
              <w:left w:w="90" w:type="dxa"/>
              <w:right w:w="90" w:type="dxa"/>
            </w:tcMar>
          </w:tcPr>
          <w:p w14:paraId="06F13164" w14:textId="70DD0DE8"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1.6</w:t>
            </w:r>
          </w:p>
        </w:tc>
      </w:tr>
      <w:tr w:rsidR="23CFF325" w14:paraId="3D4A24FF" w14:textId="77777777" w:rsidTr="1C0CDC3C">
        <w:trPr>
          <w:trHeight w:val="300"/>
        </w:trPr>
        <w:tc>
          <w:tcPr>
            <w:tcW w:w="2968" w:type="dxa"/>
            <w:tcBorders>
              <w:top w:val="nil"/>
              <w:left w:val="nil"/>
              <w:bottom w:val="nil"/>
              <w:right w:val="nil"/>
            </w:tcBorders>
            <w:tcMar>
              <w:left w:w="90" w:type="dxa"/>
              <w:right w:w="90" w:type="dxa"/>
            </w:tcMar>
          </w:tcPr>
          <w:p w14:paraId="5763DB47" w14:textId="7C1822C2"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Total</w:t>
            </w:r>
          </w:p>
        </w:tc>
        <w:tc>
          <w:tcPr>
            <w:tcW w:w="2973" w:type="dxa"/>
            <w:tcBorders>
              <w:top w:val="nil"/>
              <w:left w:val="nil"/>
              <w:bottom w:val="nil"/>
              <w:right w:val="nil"/>
            </w:tcBorders>
            <w:tcMar>
              <w:left w:w="90" w:type="dxa"/>
              <w:right w:w="90" w:type="dxa"/>
            </w:tcMar>
          </w:tcPr>
          <w:p w14:paraId="702C60B8" w14:textId="7CD0E45A"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124</w:t>
            </w:r>
          </w:p>
        </w:tc>
        <w:tc>
          <w:tcPr>
            <w:tcW w:w="2415" w:type="dxa"/>
            <w:tcBorders>
              <w:top w:val="nil"/>
              <w:left w:val="nil"/>
              <w:bottom w:val="nil"/>
              <w:right w:val="nil"/>
            </w:tcBorders>
            <w:tcMar>
              <w:left w:w="90" w:type="dxa"/>
              <w:right w:w="90" w:type="dxa"/>
            </w:tcMar>
          </w:tcPr>
          <w:p w14:paraId="485CA351" w14:textId="7E1FA11D"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100</w:t>
            </w:r>
          </w:p>
        </w:tc>
      </w:tr>
      <w:tr w:rsidR="23CFF325" w14:paraId="03683EB6" w14:textId="77777777" w:rsidTr="1C0CDC3C">
        <w:trPr>
          <w:trHeight w:val="300"/>
        </w:trPr>
        <w:tc>
          <w:tcPr>
            <w:tcW w:w="2968" w:type="dxa"/>
            <w:tcBorders>
              <w:top w:val="single" w:sz="6" w:space="0" w:color="000000" w:themeColor="text1"/>
              <w:left w:val="nil"/>
              <w:bottom w:val="nil"/>
              <w:right w:val="nil"/>
            </w:tcBorders>
            <w:tcMar>
              <w:left w:w="90" w:type="dxa"/>
              <w:right w:w="90" w:type="dxa"/>
            </w:tcMar>
          </w:tcPr>
          <w:p w14:paraId="17CF3A03" w14:textId="6F4BD617"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North Central (NC)</w:t>
            </w:r>
          </w:p>
        </w:tc>
        <w:tc>
          <w:tcPr>
            <w:tcW w:w="2973" w:type="dxa"/>
            <w:tcBorders>
              <w:top w:val="single" w:sz="6" w:space="0" w:color="000000" w:themeColor="text1"/>
              <w:left w:val="nil"/>
              <w:bottom w:val="nil"/>
              <w:right w:val="nil"/>
            </w:tcBorders>
            <w:tcMar>
              <w:left w:w="90" w:type="dxa"/>
              <w:right w:w="90" w:type="dxa"/>
            </w:tcMar>
          </w:tcPr>
          <w:p w14:paraId="72AC9BE3" w14:textId="59F62A10"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9</w:t>
            </w:r>
          </w:p>
        </w:tc>
        <w:tc>
          <w:tcPr>
            <w:tcW w:w="2415" w:type="dxa"/>
            <w:tcBorders>
              <w:top w:val="single" w:sz="6" w:space="0" w:color="000000" w:themeColor="text1"/>
              <w:left w:val="nil"/>
              <w:bottom w:val="nil"/>
              <w:right w:val="nil"/>
            </w:tcBorders>
            <w:tcMar>
              <w:left w:w="90" w:type="dxa"/>
              <w:right w:w="90" w:type="dxa"/>
            </w:tcMar>
          </w:tcPr>
          <w:p w14:paraId="2046E578" w14:textId="4FA5C24B"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7</w:t>
            </w:r>
          </w:p>
        </w:tc>
      </w:tr>
      <w:tr w:rsidR="23CFF325" w14:paraId="785C453F" w14:textId="77777777" w:rsidTr="1C0CDC3C">
        <w:trPr>
          <w:trHeight w:val="300"/>
        </w:trPr>
        <w:tc>
          <w:tcPr>
            <w:tcW w:w="2968" w:type="dxa"/>
            <w:tcBorders>
              <w:top w:val="nil"/>
              <w:left w:val="nil"/>
              <w:bottom w:val="nil"/>
              <w:right w:val="nil"/>
            </w:tcBorders>
            <w:tcMar>
              <w:left w:w="90" w:type="dxa"/>
              <w:right w:w="90" w:type="dxa"/>
            </w:tcMar>
          </w:tcPr>
          <w:p w14:paraId="0DEA02C4" w14:textId="3443BC57" w:rsidR="23CFF325"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North-East (NE)</w:t>
            </w:r>
          </w:p>
        </w:tc>
        <w:tc>
          <w:tcPr>
            <w:tcW w:w="2973" w:type="dxa"/>
            <w:tcBorders>
              <w:top w:val="nil"/>
              <w:left w:val="nil"/>
              <w:bottom w:val="nil"/>
              <w:right w:val="nil"/>
            </w:tcBorders>
            <w:tcMar>
              <w:left w:w="90" w:type="dxa"/>
              <w:right w:w="90" w:type="dxa"/>
            </w:tcMar>
          </w:tcPr>
          <w:p w14:paraId="405A17F7" w14:textId="3F2FE1C5"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11</w:t>
            </w:r>
          </w:p>
        </w:tc>
        <w:tc>
          <w:tcPr>
            <w:tcW w:w="2415" w:type="dxa"/>
            <w:tcBorders>
              <w:top w:val="nil"/>
              <w:left w:val="nil"/>
              <w:bottom w:val="nil"/>
              <w:right w:val="nil"/>
            </w:tcBorders>
            <w:tcMar>
              <w:left w:w="90" w:type="dxa"/>
              <w:right w:w="90" w:type="dxa"/>
            </w:tcMar>
          </w:tcPr>
          <w:p w14:paraId="6632ADEA" w14:textId="641820B0"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9</w:t>
            </w:r>
          </w:p>
        </w:tc>
      </w:tr>
      <w:tr w:rsidR="23CFF325" w14:paraId="083D33E7" w14:textId="77777777" w:rsidTr="1C0CDC3C">
        <w:trPr>
          <w:trHeight w:val="300"/>
        </w:trPr>
        <w:tc>
          <w:tcPr>
            <w:tcW w:w="2968" w:type="dxa"/>
            <w:tcBorders>
              <w:top w:val="nil"/>
              <w:left w:val="nil"/>
              <w:bottom w:val="nil"/>
              <w:right w:val="nil"/>
            </w:tcBorders>
            <w:tcMar>
              <w:left w:w="90" w:type="dxa"/>
              <w:right w:w="90" w:type="dxa"/>
            </w:tcMar>
          </w:tcPr>
          <w:p w14:paraId="4D30BAB8" w14:textId="1731A55D" w:rsidR="23CFF325"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North-West (NW)</w:t>
            </w:r>
          </w:p>
        </w:tc>
        <w:tc>
          <w:tcPr>
            <w:tcW w:w="2973" w:type="dxa"/>
            <w:tcBorders>
              <w:top w:val="nil"/>
              <w:left w:val="nil"/>
              <w:bottom w:val="nil"/>
              <w:right w:val="nil"/>
            </w:tcBorders>
            <w:tcMar>
              <w:left w:w="90" w:type="dxa"/>
              <w:right w:w="90" w:type="dxa"/>
            </w:tcMar>
          </w:tcPr>
          <w:p w14:paraId="2679A6ED" w14:textId="35D1F162"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4</w:t>
            </w:r>
          </w:p>
        </w:tc>
        <w:tc>
          <w:tcPr>
            <w:tcW w:w="2415" w:type="dxa"/>
            <w:tcBorders>
              <w:top w:val="nil"/>
              <w:left w:val="nil"/>
              <w:bottom w:val="nil"/>
              <w:right w:val="nil"/>
            </w:tcBorders>
            <w:tcMar>
              <w:left w:w="90" w:type="dxa"/>
              <w:right w:w="90" w:type="dxa"/>
            </w:tcMar>
          </w:tcPr>
          <w:p w14:paraId="7F6A0D9F" w14:textId="0550A1E8"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3</w:t>
            </w:r>
          </w:p>
        </w:tc>
      </w:tr>
      <w:tr w:rsidR="23CFF325" w14:paraId="66A2AA2D" w14:textId="77777777" w:rsidTr="1C0CDC3C">
        <w:trPr>
          <w:trHeight w:val="300"/>
        </w:trPr>
        <w:tc>
          <w:tcPr>
            <w:tcW w:w="2968" w:type="dxa"/>
            <w:tcBorders>
              <w:top w:val="nil"/>
              <w:left w:val="nil"/>
              <w:bottom w:val="nil"/>
              <w:right w:val="nil"/>
            </w:tcBorders>
            <w:tcMar>
              <w:left w:w="90" w:type="dxa"/>
              <w:right w:w="90" w:type="dxa"/>
            </w:tcMar>
          </w:tcPr>
          <w:p w14:paraId="4A6DACC6" w14:textId="4019B6F9" w:rsidR="23CFF325"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South-West (SW)</w:t>
            </w:r>
          </w:p>
        </w:tc>
        <w:tc>
          <w:tcPr>
            <w:tcW w:w="2973" w:type="dxa"/>
            <w:tcBorders>
              <w:top w:val="nil"/>
              <w:left w:val="nil"/>
              <w:bottom w:val="nil"/>
              <w:right w:val="nil"/>
            </w:tcBorders>
            <w:tcMar>
              <w:left w:w="90" w:type="dxa"/>
              <w:right w:w="90" w:type="dxa"/>
            </w:tcMar>
          </w:tcPr>
          <w:p w14:paraId="3DE1ADBA" w14:textId="7AA4DC73"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40</w:t>
            </w:r>
          </w:p>
        </w:tc>
        <w:tc>
          <w:tcPr>
            <w:tcW w:w="2415" w:type="dxa"/>
            <w:tcBorders>
              <w:top w:val="nil"/>
              <w:left w:val="nil"/>
              <w:bottom w:val="nil"/>
              <w:right w:val="nil"/>
            </w:tcBorders>
            <w:tcMar>
              <w:left w:w="90" w:type="dxa"/>
              <w:right w:w="90" w:type="dxa"/>
            </w:tcMar>
          </w:tcPr>
          <w:p w14:paraId="0FCB0DE1" w14:textId="431E4D2E"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32</w:t>
            </w:r>
          </w:p>
        </w:tc>
      </w:tr>
      <w:tr w:rsidR="23CFF325" w14:paraId="28ACAD8D" w14:textId="77777777" w:rsidTr="1C0CDC3C">
        <w:trPr>
          <w:trHeight w:val="300"/>
        </w:trPr>
        <w:tc>
          <w:tcPr>
            <w:tcW w:w="2968" w:type="dxa"/>
            <w:tcBorders>
              <w:top w:val="nil"/>
              <w:left w:val="nil"/>
              <w:bottom w:val="nil"/>
              <w:right w:val="nil"/>
            </w:tcBorders>
            <w:tcMar>
              <w:left w:w="90" w:type="dxa"/>
              <w:right w:w="90" w:type="dxa"/>
            </w:tcMar>
          </w:tcPr>
          <w:p w14:paraId="442A6EC1" w14:textId="512B4914" w:rsidR="23CFF325" w:rsidRDefault="20E601FE" w:rsidP="20E601FE">
            <w:pPr>
              <w:rPr>
                <w:rFonts w:ascii="Times New Roman" w:eastAsia="Times New Roman" w:hAnsi="Times New Roman" w:cs="Times New Roman"/>
                <w:color w:val="000000" w:themeColor="text1"/>
              </w:rPr>
            </w:pPr>
            <w:r w:rsidRPr="20E601FE">
              <w:rPr>
                <w:rFonts w:ascii="Times New Roman" w:eastAsia="Times New Roman" w:hAnsi="Times New Roman" w:cs="Times New Roman"/>
                <w:color w:val="000000" w:themeColor="text1"/>
              </w:rPr>
              <w:t>South-East (SE)</w:t>
            </w:r>
          </w:p>
        </w:tc>
        <w:tc>
          <w:tcPr>
            <w:tcW w:w="2973" w:type="dxa"/>
            <w:tcBorders>
              <w:top w:val="nil"/>
              <w:left w:val="nil"/>
              <w:bottom w:val="nil"/>
              <w:right w:val="nil"/>
            </w:tcBorders>
            <w:tcMar>
              <w:left w:w="90" w:type="dxa"/>
              <w:right w:w="90" w:type="dxa"/>
            </w:tcMar>
          </w:tcPr>
          <w:p w14:paraId="77896738" w14:textId="63BD7BBB"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16</w:t>
            </w:r>
          </w:p>
        </w:tc>
        <w:tc>
          <w:tcPr>
            <w:tcW w:w="2415" w:type="dxa"/>
            <w:tcBorders>
              <w:top w:val="nil"/>
              <w:left w:val="nil"/>
              <w:bottom w:val="nil"/>
              <w:right w:val="nil"/>
            </w:tcBorders>
            <w:tcMar>
              <w:left w:w="90" w:type="dxa"/>
              <w:right w:w="90" w:type="dxa"/>
            </w:tcMar>
          </w:tcPr>
          <w:p w14:paraId="1E7319E4" w14:textId="3A4FE171"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13</w:t>
            </w:r>
          </w:p>
        </w:tc>
      </w:tr>
      <w:tr w:rsidR="23CFF325" w14:paraId="3076F9FD" w14:textId="77777777" w:rsidTr="1C0CDC3C">
        <w:trPr>
          <w:trHeight w:val="300"/>
        </w:trPr>
        <w:tc>
          <w:tcPr>
            <w:tcW w:w="2968" w:type="dxa"/>
            <w:tcBorders>
              <w:top w:val="nil"/>
              <w:left w:val="nil"/>
              <w:bottom w:val="nil"/>
              <w:right w:val="nil"/>
            </w:tcBorders>
            <w:tcMar>
              <w:left w:w="90" w:type="dxa"/>
              <w:right w:w="90" w:type="dxa"/>
            </w:tcMar>
          </w:tcPr>
          <w:p w14:paraId="27D8A2BC" w14:textId="1F5CB7A8"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South-South (SS)</w:t>
            </w:r>
          </w:p>
        </w:tc>
        <w:tc>
          <w:tcPr>
            <w:tcW w:w="2973" w:type="dxa"/>
            <w:tcBorders>
              <w:top w:val="nil"/>
              <w:left w:val="nil"/>
              <w:bottom w:val="nil"/>
              <w:right w:val="nil"/>
            </w:tcBorders>
            <w:tcMar>
              <w:left w:w="90" w:type="dxa"/>
              <w:right w:w="90" w:type="dxa"/>
            </w:tcMar>
          </w:tcPr>
          <w:p w14:paraId="6C2B10EA" w14:textId="09F75E5C"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26</w:t>
            </w:r>
          </w:p>
        </w:tc>
        <w:tc>
          <w:tcPr>
            <w:tcW w:w="2415" w:type="dxa"/>
            <w:tcBorders>
              <w:top w:val="nil"/>
              <w:left w:val="nil"/>
              <w:bottom w:val="nil"/>
              <w:right w:val="nil"/>
            </w:tcBorders>
            <w:tcMar>
              <w:left w:w="90" w:type="dxa"/>
              <w:right w:w="90" w:type="dxa"/>
            </w:tcMar>
          </w:tcPr>
          <w:p w14:paraId="22D66262" w14:textId="56AF2972"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21</w:t>
            </w:r>
          </w:p>
        </w:tc>
      </w:tr>
      <w:tr w:rsidR="23CFF325" w14:paraId="1BD5F906" w14:textId="77777777" w:rsidTr="1C0CDC3C">
        <w:trPr>
          <w:trHeight w:val="300"/>
        </w:trPr>
        <w:tc>
          <w:tcPr>
            <w:tcW w:w="2968" w:type="dxa"/>
            <w:tcBorders>
              <w:top w:val="nil"/>
              <w:left w:val="nil"/>
              <w:bottom w:val="nil"/>
              <w:right w:val="nil"/>
            </w:tcBorders>
            <w:tcMar>
              <w:left w:w="90" w:type="dxa"/>
              <w:right w:w="90" w:type="dxa"/>
            </w:tcMar>
          </w:tcPr>
          <w:p w14:paraId="5B641CD7" w14:textId="3EF42DE4"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Non-region specific*</w:t>
            </w:r>
          </w:p>
        </w:tc>
        <w:tc>
          <w:tcPr>
            <w:tcW w:w="2973" w:type="dxa"/>
            <w:tcBorders>
              <w:top w:val="nil"/>
              <w:left w:val="nil"/>
              <w:bottom w:val="nil"/>
              <w:right w:val="nil"/>
            </w:tcBorders>
            <w:tcMar>
              <w:left w:w="90" w:type="dxa"/>
              <w:right w:w="90" w:type="dxa"/>
            </w:tcMar>
          </w:tcPr>
          <w:p w14:paraId="7CE9E970" w14:textId="04AC00FA"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18</w:t>
            </w:r>
          </w:p>
        </w:tc>
        <w:tc>
          <w:tcPr>
            <w:tcW w:w="2415" w:type="dxa"/>
            <w:tcBorders>
              <w:top w:val="nil"/>
              <w:left w:val="nil"/>
              <w:bottom w:val="nil"/>
              <w:right w:val="nil"/>
            </w:tcBorders>
            <w:tcMar>
              <w:left w:w="90" w:type="dxa"/>
              <w:right w:w="90" w:type="dxa"/>
            </w:tcMar>
          </w:tcPr>
          <w:p w14:paraId="27B8BF4D" w14:textId="03885F97"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15</w:t>
            </w:r>
          </w:p>
        </w:tc>
      </w:tr>
      <w:tr w:rsidR="23CFF325" w14:paraId="3CE0592F" w14:textId="77777777" w:rsidTr="1C0CDC3C">
        <w:trPr>
          <w:trHeight w:val="300"/>
        </w:trPr>
        <w:tc>
          <w:tcPr>
            <w:tcW w:w="2968" w:type="dxa"/>
            <w:tcBorders>
              <w:top w:val="nil"/>
              <w:left w:val="nil"/>
              <w:bottom w:val="single" w:sz="12" w:space="0" w:color="000000" w:themeColor="text1"/>
              <w:right w:val="nil"/>
            </w:tcBorders>
            <w:tcMar>
              <w:left w:w="90" w:type="dxa"/>
              <w:right w:w="90" w:type="dxa"/>
            </w:tcMar>
          </w:tcPr>
          <w:p w14:paraId="4F4729FB" w14:textId="2E5A8834"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Total</w:t>
            </w:r>
          </w:p>
        </w:tc>
        <w:tc>
          <w:tcPr>
            <w:tcW w:w="2973" w:type="dxa"/>
            <w:tcBorders>
              <w:top w:val="nil"/>
              <w:left w:val="nil"/>
              <w:bottom w:val="single" w:sz="12" w:space="0" w:color="000000" w:themeColor="text1"/>
              <w:right w:val="nil"/>
            </w:tcBorders>
            <w:tcMar>
              <w:left w:w="90" w:type="dxa"/>
              <w:right w:w="90" w:type="dxa"/>
            </w:tcMar>
          </w:tcPr>
          <w:p w14:paraId="06DF7AA1" w14:textId="11FEC7EE"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124</w:t>
            </w:r>
          </w:p>
        </w:tc>
        <w:tc>
          <w:tcPr>
            <w:tcW w:w="2415" w:type="dxa"/>
            <w:tcBorders>
              <w:top w:val="nil"/>
              <w:left w:val="nil"/>
              <w:bottom w:val="single" w:sz="12" w:space="0" w:color="000000" w:themeColor="text1"/>
              <w:right w:val="nil"/>
            </w:tcBorders>
            <w:tcMar>
              <w:left w:w="90" w:type="dxa"/>
              <w:right w:w="90" w:type="dxa"/>
            </w:tcMar>
          </w:tcPr>
          <w:p w14:paraId="3CE74B06" w14:textId="39514B44" w:rsidR="23CFF325" w:rsidRDefault="23CFF325" w:rsidP="23CFF325">
            <w:pPr>
              <w:rPr>
                <w:rFonts w:ascii="Times New Roman" w:eastAsia="Times New Roman" w:hAnsi="Times New Roman" w:cs="Times New Roman"/>
                <w:color w:val="000000" w:themeColor="text1"/>
              </w:rPr>
            </w:pPr>
            <w:r w:rsidRPr="23CFF325">
              <w:rPr>
                <w:rFonts w:ascii="Times New Roman" w:eastAsia="Times New Roman" w:hAnsi="Times New Roman" w:cs="Times New Roman"/>
                <w:color w:val="000000" w:themeColor="text1"/>
              </w:rPr>
              <w:t>100</w:t>
            </w:r>
          </w:p>
        </w:tc>
      </w:tr>
      <w:tr w:rsidR="23CFF325" w14:paraId="4E34FAD2" w14:textId="77777777" w:rsidTr="1C0CDC3C">
        <w:trPr>
          <w:trHeight w:val="300"/>
        </w:trPr>
        <w:tc>
          <w:tcPr>
            <w:tcW w:w="8356" w:type="dxa"/>
            <w:gridSpan w:val="3"/>
            <w:tcBorders>
              <w:top w:val="single" w:sz="12" w:space="0" w:color="000000" w:themeColor="text1"/>
              <w:left w:val="nil"/>
              <w:bottom w:val="nil"/>
              <w:right w:val="nil"/>
            </w:tcBorders>
            <w:tcMar>
              <w:left w:w="90" w:type="dxa"/>
              <w:right w:w="90" w:type="dxa"/>
            </w:tcMar>
          </w:tcPr>
          <w:p w14:paraId="4BC9410D" w14:textId="2FAFEEB3" w:rsidR="23CFF325" w:rsidRDefault="23CFF325" w:rsidP="23CFF325">
            <w:pPr>
              <w:rPr>
                <w:rFonts w:ascii="Times New Roman" w:eastAsia="Times New Roman" w:hAnsi="Times New Roman" w:cs="Times New Roman"/>
                <w:color w:val="000000" w:themeColor="text1"/>
                <w:sz w:val="20"/>
                <w:szCs w:val="20"/>
              </w:rPr>
            </w:pPr>
            <w:r w:rsidRPr="23CFF325">
              <w:rPr>
                <w:rFonts w:ascii="Times New Roman" w:eastAsia="Times New Roman" w:hAnsi="Times New Roman" w:cs="Times New Roman"/>
                <w:i/>
                <w:iCs/>
                <w:color w:val="000000" w:themeColor="text1"/>
                <w:sz w:val="20"/>
                <w:szCs w:val="20"/>
              </w:rPr>
              <w:t>* Refers to studies conducted in a combination of geopolitical zones</w:t>
            </w:r>
          </w:p>
        </w:tc>
      </w:tr>
    </w:tbl>
    <w:p w14:paraId="02C87B3F" w14:textId="02F3A680" w:rsidR="1C0CDC3C" w:rsidRDefault="1C0CDC3C" w:rsidP="1C0CDC3C">
      <w:pPr>
        <w:rPr>
          <w:rFonts w:ascii="Times New Roman" w:eastAsia="Times New Roman" w:hAnsi="Times New Roman" w:cs="Times New Roman"/>
          <w:b/>
          <w:bCs/>
          <w:color w:val="000000" w:themeColor="text1"/>
        </w:rPr>
      </w:pPr>
    </w:p>
    <w:p w14:paraId="6B6F8D16" w14:textId="012AD5CF" w:rsidR="23CFF325" w:rsidRDefault="37E73B96" w:rsidP="37E73B96">
      <w:pPr>
        <w:rPr>
          <w:rFonts w:ascii="Times New Roman" w:eastAsia="Times New Roman" w:hAnsi="Times New Roman" w:cs="Times New Roman"/>
          <w:color w:val="000000" w:themeColor="text1"/>
        </w:rPr>
      </w:pPr>
      <w:r w:rsidRPr="37E73B96">
        <w:rPr>
          <w:rFonts w:ascii="Times New Roman" w:eastAsia="Times New Roman" w:hAnsi="Times New Roman" w:cs="Times New Roman"/>
          <w:b/>
          <w:bCs/>
          <w:color w:val="000000" w:themeColor="text1"/>
        </w:rPr>
        <w:t>Objective 1</w:t>
      </w:r>
      <w:r w:rsidRPr="37E73B96">
        <w:rPr>
          <w:rFonts w:ascii="Times New Roman" w:eastAsia="Times New Roman" w:hAnsi="Times New Roman" w:cs="Times New Roman"/>
          <w:color w:val="000000" w:themeColor="text1"/>
        </w:rPr>
        <w:t xml:space="preserve">: synthesize the </w:t>
      </w:r>
      <w:r w:rsidRPr="37E73B96">
        <w:rPr>
          <w:rFonts w:ascii="Times New Roman" w:eastAsia="Times New Roman" w:hAnsi="Times New Roman" w:cs="Times New Roman"/>
          <w:i/>
          <w:iCs/>
          <w:color w:val="000000" w:themeColor="text1"/>
        </w:rPr>
        <w:t>projected impact</w:t>
      </w:r>
      <w:r w:rsidRPr="37E73B96">
        <w:rPr>
          <w:rFonts w:ascii="Times New Roman" w:eastAsia="Times New Roman" w:hAnsi="Times New Roman" w:cs="Times New Roman"/>
          <w:color w:val="000000" w:themeColor="text1"/>
        </w:rPr>
        <w:t xml:space="preserve"> of agricultural education on Nigerian agriculture.</w:t>
      </w:r>
    </w:p>
    <w:p w14:paraId="528CADCC" w14:textId="2FE5FF54" w:rsidR="37E73B96" w:rsidRDefault="1C0CDC3C" w:rsidP="37E73B96">
      <w:pPr>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 xml:space="preserve">The </w:t>
      </w:r>
      <w:r w:rsidRPr="1C0CDC3C">
        <w:rPr>
          <w:rFonts w:ascii="Times New Roman" w:eastAsia="Times New Roman" w:hAnsi="Times New Roman" w:cs="Times New Roman"/>
          <w:i/>
          <w:iCs/>
          <w:color w:val="000000" w:themeColor="text1"/>
        </w:rPr>
        <w:t>projected impac</w:t>
      </w:r>
      <w:r w:rsidRPr="1C0CDC3C">
        <w:rPr>
          <w:rFonts w:ascii="Times New Roman" w:eastAsia="Times New Roman" w:hAnsi="Times New Roman" w:cs="Times New Roman"/>
          <w:color w:val="000000" w:themeColor="text1"/>
        </w:rPr>
        <w:t xml:space="preserve">t of agricultural education on Nigerian agriculture was framed on two scales of impact—national and individual impact. A linear problem-to-solution perspective dominated the literature as scholars identified problems and proposed agricultural education as a solution to those problems. While scholars generally went from diagnosing socioeconomic problems to prescribing agricultural education as an antidote, two themes emerged: </w:t>
      </w:r>
      <w:r w:rsidRPr="1C0CDC3C">
        <w:rPr>
          <w:rFonts w:ascii="Times New Roman" w:eastAsia="Times New Roman" w:hAnsi="Times New Roman" w:cs="Times New Roman"/>
          <w:i/>
          <w:iCs/>
          <w:color w:val="000000" w:themeColor="text1"/>
        </w:rPr>
        <w:t>scales of projected impact</w:t>
      </w:r>
      <w:r w:rsidRPr="1C0CDC3C">
        <w:rPr>
          <w:rFonts w:ascii="Times New Roman" w:eastAsia="Times New Roman" w:hAnsi="Times New Roman" w:cs="Times New Roman"/>
          <w:color w:val="000000" w:themeColor="text1"/>
        </w:rPr>
        <w:t xml:space="preserve"> and </w:t>
      </w:r>
      <w:r w:rsidRPr="1C0CDC3C">
        <w:rPr>
          <w:rFonts w:ascii="Times New Roman" w:eastAsia="Times New Roman" w:hAnsi="Times New Roman" w:cs="Times New Roman"/>
          <w:i/>
          <w:iCs/>
          <w:color w:val="000000" w:themeColor="text1"/>
        </w:rPr>
        <w:t xml:space="preserve">projected impact saboteurs. </w:t>
      </w:r>
    </w:p>
    <w:p w14:paraId="01040E1D" w14:textId="0F902A88" w:rsidR="1C0CDC3C" w:rsidRDefault="1C0CDC3C" w:rsidP="1C0CDC3C">
      <w:pPr>
        <w:rPr>
          <w:rFonts w:ascii="Times New Roman" w:eastAsia="Times New Roman" w:hAnsi="Times New Roman" w:cs="Times New Roman"/>
          <w:i/>
          <w:iCs/>
          <w:color w:val="000000" w:themeColor="text1"/>
        </w:rPr>
      </w:pPr>
    </w:p>
    <w:p w14:paraId="4570977F" w14:textId="0763A7DB" w:rsidR="00D1010D" w:rsidRDefault="1C0CDC3C" w:rsidP="1C0CDC3C">
      <w:pPr>
        <w:rPr>
          <w:rFonts w:ascii="Times New Roman" w:eastAsia="Times New Roman" w:hAnsi="Times New Roman" w:cs="Times New Roman"/>
          <w:color w:val="000000" w:themeColor="text1"/>
        </w:rPr>
      </w:pPr>
      <w:r w:rsidRPr="1C0CDC3C">
        <w:rPr>
          <w:rFonts w:ascii="Times New Roman" w:eastAsia="Times New Roman" w:hAnsi="Times New Roman" w:cs="Times New Roman"/>
          <w:i/>
          <w:iCs/>
          <w:color w:val="000000" w:themeColor="text1"/>
        </w:rPr>
        <w:t>Scales of projected impact</w:t>
      </w:r>
      <w:r w:rsidRPr="1C0CDC3C">
        <w:rPr>
          <w:rFonts w:ascii="Times New Roman" w:eastAsia="Times New Roman" w:hAnsi="Times New Roman" w:cs="Times New Roman"/>
          <w:color w:val="000000" w:themeColor="text1"/>
        </w:rPr>
        <w:t xml:space="preserve">: Scholars positioned SBAE as an antidote to social problems, howbeit on two scales- national and individual scales of impact which comprise the subthemes of this theme. On a national scale, multiple scholars (Ofodile &amp; Ndelekwute, 2015; Famiwole, 2015; Akor &amp; Jack, 2020) described agricultural education as a “panacea” to socioeconomic problems like unemployment (Famiwole, 2015; Olutegbe &amp; Ayodele, 2020), crime and violence (Ejembi, 2019; Ikebuaku, 2023), hunger and food insecurity (Agbidi, 2015; Oluremi &amp; Tolulope, 2016, Ibrahim et al., 2020), and poverty (Amadi &amp; Ekezie, 2019; Akor &amp; Jack, 2020). While on an individual scale, the literature revealed that SBAE can mitigate inadequate agriculture career readiness (Koyenikan &amp; Anozie, 2020; Ajao et al., 2022), poor youth perception of, and interest </w:t>
      </w:r>
      <w:r w:rsidRPr="1C0CDC3C">
        <w:rPr>
          <w:rFonts w:ascii="Times New Roman" w:eastAsia="Times New Roman" w:hAnsi="Times New Roman" w:cs="Times New Roman"/>
          <w:color w:val="000000" w:themeColor="text1"/>
        </w:rPr>
        <w:lastRenderedPageBreak/>
        <w:t xml:space="preserve">in agriculture (Badiru et al., 2019; Mohammed et al., 2020), as well as farm succession (Akintayo &amp; Lawal, 2016). </w:t>
      </w:r>
      <w:r w:rsidRPr="1C0CDC3C">
        <w:rPr>
          <w:rFonts w:ascii="Times New Roman" w:eastAsia="Times New Roman" w:hAnsi="Times New Roman" w:cs="Times New Roman"/>
          <w:i/>
          <w:iCs/>
          <w:color w:val="000000" w:themeColor="text1"/>
        </w:rPr>
        <w:t>Projected impact saboteurs</w:t>
      </w:r>
      <w:r w:rsidRPr="1C0CDC3C">
        <w:rPr>
          <w:rFonts w:ascii="Times New Roman" w:eastAsia="Times New Roman" w:hAnsi="Times New Roman" w:cs="Times New Roman"/>
          <w:color w:val="000000" w:themeColor="text1"/>
        </w:rPr>
        <w:t xml:space="preserve">: The literature revealed that there are several factors undermining the attainment of the </w:t>
      </w:r>
      <w:r w:rsidRPr="1C0CDC3C">
        <w:rPr>
          <w:rFonts w:ascii="Times New Roman" w:eastAsia="Times New Roman" w:hAnsi="Times New Roman" w:cs="Times New Roman"/>
          <w:i/>
          <w:iCs/>
          <w:color w:val="000000" w:themeColor="text1"/>
        </w:rPr>
        <w:t xml:space="preserve">projected impact </w:t>
      </w:r>
      <w:r w:rsidRPr="1C0CDC3C">
        <w:rPr>
          <w:rFonts w:ascii="Times New Roman" w:eastAsia="Times New Roman" w:hAnsi="Times New Roman" w:cs="Times New Roman"/>
          <w:color w:val="000000" w:themeColor="text1"/>
        </w:rPr>
        <w:t xml:space="preserve">of SBAE in Nigeria. </w:t>
      </w:r>
      <w:r w:rsidRPr="1C0CDC3C">
        <w:rPr>
          <w:rFonts w:ascii="Times New Roman" w:eastAsia="Times New Roman" w:hAnsi="Times New Roman" w:cs="Times New Roman"/>
          <w:i/>
          <w:iCs/>
          <w:color w:val="000000" w:themeColor="text1"/>
        </w:rPr>
        <w:t>Projected impact saboteurs</w:t>
      </w:r>
      <w:r w:rsidRPr="1C0CDC3C">
        <w:rPr>
          <w:rFonts w:ascii="Times New Roman" w:eastAsia="Times New Roman" w:hAnsi="Times New Roman" w:cs="Times New Roman"/>
          <w:color w:val="000000" w:themeColor="text1"/>
        </w:rPr>
        <w:t xml:space="preserve"> included infrastructural deficits (lack of school farms, ag shops and labs) limiting skill-based learning (Onwumere et al., 2016; Ejembi, 2019), inconsistencies in competency evaluations (Ukonze, 2020; Amadi &amp; Adejoh, 2020), curriculum flaws (Kaleptwa &amp; Igomu, 2013; Umar et al., 2022; Ekele et al., 2020), pedagogical issues and teacher performance (Ben 2014; Haruna et al., 2019), poor student support and government policy regulations (Alawa et al., 2020; Ibrahim et al., 2020).</w:t>
      </w:r>
    </w:p>
    <w:p w14:paraId="6161B8A1" w14:textId="70710105" w:rsidR="1C0CDC3C" w:rsidRDefault="1C0CDC3C" w:rsidP="1C0CDC3C">
      <w:pPr>
        <w:rPr>
          <w:rFonts w:ascii="Times New Roman" w:eastAsia="Times New Roman" w:hAnsi="Times New Roman" w:cs="Times New Roman"/>
          <w:b/>
          <w:bCs/>
          <w:color w:val="000000" w:themeColor="text1"/>
        </w:rPr>
      </w:pPr>
    </w:p>
    <w:p w14:paraId="360F8AE0" w14:textId="710A6AF0" w:rsidR="00D1010D" w:rsidRDefault="1C0CDC3C" w:rsidP="1C0CDC3C">
      <w:pPr>
        <w:rPr>
          <w:rFonts w:ascii="Times New Roman" w:eastAsia="Times New Roman" w:hAnsi="Times New Roman" w:cs="Times New Roman"/>
          <w:color w:val="000000" w:themeColor="text1"/>
        </w:rPr>
      </w:pPr>
      <w:r w:rsidRPr="1C0CDC3C">
        <w:rPr>
          <w:rFonts w:ascii="Times New Roman" w:eastAsia="Times New Roman" w:hAnsi="Times New Roman" w:cs="Times New Roman"/>
          <w:b/>
          <w:bCs/>
          <w:color w:val="000000" w:themeColor="text1"/>
        </w:rPr>
        <w:t>Objective 2:</w:t>
      </w:r>
      <w:r w:rsidRPr="1C0CDC3C">
        <w:rPr>
          <w:rFonts w:ascii="Times New Roman" w:eastAsia="Times New Roman" w:hAnsi="Times New Roman" w:cs="Times New Roman"/>
          <w:color w:val="000000" w:themeColor="text1"/>
        </w:rPr>
        <w:t xml:space="preserve"> Synthesize the </w:t>
      </w:r>
      <w:r w:rsidRPr="1C0CDC3C">
        <w:rPr>
          <w:rFonts w:ascii="Times New Roman" w:eastAsia="Times New Roman" w:hAnsi="Times New Roman" w:cs="Times New Roman"/>
          <w:i/>
          <w:iCs/>
          <w:color w:val="000000" w:themeColor="text1"/>
        </w:rPr>
        <w:t>actual impact</w:t>
      </w:r>
      <w:r w:rsidRPr="1C0CDC3C">
        <w:rPr>
          <w:rFonts w:ascii="Times New Roman" w:eastAsia="Times New Roman" w:hAnsi="Times New Roman" w:cs="Times New Roman"/>
          <w:color w:val="000000" w:themeColor="text1"/>
        </w:rPr>
        <w:t xml:space="preserve"> of agricultural education on youth participation in Nigerian agriculture. Three themes emerged from a review of the literature to ascertain the </w:t>
      </w:r>
      <w:r w:rsidRPr="1C0CDC3C">
        <w:rPr>
          <w:rFonts w:ascii="Times New Roman" w:eastAsia="Times New Roman" w:hAnsi="Times New Roman" w:cs="Times New Roman"/>
          <w:i/>
          <w:iCs/>
          <w:color w:val="000000" w:themeColor="text1"/>
        </w:rPr>
        <w:t>actual impact</w:t>
      </w:r>
      <w:r w:rsidRPr="1C0CDC3C">
        <w:rPr>
          <w:rFonts w:ascii="Times New Roman" w:eastAsia="Times New Roman" w:hAnsi="Times New Roman" w:cs="Times New Roman"/>
          <w:color w:val="000000" w:themeColor="text1"/>
        </w:rPr>
        <w:t xml:space="preserve"> of agricultural education on youth participation in Nigerian agriculture. The themes are </w:t>
      </w:r>
      <w:r w:rsidRPr="1C0CDC3C">
        <w:rPr>
          <w:rFonts w:ascii="Times New Roman" w:eastAsia="Times New Roman" w:hAnsi="Times New Roman" w:cs="Times New Roman"/>
          <w:i/>
          <w:iCs/>
          <w:color w:val="000000" w:themeColor="text1"/>
        </w:rPr>
        <w:t xml:space="preserve">affective outcomes, career readiness outcomes, </w:t>
      </w:r>
      <w:r w:rsidRPr="1C0CDC3C">
        <w:rPr>
          <w:rFonts w:ascii="Times New Roman" w:eastAsia="Times New Roman" w:hAnsi="Times New Roman" w:cs="Times New Roman"/>
          <w:color w:val="000000" w:themeColor="text1"/>
        </w:rPr>
        <w:t xml:space="preserve">and </w:t>
      </w:r>
      <w:r w:rsidRPr="1C0CDC3C">
        <w:rPr>
          <w:rFonts w:ascii="Times New Roman" w:eastAsia="Times New Roman" w:hAnsi="Times New Roman" w:cs="Times New Roman"/>
          <w:i/>
          <w:iCs/>
          <w:color w:val="000000" w:themeColor="text1"/>
        </w:rPr>
        <w:t>classroom-to-career transition outcomes</w:t>
      </w:r>
      <w:r w:rsidRPr="1C0CDC3C">
        <w:rPr>
          <w:rFonts w:ascii="Times New Roman" w:eastAsia="Times New Roman" w:hAnsi="Times New Roman" w:cs="Times New Roman"/>
          <w:color w:val="000000" w:themeColor="text1"/>
        </w:rPr>
        <w:t xml:space="preserve">. In the </w:t>
      </w:r>
      <w:r w:rsidRPr="1C0CDC3C">
        <w:rPr>
          <w:rFonts w:ascii="Times New Roman" w:eastAsia="Times New Roman" w:hAnsi="Times New Roman" w:cs="Times New Roman"/>
          <w:i/>
          <w:iCs/>
          <w:color w:val="000000" w:themeColor="text1"/>
        </w:rPr>
        <w:t xml:space="preserve">affective outcomes </w:t>
      </w:r>
      <w:r w:rsidRPr="1C0CDC3C">
        <w:rPr>
          <w:rFonts w:ascii="Times New Roman" w:eastAsia="Times New Roman" w:hAnsi="Times New Roman" w:cs="Times New Roman"/>
          <w:color w:val="000000" w:themeColor="text1"/>
        </w:rPr>
        <w:t xml:space="preserve">theme, SBAE was framed as a tool for shifting negative perceptions and nurturing youth agriculture career interests. Scholars  (Egbule &amp; Dimoni, 2019; Ikuemonisan et al., 2022) found that SBAE when matched with sufficient psychological capital (Ibrahim &amp; Ibrahim, 2017) and strategic use of enterprise-specific agriculture experiences (Ladele &amp; Badiru, 2014), school farms (Chukwudum &amp; Ogbuehi, 2013), student-teacher relationships (Enoch et al., 2021) and career counselling (Ifeanyieze et al., 2023) resulted in perception shifts. However, there were contradictory reports on how age impacts attainment of these affective outcomes. For instance, Adeboo &amp; Sekumade (2013) found that for agriculture to be selected as a career path, a “catch them young” approach was necessary, while another study showed that propensity to pursue an agricultural career path generally increased with age (Luka et al., 2023). </w:t>
      </w:r>
      <w:r w:rsidRPr="1C0CDC3C">
        <w:rPr>
          <w:rFonts w:ascii="Times New Roman" w:eastAsia="Times New Roman" w:hAnsi="Times New Roman" w:cs="Times New Roman"/>
          <w:i/>
          <w:iCs/>
          <w:color w:val="000000" w:themeColor="text1"/>
        </w:rPr>
        <w:t>Career readiness outcomes</w:t>
      </w:r>
      <w:r w:rsidRPr="1C0CDC3C">
        <w:rPr>
          <w:rFonts w:ascii="Times New Roman" w:eastAsia="Times New Roman" w:hAnsi="Times New Roman" w:cs="Times New Roman"/>
          <w:color w:val="000000" w:themeColor="text1"/>
        </w:rPr>
        <w:t xml:space="preserve"> were reported in specific areas like competencies for a career in soil science (Chukwu &amp; Madu, 2020; JohnWest &amp; Amadi, 2023), horticulture (Olubode et al., 2018), production agriculture (Alawa &amp; Okeke, 2015; Okole et al., 2023) and livestock farming (Kaduna et al., 2019; Adebayo et al., 2020). Some studies explored students’ proficiency in various skill types including soft skills, IT skills, entrepreneurial skills, and technical skills (Atoma et al., 2023; Ugwuoke &amp; Onah, 2015). SBAE also facilitated personal development in terms of leadership and team-building skills (Nlebem, 2020; Aleru &amp; Lazarus, 2021) and cultural and civic values propagation (Bature et al., 2023). Regarding </w:t>
      </w:r>
      <w:r w:rsidRPr="1C0CDC3C">
        <w:rPr>
          <w:rFonts w:ascii="Times New Roman" w:eastAsia="Times New Roman" w:hAnsi="Times New Roman" w:cs="Times New Roman"/>
          <w:i/>
          <w:iCs/>
          <w:color w:val="000000" w:themeColor="text1"/>
        </w:rPr>
        <w:t>Classroom-to-career transition outcomes</w:t>
      </w:r>
      <w:r w:rsidRPr="1C0CDC3C">
        <w:rPr>
          <w:rFonts w:ascii="Times New Roman" w:eastAsia="Times New Roman" w:hAnsi="Times New Roman" w:cs="Times New Roman"/>
          <w:color w:val="000000" w:themeColor="text1"/>
        </w:rPr>
        <w:t>, only few studies (Olubode et al., 2018; Ojo et al., 2020) demonstrated actual transition from agriculture classrooms to careers and ongoing participation in the industry. For instance, Johnwest &amp; Amadi (2023) found that “... [school] demonstration farm[s] had impact on crop production skill acquisition of undergraduate in areas of testing the quality of good compost, crop transplanting, soil management systems ...” (p.57) but it is was not reported whether these students went on to be soil scientists.</w:t>
      </w:r>
    </w:p>
    <w:p w14:paraId="5FFA6264" w14:textId="1FF892DD" w:rsidR="00D1010D" w:rsidRDefault="00D1010D" w:rsidP="20E601FE">
      <w:pPr>
        <w:rPr>
          <w:rFonts w:ascii="Times New Roman" w:eastAsia="Times New Roman" w:hAnsi="Times New Roman" w:cs="Times New Roman"/>
        </w:rPr>
      </w:pPr>
    </w:p>
    <w:p w14:paraId="7A1F25AB" w14:textId="1102B1B5" w:rsidR="1C0CDC3C" w:rsidRPr="00D00679" w:rsidRDefault="1C0CDC3C" w:rsidP="00D00679">
      <w:pPr>
        <w:jc w:val="center"/>
        <w:rPr>
          <w:rFonts w:ascii="Times New Roman" w:eastAsia="Times New Roman" w:hAnsi="Times New Roman" w:cs="Times New Roman"/>
          <w:b/>
          <w:bCs/>
        </w:rPr>
      </w:pPr>
      <w:r w:rsidRPr="1C0CDC3C">
        <w:rPr>
          <w:rFonts w:ascii="Times New Roman" w:eastAsia="Times New Roman" w:hAnsi="Times New Roman" w:cs="Times New Roman"/>
          <w:b/>
          <w:bCs/>
        </w:rPr>
        <w:t>Conclusions/ Recommendations</w:t>
      </w:r>
    </w:p>
    <w:p w14:paraId="2D3BAB79" w14:textId="24F3014F" w:rsidR="1CC24F66" w:rsidRDefault="1C0CDC3C" w:rsidP="1C0CDC3C">
      <w:r w:rsidRPr="1C0CDC3C">
        <w:rPr>
          <w:rFonts w:ascii="Times New Roman" w:eastAsia="Times New Roman" w:hAnsi="Times New Roman" w:cs="Times New Roman"/>
          <w:color w:val="000000" w:themeColor="text1"/>
        </w:rPr>
        <w:t>This study explored a comparative synthesis of the</w:t>
      </w:r>
      <w:r w:rsidRPr="1C0CDC3C">
        <w:rPr>
          <w:rFonts w:ascii="Times New Roman" w:eastAsia="Times New Roman" w:hAnsi="Times New Roman" w:cs="Times New Roman"/>
          <w:i/>
          <w:iCs/>
          <w:color w:val="000000" w:themeColor="text1"/>
        </w:rPr>
        <w:t xml:space="preserve"> projected impact</w:t>
      </w:r>
      <w:r w:rsidRPr="1C0CDC3C">
        <w:rPr>
          <w:rFonts w:ascii="Times New Roman" w:eastAsia="Times New Roman" w:hAnsi="Times New Roman" w:cs="Times New Roman"/>
          <w:color w:val="000000" w:themeColor="text1"/>
        </w:rPr>
        <w:t xml:space="preserve"> and </w:t>
      </w:r>
      <w:r w:rsidRPr="1C0CDC3C">
        <w:rPr>
          <w:rFonts w:ascii="Times New Roman" w:eastAsia="Times New Roman" w:hAnsi="Times New Roman" w:cs="Times New Roman"/>
          <w:i/>
          <w:iCs/>
          <w:color w:val="000000" w:themeColor="text1"/>
        </w:rPr>
        <w:t>actual impact</w:t>
      </w:r>
      <w:r w:rsidRPr="1C0CDC3C">
        <w:rPr>
          <w:rFonts w:ascii="Times New Roman" w:eastAsia="Times New Roman" w:hAnsi="Times New Roman" w:cs="Times New Roman"/>
          <w:color w:val="000000" w:themeColor="text1"/>
        </w:rPr>
        <w:t xml:space="preserve"> of SBAE in the Nigerian agriculture, particularly in increasing youth participation in the industry. Further studies should fill evidence gaps such as the least researched geopolitical zones (NW) and educational level (Primary school) and ways to enhance stakeholder participation in SBAE program design and implementation to expand the human and material resources needed to attain the projected impact of SBAE. Also, contradictory findings regarding how age impacts the </w:t>
      </w:r>
      <w:r w:rsidRPr="1C0CDC3C">
        <w:rPr>
          <w:rFonts w:ascii="Times New Roman" w:eastAsia="Times New Roman" w:hAnsi="Times New Roman" w:cs="Times New Roman"/>
          <w:color w:val="000000" w:themeColor="text1"/>
        </w:rPr>
        <w:lastRenderedPageBreak/>
        <w:t>affective outcomes of SBAE need to be further investigated. A review of the literature revealed the gap between what is achievable (</w:t>
      </w:r>
      <w:r w:rsidRPr="1C0CDC3C">
        <w:rPr>
          <w:rFonts w:ascii="Times New Roman" w:eastAsia="Times New Roman" w:hAnsi="Times New Roman" w:cs="Times New Roman"/>
          <w:i/>
          <w:iCs/>
          <w:color w:val="000000" w:themeColor="text1"/>
        </w:rPr>
        <w:t>projected impact</w:t>
      </w:r>
      <w:r w:rsidRPr="1C0CDC3C">
        <w:rPr>
          <w:rFonts w:ascii="Times New Roman" w:eastAsia="Times New Roman" w:hAnsi="Times New Roman" w:cs="Times New Roman"/>
          <w:color w:val="000000" w:themeColor="text1"/>
        </w:rPr>
        <w:t>) and what has been achieved (</w:t>
      </w:r>
      <w:r w:rsidRPr="1C0CDC3C">
        <w:rPr>
          <w:rFonts w:ascii="Times New Roman" w:eastAsia="Times New Roman" w:hAnsi="Times New Roman" w:cs="Times New Roman"/>
          <w:i/>
          <w:iCs/>
          <w:color w:val="000000" w:themeColor="text1"/>
        </w:rPr>
        <w:t>actual impac</w:t>
      </w:r>
      <w:r w:rsidRPr="1C0CDC3C">
        <w:rPr>
          <w:rFonts w:ascii="Times New Roman" w:eastAsia="Times New Roman" w:hAnsi="Times New Roman" w:cs="Times New Roman"/>
          <w:color w:val="000000" w:themeColor="text1"/>
        </w:rPr>
        <w:t xml:space="preserve">t) by SBAE in terms of enhancing youth involvement in Nigerian agriculture. </w:t>
      </w:r>
      <w:r w:rsidR="1CC24F66">
        <w:br w:type="page"/>
      </w:r>
    </w:p>
    <w:p w14:paraId="01D2B4C8" w14:textId="0250756C" w:rsidR="00D1010D" w:rsidRDefault="1C0CDC3C" w:rsidP="20E601FE">
      <w:pPr>
        <w:jc w:val="center"/>
        <w:rPr>
          <w:rFonts w:ascii="Times New Roman" w:eastAsia="Times New Roman" w:hAnsi="Times New Roman" w:cs="Times New Roman"/>
          <w:b/>
          <w:bCs/>
        </w:rPr>
      </w:pPr>
      <w:r w:rsidRPr="1C0CDC3C">
        <w:rPr>
          <w:rFonts w:ascii="Times New Roman" w:eastAsia="Times New Roman" w:hAnsi="Times New Roman" w:cs="Times New Roman"/>
          <w:b/>
          <w:bCs/>
        </w:rPr>
        <w:lastRenderedPageBreak/>
        <w:t>References</w:t>
      </w:r>
    </w:p>
    <w:p w14:paraId="3E4E4EF0" w14:textId="4D449374" w:rsidR="1C0CDC3C" w:rsidRDefault="1C0CDC3C" w:rsidP="1C0CDC3C">
      <w:pPr>
        <w:jc w:val="center"/>
        <w:rPr>
          <w:rFonts w:ascii="Times New Roman" w:eastAsia="Times New Roman" w:hAnsi="Times New Roman" w:cs="Times New Roman"/>
          <w:b/>
          <w:bCs/>
        </w:rPr>
      </w:pPr>
    </w:p>
    <w:p w14:paraId="667BD37E" w14:textId="50FFA55A" w:rsidR="20E601FE" w:rsidRDefault="1C0CDC3C" w:rsidP="1C0CDC3C">
      <w:pPr>
        <w:ind w:left="720" w:hanging="720"/>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 xml:space="preserve">Adama, J. J., Ohwofasa, J. I., &amp; Ogunjobi, J. O. (2016). transformation of agricultural education in Nigeria: Implication for food security. </w:t>
      </w:r>
      <w:r w:rsidRPr="1C0CDC3C">
        <w:rPr>
          <w:rFonts w:ascii="Times New Roman" w:eastAsia="Times New Roman" w:hAnsi="Times New Roman" w:cs="Times New Roman"/>
          <w:i/>
          <w:iCs/>
          <w:color w:val="000000" w:themeColor="text1"/>
        </w:rPr>
        <w:t>Journal of economics and sustainable development</w:t>
      </w:r>
      <w:r w:rsidRPr="1C0CDC3C">
        <w:rPr>
          <w:rFonts w:ascii="Times New Roman" w:eastAsia="Times New Roman" w:hAnsi="Times New Roman" w:cs="Times New Roman"/>
          <w:color w:val="000000" w:themeColor="text1"/>
        </w:rPr>
        <w:t>, 7(7), 1-8.</w:t>
      </w:r>
    </w:p>
    <w:p w14:paraId="1FF16377" w14:textId="281297D1" w:rsidR="20E601FE" w:rsidRDefault="1C0CDC3C" w:rsidP="1C0CDC3C">
      <w:pPr>
        <w:ind w:left="720" w:hanging="720"/>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 xml:space="preserve">Adebayo, O., Umunna, M., Ibrahim, A., Omole, E., &amp; Ojo, B. (2020). Effects of descriptive norms, perceived economic viability and behavioural intention on livestock agripreneurship among agricultural college students in Niger State, Nigeria. </w:t>
      </w:r>
      <w:r w:rsidRPr="1C0CDC3C">
        <w:rPr>
          <w:rFonts w:ascii="Times New Roman" w:eastAsia="Times New Roman" w:hAnsi="Times New Roman" w:cs="Times New Roman"/>
          <w:i/>
          <w:iCs/>
          <w:color w:val="000000" w:themeColor="text1"/>
        </w:rPr>
        <w:t>Journal of Agripreneurship and Sustainable Development</w:t>
      </w:r>
      <w:r w:rsidRPr="1C0CDC3C">
        <w:rPr>
          <w:rFonts w:ascii="Times New Roman" w:eastAsia="Times New Roman" w:hAnsi="Times New Roman" w:cs="Times New Roman"/>
          <w:color w:val="000000" w:themeColor="text1"/>
        </w:rPr>
        <w:t xml:space="preserve">, </w:t>
      </w:r>
      <w:r w:rsidRPr="1C0CDC3C">
        <w:rPr>
          <w:rFonts w:ascii="Times New Roman" w:eastAsia="Times New Roman" w:hAnsi="Times New Roman" w:cs="Times New Roman"/>
          <w:i/>
          <w:iCs/>
          <w:color w:val="000000" w:themeColor="text1"/>
        </w:rPr>
        <w:t>3</w:t>
      </w:r>
      <w:r w:rsidRPr="1C0CDC3C">
        <w:rPr>
          <w:rFonts w:ascii="Times New Roman" w:eastAsia="Times New Roman" w:hAnsi="Times New Roman" w:cs="Times New Roman"/>
          <w:color w:val="000000" w:themeColor="text1"/>
        </w:rPr>
        <w:t xml:space="preserve">(2), 1-9 </w:t>
      </w:r>
      <w:hyperlink r:id="rId7">
        <w:r w:rsidRPr="1C0CDC3C">
          <w:rPr>
            <w:rStyle w:val="Hyperlink"/>
            <w:rFonts w:ascii="Times New Roman" w:eastAsia="Times New Roman" w:hAnsi="Times New Roman" w:cs="Times New Roman"/>
          </w:rPr>
          <w:t>https://doi.org/10.59331/jasd.v3i2.112</w:t>
        </w:r>
      </w:hyperlink>
      <w:r w:rsidRPr="1C0CDC3C">
        <w:rPr>
          <w:rFonts w:ascii="Times New Roman" w:eastAsia="Times New Roman" w:hAnsi="Times New Roman" w:cs="Times New Roman"/>
          <w:color w:val="000000" w:themeColor="text1"/>
        </w:rPr>
        <w:t>.</w:t>
      </w:r>
    </w:p>
    <w:p w14:paraId="40621488" w14:textId="6EE755CB" w:rsidR="20E601FE" w:rsidRDefault="1C0CDC3C" w:rsidP="1C0CDC3C">
      <w:pPr>
        <w:ind w:left="720" w:hanging="720"/>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 xml:space="preserve">Adebo, A.G. and Sekumade, A. B. (2013): Determinant of Career choice of Agricultural Profession among the students of the Faculty of Agricultural Sciences in Ekiti State University, Nigeria. </w:t>
      </w:r>
      <w:r w:rsidRPr="1C0CDC3C">
        <w:rPr>
          <w:rFonts w:ascii="Times New Roman" w:eastAsia="Times New Roman" w:hAnsi="Times New Roman" w:cs="Times New Roman"/>
          <w:i/>
          <w:iCs/>
          <w:color w:val="000000" w:themeColor="text1"/>
        </w:rPr>
        <w:t>Journal of Agricultural Extension</w:t>
      </w:r>
      <w:r w:rsidRPr="1C0CDC3C">
        <w:rPr>
          <w:rFonts w:ascii="Times New Roman" w:eastAsia="Times New Roman" w:hAnsi="Times New Roman" w:cs="Times New Roman"/>
          <w:color w:val="000000" w:themeColor="text1"/>
        </w:rPr>
        <w:t xml:space="preserve"> </w:t>
      </w:r>
      <w:r w:rsidRPr="1C0CDC3C">
        <w:rPr>
          <w:rFonts w:ascii="Times New Roman" w:eastAsia="Times New Roman" w:hAnsi="Times New Roman" w:cs="Times New Roman"/>
          <w:i/>
          <w:iCs/>
          <w:color w:val="000000" w:themeColor="text1"/>
        </w:rPr>
        <w:t xml:space="preserve">JAERD, </w:t>
      </w:r>
      <w:r w:rsidRPr="1C0CDC3C">
        <w:rPr>
          <w:rFonts w:ascii="Times New Roman" w:eastAsia="Times New Roman" w:hAnsi="Times New Roman" w:cs="Times New Roman"/>
          <w:color w:val="000000" w:themeColor="text1"/>
        </w:rPr>
        <w:t>5(11), 249–255.</w:t>
      </w:r>
    </w:p>
    <w:p w14:paraId="4BBEC75D" w14:textId="7D598A24" w:rsidR="20E601FE" w:rsidRDefault="1C0CDC3C" w:rsidP="1C0CDC3C">
      <w:pPr>
        <w:ind w:left="720" w:hanging="720"/>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 xml:space="preserve">Adeyegba, A.O. (2022). Agricultural education for youth empowerment in Nigeria: A brief review. </w:t>
      </w:r>
      <w:r w:rsidRPr="1C0CDC3C">
        <w:rPr>
          <w:rFonts w:ascii="Times New Roman" w:eastAsia="Times New Roman" w:hAnsi="Times New Roman" w:cs="Times New Roman"/>
          <w:i/>
          <w:iCs/>
          <w:color w:val="000000" w:themeColor="text1"/>
        </w:rPr>
        <w:t>Journal of agriculture, forestry, and the social sciences</w:t>
      </w:r>
      <w:r w:rsidRPr="1C0CDC3C">
        <w:rPr>
          <w:rFonts w:ascii="Times New Roman" w:eastAsia="Times New Roman" w:hAnsi="Times New Roman" w:cs="Times New Roman"/>
          <w:color w:val="000000" w:themeColor="text1"/>
        </w:rPr>
        <w:t>18(2) abstract</w:t>
      </w:r>
    </w:p>
    <w:p w14:paraId="4FF0217E" w14:textId="5C16E5B2" w:rsidR="20E601FE" w:rsidRDefault="1C0CDC3C" w:rsidP="1C0CDC3C">
      <w:pPr>
        <w:ind w:left="720" w:hanging="720"/>
        <w:rPr>
          <w:rFonts w:ascii="Times New Roman" w:eastAsia="Times New Roman" w:hAnsi="Times New Roman" w:cs="Times New Roman"/>
          <w:color w:val="000000" w:themeColor="text1"/>
        </w:rPr>
      </w:pPr>
      <w:r w:rsidRPr="1C0CDC3C">
        <w:rPr>
          <w:rFonts w:ascii="Times New Roman" w:eastAsia="Times New Roman" w:hAnsi="Times New Roman" w:cs="Times New Roman"/>
          <w:color w:val="000000" w:themeColor="text1"/>
        </w:rPr>
        <w:t xml:space="preserve">Agbidi, S. S. (2015). Recent Curriculum Performs in Primary and Secondary Schools: Implication for Agricultural Education and Sustainable Food Security in Nigeria. </w:t>
      </w:r>
      <w:r w:rsidRPr="1C0CDC3C">
        <w:rPr>
          <w:rFonts w:ascii="Times New Roman" w:eastAsia="Times New Roman" w:hAnsi="Times New Roman" w:cs="Times New Roman"/>
          <w:i/>
          <w:iCs/>
          <w:color w:val="000000" w:themeColor="text1"/>
        </w:rPr>
        <w:t>Journal of Studies in Education</w:t>
      </w:r>
      <w:r w:rsidRPr="1C0CDC3C">
        <w:rPr>
          <w:rFonts w:ascii="Times New Roman" w:eastAsia="Times New Roman" w:hAnsi="Times New Roman" w:cs="Times New Roman"/>
          <w:color w:val="000000" w:themeColor="text1"/>
        </w:rPr>
        <w:t xml:space="preserve">, </w:t>
      </w:r>
      <w:r w:rsidRPr="1C0CDC3C">
        <w:rPr>
          <w:rFonts w:ascii="Times New Roman" w:eastAsia="Times New Roman" w:hAnsi="Times New Roman" w:cs="Times New Roman"/>
          <w:i/>
          <w:iCs/>
          <w:color w:val="000000" w:themeColor="text1"/>
        </w:rPr>
        <w:t>2</w:t>
      </w:r>
      <w:r w:rsidRPr="1C0CDC3C">
        <w:rPr>
          <w:rFonts w:ascii="Times New Roman" w:eastAsia="Times New Roman" w:hAnsi="Times New Roman" w:cs="Times New Roman"/>
          <w:color w:val="000000" w:themeColor="text1"/>
        </w:rPr>
        <w:t>(1), 195–202.</w:t>
      </w:r>
    </w:p>
    <w:p w14:paraId="658AB08D" w14:textId="02CFF729"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Ajao, H., Alegbeleye, I. D., &amp; Westfall-Rudd, D. (2022). Curriculum design in an agricultural education program in Nigeria: Towards advancing career readiness. </w:t>
      </w:r>
      <w:r w:rsidRPr="1CC24F66">
        <w:rPr>
          <w:rFonts w:ascii="Times New Roman" w:eastAsia="Times New Roman" w:hAnsi="Times New Roman" w:cs="Times New Roman"/>
          <w:i/>
          <w:iCs/>
          <w:color w:val="000000" w:themeColor="text1"/>
        </w:rPr>
        <w:t>Advancements in Agricultural Development</w:t>
      </w:r>
      <w:r w:rsidRPr="1CC24F66">
        <w:rPr>
          <w:rFonts w:ascii="Times New Roman" w:eastAsia="Times New Roman" w:hAnsi="Times New Roman" w:cs="Times New Roman"/>
          <w:color w:val="000000" w:themeColor="text1"/>
        </w:rPr>
        <w:t xml:space="preserve">, 3(2), 17–30. </w:t>
      </w:r>
      <w:hyperlink r:id="rId8">
        <w:r w:rsidRPr="1CC24F66">
          <w:rPr>
            <w:rStyle w:val="Hyperlink"/>
            <w:rFonts w:ascii="Times New Roman" w:eastAsia="Times New Roman" w:hAnsi="Times New Roman" w:cs="Times New Roman"/>
          </w:rPr>
          <w:t>https://doi.org/10.37433/aad.v3i2.159</w:t>
        </w:r>
      </w:hyperlink>
    </w:p>
    <w:p w14:paraId="64997A19" w14:textId="72C52037"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Ajufo, B. I. (2013). Challenges of youth unemployment in Nigeria: Effective career guidance as a panacea. </w:t>
      </w:r>
      <w:r w:rsidRPr="1CC24F66">
        <w:rPr>
          <w:rFonts w:ascii="Times New Roman" w:eastAsia="Times New Roman" w:hAnsi="Times New Roman" w:cs="Times New Roman"/>
          <w:i/>
          <w:iCs/>
          <w:color w:val="000000" w:themeColor="text1"/>
        </w:rPr>
        <w:t>African Research Review</w:t>
      </w:r>
      <w:r w:rsidRPr="1CC24F66">
        <w:rPr>
          <w:rFonts w:ascii="Times New Roman" w:eastAsia="Times New Roman" w:hAnsi="Times New Roman" w:cs="Times New Roman"/>
          <w:color w:val="000000" w:themeColor="text1"/>
        </w:rPr>
        <w:t xml:space="preserve">, 7(1),307–321. </w:t>
      </w:r>
      <w:hyperlink r:id="rId9">
        <w:r w:rsidRPr="1CC24F66">
          <w:rPr>
            <w:rStyle w:val="Hyperlink"/>
            <w:rFonts w:ascii="Times New Roman" w:eastAsia="Times New Roman" w:hAnsi="Times New Roman" w:cs="Times New Roman"/>
          </w:rPr>
          <w:t>http://dx.doi.org/10.4314/afrrev.v7i1.21</w:t>
        </w:r>
      </w:hyperlink>
    </w:p>
    <w:p w14:paraId="47CFC152" w14:textId="7A61E5D5"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Akintayo, O., &amp; Lawal, B. (2016). Willingness of youth to practise agriculture: Implications for farm succession and sustainable farming systems in Nigeria. 12th European International Farming Systems Association (IFSA) Symposium, Social and technological transformation of farming systems: Diverging and converging pathways, 12-15 July 2016, Harper Adams University, Newport, Shropshire, UK, 2016, 1-4 ref. 11.</w:t>
      </w:r>
    </w:p>
    <w:p w14:paraId="54B8D172" w14:textId="415A8707"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Akor, V. O., &amp; Jack, A. B. (2020). Global challenges and implementation of sustainable poverty eradication strategies using junior secondary school agricultural science curriculum as a panacea in Nigeria. </w:t>
      </w:r>
      <w:r w:rsidRPr="1CC24F66">
        <w:rPr>
          <w:rFonts w:ascii="Times New Roman" w:eastAsia="Times New Roman" w:hAnsi="Times New Roman" w:cs="Times New Roman"/>
          <w:i/>
          <w:iCs/>
          <w:color w:val="000000" w:themeColor="text1"/>
        </w:rPr>
        <w:t>International Journal of Education and Evaluation</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6</w:t>
      </w:r>
      <w:r w:rsidRPr="1CC24F66">
        <w:rPr>
          <w:rFonts w:ascii="Times New Roman" w:eastAsia="Times New Roman" w:hAnsi="Times New Roman" w:cs="Times New Roman"/>
          <w:color w:val="000000" w:themeColor="text1"/>
        </w:rPr>
        <w:t xml:space="preserve">(4), 26–34. </w:t>
      </w:r>
      <w:hyperlink r:id="rId10">
        <w:r w:rsidRPr="1CC24F66">
          <w:rPr>
            <w:rStyle w:val="Hyperlink"/>
            <w:rFonts w:ascii="Times New Roman" w:eastAsia="Times New Roman" w:hAnsi="Times New Roman" w:cs="Times New Roman"/>
          </w:rPr>
          <w:t>https://doi.org/10.56201/IJEE</w:t>
        </w:r>
      </w:hyperlink>
    </w:p>
    <w:p w14:paraId="75D5584F" w14:textId="4DFB9FEE"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Akpomedya, J. F. (2010). Agricultural education in Nigeria current issues and challenges. In issues and challenges in Nigerian education in the 21st century (pp. 121–133). essay, West and Solomon Coy Ltd.</w:t>
      </w:r>
    </w:p>
    <w:p w14:paraId="055D72C6" w14:textId="71CA2DE3"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Alawa, D. A., Ajigo, I., Unimna, F., Udie, E. A., &amp; Adie, J. B. (2020). Policy Initiatives for Improving the Contributions of University Agricultural Education and Extension Institutions to Environmental and Sustainable Development in Agriculture. </w:t>
      </w:r>
      <w:r w:rsidRPr="1CC24F66">
        <w:rPr>
          <w:rFonts w:ascii="Times New Roman" w:eastAsia="Times New Roman" w:hAnsi="Times New Roman" w:cs="Times New Roman"/>
          <w:i/>
          <w:iCs/>
          <w:color w:val="000000" w:themeColor="text1"/>
        </w:rPr>
        <w:t>Educational Research and Reviews</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15</w:t>
      </w:r>
      <w:r w:rsidRPr="1CC24F66">
        <w:rPr>
          <w:rFonts w:ascii="Times New Roman" w:eastAsia="Times New Roman" w:hAnsi="Times New Roman" w:cs="Times New Roman"/>
          <w:color w:val="000000" w:themeColor="text1"/>
        </w:rPr>
        <w:t>(6), 273–281. DOI: 10.5897/ERR2020.3990</w:t>
      </w:r>
    </w:p>
    <w:p w14:paraId="4538C38A" w14:textId="4914D62F" w:rsidR="20E601FE" w:rsidRDefault="6E522175" w:rsidP="6E522175">
      <w:pPr>
        <w:ind w:left="720" w:hanging="720"/>
        <w:rPr>
          <w:rFonts w:ascii="Times New Roman" w:eastAsia="Times New Roman" w:hAnsi="Times New Roman" w:cs="Times New Roman"/>
          <w:color w:val="000000" w:themeColor="text1"/>
        </w:rPr>
      </w:pPr>
      <w:r w:rsidRPr="6E522175">
        <w:rPr>
          <w:rFonts w:ascii="Times New Roman" w:eastAsia="Times New Roman" w:hAnsi="Times New Roman" w:cs="Times New Roman"/>
          <w:color w:val="000000" w:themeColor="text1"/>
        </w:rPr>
        <w:t xml:space="preserve">Alawa, D. A., &amp; Okeke, E. I. (2015). Work skills required by secondary school graduates for entry into Cocoyam production enterprise in Cross River State, Nigeria. </w:t>
      </w:r>
      <w:r w:rsidRPr="6E522175">
        <w:rPr>
          <w:rFonts w:ascii="Times New Roman" w:eastAsia="Times New Roman" w:hAnsi="Times New Roman" w:cs="Times New Roman"/>
          <w:i/>
          <w:iCs/>
          <w:color w:val="000000" w:themeColor="text1"/>
        </w:rPr>
        <w:t>Journal of Emerging Trends in Educational Research and Policy Studies</w:t>
      </w:r>
      <w:r w:rsidRPr="6E522175">
        <w:rPr>
          <w:rFonts w:ascii="Times New Roman" w:eastAsia="Times New Roman" w:hAnsi="Times New Roman" w:cs="Times New Roman"/>
          <w:color w:val="000000" w:themeColor="text1"/>
        </w:rPr>
        <w:t xml:space="preserve">, </w:t>
      </w:r>
      <w:r w:rsidRPr="6E522175">
        <w:rPr>
          <w:rFonts w:ascii="Times New Roman" w:eastAsia="Times New Roman" w:hAnsi="Times New Roman" w:cs="Times New Roman"/>
          <w:i/>
          <w:iCs/>
          <w:color w:val="000000" w:themeColor="text1"/>
        </w:rPr>
        <w:t>7</w:t>
      </w:r>
      <w:r w:rsidRPr="6E522175">
        <w:rPr>
          <w:rFonts w:ascii="Times New Roman" w:eastAsia="Times New Roman" w:hAnsi="Times New Roman" w:cs="Times New Roman"/>
          <w:color w:val="000000" w:themeColor="text1"/>
        </w:rPr>
        <w:t>(1), 418-424.</w:t>
      </w:r>
    </w:p>
    <w:p w14:paraId="4DF8BE42" w14:textId="55FBBFF3" w:rsidR="20E601FE" w:rsidRDefault="6E522175" w:rsidP="6E522175">
      <w:pPr>
        <w:ind w:left="720" w:hanging="720"/>
        <w:rPr>
          <w:rFonts w:ascii="Times New Roman" w:eastAsia="Times New Roman" w:hAnsi="Times New Roman" w:cs="Times New Roman"/>
          <w:color w:val="000000" w:themeColor="text1"/>
        </w:rPr>
      </w:pPr>
      <w:r w:rsidRPr="6E522175">
        <w:rPr>
          <w:rFonts w:ascii="Times New Roman" w:eastAsia="Times New Roman" w:hAnsi="Times New Roman" w:cs="Times New Roman"/>
          <w:color w:val="000000" w:themeColor="text1"/>
        </w:rPr>
        <w:t>Alawonde, O. O., &amp; Makinde, L. O. (2021). Analysis of household crop commercialization in Nigeria. Applied Studies in Agribusiness and Commerce, 15(3-4). </w:t>
      </w:r>
      <w:hyperlink r:id="rId11">
        <w:r w:rsidRPr="6E522175">
          <w:rPr>
            <w:rStyle w:val="Hyperlink"/>
            <w:rFonts w:ascii="Times New Roman" w:eastAsia="Times New Roman" w:hAnsi="Times New Roman" w:cs="Times New Roman"/>
          </w:rPr>
          <w:t>https://doi.org/10.19041/APSTRACT/2021/3-4/3</w:t>
        </w:r>
      </w:hyperlink>
      <w:r w:rsidRPr="6E522175">
        <w:rPr>
          <w:rFonts w:ascii="Times New Roman" w:eastAsia="Times New Roman" w:hAnsi="Times New Roman" w:cs="Times New Roman"/>
        </w:rPr>
        <w:t xml:space="preserve"> </w:t>
      </w:r>
    </w:p>
    <w:p w14:paraId="746E804F" w14:textId="3CD5BCCF"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lastRenderedPageBreak/>
        <w:t xml:space="preserve">Aleru, P., &amp; Lazarus, S. (2021). Role of Agricultural Education Farm Workshop in Development of Students’ Skills in Indigenous Mechanized Technology for Self-Reliance in Rivers State. </w:t>
      </w:r>
      <w:r w:rsidRPr="1CC24F66">
        <w:rPr>
          <w:rFonts w:ascii="Times New Roman" w:eastAsia="Times New Roman" w:hAnsi="Times New Roman" w:cs="Times New Roman"/>
          <w:i/>
          <w:iCs/>
          <w:color w:val="000000" w:themeColor="text1"/>
        </w:rPr>
        <w:t>British Journal of Contemporary Education (BJCE)</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1</w:t>
      </w:r>
      <w:r w:rsidRPr="1CC24F66">
        <w:rPr>
          <w:rFonts w:ascii="Times New Roman" w:eastAsia="Times New Roman" w:hAnsi="Times New Roman" w:cs="Times New Roman"/>
          <w:color w:val="000000" w:themeColor="text1"/>
        </w:rPr>
        <w:t>(1), 64–74. DOI:</w:t>
      </w:r>
      <w:hyperlink r:id="rId12">
        <w:r w:rsidRPr="1CC24F66">
          <w:rPr>
            <w:rStyle w:val="Hyperlink"/>
            <w:rFonts w:ascii="Times New Roman" w:eastAsia="Times New Roman" w:hAnsi="Times New Roman" w:cs="Times New Roman"/>
          </w:rPr>
          <w:t>10.52589/BJCE-PDJKIJBC</w:t>
        </w:r>
      </w:hyperlink>
    </w:p>
    <w:p w14:paraId="59058C68" w14:textId="460EF11D"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Amadi, N. S., &amp; Blessing, S. (2016). Role of agricultural education in nation building. </w:t>
      </w:r>
      <w:r w:rsidRPr="1CC24F66">
        <w:rPr>
          <w:rFonts w:ascii="Times New Roman" w:eastAsia="Times New Roman" w:hAnsi="Times New Roman" w:cs="Times New Roman"/>
          <w:i/>
          <w:iCs/>
          <w:color w:val="000000" w:themeColor="text1"/>
        </w:rPr>
        <w:t>Journal of agriculture, socioeconomics and sustainable environment</w:t>
      </w:r>
      <w:r w:rsidRPr="1CC24F66">
        <w:rPr>
          <w:rFonts w:ascii="Times New Roman" w:eastAsia="Times New Roman" w:hAnsi="Times New Roman" w:cs="Times New Roman"/>
          <w:color w:val="000000" w:themeColor="text1"/>
        </w:rPr>
        <w:t xml:space="preserve"> (JASSE), 4(1): 11-16.</w:t>
      </w:r>
    </w:p>
    <w:p w14:paraId="224CED8A" w14:textId="2A63C626"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Amadi, N., &amp; Adejoh, G. (2020). Strategies for re-orienting agricultural education towards hands on experience in Rivers State Universities. </w:t>
      </w:r>
      <w:r w:rsidRPr="1CC24F66">
        <w:rPr>
          <w:rFonts w:ascii="Times New Roman" w:eastAsia="Times New Roman" w:hAnsi="Times New Roman" w:cs="Times New Roman"/>
          <w:i/>
          <w:iCs/>
          <w:color w:val="000000" w:themeColor="text1"/>
        </w:rPr>
        <w:t>GSC Advanced Research and Reviews</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5</w:t>
      </w:r>
      <w:r w:rsidRPr="1CC24F66">
        <w:rPr>
          <w:rFonts w:ascii="Times New Roman" w:eastAsia="Times New Roman" w:hAnsi="Times New Roman" w:cs="Times New Roman"/>
          <w:color w:val="000000" w:themeColor="text1"/>
        </w:rPr>
        <w:t>(3), 064–073.</w:t>
      </w:r>
    </w:p>
    <w:p w14:paraId="0A0FAA9B" w14:textId="7EDAF536"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Amadi, N., &amp; Ekezie, A. (2019). Influence of vocational agricultural education (VAE) on poverty reduction among youth in Rivers State. </w:t>
      </w:r>
      <w:r w:rsidRPr="1CC24F66">
        <w:rPr>
          <w:rFonts w:ascii="Times New Roman" w:eastAsia="Times New Roman" w:hAnsi="Times New Roman" w:cs="Times New Roman"/>
          <w:i/>
          <w:iCs/>
          <w:color w:val="000000" w:themeColor="text1"/>
        </w:rPr>
        <w:t>International Journal of Agriculture and Earth Science</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4</w:t>
      </w:r>
      <w:r w:rsidRPr="1CC24F66">
        <w:rPr>
          <w:rFonts w:ascii="Times New Roman" w:eastAsia="Times New Roman" w:hAnsi="Times New Roman" w:cs="Times New Roman"/>
          <w:color w:val="000000" w:themeColor="text1"/>
        </w:rPr>
        <w:t>(1), 34–41.</w:t>
      </w:r>
    </w:p>
    <w:p w14:paraId="168B1BCB" w14:textId="159F1948"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Angbre, F. A. (2016). The role of agricultural education in ensuring national security in Nigeria. </w:t>
      </w:r>
      <w:r w:rsidRPr="1CC24F66">
        <w:rPr>
          <w:rFonts w:ascii="Times New Roman" w:eastAsia="Times New Roman" w:hAnsi="Times New Roman" w:cs="Times New Roman"/>
          <w:i/>
          <w:iCs/>
          <w:color w:val="000000" w:themeColor="text1"/>
        </w:rPr>
        <w:t>Agriculture and Food Sciences Research</w:t>
      </w:r>
      <w:r w:rsidRPr="1CC24F66">
        <w:rPr>
          <w:rFonts w:ascii="Times New Roman" w:eastAsia="Times New Roman" w:hAnsi="Times New Roman" w:cs="Times New Roman"/>
          <w:color w:val="000000" w:themeColor="text1"/>
        </w:rPr>
        <w:t xml:space="preserve">, 3(1), 25–28. </w:t>
      </w:r>
      <w:hyperlink r:id="rId13">
        <w:r w:rsidRPr="1CC24F66">
          <w:rPr>
            <w:rStyle w:val="Hyperlink"/>
            <w:rFonts w:ascii="Times New Roman" w:eastAsia="Times New Roman" w:hAnsi="Times New Roman" w:cs="Times New Roman"/>
          </w:rPr>
          <w:t>https://doi.org/10.20448/journal.512/2016.3.1/512.1.25.28</w:t>
        </w:r>
      </w:hyperlink>
    </w:p>
    <w:p w14:paraId="0E7E0AC0" w14:textId="58672F2E"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Atoma, C. N., Mube-William, E. C., &amp; Adesope, O. M. (2023). Perceived soft skills needs of agriculture students in public universities in Niger Delta, Nigeria. </w:t>
      </w:r>
      <w:r w:rsidRPr="1CC24F66">
        <w:rPr>
          <w:rFonts w:ascii="Times New Roman" w:eastAsia="Times New Roman" w:hAnsi="Times New Roman" w:cs="Times New Roman"/>
          <w:i/>
          <w:iCs/>
          <w:color w:val="000000" w:themeColor="text1"/>
        </w:rPr>
        <w:t>Journal of Agricultural Extension</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27</w:t>
      </w:r>
      <w:r w:rsidRPr="1CC24F66">
        <w:rPr>
          <w:rFonts w:ascii="Times New Roman" w:eastAsia="Times New Roman" w:hAnsi="Times New Roman" w:cs="Times New Roman"/>
          <w:color w:val="000000" w:themeColor="text1"/>
        </w:rPr>
        <w:t xml:space="preserve">(4), 13–19. </w:t>
      </w:r>
      <w:hyperlink r:id="rId14">
        <w:r w:rsidRPr="1CC24F66">
          <w:rPr>
            <w:rStyle w:val="Hyperlink"/>
            <w:rFonts w:ascii="Times New Roman" w:eastAsia="Times New Roman" w:hAnsi="Times New Roman" w:cs="Times New Roman"/>
          </w:rPr>
          <w:t>https://doi.org/10.4314/jae.v27i4.2</w:t>
        </w:r>
      </w:hyperlink>
    </w:p>
    <w:p w14:paraId="06224477" w14:textId="0BC723F7" w:rsidR="20E601FE" w:rsidRDefault="1CC24F66" w:rsidP="1CC24F66">
      <w:pPr>
        <w:ind w:left="720" w:hanging="720"/>
      </w:pPr>
      <w:r w:rsidRPr="1CC24F66">
        <w:rPr>
          <w:rFonts w:ascii="Times New Roman" w:eastAsia="Times New Roman" w:hAnsi="Times New Roman" w:cs="Times New Roman"/>
          <w:color w:val="000000" w:themeColor="text1"/>
        </w:rPr>
        <w:t xml:space="preserve">Badiru, I., Aluko, B., &amp; Adejumo, A. (2019). Teachers’ perception of the effects of the new education curriculum on the choice of agriculture as a career among secondary school students in Oyo State. </w:t>
      </w:r>
      <w:r w:rsidRPr="1CC24F66">
        <w:rPr>
          <w:rFonts w:ascii="Times New Roman" w:eastAsia="Times New Roman" w:hAnsi="Times New Roman" w:cs="Times New Roman"/>
          <w:i/>
          <w:iCs/>
          <w:color w:val="000000" w:themeColor="text1"/>
        </w:rPr>
        <w:t>Journal of Agricultural &amp; Food Information</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20</w:t>
      </w:r>
      <w:r w:rsidRPr="1CC24F66">
        <w:rPr>
          <w:rFonts w:ascii="Times New Roman" w:eastAsia="Times New Roman" w:hAnsi="Times New Roman" w:cs="Times New Roman"/>
          <w:color w:val="000000" w:themeColor="text1"/>
        </w:rPr>
        <w:t xml:space="preserve">(1), 86–95. </w:t>
      </w:r>
      <w:hyperlink r:id="rId15">
        <w:r w:rsidRPr="1CC24F66">
          <w:rPr>
            <w:rStyle w:val="Hyperlink"/>
            <w:rFonts w:ascii="Times New Roman" w:eastAsia="Times New Roman" w:hAnsi="Times New Roman" w:cs="Times New Roman"/>
          </w:rPr>
          <w:t>https://doi.org/10.1080/10496505.2018.1531008</w:t>
        </w:r>
      </w:hyperlink>
      <w:r w:rsidRPr="1CC24F66">
        <w:rPr>
          <w:rFonts w:ascii="Times New Roman" w:eastAsia="Times New Roman" w:hAnsi="Times New Roman" w:cs="Times New Roman"/>
        </w:rPr>
        <w:t xml:space="preserve"> </w:t>
      </w:r>
    </w:p>
    <w:p w14:paraId="2BBAD088" w14:textId="1BDACD92"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Bature, S. S., Olorunleke, A. E., Ibrahim, O. A., Ojo, A. K., &amp; Bolakale, J. S. (2023). Assessing Agricultural Literacy Among Senior Secondary School Students in Kwara, Nigeria: Implications for Educational Interventions. </w:t>
      </w:r>
      <w:r w:rsidRPr="1CC24F66">
        <w:rPr>
          <w:rFonts w:ascii="Times New Roman" w:eastAsia="Times New Roman" w:hAnsi="Times New Roman" w:cs="Times New Roman"/>
          <w:i/>
          <w:iCs/>
          <w:color w:val="000000" w:themeColor="text1"/>
        </w:rPr>
        <w:t>Indonesian Journal of Curriculum and Educational Technology Studies</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11</w:t>
      </w:r>
      <w:r w:rsidRPr="1CC24F66">
        <w:rPr>
          <w:rFonts w:ascii="Times New Roman" w:eastAsia="Times New Roman" w:hAnsi="Times New Roman" w:cs="Times New Roman"/>
          <w:color w:val="000000" w:themeColor="text1"/>
        </w:rPr>
        <w:t>(1), 1-8. DOI:</w:t>
      </w:r>
      <w:hyperlink r:id="rId16">
        <w:r w:rsidRPr="1CC24F66">
          <w:rPr>
            <w:rStyle w:val="Hyperlink"/>
            <w:rFonts w:ascii="Times New Roman" w:eastAsia="Times New Roman" w:hAnsi="Times New Roman" w:cs="Times New Roman"/>
          </w:rPr>
          <w:t>10.15294/ijcets.v10i1.51149</w:t>
        </w:r>
      </w:hyperlink>
    </w:p>
    <w:p w14:paraId="3F33418C" w14:textId="783A5D97"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Ben, C. B. (2014). Improving Agricultural Science Teachers’ Work Attitude in Akwa Ibom State of Nigeria: The Financial Initiative Perspective. </w:t>
      </w:r>
      <w:r w:rsidRPr="1CC24F66">
        <w:rPr>
          <w:rFonts w:ascii="Times New Roman" w:eastAsia="Times New Roman" w:hAnsi="Times New Roman" w:cs="Times New Roman"/>
          <w:i/>
          <w:iCs/>
          <w:color w:val="000000" w:themeColor="text1"/>
        </w:rPr>
        <w:t>World Journal of Education</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4</w:t>
      </w:r>
      <w:r w:rsidRPr="1CC24F66">
        <w:rPr>
          <w:rFonts w:ascii="Times New Roman" w:eastAsia="Times New Roman" w:hAnsi="Times New Roman" w:cs="Times New Roman"/>
          <w:color w:val="000000" w:themeColor="text1"/>
        </w:rPr>
        <w:t>(4), 12-19. DOI:</w:t>
      </w:r>
      <w:hyperlink r:id="rId17">
        <w:r w:rsidRPr="1CC24F66">
          <w:rPr>
            <w:rStyle w:val="Hyperlink"/>
            <w:rFonts w:ascii="Times New Roman" w:eastAsia="Times New Roman" w:hAnsi="Times New Roman" w:cs="Times New Roman"/>
          </w:rPr>
          <w:t>10.5430/wje.v4n4p12</w:t>
        </w:r>
      </w:hyperlink>
    </w:p>
    <w:p w14:paraId="4CFCB521" w14:textId="256AD6A5"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Braun, V., &amp; Clarke, V. (2021). Thematic analysis: A practical guide. UK: Sage</w:t>
      </w:r>
    </w:p>
    <w:p w14:paraId="18A2D82E" w14:textId="2972AAA9" w:rsidR="20E601FE" w:rsidRDefault="1CC24F66" w:rsidP="1CC24F66">
      <w:pPr>
        <w:ind w:left="720" w:hanging="720"/>
      </w:pPr>
      <w:r w:rsidRPr="1CC24F66">
        <w:rPr>
          <w:rFonts w:ascii="Times New Roman" w:eastAsia="Times New Roman" w:hAnsi="Times New Roman" w:cs="Times New Roman"/>
          <w:color w:val="000000" w:themeColor="text1"/>
        </w:rPr>
        <w:t>Braun, V., &amp; Clarke, V. (2023). Thematic analysis. In N. K.Denzin, Y. S. Lincoln, M. D. Giardina &amp; G. S. Cannella (Eds.), The SAGE handbook of qualitative research (6th ed., pp.385–402). UK/USA: SAGE Publications.https://uwe-repository.worktribe.com/index.php/output/10932269/thematic-analysis</w:t>
      </w:r>
    </w:p>
    <w:p w14:paraId="4686B574" w14:textId="4603E154" w:rsidR="20E601FE" w:rsidRDefault="1CC24F66" w:rsidP="1CC24F66">
      <w:pPr>
        <w:ind w:left="720" w:hanging="720"/>
      </w:pPr>
      <w:r w:rsidRPr="1CC24F66">
        <w:rPr>
          <w:rFonts w:ascii="Times New Roman" w:eastAsia="Times New Roman" w:hAnsi="Times New Roman" w:cs="Times New Roman"/>
          <w:color w:val="000000" w:themeColor="text1"/>
        </w:rPr>
        <w:t xml:space="preserve">Brinkmann, S. (2018). The interview. In N. K. Denzin, &amp; Y. S. Lincoln (Eds.), The SAGE Handbook of Qualitative Research (5 ed., pp. 576-599). SAGE Publications. </w:t>
      </w:r>
    </w:p>
    <w:p w14:paraId="00A5E14B" w14:textId="21E877FF" w:rsidR="20E601FE" w:rsidRDefault="6E522175" w:rsidP="6E522175">
      <w:pPr>
        <w:ind w:left="720" w:hanging="720"/>
        <w:rPr>
          <w:rFonts w:ascii="Times New Roman" w:eastAsia="Times New Roman" w:hAnsi="Times New Roman" w:cs="Times New Roman"/>
          <w:color w:val="000000" w:themeColor="text1"/>
        </w:rPr>
      </w:pPr>
      <w:r w:rsidRPr="6E522175">
        <w:rPr>
          <w:rFonts w:ascii="Times New Roman" w:eastAsia="Times New Roman" w:hAnsi="Times New Roman" w:cs="Times New Roman"/>
          <w:color w:val="000000" w:themeColor="text1"/>
        </w:rPr>
        <w:t xml:space="preserve">Chipfupa, U. &amp; Tagwi, A., 2021, ‘Youth’s participation in agriculture: A fallacy or achievable possibility? Evidence from rural South Africa’, </w:t>
      </w:r>
      <w:r w:rsidRPr="6E522175">
        <w:rPr>
          <w:rFonts w:ascii="Times New Roman" w:eastAsia="Times New Roman" w:hAnsi="Times New Roman" w:cs="Times New Roman"/>
          <w:i/>
          <w:iCs/>
          <w:color w:val="000000" w:themeColor="text1"/>
        </w:rPr>
        <w:t xml:space="preserve">South African Journal of Economic and Management Sciences </w:t>
      </w:r>
      <w:r w:rsidRPr="6E522175">
        <w:rPr>
          <w:rFonts w:ascii="Times New Roman" w:eastAsia="Times New Roman" w:hAnsi="Times New Roman" w:cs="Times New Roman"/>
          <w:color w:val="000000" w:themeColor="text1"/>
        </w:rPr>
        <w:t xml:space="preserve">24(1), 1-12. </w:t>
      </w:r>
      <w:hyperlink r:id="rId18">
        <w:r w:rsidRPr="6E522175">
          <w:rPr>
            <w:rStyle w:val="Hyperlink"/>
            <w:rFonts w:ascii="Times New Roman" w:eastAsia="Times New Roman" w:hAnsi="Times New Roman" w:cs="Times New Roman"/>
          </w:rPr>
          <w:t>https://doi.org/</w:t>
        </w:r>
      </w:hyperlink>
      <w:r w:rsidRPr="6E522175">
        <w:rPr>
          <w:rFonts w:ascii="Times New Roman" w:eastAsia="Times New Roman" w:hAnsi="Times New Roman" w:cs="Times New Roman"/>
          <w:color w:val="000000" w:themeColor="text1"/>
        </w:rPr>
        <w:t>10.4102/sajems.v24i1.4004</w:t>
      </w:r>
    </w:p>
    <w:p w14:paraId="7309AA57" w14:textId="5EC523CD"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Chukwu, G., &amp; Madu, T. U. (2020). Soil evangelization: Learning from school Cocoyam project in Southeast Nigeria. </w:t>
      </w:r>
      <w:r w:rsidRPr="1CC24F66">
        <w:rPr>
          <w:rFonts w:ascii="Times New Roman" w:eastAsia="Times New Roman" w:hAnsi="Times New Roman" w:cs="Times New Roman"/>
          <w:i/>
          <w:iCs/>
          <w:color w:val="000000" w:themeColor="text1"/>
        </w:rPr>
        <w:t>Agriculture and Forestry Journal</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4</w:t>
      </w:r>
      <w:r w:rsidRPr="1CC24F66">
        <w:rPr>
          <w:rFonts w:ascii="Times New Roman" w:eastAsia="Times New Roman" w:hAnsi="Times New Roman" w:cs="Times New Roman"/>
          <w:color w:val="000000" w:themeColor="text1"/>
        </w:rPr>
        <w:t xml:space="preserve">(1), 32–39. </w:t>
      </w:r>
      <w:hyperlink r:id="rId19">
        <w:r w:rsidRPr="1CC24F66">
          <w:rPr>
            <w:rStyle w:val="Hyperlink"/>
            <w:rFonts w:ascii="Times New Roman" w:eastAsia="Times New Roman" w:hAnsi="Times New Roman" w:cs="Times New Roman"/>
          </w:rPr>
          <w:t>https://doi.org/10.5281/zenodo.3837654</w:t>
        </w:r>
      </w:hyperlink>
    </w:p>
    <w:p w14:paraId="3F5486F3" w14:textId="259A07A8"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Chukwudum, O., &amp; Ogbuehi, U. (2013). Effective utilization of the school farm as instructional initiative for developing agricultural interest among primary school children in Nigeria. </w:t>
      </w:r>
      <w:r w:rsidRPr="1CC24F66">
        <w:rPr>
          <w:rFonts w:ascii="Times New Roman" w:eastAsia="Times New Roman" w:hAnsi="Times New Roman" w:cs="Times New Roman"/>
          <w:i/>
          <w:iCs/>
          <w:color w:val="000000" w:themeColor="text1"/>
        </w:rPr>
        <w:t>Academic Journal of Interdisciplinary Studies</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2</w:t>
      </w:r>
      <w:r w:rsidRPr="1CC24F66">
        <w:rPr>
          <w:rFonts w:ascii="Times New Roman" w:eastAsia="Times New Roman" w:hAnsi="Times New Roman" w:cs="Times New Roman"/>
          <w:color w:val="000000" w:themeColor="text1"/>
        </w:rPr>
        <w:t>(6), 113–118.</w:t>
      </w:r>
    </w:p>
    <w:p w14:paraId="292A3C3B" w14:textId="453C257C" w:rsidR="20E601FE" w:rsidRDefault="1CC24F66" w:rsidP="1CC24F66">
      <w:pPr>
        <w:ind w:left="720" w:hanging="720"/>
        <w:rPr>
          <w:rFonts w:ascii="Times New Roman" w:eastAsia="Times New Roman" w:hAnsi="Times New Roman" w:cs="Times New Roman"/>
        </w:rPr>
      </w:pPr>
      <w:r w:rsidRPr="1CC24F66">
        <w:rPr>
          <w:rFonts w:ascii="Times New Roman" w:eastAsia="Times New Roman" w:hAnsi="Times New Roman" w:cs="Times New Roman"/>
        </w:rPr>
        <w:lastRenderedPageBreak/>
        <w:t xml:space="preserve">Coleman, M. L., Ragan, M., &amp; Dari, T. (2024). Intercoder reliability for use in qualitative research and evaluation. </w:t>
      </w:r>
      <w:r w:rsidRPr="1CC24F66">
        <w:rPr>
          <w:rFonts w:ascii="Times New Roman" w:eastAsia="Times New Roman" w:hAnsi="Times New Roman" w:cs="Times New Roman"/>
          <w:i/>
          <w:iCs/>
        </w:rPr>
        <w:t>Measurement and Evaluation in Counseling and Development, 57</w:t>
      </w:r>
      <w:r w:rsidRPr="1CC24F66">
        <w:rPr>
          <w:rFonts w:ascii="Times New Roman" w:eastAsia="Times New Roman" w:hAnsi="Times New Roman" w:cs="Times New Roman"/>
        </w:rPr>
        <w:t xml:space="preserve">(2), 136–146. </w:t>
      </w:r>
      <w:hyperlink r:id="rId20">
        <w:r w:rsidRPr="1CC24F66">
          <w:rPr>
            <w:rStyle w:val="Hyperlink"/>
            <w:rFonts w:ascii="Times New Roman" w:eastAsia="Times New Roman" w:hAnsi="Times New Roman" w:cs="Times New Roman"/>
            <w:color w:val="auto"/>
            <w:u w:val="none"/>
          </w:rPr>
          <w:t>https://doi.org/10.1080/07481756.2024.2303715</w:t>
        </w:r>
      </w:hyperlink>
      <w:r w:rsidRPr="1CC24F66">
        <w:rPr>
          <w:rFonts w:ascii="Times New Roman" w:eastAsia="Times New Roman" w:hAnsi="Times New Roman" w:cs="Times New Roman"/>
        </w:rPr>
        <w:t xml:space="preserve"> </w:t>
      </w:r>
    </w:p>
    <w:p w14:paraId="5C38869D" w14:textId="521507D4"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Creswell, J.W. (2013). Qualitative inquiry &amp; research design: Choosing among five approaches (3d ed.). SAGE</w:t>
      </w:r>
    </w:p>
    <w:p w14:paraId="0A9EDE2A" w14:textId="5F53C9CF"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Daly, K. J. (2007). Qualitative Methods for Family Studies and Human Development, SAGE Publications</w:t>
      </w:r>
    </w:p>
    <w:p w14:paraId="0A7A6164" w14:textId="429E99E7" w:rsidR="20E601FE" w:rsidRDefault="6E522175" w:rsidP="1CC24F66">
      <w:pPr>
        <w:ind w:left="720" w:hanging="720"/>
      </w:pPr>
      <w:r w:rsidRPr="6E522175">
        <w:rPr>
          <w:rFonts w:ascii="Times New Roman" w:eastAsia="Times New Roman" w:hAnsi="Times New Roman" w:cs="Times New Roman"/>
          <w:color w:val="000000" w:themeColor="text1"/>
        </w:rPr>
        <w:t xml:space="preserve">Egbule, P. E., &amp; Dimoni, O. (2019). Students’ Interest and Motivation for Agriculture Careers and Agripreneurship: Global Imperatives. </w:t>
      </w:r>
      <w:r w:rsidRPr="6E522175">
        <w:rPr>
          <w:rFonts w:ascii="Times New Roman" w:eastAsia="Times New Roman" w:hAnsi="Times New Roman" w:cs="Times New Roman"/>
          <w:i/>
          <w:iCs/>
          <w:color w:val="000000" w:themeColor="text1"/>
        </w:rPr>
        <w:t>International Journal of Vocational Education &amp; Training</w:t>
      </w:r>
      <w:r w:rsidRPr="6E522175">
        <w:rPr>
          <w:rFonts w:ascii="Times New Roman" w:eastAsia="Times New Roman" w:hAnsi="Times New Roman" w:cs="Times New Roman"/>
          <w:color w:val="000000" w:themeColor="text1"/>
        </w:rPr>
        <w:t xml:space="preserve">, </w:t>
      </w:r>
      <w:r w:rsidRPr="6E522175">
        <w:rPr>
          <w:rFonts w:ascii="Times New Roman" w:eastAsia="Times New Roman" w:hAnsi="Times New Roman" w:cs="Times New Roman"/>
          <w:i/>
          <w:iCs/>
          <w:color w:val="000000" w:themeColor="text1"/>
        </w:rPr>
        <w:t>25</w:t>
      </w:r>
      <w:r w:rsidRPr="6E522175">
        <w:rPr>
          <w:rFonts w:ascii="Times New Roman" w:eastAsia="Times New Roman" w:hAnsi="Times New Roman" w:cs="Times New Roman"/>
          <w:color w:val="000000" w:themeColor="text1"/>
        </w:rPr>
        <w:t xml:space="preserve">(2), 25-35. </w:t>
      </w:r>
    </w:p>
    <w:p w14:paraId="06761127" w14:textId="43365D99"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Egun, A. C. (2010). The changing face of agricultural education in Nigeria: challenges and prospects. Education, 131(2), 342+.</w:t>
      </w:r>
    </w:p>
    <w:p w14:paraId="31234641" w14:textId="5AB57A80"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Ejembi, E. (2019). The School Farm: An Avenue for Entrepreneurship Education for Youth Empowerment in Nigerian Secondary Schools. </w:t>
      </w:r>
      <w:r w:rsidRPr="1CC24F66">
        <w:rPr>
          <w:rFonts w:ascii="Times New Roman" w:eastAsia="Times New Roman" w:hAnsi="Times New Roman" w:cs="Times New Roman"/>
          <w:i/>
          <w:iCs/>
          <w:color w:val="000000" w:themeColor="text1"/>
        </w:rPr>
        <w:t>International Journal of Educational Research and Policy Making (ILERPM)</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2</w:t>
      </w:r>
      <w:r w:rsidRPr="1CC24F66">
        <w:rPr>
          <w:rFonts w:ascii="Times New Roman" w:eastAsia="Times New Roman" w:hAnsi="Times New Roman" w:cs="Times New Roman"/>
          <w:color w:val="000000" w:themeColor="text1"/>
        </w:rPr>
        <w:t>(2), 288–304.</w:t>
      </w:r>
    </w:p>
    <w:p w14:paraId="4883ECE1" w14:textId="69502456"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Ekele, G. E., Doom, J. A., &amp; Ngbongha, I. O. (2020). Evaluation of the Implementation of Agricultural Education Programme in Colleges of Education in Taraba and Adamawa States, Nigeria. </w:t>
      </w:r>
      <w:r w:rsidRPr="1CC24F66">
        <w:rPr>
          <w:rFonts w:ascii="Times New Roman" w:eastAsia="Times New Roman" w:hAnsi="Times New Roman" w:cs="Times New Roman"/>
          <w:i/>
          <w:iCs/>
          <w:color w:val="000000" w:themeColor="text1"/>
        </w:rPr>
        <w:t>Evaluation</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1</w:t>
      </w:r>
      <w:r w:rsidRPr="1CC24F66">
        <w:rPr>
          <w:rFonts w:ascii="Times New Roman" w:eastAsia="Times New Roman" w:hAnsi="Times New Roman" w:cs="Times New Roman"/>
          <w:color w:val="000000" w:themeColor="text1"/>
        </w:rPr>
        <w:t>(1), 78-89. DOI: 10.5281/zenodo.3937224</w:t>
      </w:r>
    </w:p>
    <w:p w14:paraId="408D09A0" w14:textId="4463FE51"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Ekezie, A., &amp; Deebom, M. (2019). Relevance of vocational agriculture education on the reduction unemployment among Nigerian graduates in Rivers State. </w:t>
      </w:r>
      <w:r w:rsidRPr="1CC24F66">
        <w:rPr>
          <w:rFonts w:ascii="Times New Roman" w:eastAsia="Times New Roman" w:hAnsi="Times New Roman" w:cs="Times New Roman"/>
          <w:i/>
          <w:iCs/>
          <w:color w:val="000000" w:themeColor="text1"/>
        </w:rPr>
        <w:t>International journal of innovative education research</w:t>
      </w:r>
      <w:r w:rsidRPr="1CC24F66">
        <w:rPr>
          <w:rFonts w:ascii="Times New Roman" w:eastAsia="Times New Roman" w:hAnsi="Times New Roman" w:cs="Times New Roman"/>
          <w:color w:val="000000" w:themeColor="text1"/>
        </w:rPr>
        <w:t xml:space="preserve"> 7(2): 75-84.</w:t>
      </w:r>
    </w:p>
    <w:p w14:paraId="3D23AB09" w14:textId="245BE79D"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Enoch, J. U., &amp; Asogwa, V. C. (2021). Teacher-Student Relationship and Attitude as Correlates of Students’ Academic Achievement in Agricultural Science in Senior Secondary Schools. </w:t>
      </w:r>
      <w:r w:rsidRPr="1CC24F66">
        <w:rPr>
          <w:rFonts w:ascii="Times New Roman" w:eastAsia="Times New Roman" w:hAnsi="Times New Roman" w:cs="Times New Roman"/>
          <w:i/>
          <w:iCs/>
          <w:color w:val="000000" w:themeColor="text1"/>
        </w:rPr>
        <w:t>African Educational Research Journal</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9</w:t>
      </w:r>
      <w:r w:rsidRPr="1CC24F66">
        <w:rPr>
          <w:rFonts w:ascii="Times New Roman" w:eastAsia="Times New Roman" w:hAnsi="Times New Roman" w:cs="Times New Roman"/>
          <w:color w:val="000000" w:themeColor="text1"/>
        </w:rPr>
        <w:t>(2), 600–605.</w:t>
      </w:r>
    </w:p>
    <w:p w14:paraId="4F8793AF" w14:textId="0DF0A2D4"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Famiwole, R. O. (2015). Supervised Agricultural Experience Programmes (SAEP) and Work Linked Education (WLE): Panacea for Empowering Youths and Preventing Joblessness. </w:t>
      </w:r>
      <w:r w:rsidRPr="1CC24F66">
        <w:rPr>
          <w:rFonts w:ascii="Times New Roman" w:eastAsia="Times New Roman" w:hAnsi="Times New Roman" w:cs="Times New Roman"/>
          <w:i/>
          <w:iCs/>
          <w:color w:val="000000" w:themeColor="text1"/>
        </w:rPr>
        <w:t>Journal of Education and Practice</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6</w:t>
      </w:r>
      <w:r w:rsidRPr="1CC24F66">
        <w:rPr>
          <w:rFonts w:ascii="Times New Roman" w:eastAsia="Times New Roman" w:hAnsi="Times New Roman" w:cs="Times New Roman"/>
          <w:color w:val="000000" w:themeColor="text1"/>
        </w:rPr>
        <w:t>(16), 103–109.</w:t>
      </w:r>
    </w:p>
    <w:p w14:paraId="2B599D30" w14:textId="6AB0C672"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Galal, S. (2023, December 14). Population in Africa, by country 2023. Statista. </w:t>
      </w:r>
      <w:hyperlink r:id="rId21" w:anchor=":~:text=Nigeria%20has%20the%20largest%20population,second%2C%20has%20115%20million%20inhabitants">
        <w:r w:rsidRPr="1CC24F66">
          <w:rPr>
            <w:rStyle w:val="Hyperlink"/>
            <w:rFonts w:ascii="Times New Roman" w:eastAsia="Times New Roman" w:hAnsi="Times New Roman" w:cs="Times New Roman"/>
          </w:rPr>
          <w:t>https://www.statista.com/statistics/1121246/population-in-africa-by-country/#:~:text=Nigeria%20has%20the%20largest%20population,second%2C%20has%20115%20million%20inhabitants</w:t>
        </w:r>
      </w:hyperlink>
    </w:p>
    <w:p w14:paraId="79C997F5" w14:textId="620D0632" w:rsidR="20E601FE" w:rsidRDefault="6E522175" w:rsidP="1CC24F66">
      <w:pPr>
        <w:ind w:left="720" w:hanging="720"/>
      </w:pPr>
      <w:r w:rsidRPr="6E522175">
        <w:rPr>
          <w:rFonts w:ascii="Times New Roman" w:eastAsia="Times New Roman" w:hAnsi="Times New Roman" w:cs="Times New Roman"/>
          <w:color w:val="000000" w:themeColor="text1"/>
        </w:rPr>
        <w:t xml:space="preserve">Geertz, C. (1973). Deep Play: Notes on the Balinese Cockfight. In The Interpretation of Cultures, New York, NY: Basic Books. </w:t>
      </w:r>
    </w:p>
    <w:p w14:paraId="7ADA4BC4" w14:textId="2EDFC13D"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Geza, W., Ngidi, M., Ojo, T., Adetoro, A., Slotow, R., &amp; Mabhaudhi, T. (2021). Youth participation in agriculture: A scoping review. </w:t>
      </w:r>
      <w:r w:rsidRPr="1CC24F66">
        <w:rPr>
          <w:rFonts w:ascii="Times New Roman" w:eastAsia="Times New Roman" w:hAnsi="Times New Roman" w:cs="Times New Roman"/>
          <w:i/>
          <w:iCs/>
          <w:color w:val="000000" w:themeColor="text1"/>
        </w:rPr>
        <w:t>Sustainability</w:t>
      </w:r>
      <w:r w:rsidRPr="1CC24F66">
        <w:rPr>
          <w:rFonts w:ascii="Times New Roman" w:eastAsia="Times New Roman" w:hAnsi="Times New Roman" w:cs="Times New Roman"/>
          <w:color w:val="000000" w:themeColor="text1"/>
        </w:rPr>
        <w:t xml:space="preserve">, 13(16), 9120 - 9135. </w:t>
      </w:r>
      <w:hyperlink r:id="rId22">
        <w:r w:rsidRPr="1CC24F66">
          <w:rPr>
            <w:rStyle w:val="Hyperlink"/>
            <w:rFonts w:ascii="Times New Roman" w:eastAsia="Times New Roman" w:hAnsi="Times New Roman" w:cs="Times New Roman"/>
          </w:rPr>
          <w:t>https://doi.org/10.3390/su13169120</w:t>
        </w:r>
      </w:hyperlink>
    </w:p>
    <w:p w14:paraId="4BF0FD1C" w14:textId="10A402F7"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Gill, T., Jones, K., &amp; Hammett, T. (2016). Agricultural education and training system capacity development for sub-Saharan Africa: The role of InnovATE. </w:t>
      </w:r>
      <w:r w:rsidRPr="1CC24F66">
        <w:rPr>
          <w:rFonts w:ascii="Times New Roman" w:eastAsia="Times New Roman" w:hAnsi="Times New Roman" w:cs="Times New Roman"/>
          <w:i/>
          <w:iCs/>
          <w:color w:val="000000" w:themeColor="text1"/>
        </w:rPr>
        <w:t>The Journal of development communication</w:t>
      </w:r>
      <w:r w:rsidRPr="1CC24F66">
        <w:rPr>
          <w:rFonts w:ascii="Times New Roman" w:eastAsia="Times New Roman" w:hAnsi="Times New Roman" w:cs="Times New Roman"/>
          <w:color w:val="000000" w:themeColor="text1"/>
        </w:rPr>
        <w:t>, 4(2), 401-415. 10.4314/jdcs.v4i2.1</w:t>
      </w:r>
    </w:p>
    <w:p w14:paraId="4D8EC6F1" w14:textId="6D2A9EC2"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Grewal, A., Kataria, H., &amp; Dhawan, I. (2016). Literature search for research planning and identification of research problem</w:t>
      </w:r>
      <w:r w:rsidRPr="1CC24F66">
        <w:rPr>
          <w:rFonts w:ascii="Times New Roman" w:eastAsia="Times New Roman" w:hAnsi="Times New Roman" w:cs="Times New Roman"/>
          <w:i/>
          <w:iCs/>
          <w:color w:val="000000" w:themeColor="text1"/>
        </w:rPr>
        <w:t>. Indian Journal of Anaesthesia</w:t>
      </w:r>
      <w:r w:rsidRPr="1CC24F66">
        <w:rPr>
          <w:rFonts w:ascii="Times New Roman" w:eastAsia="Times New Roman" w:hAnsi="Times New Roman" w:cs="Times New Roman"/>
          <w:color w:val="000000" w:themeColor="text1"/>
        </w:rPr>
        <w:t xml:space="preserve">, 60(9), 635-639. </w:t>
      </w:r>
      <w:hyperlink r:id="rId23">
        <w:r w:rsidRPr="1CC24F66">
          <w:rPr>
            <w:rStyle w:val="Hyperlink"/>
            <w:rFonts w:ascii="Times New Roman" w:eastAsia="Times New Roman" w:hAnsi="Times New Roman" w:cs="Times New Roman"/>
          </w:rPr>
          <w:t>https://doi.org/10.4103/0019-5049.190618</w:t>
        </w:r>
      </w:hyperlink>
    </w:p>
    <w:p w14:paraId="030D9581" w14:textId="71052457"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Haruna, O. I., Asogwa, V. C., &amp; Ezhim, I. A. (2019). Challenges and Enhancement of Youth Participation in Agricultural Education for Sustainable Food Security. </w:t>
      </w:r>
      <w:r w:rsidRPr="1CC24F66">
        <w:rPr>
          <w:rFonts w:ascii="Times New Roman" w:eastAsia="Times New Roman" w:hAnsi="Times New Roman" w:cs="Times New Roman"/>
          <w:i/>
          <w:iCs/>
          <w:color w:val="000000" w:themeColor="text1"/>
        </w:rPr>
        <w:t>African Educational Research Journal</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7</w:t>
      </w:r>
      <w:r w:rsidRPr="1CC24F66">
        <w:rPr>
          <w:rFonts w:ascii="Times New Roman" w:eastAsia="Times New Roman" w:hAnsi="Times New Roman" w:cs="Times New Roman"/>
          <w:color w:val="000000" w:themeColor="text1"/>
        </w:rPr>
        <w:t>(4), 174–182. DOI: 10.30918/AERJ.74.19.028</w:t>
      </w:r>
    </w:p>
    <w:p w14:paraId="25FD30E1" w14:textId="05750ACC" w:rsidR="20E601FE" w:rsidRDefault="1CC24F66" w:rsidP="1CC24F66">
      <w:pPr>
        <w:ind w:left="720" w:hanging="720"/>
      </w:pPr>
      <w:r w:rsidRPr="1CC24F66">
        <w:rPr>
          <w:rFonts w:ascii="Times New Roman" w:eastAsia="Times New Roman" w:hAnsi="Times New Roman" w:cs="Times New Roman"/>
          <w:color w:val="000000" w:themeColor="text1"/>
        </w:rPr>
        <w:lastRenderedPageBreak/>
        <w:t xml:space="preserve">Ibrahim, A., Nayaya, A., Ahmad, A., Ifeanyieze, F., &amp; Bashehu, S. (2020). Revitalizing agricultural education and training in tertiary institutions for food security and national development in Gombe State, Nigeria. </w:t>
      </w:r>
      <w:r w:rsidRPr="1CC24F66">
        <w:rPr>
          <w:rFonts w:ascii="Times New Roman" w:eastAsia="Times New Roman" w:hAnsi="Times New Roman" w:cs="Times New Roman"/>
          <w:i/>
          <w:iCs/>
          <w:color w:val="000000" w:themeColor="text1"/>
        </w:rPr>
        <w:t>Journal of Association of Vocational and Technical Educators of Nigeria</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26</w:t>
      </w:r>
      <w:r w:rsidRPr="1CC24F66">
        <w:rPr>
          <w:rFonts w:ascii="Times New Roman" w:eastAsia="Times New Roman" w:hAnsi="Times New Roman" w:cs="Times New Roman"/>
          <w:color w:val="000000" w:themeColor="text1"/>
        </w:rPr>
        <w:t xml:space="preserve">(1). </w:t>
      </w:r>
    </w:p>
    <w:p w14:paraId="3D9AFCB0" w14:textId="4725249C"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Ibrahim, H. E. (2014). The problems and prospects of agricultural education in Nigeria. </w:t>
      </w:r>
      <w:r w:rsidRPr="1CC24F66">
        <w:rPr>
          <w:rFonts w:ascii="Times New Roman" w:eastAsia="Times New Roman" w:hAnsi="Times New Roman" w:cs="Times New Roman"/>
          <w:i/>
          <w:iCs/>
          <w:color w:val="000000" w:themeColor="text1"/>
        </w:rPr>
        <w:t>Journal of Resourcefulness and Distinction</w:t>
      </w:r>
      <w:r w:rsidRPr="1CC24F66">
        <w:rPr>
          <w:rFonts w:ascii="Times New Roman" w:eastAsia="Times New Roman" w:hAnsi="Times New Roman" w:cs="Times New Roman"/>
          <w:color w:val="000000" w:themeColor="text1"/>
        </w:rPr>
        <w:t>, 7(1), 1–9.</w:t>
      </w:r>
    </w:p>
    <w:p w14:paraId="434A1E60" w14:textId="4C8EE076"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Ibrahim, B., &amp; Ibrahim, F. (2017). Youth agrophobia: The roles of gender and general self-efficacy in a Nigerian agriculture-affiliated-undergraduate sample. </w:t>
      </w:r>
      <w:r w:rsidRPr="1CC24F66">
        <w:rPr>
          <w:rFonts w:ascii="Times New Roman" w:eastAsia="Times New Roman" w:hAnsi="Times New Roman" w:cs="Times New Roman"/>
          <w:i/>
          <w:iCs/>
          <w:color w:val="000000" w:themeColor="text1"/>
        </w:rPr>
        <w:t>Journal of Agricultural Research and Development</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15</w:t>
      </w:r>
      <w:r w:rsidRPr="1CC24F66">
        <w:rPr>
          <w:rFonts w:ascii="Times New Roman" w:eastAsia="Times New Roman" w:hAnsi="Times New Roman" w:cs="Times New Roman"/>
          <w:color w:val="000000" w:themeColor="text1"/>
        </w:rPr>
        <w:t>(2), 65–74. DOI:</w:t>
      </w:r>
      <w:hyperlink r:id="rId24">
        <w:r w:rsidRPr="1CC24F66">
          <w:rPr>
            <w:rStyle w:val="Hyperlink"/>
            <w:rFonts w:ascii="Times New Roman" w:eastAsia="Times New Roman" w:hAnsi="Times New Roman" w:cs="Times New Roman"/>
          </w:rPr>
          <w:t>10.4314/jard.v15i2.7</w:t>
        </w:r>
      </w:hyperlink>
    </w:p>
    <w:p w14:paraId="63B97EA1" w14:textId="7686EF8F"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Ifeanyieze, F., Ede, K., &amp; Isiwu, E. (2023). Effect of career counseling on students ‘interest, academic performance and retention rate in agricultural education programme in universities in South East Nigeria. </w:t>
      </w:r>
      <w:r w:rsidRPr="1CC24F66">
        <w:rPr>
          <w:rFonts w:ascii="Times New Roman" w:eastAsia="Times New Roman" w:hAnsi="Times New Roman" w:cs="Times New Roman"/>
          <w:i/>
          <w:iCs/>
          <w:color w:val="000000" w:themeColor="text1"/>
        </w:rPr>
        <w:t>Interdisciplinary Journal of Educational Practice (IJEP)</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10</w:t>
      </w:r>
      <w:r w:rsidRPr="1CC24F66">
        <w:rPr>
          <w:rFonts w:ascii="Times New Roman" w:eastAsia="Times New Roman" w:hAnsi="Times New Roman" w:cs="Times New Roman"/>
          <w:color w:val="000000" w:themeColor="text1"/>
        </w:rPr>
        <w:t>(3), 64–77. DOI:</w:t>
      </w:r>
      <w:hyperlink r:id="rId25">
        <w:r w:rsidRPr="1CC24F66">
          <w:rPr>
            <w:rStyle w:val="Hyperlink"/>
            <w:rFonts w:ascii="Times New Roman" w:eastAsia="Times New Roman" w:hAnsi="Times New Roman" w:cs="Times New Roman"/>
          </w:rPr>
          <w:t>10.5281/zenodo.8249980</w:t>
        </w:r>
      </w:hyperlink>
    </w:p>
    <w:p w14:paraId="4F067841" w14:textId="579287B6"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Ikebuaku, K. (2023). Exploring the Dynamics of Agripreneurship Perception and Intention among the Nigerian Youth. </w:t>
      </w:r>
      <w:r w:rsidRPr="1CC24F66">
        <w:rPr>
          <w:rFonts w:ascii="Times New Roman" w:eastAsia="Times New Roman" w:hAnsi="Times New Roman" w:cs="Times New Roman"/>
          <w:i/>
          <w:iCs/>
          <w:color w:val="000000" w:themeColor="text1"/>
        </w:rPr>
        <w:t>Journal of Economic and Social Development</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10</w:t>
      </w:r>
      <w:r w:rsidRPr="1CC24F66">
        <w:rPr>
          <w:rFonts w:ascii="Times New Roman" w:eastAsia="Times New Roman" w:hAnsi="Times New Roman" w:cs="Times New Roman"/>
          <w:color w:val="000000" w:themeColor="text1"/>
        </w:rPr>
        <w:t xml:space="preserve">(1), 14–27. DOI: </w:t>
      </w:r>
      <w:hyperlink r:id="rId26">
        <w:r w:rsidRPr="1CC24F66">
          <w:rPr>
            <w:rStyle w:val="Hyperlink"/>
            <w:rFonts w:ascii="Times New Roman" w:eastAsia="Times New Roman" w:hAnsi="Times New Roman" w:cs="Times New Roman"/>
          </w:rPr>
          <w:t>https://doi.org/10.31098/ijmesh.v6i2.1222</w:t>
        </w:r>
      </w:hyperlink>
    </w:p>
    <w:p w14:paraId="01837825" w14:textId="3275C0CF"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Ikuemonisan, E., Abass, A., Feleke, S., &amp; Ajibefun, I. (2022). Influence of Agricultural Degree Programme environment on career in agribusiness among college students in Nigeria. </w:t>
      </w:r>
      <w:r w:rsidRPr="1CC24F66">
        <w:rPr>
          <w:rFonts w:ascii="Times New Roman" w:eastAsia="Times New Roman" w:hAnsi="Times New Roman" w:cs="Times New Roman"/>
          <w:i/>
          <w:iCs/>
          <w:color w:val="000000" w:themeColor="text1"/>
        </w:rPr>
        <w:t>Journal of agriculture and food research</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7</w:t>
      </w:r>
      <w:r w:rsidRPr="1CC24F66">
        <w:rPr>
          <w:rFonts w:ascii="Times New Roman" w:eastAsia="Times New Roman" w:hAnsi="Times New Roman" w:cs="Times New Roman"/>
          <w:color w:val="000000" w:themeColor="text1"/>
        </w:rPr>
        <w:t xml:space="preserve">. </w:t>
      </w:r>
      <w:hyperlink r:id="rId27">
        <w:r w:rsidRPr="1CC24F66">
          <w:rPr>
            <w:rStyle w:val="Hyperlink"/>
            <w:rFonts w:ascii="Times New Roman" w:eastAsia="Times New Roman" w:hAnsi="Times New Roman" w:cs="Times New Roman"/>
          </w:rPr>
          <w:t>https://doi.org/10.1016/j.jafr.2021.100256</w:t>
        </w:r>
      </w:hyperlink>
    </w:p>
    <w:p w14:paraId="23C086C0" w14:textId="76F44CDF"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Innocent-Ene, E.O., Suleiman, A.D., &amp; Sanni, J.A. (2022). Implication of Agricultural Science education on the development of the Nigerian economy. </w:t>
      </w:r>
      <w:r w:rsidRPr="1CC24F66">
        <w:rPr>
          <w:rFonts w:ascii="Times New Roman" w:eastAsia="Times New Roman" w:hAnsi="Times New Roman" w:cs="Times New Roman"/>
          <w:i/>
          <w:iCs/>
          <w:color w:val="000000" w:themeColor="text1"/>
        </w:rPr>
        <w:t>Kashere Journal of Education</w:t>
      </w:r>
      <w:r w:rsidRPr="1CC24F66">
        <w:rPr>
          <w:rFonts w:ascii="Times New Roman" w:eastAsia="Times New Roman" w:hAnsi="Times New Roman" w:cs="Times New Roman"/>
          <w:color w:val="000000" w:themeColor="text1"/>
        </w:rPr>
        <w:t xml:space="preserve">. </w:t>
      </w:r>
      <w:hyperlink r:id="rId28">
        <w:r w:rsidRPr="1CC24F66">
          <w:rPr>
            <w:rStyle w:val="Hyperlink"/>
            <w:rFonts w:ascii="Times New Roman" w:eastAsia="Times New Roman" w:hAnsi="Times New Roman" w:cs="Times New Roman"/>
          </w:rPr>
          <w:t>10.4314/kje.v2i2.19</w:t>
        </w:r>
      </w:hyperlink>
    </w:p>
    <w:p w14:paraId="47091892" w14:textId="5732EE85"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Iyer, I.N., &amp; Ramachandran, S. (2024). Thematic Analysis and Poetic Inquiry of Educators' Meaning-Making and Sense-Making of Social Justice. International Journal of Changes in Education. 00(00) 1-10 </w:t>
      </w:r>
      <w:hyperlink r:id="rId29">
        <w:r w:rsidRPr="1CC24F66">
          <w:rPr>
            <w:rStyle w:val="Hyperlink"/>
            <w:rFonts w:ascii="Times New Roman" w:eastAsia="Times New Roman" w:hAnsi="Times New Roman" w:cs="Times New Roman"/>
          </w:rPr>
          <w:t>https://doi.org/10.47852/bonviewIJCE42023003</w:t>
        </w:r>
      </w:hyperlink>
    </w:p>
    <w:p w14:paraId="1DD6719A" w14:textId="14AA9EFC" w:rsidR="20E601FE" w:rsidRDefault="1CC24F66" w:rsidP="1CC24F66">
      <w:pPr>
        <w:ind w:left="720" w:hanging="720"/>
      </w:pPr>
      <w:r w:rsidRPr="1CC24F66">
        <w:rPr>
          <w:rFonts w:ascii="Times New Roman" w:eastAsia="Times New Roman" w:hAnsi="Times New Roman" w:cs="Times New Roman"/>
          <w:color w:val="000000" w:themeColor="text1"/>
        </w:rPr>
        <w:t xml:space="preserve">Johnwest, E., &amp; Amadi, N. (2023). Perceived Impact of Demonstration Farms on Practical Skill Acquisition by Agricultural Education Undergraduates in Tertiary Institutions in Rivers State. </w:t>
      </w:r>
      <w:r w:rsidRPr="1CC24F66">
        <w:rPr>
          <w:rFonts w:ascii="Times New Roman" w:eastAsia="Times New Roman" w:hAnsi="Times New Roman" w:cs="Times New Roman"/>
          <w:i/>
          <w:iCs/>
          <w:color w:val="000000" w:themeColor="text1"/>
        </w:rPr>
        <w:t>Journal of Contemporary Science and Engineering Technology</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2</w:t>
      </w:r>
      <w:r w:rsidRPr="1CC24F66">
        <w:rPr>
          <w:rFonts w:ascii="Times New Roman" w:eastAsia="Times New Roman" w:hAnsi="Times New Roman" w:cs="Times New Roman"/>
          <w:color w:val="000000" w:themeColor="text1"/>
        </w:rPr>
        <w:t xml:space="preserve">(3), 57-67. </w:t>
      </w:r>
    </w:p>
    <w:p w14:paraId="2A579D18" w14:textId="28596E74"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Jooji, T., &amp; Oguchi, B. (2020). Sustainable agriculture, poverty reduction and enhanced livelihood: a three-step approach to sustainable development in Nigeria</w:t>
      </w:r>
      <w:r w:rsidRPr="1CC24F66">
        <w:rPr>
          <w:rFonts w:ascii="Times New Roman" w:eastAsia="Times New Roman" w:hAnsi="Times New Roman" w:cs="Times New Roman"/>
          <w:i/>
          <w:iCs/>
          <w:color w:val="000000" w:themeColor="text1"/>
        </w:rPr>
        <w:t>. International Journal of Innovative Research in Social Sciences and Strategic Management Techniques</w:t>
      </w:r>
      <w:r w:rsidRPr="1CC24F66">
        <w:rPr>
          <w:rFonts w:ascii="Times New Roman" w:eastAsia="Times New Roman" w:hAnsi="Times New Roman" w:cs="Times New Roman"/>
          <w:color w:val="000000" w:themeColor="text1"/>
        </w:rPr>
        <w:t>. 7. 82-96. 10.48028/iiprds/ijirsssmt.v7.i1.06.</w:t>
      </w:r>
    </w:p>
    <w:p w14:paraId="795982FF" w14:textId="33731A13" w:rsidR="20E601FE" w:rsidRDefault="1CC24F66" w:rsidP="1CC24F66">
      <w:pPr>
        <w:ind w:left="720" w:hanging="720"/>
      </w:pPr>
      <w:r w:rsidRPr="1CC24F66">
        <w:rPr>
          <w:rFonts w:ascii="Times New Roman" w:eastAsia="Times New Roman" w:hAnsi="Times New Roman" w:cs="Times New Roman"/>
          <w:color w:val="000000" w:themeColor="text1"/>
        </w:rPr>
        <w:t>Kaduna, G., Nuhu, R., &amp; Yoila, H. (2019). Effect of teaching poultry production on choice of career by Agricultural Science students in secondary schools in the Southern Senatorial Zone, Adamawa State, Nigeria.</w:t>
      </w:r>
      <w:r w:rsidRPr="1CC24F66">
        <w:rPr>
          <w:rFonts w:ascii="Times New Roman" w:eastAsia="Times New Roman" w:hAnsi="Times New Roman" w:cs="Times New Roman"/>
          <w:i/>
          <w:iCs/>
          <w:color w:val="000000" w:themeColor="text1"/>
        </w:rPr>
        <w:t xml:space="preserve"> Integrity Journal of Education and Training, </w:t>
      </w:r>
      <w:r w:rsidRPr="1CC24F66">
        <w:rPr>
          <w:rFonts w:ascii="Times New Roman" w:eastAsia="Times New Roman" w:hAnsi="Times New Roman" w:cs="Times New Roman"/>
          <w:color w:val="000000" w:themeColor="text1"/>
        </w:rPr>
        <w:t xml:space="preserve">3(1), 10-13. 10.31248/IJET2018.030. </w:t>
      </w:r>
    </w:p>
    <w:p w14:paraId="3F84E162" w14:textId="017ADB0B"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Kaleptwa, F., &amp; Igomu, A. C. (2013). Implementation of Agricultural Science Curriculum in Taraba State School System: Imperatives for Students’ Occupational Skills Acquisition. </w:t>
      </w:r>
      <w:r w:rsidRPr="1CC24F66">
        <w:rPr>
          <w:rFonts w:ascii="Times New Roman" w:eastAsia="Times New Roman" w:hAnsi="Times New Roman" w:cs="Times New Roman"/>
          <w:i/>
          <w:iCs/>
          <w:color w:val="000000" w:themeColor="text1"/>
        </w:rPr>
        <w:t>Journal of Education and Practice</w:t>
      </w:r>
      <w:r w:rsidRPr="1CC24F66">
        <w:rPr>
          <w:rFonts w:ascii="Times New Roman" w:eastAsia="Times New Roman" w:hAnsi="Times New Roman" w:cs="Times New Roman"/>
          <w:color w:val="000000" w:themeColor="text1"/>
        </w:rPr>
        <w:t>, 4(15), 1-7.</w:t>
      </w:r>
    </w:p>
    <w:p w14:paraId="4CA1B161" w14:textId="5FECCAF4" w:rsidR="20E601FE" w:rsidRDefault="6E522175" w:rsidP="6E522175">
      <w:pPr>
        <w:ind w:left="720" w:hanging="720"/>
        <w:rPr>
          <w:rFonts w:ascii="Times New Roman" w:eastAsia="Times New Roman" w:hAnsi="Times New Roman" w:cs="Times New Roman"/>
          <w:color w:val="000000" w:themeColor="text1"/>
        </w:rPr>
      </w:pPr>
      <w:r w:rsidRPr="6E522175">
        <w:rPr>
          <w:rFonts w:ascii="Times New Roman" w:eastAsia="Times New Roman" w:hAnsi="Times New Roman" w:cs="Times New Roman"/>
          <w:color w:val="000000" w:themeColor="text1"/>
        </w:rPr>
        <w:t xml:space="preserve">Kloda, L., &amp; Bartlett, J. C. (2013). Formulating answerable questions: Question negotiation in evidence-based practice. </w:t>
      </w:r>
      <w:r w:rsidRPr="6E522175">
        <w:rPr>
          <w:rFonts w:ascii="Times New Roman" w:eastAsia="Times New Roman" w:hAnsi="Times New Roman" w:cs="Times New Roman"/>
          <w:i/>
          <w:iCs/>
          <w:color w:val="000000" w:themeColor="text1"/>
        </w:rPr>
        <w:t>Journal of the Canadian Health Libraries Association</w:t>
      </w:r>
      <w:r w:rsidRPr="6E522175">
        <w:rPr>
          <w:rFonts w:ascii="Times New Roman" w:eastAsia="Times New Roman" w:hAnsi="Times New Roman" w:cs="Times New Roman"/>
          <w:color w:val="000000" w:themeColor="text1"/>
        </w:rPr>
        <w:t xml:space="preserve">, 34(2), 55–60. </w:t>
      </w:r>
      <w:hyperlink r:id="rId30">
        <w:r w:rsidRPr="6E522175">
          <w:rPr>
            <w:rStyle w:val="Hyperlink"/>
            <w:rFonts w:ascii="Times New Roman" w:eastAsia="Times New Roman" w:hAnsi="Times New Roman" w:cs="Times New Roman"/>
          </w:rPr>
          <w:t>https://doi.org/10.5596/c13-019</w:t>
        </w:r>
      </w:hyperlink>
    </w:p>
    <w:p w14:paraId="37782000" w14:textId="7B49DCD9"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Kote, P., M, Y., Jabeen, A., T. N., S., Prabhavathi, S.J., Ramasamy, M., Dhanalakshmi, K., Chitra, K., &amp; Malathi, G. (2024). A scoping review on youth participation in agriculture: sustainable development, food security, and economic growth. </w:t>
      </w:r>
      <w:r w:rsidRPr="1CC24F66">
        <w:rPr>
          <w:rFonts w:ascii="Times New Roman" w:eastAsia="Times New Roman" w:hAnsi="Times New Roman" w:cs="Times New Roman"/>
          <w:i/>
          <w:iCs/>
          <w:color w:val="000000" w:themeColor="text1"/>
        </w:rPr>
        <w:t>Journal of Scientific Research and Reports</w:t>
      </w:r>
      <w:r w:rsidRPr="1CC24F66">
        <w:rPr>
          <w:rFonts w:ascii="Times New Roman" w:eastAsia="Times New Roman" w:hAnsi="Times New Roman" w:cs="Times New Roman"/>
          <w:color w:val="000000" w:themeColor="text1"/>
        </w:rPr>
        <w:t>. 30(5), 947-958, 10.9734/JSRR/2024/v30i52012</w:t>
      </w:r>
    </w:p>
    <w:p w14:paraId="4E6A38B6" w14:textId="13021806"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lastRenderedPageBreak/>
        <w:t>Koyenikan, M., &amp; Anozie, O. (2020). Career readiness of final year agriculture students in tertiary institutions in South West region of Nigeria. A</w:t>
      </w:r>
      <w:r w:rsidRPr="1CC24F66">
        <w:rPr>
          <w:rFonts w:ascii="Times New Roman" w:eastAsia="Times New Roman" w:hAnsi="Times New Roman" w:cs="Times New Roman"/>
          <w:i/>
          <w:iCs/>
          <w:color w:val="000000" w:themeColor="text1"/>
        </w:rPr>
        <w:t>dan journal of agriculture</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1</w:t>
      </w:r>
      <w:r w:rsidRPr="1CC24F66">
        <w:rPr>
          <w:rFonts w:ascii="Times New Roman" w:eastAsia="Times New Roman" w:hAnsi="Times New Roman" w:cs="Times New Roman"/>
          <w:color w:val="000000" w:themeColor="text1"/>
        </w:rPr>
        <w:t xml:space="preserve">(1), 19–29. DOI: </w:t>
      </w:r>
      <w:hyperlink r:id="rId31">
        <w:r w:rsidRPr="1CC24F66">
          <w:rPr>
            <w:rStyle w:val="Hyperlink"/>
            <w:rFonts w:ascii="Times New Roman" w:eastAsia="Times New Roman" w:hAnsi="Times New Roman" w:cs="Times New Roman"/>
          </w:rPr>
          <w:t>https://doi.org/10.36108/adanja/0202.10.0130</w:t>
        </w:r>
      </w:hyperlink>
    </w:p>
    <w:p w14:paraId="72F088D1" w14:textId="71CBE9E4" w:rsidR="20E601FE" w:rsidRDefault="1CC24F66" w:rsidP="1CC24F66">
      <w:pPr>
        <w:ind w:left="720" w:hanging="720"/>
      </w:pPr>
      <w:r w:rsidRPr="1CC24F66">
        <w:rPr>
          <w:rFonts w:ascii="Times New Roman" w:eastAsia="Times New Roman" w:hAnsi="Times New Roman" w:cs="Times New Roman"/>
          <w:color w:val="000000" w:themeColor="text1"/>
        </w:rPr>
        <w:t xml:space="preserve">Ladele, A., &amp; Badiru, I. (2014). Appraisal of the first phase of the school farm progamme in Oyo State. </w:t>
      </w:r>
      <w:r w:rsidRPr="1CC24F66">
        <w:rPr>
          <w:rFonts w:ascii="Times New Roman" w:eastAsia="Times New Roman" w:hAnsi="Times New Roman" w:cs="Times New Roman"/>
          <w:i/>
          <w:iCs/>
          <w:color w:val="000000" w:themeColor="text1"/>
        </w:rPr>
        <w:t>Nigerian Journal of Rural Sociology</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15</w:t>
      </w:r>
      <w:r w:rsidRPr="1CC24F66">
        <w:rPr>
          <w:rFonts w:ascii="Times New Roman" w:eastAsia="Times New Roman" w:hAnsi="Times New Roman" w:cs="Times New Roman"/>
          <w:color w:val="000000" w:themeColor="text1"/>
        </w:rPr>
        <w:t xml:space="preserve">(1), 7-14. </w:t>
      </w:r>
      <w:r w:rsidRPr="1CC24F66">
        <w:rPr>
          <w:rFonts w:ascii="Times New Roman" w:eastAsia="Times New Roman" w:hAnsi="Times New Roman" w:cs="Times New Roman"/>
          <w:color w:val="333333"/>
        </w:rPr>
        <w:t>DOI: 10.22004/ag.econ.287178</w:t>
      </w:r>
      <w:r w:rsidRPr="1CC24F66">
        <w:rPr>
          <w:rFonts w:ascii="Times New Roman" w:eastAsia="Times New Roman" w:hAnsi="Times New Roman" w:cs="Times New Roman"/>
          <w:color w:val="000000" w:themeColor="text1"/>
        </w:rPr>
        <w:t xml:space="preserve"> </w:t>
      </w:r>
    </w:p>
    <w:p w14:paraId="0CC85D70" w14:textId="31F0041C"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Latopa, A. A., &amp; Genty, K.I. (2018). Qualitative analysis of youth participation in agriculture program towards achieving the dimensions of empowerment. </w:t>
      </w:r>
      <w:r w:rsidRPr="1CC24F66">
        <w:rPr>
          <w:rFonts w:ascii="Times New Roman" w:eastAsia="Times New Roman" w:hAnsi="Times New Roman" w:cs="Times New Roman"/>
          <w:i/>
          <w:iCs/>
          <w:color w:val="000000" w:themeColor="text1"/>
        </w:rPr>
        <w:t>LASU Journal of Employment Relations &amp; Human Resource Management</w:t>
      </w:r>
      <w:r w:rsidRPr="1CC24F66">
        <w:rPr>
          <w:rFonts w:ascii="Times New Roman" w:eastAsia="Times New Roman" w:hAnsi="Times New Roman" w:cs="Times New Roman"/>
          <w:color w:val="000000" w:themeColor="text1"/>
        </w:rPr>
        <w:t xml:space="preserve"> 1(1) 69-81. 10.36108/ljerhrm/8102.01.0190</w:t>
      </w:r>
    </w:p>
    <w:p w14:paraId="46EEB17D" w14:textId="0555CE55"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Luka, J., Murtala, N., &amp; Sani, M. (2023). Socio-economic factors influencing choice of agribusiness as career option after graduation among agricultural students of tertiary institutions in Bauchi State, Nigeria. </w:t>
      </w:r>
      <w:r w:rsidRPr="1CC24F66">
        <w:rPr>
          <w:rFonts w:ascii="Times New Roman" w:eastAsia="Times New Roman" w:hAnsi="Times New Roman" w:cs="Times New Roman"/>
          <w:i/>
          <w:iCs/>
          <w:color w:val="000000" w:themeColor="text1"/>
        </w:rPr>
        <w:t>Nigerian Journal of Agriculture and Agricultural Technology</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3</w:t>
      </w:r>
      <w:r w:rsidRPr="1CC24F66">
        <w:rPr>
          <w:rFonts w:ascii="Times New Roman" w:eastAsia="Times New Roman" w:hAnsi="Times New Roman" w:cs="Times New Roman"/>
          <w:color w:val="000000" w:themeColor="text1"/>
        </w:rPr>
        <w:t>(1), 85–96. DOI:</w:t>
      </w:r>
      <w:hyperlink r:id="rId32">
        <w:r w:rsidRPr="1CC24F66">
          <w:rPr>
            <w:rStyle w:val="Hyperlink"/>
            <w:rFonts w:ascii="Times New Roman" w:eastAsia="Times New Roman" w:hAnsi="Times New Roman" w:cs="Times New Roman"/>
          </w:rPr>
          <w:t>10.59331/njaat.v3i1.457</w:t>
        </w:r>
      </w:hyperlink>
    </w:p>
    <w:p w14:paraId="48D94D16" w14:textId="6A71FCC5" w:rsidR="20E601FE" w:rsidRDefault="1CC24F66" w:rsidP="1CC24F66">
      <w:pPr>
        <w:spacing w:after="160"/>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Machi, L. A., &amp; McEvoy, B. T. (2016). The literature review: Six steps to success (3rd ed). London: Corwin Press.  </w:t>
      </w:r>
    </w:p>
    <w:p w14:paraId="40B9A0E4" w14:textId="52B3406E"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Madende, P., Henning, J., &amp; Jordaan, H. (2023). Tailor-made development pathways: A framework to enhance active participation of youth in agriculture, </w:t>
      </w:r>
      <w:r w:rsidRPr="1CC24F66">
        <w:rPr>
          <w:rFonts w:ascii="Times New Roman" w:eastAsia="Times New Roman" w:hAnsi="Times New Roman" w:cs="Times New Roman"/>
          <w:i/>
          <w:iCs/>
          <w:color w:val="000000" w:themeColor="text1"/>
        </w:rPr>
        <w:t>Social Sciences</w:t>
      </w:r>
      <w:r w:rsidRPr="1CC24F66">
        <w:rPr>
          <w:rFonts w:ascii="Times New Roman" w:eastAsia="Times New Roman" w:hAnsi="Times New Roman" w:cs="Times New Roman"/>
          <w:color w:val="000000" w:themeColor="text1"/>
        </w:rPr>
        <w:t xml:space="preserve">, 12(11), 630. </w:t>
      </w:r>
      <w:hyperlink r:id="rId33">
        <w:r w:rsidRPr="1CC24F66">
          <w:rPr>
            <w:rStyle w:val="Hyperlink"/>
            <w:rFonts w:ascii="Times New Roman" w:eastAsia="Times New Roman" w:hAnsi="Times New Roman" w:cs="Times New Roman"/>
          </w:rPr>
          <w:t>https://doi.org/10.3390/socsci12110630</w:t>
        </w:r>
      </w:hyperlink>
    </w:p>
    <w:p w14:paraId="6F7D00BE" w14:textId="59B2A70F"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Maigari, N. I., Abu, I. A., &amp; Sulaiman, A. (2023). Assessment of factors influencing youth participation in agricultural-business in western agricultural zone of Bauchi State, Nigeria. </w:t>
      </w:r>
      <w:r w:rsidRPr="1CC24F66">
        <w:rPr>
          <w:rFonts w:ascii="Times New Roman" w:eastAsia="Times New Roman" w:hAnsi="Times New Roman" w:cs="Times New Roman"/>
          <w:i/>
          <w:iCs/>
          <w:color w:val="000000" w:themeColor="text1"/>
        </w:rPr>
        <w:t>Nigerian Journal of Agriculture and Agricultural Technology</w:t>
      </w:r>
      <w:r w:rsidRPr="1CC24F66">
        <w:rPr>
          <w:rFonts w:ascii="Times New Roman" w:eastAsia="Times New Roman" w:hAnsi="Times New Roman" w:cs="Times New Roman"/>
          <w:color w:val="000000" w:themeColor="text1"/>
        </w:rPr>
        <w:t xml:space="preserve">, 3(1), 240–249. </w:t>
      </w:r>
      <w:hyperlink r:id="rId34">
        <w:r w:rsidRPr="1CC24F66">
          <w:rPr>
            <w:rStyle w:val="Hyperlink"/>
            <w:rFonts w:ascii="Times New Roman" w:eastAsia="Times New Roman" w:hAnsi="Times New Roman" w:cs="Times New Roman"/>
          </w:rPr>
          <w:t>https://doi.org/10.59331/njaat.v3i1.473</w:t>
        </w:r>
      </w:hyperlink>
    </w:p>
    <w:p w14:paraId="09BC798D" w14:textId="546BB2C9" w:rsidR="20E601FE" w:rsidRDefault="1CC24F66" w:rsidP="1CC24F66">
      <w:pPr>
        <w:ind w:left="720" w:hanging="720"/>
        <w:rPr>
          <w:rFonts w:ascii="Times New Roman" w:eastAsia="Times New Roman" w:hAnsi="Times New Roman" w:cs="Times New Roman"/>
        </w:rPr>
      </w:pPr>
      <w:r w:rsidRPr="1CC24F66">
        <w:rPr>
          <w:rFonts w:ascii="Times New Roman" w:eastAsia="Times New Roman" w:hAnsi="Times New Roman" w:cs="Times New Roman"/>
        </w:rPr>
        <w:t xml:space="preserve">Mohammed, A. M., Makinta, U., Bala, A. H., Babaji, A. U., &amp; Ehien, A.E. (2020). Interest of Youth in Agriculture as a Discipline. </w:t>
      </w:r>
      <w:r w:rsidRPr="1CC24F66">
        <w:rPr>
          <w:rFonts w:ascii="Times New Roman" w:eastAsia="Times New Roman" w:hAnsi="Times New Roman" w:cs="Times New Roman"/>
          <w:i/>
          <w:iCs/>
        </w:rPr>
        <w:t>Journal of Agricultural Economics, Environment and Social Sciences</w:t>
      </w:r>
      <w:r w:rsidRPr="1CC24F66">
        <w:rPr>
          <w:rFonts w:ascii="Times New Roman" w:eastAsia="Times New Roman" w:hAnsi="Times New Roman" w:cs="Times New Roman"/>
        </w:rPr>
        <w:t xml:space="preserve">, </w:t>
      </w:r>
      <w:r w:rsidRPr="1CC24F66">
        <w:rPr>
          <w:rFonts w:ascii="Times New Roman" w:eastAsia="Times New Roman" w:hAnsi="Times New Roman" w:cs="Times New Roman"/>
          <w:i/>
          <w:iCs/>
        </w:rPr>
        <w:t>6</w:t>
      </w:r>
      <w:r w:rsidRPr="1CC24F66">
        <w:rPr>
          <w:rFonts w:ascii="Times New Roman" w:eastAsia="Times New Roman" w:hAnsi="Times New Roman" w:cs="Times New Roman"/>
        </w:rPr>
        <w:t xml:space="preserve">(1), 13-22. Retrieved from https://www.jaeess.com.ng/index.php/jaeess/article/view/32 </w:t>
      </w:r>
    </w:p>
    <w:p w14:paraId="52C55B19" w14:textId="0FFAB4BF"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Morse J. M. (2015).  Critical Analysis of Strategies for Determining Rigor in Qualitative Inquiry. Qual Health Res. 25(9):1212-22. 10.1177/1049732315588501.</w:t>
      </w:r>
    </w:p>
    <w:p w14:paraId="21E8E4FA" w14:textId="5C5A5D70"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Munn, Z., Peters, M.D.J., Stern, C., Tufanaru, C., McArthur, A., &amp; Aromataris, E. (2018). Systematic review or scoping review? Guidance for authors when choosing between a systematic or scoping review approach. </w:t>
      </w:r>
      <w:r w:rsidRPr="1CC24F66">
        <w:rPr>
          <w:rFonts w:ascii="Times New Roman" w:eastAsia="Times New Roman" w:hAnsi="Times New Roman" w:cs="Times New Roman"/>
          <w:i/>
          <w:iCs/>
          <w:color w:val="000000" w:themeColor="text1"/>
        </w:rPr>
        <w:t>BMC Med Research Methodology</w:t>
      </w:r>
      <w:r w:rsidRPr="1CC24F66">
        <w:rPr>
          <w:rFonts w:ascii="Times New Roman" w:eastAsia="Times New Roman" w:hAnsi="Times New Roman" w:cs="Times New Roman"/>
          <w:color w:val="000000" w:themeColor="text1"/>
        </w:rPr>
        <w:t>,18(1):143.</w:t>
      </w:r>
    </w:p>
    <w:p w14:paraId="7C5B29C9" w14:textId="3901FE66"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Nnamani, N.G., &amp; Obediah C.P. (2022). Determinants of youth participation in agribusiness activities in Ikwuano Local Government Area, Abia State, Nigeria. </w:t>
      </w:r>
      <w:r w:rsidRPr="1CC24F66">
        <w:rPr>
          <w:rFonts w:ascii="Times New Roman" w:eastAsia="Times New Roman" w:hAnsi="Times New Roman" w:cs="Times New Roman"/>
          <w:i/>
          <w:iCs/>
          <w:color w:val="000000" w:themeColor="text1"/>
        </w:rPr>
        <w:t>Agro-Science</w:t>
      </w:r>
      <w:r w:rsidRPr="1CC24F66">
        <w:rPr>
          <w:rFonts w:ascii="Times New Roman" w:eastAsia="Times New Roman" w:hAnsi="Times New Roman" w:cs="Times New Roman"/>
          <w:color w:val="000000" w:themeColor="text1"/>
        </w:rPr>
        <w:t xml:space="preserve">, 21 (4), 13-18. </w:t>
      </w:r>
      <w:hyperlink r:id="rId35">
        <w:r w:rsidRPr="1CC24F66">
          <w:rPr>
            <w:rStyle w:val="Hyperlink"/>
            <w:rFonts w:ascii="Times New Roman" w:eastAsia="Times New Roman" w:hAnsi="Times New Roman" w:cs="Times New Roman"/>
          </w:rPr>
          <w:t>https://dx.doi.org/10.4314/as.v21i4.2</w:t>
        </w:r>
      </w:hyperlink>
    </w:p>
    <w:p w14:paraId="3BF01CE0" w14:textId="63958D0D"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Nlebem, B. S., &amp; Odinakachi, C. F. (2020). Impact of practical agriculture on vocational skills development of students in public secondary schools in Etche Local Government Area of Rivers State. </w:t>
      </w:r>
      <w:r w:rsidRPr="1CC24F66">
        <w:rPr>
          <w:rFonts w:ascii="Times New Roman" w:eastAsia="Times New Roman" w:hAnsi="Times New Roman" w:cs="Times New Roman"/>
          <w:i/>
          <w:iCs/>
          <w:color w:val="000000" w:themeColor="text1"/>
        </w:rPr>
        <w:t>International Journal of Advanced Academic Research</w:t>
      </w:r>
      <w:r w:rsidRPr="1CC24F66">
        <w:rPr>
          <w:rFonts w:ascii="Times New Roman" w:eastAsia="Times New Roman" w:hAnsi="Times New Roman" w:cs="Times New Roman"/>
          <w:color w:val="000000" w:themeColor="text1"/>
        </w:rPr>
        <w:t>, 6(2), 25-36.</w:t>
      </w:r>
    </w:p>
    <w:p w14:paraId="7359221B" w14:textId="330897EA"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Ofodile, S., &amp; Ndelekwute, S. (2015). Agricultural education and training: a panacea for entrepreneurship enhancement for national development. </w:t>
      </w:r>
      <w:r w:rsidRPr="1CC24F66">
        <w:rPr>
          <w:rFonts w:ascii="Times New Roman" w:eastAsia="Times New Roman" w:hAnsi="Times New Roman" w:cs="Times New Roman"/>
          <w:i/>
          <w:iCs/>
          <w:color w:val="000000" w:themeColor="text1"/>
        </w:rPr>
        <w:t>Knowledge Review, 33(3), 1-6</w:t>
      </w:r>
      <w:r w:rsidRPr="1CC24F66">
        <w:rPr>
          <w:rFonts w:ascii="Times New Roman" w:eastAsia="Times New Roman" w:hAnsi="Times New Roman" w:cs="Times New Roman"/>
          <w:color w:val="000000" w:themeColor="text1"/>
        </w:rPr>
        <w:t>.</w:t>
      </w:r>
    </w:p>
    <w:p w14:paraId="4A21B63C" w14:textId="4EBA0629"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Ojo, K., Adeloye, K., Torimiro, D., Afolabi, A., &amp; Abulude, I. (2023). University agricultural students’ involvement in agribusiness: Reflection from Osun state, Nigeria. </w:t>
      </w:r>
      <w:r w:rsidRPr="1CC24F66">
        <w:rPr>
          <w:rFonts w:ascii="Times New Roman" w:eastAsia="Times New Roman" w:hAnsi="Times New Roman" w:cs="Times New Roman"/>
          <w:i/>
          <w:iCs/>
          <w:color w:val="000000" w:themeColor="text1"/>
        </w:rPr>
        <w:t>SSRN</w:t>
      </w:r>
      <w:r w:rsidRPr="1CC24F66">
        <w:rPr>
          <w:rFonts w:ascii="Times New Roman" w:eastAsia="Times New Roman" w:hAnsi="Times New Roman" w:cs="Times New Roman"/>
          <w:color w:val="000000" w:themeColor="text1"/>
        </w:rPr>
        <w:t xml:space="preserve">. </w:t>
      </w:r>
      <w:hyperlink r:id="rId36">
        <w:r w:rsidRPr="1CC24F66">
          <w:rPr>
            <w:rStyle w:val="Hyperlink"/>
            <w:rFonts w:ascii="Times New Roman" w:eastAsia="Times New Roman" w:hAnsi="Times New Roman" w:cs="Times New Roman"/>
          </w:rPr>
          <w:t>http://dx.doi.org/10.2139/ssrn.4863543</w:t>
        </w:r>
      </w:hyperlink>
    </w:p>
    <w:p w14:paraId="063DC0CB" w14:textId="6AA91542"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Okole, P., Isirima, C., Nnah, M., &amp; Godspower, G. (2023). Development of Mushroom Production Skills among Students for Self-Reliance: A Case Study of Federal College of Education (Technical), Omoku. </w:t>
      </w:r>
      <w:r w:rsidRPr="1CC24F66">
        <w:rPr>
          <w:rFonts w:ascii="Times New Roman" w:eastAsia="Times New Roman" w:hAnsi="Times New Roman" w:cs="Times New Roman"/>
          <w:i/>
          <w:iCs/>
          <w:color w:val="000000" w:themeColor="text1"/>
        </w:rPr>
        <w:t xml:space="preserve">International Journal of agriculture and earth science, </w:t>
      </w:r>
      <w:r w:rsidRPr="1CC24F66">
        <w:rPr>
          <w:rFonts w:ascii="Times New Roman" w:eastAsia="Times New Roman" w:hAnsi="Times New Roman" w:cs="Times New Roman"/>
          <w:color w:val="000000" w:themeColor="text1"/>
        </w:rPr>
        <w:t>9(6), 1-13. 10.56201/ijaes.v9.no6.2023.pg1.13.</w:t>
      </w:r>
    </w:p>
    <w:p w14:paraId="7B9C3B16" w14:textId="5D332F26" w:rsidR="20E601FE" w:rsidRDefault="1CC24F66" w:rsidP="1CC24F66">
      <w:pPr>
        <w:ind w:left="720" w:hanging="720"/>
      </w:pPr>
      <w:r w:rsidRPr="1CC24F66">
        <w:rPr>
          <w:rFonts w:ascii="Times New Roman" w:eastAsia="Times New Roman" w:hAnsi="Times New Roman" w:cs="Times New Roman"/>
          <w:color w:val="000000" w:themeColor="text1"/>
        </w:rPr>
        <w:lastRenderedPageBreak/>
        <w:t xml:space="preserve">Olubode, O., Aiyelaagbe, I., Hammed, L., Olosunde, O., &amp; Joseph-Adekunle, T. (2018). Building capacity in higher education horticulture in Nigeria: The contribution of the Federal University of Agriculture, Abeokuta, Nigeria. </w:t>
      </w:r>
      <w:r w:rsidRPr="1CC24F66">
        <w:rPr>
          <w:rFonts w:ascii="Times New Roman" w:eastAsia="Times New Roman" w:hAnsi="Times New Roman" w:cs="Times New Roman"/>
          <w:i/>
          <w:iCs/>
          <w:color w:val="000000" w:themeColor="text1"/>
        </w:rPr>
        <w:t>Acta Horticulturae</w:t>
      </w:r>
      <w:r w:rsidRPr="1CC24F66">
        <w:rPr>
          <w:rFonts w:ascii="Times New Roman" w:eastAsia="Times New Roman" w:hAnsi="Times New Roman" w:cs="Times New Roman"/>
          <w:color w:val="000000" w:themeColor="text1"/>
        </w:rPr>
        <w:t xml:space="preserve">, 393–398. </w:t>
      </w:r>
      <w:hyperlink r:id="rId37">
        <w:r w:rsidRPr="1CC24F66">
          <w:rPr>
            <w:rStyle w:val="Hyperlink"/>
            <w:rFonts w:ascii="Times New Roman" w:eastAsia="Times New Roman" w:hAnsi="Times New Roman" w:cs="Times New Roman"/>
          </w:rPr>
          <w:t>https://doi.org/10.17660/ActaHortic.2018.1225.55</w:t>
        </w:r>
      </w:hyperlink>
      <w:r w:rsidRPr="1CC24F66">
        <w:rPr>
          <w:rFonts w:ascii="Times New Roman" w:eastAsia="Times New Roman" w:hAnsi="Times New Roman" w:cs="Times New Roman"/>
        </w:rPr>
        <w:t xml:space="preserve"> </w:t>
      </w:r>
    </w:p>
    <w:p w14:paraId="78364129" w14:textId="4481E601"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Olukunle, O.T. (2013). Challenges and prospects of agriculture in Nigeria: The way forward. </w:t>
      </w:r>
      <w:r w:rsidRPr="1CC24F66">
        <w:rPr>
          <w:rFonts w:ascii="Times New Roman" w:eastAsia="Times New Roman" w:hAnsi="Times New Roman" w:cs="Times New Roman"/>
          <w:i/>
          <w:iCs/>
          <w:color w:val="000000" w:themeColor="text1"/>
        </w:rPr>
        <w:t>Journal of economics and sustainable development</w:t>
      </w:r>
      <w:r w:rsidRPr="1CC24F66">
        <w:rPr>
          <w:rFonts w:ascii="Times New Roman" w:eastAsia="Times New Roman" w:hAnsi="Times New Roman" w:cs="Times New Roman"/>
          <w:color w:val="000000" w:themeColor="text1"/>
        </w:rPr>
        <w:t>, 4, 37-45.</w:t>
      </w:r>
    </w:p>
    <w:p w14:paraId="5EEBEEAE" w14:textId="217B9736"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Oluremi, A., &amp; Tolulope, A. (2016). The propensity of final year undergraduate agriculture students to become agricultural entrepreneurs: Implications for food self-sufficiency in Nigeria. </w:t>
      </w:r>
      <w:r w:rsidRPr="1CC24F66">
        <w:rPr>
          <w:rFonts w:ascii="Times New Roman" w:eastAsia="Times New Roman" w:hAnsi="Times New Roman" w:cs="Times New Roman"/>
          <w:i/>
          <w:iCs/>
          <w:color w:val="000000" w:themeColor="text1"/>
        </w:rPr>
        <w:t>Russian Journal of Agricultural and Socio-Economic Sciences</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52</w:t>
      </w:r>
      <w:r w:rsidRPr="1CC24F66">
        <w:rPr>
          <w:rFonts w:ascii="Times New Roman" w:eastAsia="Times New Roman" w:hAnsi="Times New Roman" w:cs="Times New Roman"/>
          <w:color w:val="000000" w:themeColor="text1"/>
        </w:rPr>
        <w:t>(4), 80–85.</w:t>
      </w:r>
    </w:p>
    <w:p w14:paraId="008491D0" w14:textId="0CD4C780"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Olutegbe, N., &amp; Ayodele, G. (2020). Entrepreneurial Orientation of Agricultural Undergraduates: An Assessment of Selected Universities in Nigeria. </w:t>
      </w:r>
      <w:r w:rsidRPr="1CC24F66">
        <w:rPr>
          <w:rFonts w:ascii="Times New Roman" w:eastAsia="Times New Roman" w:hAnsi="Times New Roman" w:cs="Times New Roman"/>
          <w:i/>
          <w:iCs/>
          <w:color w:val="000000" w:themeColor="text1"/>
        </w:rPr>
        <w:t xml:space="preserve">Covenant Journal of Entrepreneurship, 4(1), 1-19. </w:t>
      </w:r>
      <w:r w:rsidRPr="1CC24F66">
        <w:rPr>
          <w:rFonts w:ascii="Times New Roman" w:eastAsia="Times New Roman" w:hAnsi="Times New Roman" w:cs="Times New Roman"/>
          <w:color w:val="000000" w:themeColor="text1"/>
        </w:rPr>
        <w:t>DOI:</w:t>
      </w:r>
      <w:hyperlink r:id="rId38">
        <w:r w:rsidRPr="1CC24F66">
          <w:rPr>
            <w:rStyle w:val="Hyperlink"/>
            <w:rFonts w:ascii="Times New Roman" w:eastAsia="Times New Roman" w:hAnsi="Times New Roman" w:cs="Times New Roman"/>
          </w:rPr>
          <w:t>10.47231/ZMNK1170</w:t>
        </w:r>
      </w:hyperlink>
    </w:p>
    <w:p w14:paraId="47C6E278" w14:textId="16EF181E"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Onwumere, M., Modebelu, M. N., &amp; Chukwuka, I. E. (2016). Influence of school farm on teaching of agricultural science in Senior Secondary Schools in Ikwuano Local Government Area, Abia State. </w:t>
      </w:r>
      <w:r w:rsidRPr="1CC24F66">
        <w:rPr>
          <w:rFonts w:ascii="Times New Roman" w:eastAsia="Times New Roman" w:hAnsi="Times New Roman" w:cs="Times New Roman"/>
          <w:i/>
          <w:iCs/>
          <w:color w:val="000000" w:themeColor="text1"/>
        </w:rPr>
        <w:t>Open Access Library Journal</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3</w:t>
      </w:r>
      <w:r w:rsidRPr="1CC24F66">
        <w:rPr>
          <w:rFonts w:ascii="Times New Roman" w:eastAsia="Times New Roman" w:hAnsi="Times New Roman" w:cs="Times New Roman"/>
          <w:color w:val="000000" w:themeColor="text1"/>
        </w:rPr>
        <w:t>(6), 1-6. DOI:</w:t>
      </w:r>
      <w:hyperlink r:id="rId39">
        <w:r w:rsidRPr="1CC24F66">
          <w:rPr>
            <w:rStyle w:val="Hyperlink"/>
            <w:rFonts w:ascii="Times New Roman" w:eastAsia="Times New Roman" w:hAnsi="Times New Roman" w:cs="Times New Roman"/>
          </w:rPr>
          <w:t>10.4236/oalib.1102742</w:t>
        </w:r>
      </w:hyperlink>
    </w:p>
    <w:p w14:paraId="04B85FB5" w14:textId="2680469F" w:rsidR="20E601FE" w:rsidRDefault="1CC24F66" w:rsidP="1CC24F66">
      <w:pPr>
        <w:ind w:left="720" w:hanging="720"/>
        <w:rPr>
          <w:rFonts w:ascii="Calibri" w:eastAsia="Calibri" w:hAnsi="Calibri" w:cs="Calibri"/>
          <w:color w:val="000000" w:themeColor="text1"/>
        </w:rPr>
      </w:pPr>
      <w:r w:rsidRPr="1CC24F66">
        <w:rPr>
          <w:rFonts w:ascii="Times New Roman" w:eastAsia="Times New Roman" w:hAnsi="Times New Roman" w:cs="Times New Roman"/>
          <w:color w:val="000000" w:themeColor="text1"/>
        </w:rPr>
        <w:t xml:space="preserve">Osabohien R., Wiredu,A.N., Nguezet, P.M.D., Mignouna, D.B., Abdoulaye, T., Manyong, V., Bamba, Z., Awotide, B.A. (2021). Youth participation in agriculture and poverty reduction in Nigeria. </w:t>
      </w:r>
      <w:r w:rsidRPr="1CC24F66">
        <w:rPr>
          <w:rFonts w:ascii="Times New Roman" w:eastAsia="Times New Roman" w:hAnsi="Times New Roman" w:cs="Times New Roman"/>
          <w:i/>
          <w:iCs/>
          <w:color w:val="000000" w:themeColor="text1"/>
        </w:rPr>
        <w:t>Sustainability</w:t>
      </w:r>
      <w:r w:rsidRPr="1CC24F66">
        <w:rPr>
          <w:rFonts w:ascii="Times New Roman" w:eastAsia="Times New Roman" w:hAnsi="Times New Roman" w:cs="Times New Roman"/>
          <w:color w:val="000000" w:themeColor="text1"/>
        </w:rPr>
        <w:t xml:space="preserve">.; 13(14):7795. </w:t>
      </w:r>
      <w:hyperlink r:id="rId40">
        <w:r w:rsidRPr="1CC24F66">
          <w:rPr>
            <w:rStyle w:val="Hyperlink"/>
            <w:rFonts w:ascii="Times New Roman" w:eastAsia="Times New Roman" w:hAnsi="Times New Roman" w:cs="Times New Roman"/>
          </w:rPr>
          <w:t>https://doi.org/10.3390/su13147795</w:t>
        </w:r>
      </w:hyperlink>
    </w:p>
    <w:p w14:paraId="7B31EDB9" w14:textId="54A12ECB"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Osagie, O., Onemolease, E. A., &amp; Osabuohien, J. I. (2020). Choice of agriculture as a course of study in tertiary institutions among secondary school students in Edo State, Nigeria. </w:t>
      </w:r>
      <w:r w:rsidRPr="1CC24F66">
        <w:rPr>
          <w:rFonts w:ascii="Times New Roman" w:eastAsia="Times New Roman" w:hAnsi="Times New Roman" w:cs="Times New Roman"/>
          <w:i/>
          <w:iCs/>
          <w:color w:val="000000" w:themeColor="text1"/>
        </w:rPr>
        <w:t>Agriculture and food sciences education, FUTA Journals</w:t>
      </w:r>
      <w:r w:rsidRPr="1CC24F66">
        <w:rPr>
          <w:rFonts w:ascii="Times New Roman" w:eastAsia="Times New Roman" w:hAnsi="Times New Roman" w:cs="Times New Roman"/>
          <w:color w:val="000000" w:themeColor="text1"/>
        </w:rPr>
        <w:t>, 25(2), 1</w:t>
      </w:r>
    </w:p>
    <w:p w14:paraId="3FA59A6F" w14:textId="621ADE02"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Owigho, O., Ovoh, E., Okeoghene, E., &amp; Nwachuckwu, C. (2023). Assessment of youth perception and participation in agriculture in Delta State, Nigeria. </w:t>
      </w:r>
      <w:r w:rsidRPr="1CC24F66">
        <w:rPr>
          <w:rFonts w:ascii="Times New Roman" w:eastAsia="Times New Roman" w:hAnsi="Times New Roman" w:cs="Times New Roman"/>
          <w:i/>
          <w:iCs/>
          <w:color w:val="000000" w:themeColor="text1"/>
        </w:rPr>
        <w:t>International Journal of Biosciences (IJB)</w:t>
      </w:r>
      <w:r w:rsidRPr="1CC24F66">
        <w:rPr>
          <w:rFonts w:ascii="Times New Roman" w:eastAsia="Times New Roman" w:hAnsi="Times New Roman" w:cs="Times New Roman"/>
          <w:color w:val="000000" w:themeColor="text1"/>
        </w:rPr>
        <w:t xml:space="preserve">. 10.12692/ijb/23.3.96-107. </w:t>
      </w:r>
    </w:p>
    <w:p w14:paraId="3CF8AC1C" w14:textId="5B27DEA1"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Shaibu, U.M. (2023). Agricultural sector policy periods and growth pattern in Nigeria (1960–2020): Implications on Agricultural Performance. IntechOpen. 10.5772/intechopen.111382</w:t>
      </w:r>
    </w:p>
    <w:p w14:paraId="7BB3DA4A" w14:textId="4F679189" w:rsidR="20E601FE" w:rsidRDefault="1CC24F66" w:rsidP="1CC24F66">
      <w:pPr>
        <w:ind w:left="720" w:hanging="720"/>
      </w:pPr>
      <w:r w:rsidRPr="1CC24F66">
        <w:rPr>
          <w:rFonts w:ascii="Times New Roman" w:eastAsia="Times New Roman" w:hAnsi="Times New Roman" w:cs="Times New Roman"/>
          <w:color w:val="000000" w:themeColor="text1"/>
        </w:rPr>
        <w:t xml:space="preserve">Ugwuoke, C. U., &amp; Onah, B. I. (2015). Skills Required by Agricultural Education Students of Colleges of Education for Employment in Computerized Office of Agribusiness Organizations. </w:t>
      </w:r>
      <w:r w:rsidRPr="1CC24F66">
        <w:rPr>
          <w:rFonts w:ascii="Times New Roman" w:eastAsia="Times New Roman" w:hAnsi="Times New Roman" w:cs="Times New Roman"/>
          <w:i/>
          <w:iCs/>
          <w:color w:val="000000" w:themeColor="text1"/>
        </w:rPr>
        <w:t>Journal of Education and Practice</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6</w:t>
      </w:r>
      <w:r w:rsidRPr="1CC24F66">
        <w:rPr>
          <w:rFonts w:ascii="Times New Roman" w:eastAsia="Times New Roman" w:hAnsi="Times New Roman" w:cs="Times New Roman"/>
          <w:color w:val="000000" w:themeColor="text1"/>
        </w:rPr>
        <w:t xml:space="preserve">(29), 84–91. </w:t>
      </w:r>
    </w:p>
    <w:p w14:paraId="00A72C54" w14:textId="3AFB988D"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Ukonze, J. (2020). Innovative strategy for measuring skill performance of students of agricultural education for sustainable development in Nigeria. </w:t>
      </w:r>
      <w:r w:rsidRPr="1CC24F66">
        <w:rPr>
          <w:rFonts w:ascii="Times New Roman" w:eastAsia="Times New Roman" w:hAnsi="Times New Roman" w:cs="Times New Roman"/>
          <w:i/>
          <w:iCs/>
          <w:color w:val="000000" w:themeColor="text1"/>
        </w:rPr>
        <w:t>International Journal of Innovative Research and Advanced Studies</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6</w:t>
      </w:r>
      <w:r w:rsidRPr="1CC24F66">
        <w:rPr>
          <w:rFonts w:ascii="Times New Roman" w:eastAsia="Times New Roman" w:hAnsi="Times New Roman" w:cs="Times New Roman"/>
          <w:color w:val="000000" w:themeColor="text1"/>
        </w:rPr>
        <w:t>(7), 1-12.</w:t>
      </w:r>
    </w:p>
    <w:p w14:paraId="63675542" w14:textId="673D413C" w:rsidR="20E601FE" w:rsidRDefault="1CC24F66" w:rsidP="1CC24F66">
      <w:pPr>
        <w:ind w:left="720" w:hanging="720"/>
        <w:rPr>
          <w:rFonts w:ascii="Times New Roman" w:eastAsia="Times New Roman" w:hAnsi="Times New Roman" w:cs="Times New Roman"/>
          <w:color w:val="000000" w:themeColor="text1"/>
        </w:rPr>
      </w:pPr>
      <w:r w:rsidRPr="1CC24F66">
        <w:rPr>
          <w:rFonts w:ascii="Times New Roman" w:eastAsia="Times New Roman" w:hAnsi="Times New Roman" w:cs="Times New Roman"/>
          <w:color w:val="000000" w:themeColor="text1"/>
        </w:rPr>
        <w:t xml:space="preserve">Umar, A., Bishir, U. S., Garba, A., Cyril, J. E., Sa’adu, A., Dauda, A., Ibrahim, M., &amp; Ibrahim, A. (2022). Predictors of agripreneurial career exploration among undergraduate agricultural students of Abubakar Tafawa Balewa University Bauchi Nigeria. </w:t>
      </w:r>
      <w:r w:rsidRPr="1CC24F66">
        <w:rPr>
          <w:rFonts w:ascii="Times New Roman" w:eastAsia="Times New Roman" w:hAnsi="Times New Roman" w:cs="Times New Roman"/>
          <w:i/>
          <w:iCs/>
          <w:color w:val="000000" w:themeColor="text1"/>
        </w:rPr>
        <w:t>International Journal of Intellectual Discourse</w:t>
      </w:r>
      <w:r w:rsidRPr="1CC24F66">
        <w:rPr>
          <w:rFonts w:ascii="Times New Roman" w:eastAsia="Times New Roman" w:hAnsi="Times New Roman" w:cs="Times New Roman"/>
          <w:color w:val="000000" w:themeColor="text1"/>
        </w:rPr>
        <w:t xml:space="preserve">, </w:t>
      </w:r>
      <w:r w:rsidRPr="1CC24F66">
        <w:rPr>
          <w:rFonts w:ascii="Times New Roman" w:eastAsia="Times New Roman" w:hAnsi="Times New Roman" w:cs="Times New Roman"/>
          <w:i/>
          <w:iCs/>
          <w:color w:val="000000" w:themeColor="text1"/>
        </w:rPr>
        <w:t>5</w:t>
      </w:r>
      <w:r w:rsidRPr="1CC24F66">
        <w:rPr>
          <w:rFonts w:ascii="Times New Roman" w:eastAsia="Times New Roman" w:hAnsi="Times New Roman" w:cs="Times New Roman"/>
          <w:color w:val="000000" w:themeColor="text1"/>
        </w:rPr>
        <w:t>(4), 17–26.</w:t>
      </w:r>
    </w:p>
    <w:p w14:paraId="1D11D885" w14:textId="68F4FCDA" w:rsidR="20E601FE" w:rsidRDefault="20E601FE" w:rsidP="20E601FE">
      <w:pPr>
        <w:spacing w:line="360" w:lineRule="auto"/>
        <w:ind w:left="720" w:hanging="720"/>
        <w:rPr>
          <w:rFonts w:ascii="Times New Roman" w:eastAsia="Times New Roman" w:hAnsi="Times New Roman" w:cs="Times New Roman"/>
          <w:color w:val="000000" w:themeColor="text1"/>
        </w:rPr>
      </w:pPr>
    </w:p>
    <w:p w14:paraId="705A14FB" w14:textId="07B8CB09" w:rsidR="20E601FE" w:rsidRDefault="20E601FE" w:rsidP="20E601FE">
      <w:pPr>
        <w:spacing w:line="360" w:lineRule="auto"/>
        <w:ind w:left="720" w:hanging="720"/>
        <w:rPr>
          <w:rFonts w:ascii="Times New Roman" w:eastAsia="Times New Roman" w:hAnsi="Times New Roman" w:cs="Times New Roman"/>
        </w:rPr>
      </w:pPr>
    </w:p>
    <w:p w14:paraId="6FF3341B" w14:textId="11BA7251" w:rsidR="20E601FE" w:rsidRDefault="20E601FE" w:rsidP="20E601FE">
      <w:pPr>
        <w:spacing w:line="360" w:lineRule="auto"/>
        <w:ind w:left="720" w:hanging="720"/>
        <w:rPr>
          <w:rFonts w:ascii="Times New Roman" w:eastAsia="Times New Roman" w:hAnsi="Times New Roman" w:cs="Times New Roman"/>
          <w:color w:val="000000" w:themeColor="text1"/>
        </w:rPr>
      </w:pPr>
    </w:p>
    <w:p w14:paraId="473BD9EA" w14:textId="76848D54" w:rsidR="20E601FE" w:rsidRDefault="20E601FE" w:rsidP="20E601FE">
      <w:pPr>
        <w:spacing w:line="360" w:lineRule="auto"/>
        <w:ind w:left="720" w:hanging="720"/>
        <w:rPr>
          <w:rFonts w:ascii="Times New Roman" w:eastAsia="Times New Roman" w:hAnsi="Times New Roman" w:cs="Times New Roman"/>
        </w:rPr>
      </w:pPr>
    </w:p>
    <w:p w14:paraId="0D002B6C" w14:textId="7EA6784F" w:rsidR="20E601FE" w:rsidRDefault="20E601FE" w:rsidP="20E601FE">
      <w:pPr>
        <w:rPr>
          <w:rFonts w:ascii="Times New Roman" w:eastAsia="Times New Roman" w:hAnsi="Times New Roman" w:cs="Times New Roman"/>
        </w:rPr>
      </w:pPr>
    </w:p>
    <w:sectPr w:rsidR="20E601FE" w:rsidSect="00EE6E42">
      <w:headerReference w:type="default" r:id="rId41"/>
      <w:foot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1C0A9" w14:textId="77777777" w:rsidR="00182100" w:rsidRDefault="00182100">
      <w:r>
        <w:separator/>
      </w:r>
    </w:p>
  </w:endnote>
  <w:endnote w:type="continuationSeparator" w:id="0">
    <w:p w14:paraId="20C07DBD" w14:textId="77777777" w:rsidR="00182100" w:rsidRDefault="00182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CFF325" w14:paraId="555C0A7E" w14:textId="77777777" w:rsidTr="23CFF325">
      <w:trPr>
        <w:trHeight w:val="300"/>
      </w:trPr>
      <w:tc>
        <w:tcPr>
          <w:tcW w:w="3120" w:type="dxa"/>
        </w:tcPr>
        <w:p w14:paraId="1DB532E1" w14:textId="4F9E7C0F" w:rsidR="23CFF325" w:rsidRDefault="23CFF325" w:rsidP="23CFF325">
          <w:pPr>
            <w:pStyle w:val="Header"/>
            <w:ind w:left="-115"/>
          </w:pPr>
        </w:p>
      </w:tc>
      <w:tc>
        <w:tcPr>
          <w:tcW w:w="3120" w:type="dxa"/>
        </w:tcPr>
        <w:p w14:paraId="36AD0A7B" w14:textId="22BECDA1" w:rsidR="23CFF325" w:rsidRDefault="23CFF325" w:rsidP="23CFF325">
          <w:pPr>
            <w:pStyle w:val="Header"/>
            <w:jc w:val="center"/>
          </w:pPr>
        </w:p>
      </w:tc>
      <w:tc>
        <w:tcPr>
          <w:tcW w:w="3120" w:type="dxa"/>
        </w:tcPr>
        <w:p w14:paraId="0D2AE9F2" w14:textId="69BE7967" w:rsidR="23CFF325" w:rsidRDefault="23CFF325" w:rsidP="23CFF325">
          <w:pPr>
            <w:pStyle w:val="Header"/>
            <w:ind w:right="-115"/>
            <w:jc w:val="right"/>
          </w:pPr>
        </w:p>
      </w:tc>
    </w:tr>
  </w:tbl>
  <w:p w14:paraId="6686ACA9" w14:textId="0A40626F" w:rsidR="23CFF325" w:rsidRDefault="23CFF325" w:rsidP="23CFF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99BDB" w14:textId="77777777" w:rsidR="00182100" w:rsidRDefault="00182100">
      <w:r>
        <w:separator/>
      </w:r>
    </w:p>
  </w:footnote>
  <w:footnote w:type="continuationSeparator" w:id="0">
    <w:p w14:paraId="7D2249EC" w14:textId="77777777" w:rsidR="00182100" w:rsidRDefault="00182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CFF325" w14:paraId="5A151327" w14:textId="77777777" w:rsidTr="23CFF325">
      <w:trPr>
        <w:trHeight w:val="300"/>
      </w:trPr>
      <w:tc>
        <w:tcPr>
          <w:tcW w:w="3120" w:type="dxa"/>
        </w:tcPr>
        <w:p w14:paraId="3EF538FA" w14:textId="6DF67E12" w:rsidR="23CFF325" w:rsidRDefault="23CFF325" w:rsidP="23CFF325">
          <w:pPr>
            <w:pStyle w:val="Header"/>
            <w:ind w:left="-115"/>
          </w:pPr>
        </w:p>
      </w:tc>
      <w:tc>
        <w:tcPr>
          <w:tcW w:w="3120" w:type="dxa"/>
        </w:tcPr>
        <w:p w14:paraId="50EBA120" w14:textId="2724738B" w:rsidR="23CFF325" w:rsidRDefault="23CFF325" w:rsidP="23CFF325">
          <w:pPr>
            <w:pStyle w:val="Header"/>
            <w:jc w:val="center"/>
          </w:pPr>
        </w:p>
      </w:tc>
      <w:tc>
        <w:tcPr>
          <w:tcW w:w="3120" w:type="dxa"/>
        </w:tcPr>
        <w:p w14:paraId="524EB481" w14:textId="38DA7425" w:rsidR="23CFF325" w:rsidRDefault="23CFF325" w:rsidP="23CFF325">
          <w:pPr>
            <w:pStyle w:val="Header"/>
            <w:ind w:right="-115"/>
            <w:jc w:val="right"/>
          </w:pPr>
        </w:p>
      </w:tc>
    </w:tr>
  </w:tbl>
  <w:p w14:paraId="06BCB41D" w14:textId="52A6CCC9" w:rsidR="23CFF325" w:rsidRDefault="23CFF325" w:rsidP="23CFF3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10D"/>
    <w:rsid w:val="00182100"/>
    <w:rsid w:val="00501DEA"/>
    <w:rsid w:val="008A328B"/>
    <w:rsid w:val="00D00679"/>
    <w:rsid w:val="00D1010D"/>
    <w:rsid w:val="00D4182C"/>
    <w:rsid w:val="00EE6E42"/>
    <w:rsid w:val="162F50A1"/>
    <w:rsid w:val="1C0CDC3C"/>
    <w:rsid w:val="1CC24F66"/>
    <w:rsid w:val="20E601FE"/>
    <w:rsid w:val="2321952B"/>
    <w:rsid w:val="23CFF325"/>
    <w:rsid w:val="37E73B96"/>
    <w:rsid w:val="541D660C"/>
    <w:rsid w:val="66FAA3F4"/>
    <w:rsid w:val="6CABDDE7"/>
    <w:rsid w:val="6E522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877C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3CFF325"/>
    <w:pPr>
      <w:tabs>
        <w:tab w:val="center" w:pos="4680"/>
        <w:tab w:val="right" w:pos="9360"/>
      </w:tabs>
    </w:pPr>
  </w:style>
  <w:style w:type="paragraph" w:styleId="Footer">
    <w:name w:val="footer"/>
    <w:basedOn w:val="Normal"/>
    <w:uiPriority w:val="99"/>
    <w:unhideWhenUsed/>
    <w:rsid w:val="23CFF325"/>
    <w:pPr>
      <w:tabs>
        <w:tab w:val="center" w:pos="4680"/>
        <w:tab w:val="right" w:pos="9360"/>
      </w:tabs>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20E601F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0448/journal.512/2016.3.1/512.1.25.28" TargetMode="External"/><Relationship Id="rId18" Type="http://schemas.openxmlformats.org/officeDocument/2006/relationships/hyperlink" Target="https://doi.org/" TargetMode="External"/><Relationship Id="rId26" Type="http://schemas.openxmlformats.org/officeDocument/2006/relationships/hyperlink" Target="https://doi.org/10.31098/ijmesh.v6i2.1222" TargetMode="External"/><Relationship Id="rId39" Type="http://schemas.openxmlformats.org/officeDocument/2006/relationships/hyperlink" Target="http://dx.doi.org/10.4236/oalib.1102742" TargetMode="External"/><Relationship Id="rId21" Type="http://schemas.openxmlformats.org/officeDocument/2006/relationships/hyperlink" Target="https://www.statista.com/statistics/1121246/population-in-africa-by-country/" TargetMode="External"/><Relationship Id="rId34" Type="http://schemas.openxmlformats.org/officeDocument/2006/relationships/hyperlink" Target="https://doi.org/10.59331/njaat.v3i1.473" TargetMode="External"/><Relationship Id="rId42" Type="http://schemas.openxmlformats.org/officeDocument/2006/relationships/footer" Target="footer1.xml"/><Relationship Id="rId7" Type="http://schemas.openxmlformats.org/officeDocument/2006/relationships/hyperlink" Target="https://doi.org/10.59331/jasd.v3i2.112" TargetMode="External"/><Relationship Id="rId2" Type="http://schemas.openxmlformats.org/officeDocument/2006/relationships/settings" Target="settings.xml"/><Relationship Id="rId16" Type="http://schemas.openxmlformats.org/officeDocument/2006/relationships/hyperlink" Target="http://dx.doi.org/10.15294/ijcets.v10i1.51149" TargetMode="External"/><Relationship Id="rId20" Type="http://schemas.openxmlformats.org/officeDocument/2006/relationships/hyperlink" Target="https://psycnet.apa.org/doi/10.1080/07481756.2024.2303715" TargetMode="External"/><Relationship Id="rId29" Type="http://schemas.openxmlformats.org/officeDocument/2006/relationships/hyperlink" Target="https://doi.org/10.47852/bonviewIJCE42023003"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9041/APSTRACT/2021/3-4/3" TargetMode="External"/><Relationship Id="rId24" Type="http://schemas.openxmlformats.org/officeDocument/2006/relationships/hyperlink" Target="http://dx.doi.org/10.4314/jard.v15i2.7" TargetMode="External"/><Relationship Id="rId32" Type="http://schemas.openxmlformats.org/officeDocument/2006/relationships/hyperlink" Target="http://dx.doi.org/10.59331/njaat.v3i1.457" TargetMode="External"/><Relationship Id="rId37" Type="http://schemas.openxmlformats.org/officeDocument/2006/relationships/hyperlink" Target="https://doi.org/10.17660/ActaHortic.2018.1225.55" TargetMode="External"/><Relationship Id="rId40" Type="http://schemas.openxmlformats.org/officeDocument/2006/relationships/hyperlink" Target="https://doi.org/10.3390/su13147795" TargetMode="External"/><Relationship Id="rId5" Type="http://schemas.openxmlformats.org/officeDocument/2006/relationships/endnotes" Target="endnotes.xml"/><Relationship Id="rId15" Type="http://schemas.openxmlformats.org/officeDocument/2006/relationships/hyperlink" Target="https://doi.org/10.1080/10496505.2018.1531008" TargetMode="External"/><Relationship Id="rId23" Type="http://schemas.openxmlformats.org/officeDocument/2006/relationships/hyperlink" Target="https://doi.org/10.4103/0019-5049.190618" TargetMode="External"/><Relationship Id="rId28" Type="http://schemas.openxmlformats.org/officeDocument/2006/relationships/hyperlink" Target="https://doi.org/10.4314/kje.v2i2.19" TargetMode="External"/><Relationship Id="rId36" Type="http://schemas.openxmlformats.org/officeDocument/2006/relationships/hyperlink" Target="https://dx.doi.org/10.2139/ssrn.4863543" TargetMode="External"/><Relationship Id="rId10" Type="http://schemas.openxmlformats.org/officeDocument/2006/relationships/hyperlink" Target="https://doi.org/10.56201/IJEE" TargetMode="External"/><Relationship Id="rId19" Type="http://schemas.openxmlformats.org/officeDocument/2006/relationships/hyperlink" Target="https://doi.org/10.5281/zenodo.3837654" TargetMode="External"/><Relationship Id="rId31" Type="http://schemas.openxmlformats.org/officeDocument/2006/relationships/hyperlink" Target="https://doi.org/10.36108/adanja/0202.10.0130"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dx.doi.org/10.4314/afrrev.v7i1.21" TargetMode="External"/><Relationship Id="rId14" Type="http://schemas.openxmlformats.org/officeDocument/2006/relationships/hyperlink" Target="https://doi.org/10.4314/jae.v27i4.2" TargetMode="External"/><Relationship Id="rId22" Type="http://schemas.openxmlformats.org/officeDocument/2006/relationships/hyperlink" Target="https://doi.org/10.3390/su13169120" TargetMode="External"/><Relationship Id="rId27" Type="http://schemas.openxmlformats.org/officeDocument/2006/relationships/hyperlink" Target="https://doi.org/10.1016/j.jafr.2021.100256" TargetMode="External"/><Relationship Id="rId30" Type="http://schemas.openxmlformats.org/officeDocument/2006/relationships/hyperlink" Target="https://doi.org/10.5596/c13-019" TargetMode="External"/><Relationship Id="rId35" Type="http://schemas.openxmlformats.org/officeDocument/2006/relationships/hyperlink" Target="https://dx.doi.org/10.4314/as.v21i4.2" TargetMode="External"/><Relationship Id="rId43" Type="http://schemas.openxmlformats.org/officeDocument/2006/relationships/fontTable" Target="fontTable.xml"/><Relationship Id="rId8" Type="http://schemas.openxmlformats.org/officeDocument/2006/relationships/hyperlink" Target="https://doi.org/10.37433/aad.v3i2.159" TargetMode="External"/><Relationship Id="rId3" Type="http://schemas.openxmlformats.org/officeDocument/2006/relationships/webSettings" Target="webSettings.xml"/><Relationship Id="rId12" Type="http://schemas.openxmlformats.org/officeDocument/2006/relationships/hyperlink" Target="http://dx.doi.org/10.52589/BJCE-PDJKIJBC" TargetMode="External"/><Relationship Id="rId17" Type="http://schemas.openxmlformats.org/officeDocument/2006/relationships/hyperlink" Target="http://dx.doi.org/10.5430/wje.v4n4p12" TargetMode="External"/><Relationship Id="rId25" Type="http://schemas.openxmlformats.org/officeDocument/2006/relationships/hyperlink" Target="http://dx.doi.org/10.5281/zenodo.8249980" TargetMode="External"/><Relationship Id="rId33" Type="http://schemas.openxmlformats.org/officeDocument/2006/relationships/hyperlink" Target="https://doi.org/10.3390/socsci12110630" TargetMode="External"/><Relationship Id="rId38" Type="http://schemas.openxmlformats.org/officeDocument/2006/relationships/hyperlink" Target="http://dx.doi.org/10.47231/ZMNK11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5674</Words>
  <Characters>32342</Characters>
  <Application>Microsoft Office Word</Application>
  <DocSecurity>0</DocSecurity>
  <Lines>269</Lines>
  <Paragraphs>75</Paragraphs>
  <ScaleCrop>false</ScaleCrop>
  <Company>Oregon State University</Company>
  <LinksUpToDate>false</LinksUpToDate>
  <CharactersWithSpaces>37941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Traini, Haley Quade</cp:lastModifiedBy>
  <cp:revision>3</cp:revision>
  <dcterms:created xsi:type="dcterms:W3CDTF">2025-07-30T20:52:00Z</dcterms:created>
  <dcterms:modified xsi:type="dcterms:W3CDTF">2025-07-30T20:59:00Z</dcterms:modified>
</cp:coreProperties>
</file>