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A2E59" w14:textId="18F5A7CA" w:rsidR="008C19C1" w:rsidRPr="008C19C1" w:rsidRDefault="008C19C1" w:rsidP="008C19C1">
      <w:pPr>
        <w:jc w:val="center"/>
        <w:rPr>
          <w:rStyle w:val="Strong"/>
          <w:rFonts w:ascii="Times New Roman" w:hAnsi="Times New Roman" w:cs="Times New Roman"/>
          <w:color w:val="0E101A"/>
        </w:rPr>
      </w:pPr>
      <w:r w:rsidRPr="008C19C1">
        <w:rPr>
          <w:rStyle w:val="Strong"/>
          <w:rFonts w:ascii="Times New Roman" w:hAnsi="Times New Roman" w:cs="Times New Roman"/>
          <w:color w:val="0E101A"/>
        </w:rPr>
        <w:t xml:space="preserve">Integrating Agriculture </w:t>
      </w:r>
      <w:r w:rsidR="00CD1AD0">
        <w:rPr>
          <w:rStyle w:val="Strong"/>
          <w:rFonts w:ascii="Times New Roman" w:hAnsi="Times New Roman" w:cs="Times New Roman"/>
          <w:color w:val="0E101A"/>
        </w:rPr>
        <w:t>into</w:t>
      </w:r>
      <w:r w:rsidRPr="008C19C1">
        <w:rPr>
          <w:rStyle w:val="Strong"/>
          <w:rFonts w:ascii="Times New Roman" w:hAnsi="Times New Roman" w:cs="Times New Roman"/>
          <w:color w:val="0E101A"/>
        </w:rPr>
        <w:t xml:space="preserve"> World Languages Education </w:t>
      </w:r>
      <w:r w:rsidR="00CD1AD0">
        <w:rPr>
          <w:rStyle w:val="Strong"/>
          <w:rFonts w:ascii="Times New Roman" w:hAnsi="Times New Roman" w:cs="Times New Roman"/>
          <w:color w:val="0E101A"/>
        </w:rPr>
        <w:t>t</w:t>
      </w:r>
      <w:r w:rsidRPr="008C19C1">
        <w:rPr>
          <w:rStyle w:val="Strong"/>
          <w:rFonts w:ascii="Times New Roman" w:hAnsi="Times New Roman" w:cs="Times New Roman"/>
          <w:color w:val="0E101A"/>
        </w:rPr>
        <w:t>hrough Immersive Experience</w:t>
      </w:r>
      <w:r w:rsidRPr="008C19C1">
        <w:rPr>
          <w:rStyle w:val="Strong"/>
          <w:rFonts w:ascii="Times New Roman" w:hAnsi="Times New Roman" w:cs="Times New Roman"/>
          <w:color w:val="0E101A"/>
        </w:rPr>
        <w:t xml:space="preserve"> </w:t>
      </w:r>
    </w:p>
    <w:p w14:paraId="4C7D8268" w14:textId="77777777" w:rsidR="008C19C1" w:rsidRPr="008C19C1" w:rsidRDefault="008C19C1" w:rsidP="008C19C1">
      <w:pPr>
        <w:jc w:val="center"/>
        <w:rPr>
          <w:rStyle w:val="Strong"/>
          <w:rFonts w:ascii="Times New Roman" w:hAnsi="Times New Roman" w:cs="Times New Roman"/>
          <w:color w:val="0E101A"/>
        </w:rPr>
      </w:pPr>
    </w:p>
    <w:p w14:paraId="62EB0542" w14:textId="77777777" w:rsidR="008C19C1" w:rsidRDefault="008C19C1" w:rsidP="008C19C1">
      <w:pPr>
        <w:jc w:val="center"/>
        <w:rPr>
          <w:rStyle w:val="Strong"/>
          <w:rFonts w:ascii="Times New Roman" w:hAnsi="Times New Roman" w:cs="Times New Roman"/>
          <w:color w:val="0E101A"/>
        </w:rPr>
      </w:pPr>
    </w:p>
    <w:p w14:paraId="4578F0E8" w14:textId="77777777" w:rsidR="008C19C1" w:rsidRDefault="008C19C1" w:rsidP="008C19C1">
      <w:pPr>
        <w:jc w:val="center"/>
        <w:rPr>
          <w:rStyle w:val="Strong"/>
          <w:rFonts w:ascii="Times New Roman" w:hAnsi="Times New Roman" w:cs="Times New Roman"/>
          <w:color w:val="0E101A"/>
        </w:rPr>
      </w:pPr>
    </w:p>
    <w:p w14:paraId="74775017" w14:textId="77777777" w:rsidR="008C19C1" w:rsidRPr="008C19C1" w:rsidRDefault="008C19C1" w:rsidP="008C19C1">
      <w:pPr>
        <w:jc w:val="center"/>
        <w:rPr>
          <w:rStyle w:val="Strong"/>
          <w:rFonts w:ascii="Times New Roman" w:hAnsi="Times New Roman" w:cs="Times New Roman"/>
          <w:color w:val="0E101A"/>
        </w:rPr>
      </w:pPr>
    </w:p>
    <w:p w14:paraId="22BE3356" w14:textId="77777777" w:rsidR="008C19C1" w:rsidRPr="008C19C1" w:rsidRDefault="008C19C1" w:rsidP="008C19C1">
      <w:pPr>
        <w:spacing w:after="0" w:line="240" w:lineRule="auto"/>
        <w:rPr>
          <w:rFonts w:ascii="Times New Roman" w:eastAsia="Times New Roman" w:hAnsi="Times New Roman" w:cs="Times New Roman"/>
          <w:b/>
          <w:bCs/>
          <w:color w:val="000000"/>
          <w:kern w:val="0"/>
          <w14:ligatures w14:val="none"/>
        </w:rPr>
      </w:pPr>
      <w:r w:rsidRPr="008C19C1">
        <w:rPr>
          <w:rFonts w:ascii="Times New Roman" w:eastAsia="Times New Roman" w:hAnsi="Times New Roman" w:cs="Times New Roman"/>
          <w:b/>
          <w:bCs/>
          <w:color w:val="000000"/>
          <w:kern w:val="0"/>
          <w14:ligatures w14:val="none"/>
        </w:rPr>
        <w:t>Carlos A. Parra Salinas</w:t>
      </w:r>
    </w:p>
    <w:p w14:paraId="0DB5AD1C" w14:textId="7A298D40" w:rsidR="008C19C1" w:rsidRDefault="008C19C1" w:rsidP="008C19C1">
      <w:pPr>
        <w:spacing w:after="0" w:line="24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MSAD 51</w:t>
      </w:r>
    </w:p>
    <w:p w14:paraId="158A39EE" w14:textId="0AB77FD5" w:rsidR="008C19C1" w:rsidRDefault="008C19C1" w:rsidP="008C19C1">
      <w:pPr>
        <w:spacing w:after="0" w:line="24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Greely Middle School 6-8</w:t>
      </w:r>
    </w:p>
    <w:p w14:paraId="7D7EF6F9" w14:textId="2AFC1073" w:rsidR="008C19C1" w:rsidRDefault="008C19C1" w:rsidP="008C19C1">
      <w:pPr>
        <w:spacing w:after="0" w:line="24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351 Tuttle Rd. Cumberland, ME 04021</w:t>
      </w:r>
    </w:p>
    <w:p w14:paraId="44007CD1" w14:textId="77777777" w:rsidR="008C19C1" w:rsidRPr="008C19C1" w:rsidRDefault="008C19C1" w:rsidP="008C19C1">
      <w:pPr>
        <w:spacing w:after="0" w:line="240" w:lineRule="auto"/>
        <w:rPr>
          <w:rFonts w:ascii="Times New Roman" w:eastAsia="Times New Roman" w:hAnsi="Times New Roman" w:cs="Times New Roman"/>
          <w:color w:val="000000"/>
          <w:kern w:val="0"/>
          <w14:ligatures w14:val="none"/>
        </w:rPr>
      </w:pPr>
      <w:r w:rsidRPr="008C19C1">
        <w:rPr>
          <w:rFonts w:ascii="Times New Roman" w:eastAsia="Times New Roman" w:hAnsi="Times New Roman" w:cs="Times New Roman"/>
          <w:color w:val="000000"/>
          <w:kern w:val="0"/>
          <w14:ligatures w14:val="none"/>
        </w:rPr>
        <w:t>Phone: (765) 409-5967</w:t>
      </w:r>
    </w:p>
    <w:p w14:paraId="4A128811" w14:textId="34B9885D" w:rsidR="008C19C1" w:rsidRPr="008C19C1" w:rsidRDefault="008C19C1" w:rsidP="008C19C1">
      <w:pPr>
        <w:spacing w:after="0" w:line="240" w:lineRule="auto"/>
        <w:rPr>
          <w:rFonts w:ascii="Times New Roman" w:eastAsia="Times New Roman" w:hAnsi="Times New Roman" w:cs="Times New Roman"/>
          <w:color w:val="000000"/>
          <w:kern w:val="0"/>
          <w14:ligatures w14:val="none"/>
        </w:rPr>
      </w:pPr>
      <w:r w:rsidRPr="008C19C1">
        <w:rPr>
          <w:rFonts w:ascii="Times New Roman" w:eastAsia="Times New Roman" w:hAnsi="Times New Roman" w:cs="Times New Roman"/>
          <w:color w:val="000000"/>
          <w:kern w:val="0"/>
          <w14:ligatures w14:val="none"/>
        </w:rPr>
        <w:t>Email: carlosparra</w:t>
      </w:r>
      <w:r>
        <w:rPr>
          <w:rFonts w:ascii="Times New Roman" w:eastAsia="Times New Roman" w:hAnsi="Times New Roman" w:cs="Times New Roman"/>
          <w:color w:val="000000"/>
          <w:kern w:val="0"/>
          <w14:ligatures w14:val="none"/>
        </w:rPr>
        <w:t>2</w:t>
      </w:r>
      <w:r w:rsidRPr="008C19C1">
        <w:rPr>
          <w:rFonts w:ascii="Times New Roman" w:eastAsia="Times New Roman" w:hAnsi="Times New Roman" w:cs="Times New Roman"/>
          <w:color w:val="000000"/>
          <w:kern w:val="0"/>
          <w14:ligatures w14:val="none"/>
        </w:rPr>
        <w:t>@</w:t>
      </w:r>
      <w:r>
        <w:rPr>
          <w:rFonts w:ascii="Times New Roman" w:eastAsia="Times New Roman" w:hAnsi="Times New Roman" w:cs="Times New Roman"/>
          <w:color w:val="000000"/>
          <w:kern w:val="0"/>
          <w14:ligatures w14:val="none"/>
        </w:rPr>
        <w:t>gmail.com</w:t>
      </w:r>
    </w:p>
    <w:p w14:paraId="41550479" w14:textId="0600AC9F" w:rsidR="008C19C1" w:rsidRPr="008C19C1" w:rsidRDefault="008C19C1" w:rsidP="008C19C1">
      <w:pPr>
        <w:rPr>
          <w:rStyle w:val="Strong"/>
          <w:rFonts w:ascii="Times New Roman" w:hAnsi="Times New Roman" w:cs="Times New Roman"/>
          <w:color w:val="0E101A"/>
        </w:rPr>
      </w:pPr>
      <w:r w:rsidRPr="008C19C1">
        <w:rPr>
          <w:rStyle w:val="Strong"/>
          <w:rFonts w:ascii="Times New Roman" w:hAnsi="Times New Roman" w:cs="Times New Roman"/>
          <w:color w:val="0E101A"/>
        </w:rPr>
        <w:br w:type="page"/>
      </w:r>
    </w:p>
    <w:p w14:paraId="037548F1" w14:textId="77777777" w:rsidR="008C19C1" w:rsidRDefault="008C19C1" w:rsidP="00287F79">
      <w:pPr>
        <w:spacing w:after="0" w:line="240" w:lineRule="auto"/>
        <w:jc w:val="right"/>
        <w:rPr>
          <w:rStyle w:val="Strong"/>
          <w:color w:val="0E101A"/>
        </w:rPr>
      </w:pPr>
    </w:p>
    <w:p w14:paraId="12E3D01D" w14:textId="09CE66D5" w:rsidR="00287F79" w:rsidRPr="008C19C1" w:rsidRDefault="00287F79" w:rsidP="00287F79">
      <w:pPr>
        <w:spacing w:after="0" w:line="240" w:lineRule="auto"/>
        <w:jc w:val="right"/>
        <w:rPr>
          <w:rStyle w:val="Strong"/>
          <w:rFonts w:ascii="Times New Roman" w:hAnsi="Times New Roman" w:cs="Times New Roman"/>
          <w:color w:val="0E101A"/>
        </w:rPr>
      </w:pPr>
      <w:r w:rsidRPr="008C19C1">
        <w:rPr>
          <w:rStyle w:val="Strong"/>
          <w:rFonts w:ascii="Times New Roman" w:hAnsi="Times New Roman" w:cs="Times New Roman"/>
          <w:color w:val="0E101A"/>
        </w:rPr>
        <w:t>Integrating Agriculture into World Languages Education through Immersive Experience</w:t>
      </w:r>
    </w:p>
    <w:p w14:paraId="7338E22D" w14:textId="77777777" w:rsidR="00C149FC" w:rsidRPr="008C19C1" w:rsidRDefault="00C149FC" w:rsidP="00287F79">
      <w:pPr>
        <w:spacing w:after="0" w:line="240" w:lineRule="auto"/>
        <w:jc w:val="right"/>
        <w:rPr>
          <w:rStyle w:val="Strong"/>
          <w:rFonts w:ascii="Times New Roman" w:hAnsi="Times New Roman" w:cs="Times New Roman"/>
          <w:color w:val="0E101A"/>
        </w:rPr>
      </w:pPr>
    </w:p>
    <w:p w14:paraId="7527BDD4" w14:textId="6EEA6758" w:rsidR="00C149FC" w:rsidRPr="008C19C1" w:rsidRDefault="00C149FC" w:rsidP="00287F79">
      <w:pPr>
        <w:spacing w:after="0" w:line="240" w:lineRule="auto"/>
        <w:jc w:val="right"/>
        <w:rPr>
          <w:rFonts w:ascii="Times New Roman" w:hAnsi="Times New Roman" w:cs="Times New Roman"/>
        </w:rPr>
      </w:pPr>
      <w:r w:rsidRPr="008C19C1">
        <w:rPr>
          <w:rStyle w:val="Strong"/>
          <w:rFonts w:ascii="Times New Roman" w:hAnsi="Times New Roman" w:cs="Times New Roman"/>
          <w:color w:val="0E101A"/>
        </w:rPr>
        <w:t>Carlos Alberto Parra</w:t>
      </w:r>
    </w:p>
    <w:p w14:paraId="202A05AE" w14:textId="77777777" w:rsidR="00287F79" w:rsidRPr="008C19C1" w:rsidRDefault="00287F79" w:rsidP="00287F79">
      <w:pPr>
        <w:pStyle w:val="NormalWeb"/>
        <w:spacing w:before="0" w:beforeAutospacing="0" w:after="0" w:afterAutospacing="0"/>
        <w:rPr>
          <w:color w:val="0E101A"/>
        </w:rPr>
      </w:pPr>
    </w:p>
    <w:p w14:paraId="48B3A71A" w14:textId="251134F9" w:rsidR="00287F79" w:rsidRPr="008C19C1" w:rsidRDefault="00287F79" w:rsidP="00A424FD">
      <w:pPr>
        <w:pStyle w:val="NormalWeb"/>
        <w:spacing w:before="0" w:beforeAutospacing="0" w:after="0" w:afterAutospacing="0"/>
        <w:jc w:val="center"/>
        <w:rPr>
          <w:b/>
          <w:bCs/>
          <w:color w:val="0E101A"/>
        </w:rPr>
      </w:pPr>
      <w:r w:rsidRPr="008C19C1">
        <w:rPr>
          <w:b/>
          <w:bCs/>
          <w:color w:val="0E101A"/>
        </w:rPr>
        <w:t>Introduction</w:t>
      </w:r>
    </w:p>
    <w:p w14:paraId="2F1E5D9F" w14:textId="5B3DCB19" w:rsidR="00287F79" w:rsidRDefault="00287F79" w:rsidP="00A424FD">
      <w:pPr>
        <w:pStyle w:val="NormalWeb"/>
        <w:spacing w:before="0" w:beforeAutospacing="0" w:after="0" w:afterAutospacing="0"/>
        <w:ind w:firstLine="720"/>
        <w:rPr>
          <w:color w:val="0E101A"/>
        </w:rPr>
      </w:pPr>
      <w:r w:rsidRPr="008C19C1">
        <w:rPr>
          <w:color w:val="0E101A"/>
        </w:rPr>
        <w:t>In the United States, foreign language instruction in K-12 schools is typically offered as a standalone subject, concentrating on the most spoken languages within the U</w:t>
      </w:r>
      <w:r>
        <w:rPr>
          <w:color w:val="0E101A"/>
        </w:rPr>
        <w:t xml:space="preserve">.S. context (Thompson, 2017). Over the past decade, significant changes have taken place in education to reflect the realities of an increasingly interconnected world (Hellmich, 2018). Learning languages other than English has often been considered a key element due to its cultural component, which promotes respect and helps develop a deeper understanding of cultural diversity (Carstens, 2015). In this scenario, language teachers face challenges due to youth demotivation. According to </w:t>
      </w:r>
      <w:r w:rsidR="00840674">
        <w:rPr>
          <w:color w:val="0E101A"/>
        </w:rPr>
        <w:t>Ojong</w:t>
      </w:r>
      <w:r>
        <w:rPr>
          <w:color w:val="0E101A"/>
        </w:rPr>
        <w:t xml:space="preserve"> (2024), various factors contribute to youth demotivation, including previous experiences of failure, low self-esteem, language anxiety, negative attitudes toward the language, difficulties with pronunciation, grammar, or vocabulary, and a lack of intrinsic motivation. A lack of motivation to learn a second language makes it difficult for students to reap the benefits of these types of programs. One way to improve the motivation for a second language is by integrating agriculture into world language classes. Incorporating agriculture into middle school curricula makes learning more engaging and supports student learning through the principles of experiential education (Knobloch et al.,2007). The integration of agricultural experiential education into World Language education in middle school provides students with the opportunity to gain knowledge in a real-world context and learn about the cultures of various countries through the lens of language and agriculture. </w:t>
      </w:r>
      <w:bookmarkStart w:id="0" w:name="OLE_LINK1"/>
      <w:r>
        <w:rPr>
          <w:color w:val="0E101A"/>
        </w:rPr>
        <w:t xml:space="preserve">In this </w:t>
      </w:r>
      <w:r w:rsidR="00CD1AD0">
        <w:rPr>
          <w:color w:val="0E101A"/>
        </w:rPr>
        <w:t>context, a lesson plan was developed for middle school World Language classes, focusing on cocoa crops and chocolate production, to incorporate STEM concepts and practices.</w:t>
      </w:r>
      <w:r>
        <w:rPr>
          <w:color w:val="0E101A"/>
        </w:rPr>
        <w:t xml:space="preserve"> The goal of this lesson was to help students develop knowledge of the target language in the areas of cultural topics, new vocabulary, reading, and listening comprehension, using the cocoa production chain as a guide and through the integration of STEM and AFNR in the academic process.</w:t>
      </w:r>
      <w:bookmarkEnd w:id="0"/>
    </w:p>
    <w:p w14:paraId="2222EBBD" w14:textId="77777777" w:rsidR="00A424FD" w:rsidRDefault="00A424FD" w:rsidP="00287F79">
      <w:pPr>
        <w:pStyle w:val="NormalWeb"/>
        <w:spacing w:before="0" w:beforeAutospacing="0" w:after="0" w:afterAutospacing="0"/>
        <w:rPr>
          <w:color w:val="0E101A"/>
        </w:rPr>
      </w:pPr>
    </w:p>
    <w:p w14:paraId="3AFA7A0C" w14:textId="473D9FA9" w:rsidR="00287F79" w:rsidRPr="00A424FD" w:rsidRDefault="00287F79" w:rsidP="00A424FD">
      <w:pPr>
        <w:pStyle w:val="NormalWeb"/>
        <w:spacing w:before="0" w:beforeAutospacing="0" w:after="0" w:afterAutospacing="0"/>
        <w:jc w:val="center"/>
        <w:rPr>
          <w:b/>
          <w:bCs/>
          <w:color w:val="0E101A"/>
        </w:rPr>
      </w:pPr>
      <w:r w:rsidRPr="00A424FD">
        <w:rPr>
          <w:b/>
          <w:bCs/>
          <w:color w:val="0E101A"/>
        </w:rPr>
        <w:t>Connection to Literature</w:t>
      </w:r>
    </w:p>
    <w:p w14:paraId="3628FDAB" w14:textId="125A4990" w:rsidR="00287F79" w:rsidRDefault="00287F79" w:rsidP="00A424FD">
      <w:pPr>
        <w:pStyle w:val="NormalWeb"/>
        <w:spacing w:before="0" w:beforeAutospacing="0" w:after="0" w:afterAutospacing="0"/>
        <w:ind w:firstLine="720"/>
        <w:rPr>
          <w:color w:val="0E101A"/>
        </w:rPr>
      </w:pPr>
      <w:r>
        <w:rPr>
          <w:color w:val="0E101A"/>
        </w:rPr>
        <w:t>Recent literature has highlighted the benefits of integrating STEM, AFNR, and agriculture with core academic areas such as math, science, and biology, as well as strategies for incorporating agricultural education into K–12 curricula (Zickafoose &amp; Claflin, 2024; Wang &amp; Knobloch, 2018). Integrating agriculture into elementary and middle school education offers students an authentic and engaging learning experience. It enhances classroom instruction through hands-on, experiential learning, helping students develop essential 21st-century skills (Wang &amp; Knobloch, 2022). At the high school level, agricultural education has proven to be an effective platform for teaching science and biology content, allowing students to apply concepts in real-world contexts (</w:t>
      </w:r>
      <w:proofErr w:type="spellStart"/>
      <w:r>
        <w:rPr>
          <w:color w:val="0E101A"/>
        </w:rPr>
        <w:t>Balschweid</w:t>
      </w:r>
      <w:proofErr w:type="spellEnd"/>
      <w:r>
        <w:rPr>
          <w:color w:val="0E101A"/>
        </w:rPr>
        <w:t xml:space="preserve">, 2002). Research also indicates that agriculture-based instruction increases student motivation and interest, particularly within the context of agriculture, food, and natural resources (Thies et al., 2024). Additionally, integrating science into agricultural education has been shown to improve science achievement (Baker et al., 2015), while agricultural contexts have also supported learning in mathematics by encouraging critical thinking, quantitative reasoning, and problem-solving skills (Robinson et al., 2018). However, there is currently a lack of research on integrating agricultural topics and world language </w:t>
      </w:r>
      <w:r>
        <w:rPr>
          <w:color w:val="0E101A"/>
        </w:rPr>
        <w:lastRenderedPageBreak/>
        <w:t>education despite its potential to provide culturally rich and meaningful contexts for language learning.</w:t>
      </w:r>
    </w:p>
    <w:p w14:paraId="5D9864C2" w14:textId="581C009B" w:rsidR="00287F79" w:rsidRPr="00A424FD" w:rsidRDefault="00287F79" w:rsidP="00A424FD">
      <w:pPr>
        <w:pStyle w:val="NormalWeb"/>
        <w:spacing w:before="0" w:beforeAutospacing="0" w:after="0" w:afterAutospacing="0"/>
        <w:jc w:val="center"/>
        <w:rPr>
          <w:b/>
          <w:bCs/>
          <w:color w:val="0E101A"/>
        </w:rPr>
      </w:pPr>
      <w:r w:rsidRPr="00A424FD">
        <w:rPr>
          <w:b/>
          <w:bCs/>
          <w:color w:val="0E101A"/>
        </w:rPr>
        <w:t>How it Works &amp; Implementation of Strategy</w:t>
      </w:r>
    </w:p>
    <w:p w14:paraId="3A5E45F0" w14:textId="77777777" w:rsidR="00287F79" w:rsidRDefault="00287F79" w:rsidP="00A424FD">
      <w:pPr>
        <w:pStyle w:val="NormalWeb"/>
        <w:spacing w:before="0" w:beforeAutospacing="0" w:after="0" w:afterAutospacing="0"/>
        <w:ind w:firstLine="720"/>
        <w:rPr>
          <w:color w:val="0E101A"/>
        </w:rPr>
      </w:pPr>
      <w:r>
        <w:rPr>
          <w:color w:val="0E101A"/>
        </w:rPr>
        <w:t>The integration of agriculture, STEAM, and AFNR with world language education seeks to motivate students to learn a second language through experiential learning, thus stimulating their learning. For this activity, four lessons were prepared in the target language: (a) The Origin of Cacao, where we shared a story about the origins of cacao through storytelling and basic vocabulary. (b) Where Does Chocolate Come From? Based on climate concepts, students identified the regions of the world where cacao production is predominantly found (i.e., tropical countries). The students discussed (in the target language) the possibility of producing cocoa in Maine or other states of the U.S. (c) Culture and Traditions Surrounding Cacao: Students researched tropical countries, their cultures, and traditions, and created posters in the target language. (d) Transforming cocoa into chocolate: Using videos (in the target language) and pictures, students recognized the basic elements involved in transforming cocoa beans into chocolate (e.g., heat, pressure, and fermentation). (e) Eating Chocolate vs. Eating Cacao Beans: Using fresh cocoa fruits, students identified the cocoa fruit, its characteristics, colors, seeds, and the number of seeds. Finally, the students feel the texture, flavor, and aroma of the cocoa seeds and compare the differences between the raw material and the final product.</w:t>
      </w:r>
    </w:p>
    <w:p w14:paraId="2CF0BE2B" w14:textId="77777777" w:rsidR="00A424FD" w:rsidRDefault="00A424FD" w:rsidP="00287F79">
      <w:pPr>
        <w:pStyle w:val="NormalWeb"/>
        <w:spacing w:before="0" w:beforeAutospacing="0" w:after="0" w:afterAutospacing="0"/>
        <w:rPr>
          <w:color w:val="0E101A"/>
        </w:rPr>
      </w:pPr>
    </w:p>
    <w:p w14:paraId="4DADCB66" w14:textId="0BBE21C5" w:rsidR="00287F79" w:rsidRDefault="00287F79" w:rsidP="00A424FD">
      <w:pPr>
        <w:pStyle w:val="NormalWeb"/>
        <w:spacing w:before="0" w:beforeAutospacing="0" w:after="0" w:afterAutospacing="0"/>
        <w:jc w:val="center"/>
        <w:rPr>
          <w:color w:val="0E101A"/>
        </w:rPr>
      </w:pPr>
      <w:r w:rsidRPr="00A424FD">
        <w:rPr>
          <w:b/>
          <w:bCs/>
          <w:color w:val="0E101A"/>
        </w:rPr>
        <w:t>Results to Date/Implications/Impact</w:t>
      </w:r>
    </w:p>
    <w:p w14:paraId="1F60DF46" w14:textId="77777777" w:rsidR="00287F79" w:rsidRDefault="00287F79" w:rsidP="00A424FD">
      <w:pPr>
        <w:pStyle w:val="NormalWeb"/>
        <w:spacing w:before="0" w:beforeAutospacing="0" w:after="0" w:afterAutospacing="0"/>
        <w:ind w:firstLine="720"/>
        <w:rPr>
          <w:color w:val="0E101A"/>
        </w:rPr>
      </w:pPr>
      <w:r>
        <w:rPr>
          <w:color w:val="0E101A"/>
        </w:rPr>
        <w:t>A total of 40 high school students enrolled in the 6th and 8th-grade Spanish class at a school in Maine participated in this first experience in 2024. Of these, 35 completed the online questionnaire at the end of the class. 62.9% of the respondents stated that they understood the information about cacao and chocolate in the target language. They also agreed that the topic of cacao was interesting to them in Spanish class (65.7%). 85.7% of the students reported that the cacao class helped them learn Spanish, primarily by acquiring new vocabulary, and 71.4% of the students considered this vocabulary useful for future Spanish courses. Finally, 80% of students agreed that they would like to have more courses like this in their Spanish class, and 62.8% of the students are interested in learning Spanish vocabulary related to topics such as agriculture and natural resources.</w:t>
      </w:r>
    </w:p>
    <w:p w14:paraId="749CA8DD" w14:textId="77777777" w:rsidR="00A424FD" w:rsidRDefault="00A424FD" w:rsidP="00287F79">
      <w:pPr>
        <w:pStyle w:val="NormalWeb"/>
        <w:spacing w:before="0" w:beforeAutospacing="0" w:after="0" w:afterAutospacing="0"/>
        <w:rPr>
          <w:color w:val="0E101A"/>
        </w:rPr>
      </w:pPr>
    </w:p>
    <w:p w14:paraId="62624463" w14:textId="170FE8C6" w:rsidR="00287F79" w:rsidRDefault="00287F79" w:rsidP="00A424FD">
      <w:pPr>
        <w:pStyle w:val="NormalWeb"/>
        <w:spacing w:before="0" w:beforeAutospacing="0" w:after="0" w:afterAutospacing="0"/>
        <w:jc w:val="center"/>
        <w:rPr>
          <w:color w:val="0E101A"/>
        </w:rPr>
      </w:pPr>
      <w:proofErr w:type="gramStart"/>
      <w:r w:rsidRPr="00A424FD">
        <w:rPr>
          <w:b/>
          <w:bCs/>
          <w:color w:val="0E101A"/>
        </w:rPr>
        <w:t>Future Plans</w:t>
      </w:r>
      <w:proofErr w:type="gramEnd"/>
      <w:r w:rsidRPr="00A424FD">
        <w:rPr>
          <w:b/>
          <w:bCs/>
          <w:color w:val="0E101A"/>
        </w:rPr>
        <w:t>/Advice to Others</w:t>
      </w:r>
    </w:p>
    <w:p w14:paraId="78726BD0" w14:textId="01EDFEB4" w:rsidR="00287F79" w:rsidRDefault="00287F79" w:rsidP="00A424FD">
      <w:pPr>
        <w:pStyle w:val="NormalWeb"/>
        <w:spacing w:before="0" w:beforeAutospacing="0" w:after="0" w:afterAutospacing="0"/>
        <w:ind w:firstLine="720"/>
        <w:rPr>
          <w:color w:val="0E101A"/>
        </w:rPr>
      </w:pPr>
      <w:r>
        <w:rPr>
          <w:color w:val="0E101A"/>
        </w:rPr>
        <w:t>Learning a second language offers multiple cognitive, social, and cultural benefits. It also fosters communication skills, cultural understanding, and global awareness. Implementing more activities related to agriculture and natural resources will help foreign language learners engage in real-life cultural contexts and foster their intrinsic and extrinsic motivation for second language classes.</w:t>
      </w:r>
      <w:r w:rsidR="00A424FD">
        <w:rPr>
          <w:color w:val="0E101A"/>
        </w:rPr>
        <w:t xml:space="preserve"> </w:t>
      </w:r>
      <w:r>
        <w:rPr>
          <w:color w:val="0E101A"/>
        </w:rPr>
        <w:t>Foreign language learners and teachers can address topics related to agriculture, the environment, natural resources, cultural differences, cultural understanding, or global social issues, thus facilitating informed participation in the target language.</w:t>
      </w:r>
      <w:r w:rsidR="00A424FD">
        <w:rPr>
          <w:color w:val="0E101A"/>
        </w:rPr>
        <w:t xml:space="preserve"> </w:t>
      </w:r>
      <w:r>
        <w:rPr>
          <w:color w:val="0E101A"/>
        </w:rPr>
        <w:t>This course will continue during the 2025-2026 academic year. The next step is to search for resources to expand the lesson, reach more students, and include new topics. It is also necessary to continue monitoring the students' perceptions of new lessons.</w:t>
      </w:r>
    </w:p>
    <w:p w14:paraId="2D938CBB" w14:textId="77777777" w:rsidR="00700177" w:rsidRPr="00700177" w:rsidRDefault="00700177" w:rsidP="0016178F">
      <w:pPr>
        <w:spacing w:after="0" w:line="240" w:lineRule="auto"/>
        <w:rPr>
          <w:rFonts w:ascii="Times New Roman" w:hAnsi="Times New Roman" w:cs="Times New Roman"/>
        </w:rPr>
      </w:pPr>
    </w:p>
    <w:p w14:paraId="365D0713" w14:textId="77777777" w:rsidR="00A424FD" w:rsidRDefault="00A424FD" w:rsidP="0016178F">
      <w:pPr>
        <w:spacing w:after="0" w:line="240" w:lineRule="auto"/>
        <w:rPr>
          <w:rFonts w:ascii="Times New Roman" w:hAnsi="Times New Roman" w:cs="Times New Roman"/>
        </w:rPr>
      </w:pPr>
    </w:p>
    <w:p w14:paraId="57D25279" w14:textId="77777777" w:rsidR="00A424FD" w:rsidRDefault="00A424FD" w:rsidP="0016178F">
      <w:pPr>
        <w:spacing w:after="0" w:line="240" w:lineRule="auto"/>
        <w:rPr>
          <w:rFonts w:ascii="Times New Roman" w:hAnsi="Times New Roman" w:cs="Times New Roman"/>
        </w:rPr>
      </w:pPr>
    </w:p>
    <w:p w14:paraId="13D2FF3C" w14:textId="77777777" w:rsidR="00A424FD" w:rsidRDefault="00A424FD" w:rsidP="0016178F">
      <w:pPr>
        <w:spacing w:after="0" w:line="240" w:lineRule="auto"/>
        <w:rPr>
          <w:rFonts w:ascii="Times New Roman" w:hAnsi="Times New Roman" w:cs="Times New Roman"/>
        </w:rPr>
      </w:pPr>
    </w:p>
    <w:p w14:paraId="7A8B500D" w14:textId="77777777" w:rsidR="00A424FD" w:rsidRDefault="00A424FD" w:rsidP="0016178F">
      <w:pPr>
        <w:spacing w:after="0" w:line="240" w:lineRule="auto"/>
        <w:rPr>
          <w:rFonts w:ascii="Times New Roman" w:hAnsi="Times New Roman" w:cs="Times New Roman"/>
        </w:rPr>
      </w:pPr>
    </w:p>
    <w:p w14:paraId="65FF723E" w14:textId="77777777" w:rsidR="00A424FD" w:rsidRDefault="00A424FD" w:rsidP="0016178F">
      <w:pPr>
        <w:spacing w:after="0" w:line="240" w:lineRule="auto"/>
        <w:rPr>
          <w:rFonts w:ascii="Times New Roman" w:hAnsi="Times New Roman" w:cs="Times New Roman"/>
        </w:rPr>
      </w:pPr>
    </w:p>
    <w:p w14:paraId="7E46DAD1" w14:textId="7A7F862E" w:rsidR="00700177" w:rsidRPr="00A424FD" w:rsidRDefault="00700177" w:rsidP="0016178F">
      <w:pPr>
        <w:spacing w:after="0" w:line="240" w:lineRule="auto"/>
        <w:rPr>
          <w:rFonts w:ascii="Times New Roman" w:hAnsi="Times New Roman" w:cs="Times New Roman"/>
          <w:b/>
          <w:bCs/>
        </w:rPr>
      </w:pPr>
      <w:r w:rsidRPr="00A424FD">
        <w:rPr>
          <w:rFonts w:ascii="Times New Roman" w:hAnsi="Times New Roman" w:cs="Times New Roman"/>
          <w:b/>
          <w:bCs/>
        </w:rPr>
        <w:t>References</w:t>
      </w:r>
    </w:p>
    <w:p w14:paraId="25F0F9EF" w14:textId="77777777" w:rsidR="00700177" w:rsidRPr="00571742" w:rsidRDefault="00700177" w:rsidP="00571742">
      <w:pPr>
        <w:spacing w:after="0" w:line="240" w:lineRule="auto"/>
        <w:rPr>
          <w:rFonts w:ascii="Times New Roman" w:hAnsi="Times New Roman" w:cs="Times New Roman"/>
        </w:rPr>
      </w:pPr>
    </w:p>
    <w:p w14:paraId="1A6E5ADA" w14:textId="77777777" w:rsidR="00571742" w:rsidRPr="00571742" w:rsidRDefault="00571742" w:rsidP="00571742">
      <w:pPr>
        <w:pStyle w:val="NormalWeb"/>
        <w:spacing w:before="0" w:beforeAutospacing="0" w:after="0" w:afterAutospacing="0"/>
        <w:ind w:left="567" w:hanging="567"/>
      </w:pPr>
      <w:r w:rsidRPr="00571742">
        <w:t xml:space="preserve">Baker, M. A., Bunch, J. C., &amp; Kelsey, K. D. (2015). An instrumental case study of effective science integration in a traditional agricultural education program. </w:t>
      </w:r>
      <w:r w:rsidRPr="00571742">
        <w:rPr>
          <w:i/>
          <w:iCs/>
        </w:rPr>
        <w:t>Journal of Agricultural Education</w:t>
      </w:r>
      <w:r w:rsidRPr="00571742">
        <w:t xml:space="preserve">, </w:t>
      </w:r>
      <w:r w:rsidRPr="00571742">
        <w:rPr>
          <w:i/>
          <w:iCs/>
        </w:rPr>
        <w:t>56</w:t>
      </w:r>
      <w:r w:rsidRPr="00571742">
        <w:t xml:space="preserve">(1), 221–236. https://doi.org/10.5032/jae.2015.01221 </w:t>
      </w:r>
    </w:p>
    <w:p w14:paraId="16A01A57" w14:textId="77777777" w:rsidR="00571742" w:rsidRPr="00571742" w:rsidRDefault="00571742" w:rsidP="00571742">
      <w:pPr>
        <w:pStyle w:val="NormalWeb"/>
        <w:spacing w:before="0" w:beforeAutospacing="0" w:after="0" w:afterAutospacing="0"/>
        <w:ind w:left="567" w:hanging="567"/>
      </w:pPr>
      <w:proofErr w:type="spellStart"/>
      <w:r w:rsidRPr="00571742">
        <w:t>Balschweid</w:t>
      </w:r>
      <w:proofErr w:type="spellEnd"/>
      <w:r w:rsidRPr="00571742">
        <w:t xml:space="preserve">, M. A. (2002). Teaching biology using agriculture as the context: Perceptions of high school students. </w:t>
      </w:r>
      <w:r w:rsidRPr="00571742">
        <w:rPr>
          <w:i/>
          <w:iCs/>
        </w:rPr>
        <w:t>Journal of Agricultural Education</w:t>
      </w:r>
      <w:r w:rsidRPr="00571742">
        <w:t xml:space="preserve">, </w:t>
      </w:r>
      <w:r w:rsidRPr="00571742">
        <w:rPr>
          <w:i/>
          <w:iCs/>
        </w:rPr>
        <w:t>43</w:t>
      </w:r>
      <w:r w:rsidRPr="00571742">
        <w:t xml:space="preserve">(2), 56–67. https://doi.org/10.5032/jae.2002.02056 </w:t>
      </w:r>
    </w:p>
    <w:p w14:paraId="171F377A" w14:textId="77777777" w:rsidR="00571742" w:rsidRPr="00571742" w:rsidRDefault="00571742" w:rsidP="00571742">
      <w:pPr>
        <w:pStyle w:val="NormalWeb"/>
        <w:spacing w:before="0" w:beforeAutospacing="0" w:after="0" w:afterAutospacing="0"/>
        <w:ind w:left="567" w:hanging="567"/>
      </w:pPr>
      <w:r w:rsidRPr="00571742">
        <w:t xml:space="preserve">Carstens, S. (2015). Bilingual Education for Global Citizenship: Creating an integrated language/culture curriculum for Mandarin/English students. </w:t>
      </w:r>
      <w:r w:rsidRPr="00571742">
        <w:rPr>
          <w:i/>
          <w:iCs/>
        </w:rPr>
        <w:t>Human Organization</w:t>
      </w:r>
      <w:r w:rsidRPr="00571742">
        <w:t xml:space="preserve">, </w:t>
      </w:r>
      <w:r w:rsidRPr="00571742">
        <w:rPr>
          <w:i/>
          <w:iCs/>
        </w:rPr>
        <w:t>74</w:t>
      </w:r>
      <w:r w:rsidRPr="00571742">
        <w:t xml:space="preserve">(1), 16–26. https://doi.org/10.17730/humo.74.1.xq4g071t5742r104 </w:t>
      </w:r>
    </w:p>
    <w:p w14:paraId="239FFBD1" w14:textId="77777777" w:rsidR="00571742" w:rsidRPr="00571742" w:rsidRDefault="00571742" w:rsidP="00571742">
      <w:pPr>
        <w:pStyle w:val="NormalWeb"/>
        <w:spacing w:before="0" w:beforeAutospacing="0" w:after="0" w:afterAutospacing="0"/>
        <w:ind w:left="567" w:hanging="567"/>
      </w:pPr>
      <w:r w:rsidRPr="00571742">
        <w:t xml:space="preserve">Hellmich, E. A. (2018). Language in a global world: A case study of foreign languages in U.S. K–8 education. </w:t>
      </w:r>
      <w:r w:rsidRPr="00571742">
        <w:rPr>
          <w:i/>
          <w:iCs/>
        </w:rPr>
        <w:t>Foreign Language Annals</w:t>
      </w:r>
      <w:r w:rsidRPr="00571742">
        <w:t xml:space="preserve">, </w:t>
      </w:r>
      <w:r w:rsidRPr="00571742">
        <w:rPr>
          <w:i/>
          <w:iCs/>
        </w:rPr>
        <w:t>51</w:t>
      </w:r>
      <w:r w:rsidRPr="00571742">
        <w:t xml:space="preserve">(2), 313–330. https://doi.org/10.1111/flan.12333 </w:t>
      </w:r>
    </w:p>
    <w:p w14:paraId="4B8C591E" w14:textId="77777777" w:rsidR="00571742" w:rsidRPr="00571742" w:rsidRDefault="00571742" w:rsidP="00571742">
      <w:pPr>
        <w:pStyle w:val="NormalWeb"/>
        <w:spacing w:before="0" w:beforeAutospacing="0" w:after="0" w:afterAutospacing="0"/>
        <w:ind w:left="567" w:hanging="567"/>
      </w:pPr>
      <w:r w:rsidRPr="00571742">
        <w:t xml:space="preserve">Knobloch, N. A., Ball, A. L., &amp; Allen, C. (2007). The benefits of teaching and learning about agriculture in </w:t>
      </w:r>
      <w:r w:rsidRPr="00D5484C">
        <w:rPr>
          <w:b/>
          <w:bCs/>
        </w:rPr>
        <w:t>elementary</w:t>
      </w:r>
      <w:r w:rsidRPr="00571742">
        <w:t xml:space="preserve"> and junior high schools. </w:t>
      </w:r>
      <w:r w:rsidRPr="00571742">
        <w:rPr>
          <w:i/>
          <w:iCs/>
        </w:rPr>
        <w:t>Journal of Agricultural Education</w:t>
      </w:r>
      <w:r w:rsidRPr="00571742">
        <w:t xml:space="preserve">, </w:t>
      </w:r>
      <w:r w:rsidRPr="00571742">
        <w:rPr>
          <w:i/>
          <w:iCs/>
        </w:rPr>
        <w:t>48</w:t>
      </w:r>
      <w:r w:rsidRPr="00571742">
        <w:t xml:space="preserve">(3), 25–36. https://doi.org/10.5032/jae.2007.03025 </w:t>
      </w:r>
    </w:p>
    <w:p w14:paraId="6243A5B8" w14:textId="77777777" w:rsidR="00571742" w:rsidRPr="00571742" w:rsidRDefault="00571742" w:rsidP="00571742">
      <w:pPr>
        <w:pStyle w:val="NormalWeb"/>
        <w:spacing w:before="0" w:beforeAutospacing="0" w:after="0" w:afterAutospacing="0"/>
        <w:ind w:left="567" w:hanging="567"/>
      </w:pPr>
      <w:r w:rsidRPr="00571742">
        <w:t xml:space="preserve">Ojong, A. S. (2024). Exploring demotivation in Second language classrooms: A literature review of teacher and student variables. </w:t>
      </w:r>
      <w:r w:rsidRPr="00571742">
        <w:rPr>
          <w:i/>
          <w:iCs/>
        </w:rPr>
        <w:t>Journal of Translation and Language Studies</w:t>
      </w:r>
      <w:r w:rsidRPr="00571742">
        <w:t xml:space="preserve">, </w:t>
      </w:r>
      <w:r w:rsidRPr="00571742">
        <w:rPr>
          <w:i/>
          <w:iCs/>
        </w:rPr>
        <w:t>5</w:t>
      </w:r>
      <w:r w:rsidRPr="00571742">
        <w:t xml:space="preserve">(2), 31–42. https://doi.org/10.48185/jtls.v5i2.1016 </w:t>
      </w:r>
    </w:p>
    <w:p w14:paraId="58396B2B" w14:textId="77777777" w:rsidR="00571742" w:rsidRPr="00571742" w:rsidRDefault="00571742" w:rsidP="00571742">
      <w:pPr>
        <w:pStyle w:val="NormalWeb"/>
        <w:spacing w:before="0" w:beforeAutospacing="0" w:after="0" w:afterAutospacing="0"/>
        <w:ind w:left="567" w:hanging="567"/>
      </w:pPr>
      <w:r w:rsidRPr="00571742">
        <w:t xml:space="preserve">Robinson, K., Westfall-Rudd, D., Drape, T., &amp; Scherer, H. (2018). Conceptualizing integrative agricultural education: Introductory framework for integrating mathematics in agricultural curriculum. </w:t>
      </w:r>
      <w:r w:rsidRPr="00571742">
        <w:rPr>
          <w:i/>
          <w:iCs/>
        </w:rPr>
        <w:t>Journal of Agricultural Education</w:t>
      </w:r>
      <w:r w:rsidRPr="00571742">
        <w:t xml:space="preserve">, </w:t>
      </w:r>
      <w:r w:rsidRPr="00571742">
        <w:rPr>
          <w:i/>
          <w:iCs/>
        </w:rPr>
        <w:t>59</w:t>
      </w:r>
      <w:r w:rsidRPr="00571742">
        <w:t xml:space="preserve">(4), 253–269. https://doi.org/10.5032/jae.2018.04253 </w:t>
      </w:r>
    </w:p>
    <w:p w14:paraId="2DD13CF8" w14:textId="77777777" w:rsidR="00571742" w:rsidRPr="00571742" w:rsidRDefault="00571742" w:rsidP="00571742">
      <w:pPr>
        <w:pStyle w:val="NormalWeb"/>
        <w:spacing w:before="0" w:beforeAutospacing="0" w:after="0" w:afterAutospacing="0"/>
        <w:ind w:left="567" w:hanging="567"/>
      </w:pPr>
      <w:r w:rsidRPr="00571742">
        <w:t xml:space="preserve">Thies, S., Knobloch, N., Wang, H.-H., &amp; Nelson, B. (2024). High school students’ motivation regarding an integrated STEM Food System Project. </w:t>
      </w:r>
      <w:r w:rsidRPr="00571742">
        <w:rPr>
          <w:i/>
          <w:iCs/>
        </w:rPr>
        <w:t>NACTA Journal</w:t>
      </w:r>
      <w:r w:rsidRPr="00571742">
        <w:t xml:space="preserve">, </w:t>
      </w:r>
      <w:r w:rsidRPr="00571742">
        <w:rPr>
          <w:i/>
          <w:iCs/>
        </w:rPr>
        <w:t>68</w:t>
      </w:r>
      <w:r w:rsidRPr="00571742">
        <w:t xml:space="preserve">(1), 107–118. https://doi.org/10.56103/nactaj.v68i1.131 </w:t>
      </w:r>
    </w:p>
    <w:p w14:paraId="4F1CC298" w14:textId="193B957D" w:rsidR="00571742" w:rsidRPr="00571742" w:rsidRDefault="00571742" w:rsidP="00571742">
      <w:pPr>
        <w:pStyle w:val="NormalWeb"/>
        <w:spacing w:before="0" w:beforeAutospacing="0" w:after="0" w:afterAutospacing="0"/>
        <w:ind w:left="567" w:hanging="567"/>
      </w:pPr>
      <w:r w:rsidRPr="00571742">
        <w:t>T</w:t>
      </w:r>
      <w:r>
        <w:t>hompson</w:t>
      </w:r>
      <w:r w:rsidRPr="00571742">
        <w:t xml:space="preserve">, A. S. (2017). Language learning motivation in the United States: An examination of language choice and multilingualism. </w:t>
      </w:r>
      <w:r w:rsidRPr="00571742">
        <w:rPr>
          <w:i/>
          <w:iCs/>
        </w:rPr>
        <w:t>The Modern Language Journal</w:t>
      </w:r>
      <w:r w:rsidRPr="00571742">
        <w:t xml:space="preserve">, </w:t>
      </w:r>
      <w:r w:rsidRPr="00571742">
        <w:rPr>
          <w:i/>
          <w:iCs/>
        </w:rPr>
        <w:t>101</w:t>
      </w:r>
      <w:r w:rsidRPr="00571742">
        <w:t xml:space="preserve">(3), 483–500. https://doi.org/10.1111/modl.12409 </w:t>
      </w:r>
    </w:p>
    <w:p w14:paraId="1D622C85" w14:textId="77777777" w:rsidR="00571742" w:rsidRPr="00571742" w:rsidRDefault="00571742" w:rsidP="00571742">
      <w:pPr>
        <w:pStyle w:val="NormalWeb"/>
        <w:spacing w:before="0" w:beforeAutospacing="0" w:after="0" w:afterAutospacing="0"/>
        <w:ind w:left="567" w:hanging="567"/>
      </w:pPr>
      <w:r w:rsidRPr="00571742">
        <w:t xml:space="preserve">Wang, H.-H., &amp; Knobloch, N. A. (2018). Levels of stem integration through agriculture, food, and Natural Resources. </w:t>
      </w:r>
      <w:r w:rsidRPr="00571742">
        <w:rPr>
          <w:i/>
          <w:iCs/>
        </w:rPr>
        <w:t>Journal of Agricultural Education</w:t>
      </w:r>
      <w:r w:rsidRPr="00571742">
        <w:t xml:space="preserve">, </w:t>
      </w:r>
      <w:r w:rsidRPr="00571742">
        <w:rPr>
          <w:i/>
          <w:iCs/>
        </w:rPr>
        <w:t>59</w:t>
      </w:r>
      <w:r w:rsidRPr="00571742">
        <w:t xml:space="preserve">(3), 258–277. https://doi.org/10.5032/jae.2018.03258 </w:t>
      </w:r>
    </w:p>
    <w:p w14:paraId="5A52A1FD" w14:textId="61D783CE" w:rsidR="00571742" w:rsidRDefault="00571742" w:rsidP="00571742">
      <w:pPr>
        <w:pStyle w:val="NormalWeb"/>
        <w:spacing w:before="0" w:beforeAutospacing="0" w:after="0" w:afterAutospacing="0"/>
        <w:ind w:left="567" w:hanging="567"/>
      </w:pPr>
      <w:r w:rsidRPr="00571742">
        <w:t xml:space="preserve">Wang, H.-H., &amp; Knobloch, N. A. (2022). Preservice </w:t>
      </w:r>
      <w:proofErr w:type="gramStart"/>
      <w:r w:rsidRPr="00571742">
        <w:t>educators</w:t>
      </w:r>
      <w:proofErr w:type="gramEnd"/>
      <w:r w:rsidRPr="00571742">
        <w:t xml:space="preserve"> interpretations and pedagogical benefits of a </w:t>
      </w:r>
      <w:r w:rsidR="00D5484C">
        <w:t>STEM</w:t>
      </w:r>
      <w:r w:rsidRPr="00571742">
        <w:t xml:space="preserve"> integration through agriculture, Food and Natural Resources Rubric. </w:t>
      </w:r>
      <w:r w:rsidRPr="00571742">
        <w:rPr>
          <w:i/>
          <w:iCs/>
        </w:rPr>
        <w:t>Journal of Pedagogical Research</w:t>
      </w:r>
      <w:r w:rsidRPr="00571742">
        <w:t xml:space="preserve">, 4–28. https://doi.org/10.33902/jpr.202213513 </w:t>
      </w:r>
    </w:p>
    <w:p w14:paraId="23ABB667" w14:textId="46586C49" w:rsidR="00D5484C" w:rsidRPr="00D5484C" w:rsidRDefault="00D5484C" w:rsidP="00571742">
      <w:pPr>
        <w:pStyle w:val="NormalWeb"/>
        <w:spacing w:before="0" w:beforeAutospacing="0" w:after="0" w:afterAutospacing="0"/>
        <w:ind w:left="567" w:hanging="567"/>
      </w:pPr>
      <w:r w:rsidRPr="00D5484C">
        <w:rPr>
          <w:rStyle w:val="Strong"/>
          <w:rFonts w:eastAsiaTheme="majorEastAsia"/>
          <w:b w:val="0"/>
          <w:bCs w:val="0"/>
        </w:rPr>
        <w:t>Zickafoose, A., &amp; Claflin, K. (2024, October</w:t>
      </w:r>
      <w:r w:rsidRPr="00D5484C">
        <w:rPr>
          <w:rStyle w:val="Strong"/>
          <w:rFonts w:eastAsiaTheme="majorEastAsia"/>
        </w:rPr>
        <w:t>).</w:t>
      </w:r>
      <w:r w:rsidRPr="00D5484C">
        <w:t xml:space="preserve"> Integrating agriculture into STEM education through immersive experiences [Abstract]. In </w:t>
      </w:r>
      <w:r w:rsidRPr="00D5484C">
        <w:rPr>
          <w:rStyle w:val="Emphasis"/>
          <w:rFonts w:eastAsiaTheme="majorEastAsia"/>
        </w:rPr>
        <w:t>Proceedings of the</w:t>
      </w:r>
      <w:r>
        <w:rPr>
          <w:rStyle w:val="Emphasis"/>
          <w:rFonts w:eastAsiaTheme="majorEastAsia"/>
        </w:rPr>
        <w:t xml:space="preserve"> National </w:t>
      </w:r>
      <w:r w:rsidRPr="00D5484C">
        <w:rPr>
          <w:rStyle w:val="Emphasis"/>
          <w:rFonts w:eastAsiaTheme="majorEastAsia"/>
        </w:rPr>
        <w:t xml:space="preserve">Conference </w:t>
      </w:r>
      <w:r>
        <w:rPr>
          <w:rStyle w:val="Emphasis"/>
          <w:rFonts w:eastAsiaTheme="majorEastAsia"/>
        </w:rPr>
        <w:t>on Learner-Centered Teaching</w:t>
      </w:r>
      <w:r w:rsidRPr="00D5484C">
        <w:t xml:space="preserve">. </w:t>
      </w:r>
      <w:r>
        <w:t xml:space="preserve">American Association for Agricultural Education. </w:t>
      </w:r>
      <w:r w:rsidRPr="00D5484C">
        <w:t>https://aaaeonline.org/page-1846</w:t>
      </w:r>
      <w:r>
        <w:t>3</w:t>
      </w:r>
    </w:p>
    <w:p w14:paraId="4D6574B8" w14:textId="06A4E879" w:rsidR="0006066B" w:rsidRPr="0016178F" w:rsidRDefault="0006066B" w:rsidP="0016178F">
      <w:pPr>
        <w:spacing w:after="0" w:line="240" w:lineRule="auto"/>
        <w:rPr>
          <w:rFonts w:ascii="Times New Roman" w:hAnsi="Times New Roman" w:cs="Times New Roman"/>
        </w:rPr>
      </w:pPr>
    </w:p>
    <w:sectPr w:rsidR="0006066B" w:rsidRPr="0016178F">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72E4A" w14:textId="77777777" w:rsidR="00F40DE8" w:rsidRDefault="00F40DE8" w:rsidP="00CB4198">
      <w:pPr>
        <w:spacing w:after="0" w:line="240" w:lineRule="auto"/>
      </w:pPr>
      <w:r>
        <w:separator/>
      </w:r>
    </w:p>
  </w:endnote>
  <w:endnote w:type="continuationSeparator" w:id="0">
    <w:p w14:paraId="2F20A3E4" w14:textId="77777777" w:rsidR="00F40DE8" w:rsidRDefault="00F40DE8" w:rsidP="00CB4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9E139" w14:textId="77777777" w:rsidR="00F40DE8" w:rsidRDefault="00F40DE8" w:rsidP="00CB4198">
      <w:pPr>
        <w:spacing w:after="0" w:line="240" w:lineRule="auto"/>
      </w:pPr>
      <w:r>
        <w:separator/>
      </w:r>
    </w:p>
  </w:footnote>
  <w:footnote w:type="continuationSeparator" w:id="0">
    <w:p w14:paraId="6C3CAB6A" w14:textId="77777777" w:rsidR="00F40DE8" w:rsidRDefault="00F40DE8" w:rsidP="00CB41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FA608" w14:textId="39AD85FA" w:rsidR="00287F79" w:rsidRDefault="00287F79" w:rsidP="00287F79">
    <w:pPr>
      <w:pStyle w:val="Header"/>
      <w:jc w:val="right"/>
    </w:pPr>
    <w:r w:rsidRPr="0016178F">
      <w:rPr>
        <w:rFonts w:ascii="Times New Roman" w:hAnsi="Times New Roman" w:cs="Times New Roman"/>
      </w:rPr>
      <w:t>School-Based Agricultural Education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447"/>
    <w:rsid w:val="0006066B"/>
    <w:rsid w:val="00146EBC"/>
    <w:rsid w:val="0016178F"/>
    <w:rsid w:val="001740A2"/>
    <w:rsid w:val="0018757C"/>
    <w:rsid w:val="001D4C82"/>
    <w:rsid w:val="00204F53"/>
    <w:rsid w:val="00287F79"/>
    <w:rsid w:val="002C693B"/>
    <w:rsid w:val="003223CF"/>
    <w:rsid w:val="003B6BC3"/>
    <w:rsid w:val="003B7C9A"/>
    <w:rsid w:val="003E2E01"/>
    <w:rsid w:val="004220FB"/>
    <w:rsid w:val="004A6E3A"/>
    <w:rsid w:val="004F2474"/>
    <w:rsid w:val="00546EB2"/>
    <w:rsid w:val="00571742"/>
    <w:rsid w:val="005D5ADF"/>
    <w:rsid w:val="00663AF4"/>
    <w:rsid w:val="006C0364"/>
    <w:rsid w:val="006F2F97"/>
    <w:rsid w:val="00700177"/>
    <w:rsid w:val="007706C2"/>
    <w:rsid w:val="00792B1D"/>
    <w:rsid w:val="0083435A"/>
    <w:rsid w:val="00840674"/>
    <w:rsid w:val="008C19C1"/>
    <w:rsid w:val="009A7030"/>
    <w:rsid w:val="009E62A0"/>
    <w:rsid w:val="00A2426F"/>
    <w:rsid w:val="00A424FD"/>
    <w:rsid w:val="00A505CD"/>
    <w:rsid w:val="00B2529A"/>
    <w:rsid w:val="00BB3447"/>
    <w:rsid w:val="00BC42DA"/>
    <w:rsid w:val="00BC7239"/>
    <w:rsid w:val="00C06D73"/>
    <w:rsid w:val="00C149FC"/>
    <w:rsid w:val="00C737DB"/>
    <w:rsid w:val="00C923DA"/>
    <w:rsid w:val="00CB4198"/>
    <w:rsid w:val="00CD1AD0"/>
    <w:rsid w:val="00D37E43"/>
    <w:rsid w:val="00D5484C"/>
    <w:rsid w:val="00D55E72"/>
    <w:rsid w:val="00E4080E"/>
    <w:rsid w:val="00E76C96"/>
    <w:rsid w:val="00EE2482"/>
    <w:rsid w:val="00F16D22"/>
    <w:rsid w:val="00F40D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BDF63"/>
  <w15:chartTrackingRefBased/>
  <w15:docId w15:val="{2043771C-691A-E444-8A52-5B5C576B7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34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34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34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34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34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34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34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34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34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34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34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34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34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34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34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34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34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3447"/>
    <w:rPr>
      <w:rFonts w:eastAsiaTheme="majorEastAsia" w:cstheme="majorBidi"/>
      <w:color w:val="272727" w:themeColor="text1" w:themeTint="D8"/>
    </w:rPr>
  </w:style>
  <w:style w:type="paragraph" w:styleId="Title">
    <w:name w:val="Title"/>
    <w:basedOn w:val="Normal"/>
    <w:next w:val="Normal"/>
    <w:link w:val="TitleChar"/>
    <w:uiPriority w:val="10"/>
    <w:qFormat/>
    <w:rsid w:val="00BB34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34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34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34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3447"/>
    <w:pPr>
      <w:spacing w:before="160"/>
      <w:jc w:val="center"/>
    </w:pPr>
    <w:rPr>
      <w:i/>
      <w:iCs/>
      <w:color w:val="404040" w:themeColor="text1" w:themeTint="BF"/>
    </w:rPr>
  </w:style>
  <w:style w:type="character" w:customStyle="1" w:styleId="QuoteChar">
    <w:name w:val="Quote Char"/>
    <w:basedOn w:val="DefaultParagraphFont"/>
    <w:link w:val="Quote"/>
    <w:uiPriority w:val="29"/>
    <w:rsid w:val="00BB3447"/>
    <w:rPr>
      <w:i/>
      <w:iCs/>
      <w:color w:val="404040" w:themeColor="text1" w:themeTint="BF"/>
    </w:rPr>
  </w:style>
  <w:style w:type="paragraph" w:styleId="ListParagraph">
    <w:name w:val="List Paragraph"/>
    <w:basedOn w:val="Normal"/>
    <w:uiPriority w:val="34"/>
    <w:qFormat/>
    <w:rsid w:val="00BB3447"/>
    <w:pPr>
      <w:ind w:left="720"/>
      <w:contextualSpacing/>
    </w:pPr>
  </w:style>
  <w:style w:type="character" w:styleId="IntenseEmphasis">
    <w:name w:val="Intense Emphasis"/>
    <w:basedOn w:val="DefaultParagraphFont"/>
    <w:uiPriority w:val="21"/>
    <w:qFormat/>
    <w:rsid w:val="00BB3447"/>
    <w:rPr>
      <w:i/>
      <w:iCs/>
      <w:color w:val="0F4761" w:themeColor="accent1" w:themeShade="BF"/>
    </w:rPr>
  </w:style>
  <w:style w:type="paragraph" w:styleId="IntenseQuote">
    <w:name w:val="Intense Quote"/>
    <w:basedOn w:val="Normal"/>
    <w:next w:val="Normal"/>
    <w:link w:val="IntenseQuoteChar"/>
    <w:uiPriority w:val="30"/>
    <w:qFormat/>
    <w:rsid w:val="00BB34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3447"/>
    <w:rPr>
      <w:i/>
      <w:iCs/>
      <w:color w:val="0F4761" w:themeColor="accent1" w:themeShade="BF"/>
    </w:rPr>
  </w:style>
  <w:style w:type="character" w:styleId="IntenseReference">
    <w:name w:val="Intense Reference"/>
    <w:basedOn w:val="DefaultParagraphFont"/>
    <w:uiPriority w:val="32"/>
    <w:qFormat/>
    <w:rsid w:val="00BB3447"/>
    <w:rPr>
      <w:b/>
      <w:bCs/>
      <w:smallCaps/>
      <w:color w:val="0F4761" w:themeColor="accent1" w:themeShade="BF"/>
      <w:spacing w:val="5"/>
    </w:rPr>
  </w:style>
  <w:style w:type="paragraph" w:styleId="NormalWeb">
    <w:name w:val="Normal (Web)"/>
    <w:basedOn w:val="Normal"/>
    <w:uiPriority w:val="99"/>
    <w:semiHidden/>
    <w:unhideWhenUsed/>
    <w:rsid w:val="006C0364"/>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1">
    <w:name w:val="p1"/>
    <w:basedOn w:val="Normal"/>
    <w:rsid w:val="00CB4198"/>
    <w:pPr>
      <w:spacing w:after="0" w:line="240" w:lineRule="auto"/>
    </w:pPr>
    <w:rPr>
      <w:rFonts w:ascii="Times New Roman" w:eastAsia="Times New Roman" w:hAnsi="Times New Roman" w:cs="Times New Roman"/>
      <w:color w:val="000000"/>
      <w:kern w:val="0"/>
      <w:sz w:val="18"/>
      <w:szCs w:val="18"/>
      <w14:ligatures w14:val="none"/>
    </w:rPr>
  </w:style>
  <w:style w:type="character" w:customStyle="1" w:styleId="apple-converted-space">
    <w:name w:val="apple-converted-space"/>
    <w:basedOn w:val="DefaultParagraphFont"/>
    <w:rsid w:val="00CB4198"/>
  </w:style>
  <w:style w:type="paragraph" w:styleId="Header">
    <w:name w:val="header"/>
    <w:basedOn w:val="Normal"/>
    <w:link w:val="HeaderChar"/>
    <w:uiPriority w:val="99"/>
    <w:unhideWhenUsed/>
    <w:rsid w:val="00CB41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198"/>
  </w:style>
  <w:style w:type="paragraph" w:styleId="Footer">
    <w:name w:val="footer"/>
    <w:basedOn w:val="Normal"/>
    <w:link w:val="FooterChar"/>
    <w:uiPriority w:val="99"/>
    <w:unhideWhenUsed/>
    <w:rsid w:val="00CB41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198"/>
  </w:style>
  <w:style w:type="character" w:styleId="Strong">
    <w:name w:val="Strong"/>
    <w:basedOn w:val="DefaultParagraphFont"/>
    <w:uiPriority w:val="22"/>
    <w:qFormat/>
    <w:rsid w:val="00287F79"/>
    <w:rPr>
      <w:b/>
      <w:bCs/>
    </w:rPr>
  </w:style>
  <w:style w:type="character" w:styleId="Emphasis">
    <w:name w:val="Emphasis"/>
    <w:basedOn w:val="DefaultParagraphFont"/>
    <w:uiPriority w:val="20"/>
    <w:qFormat/>
    <w:rsid w:val="00D5484C"/>
    <w:rPr>
      <w:i/>
      <w:iCs/>
    </w:rPr>
  </w:style>
  <w:style w:type="character" w:customStyle="1" w:styleId="footer-info-block">
    <w:name w:val="footer-info-block"/>
    <w:basedOn w:val="DefaultParagraphFont"/>
    <w:rsid w:val="008C19C1"/>
  </w:style>
  <w:style w:type="character" w:styleId="Hyperlink">
    <w:name w:val="Hyperlink"/>
    <w:basedOn w:val="DefaultParagraphFont"/>
    <w:uiPriority w:val="99"/>
    <w:semiHidden/>
    <w:unhideWhenUsed/>
    <w:rsid w:val="008C19C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690565">
      <w:bodyDiv w:val="1"/>
      <w:marLeft w:val="0"/>
      <w:marRight w:val="0"/>
      <w:marTop w:val="0"/>
      <w:marBottom w:val="0"/>
      <w:divBdr>
        <w:top w:val="none" w:sz="0" w:space="0" w:color="auto"/>
        <w:left w:val="none" w:sz="0" w:space="0" w:color="auto"/>
        <w:bottom w:val="none" w:sz="0" w:space="0" w:color="auto"/>
        <w:right w:val="none" w:sz="0" w:space="0" w:color="auto"/>
      </w:divBdr>
    </w:div>
    <w:div w:id="697705429">
      <w:bodyDiv w:val="1"/>
      <w:marLeft w:val="0"/>
      <w:marRight w:val="0"/>
      <w:marTop w:val="0"/>
      <w:marBottom w:val="0"/>
      <w:divBdr>
        <w:top w:val="none" w:sz="0" w:space="0" w:color="auto"/>
        <w:left w:val="none" w:sz="0" w:space="0" w:color="auto"/>
        <w:bottom w:val="none" w:sz="0" w:space="0" w:color="auto"/>
        <w:right w:val="none" w:sz="0" w:space="0" w:color="auto"/>
      </w:divBdr>
    </w:div>
    <w:div w:id="770508876">
      <w:bodyDiv w:val="1"/>
      <w:marLeft w:val="0"/>
      <w:marRight w:val="0"/>
      <w:marTop w:val="0"/>
      <w:marBottom w:val="0"/>
      <w:divBdr>
        <w:top w:val="none" w:sz="0" w:space="0" w:color="auto"/>
        <w:left w:val="none" w:sz="0" w:space="0" w:color="auto"/>
        <w:bottom w:val="none" w:sz="0" w:space="0" w:color="auto"/>
        <w:right w:val="none" w:sz="0" w:space="0" w:color="auto"/>
      </w:divBdr>
    </w:div>
    <w:div w:id="937643825">
      <w:bodyDiv w:val="1"/>
      <w:marLeft w:val="0"/>
      <w:marRight w:val="0"/>
      <w:marTop w:val="0"/>
      <w:marBottom w:val="0"/>
      <w:divBdr>
        <w:top w:val="none" w:sz="0" w:space="0" w:color="auto"/>
        <w:left w:val="none" w:sz="0" w:space="0" w:color="auto"/>
        <w:bottom w:val="none" w:sz="0" w:space="0" w:color="auto"/>
        <w:right w:val="none" w:sz="0" w:space="0" w:color="auto"/>
      </w:divBdr>
    </w:div>
    <w:div w:id="964773149">
      <w:bodyDiv w:val="1"/>
      <w:marLeft w:val="0"/>
      <w:marRight w:val="0"/>
      <w:marTop w:val="0"/>
      <w:marBottom w:val="0"/>
      <w:divBdr>
        <w:top w:val="none" w:sz="0" w:space="0" w:color="auto"/>
        <w:left w:val="none" w:sz="0" w:space="0" w:color="auto"/>
        <w:bottom w:val="none" w:sz="0" w:space="0" w:color="auto"/>
        <w:right w:val="none" w:sz="0" w:space="0" w:color="auto"/>
      </w:divBdr>
    </w:div>
    <w:div w:id="187859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1509</Words>
  <Characters>8605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ALBERTO PARRA SALINAS</dc:creator>
  <cp:keywords/>
  <dc:description/>
  <cp:lastModifiedBy>CARLOS ALBERTO PARRA SALINAS</cp:lastModifiedBy>
  <cp:revision>2</cp:revision>
  <dcterms:created xsi:type="dcterms:W3CDTF">2025-09-07T16:10:00Z</dcterms:created>
  <dcterms:modified xsi:type="dcterms:W3CDTF">2025-09-07T16:10:00Z</dcterms:modified>
</cp:coreProperties>
</file>