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9C53D" w14:textId="3597DB8E" w:rsidR="00556163" w:rsidRDefault="00556163" w:rsidP="00556163">
      <w:pPr>
        <w:spacing w:after="0"/>
        <w:jc w:val="center"/>
        <w:rPr>
          <w:b/>
          <w:bCs/>
        </w:rPr>
      </w:pPr>
    </w:p>
    <w:p w14:paraId="7A2FC4B7" w14:textId="0FD64961" w:rsidR="00556163" w:rsidRDefault="00556163" w:rsidP="00556163">
      <w:pPr>
        <w:spacing w:after="0"/>
        <w:jc w:val="center"/>
      </w:pPr>
      <w:r w:rsidRPr="00981EF6">
        <w:rPr>
          <w:b/>
          <w:bCs/>
        </w:rPr>
        <w:t xml:space="preserve">Strategies </w:t>
      </w:r>
      <w:r>
        <w:rPr>
          <w:b/>
          <w:bCs/>
        </w:rPr>
        <w:t>for</w:t>
      </w:r>
      <w:r w:rsidRPr="00981EF6">
        <w:rPr>
          <w:b/>
          <w:bCs/>
        </w:rPr>
        <w:t xml:space="preserve"> Creating Meaningful Field Experiences for Preservice Teachers</w:t>
      </w:r>
      <w:r>
        <w:t>.</w:t>
      </w:r>
    </w:p>
    <w:p w14:paraId="3BB8316B" w14:textId="77777777" w:rsidR="00556163" w:rsidRDefault="00556163" w:rsidP="00556163">
      <w:pPr>
        <w:spacing w:after="0"/>
        <w:jc w:val="center"/>
      </w:pPr>
    </w:p>
    <w:p w14:paraId="2DE3A072" w14:textId="74C9FC62" w:rsidR="00556163" w:rsidRDefault="00CE3BBD" w:rsidP="00556163">
      <w:pPr>
        <w:spacing w:after="0"/>
        <w:jc w:val="center"/>
      </w:pPr>
      <w:r>
        <w:t>Dr. Daniel D. Foster, foster@psu.edu</w:t>
      </w:r>
      <w:r>
        <w:br/>
        <w:t>The Pennsylvania State University</w:t>
      </w:r>
    </w:p>
    <w:p w14:paraId="6510C894" w14:textId="77777777" w:rsidR="00CE3BBD" w:rsidRDefault="00CE3BBD" w:rsidP="00556163">
      <w:pPr>
        <w:spacing w:after="0"/>
        <w:jc w:val="center"/>
      </w:pPr>
    </w:p>
    <w:p w14:paraId="24208C6B" w14:textId="5CC1BBF7" w:rsidR="00CE3BBD" w:rsidRDefault="00CE3BBD" w:rsidP="00556163">
      <w:pPr>
        <w:spacing w:after="0"/>
        <w:jc w:val="center"/>
        <w:rPr>
          <w:lang w:val="es-ES"/>
        </w:rPr>
      </w:pPr>
      <w:r w:rsidRPr="008C55C4">
        <w:rPr>
          <w:lang w:val="es-ES"/>
        </w:rPr>
        <w:t xml:space="preserve">Dr. Aaron McKim, </w:t>
      </w:r>
      <w:r w:rsidR="008C55C4" w:rsidRPr="005E50A9">
        <w:rPr>
          <w:lang w:val="es-ES"/>
        </w:rPr>
        <w:t>amckim@msu.edu</w:t>
      </w:r>
    </w:p>
    <w:p w14:paraId="14B61846" w14:textId="2A41326D" w:rsidR="008C55C4" w:rsidRDefault="008C55C4" w:rsidP="00556163">
      <w:pPr>
        <w:spacing w:after="0"/>
        <w:jc w:val="center"/>
      </w:pPr>
      <w:proofErr w:type="gramStart"/>
      <w:r w:rsidRPr="008C55C4">
        <w:t>The Michigan</w:t>
      </w:r>
      <w:proofErr w:type="gramEnd"/>
      <w:r w:rsidRPr="008C55C4">
        <w:t xml:space="preserve"> State University</w:t>
      </w:r>
    </w:p>
    <w:p w14:paraId="62607078" w14:textId="77777777" w:rsidR="00763D5D" w:rsidRDefault="00763D5D" w:rsidP="00556163">
      <w:pPr>
        <w:spacing w:after="0"/>
        <w:jc w:val="center"/>
      </w:pPr>
    </w:p>
    <w:p w14:paraId="0A061D1C" w14:textId="1EFF6D70" w:rsidR="00763D5D" w:rsidRDefault="00763D5D" w:rsidP="00556163">
      <w:pPr>
        <w:spacing w:after="0"/>
        <w:jc w:val="center"/>
        <w:rPr>
          <w:lang w:val="es-ES"/>
        </w:rPr>
      </w:pPr>
      <w:r w:rsidRPr="005E50A9">
        <w:rPr>
          <w:lang w:val="es-ES"/>
        </w:rPr>
        <w:t>M</w:t>
      </w:r>
      <w:r w:rsidR="005E50A9" w:rsidRPr="005E50A9">
        <w:rPr>
          <w:lang w:val="es-ES"/>
        </w:rPr>
        <w:t xml:space="preserve">s Elizabeth E. </w:t>
      </w:r>
      <w:proofErr w:type="spellStart"/>
      <w:r w:rsidR="005E50A9" w:rsidRPr="005E50A9">
        <w:rPr>
          <w:lang w:val="es-ES"/>
        </w:rPr>
        <w:t>Ogar</w:t>
      </w:r>
      <w:proofErr w:type="spellEnd"/>
      <w:r w:rsidR="005E50A9">
        <w:rPr>
          <w:lang w:val="es-ES"/>
        </w:rPr>
        <w:t>, e</w:t>
      </w:r>
      <w:r w:rsidR="002E0981">
        <w:rPr>
          <w:lang w:val="es-ES"/>
        </w:rPr>
        <w:t>ogar@purdue.edu</w:t>
      </w:r>
      <w:r w:rsidR="005E50A9" w:rsidRPr="005E50A9">
        <w:rPr>
          <w:lang w:val="es-ES"/>
        </w:rPr>
        <w:br/>
        <w:t>Purdue Univer</w:t>
      </w:r>
      <w:r w:rsidR="005E50A9">
        <w:rPr>
          <w:lang w:val="es-ES"/>
        </w:rPr>
        <w:t>sity</w:t>
      </w:r>
    </w:p>
    <w:p w14:paraId="14982284" w14:textId="77777777" w:rsidR="002E0981" w:rsidRDefault="002E0981" w:rsidP="00556163">
      <w:pPr>
        <w:spacing w:after="0"/>
        <w:jc w:val="center"/>
        <w:rPr>
          <w:lang w:val="es-ES"/>
        </w:rPr>
      </w:pPr>
    </w:p>
    <w:p w14:paraId="23F4E069" w14:textId="0AC9F5D8" w:rsidR="002E0981" w:rsidRPr="002E0981" w:rsidRDefault="002E0981" w:rsidP="00556163">
      <w:pPr>
        <w:spacing w:after="0"/>
        <w:jc w:val="center"/>
      </w:pPr>
      <w:r w:rsidRPr="002E0981">
        <w:t xml:space="preserve">Dr. Laura Rice, </w:t>
      </w:r>
      <w:hyperlink r:id="rId5" w:history="1">
        <w:r w:rsidRPr="002E0981">
          <w:rPr>
            <w:rStyle w:val="Hyperlink"/>
          </w:rPr>
          <w:t>laurarice@psu.edu</w:t>
        </w:r>
      </w:hyperlink>
      <w:r w:rsidRPr="002E0981">
        <w:br/>
        <w:t>The Pennsylvania State Univ</w:t>
      </w:r>
      <w:r>
        <w:t>ersity</w:t>
      </w:r>
    </w:p>
    <w:p w14:paraId="2E9348F3" w14:textId="77777777" w:rsidR="005E50A9" w:rsidRPr="002E0981" w:rsidRDefault="005E50A9" w:rsidP="005E50A9">
      <w:pPr>
        <w:spacing w:after="0"/>
      </w:pPr>
    </w:p>
    <w:p w14:paraId="6DFA79FF" w14:textId="77777777" w:rsidR="00556163" w:rsidRDefault="00556163">
      <w:pPr>
        <w:rPr>
          <w:b/>
          <w:bCs/>
        </w:rPr>
      </w:pPr>
    </w:p>
    <w:p w14:paraId="4D656A41" w14:textId="77777777" w:rsidR="002E0981" w:rsidRDefault="002E0981">
      <w:pPr>
        <w:rPr>
          <w:b/>
          <w:bCs/>
        </w:rPr>
      </w:pPr>
      <w:r>
        <w:rPr>
          <w:b/>
          <w:bCs/>
        </w:rPr>
        <w:br w:type="page"/>
      </w:r>
    </w:p>
    <w:p w14:paraId="4B1523B7" w14:textId="50D9C4F2" w:rsidR="00747864" w:rsidRDefault="00981EF6" w:rsidP="004D2682">
      <w:pPr>
        <w:spacing w:after="0"/>
        <w:jc w:val="center"/>
      </w:pPr>
      <w:r w:rsidRPr="00981EF6">
        <w:rPr>
          <w:b/>
          <w:bCs/>
        </w:rPr>
        <w:lastRenderedPageBreak/>
        <w:t xml:space="preserve">Strategies </w:t>
      </w:r>
      <w:r w:rsidR="00AC1071">
        <w:rPr>
          <w:b/>
          <w:bCs/>
        </w:rPr>
        <w:t>for</w:t>
      </w:r>
      <w:r w:rsidRPr="00981EF6">
        <w:rPr>
          <w:b/>
          <w:bCs/>
        </w:rPr>
        <w:t xml:space="preserve"> Creating Meaningful Field Experiences for Preservice Teachers</w:t>
      </w:r>
      <w:r w:rsidR="00AC1071">
        <w:t>.</w:t>
      </w:r>
    </w:p>
    <w:p w14:paraId="5A4DFE88" w14:textId="77777777" w:rsidR="004D2682" w:rsidRDefault="004D2682" w:rsidP="004D2682">
      <w:pPr>
        <w:spacing w:after="0"/>
        <w:rPr>
          <w:b/>
          <w:bCs/>
        </w:rPr>
      </w:pPr>
    </w:p>
    <w:p w14:paraId="037CAD74" w14:textId="3C77C85A" w:rsidR="00E9618F" w:rsidRPr="00601745" w:rsidRDefault="00E9618F" w:rsidP="004D2682">
      <w:pPr>
        <w:spacing w:after="0"/>
        <w:rPr>
          <w:b/>
          <w:bCs/>
        </w:rPr>
      </w:pPr>
      <w:r w:rsidRPr="00601745">
        <w:rPr>
          <w:b/>
          <w:bCs/>
        </w:rPr>
        <w:t>Introduction &amp; Need for Strategy</w:t>
      </w:r>
    </w:p>
    <w:p w14:paraId="5047884D" w14:textId="3AD0F192" w:rsidR="00E9618F" w:rsidRDefault="00E9618F" w:rsidP="004D2682">
      <w:pPr>
        <w:spacing w:after="0"/>
        <w:ind w:firstLine="720"/>
      </w:pPr>
      <w:r w:rsidRPr="00E9618F">
        <w:t xml:space="preserve">Meaningful field experiences for preservice teachers are essential bridges between the theoretical instruction provided in university coursework and the realities of classroom teaching. However, the effectiveness of these experiences varies widely, often due to a lack of strategic planning, </w:t>
      </w:r>
      <w:r w:rsidR="00B11456">
        <w:t xml:space="preserve">unclear expectations, or a lack of </w:t>
      </w:r>
      <w:r w:rsidRPr="00E9618F">
        <w:t xml:space="preserve">alignment with pedagogical goals. To address this, our institution has adopted the backward design approach (Wiggins &amp; McTighe, 2005), traditionally used in </w:t>
      </w:r>
      <w:r w:rsidR="00B11456">
        <w:t xml:space="preserve">adopted the backward design approach (Wiggins &amp; McTighe, 2005), which is usually used in </w:t>
      </w:r>
      <w:r w:rsidRPr="00E9618F">
        <w:t>purpose by defining the desired outcomes for teacher candidates and aligning activities and assessments to meet those goals.</w:t>
      </w:r>
      <w:r w:rsidR="00156D93">
        <w:t xml:space="preserve"> </w:t>
      </w:r>
      <w:r w:rsidRPr="00E9618F">
        <w:t xml:space="preserve">The rationale is simple: just as courses require coherent objectives and evaluations, </w:t>
      </w:r>
      <w:r w:rsidR="00B11456" w:rsidRPr="00E9618F">
        <w:t>so</w:t>
      </w:r>
      <w:r w:rsidRPr="00E9618F">
        <w:t xml:space="preserve"> do field experiences. By first crafting a profile of a successful field experience and collaboratively defining learning outcomes, we ensure alignment and intentionality. This allows for the development of field experiences that are relevant, reflective, and responsive to the needs of preservice teachers.</w:t>
      </w:r>
    </w:p>
    <w:p w14:paraId="67338B70" w14:textId="77777777" w:rsidR="004D2682" w:rsidRPr="00E9618F" w:rsidRDefault="004D2682" w:rsidP="004D2682">
      <w:pPr>
        <w:spacing w:after="0"/>
        <w:ind w:firstLine="720"/>
      </w:pPr>
    </w:p>
    <w:p w14:paraId="6344BF99" w14:textId="77777777" w:rsidR="00E9618F" w:rsidRPr="00B11456" w:rsidRDefault="00E9618F" w:rsidP="004D2682">
      <w:pPr>
        <w:spacing w:after="0"/>
        <w:rPr>
          <w:b/>
          <w:bCs/>
        </w:rPr>
      </w:pPr>
      <w:r w:rsidRPr="00B11456">
        <w:rPr>
          <w:b/>
          <w:bCs/>
        </w:rPr>
        <w:t>Connection to Literature</w:t>
      </w:r>
    </w:p>
    <w:p w14:paraId="03164271" w14:textId="238BD4D0" w:rsidR="00E9618F" w:rsidRDefault="00E9618F" w:rsidP="004D2682">
      <w:pPr>
        <w:spacing w:after="0"/>
        <w:ind w:firstLine="720"/>
      </w:pPr>
      <w:r w:rsidRPr="00E9618F">
        <w:t xml:space="preserve">Research </w:t>
      </w:r>
      <w:r w:rsidR="00B11456" w:rsidRPr="00E9618F">
        <w:t>(Zeichner, 2010; Grossman et al., 2009)</w:t>
      </w:r>
      <w:r w:rsidR="00B11456">
        <w:t xml:space="preserve"> </w:t>
      </w:r>
      <w:r w:rsidRPr="00E9618F">
        <w:t>confirms that well-structured field experiences enhance pedagogical understanding, teaching efficacy, and professional identity</w:t>
      </w:r>
      <w:r w:rsidR="00B11456">
        <w:t>.</w:t>
      </w:r>
      <w:r w:rsidRPr="00E9618F">
        <w:t xml:space="preserve"> Key elements include strong university-school partnerships, role clarity for all stakeholders, integrated coursework, and structured feedback mechanisms (Dunst et al., 2019).</w:t>
      </w:r>
      <w:r w:rsidR="00156D93">
        <w:t xml:space="preserve"> </w:t>
      </w:r>
      <w:r w:rsidRPr="00E9618F">
        <w:t xml:space="preserve">The backward design model (Wiggins &amp; McTighe, 2005) </w:t>
      </w:r>
      <w:r w:rsidR="00B11456">
        <w:t>emphasizes the importance of starting with clear goals and working backward to design practical</w:t>
      </w:r>
      <w:r w:rsidRPr="00E9618F">
        <w:t xml:space="preserve"> learning activities. When applied to field experiences, this model enables programs to prioritize core competencies and build learning opportunities that develop those outcomes through guided practice, reflection, and feedback.</w:t>
      </w:r>
      <w:r w:rsidR="00156D93">
        <w:t xml:space="preserve"> </w:t>
      </w:r>
      <w:r w:rsidRPr="00E9618F">
        <w:t xml:space="preserve">Best practices from </w:t>
      </w:r>
      <w:r w:rsidR="00B11456" w:rsidRPr="00E9618F">
        <w:t>literature</w:t>
      </w:r>
      <w:r w:rsidRPr="00E9618F">
        <w:t xml:space="preserve"> also emphasize the importance of culturally responsive teaching, mentor training, and integration of reflective practice and feedback from multiple sources (Weimer, 2013; Wilcoxen et al., 2021).</w:t>
      </w:r>
    </w:p>
    <w:p w14:paraId="513D095B" w14:textId="77777777" w:rsidR="004D2682" w:rsidRPr="00E9618F" w:rsidRDefault="004D2682" w:rsidP="004D2682">
      <w:pPr>
        <w:spacing w:after="0"/>
        <w:ind w:firstLine="720"/>
      </w:pPr>
    </w:p>
    <w:p w14:paraId="07FFAAB1" w14:textId="784F065A" w:rsidR="00E9618F" w:rsidRPr="006C6400" w:rsidRDefault="00E9618F" w:rsidP="004D2682">
      <w:pPr>
        <w:spacing w:after="0"/>
        <w:rPr>
          <w:b/>
          <w:bCs/>
        </w:rPr>
      </w:pPr>
      <w:r w:rsidRPr="006C6400">
        <w:rPr>
          <w:b/>
          <w:bCs/>
        </w:rPr>
        <w:t>Implementation of Strategy</w:t>
      </w:r>
    </w:p>
    <w:p w14:paraId="76440046" w14:textId="758B33CC" w:rsidR="00E9618F" w:rsidRPr="00E9618F" w:rsidRDefault="00CE0497" w:rsidP="004D2682">
      <w:pPr>
        <w:spacing w:after="0"/>
      </w:pPr>
      <w:r>
        <w:t>I</w:t>
      </w:r>
      <w:r w:rsidR="00E9618F" w:rsidRPr="00E9618F">
        <w:t>mplementation follows a three-phase structure:</w:t>
      </w:r>
    </w:p>
    <w:p w14:paraId="033B0DB6" w14:textId="05C60085" w:rsidR="00E9618F" w:rsidRDefault="00E9618F" w:rsidP="004D2682">
      <w:pPr>
        <w:spacing w:after="0"/>
      </w:pPr>
      <w:r w:rsidRPr="00E9618F">
        <w:t>Phase 1: Define Success and Set Goals</w:t>
      </w:r>
      <w:r w:rsidR="002453C2">
        <w:t xml:space="preserve">. </w:t>
      </w:r>
      <w:r w:rsidRPr="00E9618F">
        <w:t>Develop a shared understanding of what a "successful field experience" looks like, in partnership with university supervisors, mentor teachers, and preservice candidates.</w:t>
      </w:r>
      <w:r w:rsidR="002453C2">
        <w:t xml:space="preserve"> </w:t>
      </w:r>
      <w:r w:rsidRPr="00E9618F">
        <w:t>Clearly articulate the expected learning outcomes, tied to state standards and institutional goals.</w:t>
      </w:r>
      <w:r w:rsidR="002453C2">
        <w:t xml:space="preserve"> </w:t>
      </w:r>
      <w:r w:rsidRPr="00E9618F">
        <w:t>Co-design goals with teacher candidates to foster ownership and professional agency.</w:t>
      </w:r>
    </w:p>
    <w:p w14:paraId="4BD6D181" w14:textId="77777777" w:rsidR="002453C2" w:rsidRPr="00E9618F" w:rsidRDefault="002453C2" w:rsidP="004D2682">
      <w:pPr>
        <w:spacing w:after="0"/>
      </w:pPr>
    </w:p>
    <w:p w14:paraId="1CFA5E9C" w14:textId="69B4A4F4" w:rsidR="00E9618F" w:rsidRPr="00E9618F" w:rsidRDefault="00E9618F" w:rsidP="004D2682">
      <w:pPr>
        <w:spacing w:after="0"/>
      </w:pPr>
      <w:r w:rsidRPr="00E9618F">
        <w:t>Phase 2: Design and Align Activities</w:t>
      </w:r>
      <w:r w:rsidR="002453C2">
        <w:t xml:space="preserve">. </w:t>
      </w:r>
      <w:r w:rsidRPr="00E9618F">
        <w:t xml:space="preserve">Create structured field experience templates </w:t>
      </w:r>
      <w:r w:rsidR="000F6D2B">
        <w:t>that incorporate embedded instructional activities, aligning</w:t>
      </w:r>
      <w:r w:rsidRPr="00E9618F">
        <w:t xml:space="preserve"> with the defined goals (e.g., observation rubrics, co-teaching protocols, reflective journals).</w:t>
      </w:r>
      <w:r w:rsidR="002453C2">
        <w:t xml:space="preserve"> </w:t>
      </w:r>
      <w:r w:rsidRPr="00E9618F">
        <w:t>Provide space for student choice and co-design opportunities, where candidates propose learning activities they feel will support their growth.</w:t>
      </w:r>
      <w:r w:rsidR="002453C2">
        <w:t xml:space="preserve"> </w:t>
      </w:r>
      <w:r w:rsidRPr="00E9618F">
        <w:t>Include routines for documentation and assessment through formative tools such as weekly reflections and video analysis.</w:t>
      </w:r>
    </w:p>
    <w:p w14:paraId="38D148AA" w14:textId="76517606" w:rsidR="00E9618F" w:rsidRPr="00E9618F" w:rsidRDefault="00E9618F" w:rsidP="004D2682">
      <w:pPr>
        <w:spacing w:after="0"/>
      </w:pPr>
      <w:r w:rsidRPr="00E9618F">
        <w:lastRenderedPageBreak/>
        <w:t>Phase 3: Implement Systematic Feedback and Reflection</w:t>
      </w:r>
      <w:r w:rsidR="002453C2">
        <w:t xml:space="preserve">. </w:t>
      </w:r>
      <w:r w:rsidRPr="00E9618F">
        <w:t xml:space="preserve">Weekly check-ins </w:t>
      </w:r>
      <w:r w:rsidR="000F6D2B" w:rsidRPr="00E9618F">
        <w:t>use</w:t>
      </w:r>
      <w:r w:rsidRPr="00E9618F">
        <w:t xml:space="preserve"> brief surveys or Zoom calls with both preservice teachers and mentor teachers.</w:t>
      </w:r>
      <w:r w:rsidR="002453C2">
        <w:t xml:space="preserve"> </w:t>
      </w:r>
      <w:r w:rsidRPr="00E9618F">
        <w:t xml:space="preserve">Midpoint and endpoint evaluations </w:t>
      </w:r>
      <w:r w:rsidR="000F6D2B">
        <w:t xml:space="preserve">were </w:t>
      </w:r>
      <w:r w:rsidRPr="00E9618F">
        <w:t>conducted by university supervisors using shared rubrics.</w:t>
      </w:r>
      <w:r w:rsidR="002453C2">
        <w:t xml:space="preserve"> </w:t>
      </w:r>
      <w:r w:rsidRPr="00E9618F">
        <w:t>Reflective practice is emphasized, with candidates reading peer reflections to deepen perspective and critical thinking.</w:t>
      </w:r>
    </w:p>
    <w:p w14:paraId="3AC0CC55" w14:textId="2E63343A" w:rsidR="00E9618F" w:rsidRDefault="00E9618F" w:rsidP="004D2682">
      <w:pPr>
        <w:spacing w:after="0"/>
      </w:pPr>
      <w:r w:rsidRPr="00E9618F">
        <w:t>Structured meetings between field staff, candidates, and cooperating teachers to ensure ongoing alignment.</w:t>
      </w:r>
      <w:r w:rsidR="0036787F">
        <w:t xml:space="preserve">  </w:t>
      </w:r>
      <w:r w:rsidRPr="00E9618F">
        <w:t xml:space="preserve">Key structures </w:t>
      </w:r>
      <w:proofErr w:type="gramStart"/>
      <w:r w:rsidRPr="00E9618F">
        <w:t>include:</w:t>
      </w:r>
      <w:proofErr w:type="gramEnd"/>
      <w:r w:rsidR="0036787F">
        <w:t xml:space="preserve"> </w:t>
      </w:r>
      <w:r w:rsidRPr="00E9618F">
        <w:t>Weekly 3-question Qualtrics surveys for candidates and mentors</w:t>
      </w:r>
      <w:r w:rsidR="0036787F">
        <w:t xml:space="preserve">; </w:t>
      </w:r>
      <w:r w:rsidRPr="00E9618F">
        <w:t xml:space="preserve">Digital documentation folders </w:t>
      </w:r>
      <w:r w:rsidR="000F6D2B" w:rsidRPr="00E9618F">
        <w:t>track</w:t>
      </w:r>
      <w:r w:rsidRPr="00E9618F">
        <w:t xml:space="preserve"> progress and feedback.</w:t>
      </w:r>
      <w:r w:rsidR="0036787F">
        <w:t xml:space="preserve">; </w:t>
      </w:r>
      <w:r w:rsidRPr="00E9618F">
        <w:t xml:space="preserve">A menu of required and optional field activities that emphasize </w:t>
      </w:r>
      <w:r w:rsidR="000F6D2B">
        <w:t xml:space="preserve">the </w:t>
      </w:r>
      <w:r w:rsidRPr="00E9618F">
        <w:t>application of methods course content</w:t>
      </w:r>
      <w:r w:rsidR="0036787F">
        <w:t xml:space="preserve">; </w:t>
      </w:r>
      <w:proofErr w:type="gramStart"/>
      <w:r w:rsidR="0036787F">
        <w:t>and,</w:t>
      </w:r>
      <w:proofErr w:type="gramEnd"/>
      <w:r w:rsidR="0036787F">
        <w:t xml:space="preserve"> </w:t>
      </w:r>
      <w:r w:rsidRPr="00E9618F">
        <w:t>Shared expectations and co-developed assessment tools.</w:t>
      </w:r>
    </w:p>
    <w:p w14:paraId="6A8918E7" w14:textId="77777777" w:rsidR="000F6D2B" w:rsidRPr="00E9618F" w:rsidRDefault="000F6D2B" w:rsidP="004D2682">
      <w:pPr>
        <w:spacing w:after="0"/>
      </w:pPr>
    </w:p>
    <w:p w14:paraId="69A04670" w14:textId="77777777" w:rsidR="00E9618F" w:rsidRPr="006C6400" w:rsidRDefault="00E9618F" w:rsidP="004D2682">
      <w:pPr>
        <w:spacing w:after="0"/>
        <w:rPr>
          <w:b/>
          <w:bCs/>
        </w:rPr>
      </w:pPr>
      <w:r w:rsidRPr="006C6400">
        <w:rPr>
          <w:b/>
          <w:bCs/>
        </w:rPr>
        <w:t>Results to Date / Implications / Impact</w:t>
      </w:r>
    </w:p>
    <w:p w14:paraId="5C6983AE" w14:textId="4FB68D0F" w:rsidR="00E9618F" w:rsidRPr="00E9618F" w:rsidRDefault="00E9618F" w:rsidP="000F6D2B">
      <w:pPr>
        <w:spacing w:after="0"/>
        <w:ind w:firstLine="720"/>
      </w:pPr>
      <w:r w:rsidRPr="00E9618F">
        <w:t xml:space="preserve">Implementation </w:t>
      </w:r>
      <w:r w:rsidR="00F044DA">
        <w:t>can lead</w:t>
      </w:r>
      <w:r w:rsidRPr="00E9618F">
        <w:t xml:space="preserve"> to improved clarity, alignment, and candidate performance. Candidates</w:t>
      </w:r>
      <w:r w:rsidR="00F044DA">
        <w:t xml:space="preserve"> have anecdotally self-</w:t>
      </w:r>
      <w:r w:rsidR="00F044DA" w:rsidRPr="00E9618F">
        <w:t>reported</w:t>
      </w:r>
      <w:r w:rsidRPr="00E9618F">
        <w:t xml:space="preserve"> higher self-efficacy and deeper reflection, attributed to the consistent check-ins and feedback structure. Mentor teachers note greater engagement and professionalism among interns, especially in settings where co-design was emphasized.</w:t>
      </w:r>
      <w:r w:rsidR="004035F0">
        <w:t xml:space="preserve"> </w:t>
      </w:r>
      <w:r w:rsidRPr="00E9618F">
        <w:t xml:space="preserve">University supervisors observed that field experiences were more productive and led to improved performance in summative evaluations, particularly when candidates had participated in collaborative </w:t>
      </w:r>
      <w:r w:rsidR="00CE0497" w:rsidRPr="00E9618F">
        <w:t>goal setting</w:t>
      </w:r>
      <w:r w:rsidRPr="00E9618F">
        <w:t xml:space="preserve">. </w:t>
      </w:r>
      <w:r w:rsidR="00F657BF">
        <w:t xml:space="preserve">The use of peer reflections enabled candidates to understand diverse teaching approaches, thereby broadening their pedagogical repertoire and fostering </w:t>
      </w:r>
      <w:r w:rsidRPr="00E9618F">
        <w:t>empathy.</w:t>
      </w:r>
    </w:p>
    <w:p w14:paraId="4EC0D0DE" w14:textId="77777777" w:rsidR="000F6D2B" w:rsidRPr="00E9618F" w:rsidRDefault="000F6D2B" w:rsidP="004D2682">
      <w:pPr>
        <w:spacing w:after="0"/>
      </w:pPr>
    </w:p>
    <w:p w14:paraId="68261FA3" w14:textId="77777777" w:rsidR="00E9618F" w:rsidRPr="006C6400" w:rsidRDefault="00E9618F" w:rsidP="004D2682">
      <w:pPr>
        <w:spacing w:after="0"/>
        <w:rPr>
          <w:b/>
          <w:bCs/>
        </w:rPr>
      </w:pPr>
      <w:proofErr w:type="gramStart"/>
      <w:r w:rsidRPr="006C6400">
        <w:rPr>
          <w:b/>
          <w:bCs/>
        </w:rPr>
        <w:t>Future Plans</w:t>
      </w:r>
      <w:proofErr w:type="gramEnd"/>
      <w:r w:rsidRPr="006C6400">
        <w:rPr>
          <w:b/>
          <w:bCs/>
        </w:rPr>
        <w:t xml:space="preserve"> / Advice to Others</w:t>
      </w:r>
    </w:p>
    <w:p w14:paraId="76A98AEA" w14:textId="25AD5F7F" w:rsidR="00E9618F" w:rsidRPr="00E9618F" w:rsidRDefault="00E9618F" w:rsidP="002A4470">
      <w:pPr>
        <w:spacing w:after="0"/>
        <w:ind w:firstLine="720"/>
      </w:pPr>
      <w:r w:rsidRPr="00E9618F">
        <w:t xml:space="preserve">Future iterations will expand digital supports (e.g., integrated learning management systems, mobile reflection apps) and strengthen mentor training. </w:t>
      </w:r>
      <w:r w:rsidR="005E78A3">
        <w:t xml:space="preserve">There is also </w:t>
      </w:r>
      <w:r w:rsidR="00176729">
        <w:t xml:space="preserve">an </w:t>
      </w:r>
      <w:r w:rsidR="005E78A3">
        <w:t>opportunity to explore the utilization of generative artificial intelligence</w:t>
      </w:r>
      <w:r w:rsidR="00176729">
        <w:t xml:space="preserve"> to create a “field experience coach” as a GPT to </w:t>
      </w:r>
      <w:r w:rsidR="009733DA">
        <w:t>be used in the preparation phase prior to field experiences and as an on-demand resource during these</w:t>
      </w:r>
      <w:r w:rsidR="00176729">
        <w:t xml:space="preserve"> experiences. </w:t>
      </w:r>
    </w:p>
    <w:p w14:paraId="05E4D828" w14:textId="77777777" w:rsidR="00272C07" w:rsidRDefault="00272C07" w:rsidP="004D2682">
      <w:pPr>
        <w:spacing w:after="0"/>
        <w:rPr>
          <w:b/>
          <w:bCs/>
        </w:rPr>
      </w:pPr>
    </w:p>
    <w:p w14:paraId="68D8454C" w14:textId="77777777" w:rsidR="002A4470" w:rsidRDefault="002A4470">
      <w:pPr>
        <w:rPr>
          <w:b/>
          <w:bCs/>
        </w:rPr>
      </w:pPr>
      <w:r>
        <w:rPr>
          <w:b/>
          <w:bCs/>
        </w:rPr>
        <w:br w:type="page"/>
      </w:r>
    </w:p>
    <w:p w14:paraId="3CF2C3AA" w14:textId="525A2F60" w:rsidR="00E9618F" w:rsidRDefault="00E9618F" w:rsidP="004D2682">
      <w:pPr>
        <w:spacing w:after="0"/>
        <w:rPr>
          <w:b/>
          <w:bCs/>
        </w:rPr>
      </w:pPr>
      <w:r w:rsidRPr="006C6400">
        <w:rPr>
          <w:b/>
          <w:bCs/>
        </w:rPr>
        <w:lastRenderedPageBreak/>
        <w:t>References</w:t>
      </w:r>
    </w:p>
    <w:p w14:paraId="72276EE1" w14:textId="77777777" w:rsidR="00272C07" w:rsidRPr="006C6400" w:rsidRDefault="00272C07" w:rsidP="004D2682">
      <w:pPr>
        <w:spacing w:after="0"/>
        <w:rPr>
          <w:b/>
          <w:bCs/>
        </w:rPr>
      </w:pPr>
    </w:p>
    <w:p w14:paraId="48493337" w14:textId="61E2D273" w:rsidR="00E9618F" w:rsidRDefault="00E9618F" w:rsidP="004D2682">
      <w:pPr>
        <w:spacing w:after="0"/>
        <w:ind w:left="720" w:hanging="720"/>
      </w:pPr>
      <w:r w:rsidRPr="00E9618F">
        <w:t xml:space="preserve">Dunst, C., Hamby, D. W., Howse, R. B., Wilkie, H., &amp; Annas, K. (2019). Research synthesis of meta-analyses of preservice teacher preparation practices in higher education. </w:t>
      </w:r>
      <w:r w:rsidRPr="00E9618F">
        <w:rPr>
          <w:i/>
          <w:iCs/>
        </w:rPr>
        <w:t>Higher Education Studies</w:t>
      </w:r>
      <w:r w:rsidR="00141052">
        <w:rPr>
          <w:i/>
          <w:iCs/>
        </w:rPr>
        <w:t>, 10 (1)</w:t>
      </w:r>
      <w:r w:rsidRPr="00E9618F">
        <w:t>.</w:t>
      </w:r>
      <w:r w:rsidR="004F5010" w:rsidRPr="004F5010">
        <w:t xml:space="preserve"> https://doi.org/10.5539/hes.v10n1p29</w:t>
      </w:r>
    </w:p>
    <w:p w14:paraId="399B8701" w14:textId="77777777" w:rsidR="00272C07" w:rsidRPr="00E9618F" w:rsidRDefault="00272C07" w:rsidP="004D2682">
      <w:pPr>
        <w:spacing w:after="0"/>
        <w:ind w:left="720" w:hanging="720"/>
      </w:pPr>
    </w:p>
    <w:p w14:paraId="3B3E9262" w14:textId="3BB1D6BA" w:rsidR="00E9618F" w:rsidRDefault="00E9618F" w:rsidP="004D2682">
      <w:pPr>
        <w:spacing w:after="0"/>
        <w:ind w:left="720" w:hanging="720"/>
      </w:pPr>
      <w:r w:rsidRPr="00E9618F">
        <w:t xml:space="preserve">Grossman, P., </w:t>
      </w:r>
      <w:proofErr w:type="spellStart"/>
      <w:r w:rsidRPr="00E9618F">
        <w:t>Hammerness</w:t>
      </w:r>
      <w:proofErr w:type="spellEnd"/>
      <w:r w:rsidRPr="00E9618F">
        <w:t xml:space="preserve">, K., &amp; McDonald, M. (2009). Redefining teaching, re-imagining teacher education. </w:t>
      </w:r>
      <w:r w:rsidRPr="00E9618F">
        <w:rPr>
          <w:i/>
          <w:iCs/>
        </w:rPr>
        <w:t>Teachers and Teaching: Theory and Practice</w:t>
      </w:r>
      <w:r w:rsidRPr="00E9618F">
        <w:t xml:space="preserve">, </w:t>
      </w:r>
      <w:r w:rsidRPr="00E9618F">
        <w:rPr>
          <w:i/>
          <w:iCs/>
        </w:rPr>
        <w:t>15</w:t>
      </w:r>
      <w:r w:rsidRPr="00E9618F">
        <w:t>(2), 273–290.</w:t>
      </w:r>
      <w:r w:rsidR="004B537C" w:rsidRPr="004B537C">
        <w:rPr>
          <w:rFonts w:ascii="Open Sans" w:hAnsi="Open Sans" w:cs="Open Sans"/>
          <w:color w:val="333333"/>
          <w:shd w:val="clear" w:color="auto" w:fill="EAEAEA"/>
        </w:rPr>
        <w:t xml:space="preserve"> </w:t>
      </w:r>
      <w:r w:rsidR="004B537C" w:rsidRPr="004B537C">
        <w:t>https://doi.org/10.1080/13540600902875340</w:t>
      </w:r>
    </w:p>
    <w:p w14:paraId="24255519" w14:textId="77777777" w:rsidR="00272C07" w:rsidRPr="00E9618F" w:rsidRDefault="00272C07" w:rsidP="004D2682">
      <w:pPr>
        <w:spacing w:after="0"/>
        <w:ind w:left="720" w:hanging="720"/>
      </w:pPr>
    </w:p>
    <w:p w14:paraId="6A82856D" w14:textId="77777777" w:rsidR="00E9618F" w:rsidRDefault="00E9618F" w:rsidP="004D2682">
      <w:pPr>
        <w:spacing w:after="0"/>
        <w:ind w:left="720" w:hanging="720"/>
      </w:pPr>
      <w:r w:rsidRPr="00E9618F">
        <w:t xml:space="preserve">Weimer, M. (2013). </w:t>
      </w:r>
      <w:r w:rsidRPr="00E9618F">
        <w:rPr>
          <w:i/>
          <w:iCs/>
        </w:rPr>
        <w:t>Learner-centered teaching: Five key changes to practice</w:t>
      </w:r>
      <w:r w:rsidRPr="00E9618F">
        <w:t xml:space="preserve"> (2nd ed.). Jossey-Bass.</w:t>
      </w:r>
    </w:p>
    <w:p w14:paraId="40A4BDC1" w14:textId="77777777" w:rsidR="00272C07" w:rsidRPr="00E9618F" w:rsidRDefault="00272C07" w:rsidP="004D2682">
      <w:pPr>
        <w:spacing w:after="0"/>
        <w:ind w:left="720" w:hanging="720"/>
      </w:pPr>
    </w:p>
    <w:p w14:paraId="2C459FE8" w14:textId="4E65F63E" w:rsidR="00E9618F" w:rsidRDefault="00E9618F" w:rsidP="004D2682">
      <w:pPr>
        <w:spacing w:after="0"/>
        <w:ind w:left="720" w:hanging="720"/>
      </w:pPr>
      <w:r w:rsidRPr="00E9618F">
        <w:t xml:space="preserve">Wiggins, G., &amp; McTighe, J. (2005). </w:t>
      </w:r>
      <w:r w:rsidRPr="00E9618F">
        <w:rPr>
          <w:i/>
          <w:iCs/>
        </w:rPr>
        <w:t>Understanding by design</w:t>
      </w:r>
      <w:r w:rsidRPr="00E9618F">
        <w:t xml:space="preserve"> (Expanded 2nd ed.). </w:t>
      </w:r>
      <w:r w:rsidR="00C01E7A">
        <w:t>Alexandria</w:t>
      </w:r>
      <w:r w:rsidR="0087348D">
        <w:t xml:space="preserve">, VA: </w:t>
      </w:r>
      <w:r w:rsidRPr="00E9618F">
        <w:t>Association for Supervision and Curriculum Development.</w:t>
      </w:r>
    </w:p>
    <w:p w14:paraId="10BC9578" w14:textId="77777777" w:rsidR="00272C07" w:rsidRPr="00E9618F" w:rsidRDefault="00272C07" w:rsidP="004D2682">
      <w:pPr>
        <w:spacing w:after="0"/>
        <w:ind w:left="720" w:hanging="720"/>
      </w:pPr>
    </w:p>
    <w:p w14:paraId="0614640C" w14:textId="1DB79C0B" w:rsidR="00E9618F" w:rsidRDefault="00E9618F" w:rsidP="004D2682">
      <w:pPr>
        <w:spacing w:after="0"/>
        <w:ind w:left="720" w:hanging="720"/>
      </w:pPr>
      <w:r w:rsidRPr="00E9618F">
        <w:t xml:space="preserve">Wilcoxen, C. L., Steiner, A., &amp; Bell, J. D. (2021). Strengthening preservice teachers' understanding of culturally responsive classrooms. </w:t>
      </w:r>
      <w:r w:rsidRPr="00E9618F">
        <w:rPr>
          <w:i/>
          <w:iCs/>
        </w:rPr>
        <w:t>Journal of Community Engagement and Scholarshi</w:t>
      </w:r>
      <w:r w:rsidR="001A7E91">
        <w:rPr>
          <w:i/>
          <w:iCs/>
        </w:rPr>
        <w:t>p, 14 (</w:t>
      </w:r>
      <w:r w:rsidR="008B00C1">
        <w:rPr>
          <w:i/>
          <w:iCs/>
        </w:rPr>
        <w:t xml:space="preserve">1) </w:t>
      </w:r>
      <w:r w:rsidR="008B00C1" w:rsidRPr="008B00C1">
        <w:t>https://doi.org/10.54656/FLXY2991</w:t>
      </w:r>
      <w:r w:rsidR="008B00C1">
        <w:rPr>
          <w:i/>
          <w:iCs/>
        </w:rPr>
        <w:t xml:space="preserve"> </w:t>
      </w:r>
    </w:p>
    <w:p w14:paraId="0FD8EAD4" w14:textId="77777777" w:rsidR="00272C07" w:rsidRPr="00E9618F" w:rsidRDefault="00272C07" w:rsidP="004D2682">
      <w:pPr>
        <w:spacing w:after="0"/>
        <w:ind w:left="720" w:hanging="720"/>
      </w:pPr>
    </w:p>
    <w:p w14:paraId="6E47DA26" w14:textId="78264582" w:rsidR="00AC1071" w:rsidRPr="00E9618F" w:rsidRDefault="001B60F0" w:rsidP="001B60F0">
      <w:pPr>
        <w:spacing w:after="0"/>
        <w:ind w:left="720" w:hanging="720"/>
      </w:pPr>
      <w:r w:rsidRPr="001B60F0">
        <w:t>Zeichner, K. (2010). Rethinking the Connections Between Campus Courses and Field Experiences in College- and University-Based Teacher Education. </w:t>
      </w:r>
      <w:r w:rsidRPr="001B60F0">
        <w:rPr>
          <w:i/>
          <w:iCs/>
        </w:rPr>
        <w:t>Journal of Teacher Education</w:t>
      </w:r>
      <w:r w:rsidRPr="001B60F0">
        <w:t>, </w:t>
      </w:r>
      <w:r w:rsidRPr="001B60F0">
        <w:rPr>
          <w:i/>
          <w:iCs/>
        </w:rPr>
        <w:t>61</w:t>
      </w:r>
      <w:r w:rsidRPr="001B60F0">
        <w:t>(1-2), 89-99. </w:t>
      </w:r>
      <w:r w:rsidRPr="008B00C1">
        <w:t>https://doi.org/10.1177/0022487109347671</w:t>
      </w:r>
      <w:r w:rsidRPr="001B60F0">
        <w:t> </w:t>
      </w:r>
    </w:p>
    <w:sectPr w:rsidR="00AC1071" w:rsidRPr="00E961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94114"/>
    <w:multiLevelType w:val="multilevel"/>
    <w:tmpl w:val="D61EE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415DF8"/>
    <w:multiLevelType w:val="multilevel"/>
    <w:tmpl w:val="56100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BC10A7"/>
    <w:multiLevelType w:val="multilevel"/>
    <w:tmpl w:val="385A5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C45F3E"/>
    <w:multiLevelType w:val="multilevel"/>
    <w:tmpl w:val="1BB8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0C621C"/>
    <w:multiLevelType w:val="multilevel"/>
    <w:tmpl w:val="0F3C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3044724">
    <w:abstractNumId w:val="0"/>
  </w:num>
  <w:num w:numId="2" w16cid:durableId="2081636097">
    <w:abstractNumId w:val="2"/>
  </w:num>
  <w:num w:numId="3" w16cid:durableId="1177573466">
    <w:abstractNumId w:val="4"/>
  </w:num>
  <w:num w:numId="4" w16cid:durableId="2019429664">
    <w:abstractNumId w:val="1"/>
  </w:num>
  <w:num w:numId="5" w16cid:durableId="13438236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1CC"/>
    <w:rsid w:val="000452F4"/>
    <w:rsid w:val="000821CC"/>
    <w:rsid w:val="000F6D2B"/>
    <w:rsid w:val="00141052"/>
    <w:rsid w:val="00156D93"/>
    <w:rsid w:val="00176729"/>
    <w:rsid w:val="001A7E91"/>
    <w:rsid w:val="001B60F0"/>
    <w:rsid w:val="002453C2"/>
    <w:rsid w:val="00272C07"/>
    <w:rsid w:val="002A4470"/>
    <w:rsid w:val="002E0981"/>
    <w:rsid w:val="00363EC7"/>
    <w:rsid w:val="0036787F"/>
    <w:rsid w:val="004035F0"/>
    <w:rsid w:val="00447AA5"/>
    <w:rsid w:val="004B537C"/>
    <w:rsid w:val="004D2682"/>
    <w:rsid w:val="004F5010"/>
    <w:rsid w:val="00556163"/>
    <w:rsid w:val="005E50A9"/>
    <w:rsid w:val="005E78A3"/>
    <w:rsid w:val="00601745"/>
    <w:rsid w:val="006073E0"/>
    <w:rsid w:val="006C6400"/>
    <w:rsid w:val="00747864"/>
    <w:rsid w:val="00763D5D"/>
    <w:rsid w:val="0087348D"/>
    <w:rsid w:val="008B00C1"/>
    <w:rsid w:val="008C55C4"/>
    <w:rsid w:val="009733DA"/>
    <w:rsid w:val="00981EF6"/>
    <w:rsid w:val="00AC1071"/>
    <w:rsid w:val="00B11456"/>
    <w:rsid w:val="00BD4ACF"/>
    <w:rsid w:val="00C01E7A"/>
    <w:rsid w:val="00CE0497"/>
    <w:rsid w:val="00CE3BBD"/>
    <w:rsid w:val="00E9618F"/>
    <w:rsid w:val="00F044DA"/>
    <w:rsid w:val="00F657BF"/>
    <w:rsid w:val="00FA3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7451F8"/>
  <w15:chartTrackingRefBased/>
  <w15:docId w15:val="{0E8B0034-61B4-4CDE-9E0D-5A56F1982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3E0"/>
    <w:rPr>
      <w:rFonts w:ascii="Times New Roman" w:hAnsi="Times New Roman"/>
      <w:sz w:val="24"/>
    </w:rPr>
  </w:style>
  <w:style w:type="paragraph" w:styleId="Heading1">
    <w:name w:val="heading 1"/>
    <w:basedOn w:val="Normal"/>
    <w:next w:val="Normal"/>
    <w:link w:val="Heading1Char"/>
    <w:uiPriority w:val="9"/>
    <w:qFormat/>
    <w:rsid w:val="00AC1071"/>
    <w:pPr>
      <w:keepNext/>
      <w:keepLines/>
      <w:spacing w:before="360" w:after="80"/>
      <w:outlineLvl w:val="0"/>
    </w:pPr>
    <w:rPr>
      <w:rFonts w:eastAsiaTheme="majorEastAsia" w:cs="Times New Roman"/>
      <w:b/>
      <w:bCs/>
      <w:szCs w:val="24"/>
    </w:rPr>
  </w:style>
  <w:style w:type="paragraph" w:styleId="Heading2">
    <w:name w:val="heading 2"/>
    <w:basedOn w:val="Normal"/>
    <w:next w:val="Normal"/>
    <w:link w:val="Heading2Char"/>
    <w:uiPriority w:val="9"/>
    <w:semiHidden/>
    <w:unhideWhenUsed/>
    <w:qFormat/>
    <w:rsid w:val="000821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821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21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21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21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1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1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1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071"/>
    <w:rPr>
      <w:rFonts w:ascii="Times New Roman" w:eastAsiaTheme="majorEastAsia" w:hAnsi="Times New Roman" w:cs="Times New Roman"/>
      <w:b/>
      <w:bCs/>
      <w:sz w:val="24"/>
      <w:szCs w:val="24"/>
    </w:rPr>
  </w:style>
  <w:style w:type="character" w:customStyle="1" w:styleId="Heading2Char">
    <w:name w:val="Heading 2 Char"/>
    <w:basedOn w:val="DefaultParagraphFont"/>
    <w:link w:val="Heading2"/>
    <w:uiPriority w:val="9"/>
    <w:semiHidden/>
    <w:rsid w:val="000821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821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21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821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821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1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1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1CC"/>
    <w:rPr>
      <w:rFonts w:eastAsiaTheme="majorEastAsia" w:cstheme="majorBidi"/>
      <w:color w:val="272727" w:themeColor="text1" w:themeTint="D8"/>
    </w:rPr>
  </w:style>
  <w:style w:type="paragraph" w:styleId="Title">
    <w:name w:val="Title"/>
    <w:basedOn w:val="Normal"/>
    <w:next w:val="Normal"/>
    <w:link w:val="TitleChar"/>
    <w:uiPriority w:val="10"/>
    <w:qFormat/>
    <w:rsid w:val="000821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1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1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1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1CC"/>
    <w:pPr>
      <w:spacing w:before="160"/>
      <w:jc w:val="center"/>
    </w:pPr>
    <w:rPr>
      <w:i/>
      <w:iCs/>
      <w:color w:val="404040" w:themeColor="text1" w:themeTint="BF"/>
    </w:rPr>
  </w:style>
  <w:style w:type="character" w:customStyle="1" w:styleId="QuoteChar">
    <w:name w:val="Quote Char"/>
    <w:basedOn w:val="DefaultParagraphFont"/>
    <w:link w:val="Quote"/>
    <w:uiPriority w:val="29"/>
    <w:rsid w:val="000821CC"/>
    <w:rPr>
      <w:i/>
      <w:iCs/>
      <w:color w:val="404040" w:themeColor="text1" w:themeTint="BF"/>
    </w:rPr>
  </w:style>
  <w:style w:type="paragraph" w:styleId="ListParagraph">
    <w:name w:val="List Paragraph"/>
    <w:basedOn w:val="Normal"/>
    <w:uiPriority w:val="34"/>
    <w:qFormat/>
    <w:rsid w:val="000821CC"/>
    <w:pPr>
      <w:ind w:left="720"/>
      <w:contextualSpacing/>
    </w:pPr>
  </w:style>
  <w:style w:type="character" w:styleId="IntenseEmphasis">
    <w:name w:val="Intense Emphasis"/>
    <w:basedOn w:val="DefaultParagraphFont"/>
    <w:uiPriority w:val="21"/>
    <w:qFormat/>
    <w:rsid w:val="000821CC"/>
    <w:rPr>
      <w:i/>
      <w:iCs/>
      <w:color w:val="2F5496" w:themeColor="accent1" w:themeShade="BF"/>
    </w:rPr>
  </w:style>
  <w:style w:type="paragraph" w:styleId="IntenseQuote">
    <w:name w:val="Intense Quote"/>
    <w:basedOn w:val="Normal"/>
    <w:next w:val="Normal"/>
    <w:link w:val="IntenseQuoteChar"/>
    <w:uiPriority w:val="30"/>
    <w:qFormat/>
    <w:rsid w:val="000821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21CC"/>
    <w:rPr>
      <w:i/>
      <w:iCs/>
      <w:color w:val="2F5496" w:themeColor="accent1" w:themeShade="BF"/>
    </w:rPr>
  </w:style>
  <w:style w:type="character" w:styleId="IntenseReference">
    <w:name w:val="Intense Reference"/>
    <w:basedOn w:val="DefaultParagraphFont"/>
    <w:uiPriority w:val="32"/>
    <w:qFormat/>
    <w:rsid w:val="000821CC"/>
    <w:rPr>
      <w:b/>
      <w:bCs/>
      <w:smallCaps/>
      <w:color w:val="2F5496" w:themeColor="accent1" w:themeShade="BF"/>
      <w:spacing w:val="5"/>
    </w:rPr>
  </w:style>
  <w:style w:type="character" w:styleId="Hyperlink">
    <w:name w:val="Hyperlink"/>
    <w:basedOn w:val="DefaultParagraphFont"/>
    <w:uiPriority w:val="99"/>
    <w:unhideWhenUsed/>
    <w:rsid w:val="00981EF6"/>
    <w:rPr>
      <w:color w:val="0563C1" w:themeColor="hyperlink"/>
      <w:u w:val="single"/>
    </w:rPr>
  </w:style>
  <w:style w:type="character" w:styleId="UnresolvedMention">
    <w:name w:val="Unresolved Mention"/>
    <w:basedOn w:val="DefaultParagraphFont"/>
    <w:uiPriority w:val="99"/>
    <w:semiHidden/>
    <w:unhideWhenUsed/>
    <w:rsid w:val="00981EF6"/>
    <w:rPr>
      <w:color w:val="605E5C"/>
      <w:shd w:val="clear" w:color="auto" w:fill="E1DFDD"/>
    </w:rPr>
  </w:style>
  <w:style w:type="character" w:customStyle="1" w:styleId="normaltextrun">
    <w:name w:val="normaltextrun"/>
    <w:basedOn w:val="DefaultParagraphFont"/>
    <w:rsid w:val="00556163"/>
  </w:style>
  <w:style w:type="paragraph" w:customStyle="1" w:styleId="paragraph">
    <w:name w:val="paragraph"/>
    <w:basedOn w:val="Normal"/>
    <w:rsid w:val="00556163"/>
    <w:pPr>
      <w:spacing w:before="100" w:beforeAutospacing="1" w:after="100" w:afterAutospacing="1" w:line="240" w:lineRule="auto"/>
    </w:pPr>
    <w:rPr>
      <w:rFonts w:eastAsia="Times New Roman" w:cs="Times New Roman"/>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293801">
      <w:bodyDiv w:val="1"/>
      <w:marLeft w:val="0"/>
      <w:marRight w:val="0"/>
      <w:marTop w:val="0"/>
      <w:marBottom w:val="0"/>
      <w:divBdr>
        <w:top w:val="none" w:sz="0" w:space="0" w:color="auto"/>
        <w:left w:val="none" w:sz="0" w:space="0" w:color="auto"/>
        <w:bottom w:val="none" w:sz="0" w:space="0" w:color="auto"/>
        <w:right w:val="none" w:sz="0" w:space="0" w:color="auto"/>
      </w:divBdr>
      <w:divsChild>
        <w:div w:id="1647005267">
          <w:marLeft w:val="0"/>
          <w:marRight w:val="0"/>
          <w:marTop w:val="0"/>
          <w:marBottom w:val="0"/>
          <w:divBdr>
            <w:top w:val="none" w:sz="0" w:space="0" w:color="auto"/>
            <w:left w:val="none" w:sz="0" w:space="0" w:color="auto"/>
            <w:bottom w:val="none" w:sz="0" w:space="0" w:color="auto"/>
            <w:right w:val="none" w:sz="0" w:space="0" w:color="auto"/>
          </w:divBdr>
        </w:div>
        <w:div w:id="1523855761">
          <w:marLeft w:val="0"/>
          <w:marRight w:val="0"/>
          <w:marTop w:val="0"/>
          <w:marBottom w:val="0"/>
          <w:divBdr>
            <w:top w:val="none" w:sz="0" w:space="0" w:color="auto"/>
            <w:left w:val="none" w:sz="0" w:space="0" w:color="auto"/>
            <w:bottom w:val="none" w:sz="0" w:space="0" w:color="auto"/>
            <w:right w:val="none" w:sz="0" w:space="0" w:color="auto"/>
          </w:divBdr>
        </w:div>
        <w:div w:id="610553743">
          <w:marLeft w:val="0"/>
          <w:marRight w:val="0"/>
          <w:marTop w:val="0"/>
          <w:marBottom w:val="0"/>
          <w:divBdr>
            <w:top w:val="none" w:sz="0" w:space="0" w:color="auto"/>
            <w:left w:val="none" w:sz="0" w:space="0" w:color="auto"/>
            <w:bottom w:val="none" w:sz="0" w:space="0" w:color="auto"/>
            <w:right w:val="none" w:sz="0" w:space="0" w:color="auto"/>
          </w:divBdr>
        </w:div>
        <w:div w:id="819226112">
          <w:marLeft w:val="0"/>
          <w:marRight w:val="0"/>
          <w:marTop w:val="0"/>
          <w:marBottom w:val="0"/>
          <w:divBdr>
            <w:top w:val="none" w:sz="0" w:space="0" w:color="auto"/>
            <w:left w:val="none" w:sz="0" w:space="0" w:color="auto"/>
            <w:bottom w:val="none" w:sz="0" w:space="0" w:color="auto"/>
            <w:right w:val="none" w:sz="0" w:space="0" w:color="auto"/>
          </w:divBdr>
        </w:div>
        <w:div w:id="480849894">
          <w:marLeft w:val="0"/>
          <w:marRight w:val="0"/>
          <w:marTop w:val="0"/>
          <w:marBottom w:val="0"/>
          <w:divBdr>
            <w:top w:val="none" w:sz="0" w:space="0" w:color="auto"/>
            <w:left w:val="none" w:sz="0" w:space="0" w:color="auto"/>
            <w:bottom w:val="none" w:sz="0" w:space="0" w:color="auto"/>
            <w:right w:val="none" w:sz="0" w:space="0" w:color="auto"/>
          </w:divBdr>
        </w:div>
      </w:divsChild>
    </w:div>
    <w:div w:id="1671832281">
      <w:bodyDiv w:val="1"/>
      <w:marLeft w:val="0"/>
      <w:marRight w:val="0"/>
      <w:marTop w:val="0"/>
      <w:marBottom w:val="0"/>
      <w:divBdr>
        <w:top w:val="none" w:sz="0" w:space="0" w:color="auto"/>
        <w:left w:val="none" w:sz="0" w:space="0" w:color="auto"/>
        <w:bottom w:val="none" w:sz="0" w:space="0" w:color="auto"/>
        <w:right w:val="none" w:sz="0" w:space="0" w:color="auto"/>
      </w:divBdr>
      <w:divsChild>
        <w:div w:id="1294025497">
          <w:marLeft w:val="0"/>
          <w:marRight w:val="0"/>
          <w:marTop w:val="0"/>
          <w:marBottom w:val="0"/>
          <w:divBdr>
            <w:top w:val="none" w:sz="0" w:space="0" w:color="auto"/>
            <w:left w:val="none" w:sz="0" w:space="0" w:color="auto"/>
            <w:bottom w:val="none" w:sz="0" w:space="0" w:color="auto"/>
            <w:right w:val="none" w:sz="0" w:space="0" w:color="auto"/>
          </w:divBdr>
        </w:div>
        <w:div w:id="822891622">
          <w:marLeft w:val="0"/>
          <w:marRight w:val="0"/>
          <w:marTop w:val="0"/>
          <w:marBottom w:val="0"/>
          <w:divBdr>
            <w:top w:val="none" w:sz="0" w:space="0" w:color="auto"/>
            <w:left w:val="none" w:sz="0" w:space="0" w:color="auto"/>
            <w:bottom w:val="none" w:sz="0" w:space="0" w:color="auto"/>
            <w:right w:val="none" w:sz="0" w:space="0" w:color="auto"/>
          </w:divBdr>
        </w:div>
        <w:div w:id="291448167">
          <w:marLeft w:val="0"/>
          <w:marRight w:val="0"/>
          <w:marTop w:val="0"/>
          <w:marBottom w:val="0"/>
          <w:divBdr>
            <w:top w:val="none" w:sz="0" w:space="0" w:color="auto"/>
            <w:left w:val="none" w:sz="0" w:space="0" w:color="auto"/>
            <w:bottom w:val="none" w:sz="0" w:space="0" w:color="auto"/>
            <w:right w:val="none" w:sz="0" w:space="0" w:color="auto"/>
          </w:divBdr>
        </w:div>
        <w:div w:id="2136289161">
          <w:marLeft w:val="0"/>
          <w:marRight w:val="0"/>
          <w:marTop w:val="0"/>
          <w:marBottom w:val="0"/>
          <w:divBdr>
            <w:top w:val="none" w:sz="0" w:space="0" w:color="auto"/>
            <w:left w:val="none" w:sz="0" w:space="0" w:color="auto"/>
            <w:bottom w:val="none" w:sz="0" w:space="0" w:color="auto"/>
            <w:right w:val="none" w:sz="0" w:space="0" w:color="auto"/>
          </w:divBdr>
        </w:div>
        <w:div w:id="1684555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aurarice@psu.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cf48d45-3ddb-4389-a9c1-c115526eb52e}" enabled="0" method="" siteId="{7cf48d45-3ddb-4389-a9c1-c115526eb52e}" removed="1"/>
</clbl:labelList>
</file>

<file path=docProps/app.xml><?xml version="1.0" encoding="utf-8"?>
<Properties xmlns="http://schemas.openxmlformats.org/officeDocument/2006/extended-properties" xmlns:vt="http://schemas.openxmlformats.org/officeDocument/2006/docPropsVTypes">
  <Template>Normal</Template>
  <TotalTime>93</TotalTime>
  <Pages>4</Pages>
  <Words>864</Words>
  <Characters>5880</Characters>
  <Application>Microsoft Office Word</Application>
  <DocSecurity>0</DocSecurity>
  <Lines>113</Lines>
  <Paragraphs>32</Paragraphs>
  <ScaleCrop>false</ScaleCrop>
  <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Foster, Daniel</dc:creator>
  <cp:keywords/>
  <dc:description/>
  <cp:lastModifiedBy>Foster, Daniel</cp:lastModifiedBy>
  <cp:revision>38</cp:revision>
  <dcterms:created xsi:type="dcterms:W3CDTF">2025-06-17T18:29:00Z</dcterms:created>
  <dcterms:modified xsi:type="dcterms:W3CDTF">2025-09-17T17:34:00Z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4e006294-4add-43ca-b0dc-ee4c1ae8f021</vt:lpwstr>
  </property>
</Properties>
</file>