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E9793" w14:textId="7D87FA8B" w:rsidR="00BB1FEA" w:rsidRDefault="3865292A" w:rsidP="00EF76E0">
      <w:pPr>
        <w:spacing w:line="240" w:lineRule="auto"/>
        <w:ind w:right="-180"/>
        <w:jc w:val="center"/>
        <w:rPr>
          <w:rFonts w:ascii="Times New Roman" w:eastAsia="Times New Roman" w:hAnsi="Times New Roman" w:cs="Times New Roman"/>
          <w:b/>
          <w:bCs/>
          <w:sz w:val="24"/>
          <w:szCs w:val="24"/>
        </w:rPr>
      </w:pPr>
      <w:r w:rsidRPr="13E78BCC">
        <w:rPr>
          <w:rFonts w:ascii="Times New Roman" w:eastAsia="Times New Roman" w:hAnsi="Times New Roman" w:cs="Times New Roman"/>
          <w:b/>
          <w:bCs/>
          <w:sz w:val="24"/>
          <w:szCs w:val="24"/>
        </w:rPr>
        <w:t xml:space="preserve">Adoption of Water Conservation BMPs in </w:t>
      </w:r>
      <w:r w:rsidR="007A2A61">
        <w:rPr>
          <w:rFonts w:ascii="Times New Roman" w:eastAsia="Times New Roman" w:hAnsi="Times New Roman" w:cs="Times New Roman"/>
          <w:b/>
          <w:bCs/>
          <w:sz w:val="24"/>
          <w:szCs w:val="24"/>
        </w:rPr>
        <w:t>Pennsylvania</w:t>
      </w:r>
      <w:r w:rsidRPr="13E78BCC">
        <w:rPr>
          <w:rFonts w:ascii="Times New Roman" w:eastAsia="Times New Roman" w:hAnsi="Times New Roman" w:cs="Times New Roman"/>
          <w:b/>
          <w:bCs/>
          <w:sz w:val="24"/>
          <w:szCs w:val="24"/>
        </w:rPr>
        <w:t>: Exploring the Why and Why Not Behind Farmer Decisions</w:t>
      </w:r>
    </w:p>
    <w:p w14:paraId="6D79AA2E" w14:textId="4AD700FC" w:rsidR="00BB1FEA" w:rsidRPr="00BB1FEA" w:rsidRDefault="3865292A" w:rsidP="00EF76E0">
      <w:pPr>
        <w:spacing w:after="0" w:line="240" w:lineRule="auto"/>
        <w:ind w:right="-180"/>
        <w:jc w:val="center"/>
        <w:rPr>
          <w:rFonts w:ascii="Times New Roman" w:hAnsi="Times New Roman" w:cs="Times New Roman"/>
          <w:b/>
          <w:bCs/>
          <w:sz w:val="24"/>
          <w:szCs w:val="24"/>
        </w:rPr>
      </w:pPr>
      <w:r w:rsidRPr="13E78BCC">
        <w:rPr>
          <w:rFonts w:ascii="Times New Roman" w:hAnsi="Times New Roman" w:cs="Times New Roman"/>
          <w:b/>
          <w:bCs/>
          <w:sz w:val="24"/>
          <w:szCs w:val="24"/>
        </w:rPr>
        <w:t>Introduction</w:t>
      </w:r>
    </w:p>
    <w:p w14:paraId="6F82A75C" w14:textId="00CD14DE" w:rsidR="00BB1FEA" w:rsidRDefault="69552B04" w:rsidP="00EF76E0">
      <w:pPr>
        <w:spacing w:after="0" w:line="240" w:lineRule="auto"/>
        <w:ind w:right="-180" w:firstLine="720"/>
        <w:jc w:val="both"/>
        <w:rPr>
          <w:rFonts w:ascii="Times New Roman" w:hAnsi="Times New Roman" w:cs="Times New Roman"/>
          <w:sz w:val="24"/>
          <w:szCs w:val="24"/>
        </w:rPr>
      </w:pPr>
      <w:r w:rsidRPr="13E78BCC">
        <w:rPr>
          <w:rFonts w:ascii="Times New Roman" w:hAnsi="Times New Roman" w:cs="Times New Roman"/>
          <w:sz w:val="24"/>
          <w:szCs w:val="24"/>
        </w:rPr>
        <w:t>W</w:t>
      </w:r>
      <w:r w:rsidR="3865292A" w:rsidRPr="13E78BCC">
        <w:rPr>
          <w:rFonts w:ascii="Times New Roman" w:hAnsi="Times New Roman" w:cs="Times New Roman"/>
          <w:sz w:val="24"/>
          <w:szCs w:val="24"/>
        </w:rPr>
        <w:t xml:space="preserve">ater pollution remains one of the most pervasive and complex environmental issues, with significant consequences </w:t>
      </w:r>
      <w:r w:rsidR="003349ED">
        <w:rPr>
          <w:rFonts w:ascii="Times New Roman" w:hAnsi="Times New Roman" w:cs="Times New Roman"/>
          <w:sz w:val="24"/>
          <w:szCs w:val="24"/>
        </w:rPr>
        <w:t>on</w:t>
      </w:r>
      <w:r w:rsidR="3865292A" w:rsidRPr="13E78BCC">
        <w:rPr>
          <w:rFonts w:ascii="Times New Roman" w:hAnsi="Times New Roman" w:cs="Times New Roman"/>
          <w:sz w:val="24"/>
          <w:szCs w:val="24"/>
        </w:rPr>
        <w:t xml:space="preserve"> human health, ecosystem integrity, and economic vitality (UNEP, 2021). </w:t>
      </w:r>
      <w:r w:rsidR="003349ED" w:rsidRPr="003349ED">
        <w:rPr>
          <w:rFonts w:ascii="Times New Roman" w:hAnsi="Times New Roman" w:cs="Times New Roman"/>
          <w:sz w:val="24"/>
          <w:szCs w:val="24"/>
        </w:rPr>
        <w:t xml:space="preserve">Agricultural nonpoint source pollution, driven by the runoff of nutrients (nitrogen and phosphorus) and sediments into local waterways, is a primary cause of human-induced </w:t>
      </w:r>
      <w:r w:rsidR="0019584C">
        <w:rPr>
          <w:rFonts w:ascii="Times New Roman" w:hAnsi="Times New Roman" w:cs="Times New Roman"/>
          <w:sz w:val="24"/>
          <w:szCs w:val="24"/>
        </w:rPr>
        <w:t>impairment of water bodies</w:t>
      </w:r>
      <w:r w:rsidR="003349ED" w:rsidRPr="003349ED">
        <w:rPr>
          <w:rFonts w:ascii="Times New Roman" w:hAnsi="Times New Roman" w:cs="Times New Roman"/>
          <w:sz w:val="24"/>
          <w:szCs w:val="24"/>
        </w:rPr>
        <w:t xml:space="preserve"> (Zhu et al., 2024; Yang &amp; Toor, 2018).</w:t>
      </w:r>
      <w:r w:rsidR="0066692E">
        <w:rPr>
          <w:rFonts w:ascii="Times New Roman" w:hAnsi="Times New Roman" w:cs="Times New Roman"/>
          <w:sz w:val="24"/>
          <w:szCs w:val="24"/>
        </w:rPr>
        <w:t xml:space="preserve"> </w:t>
      </w:r>
      <w:r w:rsidR="747BC6BD" w:rsidRPr="13E78BCC">
        <w:rPr>
          <w:rFonts w:ascii="Times New Roman" w:hAnsi="Times New Roman" w:cs="Times New Roman"/>
          <w:sz w:val="24"/>
          <w:szCs w:val="24"/>
        </w:rPr>
        <w:t>Water pollution impacts drinking water supplies, reduces recreational opportunities (</w:t>
      </w:r>
      <w:proofErr w:type="spellStart"/>
      <w:r w:rsidR="747BC6BD" w:rsidRPr="13E78BCC">
        <w:rPr>
          <w:rFonts w:ascii="Times New Roman" w:hAnsi="Times New Roman" w:cs="Times New Roman"/>
          <w:sz w:val="24"/>
          <w:szCs w:val="24"/>
        </w:rPr>
        <w:t>Zandaryaa</w:t>
      </w:r>
      <w:proofErr w:type="spellEnd"/>
      <w:r w:rsidR="747BC6BD" w:rsidRPr="13E78BCC">
        <w:rPr>
          <w:rFonts w:ascii="Times New Roman" w:hAnsi="Times New Roman" w:cs="Times New Roman"/>
          <w:sz w:val="24"/>
          <w:szCs w:val="24"/>
        </w:rPr>
        <w:t xml:space="preserve"> &amp; Sarantuyaa, 2018), and severely harms aquatic ecosystems (</w:t>
      </w:r>
      <w:proofErr w:type="spellStart"/>
      <w:r w:rsidR="747BC6BD" w:rsidRPr="13E78BCC">
        <w:rPr>
          <w:rFonts w:ascii="Times New Roman" w:hAnsi="Times New Roman" w:cs="Times New Roman"/>
          <w:sz w:val="24"/>
          <w:szCs w:val="24"/>
        </w:rPr>
        <w:t>Babuji</w:t>
      </w:r>
      <w:proofErr w:type="spellEnd"/>
      <w:r w:rsidR="747BC6BD" w:rsidRPr="13E78BCC">
        <w:rPr>
          <w:rFonts w:ascii="Times New Roman" w:hAnsi="Times New Roman" w:cs="Times New Roman"/>
          <w:sz w:val="24"/>
          <w:szCs w:val="24"/>
        </w:rPr>
        <w:t xml:space="preserve"> et al., 2023). </w:t>
      </w:r>
      <w:r w:rsidR="0066692E" w:rsidRPr="0066692E">
        <w:rPr>
          <w:rFonts w:ascii="Times New Roman" w:hAnsi="Times New Roman" w:cs="Times New Roman"/>
          <w:sz w:val="24"/>
          <w:szCs w:val="24"/>
        </w:rPr>
        <w:t xml:space="preserve">The Chesapeake </w:t>
      </w:r>
      <w:r w:rsidR="001A38B2" w:rsidRPr="0066692E">
        <w:rPr>
          <w:rFonts w:ascii="Times New Roman" w:hAnsi="Times New Roman" w:cs="Times New Roman"/>
          <w:sz w:val="24"/>
          <w:szCs w:val="24"/>
        </w:rPr>
        <w:t>Bay</w:t>
      </w:r>
      <w:r w:rsidR="001A38B2">
        <w:rPr>
          <w:rFonts w:ascii="Times New Roman" w:hAnsi="Times New Roman" w:cs="Times New Roman"/>
          <w:sz w:val="24"/>
          <w:szCs w:val="24"/>
        </w:rPr>
        <w:t>,</w:t>
      </w:r>
      <w:r w:rsidR="001A38B2" w:rsidRPr="0066692E">
        <w:rPr>
          <w:rFonts w:ascii="Times New Roman" w:hAnsi="Times New Roman" w:cs="Times New Roman"/>
          <w:sz w:val="24"/>
          <w:szCs w:val="24"/>
        </w:rPr>
        <w:t xml:space="preserve"> a</w:t>
      </w:r>
      <w:r w:rsidR="0066692E" w:rsidRPr="0066692E">
        <w:rPr>
          <w:rFonts w:ascii="Times New Roman" w:hAnsi="Times New Roman" w:cs="Times New Roman"/>
          <w:sz w:val="24"/>
          <w:szCs w:val="24"/>
        </w:rPr>
        <w:t xml:space="preserve"> vital U.S.</w:t>
      </w:r>
      <w:r w:rsidR="001A38B2">
        <w:rPr>
          <w:rFonts w:ascii="Times New Roman" w:hAnsi="Times New Roman" w:cs="Times New Roman"/>
          <w:sz w:val="24"/>
          <w:szCs w:val="24"/>
        </w:rPr>
        <w:t xml:space="preserve"> </w:t>
      </w:r>
      <w:r w:rsidR="0066692E" w:rsidRPr="0066692E">
        <w:rPr>
          <w:rFonts w:ascii="Times New Roman" w:hAnsi="Times New Roman" w:cs="Times New Roman"/>
          <w:sz w:val="24"/>
          <w:szCs w:val="24"/>
        </w:rPr>
        <w:t>estuary and a national treasure</w:t>
      </w:r>
      <w:r w:rsidR="001A38B2">
        <w:rPr>
          <w:rFonts w:ascii="Times New Roman" w:hAnsi="Times New Roman" w:cs="Times New Roman"/>
          <w:sz w:val="24"/>
          <w:szCs w:val="24"/>
        </w:rPr>
        <w:t xml:space="preserve">, </w:t>
      </w:r>
      <w:r w:rsidR="001A38B2" w:rsidRPr="001A38B2">
        <w:rPr>
          <w:rFonts w:ascii="Times New Roman" w:hAnsi="Times New Roman" w:cs="Times New Roman"/>
          <w:sz w:val="24"/>
          <w:szCs w:val="24"/>
        </w:rPr>
        <w:t>serves as a critical case study of these challenges</w:t>
      </w:r>
      <w:r w:rsidR="0066692E" w:rsidRPr="0066692E">
        <w:rPr>
          <w:rFonts w:ascii="Times New Roman" w:hAnsi="Times New Roman" w:cs="Times New Roman"/>
          <w:sz w:val="24"/>
          <w:szCs w:val="24"/>
        </w:rPr>
        <w:t xml:space="preserve">. </w:t>
      </w:r>
      <w:r w:rsidR="001A38B2">
        <w:rPr>
          <w:rFonts w:ascii="Times New Roman" w:hAnsi="Times New Roman" w:cs="Times New Roman"/>
          <w:sz w:val="24"/>
          <w:szCs w:val="24"/>
        </w:rPr>
        <w:t>I</w:t>
      </w:r>
      <w:r w:rsidR="0066692E" w:rsidRPr="0066692E">
        <w:rPr>
          <w:rFonts w:ascii="Times New Roman" w:hAnsi="Times New Roman" w:cs="Times New Roman"/>
          <w:sz w:val="24"/>
          <w:szCs w:val="24"/>
        </w:rPr>
        <w:t xml:space="preserve">ts health is heavily influenced by the Susquehanna River, which originates in Pennsylvania. This river is the largest single source of both freshwater </w:t>
      </w:r>
      <w:r w:rsidR="0066692E" w:rsidRPr="001A38B2">
        <w:rPr>
          <w:rFonts w:ascii="Times New Roman" w:hAnsi="Times New Roman" w:cs="Times New Roman"/>
          <w:sz w:val="24"/>
          <w:szCs w:val="24"/>
        </w:rPr>
        <w:t>flow and agricultural pollution to the Bay (Pennsylvania DEP, 2025), contributing approximately 40% of the nitrogen, 20% of the phosphorus, and a substantial amount of the sediment pollution (Saha et al., 2023).</w:t>
      </w:r>
      <w:r w:rsidR="001A38B2">
        <w:rPr>
          <w:rFonts w:ascii="Times New Roman" w:hAnsi="Times New Roman" w:cs="Times New Roman"/>
          <w:sz w:val="24"/>
          <w:szCs w:val="24"/>
        </w:rPr>
        <w:t xml:space="preserve"> </w:t>
      </w:r>
    </w:p>
    <w:p w14:paraId="6E524E7D" w14:textId="0CF7628D" w:rsidR="001A38B2" w:rsidRPr="00BB1FEA" w:rsidRDefault="00EB4974" w:rsidP="00EF76E0">
      <w:pPr>
        <w:spacing w:after="0" w:line="240" w:lineRule="auto"/>
        <w:ind w:right="-180" w:firstLine="720"/>
        <w:jc w:val="both"/>
        <w:rPr>
          <w:rFonts w:ascii="Times New Roman" w:hAnsi="Times New Roman" w:cs="Times New Roman"/>
          <w:sz w:val="24"/>
          <w:szCs w:val="24"/>
        </w:rPr>
      </w:pPr>
      <w:r>
        <w:rPr>
          <w:rFonts w:ascii="Times New Roman" w:hAnsi="Times New Roman" w:cs="Times New Roman"/>
          <w:sz w:val="24"/>
          <w:szCs w:val="24"/>
        </w:rPr>
        <w:t xml:space="preserve">The ongoing poor water quality in Chesapeake Bay and its tidal tributaries has prompted significant legal and regulatory responses. In 2010, the U.S. Environmental Protection Agency (EPA) was compelled by litigation to establish a Total Maximum Daily Load (TMDL), effectively a "pollution budget." This TMDL imposes strict pollutant limits across the watershed (Congressional Research Services, 2023; EPA, 2023; USDA-ERS, 2022). To comply with these limits and reduce nonpoint source pollution, especially from agricultural activities, Best Management Practices (BMPs) are widely promoted. These voluntary measures aim to improve soil and water quality while supporting sustainable farming by decreasing nutrient and sediment runoff (Reimer &amp; Prokopy, 2014; Yeboah et al., 2015; Rittenburg, 2015; Lang &amp; </w:t>
      </w:r>
      <w:proofErr w:type="spellStart"/>
      <w:r>
        <w:rPr>
          <w:rFonts w:ascii="Times New Roman" w:hAnsi="Times New Roman" w:cs="Times New Roman"/>
          <w:sz w:val="24"/>
          <w:szCs w:val="24"/>
        </w:rPr>
        <w:t>Rabotyagov</w:t>
      </w:r>
      <w:proofErr w:type="spellEnd"/>
      <w:r>
        <w:rPr>
          <w:rFonts w:ascii="Times New Roman" w:hAnsi="Times New Roman" w:cs="Times New Roman"/>
          <w:sz w:val="24"/>
          <w:szCs w:val="24"/>
        </w:rPr>
        <w:t>, 2022). Recognizing the important role of BMPs, federal, state, and local governments have invested billions of dollars in technical and financial assistance programs to encourage their adoption among farmers (Reimer &amp; Prokopy, 2014; Rosenberg &amp; Pratt, 2024).</w:t>
      </w:r>
    </w:p>
    <w:p w14:paraId="08E3B7E5" w14:textId="06FCB6D3" w:rsidR="00BB1FEA" w:rsidRPr="00BB1FEA" w:rsidRDefault="00EB4974" w:rsidP="00EF76E0">
      <w:pPr>
        <w:spacing w:after="0" w:line="240" w:lineRule="auto"/>
        <w:ind w:right="-180" w:firstLine="720"/>
        <w:jc w:val="both"/>
        <w:rPr>
          <w:rFonts w:ascii="Times New Roman" w:hAnsi="Times New Roman" w:cs="Times New Roman"/>
          <w:sz w:val="24"/>
          <w:szCs w:val="24"/>
        </w:rPr>
      </w:pPr>
      <w:r>
        <w:rPr>
          <w:rFonts w:ascii="Times New Roman" w:hAnsi="Times New Roman" w:cs="Times New Roman"/>
          <w:sz w:val="24"/>
          <w:szCs w:val="24"/>
        </w:rPr>
        <w:t>Despite well-documented environmental benefits of BMPs and significant financial investments to promote their adoption, a paradox persists: the rate at which Pennsylvania farmers adopt BMPs remains low compared to the goals set by each state to meet the TMDL (Houser et al., 2024), undermining Chesapeake Bay restoration efforts (Chesapeake Bay Program Scientific and Technical Advisory Committee, 2023). This has raised serious concerns and broad questions among stakeholders, such as: Are BMPs not seen as credible or effective by farmers? Are they being communicated in ways that don't connect with farmers? Is there a mismatch due to the technical complexity of BMPs? Or is there not enough evidence or demonstration of real-world benefits to justify adoption from the farmer's point of view?</w:t>
      </w:r>
    </w:p>
    <w:p w14:paraId="44FE2EC4" w14:textId="4B6578AE" w:rsidR="005F6517" w:rsidRPr="005F6517" w:rsidRDefault="00EB4974" w:rsidP="00EF76E0">
      <w:pPr>
        <w:spacing w:line="240" w:lineRule="auto"/>
        <w:ind w:right="-180" w:firstLine="720"/>
        <w:jc w:val="both"/>
        <w:rPr>
          <w:rFonts w:ascii="Times New Roman" w:hAnsi="Times New Roman" w:cs="Times New Roman"/>
          <w:sz w:val="24"/>
          <w:szCs w:val="24"/>
        </w:rPr>
      </w:pPr>
      <w:r>
        <w:rPr>
          <w:rFonts w:ascii="Times New Roman" w:hAnsi="Times New Roman" w:cs="Times New Roman"/>
          <w:sz w:val="24"/>
          <w:szCs w:val="24"/>
        </w:rPr>
        <w:t xml:space="preserve">Addressing the paradox of limited BMP adoption despite increasing investments requires a deeper understanding of the complex factors influencing farmers' decisions. Financial incentives, while beneficial, are rarely the main motivators (Ranjan et al., 2019; Eanes et al., 2020). Farmers operate within complex decision-making environments shaped by various influences, including personal values, perceptions of BMPs, social networks, and relationships with conservation experts (Prager &amp; </w:t>
      </w:r>
      <w:proofErr w:type="spellStart"/>
      <w:r>
        <w:rPr>
          <w:rFonts w:ascii="Times New Roman" w:hAnsi="Times New Roman" w:cs="Times New Roman"/>
          <w:sz w:val="24"/>
          <w:szCs w:val="24"/>
        </w:rPr>
        <w:t>Curfs</w:t>
      </w:r>
      <w:proofErr w:type="spellEnd"/>
      <w:r>
        <w:rPr>
          <w:rFonts w:ascii="Times New Roman" w:hAnsi="Times New Roman" w:cs="Times New Roman"/>
          <w:sz w:val="24"/>
          <w:szCs w:val="24"/>
        </w:rPr>
        <w:t>, 2021; Ryan et al., 2023). Significant funding alone cannot guarantee widespread adoption without understanding these fundamental drivers. This study argues that uncovering the motivations for adopting water conservation practices is both necessary and timely.</w:t>
      </w:r>
    </w:p>
    <w:p w14:paraId="6DBE80D5" w14:textId="77777777" w:rsidR="00EB4974" w:rsidRDefault="00EB4974" w:rsidP="00EF76E0">
      <w:pPr>
        <w:spacing w:after="0" w:line="240" w:lineRule="auto"/>
        <w:ind w:right="-180"/>
        <w:jc w:val="center"/>
        <w:textAlignment w:val="baseline"/>
        <w:rPr>
          <w:rFonts w:ascii="Times New Roman" w:eastAsia="Times New Roman" w:hAnsi="Times New Roman" w:cs="Times New Roman"/>
          <w:b/>
          <w:bCs/>
          <w:sz w:val="24"/>
          <w:szCs w:val="24"/>
        </w:rPr>
      </w:pPr>
    </w:p>
    <w:p w14:paraId="16BE970A" w14:textId="098C7DB0" w:rsidR="00BB1FEA" w:rsidRPr="00BB1FEA" w:rsidRDefault="3865292A" w:rsidP="00EF76E0">
      <w:pPr>
        <w:spacing w:after="0" w:line="240" w:lineRule="auto"/>
        <w:ind w:right="-180"/>
        <w:jc w:val="center"/>
        <w:textAlignment w:val="baseline"/>
        <w:rPr>
          <w:rFonts w:ascii="Times New Roman" w:eastAsia="Times New Roman" w:hAnsi="Times New Roman" w:cs="Times New Roman"/>
          <w:b/>
          <w:bCs/>
          <w:sz w:val="24"/>
          <w:szCs w:val="24"/>
        </w:rPr>
      </w:pPr>
      <w:r w:rsidRPr="13E78BCC">
        <w:rPr>
          <w:rFonts w:ascii="Times New Roman" w:eastAsia="Times New Roman" w:hAnsi="Times New Roman" w:cs="Times New Roman"/>
          <w:b/>
          <w:bCs/>
          <w:sz w:val="24"/>
          <w:szCs w:val="24"/>
        </w:rPr>
        <w:lastRenderedPageBreak/>
        <w:t>Theoretical Framework</w:t>
      </w:r>
    </w:p>
    <w:p w14:paraId="28B528F9" w14:textId="03E3DF8A" w:rsidR="00BB1FEA" w:rsidRPr="00BB1FEA" w:rsidRDefault="00EB4974" w:rsidP="00EF76E0">
      <w:pPr>
        <w:spacing w:after="0" w:line="240" w:lineRule="auto"/>
        <w:ind w:right="-180" w:firstLine="720"/>
        <w:jc w:val="both"/>
        <w:rPr>
          <w:rFonts w:ascii="Times New Roman" w:hAnsi="Times New Roman" w:cs="Times New Roman"/>
          <w:sz w:val="24"/>
          <w:szCs w:val="24"/>
        </w:rPr>
      </w:pPr>
      <w:r>
        <w:rPr>
          <w:rFonts w:ascii="Times New Roman" w:hAnsi="Times New Roman" w:cs="Times New Roman"/>
          <w:sz w:val="24"/>
          <w:szCs w:val="24"/>
        </w:rPr>
        <w:t>This study was guided by an integration of three theoretical frameworks: the Theory of Planned Behavior (TPB) (Ajzen, 1991), the Diffusion of Innovation Theory (DOI) (Rogers, 2003), and the Value–Belief–Norm (VBN) Theory (Stern, 2000). The TPB explains adoption as a rational process influenced by an individual's attitudes, subjective norms, and perceived behavioral control. In this study's context, TPB suggests that farmers' decisions to adopt Best Management Practices (BMPs) are shaped by their beliefs about BMP effectiveness, societal expectations, and their perceived ability to implement them. Many researchers (Kumar Chaudhary et al., 2017; Reimer et al., 2012; Taylor et al., 2024) have used the TPB to study conservation behaviors. Prokopy et al. (2008) and Reimer and Prokopy (2014) emphasize that psychosocial factors are central to shaping behavioral responses to conservation initiatives.</w:t>
      </w:r>
    </w:p>
    <w:p w14:paraId="48F19B7B" w14:textId="5280FFDB" w:rsidR="00BB1FEA" w:rsidRPr="00BB1FEA" w:rsidRDefault="009D4DE3" w:rsidP="00EF76E0">
      <w:pPr>
        <w:spacing w:after="0" w:line="240" w:lineRule="auto"/>
        <w:ind w:right="-180" w:firstLine="720"/>
        <w:jc w:val="both"/>
        <w:rPr>
          <w:rFonts w:ascii="Times New Roman" w:hAnsi="Times New Roman" w:cs="Times New Roman"/>
          <w:sz w:val="24"/>
          <w:szCs w:val="24"/>
        </w:rPr>
      </w:pPr>
      <w:r>
        <w:rPr>
          <w:rFonts w:ascii="Times New Roman" w:hAnsi="Times New Roman" w:cs="Times New Roman"/>
          <w:sz w:val="24"/>
          <w:szCs w:val="24"/>
        </w:rPr>
        <w:t xml:space="preserve">The Diffusion of Innovation Theory explains how new ideas or practices, like water conservation BMPs, spread through a social system. According to the DOI, four main factors impact diffusion: innovation, communication channels, time, and the social system (Guo &amp; Huang, 2024; Warner et al., 2020). Among these, innovation is key and refers to anything perceived as new by an individual or group. DOI highlights five characteristics of innovation that influence its adoption: relative advantage, compatibility, complexity, trialability, and observability. These traits determine how quickly and broadly diffusion occurs within communities, and this study carefully examines how they appear in the context of BMP adoption. </w:t>
      </w:r>
    </w:p>
    <w:p w14:paraId="77E696A8" w14:textId="1835B731" w:rsidR="00BB1FEA" w:rsidRPr="00BB1FEA" w:rsidRDefault="009D4DE3" w:rsidP="00EF76E0">
      <w:pPr>
        <w:spacing w:line="240" w:lineRule="auto"/>
        <w:ind w:right="-180" w:firstLine="720"/>
        <w:jc w:val="both"/>
        <w:rPr>
          <w:rFonts w:ascii="Times New Roman" w:hAnsi="Times New Roman" w:cs="Times New Roman"/>
          <w:sz w:val="24"/>
          <w:szCs w:val="24"/>
        </w:rPr>
      </w:pPr>
      <w:r>
        <w:rPr>
          <w:rFonts w:ascii="Times New Roman" w:hAnsi="Times New Roman" w:cs="Times New Roman"/>
          <w:sz w:val="24"/>
          <w:szCs w:val="24"/>
        </w:rPr>
        <w:t>The VBN theory enhances understanding of the psychological and moral aspects of conservation behavior. It suggests that individuals' core values (such as biospheric or altruistic) combined with their beliefs about environmental threats and their perceived ability to address them activate personal norms or moral obligations to act in environmentally friendly ways. These internal motivations often lead to sustainable behaviors, like adopting Best Management Practices (BMPs). Recent studies support applying VBN in agricultural settings (Amin et al., 2024; Ghorbani et al., 2019), emphasizing its usefulness in explaining farmers' environmental commitments and actions. This research takes a complementary approach by integrating TPB, DOI, and VBN, acknowledging that a complex interaction of personal motivations and contextual factors influences BMP adoption. This combined framework offers a comprehensive and strong foundation for understanding adoption behaviors (Wauters &amp; Mathijs, 2014), rather than viewing these theories as competing explanations.</w:t>
      </w:r>
    </w:p>
    <w:p w14:paraId="642EB2CD" w14:textId="03C9D828" w:rsidR="00BB1FEA" w:rsidRPr="00BB1FEA" w:rsidRDefault="3865292A" w:rsidP="00EF76E0">
      <w:pPr>
        <w:spacing w:after="0" w:line="240" w:lineRule="auto"/>
        <w:ind w:right="-180"/>
        <w:jc w:val="center"/>
        <w:rPr>
          <w:rFonts w:ascii="Times New Roman" w:hAnsi="Times New Roman" w:cs="Times New Roman"/>
          <w:b/>
          <w:bCs/>
          <w:sz w:val="24"/>
          <w:szCs w:val="24"/>
        </w:rPr>
      </w:pPr>
      <w:r w:rsidRPr="13E78BCC">
        <w:rPr>
          <w:rFonts w:ascii="Times New Roman" w:hAnsi="Times New Roman" w:cs="Times New Roman"/>
          <w:b/>
          <w:bCs/>
          <w:sz w:val="24"/>
          <w:szCs w:val="24"/>
        </w:rPr>
        <w:t xml:space="preserve">Purpose and </w:t>
      </w:r>
      <w:r w:rsidR="157F1864" w:rsidRPr="13E78BCC">
        <w:rPr>
          <w:rFonts w:ascii="Times New Roman" w:hAnsi="Times New Roman" w:cs="Times New Roman"/>
          <w:b/>
          <w:bCs/>
          <w:sz w:val="24"/>
          <w:szCs w:val="24"/>
        </w:rPr>
        <w:t>Objectives</w:t>
      </w:r>
    </w:p>
    <w:p w14:paraId="6E8E4167" w14:textId="7E07E358" w:rsidR="00BB1FEA" w:rsidRPr="00BB1FEA" w:rsidRDefault="3865292A" w:rsidP="00EF76E0">
      <w:pPr>
        <w:spacing w:after="0" w:line="240" w:lineRule="auto"/>
        <w:ind w:right="-180"/>
        <w:jc w:val="both"/>
        <w:rPr>
          <w:rFonts w:ascii="Times New Roman" w:hAnsi="Times New Roman" w:cs="Times New Roman"/>
          <w:sz w:val="24"/>
          <w:szCs w:val="24"/>
        </w:rPr>
      </w:pPr>
      <w:r w:rsidRPr="00BB1FEA">
        <w:rPr>
          <w:rFonts w:ascii="Times New Roman" w:hAnsi="Times New Roman" w:cs="Times New Roman"/>
          <w:b/>
          <w:bCs/>
          <w:sz w:val="24"/>
          <w:szCs w:val="24"/>
        </w:rPr>
        <w:t xml:space="preserve"> </w:t>
      </w:r>
      <w:r w:rsidR="00BB1FEA" w:rsidRPr="00BB1FEA">
        <w:rPr>
          <w:rFonts w:ascii="Times New Roman" w:hAnsi="Times New Roman" w:cs="Times New Roman"/>
          <w:sz w:val="24"/>
          <w:szCs w:val="24"/>
        </w:rPr>
        <w:tab/>
      </w:r>
      <w:r w:rsidRPr="00BB1FEA">
        <w:rPr>
          <w:rFonts w:ascii="Times New Roman" w:hAnsi="Times New Roman" w:cs="Times New Roman"/>
          <w:sz w:val="24"/>
          <w:szCs w:val="24"/>
        </w:rPr>
        <w:t>The overall purpose of this study was to understand the</w:t>
      </w:r>
      <w:r w:rsidRPr="00BB1FEA">
        <w:rPr>
          <w:rFonts w:ascii="Times New Roman" w:hAnsi="Times New Roman" w:cs="Times New Roman"/>
          <w:color w:val="000000"/>
          <w:sz w:val="24"/>
          <w:szCs w:val="24"/>
          <w:bdr w:val="none" w:sz="0" w:space="0" w:color="auto" w:frame="1"/>
        </w:rPr>
        <w:t xml:space="preserve"> </w:t>
      </w:r>
      <w:r w:rsidRPr="00BB1FEA">
        <w:rPr>
          <w:rFonts w:ascii="Times New Roman" w:hAnsi="Times New Roman" w:cs="Times New Roman"/>
          <w:sz w:val="24"/>
          <w:szCs w:val="24"/>
        </w:rPr>
        <w:t xml:space="preserve">socio-psychological factors influencing </w:t>
      </w:r>
      <w:r w:rsidR="002B4139">
        <w:rPr>
          <w:rFonts w:ascii="Times New Roman" w:hAnsi="Times New Roman" w:cs="Times New Roman"/>
          <w:sz w:val="24"/>
          <w:szCs w:val="24"/>
        </w:rPr>
        <w:t>farmers'</w:t>
      </w:r>
      <w:r w:rsidRPr="00BB1FEA">
        <w:rPr>
          <w:rFonts w:ascii="Times New Roman" w:hAnsi="Times New Roman" w:cs="Times New Roman"/>
          <w:sz w:val="24"/>
          <w:szCs w:val="24"/>
        </w:rPr>
        <w:t xml:space="preserve"> adoption of water conservation BMPs in </w:t>
      </w:r>
      <w:r w:rsidR="00D32FB9">
        <w:rPr>
          <w:rFonts w:ascii="Times New Roman" w:hAnsi="Times New Roman" w:cs="Times New Roman"/>
          <w:sz w:val="24"/>
          <w:szCs w:val="24"/>
        </w:rPr>
        <w:t>Pennsylvania</w:t>
      </w:r>
      <w:r w:rsidR="002B4139">
        <w:rPr>
          <w:rFonts w:ascii="Times New Roman" w:hAnsi="Times New Roman" w:cs="Times New Roman"/>
          <w:sz w:val="24"/>
          <w:szCs w:val="24"/>
        </w:rPr>
        <w:t>'s</w:t>
      </w:r>
      <w:r w:rsidRPr="00BB1FEA">
        <w:rPr>
          <w:rFonts w:ascii="Times New Roman" w:hAnsi="Times New Roman" w:cs="Times New Roman"/>
          <w:sz w:val="24"/>
          <w:szCs w:val="24"/>
        </w:rPr>
        <w:t xml:space="preserve"> Chesapeake Bay Watershed region. The specific objective</w:t>
      </w:r>
      <w:r w:rsidR="02B018E2">
        <w:rPr>
          <w:rFonts w:ascii="Times New Roman" w:hAnsi="Times New Roman" w:cs="Times New Roman"/>
          <w:sz w:val="24"/>
          <w:szCs w:val="24"/>
        </w:rPr>
        <w:t xml:space="preserve"> gui</w:t>
      </w:r>
      <w:r w:rsidR="3ABEC089">
        <w:rPr>
          <w:rFonts w:ascii="Times New Roman" w:hAnsi="Times New Roman" w:cs="Times New Roman"/>
          <w:sz w:val="24"/>
          <w:szCs w:val="24"/>
        </w:rPr>
        <w:t>ded this study was:</w:t>
      </w:r>
    </w:p>
    <w:p w14:paraId="627011F0" w14:textId="77BED47D" w:rsidR="00BB1FEA" w:rsidRPr="00BB1FEA" w:rsidRDefault="3ABEC089" w:rsidP="00EF76E0">
      <w:pPr>
        <w:pStyle w:val="ListParagraph"/>
        <w:numPr>
          <w:ilvl w:val="0"/>
          <w:numId w:val="1"/>
        </w:numPr>
        <w:spacing w:line="240" w:lineRule="auto"/>
        <w:ind w:left="0" w:right="-180"/>
        <w:jc w:val="both"/>
        <w:rPr>
          <w:rFonts w:ascii="Times New Roman" w:hAnsi="Times New Roman" w:cs="Times New Roman"/>
          <w:sz w:val="24"/>
          <w:szCs w:val="24"/>
        </w:rPr>
      </w:pPr>
      <w:r w:rsidRPr="13E78BCC">
        <w:rPr>
          <w:rFonts w:ascii="Times New Roman" w:hAnsi="Times New Roman" w:cs="Times New Roman"/>
          <w:sz w:val="24"/>
          <w:szCs w:val="24"/>
        </w:rPr>
        <w:t xml:space="preserve">To </w:t>
      </w:r>
      <w:r w:rsidR="3865292A" w:rsidRPr="13E78BCC">
        <w:rPr>
          <w:rFonts w:ascii="Times New Roman" w:hAnsi="Times New Roman" w:cs="Times New Roman"/>
          <w:sz w:val="24"/>
          <w:szCs w:val="24"/>
        </w:rPr>
        <w:t xml:space="preserve">determine </w:t>
      </w:r>
      <w:r w:rsidR="6ADE3468" w:rsidRPr="13E78BCC">
        <w:rPr>
          <w:rFonts w:ascii="Times New Roman" w:hAnsi="Times New Roman" w:cs="Times New Roman"/>
          <w:sz w:val="24"/>
          <w:szCs w:val="24"/>
        </w:rPr>
        <w:t xml:space="preserve">the </w:t>
      </w:r>
      <w:r w:rsidR="3865292A" w:rsidRPr="13E78BCC">
        <w:rPr>
          <w:rFonts w:ascii="Times New Roman" w:hAnsi="Times New Roman" w:cs="Times New Roman"/>
          <w:sz w:val="24"/>
          <w:szCs w:val="24"/>
        </w:rPr>
        <w:t xml:space="preserve">motivating factors and drivers of </w:t>
      </w:r>
      <w:r w:rsidR="2B2F8D69" w:rsidRPr="13E78BCC">
        <w:rPr>
          <w:rFonts w:ascii="Times New Roman" w:hAnsi="Times New Roman" w:cs="Times New Roman"/>
          <w:sz w:val="24"/>
          <w:szCs w:val="24"/>
        </w:rPr>
        <w:t>adopting</w:t>
      </w:r>
      <w:r w:rsidR="3865292A" w:rsidRPr="13E78BCC">
        <w:rPr>
          <w:rFonts w:ascii="Times New Roman" w:hAnsi="Times New Roman" w:cs="Times New Roman"/>
          <w:sz w:val="24"/>
          <w:szCs w:val="24"/>
        </w:rPr>
        <w:t xml:space="preserve"> water conservation BMPs among farmers in </w:t>
      </w:r>
      <w:r w:rsidR="00D32FB9">
        <w:rPr>
          <w:rFonts w:ascii="Times New Roman" w:hAnsi="Times New Roman" w:cs="Times New Roman"/>
          <w:sz w:val="24"/>
          <w:szCs w:val="24"/>
        </w:rPr>
        <w:t>Pennsylvania</w:t>
      </w:r>
      <w:r w:rsidR="002B4139">
        <w:rPr>
          <w:rFonts w:ascii="Times New Roman" w:hAnsi="Times New Roman" w:cs="Times New Roman"/>
          <w:sz w:val="24"/>
          <w:szCs w:val="24"/>
        </w:rPr>
        <w:t>'s</w:t>
      </w:r>
      <w:r w:rsidR="3865292A" w:rsidRPr="13E78BCC">
        <w:rPr>
          <w:rFonts w:ascii="Times New Roman" w:hAnsi="Times New Roman" w:cs="Times New Roman"/>
          <w:sz w:val="24"/>
          <w:szCs w:val="24"/>
        </w:rPr>
        <w:t xml:space="preserve"> Chesapeake Bay region.</w:t>
      </w:r>
    </w:p>
    <w:p w14:paraId="006D1868" w14:textId="55BDF53F" w:rsidR="00BB1FEA" w:rsidRPr="00BB1FEA" w:rsidRDefault="3865292A" w:rsidP="00EF76E0">
      <w:pPr>
        <w:spacing w:after="0" w:line="240" w:lineRule="auto"/>
        <w:ind w:right="-180"/>
        <w:jc w:val="center"/>
        <w:rPr>
          <w:rFonts w:ascii="Times New Roman" w:eastAsia="Times New Roman" w:hAnsi="Times New Roman" w:cs="Times New Roman"/>
          <w:b/>
          <w:bCs/>
          <w:sz w:val="24"/>
          <w:szCs w:val="24"/>
        </w:rPr>
      </w:pPr>
      <w:r w:rsidRPr="13E78BCC">
        <w:rPr>
          <w:rFonts w:ascii="Times New Roman" w:eastAsia="Times New Roman" w:hAnsi="Times New Roman" w:cs="Times New Roman"/>
          <w:b/>
          <w:bCs/>
          <w:sz w:val="24"/>
          <w:szCs w:val="24"/>
        </w:rPr>
        <w:t>Methodology</w:t>
      </w:r>
    </w:p>
    <w:p w14:paraId="744DF6B0" w14:textId="397E8181" w:rsidR="00BB1FEA" w:rsidRPr="00BB1FEA" w:rsidRDefault="009D4DE3" w:rsidP="00EF76E0">
      <w:pPr>
        <w:spacing w:line="240" w:lineRule="auto"/>
        <w:ind w:right="-180" w:firstLine="720"/>
        <w:jc w:val="both"/>
        <w:rPr>
          <w:rFonts w:ascii="Times New Roman" w:hAnsi="Times New Roman" w:cs="Times New Roman"/>
          <w:sz w:val="24"/>
          <w:szCs w:val="24"/>
        </w:rPr>
      </w:pPr>
      <w:r>
        <w:rPr>
          <w:rFonts w:ascii="Times New Roman" w:hAnsi="Times New Roman" w:cs="Times New Roman"/>
          <w:sz w:val="24"/>
          <w:szCs w:val="24"/>
        </w:rPr>
        <w:t xml:space="preserve">This study was part of a larger project aimed at achieving TMDL by design through a human-centered modeling approach to simulate BMP implementation behaviors under uncertainty. In this abstract, we present the results from the initial exploratory in-depth interviews conducted with several farmers. </w:t>
      </w:r>
    </w:p>
    <w:p w14:paraId="3B76FCBA" w14:textId="300C0710" w:rsidR="00BB1FEA" w:rsidRPr="009D4DE3" w:rsidRDefault="009D4DE3" w:rsidP="00EF76E0">
      <w:pPr>
        <w:spacing w:after="0" w:line="240" w:lineRule="auto"/>
        <w:ind w:right="-180"/>
        <w:jc w:val="both"/>
        <w:rPr>
          <w:rFonts w:ascii="Times New Roman" w:hAnsi="Times New Roman" w:cs="Times New Roman"/>
          <w:color w:val="EE0000"/>
          <w:sz w:val="24"/>
          <w:szCs w:val="24"/>
        </w:rPr>
      </w:pPr>
      <w:r>
        <w:rPr>
          <w:rFonts w:ascii="Times New Roman" w:hAnsi="Times New Roman" w:cs="Times New Roman"/>
          <w:b/>
          <w:bCs/>
          <w:sz w:val="24"/>
          <w:szCs w:val="24"/>
        </w:rPr>
        <w:t xml:space="preserve">Study Design: </w:t>
      </w:r>
      <w:r w:rsidR="006E700D" w:rsidRPr="006E700D">
        <w:rPr>
          <w:rFonts w:ascii="Times New Roman" w:hAnsi="Times New Roman" w:cs="Times New Roman"/>
          <w:sz w:val="24"/>
          <w:szCs w:val="24"/>
        </w:rPr>
        <w:t>We used a qualitative descriptive approach (</w:t>
      </w:r>
      <w:proofErr w:type="spellStart"/>
      <w:r w:rsidR="006E700D" w:rsidRPr="006E700D">
        <w:rPr>
          <w:rFonts w:ascii="Times New Roman" w:hAnsi="Times New Roman" w:cs="Times New Roman"/>
          <w:sz w:val="24"/>
          <w:szCs w:val="24"/>
        </w:rPr>
        <w:t>Sandelowski</w:t>
      </w:r>
      <w:proofErr w:type="spellEnd"/>
      <w:r w:rsidR="006E700D" w:rsidRPr="006E700D">
        <w:rPr>
          <w:rFonts w:ascii="Times New Roman" w:hAnsi="Times New Roman" w:cs="Times New Roman"/>
          <w:sz w:val="24"/>
          <w:szCs w:val="24"/>
        </w:rPr>
        <w:t xml:space="preserve">, 2000; Doyle et al., 2020) to explore farmers' motivations for adopting water conservation Best Management Practices (BMPs), striving to stay as true as possible to their original words and viewpoints. This study </w:t>
      </w:r>
      <w:r w:rsidR="006E700D" w:rsidRPr="006E700D">
        <w:rPr>
          <w:rFonts w:ascii="Times New Roman" w:hAnsi="Times New Roman" w:cs="Times New Roman"/>
          <w:sz w:val="24"/>
          <w:szCs w:val="24"/>
        </w:rPr>
        <w:lastRenderedPageBreak/>
        <w:t xml:space="preserve">employed a qualitative descriptive research method because it aligns with the authors' epistemological stance and the subjective nature of the research </w:t>
      </w:r>
      <w:r w:rsidR="00EB684F">
        <w:rPr>
          <w:rFonts w:ascii="Times New Roman" w:hAnsi="Times New Roman" w:cs="Times New Roman"/>
          <w:sz w:val="24"/>
          <w:szCs w:val="24"/>
        </w:rPr>
        <w:t>problem</w:t>
      </w:r>
      <w:r w:rsidR="006E700D" w:rsidRPr="006E700D">
        <w:rPr>
          <w:rFonts w:ascii="Times New Roman" w:hAnsi="Times New Roman" w:cs="Times New Roman"/>
          <w:sz w:val="24"/>
          <w:szCs w:val="24"/>
        </w:rPr>
        <w:t xml:space="preserve">. The analysis was primarily inductive, but it also incorporated a theory-based deductive perspective to help develop </w:t>
      </w:r>
      <w:r w:rsidR="00C264B2">
        <w:rPr>
          <w:rFonts w:ascii="Times New Roman" w:hAnsi="Times New Roman" w:cs="Times New Roman"/>
          <w:sz w:val="24"/>
          <w:szCs w:val="24"/>
        </w:rPr>
        <w:t xml:space="preserve">initial </w:t>
      </w:r>
      <w:r w:rsidR="006E700D" w:rsidRPr="006E700D">
        <w:rPr>
          <w:rFonts w:ascii="Times New Roman" w:hAnsi="Times New Roman" w:cs="Times New Roman"/>
          <w:sz w:val="24"/>
          <w:szCs w:val="24"/>
        </w:rPr>
        <w:t xml:space="preserve">interview questions and interpret results. This mixed approach, guided by the philosophy of critical </w:t>
      </w:r>
      <w:proofErr w:type="spellStart"/>
      <w:r w:rsidR="006E700D" w:rsidRPr="006E700D">
        <w:rPr>
          <w:rFonts w:ascii="Times New Roman" w:hAnsi="Times New Roman" w:cs="Times New Roman"/>
          <w:sz w:val="24"/>
          <w:szCs w:val="24"/>
        </w:rPr>
        <w:t>multiplism</w:t>
      </w:r>
      <w:proofErr w:type="spellEnd"/>
      <w:r w:rsidR="006E700D" w:rsidRPr="006E700D">
        <w:rPr>
          <w:rFonts w:ascii="Times New Roman" w:hAnsi="Times New Roman" w:cs="Times New Roman"/>
          <w:sz w:val="24"/>
          <w:szCs w:val="24"/>
        </w:rPr>
        <w:t xml:space="preserve"> (</w:t>
      </w:r>
      <w:proofErr w:type="spellStart"/>
      <w:r w:rsidR="006E700D" w:rsidRPr="006E700D">
        <w:rPr>
          <w:rFonts w:ascii="Times New Roman" w:hAnsi="Times New Roman" w:cs="Times New Roman"/>
          <w:sz w:val="24"/>
          <w:szCs w:val="24"/>
        </w:rPr>
        <w:t>Shadish</w:t>
      </w:r>
      <w:proofErr w:type="spellEnd"/>
      <w:r w:rsidR="006E700D" w:rsidRPr="006E700D">
        <w:rPr>
          <w:rFonts w:ascii="Times New Roman" w:hAnsi="Times New Roman" w:cs="Times New Roman"/>
          <w:sz w:val="24"/>
          <w:szCs w:val="24"/>
        </w:rPr>
        <w:t xml:space="preserve">, 1993), allowed us to strategically use three theoretical frameworks for data collection without forcing the findings to conform to any </w:t>
      </w:r>
      <w:proofErr w:type="gramStart"/>
      <w:r w:rsidR="006E700D" w:rsidRPr="006E700D">
        <w:rPr>
          <w:rFonts w:ascii="Times New Roman" w:hAnsi="Times New Roman" w:cs="Times New Roman"/>
          <w:sz w:val="24"/>
          <w:szCs w:val="24"/>
        </w:rPr>
        <w:t>particular theory</w:t>
      </w:r>
      <w:proofErr w:type="gramEnd"/>
      <w:r w:rsidR="006E700D" w:rsidRPr="006E700D">
        <w:rPr>
          <w:rFonts w:ascii="Times New Roman" w:hAnsi="Times New Roman" w:cs="Times New Roman"/>
          <w:sz w:val="24"/>
          <w:szCs w:val="24"/>
        </w:rPr>
        <w:t>. Throughout the study’s design, data collection, and analysis, we maintained scientific rigor to accurately reflect participants’ views and experiences.</w:t>
      </w:r>
    </w:p>
    <w:p w14:paraId="20EF3224" w14:textId="0B3A446D" w:rsidR="001E0F73" w:rsidRPr="001E0F73" w:rsidRDefault="009D4DE3" w:rsidP="00EF76E0">
      <w:pPr>
        <w:spacing w:after="0" w:line="240" w:lineRule="auto"/>
        <w:ind w:right="-180"/>
        <w:jc w:val="both"/>
        <w:rPr>
          <w:rFonts w:ascii="Times New Roman" w:hAnsi="Times New Roman" w:cs="Times New Roman"/>
          <w:sz w:val="24"/>
          <w:szCs w:val="24"/>
        </w:rPr>
      </w:pPr>
      <w:r>
        <w:rPr>
          <w:rFonts w:ascii="Times New Roman" w:hAnsi="Times New Roman" w:cs="Times New Roman"/>
          <w:b/>
          <w:bCs/>
          <w:sz w:val="24"/>
          <w:szCs w:val="24"/>
        </w:rPr>
        <w:t xml:space="preserve">Target Population, Sampling, and Recruitment: </w:t>
      </w:r>
      <w:r w:rsidRPr="009D4DE3">
        <w:rPr>
          <w:rFonts w:ascii="Times New Roman" w:hAnsi="Times New Roman" w:cs="Times New Roman"/>
          <w:sz w:val="24"/>
          <w:szCs w:val="24"/>
        </w:rPr>
        <w:t>This study targeted farmers near the Susquehanna River in Pennsylvania, selecting counties based on the state's four-tier classification, which ranks counties by the nutrient load reductions needed to meet 2025 TMDL goals. We prioritized counties ranked highly across all four tiers to ensure robust and representative data. We recruited participants with help from the project advisory board, Pennsylvania extension staff, County Conservation Districts, and Natural Resources Conservation Service (NRCS) personnel, who distributed flyers at regular meetings and through personal outreach. The established relationships of one author, who had prior experience conducting related studies in the region, were also key to building trust and facilitating recruitment. We used a combination of purposive and snowball sampling to identify study participants. Eligible participants were farmers aged 18 or older, actively farming in the selected counties near the Susquehanna River, and who consented to participate. We conducted interviews in person or virtually, based on participant preferences, with each session averaging 50 minutes. The Institutional Review Board at Pennsylvania State University approved the study.</w:t>
      </w:r>
    </w:p>
    <w:p w14:paraId="6401A84F" w14:textId="61346D1E" w:rsidR="00BB1FEA" w:rsidRPr="009D4DE3" w:rsidRDefault="009D4DE3" w:rsidP="00EF76E0">
      <w:pPr>
        <w:spacing w:after="0" w:line="240" w:lineRule="auto"/>
        <w:ind w:right="-180"/>
        <w:jc w:val="both"/>
        <w:rPr>
          <w:rFonts w:ascii="Times New Roman" w:hAnsi="Times New Roman" w:cs="Times New Roman"/>
          <w:color w:val="000000" w:themeColor="text1"/>
          <w:sz w:val="24"/>
          <w:szCs w:val="24"/>
        </w:rPr>
      </w:pPr>
      <w:r>
        <w:rPr>
          <w:rFonts w:ascii="Times New Roman" w:hAnsi="Times New Roman" w:cs="Times New Roman"/>
          <w:b/>
          <w:bCs/>
          <w:sz w:val="24"/>
          <w:szCs w:val="24"/>
        </w:rPr>
        <w:t xml:space="preserve">Data Collection: </w:t>
      </w:r>
      <w:r w:rsidRPr="009D4DE3">
        <w:rPr>
          <w:rFonts w:ascii="Times New Roman" w:hAnsi="Times New Roman" w:cs="Times New Roman"/>
          <w:sz w:val="24"/>
          <w:szCs w:val="24"/>
        </w:rPr>
        <w:t xml:space="preserve">The data were gathered through in-depth, semi-structured interviews. The authors developed the interview protocol in collaboration with interdisciplinary project team members, considering the study's purpose and reviewing relevant literature. Then, the interview protocol was sent to external experts in social science research, natural resources management, and conservation for review to ensure the validity of the interview questions. During this process, complex language, jargon, biases, double-barreled questions, and leading questions were carefully reviewed and eliminated. The interview protocol consisted of two sections: the first included general introductory information about farmers' backgrounds, perceptions of local water quality, and awareness of water conservation BMPs; the second focused on motivations and experiences related to adopting practices like cover cropping, stream bank fencing, and riparian buffers. </w:t>
      </w:r>
    </w:p>
    <w:p w14:paraId="34E74849" w14:textId="73BAA7D9" w:rsidR="00BB1FEA" w:rsidRPr="009D4DE3" w:rsidRDefault="009D4DE3" w:rsidP="00EF76E0">
      <w:pPr>
        <w:spacing w:after="0" w:line="240" w:lineRule="auto"/>
        <w:ind w:right="-180"/>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Data Analysis: </w:t>
      </w:r>
      <w:r w:rsidRPr="009D4DE3">
        <w:rPr>
          <w:rFonts w:ascii="Times New Roman" w:hAnsi="Times New Roman" w:cs="Times New Roman"/>
          <w:color w:val="000000" w:themeColor="text1"/>
          <w:sz w:val="24"/>
          <w:szCs w:val="24"/>
        </w:rPr>
        <w:t xml:space="preserve">We analyzed the interviews using thematic analysis, first transcribing the responses with a digital transcription tool. </w:t>
      </w:r>
      <w:r w:rsidR="00F80221" w:rsidRPr="009D4DE3">
        <w:rPr>
          <w:rFonts w:ascii="Times New Roman" w:hAnsi="Times New Roman" w:cs="Times New Roman"/>
          <w:color w:val="000000" w:themeColor="text1"/>
          <w:sz w:val="24"/>
          <w:szCs w:val="24"/>
        </w:rPr>
        <w:t xml:space="preserve">After transcription, we created a preliminary codebook by inductively </w:t>
      </w:r>
      <w:r w:rsidR="00F80221" w:rsidRPr="00713675">
        <w:rPr>
          <w:rFonts w:ascii="Times New Roman" w:hAnsi="Times New Roman" w:cs="Times New Roman"/>
          <w:color w:val="000000" w:themeColor="text1"/>
          <w:sz w:val="24"/>
          <w:szCs w:val="24"/>
        </w:rPr>
        <w:t>coding over the interviews, following qualitative data analysis methods (Cresswell and Poth, 2018).</w:t>
      </w:r>
      <w:r w:rsidR="00EE3D7C" w:rsidRPr="00713675">
        <w:rPr>
          <w:rFonts w:ascii="Times New Roman" w:hAnsi="Times New Roman" w:cs="Times New Roman"/>
          <w:color w:val="000000" w:themeColor="text1"/>
          <w:sz w:val="24"/>
          <w:szCs w:val="24"/>
        </w:rPr>
        <w:t xml:space="preserve"> </w:t>
      </w:r>
      <w:r w:rsidR="00713675" w:rsidRPr="00713675">
        <w:rPr>
          <w:rFonts w:ascii="Times New Roman" w:hAnsi="Times New Roman" w:cs="Times New Roman"/>
          <w:color w:val="000000" w:themeColor="text1"/>
          <w:sz w:val="24"/>
          <w:szCs w:val="24"/>
        </w:rPr>
        <w:t xml:space="preserve">Guided by Braun and Clarke's (2015) thematic analysis, we deductively searched the transcripts for motivations of conservation BMPs adoption that we were already aware of based on our literature review and inductively allowed themes to emerge from the data within motivation categories, progressing from open to axial to selective codes to ensure themes were grounded in participants' perspectives. </w:t>
      </w:r>
      <w:r w:rsidRPr="00713675">
        <w:rPr>
          <w:rFonts w:ascii="Times New Roman" w:hAnsi="Times New Roman" w:cs="Times New Roman"/>
          <w:color w:val="000000" w:themeColor="text1"/>
          <w:sz w:val="24"/>
          <w:szCs w:val="24"/>
        </w:rPr>
        <w:t xml:space="preserve">Three coders independently coded a subset of data to determine inter-coder reliability, then met to resolve </w:t>
      </w:r>
      <w:r w:rsidRPr="009D4DE3">
        <w:rPr>
          <w:rFonts w:ascii="Times New Roman" w:hAnsi="Times New Roman" w:cs="Times New Roman"/>
          <w:color w:val="000000" w:themeColor="text1"/>
          <w:sz w:val="24"/>
          <w:szCs w:val="24"/>
        </w:rPr>
        <w:t>discrepancies, ensuring consistent coding while refining the codebook. Emergent themes were interpreted within broader socio-cultural and economic contexts. Once themes were identified, we presented the findings as a summarized narrative along with direct quotations- in vivo from interview participants.</w:t>
      </w:r>
    </w:p>
    <w:p w14:paraId="7D0A3EA0" w14:textId="431E00A2" w:rsidR="00BB1FEA" w:rsidRPr="00BB1FEA" w:rsidRDefault="0019584C" w:rsidP="00EF76E0">
      <w:pPr>
        <w:spacing w:after="0" w:line="240" w:lineRule="auto"/>
        <w:ind w:right="-180"/>
        <w:jc w:val="both"/>
        <w:rPr>
          <w:rFonts w:ascii="Times New Roman" w:hAnsi="Times New Roman" w:cs="Times New Roman"/>
          <w:sz w:val="24"/>
          <w:szCs w:val="24"/>
        </w:rPr>
      </w:pPr>
      <w:r>
        <w:rPr>
          <w:rFonts w:ascii="Times New Roman" w:hAnsi="Times New Roman" w:cs="Times New Roman"/>
          <w:b/>
          <w:bCs/>
          <w:color w:val="000000" w:themeColor="text1"/>
          <w:sz w:val="24"/>
          <w:szCs w:val="24"/>
        </w:rPr>
        <w:t xml:space="preserve">Trustworthiness and Dependability of Findings: </w:t>
      </w:r>
      <w:r w:rsidRPr="0019584C">
        <w:rPr>
          <w:rFonts w:ascii="Times New Roman" w:hAnsi="Times New Roman" w:cs="Times New Roman"/>
          <w:color w:val="000000" w:themeColor="text1"/>
          <w:sz w:val="24"/>
          <w:szCs w:val="24"/>
        </w:rPr>
        <w:t xml:space="preserve">We established the credibility of qualitative findings using the four indicator criteria outlined by Lincoln and Guba (1985): transferability, </w:t>
      </w:r>
      <w:r w:rsidRPr="0019584C">
        <w:rPr>
          <w:rFonts w:ascii="Times New Roman" w:hAnsi="Times New Roman" w:cs="Times New Roman"/>
          <w:color w:val="000000" w:themeColor="text1"/>
          <w:sz w:val="24"/>
          <w:szCs w:val="24"/>
        </w:rPr>
        <w:lastRenderedPageBreak/>
        <w:t>dependability, confirmability, and credibility. To ensure transferability, we used purposive and snowball sampling to improve generalizability and described data supplemented with in</w:t>
      </w:r>
      <w:r>
        <w:rPr>
          <w:rFonts w:ascii="Times New Roman" w:hAnsi="Times New Roman" w:cs="Times New Roman"/>
          <w:color w:val="000000" w:themeColor="text1"/>
          <w:sz w:val="24"/>
          <w:szCs w:val="24"/>
        </w:rPr>
        <w:t>-</w:t>
      </w:r>
      <w:r w:rsidRPr="0019584C">
        <w:rPr>
          <w:rFonts w:ascii="Times New Roman" w:hAnsi="Times New Roman" w:cs="Times New Roman"/>
          <w:color w:val="000000" w:themeColor="text1"/>
          <w:sz w:val="24"/>
          <w:szCs w:val="24"/>
        </w:rPr>
        <w:t>vivo participant quotes. Regarding dependability, we provided clear descriptions of data collection procedures</w:t>
      </w:r>
      <w:r>
        <w:rPr>
          <w:rFonts w:ascii="Times New Roman" w:hAnsi="Times New Roman" w:cs="Times New Roman"/>
          <w:color w:val="000000" w:themeColor="text1"/>
          <w:sz w:val="24"/>
          <w:szCs w:val="24"/>
        </w:rPr>
        <w:t>. We maintained</w:t>
      </w:r>
      <w:r w:rsidRPr="0019584C">
        <w:rPr>
          <w:rFonts w:ascii="Times New Roman" w:hAnsi="Times New Roman" w:cs="Times New Roman"/>
          <w:color w:val="000000" w:themeColor="text1"/>
          <w:sz w:val="24"/>
          <w:szCs w:val="24"/>
        </w:rPr>
        <w:t xml:space="preserve"> audit trails, such as various memos during the study process, to systematically report the data analysis and reasoning behind the final themes (Lincoln and Guba 1985; Dooley 2007). To </w:t>
      </w:r>
      <w:r>
        <w:rPr>
          <w:rFonts w:ascii="Times New Roman" w:hAnsi="Times New Roman" w:cs="Times New Roman"/>
          <w:color w:val="000000" w:themeColor="text1"/>
          <w:sz w:val="24"/>
          <w:szCs w:val="24"/>
        </w:rPr>
        <w:t>ensure</w:t>
      </w:r>
      <w:r w:rsidRPr="0019584C">
        <w:rPr>
          <w:rFonts w:ascii="Times New Roman" w:hAnsi="Times New Roman" w:cs="Times New Roman"/>
          <w:color w:val="000000" w:themeColor="text1"/>
          <w:sz w:val="24"/>
          <w:szCs w:val="24"/>
        </w:rPr>
        <w:t xml:space="preserve"> confirmability, we employed methodological triangulation (Lincoln and Guba 1985). We compared interview findings with literature, observations during some on-farm visits, and used multiple coders to establish inter-coder reliability. Finally, to build the credibility of the findings, we had a panel of experts review the interview protocol to validate the interview questions before conducting the interviews.</w:t>
      </w:r>
      <w:r>
        <w:rPr>
          <w:rFonts w:ascii="Times New Roman" w:hAnsi="Times New Roman" w:cs="Times New Roman"/>
          <w:b/>
          <w:bCs/>
          <w:color w:val="000000" w:themeColor="text1"/>
          <w:sz w:val="24"/>
          <w:szCs w:val="24"/>
        </w:rPr>
        <w:t xml:space="preserve"> </w:t>
      </w:r>
    </w:p>
    <w:p w14:paraId="0D1171A5" w14:textId="0596B20B" w:rsidR="00BB1FEA" w:rsidRPr="00BB1FEA" w:rsidRDefault="3865292A" w:rsidP="00EF76E0">
      <w:pPr>
        <w:spacing w:after="0" w:line="240" w:lineRule="auto"/>
        <w:ind w:right="-180"/>
        <w:jc w:val="center"/>
        <w:rPr>
          <w:rFonts w:ascii="Times New Roman" w:eastAsia="Times New Roman" w:hAnsi="Times New Roman" w:cs="Times New Roman"/>
          <w:b/>
          <w:bCs/>
          <w:sz w:val="24"/>
          <w:szCs w:val="24"/>
        </w:rPr>
      </w:pPr>
      <w:r w:rsidRPr="13E78BCC">
        <w:rPr>
          <w:rFonts w:ascii="Times New Roman" w:eastAsia="Times New Roman" w:hAnsi="Times New Roman" w:cs="Times New Roman"/>
          <w:b/>
          <w:bCs/>
          <w:sz w:val="24"/>
          <w:szCs w:val="24"/>
        </w:rPr>
        <w:t>Results and Discussion</w:t>
      </w:r>
    </w:p>
    <w:p w14:paraId="7141819C" w14:textId="058EAC5B" w:rsidR="00BB1FEA" w:rsidRPr="00BB1FEA" w:rsidRDefault="3865292A" w:rsidP="00EF76E0">
      <w:pPr>
        <w:spacing w:after="0" w:line="240" w:lineRule="auto"/>
        <w:ind w:right="-180" w:firstLine="720"/>
        <w:jc w:val="both"/>
        <w:rPr>
          <w:rFonts w:ascii="Times New Roman" w:eastAsia="Times New Roman" w:hAnsi="Times New Roman" w:cs="Times New Roman"/>
          <w:sz w:val="24"/>
          <w:szCs w:val="24"/>
        </w:rPr>
      </w:pPr>
      <w:bookmarkStart w:id="0" w:name="_Int_vNQwjgc3"/>
      <w:r w:rsidRPr="01F5E783">
        <w:rPr>
          <w:rFonts w:ascii="Times New Roman" w:eastAsia="Times New Roman" w:hAnsi="Times New Roman" w:cs="Times New Roman"/>
          <w:sz w:val="24"/>
          <w:szCs w:val="24"/>
        </w:rPr>
        <w:t>Thematic analysis of this</w:t>
      </w:r>
      <w:bookmarkEnd w:id="0"/>
      <w:r w:rsidRPr="01F5E783">
        <w:rPr>
          <w:rFonts w:ascii="Times New Roman" w:eastAsia="Times New Roman" w:hAnsi="Times New Roman" w:cs="Times New Roman"/>
          <w:sz w:val="24"/>
          <w:szCs w:val="24"/>
        </w:rPr>
        <w:t xml:space="preserve"> study identified five key themes that represent the primary motivators of </w:t>
      </w:r>
      <w:r w:rsidR="002B4139">
        <w:rPr>
          <w:rFonts w:ascii="Times New Roman" w:eastAsia="Times New Roman" w:hAnsi="Times New Roman" w:cs="Times New Roman"/>
          <w:sz w:val="24"/>
          <w:szCs w:val="24"/>
        </w:rPr>
        <w:t>farmers'</w:t>
      </w:r>
      <w:r w:rsidRPr="01F5E783">
        <w:rPr>
          <w:rFonts w:ascii="Times New Roman" w:eastAsia="Times New Roman" w:hAnsi="Times New Roman" w:cs="Times New Roman"/>
          <w:sz w:val="24"/>
          <w:szCs w:val="24"/>
        </w:rPr>
        <w:t xml:space="preserve"> adoption of Best Management Practices (BMPs) for water conservation. Each theme is explored in detail to </w:t>
      </w:r>
      <w:r w:rsidR="00307F9A">
        <w:rPr>
          <w:rFonts w:ascii="Times New Roman" w:eastAsia="Times New Roman" w:hAnsi="Times New Roman" w:cs="Times New Roman"/>
          <w:sz w:val="24"/>
          <w:szCs w:val="24"/>
        </w:rPr>
        <w:t>better understand</w:t>
      </w:r>
      <w:r w:rsidRPr="01F5E783">
        <w:rPr>
          <w:rFonts w:ascii="Times New Roman" w:eastAsia="Times New Roman" w:hAnsi="Times New Roman" w:cs="Times New Roman"/>
          <w:sz w:val="24"/>
          <w:szCs w:val="24"/>
        </w:rPr>
        <w:t xml:space="preserve"> the motivations and influences behind BMP adoption</w:t>
      </w:r>
      <w:r w:rsidR="180A0274" w:rsidRPr="01F5E783">
        <w:rPr>
          <w:rFonts w:ascii="Times New Roman" w:eastAsia="Times New Roman" w:hAnsi="Times New Roman" w:cs="Times New Roman"/>
          <w:sz w:val="24"/>
          <w:szCs w:val="24"/>
        </w:rPr>
        <w:t>.</w:t>
      </w:r>
    </w:p>
    <w:p w14:paraId="348F3741" w14:textId="5250D767" w:rsidR="00D21176" w:rsidRPr="003752EC" w:rsidRDefault="3865292A" w:rsidP="00EF76E0">
      <w:pPr>
        <w:spacing w:after="0" w:line="240" w:lineRule="auto"/>
        <w:ind w:right="-180"/>
        <w:jc w:val="both"/>
        <w:rPr>
          <w:rFonts w:ascii="Times New Roman" w:eastAsia="Times New Roman" w:hAnsi="Times New Roman" w:cs="Times New Roman"/>
          <w:color w:val="000000" w:themeColor="text1"/>
          <w:sz w:val="24"/>
          <w:szCs w:val="24"/>
        </w:rPr>
      </w:pPr>
      <w:r w:rsidRPr="13E78BCC">
        <w:rPr>
          <w:rFonts w:ascii="Times New Roman" w:eastAsia="Times New Roman" w:hAnsi="Times New Roman" w:cs="Times New Roman"/>
          <w:b/>
          <w:bCs/>
          <w:sz w:val="24"/>
          <w:szCs w:val="24"/>
        </w:rPr>
        <w:t xml:space="preserve">Theme 1: Intrinsic Beliefs </w:t>
      </w:r>
      <w:r w:rsidR="00F1145E">
        <w:rPr>
          <w:rFonts w:ascii="Times New Roman" w:eastAsia="Times New Roman" w:hAnsi="Times New Roman" w:cs="Times New Roman"/>
          <w:b/>
          <w:bCs/>
          <w:sz w:val="24"/>
          <w:szCs w:val="24"/>
        </w:rPr>
        <w:t>and</w:t>
      </w:r>
      <w:r w:rsidRPr="13E78BCC">
        <w:rPr>
          <w:rFonts w:ascii="Times New Roman" w:eastAsia="Times New Roman" w:hAnsi="Times New Roman" w:cs="Times New Roman"/>
          <w:b/>
          <w:bCs/>
          <w:sz w:val="24"/>
          <w:szCs w:val="24"/>
        </w:rPr>
        <w:t xml:space="preserve"> Personal Connection:</w:t>
      </w:r>
      <w:r w:rsidR="52078D72" w:rsidRPr="13E78BCC">
        <w:rPr>
          <w:rFonts w:ascii="Times New Roman" w:eastAsia="Times New Roman" w:hAnsi="Times New Roman" w:cs="Times New Roman"/>
          <w:sz w:val="24"/>
          <w:szCs w:val="24"/>
        </w:rPr>
        <w:t xml:space="preserve"> </w:t>
      </w:r>
      <w:r w:rsidRPr="13E78BCC">
        <w:rPr>
          <w:rFonts w:ascii="Times New Roman" w:eastAsia="Times New Roman" w:hAnsi="Times New Roman" w:cs="Times New Roman"/>
          <w:sz w:val="24"/>
          <w:szCs w:val="24"/>
        </w:rPr>
        <w:t xml:space="preserve">Participants expressed a strong sense of internal motivation rooted in their values, </w:t>
      </w:r>
      <w:r w:rsidR="3473E95C" w:rsidRPr="13E78BCC">
        <w:rPr>
          <w:rFonts w:ascii="Times New Roman" w:eastAsia="Times New Roman" w:hAnsi="Times New Roman" w:cs="Times New Roman"/>
          <w:sz w:val="24"/>
          <w:szCs w:val="24"/>
        </w:rPr>
        <w:t>upbringing,</w:t>
      </w:r>
      <w:r w:rsidRPr="13E78BCC">
        <w:rPr>
          <w:rFonts w:ascii="Times New Roman" w:eastAsia="Times New Roman" w:hAnsi="Times New Roman" w:cs="Times New Roman"/>
          <w:sz w:val="24"/>
          <w:szCs w:val="24"/>
        </w:rPr>
        <w:t xml:space="preserve"> and emotional connection to their land. These intrinsic beliefs often guided their adoption of water conservation practices, beyond external incentives or policy requirements. A participant mentioned</w:t>
      </w:r>
      <w:r w:rsidR="3B15441A" w:rsidRPr="13E78BCC">
        <w:rPr>
          <w:rFonts w:ascii="Times New Roman" w:eastAsia="Times New Roman" w:hAnsi="Times New Roman" w:cs="Times New Roman"/>
          <w:sz w:val="24"/>
          <w:szCs w:val="24"/>
        </w:rPr>
        <w:t>,</w:t>
      </w:r>
      <w:r w:rsidRPr="13E78BCC">
        <w:rPr>
          <w:rFonts w:ascii="Times New Roman" w:eastAsia="Times New Roman" w:hAnsi="Times New Roman" w:cs="Times New Roman"/>
          <w:sz w:val="24"/>
          <w:szCs w:val="24"/>
        </w:rPr>
        <w:t xml:space="preserve"> </w:t>
      </w:r>
      <w:r w:rsidR="002B4139">
        <w:rPr>
          <w:rFonts w:ascii="Times New Roman" w:eastAsia="Times New Roman" w:hAnsi="Times New Roman" w:cs="Times New Roman"/>
          <w:sz w:val="24"/>
          <w:szCs w:val="24"/>
        </w:rPr>
        <w:t>"</w:t>
      </w:r>
      <w:r w:rsidRPr="13E78BCC">
        <w:rPr>
          <w:rFonts w:ascii="Times New Roman" w:eastAsia="Times New Roman" w:hAnsi="Times New Roman" w:cs="Times New Roman"/>
          <w:i/>
          <w:iCs/>
          <w:sz w:val="24"/>
          <w:szCs w:val="24"/>
        </w:rPr>
        <w:t xml:space="preserve">I think we keep our values very much in line with </w:t>
      </w:r>
      <w:r w:rsidR="11CB828F" w:rsidRPr="13E78BCC">
        <w:rPr>
          <w:rFonts w:ascii="Times New Roman" w:eastAsia="Times New Roman" w:hAnsi="Times New Roman" w:cs="Times New Roman"/>
          <w:i/>
          <w:iCs/>
          <w:sz w:val="24"/>
          <w:szCs w:val="24"/>
        </w:rPr>
        <w:t>the</w:t>
      </w:r>
      <w:r w:rsidRPr="13E78BCC">
        <w:rPr>
          <w:rFonts w:ascii="Times New Roman" w:eastAsia="Times New Roman" w:hAnsi="Times New Roman" w:cs="Times New Roman"/>
          <w:i/>
          <w:iCs/>
          <w:sz w:val="24"/>
          <w:szCs w:val="24"/>
        </w:rPr>
        <w:t xml:space="preserve"> practices we want. I know a hundred percent of the </w:t>
      </w:r>
      <w:r w:rsidR="002B4139">
        <w:rPr>
          <w:rFonts w:ascii="Times New Roman" w:eastAsia="Times New Roman" w:hAnsi="Times New Roman" w:cs="Times New Roman"/>
          <w:i/>
          <w:iCs/>
          <w:sz w:val="24"/>
          <w:szCs w:val="24"/>
        </w:rPr>
        <w:t>farmers'</w:t>
      </w:r>
      <w:r w:rsidRPr="13E78BCC">
        <w:rPr>
          <w:rFonts w:ascii="Times New Roman" w:eastAsia="Times New Roman" w:hAnsi="Times New Roman" w:cs="Times New Roman"/>
          <w:i/>
          <w:iCs/>
          <w:sz w:val="24"/>
          <w:szCs w:val="24"/>
        </w:rPr>
        <w:t xml:space="preserve"> values are to do the best practices</w:t>
      </w:r>
      <w:r w:rsidR="3B15441A" w:rsidRPr="13E78BCC">
        <w:rPr>
          <w:rFonts w:ascii="Times New Roman" w:eastAsia="Times New Roman" w:hAnsi="Times New Roman" w:cs="Times New Roman"/>
          <w:i/>
          <w:iCs/>
          <w:sz w:val="24"/>
          <w:szCs w:val="24"/>
        </w:rPr>
        <w:t>,</w:t>
      </w:r>
      <w:r w:rsidRPr="13E78BCC">
        <w:rPr>
          <w:rFonts w:ascii="Times New Roman" w:eastAsia="Times New Roman" w:hAnsi="Times New Roman" w:cs="Times New Roman"/>
          <w:i/>
          <w:iCs/>
          <w:sz w:val="24"/>
          <w:szCs w:val="24"/>
        </w:rPr>
        <w:t xml:space="preserve"> and that is possible</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i/>
          <w:iCs/>
          <w:sz w:val="24"/>
          <w:szCs w:val="24"/>
        </w:rPr>
        <w:t xml:space="preserve">. </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i/>
          <w:iCs/>
          <w:sz w:val="24"/>
          <w:szCs w:val="24"/>
        </w:rPr>
        <w:t>So, for the environment, because we must use it and live in it for the environment</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i/>
          <w:iCs/>
          <w:sz w:val="24"/>
          <w:szCs w:val="24"/>
        </w:rPr>
        <w:t xml:space="preserve">. </w:t>
      </w:r>
      <w:r w:rsidRPr="13E78BCC">
        <w:rPr>
          <w:rFonts w:ascii="Times New Roman" w:eastAsia="Times New Roman" w:hAnsi="Times New Roman" w:cs="Times New Roman"/>
          <w:sz w:val="24"/>
          <w:szCs w:val="24"/>
        </w:rPr>
        <w:t xml:space="preserve">Such statements </w:t>
      </w:r>
      <w:r w:rsidRPr="003752EC">
        <w:rPr>
          <w:rFonts w:ascii="Times New Roman" w:eastAsia="Times New Roman" w:hAnsi="Times New Roman" w:cs="Times New Roman"/>
          <w:color w:val="000000" w:themeColor="text1"/>
          <w:sz w:val="24"/>
          <w:szCs w:val="24"/>
        </w:rPr>
        <w:t>reveal that conservation decisions were not purely technical or economic but were also influenced by emotional and identity-based connections to the environment.</w:t>
      </w:r>
      <w:r w:rsidR="00744914" w:rsidRPr="003752EC">
        <w:rPr>
          <w:rFonts w:ascii="Times New Roman" w:eastAsia="Times New Roman" w:hAnsi="Times New Roman" w:cs="Times New Roman"/>
          <w:color w:val="000000" w:themeColor="text1"/>
          <w:sz w:val="24"/>
          <w:szCs w:val="24"/>
        </w:rPr>
        <w:t xml:space="preserve"> </w:t>
      </w:r>
      <w:r w:rsidR="00D21176" w:rsidRPr="003752EC">
        <w:rPr>
          <w:rFonts w:ascii="Times New Roman" w:eastAsia="Times New Roman" w:hAnsi="Times New Roman" w:cs="Times New Roman"/>
          <w:color w:val="000000" w:themeColor="text1"/>
          <w:sz w:val="24"/>
          <w:szCs w:val="24"/>
        </w:rPr>
        <w:t xml:space="preserve">This aligns with the findings of Hill-Sullins et al. (2025) and </w:t>
      </w:r>
      <w:proofErr w:type="spellStart"/>
      <w:r w:rsidR="00D21176" w:rsidRPr="003752EC">
        <w:rPr>
          <w:rFonts w:ascii="Times New Roman" w:eastAsia="Times New Roman" w:hAnsi="Times New Roman" w:cs="Times New Roman"/>
          <w:color w:val="000000" w:themeColor="text1"/>
          <w:sz w:val="24"/>
          <w:szCs w:val="24"/>
        </w:rPr>
        <w:t>Floress</w:t>
      </w:r>
      <w:proofErr w:type="spellEnd"/>
      <w:r w:rsidR="00D21176" w:rsidRPr="003752EC">
        <w:rPr>
          <w:rFonts w:ascii="Times New Roman" w:eastAsia="Times New Roman" w:hAnsi="Times New Roman" w:cs="Times New Roman"/>
          <w:color w:val="000000" w:themeColor="text1"/>
          <w:sz w:val="24"/>
          <w:szCs w:val="24"/>
        </w:rPr>
        <w:t xml:space="preserve"> et al. (2017), that intrinsic value and environmental stewardship influence producers' desire to adopt and maintain conservation practices. It also supports the value, belief, and norms theory that guided the study.</w:t>
      </w:r>
    </w:p>
    <w:p w14:paraId="52CAC421" w14:textId="332ACF8D" w:rsidR="00BB1FEA" w:rsidRPr="00BB1FEA" w:rsidRDefault="3865292A" w:rsidP="00EF76E0">
      <w:pPr>
        <w:spacing w:after="0" w:line="240" w:lineRule="auto"/>
        <w:ind w:right="-180"/>
        <w:jc w:val="both"/>
        <w:rPr>
          <w:rFonts w:ascii="Times New Roman" w:eastAsia="Times New Roman" w:hAnsi="Times New Roman" w:cs="Times New Roman"/>
          <w:i/>
          <w:iCs/>
          <w:sz w:val="24"/>
          <w:szCs w:val="24"/>
        </w:rPr>
      </w:pPr>
      <w:r w:rsidRPr="003752EC">
        <w:rPr>
          <w:rFonts w:ascii="Times New Roman" w:eastAsia="Times New Roman" w:hAnsi="Times New Roman" w:cs="Times New Roman"/>
          <w:b/>
          <w:bCs/>
          <w:color w:val="000000" w:themeColor="text1"/>
          <w:sz w:val="24"/>
          <w:szCs w:val="24"/>
        </w:rPr>
        <w:t xml:space="preserve">Theme 2: Social </w:t>
      </w:r>
      <w:r w:rsidR="00F1145E" w:rsidRPr="003752EC">
        <w:rPr>
          <w:rFonts w:ascii="Times New Roman" w:eastAsia="Times New Roman" w:hAnsi="Times New Roman" w:cs="Times New Roman"/>
          <w:b/>
          <w:bCs/>
          <w:color w:val="000000" w:themeColor="text1"/>
          <w:sz w:val="24"/>
          <w:szCs w:val="24"/>
        </w:rPr>
        <w:t>and</w:t>
      </w:r>
      <w:r w:rsidRPr="003752EC">
        <w:rPr>
          <w:rFonts w:ascii="Times New Roman" w:eastAsia="Times New Roman" w:hAnsi="Times New Roman" w:cs="Times New Roman"/>
          <w:b/>
          <w:bCs/>
          <w:color w:val="000000" w:themeColor="text1"/>
          <w:sz w:val="24"/>
          <w:szCs w:val="24"/>
        </w:rPr>
        <w:t xml:space="preserve"> Informational Influence: </w:t>
      </w:r>
      <w:r w:rsidR="002B4139" w:rsidRPr="003752EC">
        <w:rPr>
          <w:rFonts w:ascii="Times New Roman" w:eastAsia="Times New Roman" w:hAnsi="Times New Roman" w:cs="Times New Roman"/>
          <w:color w:val="000000" w:themeColor="text1"/>
          <w:sz w:val="24"/>
          <w:szCs w:val="24"/>
        </w:rPr>
        <w:t>Farmers'</w:t>
      </w:r>
      <w:r w:rsidRPr="003752EC">
        <w:rPr>
          <w:rFonts w:ascii="Times New Roman" w:eastAsia="Times New Roman" w:hAnsi="Times New Roman" w:cs="Times New Roman"/>
          <w:color w:val="000000" w:themeColor="text1"/>
          <w:sz w:val="24"/>
          <w:szCs w:val="24"/>
        </w:rPr>
        <w:t xml:space="preserve"> decisions to adopt water conservation practices were often shaped by their interactions within social networks, peer experiences</w:t>
      </w:r>
      <w:r w:rsidRPr="13E78BCC">
        <w:rPr>
          <w:rFonts w:ascii="Times New Roman" w:eastAsia="Times New Roman" w:hAnsi="Times New Roman" w:cs="Times New Roman"/>
          <w:sz w:val="24"/>
          <w:szCs w:val="24"/>
        </w:rPr>
        <w:t>, and the availability of reliable information from trusted sources.</w:t>
      </w:r>
      <w:r w:rsidR="00C03F1C">
        <w:rPr>
          <w:rFonts w:ascii="Times New Roman" w:eastAsia="Times New Roman" w:hAnsi="Times New Roman" w:cs="Times New Roman"/>
          <w:sz w:val="24"/>
          <w:szCs w:val="24"/>
        </w:rPr>
        <w:t xml:space="preserve"> </w:t>
      </w:r>
      <w:r w:rsidR="003752EC">
        <w:rPr>
          <w:rFonts w:ascii="Times New Roman" w:eastAsia="Times New Roman" w:hAnsi="Times New Roman" w:cs="Times New Roman"/>
          <w:sz w:val="24"/>
          <w:szCs w:val="24"/>
        </w:rPr>
        <w:t xml:space="preserve">This aligns with the findings of Roesch-McNally et al., (2018), who identified stronger social and peer networks as a key driver of sustainable conservation practice adoption. </w:t>
      </w:r>
      <w:r w:rsidRPr="13E78BCC">
        <w:rPr>
          <w:rFonts w:ascii="Times New Roman" w:eastAsia="Times New Roman" w:hAnsi="Times New Roman" w:cs="Times New Roman"/>
          <w:sz w:val="24"/>
          <w:szCs w:val="24"/>
        </w:rPr>
        <w:t xml:space="preserve">Farmers emphasized the value of observing neighboring farmers who had already adopted Best Management Practices (BMPs). One participant shared, </w:t>
      </w:r>
      <w:r w:rsidR="002B4139">
        <w:rPr>
          <w:rFonts w:ascii="Times New Roman" w:eastAsia="Times New Roman" w:hAnsi="Times New Roman" w:cs="Times New Roman"/>
          <w:sz w:val="24"/>
          <w:szCs w:val="24"/>
        </w:rPr>
        <w:t>"</w:t>
      </w:r>
      <w:r w:rsidR="5150A713" w:rsidRPr="13E78BCC">
        <w:rPr>
          <w:rFonts w:ascii="Times New Roman" w:eastAsia="Times New Roman" w:hAnsi="Times New Roman" w:cs="Times New Roman"/>
          <w:sz w:val="24"/>
          <w:szCs w:val="24"/>
        </w:rPr>
        <w:t>...</w:t>
      </w:r>
      <w:r w:rsidR="5150A713" w:rsidRPr="13E78BCC">
        <w:rPr>
          <w:rFonts w:ascii="Times New Roman" w:eastAsia="Times New Roman" w:hAnsi="Times New Roman" w:cs="Times New Roman"/>
          <w:i/>
          <w:iCs/>
          <w:sz w:val="24"/>
          <w:szCs w:val="24"/>
        </w:rPr>
        <w:t>h</w:t>
      </w:r>
      <w:r w:rsidRPr="13E78BCC">
        <w:rPr>
          <w:rFonts w:ascii="Times New Roman" w:eastAsia="Times New Roman" w:hAnsi="Times New Roman" w:cs="Times New Roman"/>
          <w:i/>
          <w:iCs/>
          <w:sz w:val="24"/>
          <w:szCs w:val="24"/>
        </w:rPr>
        <w:t>e had been practicing no-till for nearly two decades, and that really opened my eyes</w:t>
      </w:r>
      <w:r w:rsidR="002B4139">
        <w:rPr>
          <w:rFonts w:ascii="Times New Roman" w:eastAsia="Times New Roman" w:hAnsi="Times New Roman" w:cs="Times New Roman"/>
          <w:sz w:val="24"/>
          <w:szCs w:val="24"/>
        </w:rPr>
        <w:t>"</w:t>
      </w:r>
      <w:r w:rsidR="00C30759">
        <w:rPr>
          <w:rFonts w:ascii="Times New Roman" w:eastAsia="Times New Roman" w:hAnsi="Times New Roman" w:cs="Times New Roman"/>
          <w:sz w:val="24"/>
          <w:szCs w:val="24"/>
        </w:rPr>
        <w:t xml:space="preserve">. </w:t>
      </w:r>
      <w:r w:rsidR="003752EC">
        <w:rPr>
          <w:rFonts w:ascii="Times New Roman" w:eastAsia="Times New Roman" w:hAnsi="Times New Roman" w:cs="Times New Roman"/>
          <w:sz w:val="24"/>
          <w:szCs w:val="24"/>
        </w:rPr>
        <w:t xml:space="preserve">This aligns with the current diffusion of innovation theory on observability as a trait of technology that affects adoption. </w:t>
      </w:r>
      <w:r w:rsidRPr="13E78BCC">
        <w:rPr>
          <w:rFonts w:ascii="Times New Roman" w:eastAsia="Times New Roman" w:hAnsi="Times New Roman" w:cs="Times New Roman"/>
          <w:sz w:val="24"/>
          <w:szCs w:val="24"/>
        </w:rPr>
        <w:t xml:space="preserve">Others highlighted the role of agricultural </w:t>
      </w:r>
      <w:r w:rsidR="011FD18C" w:rsidRPr="13E78BCC">
        <w:rPr>
          <w:rFonts w:ascii="Times New Roman" w:eastAsia="Times New Roman" w:hAnsi="Times New Roman" w:cs="Times New Roman"/>
          <w:sz w:val="24"/>
          <w:szCs w:val="24"/>
        </w:rPr>
        <w:t>conservation professionals</w:t>
      </w:r>
      <w:r w:rsidRPr="13E78BCC">
        <w:rPr>
          <w:rFonts w:ascii="Times New Roman" w:eastAsia="Times New Roman" w:hAnsi="Times New Roman" w:cs="Times New Roman"/>
          <w:sz w:val="24"/>
          <w:szCs w:val="24"/>
        </w:rPr>
        <w:t xml:space="preserve"> in providing guidance and technical support. As one interviewee explained, </w:t>
      </w:r>
      <w:r w:rsidR="002B4139">
        <w:rPr>
          <w:rFonts w:ascii="Times New Roman" w:eastAsia="Times New Roman" w:hAnsi="Times New Roman" w:cs="Times New Roman"/>
          <w:sz w:val="24"/>
          <w:szCs w:val="24"/>
        </w:rPr>
        <w:t>"</w:t>
      </w:r>
      <w:r w:rsidRPr="13E78BCC">
        <w:rPr>
          <w:rFonts w:ascii="Times New Roman" w:eastAsia="Times New Roman" w:hAnsi="Times New Roman" w:cs="Times New Roman"/>
          <w:i/>
          <w:iCs/>
          <w:sz w:val="24"/>
          <w:szCs w:val="24"/>
        </w:rPr>
        <w:t>Through extension and with the help of local conservancies, they really made an effort to assist us — they were effective in getting the project going</w:t>
      </w:r>
      <w:r w:rsidRPr="13E78BCC">
        <w:rPr>
          <w:rFonts w:ascii="Times New Roman" w:eastAsia="Times New Roman" w:hAnsi="Times New Roman" w:cs="Times New Roman"/>
          <w:sz w:val="24"/>
          <w:szCs w:val="24"/>
        </w:rPr>
        <w:t>.</w:t>
      </w:r>
      <w:r w:rsidR="002B4139">
        <w:rPr>
          <w:rFonts w:ascii="Times New Roman" w:eastAsia="Times New Roman" w:hAnsi="Times New Roman" w:cs="Times New Roman"/>
          <w:sz w:val="24"/>
          <w:szCs w:val="24"/>
        </w:rPr>
        <w:t>"</w:t>
      </w:r>
      <w:r w:rsidRPr="13E78BCC">
        <w:rPr>
          <w:rFonts w:ascii="Times New Roman" w:eastAsia="Times New Roman" w:hAnsi="Times New Roman" w:cs="Times New Roman"/>
          <w:sz w:val="24"/>
          <w:szCs w:val="24"/>
        </w:rPr>
        <w:t xml:space="preserve"> Another added, </w:t>
      </w:r>
      <w:r w:rsidR="002B4139">
        <w:rPr>
          <w:rFonts w:ascii="Times New Roman" w:eastAsia="Times New Roman" w:hAnsi="Times New Roman" w:cs="Times New Roman"/>
          <w:sz w:val="24"/>
          <w:szCs w:val="24"/>
        </w:rPr>
        <w:t>"</w:t>
      </w:r>
      <w:r w:rsidRPr="13E78BCC">
        <w:rPr>
          <w:rFonts w:ascii="Times New Roman" w:eastAsia="Times New Roman" w:hAnsi="Times New Roman" w:cs="Times New Roman"/>
          <w:i/>
          <w:iCs/>
          <w:sz w:val="24"/>
          <w:szCs w:val="24"/>
        </w:rPr>
        <w:t xml:space="preserve">Attending those extension crop meetings where they discuss this stuff really helps the farm understand </w:t>
      </w:r>
      <w:r w:rsidR="002B4139">
        <w:rPr>
          <w:rFonts w:ascii="Times New Roman" w:eastAsia="Times New Roman" w:hAnsi="Times New Roman" w:cs="Times New Roman"/>
          <w:i/>
          <w:iCs/>
          <w:sz w:val="24"/>
          <w:szCs w:val="24"/>
        </w:rPr>
        <w:t>what's</w:t>
      </w:r>
      <w:r w:rsidRPr="13E78BCC">
        <w:rPr>
          <w:rFonts w:ascii="Times New Roman" w:eastAsia="Times New Roman" w:hAnsi="Times New Roman" w:cs="Times New Roman"/>
          <w:i/>
          <w:iCs/>
          <w:sz w:val="24"/>
          <w:szCs w:val="24"/>
        </w:rPr>
        <w:t xml:space="preserve"> going on</w:t>
      </w:r>
      <w:r w:rsidRPr="13E78BCC">
        <w:rPr>
          <w:rFonts w:ascii="Times New Roman" w:eastAsia="Times New Roman" w:hAnsi="Times New Roman" w:cs="Times New Roman"/>
          <w:sz w:val="24"/>
          <w:szCs w:val="24"/>
        </w:rPr>
        <w:t>.</w:t>
      </w:r>
      <w:r w:rsidR="002B4139">
        <w:rPr>
          <w:rFonts w:ascii="Times New Roman" w:eastAsia="Times New Roman" w:hAnsi="Times New Roman" w:cs="Times New Roman"/>
          <w:sz w:val="24"/>
          <w:szCs w:val="24"/>
        </w:rPr>
        <w:t>"</w:t>
      </w:r>
      <w:r w:rsidRPr="13E78BCC">
        <w:rPr>
          <w:rFonts w:ascii="Times New Roman" w:eastAsia="Times New Roman" w:hAnsi="Times New Roman" w:cs="Times New Roman"/>
          <w:sz w:val="24"/>
          <w:szCs w:val="24"/>
        </w:rPr>
        <w:t xml:space="preserve"> These reflections point to the influence of neighbors, extension agents, and conservation staff</w:t>
      </w:r>
      <w:r w:rsidR="7A3AFB29" w:rsidRPr="13E78BCC">
        <w:rPr>
          <w:rFonts w:ascii="Times New Roman" w:eastAsia="Times New Roman" w:hAnsi="Times New Roman" w:cs="Times New Roman"/>
          <w:sz w:val="24"/>
          <w:szCs w:val="24"/>
        </w:rPr>
        <w:t>. Still, they</w:t>
      </w:r>
      <w:r w:rsidR="0014FF61" w:rsidRPr="13E78BCC">
        <w:rPr>
          <w:rFonts w:ascii="Times New Roman" w:eastAsia="Times New Roman" w:hAnsi="Times New Roman" w:cs="Times New Roman"/>
          <w:sz w:val="24"/>
          <w:szCs w:val="24"/>
        </w:rPr>
        <w:t xml:space="preserve"> mostly emphasized </w:t>
      </w:r>
      <w:r w:rsidR="1DF8A988" w:rsidRPr="13E78BCC">
        <w:rPr>
          <w:rFonts w:ascii="Times New Roman" w:eastAsia="Times New Roman" w:hAnsi="Times New Roman" w:cs="Times New Roman"/>
          <w:sz w:val="24"/>
          <w:szCs w:val="24"/>
        </w:rPr>
        <w:t xml:space="preserve">trust and authenticity in the </w:t>
      </w:r>
      <w:r w:rsidRPr="13E78BCC">
        <w:rPr>
          <w:rFonts w:ascii="Times New Roman" w:eastAsia="Times New Roman" w:hAnsi="Times New Roman" w:cs="Times New Roman"/>
          <w:sz w:val="24"/>
          <w:szCs w:val="24"/>
        </w:rPr>
        <w:t>transmitted information when considering new conservation practices</w:t>
      </w:r>
      <w:r w:rsidRPr="13E78BCC">
        <w:rPr>
          <w:rFonts w:ascii="Times New Roman" w:eastAsia="Times New Roman" w:hAnsi="Times New Roman" w:cs="Times New Roman"/>
          <w:i/>
          <w:iCs/>
          <w:sz w:val="24"/>
          <w:szCs w:val="24"/>
        </w:rPr>
        <w:t>.</w:t>
      </w:r>
    </w:p>
    <w:p w14:paraId="049BFA78" w14:textId="33EB7545" w:rsidR="00BB1FEA" w:rsidRPr="00BB1FEA" w:rsidRDefault="3865292A" w:rsidP="00EF76E0">
      <w:pPr>
        <w:spacing w:after="0" w:line="240" w:lineRule="auto"/>
        <w:ind w:right="-180"/>
        <w:jc w:val="both"/>
        <w:rPr>
          <w:rFonts w:ascii="Times New Roman" w:eastAsia="Times New Roman" w:hAnsi="Times New Roman" w:cs="Times New Roman"/>
          <w:sz w:val="24"/>
          <w:szCs w:val="24"/>
        </w:rPr>
      </w:pPr>
      <w:r w:rsidRPr="13E78BCC">
        <w:rPr>
          <w:rFonts w:ascii="Times New Roman" w:eastAsia="Times New Roman" w:hAnsi="Times New Roman" w:cs="Times New Roman"/>
          <w:b/>
          <w:bCs/>
          <w:sz w:val="24"/>
          <w:szCs w:val="24"/>
        </w:rPr>
        <w:t>Theme 3: Perceived Economic Viability and Practicality:</w:t>
      </w:r>
      <w:r w:rsidR="578D18BF" w:rsidRPr="13E78BCC">
        <w:rPr>
          <w:rFonts w:ascii="Times New Roman" w:eastAsia="Times New Roman" w:hAnsi="Times New Roman" w:cs="Times New Roman"/>
          <w:sz w:val="24"/>
          <w:szCs w:val="24"/>
        </w:rPr>
        <w:t xml:space="preserve"> </w:t>
      </w:r>
      <w:r w:rsidRPr="13E78BCC">
        <w:rPr>
          <w:rFonts w:ascii="Times New Roman" w:eastAsia="Times New Roman" w:hAnsi="Times New Roman" w:cs="Times New Roman"/>
          <w:sz w:val="24"/>
          <w:szCs w:val="24"/>
        </w:rPr>
        <w:t xml:space="preserve">Farmers emphasized that their willingness to adopt water conservation practices was closely tied to whether those practices were economically feasible and practically applicable within their existing operations. Financial return, time investment, and compatibility with current farming systems were common </w:t>
      </w:r>
      <w:r w:rsidR="0F84C169" w:rsidRPr="13E78BCC">
        <w:rPr>
          <w:rFonts w:ascii="Times New Roman" w:eastAsia="Times New Roman" w:hAnsi="Times New Roman" w:cs="Times New Roman"/>
          <w:sz w:val="24"/>
          <w:szCs w:val="24"/>
        </w:rPr>
        <w:t>considerations,</w:t>
      </w:r>
      <w:r w:rsidRPr="13E78BCC">
        <w:rPr>
          <w:rFonts w:ascii="Times New Roman" w:eastAsia="Times New Roman" w:hAnsi="Times New Roman" w:cs="Times New Roman"/>
          <w:sz w:val="24"/>
          <w:szCs w:val="24"/>
        </w:rPr>
        <w:t xml:space="preserve"> </w:t>
      </w:r>
      <w:r w:rsidR="4A16503B" w:rsidRPr="13E78BCC">
        <w:rPr>
          <w:rFonts w:ascii="Times New Roman" w:eastAsia="Times New Roman" w:hAnsi="Times New Roman" w:cs="Times New Roman"/>
          <w:sz w:val="24"/>
          <w:szCs w:val="24"/>
        </w:rPr>
        <w:t>as</w:t>
      </w:r>
      <w:r w:rsidRPr="13E78BCC">
        <w:rPr>
          <w:rFonts w:ascii="Times New Roman" w:eastAsia="Times New Roman" w:hAnsi="Times New Roman" w:cs="Times New Roman"/>
          <w:sz w:val="24"/>
          <w:szCs w:val="24"/>
        </w:rPr>
        <w:t xml:space="preserve"> participant</w:t>
      </w:r>
      <w:r w:rsidR="4A24A1E1" w:rsidRPr="13E78BCC">
        <w:rPr>
          <w:rFonts w:ascii="Times New Roman" w:eastAsia="Times New Roman" w:hAnsi="Times New Roman" w:cs="Times New Roman"/>
          <w:sz w:val="24"/>
          <w:szCs w:val="24"/>
        </w:rPr>
        <w:t>s</w:t>
      </w:r>
      <w:r w:rsidRPr="13E78BCC">
        <w:rPr>
          <w:rFonts w:ascii="Times New Roman" w:eastAsia="Times New Roman" w:hAnsi="Times New Roman" w:cs="Times New Roman"/>
          <w:sz w:val="24"/>
          <w:szCs w:val="24"/>
        </w:rPr>
        <w:t xml:space="preserve"> noted, </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i/>
          <w:iCs/>
          <w:sz w:val="24"/>
          <w:szCs w:val="24"/>
        </w:rPr>
        <w:t xml:space="preserve">More production. </w:t>
      </w:r>
      <w:r w:rsidR="002B4139">
        <w:rPr>
          <w:rFonts w:ascii="Times New Roman" w:eastAsia="Times New Roman" w:hAnsi="Times New Roman" w:cs="Times New Roman"/>
          <w:i/>
          <w:iCs/>
          <w:sz w:val="24"/>
          <w:szCs w:val="24"/>
        </w:rPr>
        <w:t>I'm</w:t>
      </w:r>
      <w:r w:rsidRPr="13E78BCC">
        <w:rPr>
          <w:rFonts w:ascii="Times New Roman" w:eastAsia="Times New Roman" w:hAnsi="Times New Roman" w:cs="Times New Roman"/>
          <w:i/>
          <w:iCs/>
          <w:sz w:val="24"/>
          <w:szCs w:val="24"/>
        </w:rPr>
        <w:t xml:space="preserve"> seeing </w:t>
      </w:r>
      <w:r w:rsidR="10B94DC3" w:rsidRPr="13E78BCC">
        <w:rPr>
          <w:rFonts w:ascii="Times New Roman" w:eastAsia="Times New Roman" w:hAnsi="Times New Roman" w:cs="Times New Roman"/>
          <w:i/>
          <w:iCs/>
          <w:sz w:val="24"/>
          <w:szCs w:val="24"/>
        </w:rPr>
        <w:t>conservation</w:t>
      </w:r>
      <w:r w:rsidRPr="13E78BCC">
        <w:rPr>
          <w:rFonts w:ascii="Times New Roman" w:eastAsia="Times New Roman" w:hAnsi="Times New Roman" w:cs="Times New Roman"/>
          <w:i/>
          <w:iCs/>
          <w:sz w:val="24"/>
          <w:szCs w:val="24"/>
        </w:rPr>
        <w:t xml:space="preserve"> practices </w:t>
      </w:r>
      <w:proofErr w:type="gramStart"/>
      <w:r w:rsidRPr="13E78BCC">
        <w:rPr>
          <w:rFonts w:ascii="Times New Roman" w:eastAsia="Times New Roman" w:hAnsi="Times New Roman" w:cs="Times New Roman"/>
          <w:i/>
          <w:iCs/>
          <w:sz w:val="24"/>
          <w:szCs w:val="24"/>
        </w:rPr>
        <w:t>actually help</w:t>
      </w:r>
      <w:proofErr w:type="gramEnd"/>
      <w:r w:rsidRPr="13E78BCC">
        <w:rPr>
          <w:rFonts w:ascii="Times New Roman" w:eastAsia="Times New Roman" w:hAnsi="Times New Roman" w:cs="Times New Roman"/>
          <w:i/>
          <w:iCs/>
          <w:sz w:val="24"/>
          <w:szCs w:val="24"/>
        </w:rPr>
        <w:t xml:space="preserve"> us produce </w:t>
      </w:r>
      <w:r w:rsidRPr="13E78BCC">
        <w:rPr>
          <w:rFonts w:ascii="Times New Roman" w:eastAsia="Times New Roman" w:hAnsi="Times New Roman" w:cs="Times New Roman"/>
          <w:i/>
          <w:iCs/>
          <w:sz w:val="24"/>
          <w:szCs w:val="24"/>
        </w:rPr>
        <w:lastRenderedPageBreak/>
        <w:t>more crops off the land</w:t>
      </w:r>
      <w:r w:rsidR="002B4139">
        <w:rPr>
          <w:rFonts w:ascii="Times New Roman" w:eastAsia="Times New Roman" w:hAnsi="Times New Roman" w:cs="Times New Roman"/>
          <w:i/>
          <w:iCs/>
          <w:sz w:val="24"/>
          <w:szCs w:val="24"/>
        </w:rPr>
        <w:t>"</w:t>
      </w:r>
      <w:r w:rsidR="7EF82B6C" w:rsidRPr="13E78BCC">
        <w:rPr>
          <w:rFonts w:ascii="Times New Roman" w:eastAsia="Times New Roman" w:hAnsi="Times New Roman" w:cs="Times New Roman"/>
          <w:i/>
          <w:iCs/>
          <w:sz w:val="24"/>
          <w:szCs w:val="24"/>
        </w:rPr>
        <w:t xml:space="preserve">, </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i/>
          <w:iCs/>
          <w:sz w:val="24"/>
          <w:szCs w:val="24"/>
        </w:rPr>
        <w:t xml:space="preserve">When we do. When we do cover crops, we </w:t>
      </w:r>
      <w:proofErr w:type="gramStart"/>
      <w:r w:rsidRPr="13E78BCC">
        <w:rPr>
          <w:rFonts w:ascii="Times New Roman" w:eastAsia="Times New Roman" w:hAnsi="Times New Roman" w:cs="Times New Roman"/>
          <w:i/>
          <w:iCs/>
          <w:sz w:val="24"/>
          <w:szCs w:val="24"/>
        </w:rPr>
        <w:t>actually do</w:t>
      </w:r>
      <w:proofErr w:type="gramEnd"/>
      <w:r w:rsidRPr="13E78BCC">
        <w:rPr>
          <w:rFonts w:ascii="Times New Roman" w:eastAsia="Times New Roman" w:hAnsi="Times New Roman" w:cs="Times New Roman"/>
          <w:i/>
          <w:iCs/>
          <w:sz w:val="24"/>
          <w:szCs w:val="24"/>
        </w:rPr>
        <w:t xml:space="preserve"> double cropping</w:t>
      </w:r>
      <w:r w:rsidR="002B4139">
        <w:rPr>
          <w:rFonts w:ascii="Times New Roman" w:eastAsia="Times New Roman" w:hAnsi="Times New Roman" w:cs="Times New Roman"/>
          <w:i/>
          <w:iCs/>
          <w:sz w:val="24"/>
          <w:szCs w:val="24"/>
        </w:rPr>
        <w:t>"</w:t>
      </w:r>
      <w:r w:rsidR="25A6ABD4" w:rsidRPr="13E78BCC">
        <w:rPr>
          <w:rFonts w:ascii="Times New Roman" w:eastAsia="Times New Roman" w:hAnsi="Times New Roman" w:cs="Times New Roman"/>
          <w:sz w:val="24"/>
          <w:szCs w:val="24"/>
        </w:rPr>
        <w:t>,</w:t>
      </w:r>
      <w:r w:rsidRPr="13E78BCC">
        <w:rPr>
          <w:rFonts w:ascii="Times New Roman" w:eastAsia="Times New Roman" w:hAnsi="Times New Roman" w:cs="Times New Roman"/>
          <w:sz w:val="24"/>
          <w:szCs w:val="24"/>
        </w:rPr>
        <w:t xml:space="preserve"> revealing that improved crop production leads to increased financial returns. Another farmer stated, </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i/>
          <w:iCs/>
          <w:sz w:val="24"/>
          <w:szCs w:val="24"/>
        </w:rPr>
        <w:t xml:space="preserve">Yeah, </w:t>
      </w:r>
      <w:r w:rsidR="002B4139">
        <w:rPr>
          <w:rFonts w:ascii="Times New Roman" w:eastAsia="Times New Roman" w:hAnsi="Times New Roman" w:cs="Times New Roman"/>
          <w:i/>
          <w:iCs/>
          <w:sz w:val="24"/>
          <w:szCs w:val="24"/>
        </w:rPr>
        <w:t>it's</w:t>
      </w:r>
      <w:r w:rsidRPr="13E78BCC">
        <w:rPr>
          <w:rFonts w:ascii="Times New Roman" w:eastAsia="Times New Roman" w:hAnsi="Times New Roman" w:cs="Times New Roman"/>
          <w:i/>
          <w:iCs/>
          <w:sz w:val="24"/>
          <w:szCs w:val="24"/>
        </w:rPr>
        <w:t xml:space="preserve"> easy. </w:t>
      </w:r>
      <w:r w:rsidR="002B4139">
        <w:rPr>
          <w:rFonts w:ascii="Times New Roman" w:eastAsia="Times New Roman" w:hAnsi="Times New Roman" w:cs="Times New Roman"/>
          <w:i/>
          <w:iCs/>
          <w:sz w:val="24"/>
          <w:szCs w:val="24"/>
        </w:rPr>
        <w:t>It's</w:t>
      </w:r>
      <w:r w:rsidRPr="13E78BCC">
        <w:rPr>
          <w:rFonts w:ascii="Times New Roman" w:eastAsia="Times New Roman" w:hAnsi="Times New Roman" w:cs="Times New Roman"/>
          <w:i/>
          <w:iCs/>
          <w:sz w:val="24"/>
          <w:szCs w:val="24"/>
        </w:rPr>
        <w:t xml:space="preserve"> very forgiving. </w:t>
      </w:r>
      <w:r w:rsidR="002B4139">
        <w:rPr>
          <w:rFonts w:ascii="Times New Roman" w:eastAsia="Times New Roman" w:hAnsi="Times New Roman" w:cs="Times New Roman"/>
          <w:i/>
          <w:iCs/>
          <w:sz w:val="24"/>
          <w:szCs w:val="24"/>
        </w:rPr>
        <w:t>It's</w:t>
      </w:r>
      <w:r w:rsidRPr="13E78BCC">
        <w:rPr>
          <w:rFonts w:ascii="Times New Roman" w:eastAsia="Times New Roman" w:hAnsi="Times New Roman" w:cs="Times New Roman"/>
          <w:i/>
          <w:iCs/>
          <w:sz w:val="24"/>
          <w:szCs w:val="24"/>
        </w:rPr>
        <w:t xml:space="preserve"> anybody could do it</w:t>
      </w:r>
      <w:r w:rsidR="002B4139">
        <w:rPr>
          <w:rFonts w:ascii="Times New Roman" w:eastAsia="Times New Roman" w:hAnsi="Times New Roman" w:cs="Times New Roman"/>
          <w:i/>
          <w:iCs/>
          <w:sz w:val="24"/>
          <w:szCs w:val="24"/>
        </w:rPr>
        <w:t>"</w:t>
      </w:r>
      <w:r w:rsidR="25A6ABD4" w:rsidRPr="13E78BCC">
        <w:rPr>
          <w:rFonts w:ascii="Times New Roman" w:eastAsia="Times New Roman" w:hAnsi="Times New Roman" w:cs="Times New Roman"/>
          <w:sz w:val="24"/>
          <w:szCs w:val="24"/>
        </w:rPr>
        <w:t xml:space="preserve">, </w:t>
      </w:r>
      <w:r w:rsidRPr="13E78BCC">
        <w:rPr>
          <w:rFonts w:ascii="Times New Roman" w:eastAsia="Times New Roman" w:hAnsi="Times New Roman" w:cs="Times New Roman"/>
          <w:sz w:val="24"/>
          <w:szCs w:val="24"/>
        </w:rPr>
        <w:t>reflecting the perceived simplicity and accessibility of cover cropping. These insights suggest that farmers are more inclined to adopt practices they view as beneficial to their bottom line and straightforward to apply.</w:t>
      </w:r>
    </w:p>
    <w:p w14:paraId="4D1BF986" w14:textId="416E0D23" w:rsidR="00BB1FEA" w:rsidRPr="00BB1FEA" w:rsidRDefault="3865292A" w:rsidP="00EF76E0">
      <w:pPr>
        <w:spacing w:after="0" w:line="240" w:lineRule="auto"/>
        <w:ind w:right="-180"/>
        <w:jc w:val="both"/>
        <w:rPr>
          <w:rFonts w:ascii="Times New Roman" w:eastAsia="Times New Roman" w:hAnsi="Times New Roman" w:cs="Times New Roman"/>
          <w:sz w:val="24"/>
          <w:szCs w:val="24"/>
        </w:rPr>
      </w:pPr>
      <w:r w:rsidRPr="13E78BCC">
        <w:rPr>
          <w:rFonts w:ascii="Times New Roman" w:eastAsia="Times New Roman" w:hAnsi="Times New Roman" w:cs="Times New Roman"/>
          <w:b/>
          <w:bCs/>
          <w:sz w:val="24"/>
          <w:szCs w:val="24"/>
        </w:rPr>
        <w:t xml:space="preserve">Theme 4: External Systems </w:t>
      </w:r>
      <w:r w:rsidR="00F1145E">
        <w:rPr>
          <w:rFonts w:ascii="Times New Roman" w:eastAsia="Times New Roman" w:hAnsi="Times New Roman" w:cs="Times New Roman"/>
          <w:b/>
          <w:bCs/>
          <w:sz w:val="24"/>
          <w:szCs w:val="24"/>
        </w:rPr>
        <w:t>and</w:t>
      </w:r>
      <w:r w:rsidRPr="13E78BCC">
        <w:rPr>
          <w:rFonts w:ascii="Times New Roman" w:eastAsia="Times New Roman" w:hAnsi="Times New Roman" w:cs="Times New Roman"/>
          <w:b/>
          <w:bCs/>
          <w:sz w:val="24"/>
          <w:szCs w:val="24"/>
        </w:rPr>
        <w:t xml:space="preserve"> Incentives:</w:t>
      </w:r>
      <w:r w:rsidR="578D18BF" w:rsidRPr="13E78BCC">
        <w:rPr>
          <w:rFonts w:ascii="Times New Roman" w:eastAsia="Times New Roman" w:hAnsi="Times New Roman" w:cs="Times New Roman"/>
          <w:sz w:val="24"/>
          <w:szCs w:val="24"/>
        </w:rPr>
        <w:t xml:space="preserve"> </w:t>
      </w:r>
      <w:r w:rsidRPr="13E78BCC">
        <w:rPr>
          <w:rFonts w:ascii="Times New Roman" w:eastAsia="Times New Roman" w:hAnsi="Times New Roman" w:cs="Times New Roman"/>
          <w:sz w:val="24"/>
          <w:szCs w:val="24"/>
        </w:rPr>
        <w:t>Farmers expressed that the availability of external support</w:t>
      </w:r>
      <w:r w:rsidR="25A6ABD4" w:rsidRPr="13E78BCC">
        <w:rPr>
          <w:rFonts w:ascii="Times New Roman" w:eastAsia="Times New Roman" w:hAnsi="Times New Roman" w:cs="Times New Roman"/>
          <w:sz w:val="24"/>
          <w:szCs w:val="24"/>
        </w:rPr>
        <w:t xml:space="preserve">, </w:t>
      </w:r>
      <w:r w:rsidRPr="13E78BCC">
        <w:rPr>
          <w:rFonts w:ascii="Times New Roman" w:eastAsia="Times New Roman" w:hAnsi="Times New Roman" w:cs="Times New Roman"/>
          <w:sz w:val="24"/>
          <w:szCs w:val="24"/>
        </w:rPr>
        <w:t xml:space="preserve">whether through government programs, conservation agencies, or incentive-based </w:t>
      </w:r>
      <w:r w:rsidR="25A6ABD4" w:rsidRPr="13E78BCC">
        <w:rPr>
          <w:rFonts w:ascii="Times New Roman" w:eastAsia="Times New Roman" w:hAnsi="Times New Roman" w:cs="Times New Roman"/>
          <w:sz w:val="24"/>
          <w:szCs w:val="24"/>
        </w:rPr>
        <w:t xml:space="preserve">funding, </w:t>
      </w:r>
      <w:r w:rsidRPr="13E78BCC">
        <w:rPr>
          <w:rFonts w:ascii="Times New Roman" w:eastAsia="Times New Roman" w:hAnsi="Times New Roman" w:cs="Times New Roman"/>
          <w:sz w:val="24"/>
          <w:szCs w:val="24"/>
        </w:rPr>
        <w:t xml:space="preserve">played a crucial role in their decision to implement water conservation practices. These institutional systems and financial incentives often served as the catalyst that turned intention into action. One farmer explained, </w:t>
      </w:r>
      <w:r w:rsidR="002B4139">
        <w:rPr>
          <w:rFonts w:ascii="Times New Roman" w:eastAsia="Times New Roman" w:hAnsi="Times New Roman" w:cs="Times New Roman"/>
          <w:sz w:val="24"/>
          <w:szCs w:val="24"/>
        </w:rPr>
        <w:t>"</w:t>
      </w:r>
      <w:r w:rsidRPr="13E78BCC">
        <w:rPr>
          <w:rFonts w:ascii="Times New Roman" w:eastAsia="Times New Roman" w:hAnsi="Times New Roman" w:cs="Times New Roman"/>
          <w:i/>
          <w:iCs/>
          <w:sz w:val="24"/>
          <w:szCs w:val="24"/>
        </w:rPr>
        <w:t>I signed a 10-year contract. I get a payment</w:t>
      </w:r>
      <w:r w:rsidR="002B4139">
        <w:rPr>
          <w:rFonts w:ascii="Times New Roman" w:eastAsia="Times New Roman" w:hAnsi="Times New Roman" w:cs="Times New Roman"/>
          <w:sz w:val="24"/>
          <w:szCs w:val="24"/>
        </w:rPr>
        <w:t>"</w:t>
      </w:r>
      <w:r w:rsidRPr="13E78BCC">
        <w:rPr>
          <w:rFonts w:ascii="Times New Roman" w:eastAsia="Times New Roman" w:hAnsi="Times New Roman" w:cs="Times New Roman"/>
          <w:sz w:val="24"/>
          <w:szCs w:val="24"/>
        </w:rPr>
        <w:t xml:space="preserve">. Another farmer mentioned, </w:t>
      </w:r>
      <w:r w:rsidR="002B4139">
        <w:rPr>
          <w:rFonts w:ascii="Times New Roman" w:eastAsia="Times New Roman" w:hAnsi="Times New Roman" w:cs="Times New Roman"/>
          <w:sz w:val="24"/>
          <w:szCs w:val="24"/>
        </w:rPr>
        <w:t>"</w:t>
      </w:r>
      <w:r w:rsidRPr="13E78BCC">
        <w:rPr>
          <w:rFonts w:ascii="Times New Roman" w:eastAsia="Times New Roman" w:hAnsi="Times New Roman" w:cs="Times New Roman"/>
          <w:i/>
          <w:iCs/>
          <w:sz w:val="24"/>
          <w:szCs w:val="24"/>
        </w:rPr>
        <w:t>Cost sharing is very needed, very important</w:t>
      </w:r>
      <w:r w:rsidR="002B4139">
        <w:rPr>
          <w:rFonts w:ascii="Times New Roman" w:eastAsia="Times New Roman" w:hAnsi="Times New Roman" w:cs="Times New Roman"/>
          <w:sz w:val="24"/>
          <w:szCs w:val="24"/>
        </w:rPr>
        <w:t>"</w:t>
      </w:r>
      <w:r w:rsidRPr="13E78BCC">
        <w:rPr>
          <w:rFonts w:ascii="Times New Roman" w:eastAsia="Times New Roman" w:hAnsi="Times New Roman" w:cs="Times New Roman"/>
          <w:sz w:val="24"/>
          <w:szCs w:val="24"/>
        </w:rPr>
        <w:t xml:space="preserve">. These statements highlight the need </w:t>
      </w:r>
      <w:r w:rsidR="25A6ABD4" w:rsidRPr="13E78BCC">
        <w:rPr>
          <w:rFonts w:ascii="Times New Roman" w:eastAsia="Times New Roman" w:hAnsi="Times New Roman" w:cs="Times New Roman"/>
          <w:sz w:val="24"/>
          <w:szCs w:val="24"/>
        </w:rPr>
        <w:t>for</w:t>
      </w:r>
      <w:r w:rsidRPr="13E78BCC">
        <w:rPr>
          <w:rFonts w:ascii="Times New Roman" w:eastAsia="Times New Roman" w:hAnsi="Times New Roman" w:cs="Times New Roman"/>
          <w:sz w:val="24"/>
          <w:szCs w:val="24"/>
        </w:rPr>
        <w:t xml:space="preserve"> financial incentives in </w:t>
      </w:r>
      <w:r w:rsidR="3ADFA753" w:rsidRPr="13E78BCC">
        <w:rPr>
          <w:rFonts w:ascii="Times New Roman" w:eastAsia="Times New Roman" w:hAnsi="Times New Roman" w:cs="Times New Roman"/>
          <w:sz w:val="24"/>
          <w:szCs w:val="24"/>
        </w:rPr>
        <w:t>decision-making</w:t>
      </w:r>
      <w:r w:rsidRPr="13E78BCC">
        <w:rPr>
          <w:rFonts w:ascii="Times New Roman" w:eastAsia="Times New Roman" w:hAnsi="Times New Roman" w:cs="Times New Roman"/>
          <w:sz w:val="24"/>
          <w:szCs w:val="24"/>
        </w:rPr>
        <w:t xml:space="preserve"> to implement BMPs. </w:t>
      </w:r>
      <w:r w:rsidR="00356FD8">
        <w:rPr>
          <w:rFonts w:ascii="Times New Roman" w:eastAsia="Times New Roman" w:hAnsi="Times New Roman" w:cs="Times New Roman"/>
          <w:sz w:val="24"/>
          <w:szCs w:val="24"/>
        </w:rPr>
        <w:t>This supports Liu et al., 2018,’s assertion that interactions with support systems, such as conservation agencies and financial incentives, drive the adoption of conservation practices.</w:t>
      </w:r>
    </w:p>
    <w:p w14:paraId="727E96CD" w14:textId="2D1541D4" w:rsidR="00BB1FEA" w:rsidRPr="00BB1FEA" w:rsidRDefault="3865292A" w:rsidP="00EF76E0">
      <w:pPr>
        <w:spacing w:line="240" w:lineRule="auto"/>
        <w:ind w:right="-180"/>
        <w:jc w:val="both"/>
        <w:rPr>
          <w:rFonts w:ascii="Times New Roman" w:eastAsia="Times New Roman" w:hAnsi="Times New Roman" w:cs="Times New Roman"/>
          <w:sz w:val="24"/>
          <w:szCs w:val="24"/>
        </w:rPr>
      </w:pPr>
      <w:r w:rsidRPr="13E78BCC">
        <w:rPr>
          <w:rFonts w:ascii="Times New Roman" w:eastAsia="Times New Roman" w:hAnsi="Times New Roman" w:cs="Times New Roman"/>
          <w:b/>
          <w:bCs/>
          <w:sz w:val="24"/>
          <w:szCs w:val="24"/>
        </w:rPr>
        <w:t>Theme 5: Perceived Problems and Co-Benefits:</w:t>
      </w:r>
      <w:r w:rsidR="22EFD902" w:rsidRPr="13E78BCC">
        <w:rPr>
          <w:rFonts w:ascii="Times New Roman" w:eastAsia="Times New Roman" w:hAnsi="Times New Roman" w:cs="Times New Roman"/>
          <w:sz w:val="24"/>
          <w:szCs w:val="24"/>
        </w:rPr>
        <w:t xml:space="preserve"> </w:t>
      </w:r>
      <w:r w:rsidRPr="13E78BCC">
        <w:rPr>
          <w:rFonts w:ascii="Times New Roman" w:eastAsia="Times New Roman" w:hAnsi="Times New Roman" w:cs="Times New Roman"/>
          <w:sz w:val="24"/>
          <w:szCs w:val="24"/>
        </w:rPr>
        <w:t xml:space="preserve">Farmers shared that </w:t>
      </w:r>
      <w:r w:rsidR="3ADFA753" w:rsidRPr="13E78BCC">
        <w:rPr>
          <w:rFonts w:ascii="Times New Roman" w:eastAsia="Times New Roman" w:hAnsi="Times New Roman" w:cs="Times New Roman"/>
          <w:sz w:val="24"/>
          <w:szCs w:val="24"/>
        </w:rPr>
        <w:t>concerns about environmental degradation and potential health risks often influenced their motivation to adopt water conservation Best Management Practices (BMPs)</w:t>
      </w:r>
      <w:r w:rsidRPr="13E78BCC">
        <w:rPr>
          <w:rFonts w:ascii="Times New Roman" w:eastAsia="Times New Roman" w:hAnsi="Times New Roman" w:cs="Times New Roman"/>
          <w:sz w:val="24"/>
          <w:szCs w:val="24"/>
        </w:rPr>
        <w:t xml:space="preserve">. These perceived challenges served as strong motivating factors in their decision-making processes. One farmer mentioned, </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i/>
          <w:iCs/>
          <w:sz w:val="24"/>
          <w:szCs w:val="24"/>
        </w:rPr>
        <w:t xml:space="preserve">We had a dry year. So that pushed me. The dry year </w:t>
      </w:r>
      <w:proofErr w:type="gramStart"/>
      <w:r w:rsidRPr="13E78BCC">
        <w:rPr>
          <w:rFonts w:ascii="Times New Roman" w:eastAsia="Times New Roman" w:hAnsi="Times New Roman" w:cs="Times New Roman"/>
          <w:i/>
          <w:iCs/>
          <w:sz w:val="24"/>
          <w:szCs w:val="24"/>
        </w:rPr>
        <w:t>actually pushed</w:t>
      </w:r>
      <w:proofErr w:type="gramEnd"/>
      <w:r w:rsidRPr="13E78BCC">
        <w:rPr>
          <w:rFonts w:ascii="Times New Roman" w:eastAsia="Times New Roman" w:hAnsi="Times New Roman" w:cs="Times New Roman"/>
          <w:i/>
          <w:iCs/>
          <w:sz w:val="24"/>
          <w:szCs w:val="24"/>
        </w:rPr>
        <w:t xml:space="preserve"> me. I was in middle. That was the push to adopt.</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sz w:val="24"/>
          <w:szCs w:val="24"/>
        </w:rPr>
        <w:t xml:space="preserve"> Another farmer noted, </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i/>
          <w:iCs/>
          <w:sz w:val="24"/>
          <w:szCs w:val="24"/>
        </w:rPr>
        <w:t xml:space="preserve">When I got my cancer nine years ago, it was multiple myeloma. And my wife said to the doctor, what causes that? And he </w:t>
      </w:r>
      <w:proofErr w:type="gramStart"/>
      <w:r w:rsidRPr="13E78BCC">
        <w:rPr>
          <w:rFonts w:ascii="Times New Roman" w:eastAsia="Times New Roman" w:hAnsi="Times New Roman" w:cs="Times New Roman"/>
          <w:i/>
          <w:iCs/>
          <w:sz w:val="24"/>
          <w:szCs w:val="24"/>
        </w:rPr>
        <w:t>said</w:t>
      </w:r>
      <w:proofErr w:type="gramEnd"/>
      <w:r w:rsidRPr="13E78BCC">
        <w:rPr>
          <w:rFonts w:ascii="Times New Roman" w:eastAsia="Times New Roman" w:hAnsi="Times New Roman" w:cs="Times New Roman"/>
          <w:i/>
          <w:iCs/>
          <w:sz w:val="24"/>
          <w:szCs w:val="24"/>
        </w:rPr>
        <w:t xml:space="preserve">. We </w:t>
      </w:r>
      <w:r w:rsidR="002B4139">
        <w:rPr>
          <w:rFonts w:ascii="Times New Roman" w:eastAsia="Times New Roman" w:hAnsi="Times New Roman" w:cs="Times New Roman"/>
          <w:i/>
          <w:iCs/>
          <w:sz w:val="24"/>
          <w:szCs w:val="24"/>
        </w:rPr>
        <w:t>don't</w:t>
      </w:r>
      <w:r w:rsidRPr="13E78BCC">
        <w:rPr>
          <w:rFonts w:ascii="Times New Roman" w:eastAsia="Times New Roman" w:hAnsi="Times New Roman" w:cs="Times New Roman"/>
          <w:i/>
          <w:iCs/>
          <w:sz w:val="24"/>
          <w:szCs w:val="24"/>
        </w:rPr>
        <w:t xml:space="preserve"> know. We think it might be sprays.</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sz w:val="24"/>
          <w:szCs w:val="24"/>
        </w:rPr>
        <w:t xml:space="preserve"> These reflections suggest that awareness of environmental and health-related problems can </w:t>
      </w:r>
      <w:r w:rsidR="1B7E3581" w:rsidRPr="13E78BCC">
        <w:rPr>
          <w:rFonts w:ascii="Times New Roman" w:eastAsia="Times New Roman" w:hAnsi="Times New Roman" w:cs="Times New Roman"/>
          <w:sz w:val="24"/>
          <w:szCs w:val="24"/>
        </w:rPr>
        <w:t>be</w:t>
      </w:r>
      <w:r w:rsidRPr="13E78BCC">
        <w:rPr>
          <w:rFonts w:ascii="Times New Roman" w:eastAsia="Times New Roman" w:hAnsi="Times New Roman" w:cs="Times New Roman"/>
          <w:sz w:val="24"/>
          <w:szCs w:val="24"/>
        </w:rPr>
        <w:t xml:space="preserve"> powerful triggers for conservation action. In addition to these concerns, the perceived benefits of implementing BMPs also played a role in adoption. One farmer explained, </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i/>
          <w:iCs/>
          <w:sz w:val="24"/>
          <w:szCs w:val="24"/>
        </w:rPr>
        <w:t>So what made me start doing it was soil quality.</w:t>
      </w:r>
      <w:r w:rsidR="002B4139">
        <w:rPr>
          <w:rFonts w:ascii="Times New Roman" w:eastAsia="Times New Roman" w:hAnsi="Times New Roman" w:cs="Times New Roman"/>
          <w:i/>
          <w:iCs/>
          <w:sz w:val="24"/>
          <w:szCs w:val="24"/>
        </w:rPr>
        <w:t>"</w:t>
      </w:r>
      <w:r w:rsidRPr="13E78BCC">
        <w:rPr>
          <w:rFonts w:ascii="Times New Roman" w:eastAsia="Times New Roman" w:hAnsi="Times New Roman" w:cs="Times New Roman"/>
          <w:sz w:val="24"/>
          <w:szCs w:val="24"/>
        </w:rPr>
        <w:t xml:space="preserve"> This indicates that positive outcomes, such as improved soil conditions, also contribute to </w:t>
      </w:r>
      <w:r w:rsidR="002B4139">
        <w:rPr>
          <w:rFonts w:ascii="Times New Roman" w:eastAsia="Times New Roman" w:hAnsi="Times New Roman" w:cs="Times New Roman"/>
          <w:sz w:val="24"/>
          <w:szCs w:val="24"/>
        </w:rPr>
        <w:t>farmers'</w:t>
      </w:r>
      <w:r w:rsidRPr="13E78BCC">
        <w:rPr>
          <w:rFonts w:ascii="Times New Roman" w:eastAsia="Times New Roman" w:hAnsi="Times New Roman" w:cs="Times New Roman"/>
          <w:sz w:val="24"/>
          <w:szCs w:val="24"/>
        </w:rPr>
        <w:t xml:space="preserve"> willingness to engage in conservation practices.</w:t>
      </w:r>
    </w:p>
    <w:p w14:paraId="05112221" w14:textId="5CDF67D6" w:rsidR="00FC1DC9" w:rsidRDefault="5409643E" w:rsidP="00EF76E0">
      <w:pPr>
        <w:spacing w:after="0" w:line="240" w:lineRule="auto"/>
        <w:ind w:right="-180"/>
        <w:jc w:val="center"/>
        <w:textAlignment w:val="baseline"/>
        <w:rPr>
          <w:rFonts w:ascii="Times New Roman" w:eastAsia="Times New Roman" w:hAnsi="Times New Roman" w:cs="Times New Roman"/>
          <w:b/>
          <w:bCs/>
          <w:sz w:val="24"/>
          <w:szCs w:val="24"/>
        </w:rPr>
      </w:pPr>
      <w:r w:rsidRPr="13E78BCC">
        <w:rPr>
          <w:rFonts w:ascii="Times New Roman" w:eastAsia="Times New Roman" w:hAnsi="Times New Roman" w:cs="Times New Roman"/>
          <w:b/>
          <w:bCs/>
          <w:sz w:val="24"/>
          <w:szCs w:val="24"/>
        </w:rPr>
        <w:t>Conclusion</w:t>
      </w:r>
      <w:r w:rsidR="35E62E9F" w:rsidRPr="13E78BCC">
        <w:rPr>
          <w:rFonts w:ascii="Times New Roman" w:eastAsia="Times New Roman" w:hAnsi="Times New Roman" w:cs="Times New Roman"/>
          <w:b/>
          <w:bCs/>
          <w:sz w:val="24"/>
          <w:szCs w:val="24"/>
        </w:rPr>
        <w:t>s</w:t>
      </w:r>
      <w:r w:rsidR="59B79A62" w:rsidRPr="13E78BCC">
        <w:rPr>
          <w:rFonts w:ascii="Times New Roman" w:eastAsia="Times New Roman" w:hAnsi="Times New Roman" w:cs="Times New Roman"/>
          <w:b/>
          <w:bCs/>
          <w:sz w:val="24"/>
          <w:szCs w:val="24"/>
        </w:rPr>
        <w:t xml:space="preserve"> and Recommendations</w:t>
      </w:r>
    </w:p>
    <w:p w14:paraId="0F50D5DC" w14:textId="1C17E954" w:rsidR="00FC1DC9" w:rsidRDefault="0019584C" w:rsidP="00EF76E0">
      <w:pPr>
        <w:spacing w:after="0" w:line="240" w:lineRule="auto"/>
        <w:ind w:right="-180"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summary, the decision to adopt water conservation BMPs is influenced by various socio-psychological factors, including strong personal beliefs, trusted social networks, systemic support, practical and financial viability, and awareness of environmental issues. Farmers are motivated by their operational realities, community dynamics, and core values rather than simply following orders or incentives. Their commitment to adoption is supported by reliable information, visible results, and alignment with individual and broader ecological goals. Perceived co-benefits (additional benefits of BMP adoption beyond water conservation), such as food safety and soil health, are just as important as structural support, like policies and market forces. These themes emphasize the complexity, coexistence, and interdependence of internal and external motivators for water conservation BMP adoption. </w:t>
      </w:r>
    </w:p>
    <w:p w14:paraId="1F6F75D1" w14:textId="77777777" w:rsidR="002876A0" w:rsidRDefault="00334E6C" w:rsidP="00EF76E0">
      <w:pPr>
        <w:spacing w:after="0" w:line="240" w:lineRule="auto"/>
        <w:ind w:right="-18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findings from this study, we recommend that</w:t>
      </w:r>
      <w:r w:rsidR="002876A0">
        <w:rPr>
          <w:rFonts w:ascii="Times New Roman" w:eastAsia="Times New Roman" w:hAnsi="Times New Roman" w:cs="Times New Roman"/>
          <w:sz w:val="24"/>
          <w:szCs w:val="24"/>
        </w:rPr>
        <w:t>:</w:t>
      </w:r>
    </w:p>
    <w:p w14:paraId="6267F7C0" w14:textId="77777777" w:rsidR="007C4D84" w:rsidRPr="00624E6F" w:rsidRDefault="007C4D84" w:rsidP="00EF76E0">
      <w:pPr>
        <w:pStyle w:val="ListParagraph"/>
        <w:numPr>
          <w:ilvl w:val="0"/>
          <w:numId w:val="6"/>
        </w:numPr>
        <w:spacing w:after="0" w:line="240" w:lineRule="auto"/>
        <w:ind w:left="0" w:right="-180"/>
        <w:jc w:val="both"/>
        <w:rPr>
          <w:rFonts w:ascii="Times New Roman" w:hAnsi="Times New Roman" w:cs="Times New Roman"/>
          <w:color w:val="000000" w:themeColor="text1"/>
          <w:sz w:val="24"/>
          <w:szCs w:val="24"/>
        </w:rPr>
      </w:pPr>
      <w:r w:rsidRPr="00624E6F">
        <w:rPr>
          <w:rFonts w:ascii="Times New Roman" w:eastAsia="Times New Roman" w:hAnsi="Times New Roman" w:cs="Times New Roman"/>
          <w:color w:val="000000" w:themeColor="text1"/>
          <w:sz w:val="24"/>
          <w:szCs w:val="24"/>
        </w:rPr>
        <w:t>Conservation professionals and extension educators promoting water conservation best management practices (BMPs) should focus on integrating strategies that foster both internal (psychological/intrinsic) and external motivators for adoption.</w:t>
      </w:r>
    </w:p>
    <w:p w14:paraId="5DCA51EB" w14:textId="77777777" w:rsidR="007C4D84" w:rsidRPr="00624E6F" w:rsidRDefault="007C4D84" w:rsidP="00EF76E0">
      <w:pPr>
        <w:pStyle w:val="ListParagraph"/>
        <w:numPr>
          <w:ilvl w:val="0"/>
          <w:numId w:val="6"/>
        </w:numPr>
        <w:spacing w:after="0" w:line="240" w:lineRule="auto"/>
        <w:ind w:left="0" w:right="-180"/>
        <w:jc w:val="both"/>
        <w:rPr>
          <w:rFonts w:ascii="Times New Roman" w:hAnsi="Times New Roman" w:cs="Times New Roman"/>
          <w:color w:val="000000" w:themeColor="text1"/>
          <w:sz w:val="24"/>
          <w:szCs w:val="24"/>
        </w:rPr>
      </w:pPr>
      <w:r w:rsidRPr="00624E6F">
        <w:rPr>
          <w:rFonts w:ascii="Times New Roman" w:hAnsi="Times New Roman" w:cs="Times New Roman"/>
          <w:color w:val="000000" w:themeColor="text1"/>
          <w:sz w:val="24"/>
          <w:szCs w:val="24"/>
        </w:rPr>
        <w:t>Extension educators can greatly boost the adoption of conservation practices by utilizing the trust and credibility of existing social networks as motivators. A key approach is to emphasize peer-to-peer learning, which provides an effective and practical social learning model for both education and encouragement.</w:t>
      </w:r>
    </w:p>
    <w:p w14:paraId="6B558E50" w14:textId="77777777" w:rsidR="00624E6F" w:rsidRPr="00624E6F" w:rsidRDefault="00624E6F" w:rsidP="00100E09">
      <w:pPr>
        <w:pStyle w:val="ListParagraph"/>
        <w:numPr>
          <w:ilvl w:val="0"/>
          <w:numId w:val="6"/>
        </w:numPr>
        <w:spacing w:after="0" w:line="240" w:lineRule="auto"/>
        <w:ind w:left="0" w:right="-180"/>
        <w:jc w:val="both"/>
        <w:textAlignment w:val="baseline"/>
        <w:rPr>
          <w:rFonts w:ascii="Times New Roman" w:hAnsi="Times New Roman" w:cs="Times New Roman"/>
          <w:color w:val="000000" w:themeColor="text1"/>
          <w:sz w:val="24"/>
          <w:szCs w:val="24"/>
        </w:rPr>
      </w:pPr>
      <w:r w:rsidRPr="00624E6F">
        <w:rPr>
          <w:rFonts w:ascii="Times New Roman" w:eastAsia="Times New Roman" w:hAnsi="Times New Roman" w:cs="Times New Roman"/>
          <w:color w:val="000000" w:themeColor="text1"/>
          <w:sz w:val="24"/>
          <w:szCs w:val="24"/>
        </w:rPr>
        <w:lastRenderedPageBreak/>
        <w:t>Extension educators can focus on practical, applied social learning methods, such as peer-to-peer networks, by promoting and teaching the adoption of conservation practices while leveraging the trust and credibility within their own social networks.</w:t>
      </w:r>
    </w:p>
    <w:p w14:paraId="616DF447" w14:textId="1882C1E8" w:rsidR="00624E6F" w:rsidRPr="00624E6F" w:rsidRDefault="00624E6F" w:rsidP="00100E09">
      <w:pPr>
        <w:pStyle w:val="ListParagraph"/>
        <w:numPr>
          <w:ilvl w:val="0"/>
          <w:numId w:val="6"/>
        </w:numPr>
        <w:spacing w:after="0" w:line="240" w:lineRule="auto"/>
        <w:ind w:left="0" w:right="-180"/>
        <w:jc w:val="both"/>
        <w:textAlignment w:val="baseline"/>
        <w:rPr>
          <w:rFonts w:ascii="Times New Roman" w:hAnsi="Times New Roman" w:cs="Times New Roman"/>
          <w:color w:val="000000" w:themeColor="text1"/>
          <w:sz w:val="24"/>
          <w:szCs w:val="24"/>
        </w:rPr>
      </w:pPr>
      <w:r w:rsidRPr="00624E6F">
        <w:rPr>
          <w:rFonts w:ascii="Times New Roman" w:hAnsi="Times New Roman" w:cs="Times New Roman"/>
          <w:color w:val="000000" w:themeColor="text1"/>
          <w:sz w:val="24"/>
          <w:szCs w:val="24"/>
        </w:rPr>
        <w:t>An extension program that best supports and sustains farmers' intrinsic and environmental values should be introduced when designing conservation programs, e.g., offering flexibility rather than being prescriptive.</w:t>
      </w:r>
    </w:p>
    <w:p w14:paraId="7FEB83C8" w14:textId="2CE828B2" w:rsidR="00413EBE" w:rsidRPr="00624E6F" w:rsidRDefault="00100E09" w:rsidP="00100E09">
      <w:pPr>
        <w:pStyle w:val="ListParagraph"/>
        <w:numPr>
          <w:ilvl w:val="0"/>
          <w:numId w:val="6"/>
        </w:numPr>
        <w:spacing w:after="0" w:line="240" w:lineRule="auto"/>
        <w:ind w:left="0" w:right="-180"/>
        <w:jc w:val="both"/>
        <w:textAlignment w:val="baseline"/>
        <w:rPr>
          <w:rFonts w:ascii="Times New Roman" w:hAnsi="Times New Roman" w:cs="Times New Roman"/>
          <w:color w:val="000000" w:themeColor="text1"/>
          <w:sz w:val="24"/>
          <w:szCs w:val="24"/>
        </w:rPr>
      </w:pPr>
      <w:r w:rsidRPr="00624E6F">
        <w:rPr>
          <w:rFonts w:ascii="Times New Roman" w:hAnsi="Times New Roman" w:cs="Times New Roman"/>
          <w:color w:val="000000" w:themeColor="text1"/>
          <w:sz w:val="24"/>
          <w:szCs w:val="24"/>
        </w:rPr>
        <w:t>Since farmers are motivated by the co-benefits of adopting conservation practices, programs that reward measurable outcomes should be prioritized over those that prescribe a specific practice.</w:t>
      </w:r>
    </w:p>
    <w:p w14:paraId="05F0009A" w14:textId="77777777" w:rsidR="00624E6F" w:rsidRPr="00100E09" w:rsidRDefault="00624E6F" w:rsidP="00624E6F">
      <w:pPr>
        <w:pStyle w:val="ListParagraph"/>
        <w:spacing w:after="0" w:line="240" w:lineRule="auto"/>
        <w:ind w:left="0" w:right="-180"/>
        <w:jc w:val="both"/>
        <w:textAlignment w:val="baseline"/>
        <w:rPr>
          <w:rFonts w:ascii="Times New Roman" w:hAnsi="Times New Roman" w:cs="Times New Roman"/>
          <w:color w:val="EE0000"/>
          <w:sz w:val="24"/>
          <w:szCs w:val="24"/>
        </w:rPr>
      </w:pPr>
    </w:p>
    <w:p w14:paraId="7D6C28A9" w14:textId="242C8F6F" w:rsidR="00BB1FEA" w:rsidRPr="00BB1FEA" w:rsidRDefault="3865292A" w:rsidP="00EF76E0">
      <w:pPr>
        <w:spacing w:after="0" w:line="240" w:lineRule="auto"/>
        <w:ind w:right="-180"/>
        <w:jc w:val="center"/>
        <w:textAlignment w:val="baseline"/>
        <w:rPr>
          <w:rFonts w:ascii="Times New Roman" w:eastAsia="Times New Roman" w:hAnsi="Times New Roman" w:cs="Times New Roman"/>
          <w:sz w:val="24"/>
          <w:szCs w:val="24"/>
        </w:rPr>
      </w:pPr>
      <w:r w:rsidRPr="13E78BCC">
        <w:rPr>
          <w:rFonts w:ascii="Times New Roman" w:eastAsia="Times New Roman" w:hAnsi="Times New Roman" w:cs="Times New Roman"/>
          <w:b/>
          <w:bCs/>
          <w:sz w:val="24"/>
          <w:szCs w:val="24"/>
        </w:rPr>
        <w:t>References</w:t>
      </w:r>
    </w:p>
    <w:p w14:paraId="5FB47E90" w14:textId="3A9BD73B" w:rsidR="00CF3DAB" w:rsidRPr="00212F9B" w:rsidRDefault="00D32FB9" w:rsidP="00EF76E0">
      <w:pPr>
        <w:spacing w:after="0" w:line="240" w:lineRule="auto"/>
        <w:ind w:right="-180" w:hanging="630"/>
        <w:jc w:val="both"/>
        <w:rPr>
          <w:rFonts w:ascii="Times New Roman" w:hAnsi="Times New Roman" w:cs="Times New Roman"/>
          <w:sz w:val="24"/>
          <w:szCs w:val="24"/>
        </w:rPr>
      </w:pPr>
      <w:r>
        <w:rPr>
          <w:rFonts w:ascii="Times New Roman" w:hAnsi="Times New Roman" w:cs="Times New Roman"/>
          <w:sz w:val="24"/>
          <w:szCs w:val="24"/>
        </w:rPr>
        <w:t>Pennsylvania</w:t>
      </w:r>
      <w:r w:rsidR="007B1B44">
        <w:rPr>
          <w:rFonts w:ascii="Times New Roman" w:hAnsi="Times New Roman" w:cs="Times New Roman"/>
          <w:sz w:val="24"/>
          <w:szCs w:val="24"/>
        </w:rPr>
        <w:t xml:space="preserve"> </w:t>
      </w:r>
      <w:r w:rsidR="00CF3DAB" w:rsidRPr="01F5E783">
        <w:rPr>
          <w:rFonts w:ascii="Times New Roman" w:hAnsi="Times New Roman" w:cs="Times New Roman"/>
          <w:sz w:val="24"/>
          <w:szCs w:val="24"/>
        </w:rPr>
        <w:t xml:space="preserve">Department of Environmental Protection. (2025). </w:t>
      </w:r>
      <w:r w:rsidR="00CF3DAB" w:rsidRPr="01F5E783">
        <w:rPr>
          <w:rFonts w:ascii="Times New Roman" w:hAnsi="Times New Roman" w:cs="Times New Roman"/>
          <w:i/>
          <w:iCs/>
          <w:sz w:val="24"/>
          <w:szCs w:val="24"/>
        </w:rPr>
        <w:t>Farms and the Bay</w:t>
      </w:r>
      <w:r w:rsidR="00CF3DAB" w:rsidRPr="01F5E783">
        <w:rPr>
          <w:rFonts w:ascii="Times New Roman" w:hAnsi="Times New Roman" w:cs="Times New Roman"/>
          <w:sz w:val="24"/>
          <w:szCs w:val="24"/>
        </w:rPr>
        <w:t xml:space="preserve">. Retrieved May 25, 2025, from </w:t>
      </w:r>
      <w:hyperlink r:id="rId7">
        <w:r w:rsidR="00CF3DAB" w:rsidRPr="01F5E783">
          <w:rPr>
            <w:rStyle w:val="Hyperlink"/>
            <w:rFonts w:ascii="Times New Roman" w:hAnsi="Times New Roman" w:cs="Times New Roman"/>
            <w:sz w:val="24"/>
            <w:szCs w:val="24"/>
          </w:rPr>
          <w:t>https://www.pa.gov/agencies/dep/programs-and-services/water/bwrnsm/bay-restoration/farms-and-the-bay.html</w:t>
        </w:r>
      </w:hyperlink>
    </w:p>
    <w:p w14:paraId="7D7CCD1E" w14:textId="77777777" w:rsidR="00CF3DAB" w:rsidRPr="00D018F8" w:rsidRDefault="00CF3DAB" w:rsidP="00EF76E0">
      <w:pPr>
        <w:spacing w:after="0" w:line="240" w:lineRule="auto"/>
        <w:ind w:right="-180" w:hanging="630"/>
        <w:jc w:val="both"/>
        <w:rPr>
          <w:rFonts w:ascii="Times New Roman" w:hAnsi="Times New Roman" w:cs="Times New Roman"/>
          <w:sz w:val="24"/>
          <w:szCs w:val="24"/>
          <w:lang w:val="de-DE"/>
        </w:rPr>
      </w:pPr>
      <w:r w:rsidRPr="01F5E783">
        <w:rPr>
          <w:rFonts w:ascii="Times New Roman" w:hAnsi="Times New Roman" w:cs="Times New Roman"/>
          <w:sz w:val="24"/>
          <w:szCs w:val="24"/>
        </w:rPr>
        <w:t xml:space="preserve">Ajzen, I. (1991). The theory of planned behavior. </w:t>
      </w:r>
      <w:r w:rsidRPr="01F5E783">
        <w:rPr>
          <w:rFonts w:ascii="Times New Roman" w:hAnsi="Times New Roman" w:cs="Times New Roman"/>
          <w:i/>
          <w:iCs/>
          <w:sz w:val="24"/>
          <w:szCs w:val="24"/>
        </w:rPr>
        <w:t>Organizational Behavior and Human Decision Processes, 50</w:t>
      </w:r>
      <w:r w:rsidRPr="01F5E783">
        <w:rPr>
          <w:rFonts w:ascii="Times New Roman" w:hAnsi="Times New Roman" w:cs="Times New Roman"/>
          <w:sz w:val="24"/>
          <w:szCs w:val="24"/>
        </w:rPr>
        <w:t xml:space="preserve">, 179–211. </w:t>
      </w:r>
      <w:hyperlink r:id="rId8">
        <w:r w:rsidRPr="00D018F8">
          <w:rPr>
            <w:rStyle w:val="Hyperlink"/>
            <w:rFonts w:ascii="Times New Roman" w:hAnsi="Times New Roman" w:cs="Times New Roman"/>
            <w:sz w:val="24"/>
            <w:szCs w:val="24"/>
            <w:lang w:val="de-DE"/>
          </w:rPr>
          <w:t>https://doi.org/10.1016/0749-5978(91)90020-T</w:t>
        </w:r>
      </w:hyperlink>
    </w:p>
    <w:p w14:paraId="37D5F0D5" w14:textId="77777777" w:rsidR="00CF3DAB" w:rsidRPr="00212F9B" w:rsidRDefault="00CF3DAB" w:rsidP="00EF76E0">
      <w:pPr>
        <w:spacing w:after="0" w:line="240" w:lineRule="auto"/>
        <w:ind w:right="-180" w:hanging="630"/>
        <w:jc w:val="both"/>
        <w:rPr>
          <w:rFonts w:ascii="Times New Roman" w:hAnsi="Times New Roman" w:cs="Times New Roman"/>
          <w:sz w:val="24"/>
          <w:szCs w:val="24"/>
        </w:rPr>
      </w:pPr>
      <w:r w:rsidRPr="00D018F8">
        <w:rPr>
          <w:rFonts w:ascii="Times New Roman" w:hAnsi="Times New Roman" w:cs="Times New Roman"/>
          <w:sz w:val="24"/>
          <w:szCs w:val="24"/>
          <w:lang w:val="de-DE"/>
        </w:rPr>
        <w:t xml:space="preserve">Amin, A., Hennchen, M., &amp; Naspetti, S. (2024). </w:t>
      </w:r>
      <w:r w:rsidRPr="01F5E783">
        <w:rPr>
          <w:rFonts w:ascii="Times New Roman" w:hAnsi="Times New Roman" w:cs="Times New Roman"/>
          <w:sz w:val="24"/>
          <w:szCs w:val="24"/>
        </w:rPr>
        <w:t xml:space="preserve">Understanding drivers of by-product </w:t>
      </w:r>
      <w:proofErr w:type="spellStart"/>
      <w:r w:rsidRPr="01F5E783">
        <w:rPr>
          <w:rFonts w:ascii="Times New Roman" w:hAnsi="Times New Roman" w:cs="Times New Roman"/>
          <w:sz w:val="24"/>
          <w:szCs w:val="24"/>
        </w:rPr>
        <w:t>valorisation</w:t>
      </w:r>
      <w:proofErr w:type="spellEnd"/>
      <w:r w:rsidRPr="01F5E783">
        <w:rPr>
          <w:rFonts w:ascii="Times New Roman" w:hAnsi="Times New Roman" w:cs="Times New Roman"/>
          <w:sz w:val="24"/>
          <w:szCs w:val="24"/>
        </w:rPr>
        <w:t xml:space="preserve">: A value-belief-norm approach to circular practices among fruit and vegetable farmers. </w:t>
      </w:r>
      <w:r w:rsidRPr="01F5E783">
        <w:rPr>
          <w:rFonts w:ascii="Times New Roman" w:hAnsi="Times New Roman" w:cs="Times New Roman"/>
          <w:i/>
          <w:iCs/>
          <w:sz w:val="24"/>
          <w:szCs w:val="24"/>
        </w:rPr>
        <w:t>Sustainable Production and Consumption, 38</w:t>
      </w:r>
      <w:r w:rsidRPr="01F5E783">
        <w:rPr>
          <w:rFonts w:ascii="Times New Roman" w:hAnsi="Times New Roman" w:cs="Times New Roman"/>
          <w:sz w:val="24"/>
          <w:szCs w:val="24"/>
        </w:rPr>
        <w:t xml:space="preserve">, 445–456. </w:t>
      </w:r>
      <w:hyperlink r:id="rId9">
        <w:r w:rsidRPr="01F5E783">
          <w:rPr>
            <w:rStyle w:val="Hyperlink"/>
            <w:rFonts w:ascii="Times New Roman" w:hAnsi="Times New Roman" w:cs="Times New Roman"/>
            <w:sz w:val="24"/>
            <w:szCs w:val="24"/>
          </w:rPr>
          <w:t>https://doi.org/10.1016/j.spc.2023.12.011</w:t>
        </w:r>
      </w:hyperlink>
    </w:p>
    <w:p w14:paraId="2584FBD0" w14:textId="77777777" w:rsidR="00CF3DAB" w:rsidRPr="00212F9B" w:rsidRDefault="00CF3DAB" w:rsidP="00EF76E0">
      <w:pPr>
        <w:spacing w:after="0" w:line="240" w:lineRule="auto"/>
        <w:ind w:right="-180" w:hanging="630"/>
        <w:jc w:val="both"/>
        <w:rPr>
          <w:rFonts w:ascii="Times New Roman" w:hAnsi="Times New Roman" w:cs="Times New Roman"/>
          <w:sz w:val="24"/>
          <w:szCs w:val="24"/>
        </w:rPr>
      </w:pPr>
      <w:proofErr w:type="spellStart"/>
      <w:r w:rsidRPr="01F5E783">
        <w:rPr>
          <w:rFonts w:ascii="Times New Roman" w:hAnsi="Times New Roman" w:cs="Times New Roman"/>
          <w:sz w:val="24"/>
          <w:szCs w:val="24"/>
        </w:rPr>
        <w:t>Babuji</w:t>
      </w:r>
      <w:proofErr w:type="spellEnd"/>
      <w:r w:rsidRPr="01F5E783">
        <w:rPr>
          <w:rFonts w:ascii="Times New Roman" w:hAnsi="Times New Roman" w:cs="Times New Roman"/>
          <w:sz w:val="24"/>
          <w:szCs w:val="24"/>
        </w:rPr>
        <w:t xml:space="preserve">, P., </w:t>
      </w:r>
      <w:proofErr w:type="spellStart"/>
      <w:r w:rsidRPr="01F5E783">
        <w:rPr>
          <w:rFonts w:ascii="Times New Roman" w:hAnsi="Times New Roman" w:cs="Times New Roman"/>
          <w:sz w:val="24"/>
          <w:szCs w:val="24"/>
        </w:rPr>
        <w:t>Thirumalaisamy</w:t>
      </w:r>
      <w:proofErr w:type="spellEnd"/>
      <w:r w:rsidRPr="01F5E783">
        <w:rPr>
          <w:rFonts w:ascii="Times New Roman" w:hAnsi="Times New Roman" w:cs="Times New Roman"/>
          <w:sz w:val="24"/>
          <w:szCs w:val="24"/>
        </w:rPr>
        <w:t xml:space="preserve">, S., Duraisamy, K., &amp; Periyasamy, G. (2023). Human health risks due to exposure to water pollution: A review. </w:t>
      </w:r>
      <w:r w:rsidRPr="01F5E783">
        <w:rPr>
          <w:rFonts w:ascii="Times New Roman" w:hAnsi="Times New Roman" w:cs="Times New Roman"/>
          <w:i/>
          <w:iCs/>
          <w:sz w:val="24"/>
          <w:szCs w:val="24"/>
        </w:rPr>
        <w:t>Water, 15</w:t>
      </w:r>
      <w:r w:rsidRPr="01F5E783">
        <w:rPr>
          <w:rFonts w:ascii="Times New Roman" w:hAnsi="Times New Roman" w:cs="Times New Roman"/>
          <w:sz w:val="24"/>
          <w:szCs w:val="24"/>
        </w:rPr>
        <w:t xml:space="preserve">(14), Article 2532. </w:t>
      </w:r>
      <w:hyperlink r:id="rId10">
        <w:r w:rsidRPr="01F5E783">
          <w:rPr>
            <w:rStyle w:val="Hyperlink"/>
            <w:rFonts w:ascii="Times New Roman" w:hAnsi="Times New Roman" w:cs="Times New Roman"/>
            <w:sz w:val="24"/>
            <w:szCs w:val="24"/>
          </w:rPr>
          <w:t>https://doi.org/10.3390/w15142532</w:t>
        </w:r>
      </w:hyperlink>
    </w:p>
    <w:p w14:paraId="7A22F8A6" w14:textId="1FCA60AA" w:rsidR="1F65EAB5" w:rsidRDefault="1F65EAB5" w:rsidP="00EF76E0">
      <w:pPr>
        <w:spacing w:after="0" w:line="240" w:lineRule="auto"/>
        <w:ind w:right="-180" w:hanging="630"/>
        <w:jc w:val="both"/>
        <w:rPr>
          <w:rFonts w:ascii="Times New Roman" w:eastAsia="Times New Roman" w:hAnsi="Times New Roman" w:cs="Times New Roman"/>
          <w:sz w:val="24"/>
          <w:szCs w:val="24"/>
        </w:rPr>
      </w:pPr>
      <w:r w:rsidRPr="096975FB">
        <w:rPr>
          <w:rFonts w:ascii="Times New Roman" w:hAnsi="Times New Roman" w:cs="Times New Roman"/>
          <w:sz w:val="24"/>
          <w:szCs w:val="24"/>
        </w:rPr>
        <w:t xml:space="preserve">Braun, V., &amp; Clarke, V. (2015). Thematic analysis. In H. Cooper et al. (Eds.), </w:t>
      </w:r>
      <w:r w:rsidRPr="096975FB">
        <w:rPr>
          <w:rFonts w:ascii="Times New Roman" w:hAnsi="Times New Roman" w:cs="Times New Roman"/>
          <w:i/>
          <w:iCs/>
          <w:sz w:val="24"/>
          <w:szCs w:val="24"/>
        </w:rPr>
        <w:t>APA handbook of research methods in psychology, Vol. 2: Research designs</w:t>
      </w:r>
      <w:r w:rsidRPr="096975FB">
        <w:rPr>
          <w:rFonts w:ascii="Times New Roman" w:hAnsi="Times New Roman" w:cs="Times New Roman"/>
          <w:sz w:val="24"/>
          <w:szCs w:val="24"/>
        </w:rPr>
        <w:t xml:space="preserve"> (pp. 57–71). APA.</w:t>
      </w:r>
    </w:p>
    <w:p w14:paraId="7C7088AA" w14:textId="008E740A" w:rsidR="5A7458C3" w:rsidRDefault="5A7458C3" w:rsidP="00EF76E0">
      <w:pPr>
        <w:spacing w:after="0" w:line="240" w:lineRule="auto"/>
        <w:ind w:right="-180" w:hanging="630"/>
        <w:jc w:val="both"/>
        <w:rPr>
          <w:rFonts w:ascii="Times New Roman" w:eastAsia="Times New Roman" w:hAnsi="Times New Roman" w:cs="Times New Roman"/>
          <w:sz w:val="24"/>
          <w:szCs w:val="24"/>
        </w:rPr>
      </w:pPr>
      <w:r w:rsidRPr="096975FB">
        <w:rPr>
          <w:rFonts w:ascii="Times New Roman" w:eastAsia="Times New Roman" w:hAnsi="Times New Roman" w:cs="Times New Roman"/>
          <w:sz w:val="24"/>
          <w:szCs w:val="24"/>
        </w:rPr>
        <w:t xml:space="preserve">Chesapeake Bay Program Scientific and Technical Advisory Committee. (2023). </w:t>
      </w:r>
      <w:r w:rsidRPr="096975FB">
        <w:rPr>
          <w:rFonts w:ascii="Times New Roman" w:eastAsia="Times New Roman" w:hAnsi="Times New Roman" w:cs="Times New Roman"/>
          <w:i/>
          <w:iCs/>
          <w:sz w:val="24"/>
          <w:szCs w:val="24"/>
        </w:rPr>
        <w:t>Achieving water quality goals in the Chesapeake Bay: A comprehensive evaluation of system response</w:t>
      </w:r>
      <w:r w:rsidRPr="096975FB">
        <w:rPr>
          <w:rFonts w:ascii="Times New Roman" w:eastAsia="Times New Roman" w:hAnsi="Times New Roman" w:cs="Times New Roman"/>
          <w:sz w:val="24"/>
          <w:szCs w:val="24"/>
        </w:rPr>
        <w:t>. Chesapeake Bay Program. (Report to the Executive Council, October 2, 2023)</w:t>
      </w:r>
    </w:p>
    <w:p w14:paraId="5FD0AF1C" w14:textId="6FFC11E5" w:rsidR="1F65EAB5" w:rsidRDefault="1F65EAB5" w:rsidP="00EF76E0">
      <w:pPr>
        <w:spacing w:after="0" w:line="240" w:lineRule="auto"/>
        <w:ind w:right="-180" w:hanging="630"/>
        <w:jc w:val="both"/>
        <w:rPr>
          <w:rFonts w:ascii="Times New Roman" w:eastAsia="Times New Roman" w:hAnsi="Times New Roman" w:cs="Times New Roman"/>
          <w:sz w:val="24"/>
          <w:szCs w:val="24"/>
        </w:rPr>
      </w:pPr>
      <w:r w:rsidRPr="096975FB">
        <w:rPr>
          <w:rFonts w:ascii="Times New Roman" w:hAnsi="Times New Roman" w:cs="Times New Roman"/>
          <w:sz w:val="24"/>
          <w:szCs w:val="24"/>
        </w:rPr>
        <w:t xml:space="preserve">Congressional Research Service. (2023). </w:t>
      </w:r>
      <w:r w:rsidRPr="096975FB">
        <w:rPr>
          <w:rFonts w:ascii="Times New Roman" w:hAnsi="Times New Roman" w:cs="Times New Roman"/>
          <w:i/>
          <w:iCs/>
          <w:sz w:val="24"/>
          <w:szCs w:val="24"/>
        </w:rPr>
        <w:t>Status of efforts to restore Chesapeake Bay water quality</w:t>
      </w:r>
      <w:r w:rsidRPr="096975FB">
        <w:rPr>
          <w:rFonts w:ascii="Times New Roman" w:hAnsi="Times New Roman" w:cs="Times New Roman"/>
          <w:sz w:val="24"/>
          <w:szCs w:val="24"/>
        </w:rPr>
        <w:t xml:space="preserve"> (Report No. IF11402, Version 3). Retrieved from </w:t>
      </w:r>
      <w:hyperlink r:id="rId11">
        <w:r w:rsidRPr="096975FB">
          <w:rPr>
            <w:rStyle w:val="Hyperlink"/>
            <w:rFonts w:ascii="Times New Roman" w:hAnsi="Times New Roman" w:cs="Times New Roman"/>
            <w:sz w:val="24"/>
            <w:szCs w:val="24"/>
          </w:rPr>
          <w:t>https://crsreports.congress.gov</w:t>
        </w:r>
      </w:hyperlink>
    </w:p>
    <w:p w14:paraId="164A0C8C" w14:textId="793C78C0" w:rsidR="470ABCED" w:rsidRDefault="470ABCED" w:rsidP="00EF76E0">
      <w:pPr>
        <w:spacing w:after="0" w:line="240" w:lineRule="auto"/>
        <w:ind w:right="-180" w:hanging="630"/>
        <w:jc w:val="both"/>
        <w:rPr>
          <w:rFonts w:ascii="Times New Roman" w:eastAsia="Times New Roman" w:hAnsi="Times New Roman" w:cs="Times New Roman"/>
          <w:sz w:val="24"/>
          <w:szCs w:val="24"/>
        </w:rPr>
      </w:pPr>
      <w:r w:rsidRPr="096975FB">
        <w:rPr>
          <w:rFonts w:ascii="Times New Roman" w:eastAsia="Times New Roman" w:hAnsi="Times New Roman" w:cs="Times New Roman"/>
          <w:sz w:val="24"/>
          <w:szCs w:val="24"/>
        </w:rPr>
        <w:t xml:space="preserve">Creswell, J. W., &amp; Poth, C. N. (2018). </w:t>
      </w:r>
      <w:r w:rsidRPr="096975FB">
        <w:rPr>
          <w:rFonts w:ascii="Times New Roman" w:eastAsia="Times New Roman" w:hAnsi="Times New Roman" w:cs="Times New Roman"/>
          <w:i/>
          <w:iCs/>
          <w:sz w:val="24"/>
          <w:szCs w:val="24"/>
        </w:rPr>
        <w:t>Qualitative inquiry and research design: Choosing among five approaches</w:t>
      </w:r>
      <w:r w:rsidRPr="096975FB">
        <w:rPr>
          <w:rFonts w:ascii="Times New Roman" w:eastAsia="Times New Roman" w:hAnsi="Times New Roman" w:cs="Times New Roman"/>
          <w:sz w:val="24"/>
          <w:szCs w:val="24"/>
        </w:rPr>
        <w:t xml:space="preserve"> (4th ed.). SAGE Publications.</w:t>
      </w:r>
    </w:p>
    <w:p w14:paraId="0AD6F1C3" w14:textId="77777777"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Dooley, K. E. (2007). Viewing agricultural education research through a qualitative lens. </w:t>
      </w:r>
      <w:r w:rsidRPr="01F5E783">
        <w:rPr>
          <w:rFonts w:ascii="Times New Roman" w:hAnsi="Times New Roman" w:cs="Times New Roman"/>
          <w:i/>
          <w:iCs/>
          <w:sz w:val="24"/>
          <w:szCs w:val="24"/>
        </w:rPr>
        <w:t>Journal of Agricultural Education, 48</w:t>
      </w:r>
      <w:r w:rsidRPr="01F5E783">
        <w:rPr>
          <w:rFonts w:ascii="Times New Roman" w:hAnsi="Times New Roman" w:cs="Times New Roman"/>
          <w:sz w:val="24"/>
          <w:szCs w:val="24"/>
        </w:rPr>
        <w:t>(4), 32–42.</w:t>
      </w:r>
    </w:p>
    <w:p w14:paraId="6CFEEF16" w14:textId="5B2E69D2" w:rsidR="1F65EAB5" w:rsidRDefault="1F65EAB5" w:rsidP="00EF76E0">
      <w:pPr>
        <w:spacing w:after="0" w:line="240" w:lineRule="auto"/>
        <w:ind w:right="-180" w:hanging="630"/>
        <w:jc w:val="both"/>
        <w:rPr>
          <w:rStyle w:val="Hyperlink"/>
          <w:rFonts w:ascii="Times New Roman" w:eastAsia="Times New Roman" w:hAnsi="Times New Roman" w:cs="Times New Roman"/>
          <w:color w:val="0000FF"/>
          <w:sz w:val="24"/>
          <w:szCs w:val="24"/>
        </w:rPr>
      </w:pPr>
      <w:r w:rsidRPr="096975FB">
        <w:rPr>
          <w:rFonts w:ascii="Times New Roman" w:hAnsi="Times New Roman" w:cs="Times New Roman"/>
          <w:sz w:val="24"/>
          <w:szCs w:val="24"/>
        </w:rPr>
        <w:t xml:space="preserve">Doyle, L., McCabe, C., Keogh, B., Brady, A. M., &amp; McCann, M. (2020). An overview of the qualitative descriptive design within nursing research. </w:t>
      </w:r>
      <w:r w:rsidRPr="096975FB">
        <w:rPr>
          <w:rFonts w:ascii="Times New Roman" w:hAnsi="Times New Roman" w:cs="Times New Roman"/>
          <w:i/>
          <w:iCs/>
          <w:sz w:val="24"/>
          <w:szCs w:val="24"/>
        </w:rPr>
        <w:t>Journal of Research in Nursing, 25</w:t>
      </w:r>
      <w:r w:rsidRPr="096975FB">
        <w:rPr>
          <w:rFonts w:ascii="Times New Roman" w:hAnsi="Times New Roman" w:cs="Times New Roman"/>
          <w:sz w:val="24"/>
          <w:szCs w:val="24"/>
        </w:rPr>
        <w:t>(5), 443–455.</w:t>
      </w:r>
    </w:p>
    <w:p w14:paraId="5043A9EC" w14:textId="5F0FADCD" w:rsidR="316F2771" w:rsidRDefault="316F2771" w:rsidP="00EF76E0">
      <w:pPr>
        <w:spacing w:after="0" w:line="240" w:lineRule="auto"/>
        <w:ind w:right="-180" w:hanging="630"/>
        <w:jc w:val="both"/>
        <w:rPr>
          <w:rStyle w:val="Hyperlink"/>
          <w:rFonts w:ascii="Times New Roman" w:eastAsia="Times New Roman" w:hAnsi="Times New Roman" w:cs="Times New Roman"/>
          <w:color w:val="0000FF"/>
          <w:sz w:val="24"/>
          <w:szCs w:val="24"/>
        </w:rPr>
      </w:pPr>
      <w:r w:rsidRPr="096975FB">
        <w:rPr>
          <w:rFonts w:ascii="Times New Roman" w:eastAsia="Times New Roman" w:hAnsi="Times New Roman" w:cs="Times New Roman"/>
          <w:sz w:val="24"/>
          <w:szCs w:val="24"/>
        </w:rPr>
        <w:t xml:space="preserve">Eanes, F. R., Wardropper, C. B., Ranjan, P., Masuda, Y. J., &amp; Prokopy, L. S. (2020). </w:t>
      </w:r>
      <w:r w:rsidRPr="096975FB">
        <w:rPr>
          <w:rFonts w:ascii="Times New Roman" w:eastAsia="Times New Roman" w:hAnsi="Times New Roman" w:cs="Times New Roman"/>
          <w:i/>
          <w:iCs/>
          <w:sz w:val="24"/>
          <w:szCs w:val="24"/>
        </w:rPr>
        <w:t>Effective engagement techniques across the agricultural conservation practice adoption process</w:t>
      </w:r>
      <w:r w:rsidRPr="096975FB">
        <w:rPr>
          <w:rFonts w:ascii="Times New Roman" w:eastAsia="Times New Roman" w:hAnsi="Times New Roman" w:cs="Times New Roman"/>
          <w:sz w:val="24"/>
          <w:szCs w:val="24"/>
        </w:rPr>
        <w:t xml:space="preserve">. Environmental Management, 66(4), 799–812. </w:t>
      </w:r>
      <w:hyperlink r:id="rId12" w:history="1">
        <w:r w:rsidRPr="096975FB">
          <w:rPr>
            <w:rStyle w:val="Hyperlink"/>
            <w:rFonts w:ascii="Times New Roman" w:eastAsia="Times New Roman" w:hAnsi="Times New Roman" w:cs="Times New Roman"/>
            <w:color w:val="0000FF"/>
            <w:sz w:val="24"/>
            <w:szCs w:val="24"/>
          </w:rPr>
          <w:t>https://doi.org/10.1007/s00267-020-01406-0</w:t>
        </w:r>
      </w:hyperlink>
    </w:p>
    <w:p w14:paraId="3592D883" w14:textId="77777777"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Environmental Protection Agency. (2023). </w:t>
      </w:r>
      <w:r w:rsidRPr="01F5E783">
        <w:rPr>
          <w:rFonts w:ascii="Times New Roman" w:hAnsi="Times New Roman" w:cs="Times New Roman"/>
          <w:i/>
          <w:iCs/>
          <w:sz w:val="24"/>
          <w:szCs w:val="24"/>
        </w:rPr>
        <w:t>Chesapeake Bay TMDL progress and evaluation</w:t>
      </w:r>
      <w:r w:rsidRPr="01F5E783">
        <w:rPr>
          <w:rFonts w:ascii="Times New Roman" w:hAnsi="Times New Roman" w:cs="Times New Roman"/>
          <w:sz w:val="24"/>
          <w:szCs w:val="24"/>
        </w:rPr>
        <w:t xml:space="preserve">. Retrieved from </w:t>
      </w:r>
      <w:hyperlink r:id="rId13">
        <w:r w:rsidRPr="01F5E783">
          <w:rPr>
            <w:rStyle w:val="Hyperlink"/>
            <w:rFonts w:ascii="Times New Roman" w:hAnsi="Times New Roman" w:cs="Times New Roman"/>
            <w:sz w:val="24"/>
            <w:szCs w:val="24"/>
          </w:rPr>
          <w:t>https://www.epa.gov/chesapeake-bay-tmdl/chesapeake-bay-tmdl-progress-and-evaluation</w:t>
        </w:r>
      </w:hyperlink>
    </w:p>
    <w:p w14:paraId="5D88DBC0" w14:textId="1EB592E6" w:rsidR="00CF3DAB" w:rsidRPr="00212F9B" w:rsidRDefault="1A03BBC7"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Ghorbani, M., </w:t>
      </w:r>
      <w:proofErr w:type="spellStart"/>
      <w:r w:rsidRPr="01F5E783">
        <w:rPr>
          <w:rFonts w:ascii="Times New Roman" w:hAnsi="Times New Roman" w:cs="Times New Roman"/>
          <w:sz w:val="24"/>
          <w:szCs w:val="24"/>
        </w:rPr>
        <w:t>RezaeiMoghaddam</w:t>
      </w:r>
      <w:proofErr w:type="spellEnd"/>
      <w:r w:rsidRPr="01F5E783">
        <w:rPr>
          <w:rFonts w:ascii="Times New Roman" w:hAnsi="Times New Roman" w:cs="Times New Roman"/>
          <w:sz w:val="24"/>
          <w:szCs w:val="24"/>
        </w:rPr>
        <w:t xml:space="preserve">, K., &amp; Karami, E. (2019). </w:t>
      </w:r>
      <w:r w:rsidR="002B4139">
        <w:rPr>
          <w:rFonts w:ascii="Times New Roman" w:hAnsi="Times New Roman" w:cs="Times New Roman"/>
          <w:sz w:val="24"/>
          <w:szCs w:val="24"/>
        </w:rPr>
        <w:t>Farmers'</w:t>
      </w:r>
      <w:r w:rsidRPr="01F5E783">
        <w:rPr>
          <w:rFonts w:ascii="Times New Roman" w:hAnsi="Times New Roman" w:cs="Times New Roman"/>
          <w:sz w:val="24"/>
          <w:szCs w:val="24"/>
        </w:rPr>
        <w:t xml:space="preserve"> adoption of composting behavior: Application of value-belief-norm theory. </w:t>
      </w:r>
      <w:r w:rsidRPr="01F5E783">
        <w:rPr>
          <w:rFonts w:ascii="Times New Roman" w:hAnsi="Times New Roman" w:cs="Times New Roman"/>
          <w:i/>
          <w:iCs/>
          <w:sz w:val="24"/>
          <w:szCs w:val="24"/>
        </w:rPr>
        <w:t>Chemical and Biological Technologies in Agriculture, 6</w:t>
      </w:r>
      <w:r w:rsidRPr="01F5E783">
        <w:rPr>
          <w:rFonts w:ascii="Times New Roman" w:hAnsi="Times New Roman" w:cs="Times New Roman"/>
          <w:sz w:val="24"/>
          <w:szCs w:val="24"/>
        </w:rPr>
        <w:t xml:space="preserve">(1), Article 1. </w:t>
      </w:r>
      <w:hyperlink r:id="rId14">
        <w:r w:rsidRPr="01F5E783">
          <w:rPr>
            <w:rStyle w:val="Hyperlink"/>
            <w:rFonts w:ascii="Times New Roman" w:hAnsi="Times New Roman" w:cs="Times New Roman"/>
            <w:sz w:val="24"/>
            <w:szCs w:val="24"/>
          </w:rPr>
          <w:t>https://doi.org/10.1186/s40538-019-0162-6</w:t>
        </w:r>
      </w:hyperlink>
    </w:p>
    <w:p w14:paraId="083B2ECC" w14:textId="77777777" w:rsidR="00CF3DAB" w:rsidRDefault="00CF3DAB" w:rsidP="00EF76E0">
      <w:pPr>
        <w:spacing w:after="0" w:line="240" w:lineRule="auto"/>
        <w:ind w:right="-180" w:hanging="630"/>
        <w:jc w:val="both"/>
      </w:pPr>
      <w:r w:rsidRPr="01F5E783">
        <w:rPr>
          <w:rFonts w:ascii="Times New Roman" w:hAnsi="Times New Roman" w:cs="Times New Roman"/>
          <w:sz w:val="24"/>
          <w:szCs w:val="24"/>
        </w:rPr>
        <w:t xml:space="preserve">Guo, Q., &amp; Huang, W. (2024). Analyzing the diffusion of innovations theory. </w:t>
      </w:r>
      <w:r w:rsidRPr="01F5E783">
        <w:rPr>
          <w:rFonts w:ascii="Times New Roman" w:hAnsi="Times New Roman" w:cs="Times New Roman"/>
          <w:i/>
          <w:iCs/>
          <w:sz w:val="24"/>
          <w:szCs w:val="24"/>
        </w:rPr>
        <w:t>Scientific and Social Research, 6</w:t>
      </w:r>
      <w:r w:rsidRPr="01F5E783">
        <w:rPr>
          <w:rFonts w:ascii="Times New Roman" w:hAnsi="Times New Roman" w:cs="Times New Roman"/>
          <w:sz w:val="24"/>
          <w:szCs w:val="24"/>
        </w:rPr>
        <w:t xml:space="preserve">(12), 95–98. </w:t>
      </w:r>
      <w:hyperlink r:id="rId15">
        <w:r w:rsidRPr="01F5E783">
          <w:rPr>
            <w:rStyle w:val="Hyperlink"/>
            <w:rFonts w:ascii="Times New Roman" w:hAnsi="Times New Roman" w:cs="Times New Roman"/>
            <w:sz w:val="24"/>
            <w:szCs w:val="24"/>
          </w:rPr>
          <w:t>https://doi.org/10.26689/ssr.v6i12.8947</w:t>
        </w:r>
      </w:hyperlink>
    </w:p>
    <w:p w14:paraId="5D1929EB" w14:textId="50E1EF86" w:rsidR="004D7F7B" w:rsidRPr="004D7F7B" w:rsidRDefault="004D7F7B" w:rsidP="00EF76E0">
      <w:pPr>
        <w:spacing w:after="0" w:line="240" w:lineRule="auto"/>
        <w:ind w:right="-180" w:hanging="630"/>
        <w:jc w:val="both"/>
        <w:rPr>
          <w:rFonts w:ascii="Times New Roman" w:hAnsi="Times New Roman" w:cs="Times New Roman"/>
          <w:color w:val="EE0000"/>
          <w:sz w:val="24"/>
          <w:szCs w:val="24"/>
        </w:rPr>
      </w:pPr>
      <w:r w:rsidRPr="004D7F7B">
        <w:rPr>
          <w:rFonts w:ascii="Times New Roman" w:hAnsi="Times New Roman" w:cs="Times New Roman"/>
          <w:color w:val="EE0000"/>
          <w:sz w:val="24"/>
          <w:szCs w:val="24"/>
        </w:rPr>
        <w:lastRenderedPageBreak/>
        <w:t>Hill-Sullins, N., Starzec, K., Ellis, J. D., Underwood, M., &amp; Randolph, L. (2025). Kansas producers</w:t>
      </w:r>
      <w:r w:rsidR="00BF5E83">
        <w:rPr>
          <w:rFonts w:ascii="Times New Roman" w:hAnsi="Times New Roman" w:cs="Times New Roman"/>
          <w:color w:val="EE0000"/>
          <w:sz w:val="24"/>
          <w:szCs w:val="24"/>
        </w:rPr>
        <w:t>'</w:t>
      </w:r>
      <w:r w:rsidRPr="004D7F7B">
        <w:rPr>
          <w:rFonts w:ascii="Times New Roman" w:hAnsi="Times New Roman" w:cs="Times New Roman"/>
          <w:color w:val="EE0000"/>
          <w:sz w:val="24"/>
          <w:szCs w:val="24"/>
        </w:rPr>
        <w:t xml:space="preserve"> motivations and barriers to soil health practice adoption through the lens of diffusion of innovations theory. </w:t>
      </w:r>
      <w:r w:rsidRPr="004D7F7B">
        <w:rPr>
          <w:rFonts w:ascii="Times New Roman" w:hAnsi="Times New Roman" w:cs="Times New Roman"/>
          <w:i/>
          <w:iCs/>
          <w:color w:val="EE0000"/>
          <w:sz w:val="24"/>
          <w:szCs w:val="24"/>
        </w:rPr>
        <w:t>Journal of Soil and Water Conservation</w:t>
      </w:r>
      <w:r w:rsidRPr="004D7F7B">
        <w:rPr>
          <w:rFonts w:ascii="Times New Roman" w:hAnsi="Times New Roman" w:cs="Times New Roman"/>
          <w:color w:val="EE0000"/>
          <w:sz w:val="24"/>
          <w:szCs w:val="24"/>
        </w:rPr>
        <w:t xml:space="preserve">. </w:t>
      </w:r>
      <w:hyperlink r:id="rId16" w:tgtFrame="_blank" w:history="1">
        <w:r w:rsidRPr="004D7F7B">
          <w:rPr>
            <w:rStyle w:val="Hyperlink"/>
            <w:rFonts w:ascii="Times New Roman" w:hAnsi="Times New Roman" w:cs="Times New Roman"/>
            <w:color w:val="EE0000"/>
            <w:sz w:val="24"/>
            <w:szCs w:val="24"/>
          </w:rPr>
          <w:t>https://doi.org/10.1080/00224561.2025.2479393</w:t>
        </w:r>
      </w:hyperlink>
    </w:p>
    <w:p w14:paraId="617EECAC" w14:textId="15BDC51F" w:rsidR="00CF3DAB" w:rsidRPr="00212F9B" w:rsidRDefault="1A03BBC7"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Houser, M., Campbell, B., Jacobs, A., </w:t>
      </w:r>
      <w:proofErr w:type="spellStart"/>
      <w:r w:rsidRPr="01F5E783">
        <w:rPr>
          <w:rFonts w:ascii="Times New Roman" w:hAnsi="Times New Roman" w:cs="Times New Roman"/>
          <w:sz w:val="24"/>
          <w:szCs w:val="24"/>
        </w:rPr>
        <w:t>Fanok</w:t>
      </w:r>
      <w:proofErr w:type="spellEnd"/>
      <w:r w:rsidRPr="01F5E783">
        <w:rPr>
          <w:rFonts w:ascii="Times New Roman" w:hAnsi="Times New Roman" w:cs="Times New Roman"/>
          <w:sz w:val="24"/>
          <w:szCs w:val="24"/>
        </w:rPr>
        <w:t xml:space="preserve">, S., &amp; Johnson, S. E. (2024). </w:t>
      </w:r>
      <w:r w:rsidR="002B4139">
        <w:rPr>
          <w:rFonts w:ascii="Times New Roman" w:hAnsi="Times New Roman" w:cs="Times New Roman"/>
          <w:sz w:val="24"/>
          <w:szCs w:val="24"/>
        </w:rPr>
        <w:t>Farmers'</w:t>
      </w:r>
      <w:r w:rsidRPr="01F5E783">
        <w:rPr>
          <w:rFonts w:ascii="Times New Roman" w:hAnsi="Times New Roman" w:cs="Times New Roman"/>
          <w:sz w:val="24"/>
          <w:szCs w:val="24"/>
        </w:rPr>
        <w:t xml:space="preserve"> participation in incentivized conservation programs: Exploring barriers and opportunities for innovative designs. </w:t>
      </w:r>
      <w:r w:rsidRPr="01F5E783">
        <w:rPr>
          <w:rFonts w:ascii="Times New Roman" w:hAnsi="Times New Roman" w:cs="Times New Roman"/>
          <w:i/>
          <w:iCs/>
          <w:sz w:val="24"/>
          <w:szCs w:val="24"/>
        </w:rPr>
        <w:t>Journal of Soil and Water Conservation, 79</w:t>
      </w:r>
      <w:r w:rsidRPr="01F5E783">
        <w:rPr>
          <w:rFonts w:ascii="Times New Roman" w:hAnsi="Times New Roman" w:cs="Times New Roman"/>
          <w:sz w:val="24"/>
          <w:szCs w:val="24"/>
        </w:rPr>
        <w:t xml:space="preserve">(1), 20–30. </w:t>
      </w:r>
      <w:hyperlink r:id="rId17">
        <w:r w:rsidRPr="01F5E783">
          <w:rPr>
            <w:rStyle w:val="Hyperlink"/>
            <w:rFonts w:ascii="Times New Roman" w:hAnsi="Times New Roman" w:cs="Times New Roman"/>
            <w:sz w:val="24"/>
            <w:szCs w:val="24"/>
          </w:rPr>
          <w:t>https://doi.org/10.2489/jswc.2024.00122</w:t>
        </w:r>
      </w:hyperlink>
    </w:p>
    <w:p w14:paraId="5D4A74E6" w14:textId="2B1C27A7" w:rsidR="00CF3DAB" w:rsidRPr="00212F9B" w:rsidRDefault="1A03BBC7"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Kumar Chaudhary, A., Warner, L., Lamm, A. J., Israel, G. D., Rumble, J. N., &amp; Cantrell, R. (2017). Using the theory of planned behavior to understand extension </w:t>
      </w:r>
      <w:r w:rsidR="002B4139">
        <w:rPr>
          <w:rFonts w:ascii="Times New Roman" w:hAnsi="Times New Roman" w:cs="Times New Roman"/>
          <w:sz w:val="24"/>
          <w:szCs w:val="24"/>
        </w:rPr>
        <w:t>clients'</w:t>
      </w:r>
      <w:r w:rsidRPr="01F5E783">
        <w:rPr>
          <w:rFonts w:ascii="Times New Roman" w:hAnsi="Times New Roman" w:cs="Times New Roman"/>
          <w:sz w:val="24"/>
          <w:szCs w:val="24"/>
        </w:rPr>
        <w:t xml:space="preserve"> water conservation intentions. </w:t>
      </w:r>
      <w:r w:rsidRPr="01F5E783">
        <w:rPr>
          <w:rFonts w:ascii="Times New Roman" w:hAnsi="Times New Roman" w:cs="Times New Roman"/>
          <w:i/>
          <w:iCs/>
          <w:sz w:val="24"/>
          <w:szCs w:val="24"/>
        </w:rPr>
        <w:t>Journal of Agricultural Education, 58</w:t>
      </w:r>
      <w:r w:rsidRPr="01F5E783">
        <w:rPr>
          <w:rFonts w:ascii="Times New Roman" w:hAnsi="Times New Roman" w:cs="Times New Roman"/>
          <w:sz w:val="24"/>
          <w:szCs w:val="24"/>
        </w:rPr>
        <w:t xml:space="preserve">(3), 185–202. </w:t>
      </w:r>
      <w:hyperlink r:id="rId18">
        <w:r w:rsidRPr="01F5E783">
          <w:rPr>
            <w:rStyle w:val="Hyperlink"/>
            <w:rFonts w:ascii="Times New Roman" w:hAnsi="Times New Roman" w:cs="Times New Roman"/>
            <w:sz w:val="24"/>
            <w:szCs w:val="24"/>
          </w:rPr>
          <w:t>https://doi.org/10.5032/jae.2017.03185</w:t>
        </w:r>
      </w:hyperlink>
    </w:p>
    <w:p w14:paraId="0C738369" w14:textId="77777777"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Lang, Z., &amp; </w:t>
      </w:r>
      <w:proofErr w:type="spellStart"/>
      <w:r w:rsidRPr="01F5E783">
        <w:rPr>
          <w:rFonts w:ascii="Times New Roman" w:hAnsi="Times New Roman" w:cs="Times New Roman"/>
          <w:sz w:val="24"/>
          <w:szCs w:val="24"/>
        </w:rPr>
        <w:t>Rabotyagov</w:t>
      </w:r>
      <w:proofErr w:type="spellEnd"/>
      <w:r w:rsidRPr="01F5E783">
        <w:rPr>
          <w:rFonts w:ascii="Times New Roman" w:hAnsi="Times New Roman" w:cs="Times New Roman"/>
          <w:sz w:val="24"/>
          <w:szCs w:val="24"/>
        </w:rPr>
        <w:t xml:space="preserve">, S. (2022). Sociopsychological factors influencing intent to adopt conservation practices in the Minnesota River Basin. </w:t>
      </w:r>
      <w:r w:rsidRPr="01F5E783">
        <w:rPr>
          <w:rFonts w:ascii="Times New Roman" w:hAnsi="Times New Roman" w:cs="Times New Roman"/>
          <w:i/>
          <w:iCs/>
          <w:sz w:val="24"/>
          <w:szCs w:val="24"/>
        </w:rPr>
        <w:t>Journal of Environmental Management, 307</w:t>
      </w:r>
      <w:r w:rsidRPr="01F5E783">
        <w:rPr>
          <w:rFonts w:ascii="Times New Roman" w:hAnsi="Times New Roman" w:cs="Times New Roman"/>
          <w:sz w:val="24"/>
          <w:szCs w:val="24"/>
        </w:rPr>
        <w:t xml:space="preserve">, Article 114466. </w:t>
      </w:r>
      <w:hyperlink r:id="rId19">
        <w:r w:rsidRPr="01F5E783">
          <w:rPr>
            <w:rStyle w:val="Hyperlink"/>
            <w:rFonts w:ascii="Times New Roman" w:hAnsi="Times New Roman" w:cs="Times New Roman"/>
            <w:sz w:val="24"/>
            <w:szCs w:val="24"/>
          </w:rPr>
          <w:t>https://doi.org/10.1016/j.jenvman.2022.114466</w:t>
        </w:r>
      </w:hyperlink>
    </w:p>
    <w:p w14:paraId="341C8D29" w14:textId="4FA33896" w:rsidR="1F65EAB5" w:rsidRDefault="1F65EAB5" w:rsidP="00EF76E0">
      <w:pPr>
        <w:spacing w:after="0" w:line="240" w:lineRule="auto"/>
        <w:ind w:right="-180" w:hanging="630"/>
        <w:jc w:val="both"/>
        <w:rPr>
          <w:rFonts w:ascii="Times New Roman" w:hAnsi="Times New Roman" w:cs="Times New Roman"/>
          <w:sz w:val="24"/>
          <w:szCs w:val="24"/>
        </w:rPr>
      </w:pPr>
      <w:r w:rsidRPr="096975FB">
        <w:rPr>
          <w:rFonts w:ascii="Times New Roman" w:hAnsi="Times New Roman" w:cs="Times New Roman"/>
          <w:sz w:val="24"/>
          <w:szCs w:val="24"/>
        </w:rPr>
        <w:t xml:space="preserve">Lincoln, Y. S., &amp; Guba, E. G. (1985). </w:t>
      </w:r>
      <w:r w:rsidRPr="096975FB">
        <w:rPr>
          <w:rFonts w:ascii="Times New Roman" w:hAnsi="Times New Roman" w:cs="Times New Roman"/>
          <w:i/>
          <w:iCs/>
          <w:sz w:val="24"/>
          <w:szCs w:val="24"/>
        </w:rPr>
        <w:t>Naturalistic inquiry</w:t>
      </w:r>
      <w:r w:rsidRPr="096975FB">
        <w:rPr>
          <w:rFonts w:ascii="Times New Roman" w:hAnsi="Times New Roman" w:cs="Times New Roman"/>
          <w:sz w:val="24"/>
          <w:szCs w:val="24"/>
        </w:rPr>
        <w:t>. Sage Publications.</w:t>
      </w:r>
    </w:p>
    <w:p w14:paraId="4B874753" w14:textId="77BBEE93" w:rsidR="0036466E" w:rsidRPr="0036466E" w:rsidRDefault="0036466E" w:rsidP="00EF76E0">
      <w:pPr>
        <w:spacing w:after="0" w:line="240" w:lineRule="auto"/>
        <w:ind w:right="-180" w:hanging="630"/>
        <w:jc w:val="both"/>
        <w:rPr>
          <w:rStyle w:val="Hyperlink"/>
          <w:rFonts w:ascii="Times New Roman" w:eastAsia="Times New Roman" w:hAnsi="Times New Roman" w:cs="Times New Roman"/>
          <w:color w:val="EE0000"/>
          <w:sz w:val="24"/>
          <w:szCs w:val="24"/>
        </w:rPr>
      </w:pPr>
      <w:r w:rsidRPr="0036466E">
        <w:rPr>
          <w:rFonts w:ascii="Times New Roman" w:eastAsia="Times New Roman" w:hAnsi="Times New Roman" w:cs="Times New Roman"/>
          <w:color w:val="EE0000"/>
          <w:sz w:val="24"/>
          <w:szCs w:val="24"/>
          <w:u w:val="single"/>
        </w:rPr>
        <w:t>Liu, T., Bruins, R. J. F., &amp; Heberling, M. T. (2018). Factors Influencing Farmers</w:t>
      </w:r>
      <w:r w:rsidR="00BF5E83">
        <w:rPr>
          <w:rFonts w:ascii="Times New Roman" w:eastAsia="Times New Roman" w:hAnsi="Times New Roman" w:cs="Times New Roman"/>
          <w:color w:val="EE0000"/>
          <w:sz w:val="24"/>
          <w:szCs w:val="24"/>
          <w:u w:val="single"/>
        </w:rPr>
        <w:t>'</w:t>
      </w:r>
      <w:r w:rsidRPr="0036466E">
        <w:rPr>
          <w:rFonts w:ascii="Times New Roman" w:eastAsia="Times New Roman" w:hAnsi="Times New Roman" w:cs="Times New Roman"/>
          <w:color w:val="EE0000"/>
          <w:sz w:val="24"/>
          <w:szCs w:val="24"/>
          <w:u w:val="single"/>
        </w:rPr>
        <w:t xml:space="preserve"> Adoption of Best Management Practices: A Review and Synthesis. </w:t>
      </w:r>
      <w:r w:rsidRPr="0036466E">
        <w:rPr>
          <w:rFonts w:ascii="Times New Roman" w:eastAsia="Times New Roman" w:hAnsi="Times New Roman" w:cs="Times New Roman"/>
          <w:i/>
          <w:iCs/>
          <w:color w:val="EE0000"/>
          <w:sz w:val="24"/>
          <w:szCs w:val="24"/>
          <w:u w:val="single"/>
        </w:rPr>
        <w:t>Sustainability</w:t>
      </w:r>
      <w:r w:rsidRPr="0036466E">
        <w:rPr>
          <w:rFonts w:ascii="Times New Roman" w:eastAsia="Times New Roman" w:hAnsi="Times New Roman" w:cs="Times New Roman"/>
          <w:color w:val="EE0000"/>
          <w:sz w:val="24"/>
          <w:szCs w:val="24"/>
          <w:u w:val="single"/>
        </w:rPr>
        <w:t>, </w:t>
      </w:r>
      <w:r w:rsidRPr="0036466E">
        <w:rPr>
          <w:rFonts w:ascii="Times New Roman" w:eastAsia="Times New Roman" w:hAnsi="Times New Roman" w:cs="Times New Roman"/>
          <w:i/>
          <w:iCs/>
          <w:color w:val="EE0000"/>
          <w:sz w:val="24"/>
          <w:szCs w:val="24"/>
          <w:u w:val="single"/>
        </w:rPr>
        <w:t>10</w:t>
      </w:r>
      <w:r w:rsidRPr="0036466E">
        <w:rPr>
          <w:rFonts w:ascii="Times New Roman" w:eastAsia="Times New Roman" w:hAnsi="Times New Roman" w:cs="Times New Roman"/>
          <w:color w:val="EE0000"/>
          <w:sz w:val="24"/>
          <w:szCs w:val="24"/>
          <w:u w:val="single"/>
        </w:rPr>
        <w:t>(2), 432. https://doi.org/10.3390/su10020432</w:t>
      </w:r>
    </w:p>
    <w:p w14:paraId="4903B46C" w14:textId="263ED95D" w:rsidR="2C9931FD" w:rsidRDefault="2C9931FD" w:rsidP="00EF76E0">
      <w:pPr>
        <w:spacing w:after="0" w:line="240" w:lineRule="auto"/>
        <w:ind w:right="-180" w:hanging="630"/>
        <w:jc w:val="both"/>
        <w:rPr>
          <w:rStyle w:val="Hyperlink"/>
          <w:rFonts w:ascii="Times New Roman" w:eastAsia="Times New Roman" w:hAnsi="Times New Roman" w:cs="Times New Roman"/>
          <w:sz w:val="24"/>
          <w:szCs w:val="24"/>
        </w:rPr>
      </w:pPr>
      <w:r w:rsidRPr="096975FB">
        <w:rPr>
          <w:rFonts w:ascii="Times New Roman" w:eastAsia="Times New Roman" w:hAnsi="Times New Roman" w:cs="Times New Roman"/>
          <w:sz w:val="24"/>
          <w:szCs w:val="24"/>
        </w:rPr>
        <w:t xml:space="preserve">Prager, K., &amp; </w:t>
      </w:r>
      <w:proofErr w:type="spellStart"/>
      <w:r w:rsidRPr="096975FB">
        <w:rPr>
          <w:rFonts w:ascii="Times New Roman" w:eastAsia="Times New Roman" w:hAnsi="Times New Roman" w:cs="Times New Roman"/>
          <w:sz w:val="24"/>
          <w:szCs w:val="24"/>
        </w:rPr>
        <w:t>Curfs</w:t>
      </w:r>
      <w:proofErr w:type="spellEnd"/>
      <w:r w:rsidRPr="096975FB">
        <w:rPr>
          <w:rFonts w:ascii="Times New Roman" w:eastAsia="Times New Roman" w:hAnsi="Times New Roman" w:cs="Times New Roman"/>
          <w:sz w:val="24"/>
          <w:szCs w:val="24"/>
        </w:rPr>
        <w:t xml:space="preserve">, E. (2021). Understanding </w:t>
      </w:r>
      <w:proofErr w:type="spellStart"/>
      <w:r w:rsidRPr="096975FB">
        <w:rPr>
          <w:rFonts w:ascii="Times New Roman" w:eastAsia="Times New Roman" w:hAnsi="Times New Roman" w:cs="Times New Roman"/>
          <w:sz w:val="24"/>
          <w:szCs w:val="24"/>
        </w:rPr>
        <w:t>behavioural</w:t>
      </w:r>
      <w:proofErr w:type="spellEnd"/>
      <w:r w:rsidRPr="096975FB">
        <w:rPr>
          <w:rFonts w:ascii="Times New Roman" w:eastAsia="Times New Roman" w:hAnsi="Times New Roman" w:cs="Times New Roman"/>
          <w:sz w:val="24"/>
          <w:szCs w:val="24"/>
        </w:rPr>
        <w:t xml:space="preserve"> change through the lens of community: Contextual influences on participation in agri-environmental schemes. </w:t>
      </w:r>
      <w:r w:rsidRPr="096975FB">
        <w:rPr>
          <w:rFonts w:ascii="Times New Roman" w:eastAsia="Times New Roman" w:hAnsi="Times New Roman" w:cs="Times New Roman"/>
          <w:i/>
          <w:iCs/>
          <w:sz w:val="24"/>
          <w:szCs w:val="24"/>
        </w:rPr>
        <w:t>Land Use Policy, 104</w:t>
      </w:r>
      <w:r w:rsidRPr="096975FB">
        <w:rPr>
          <w:rFonts w:ascii="Times New Roman" w:eastAsia="Times New Roman" w:hAnsi="Times New Roman" w:cs="Times New Roman"/>
          <w:sz w:val="24"/>
          <w:szCs w:val="24"/>
        </w:rPr>
        <w:t xml:space="preserve">, 105391. </w:t>
      </w:r>
      <w:hyperlink r:id="rId20" w:history="1">
        <w:r w:rsidRPr="096975FB">
          <w:rPr>
            <w:rStyle w:val="Hyperlink"/>
            <w:rFonts w:ascii="Times New Roman" w:eastAsia="Times New Roman" w:hAnsi="Times New Roman" w:cs="Times New Roman"/>
            <w:sz w:val="24"/>
            <w:szCs w:val="24"/>
          </w:rPr>
          <w:t>https://doi.org/10.1016/j.landusepol.2021.105391</w:t>
        </w:r>
      </w:hyperlink>
    </w:p>
    <w:p w14:paraId="36107DE4" w14:textId="641B8C03" w:rsidR="1F65EAB5" w:rsidRDefault="1F65EAB5" w:rsidP="00EF76E0">
      <w:pPr>
        <w:spacing w:after="0" w:line="240" w:lineRule="auto"/>
        <w:ind w:right="-180" w:hanging="630"/>
        <w:jc w:val="both"/>
        <w:rPr>
          <w:rStyle w:val="Hyperlink"/>
          <w:rFonts w:ascii="Times New Roman" w:eastAsia="Times New Roman" w:hAnsi="Times New Roman" w:cs="Times New Roman"/>
          <w:color w:val="0000FF"/>
          <w:sz w:val="24"/>
          <w:szCs w:val="24"/>
        </w:rPr>
      </w:pPr>
      <w:r w:rsidRPr="096975FB">
        <w:rPr>
          <w:rFonts w:ascii="Times New Roman" w:hAnsi="Times New Roman" w:cs="Times New Roman"/>
          <w:sz w:val="24"/>
          <w:szCs w:val="24"/>
        </w:rPr>
        <w:t xml:space="preserve">Prokopy, L. S., </w:t>
      </w:r>
      <w:proofErr w:type="spellStart"/>
      <w:r w:rsidRPr="096975FB">
        <w:rPr>
          <w:rFonts w:ascii="Times New Roman" w:hAnsi="Times New Roman" w:cs="Times New Roman"/>
          <w:sz w:val="24"/>
          <w:szCs w:val="24"/>
        </w:rPr>
        <w:t>Floress</w:t>
      </w:r>
      <w:proofErr w:type="spellEnd"/>
      <w:r w:rsidRPr="096975FB">
        <w:rPr>
          <w:rFonts w:ascii="Times New Roman" w:hAnsi="Times New Roman" w:cs="Times New Roman"/>
          <w:sz w:val="24"/>
          <w:szCs w:val="24"/>
        </w:rPr>
        <w:t xml:space="preserve">, K., </w:t>
      </w:r>
      <w:proofErr w:type="spellStart"/>
      <w:r w:rsidRPr="096975FB">
        <w:rPr>
          <w:rFonts w:ascii="Times New Roman" w:hAnsi="Times New Roman" w:cs="Times New Roman"/>
          <w:sz w:val="24"/>
          <w:szCs w:val="24"/>
        </w:rPr>
        <w:t>KlotthorWeinkauf</w:t>
      </w:r>
      <w:proofErr w:type="spellEnd"/>
      <w:r w:rsidRPr="096975FB">
        <w:rPr>
          <w:rFonts w:ascii="Times New Roman" w:hAnsi="Times New Roman" w:cs="Times New Roman"/>
          <w:sz w:val="24"/>
          <w:szCs w:val="24"/>
        </w:rPr>
        <w:t xml:space="preserve">, D., &amp; </w:t>
      </w:r>
      <w:proofErr w:type="spellStart"/>
      <w:r w:rsidRPr="096975FB">
        <w:rPr>
          <w:rFonts w:ascii="Times New Roman" w:hAnsi="Times New Roman" w:cs="Times New Roman"/>
          <w:sz w:val="24"/>
          <w:szCs w:val="24"/>
        </w:rPr>
        <w:t>BaumgartGetz</w:t>
      </w:r>
      <w:proofErr w:type="spellEnd"/>
      <w:r w:rsidRPr="096975FB">
        <w:rPr>
          <w:rFonts w:ascii="Times New Roman" w:hAnsi="Times New Roman" w:cs="Times New Roman"/>
          <w:sz w:val="24"/>
          <w:szCs w:val="24"/>
        </w:rPr>
        <w:t xml:space="preserve">, A. (2008). Determinants of agricultural best management practice adoption: Evidence from the literature. </w:t>
      </w:r>
      <w:r w:rsidRPr="096975FB">
        <w:rPr>
          <w:rFonts w:ascii="Times New Roman" w:hAnsi="Times New Roman" w:cs="Times New Roman"/>
          <w:i/>
          <w:iCs/>
          <w:sz w:val="24"/>
          <w:szCs w:val="24"/>
        </w:rPr>
        <w:t>Journal of Soil and Water Conservation, 63</w:t>
      </w:r>
      <w:r w:rsidRPr="096975FB">
        <w:rPr>
          <w:rFonts w:ascii="Times New Roman" w:hAnsi="Times New Roman" w:cs="Times New Roman"/>
          <w:sz w:val="24"/>
          <w:szCs w:val="24"/>
        </w:rPr>
        <w:t xml:space="preserve">(5), 300–311. </w:t>
      </w:r>
      <w:hyperlink r:id="rId21">
        <w:r w:rsidRPr="096975FB">
          <w:rPr>
            <w:rStyle w:val="Hyperlink"/>
            <w:rFonts w:ascii="Times New Roman" w:hAnsi="Times New Roman" w:cs="Times New Roman"/>
            <w:sz w:val="24"/>
            <w:szCs w:val="24"/>
          </w:rPr>
          <w:t>https://doi.org/10.2489/jswc.63.5.300</w:t>
        </w:r>
      </w:hyperlink>
    </w:p>
    <w:p w14:paraId="70E1949E" w14:textId="4AA46106" w:rsidR="5E4C5375" w:rsidRDefault="5E4C5375" w:rsidP="00EF76E0">
      <w:pPr>
        <w:spacing w:after="0" w:line="240" w:lineRule="auto"/>
        <w:ind w:right="-180" w:hanging="630"/>
        <w:jc w:val="both"/>
        <w:rPr>
          <w:rStyle w:val="Hyperlink"/>
          <w:rFonts w:ascii="Times New Roman" w:eastAsia="Times New Roman" w:hAnsi="Times New Roman" w:cs="Times New Roman"/>
          <w:color w:val="0000FF"/>
          <w:sz w:val="24"/>
          <w:szCs w:val="24"/>
        </w:rPr>
      </w:pPr>
      <w:r w:rsidRPr="096975FB">
        <w:rPr>
          <w:rFonts w:ascii="Times New Roman" w:eastAsia="Times New Roman" w:hAnsi="Times New Roman" w:cs="Times New Roman"/>
          <w:sz w:val="24"/>
          <w:szCs w:val="24"/>
        </w:rPr>
        <w:t xml:space="preserve">Ranjan, P., Wardropper, C. B., Eanes, F. R., Reddy, S. M. W., Harden, S. C., Masuda, Y. J., &amp; Prokopy, L. S. (2019). </w:t>
      </w:r>
      <w:r w:rsidRPr="096975FB">
        <w:rPr>
          <w:rFonts w:ascii="Times New Roman" w:eastAsia="Times New Roman" w:hAnsi="Times New Roman" w:cs="Times New Roman"/>
          <w:i/>
          <w:iCs/>
          <w:sz w:val="24"/>
          <w:szCs w:val="24"/>
        </w:rPr>
        <w:t>Understanding barriers and opportunities for adoption of conservation practices on rented farmland in the U.S.</w:t>
      </w:r>
      <w:r w:rsidRPr="096975FB">
        <w:rPr>
          <w:rFonts w:ascii="Times New Roman" w:eastAsia="Times New Roman" w:hAnsi="Times New Roman" w:cs="Times New Roman"/>
          <w:sz w:val="24"/>
          <w:szCs w:val="24"/>
        </w:rPr>
        <w:t xml:space="preserve"> </w:t>
      </w:r>
      <w:r w:rsidRPr="096975FB">
        <w:rPr>
          <w:rFonts w:ascii="Times New Roman" w:eastAsia="Times New Roman" w:hAnsi="Times New Roman" w:cs="Times New Roman"/>
          <w:i/>
          <w:iCs/>
          <w:sz w:val="24"/>
          <w:szCs w:val="24"/>
        </w:rPr>
        <w:t>Land Use Policy, 82</w:t>
      </w:r>
      <w:r w:rsidRPr="096975FB">
        <w:rPr>
          <w:rFonts w:ascii="Times New Roman" w:eastAsia="Times New Roman" w:hAnsi="Times New Roman" w:cs="Times New Roman"/>
          <w:sz w:val="24"/>
          <w:szCs w:val="24"/>
        </w:rPr>
        <w:t xml:space="preserve">, Article 150. </w:t>
      </w:r>
      <w:hyperlink r:id="rId22" w:history="1">
        <w:r w:rsidRPr="096975FB">
          <w:rPr>
            <w:rStyle w:val="Hyperlink"/>
            <w:rFonts w:ascii="Times New Roman" w:eastAsia="Times New Roman" w:hAnsi="Times New Roman" w:cs="Times New Roman"/>
            <w:color w:val="0000FF"/>
            <w:sz w:val="24"/>
            <w:szCs w:val="24"/>
          </w:rPr>
          <w:t>https://doi.org/10.1016/j.landusepol.2018.12.025</w:t>
        </w:r>
      </w:hyperlink>
    </w:p>
    <w:p w14:paraId="2F23047E" w14:textId="77777777"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Reimer, A. P., &amp; Prokopy, L. S. (2014). Farmer participation in U.S. Farm Bill conservation programs. </w:t>
      </w:r>
      <w:r w:rsidRPr="01F5E783">
        <w:rPr>
          <w:rFonts w:ascii="Times New Roman" w:hAnsi="Times New Roman" w:cs="Times New Roman"/>
          <w:i/>
          <w:iCs/>
          <w:sz w:val="24"/>
          <w:szCs w:val="24"/>
        </w:rPr>
        <w:t>Environmental Management, 53</w:t>
      </w:r>
      <w:r w:rsidRPr="01F5E783">
        <w:rPr>
          <w:rFonts w:ascii="Times New Roman" w:hAnsi="Times New Roman" w:cs="Times New Roman"/>
          <w:sz w:val="24"/>
          <w:szCs w:val="24"/>
        </w:rPr>
        <w:t xml:space="preserve">(2), 318–332. </w:t>
      </w:r>
      <w:hyperlink r:id="rId23">
        <w:r w:rsidRPr="01F5E783">
          <w:rPr>
            <w:rStyle w:val="Hyperlink"/>
            <w:rFonts w:ascii="Times New Roman" w:hAnsi="Times New Roman" w:cs="Times New Roman"/>
            <w:sz w:val="24"/>
            <w:szCs w:val="24"/>
          </w:rPr>
          <w:t>https://doi.org/10.1007/s00267-013-0184-8</w:t>
        </w:r>
      </w:hyperlink>
    </w:p>
    <w:p w14:paraId="6D701B3B" w14:textId="77777777"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Reimer, A. P., Weinkauf, K., &amp; Prokopy, L. S. (2012). The influence of perceptions of practice characteristics: An examination of agricultural best management practice adoption in two Indiana watersheds. </w:t>
      </w:r>
      <w:r w:rsidRPr="01F5E783">
        <w:rPr>
          <w:rFonts w:ascii="Times New Roman" w:hAnsi="Times New Roman" w:cs="Times New Roman"/>
          <w:i/>
          <w:iCs/>
          <w:sz w:val="24"/>
          <w:szCs w:val="24"/>
        </w:rPr>
        <w:t>Journal of Rural Studies, 28</w:t>
      </w:r>
      <w:r w:rsidRPr="01F5E783">
        <w:rPr>
          <w:rFonts w:ascii="Times New Roman" w:hAnsi="Times New Roman" w:cs="Times New Roman"/>
          <w:sz w:val="24"/>
          <w:szCs w:val="24"/>
        </w:rPr>
        <w:t>, 118–128.</w:t>
      </w:r>
    </w:p>
    <w:p w14:paraId="00D18EE3" w14:textId="77777777" w:rsidR="00CF3DAB" w:rsidRDefault="00CF3DAB" w:rsidP="00EF76E0">
      <w:pPr>
        <w:spacing w:after="0" w:line="240" w:lineRule="auto"/>
        <w:ind w:right="-180" w:hanging="630"/>
        <w:jc w:val="both"/>
      </w:pPr>
      <w:r w:rsidRPr="01F5E783">
        <w:rPr>
          <w:rFonts w:ascii="Times New Roman" w:hAnsi="Times New Roman" w:cs="Times New Roman"/>
          <w:sz w:val="24"/>
          <w:szCs w:val="24"/>
        </w:rPr>
        <w:t xml:space="preserve">Rittenburg, R. A., Squires, A. L., Boll, J., Brooks, E. S., Easton, Z. M., &amp; Steenhuis, T. S. (2015). Agricultural BMP effectiveness and dominant hydrological flow paths: Concepts and a review. </w:t>
      </w:r>
      <w:r w:rsidRPr="01F5E783">
        <w:rPr>
          <w:rFonts w:ascii="Times New Roman" w:hAnsi="Times New Roman" w:cs="Times New Roman"/>
          <w:i/>
          <w:iCs/>
          <w:sz w:val="24"/>
          <w:szCs w:val="24"/>
        </w:rPr>
        <w:t>Journal of the American Water Resources Association, 51</w:t>
      </w:r>
      <w:r w:rsidRPr="01F5E783">
        <w:rPr>
          <w:rFonts w:ascii="Times New Roman" w:hAnsi="Times New Roman" w:cs="Times New Roman"/>
          <w:sz w:val="24"/>
          <w:szCs w:val="24"/>
        </w:rPr>
        <w:t xml:space="preserve">(2), 305–329. </w:t>
      </w:r>
      <w:hyperlink r:id="rId24">
        <w:r w:rsidRPr="01F5E783">
          <w:rPr>
            <w:rStyle w:val="Hyperlink"/>
            <w:rFonts w:ascii="Times New Roman" w:hAnsi="Times New Roman" w:cs="Times New Roman"/>
            <w:sz w:val="24"/>
            <w:szCs w:val="24"/>
          </w:rPr>
          <w:t>https://doi.org/10.1111/1752-1688.12293</w:t>
        </w:r>
      </w:hyperlink>
    </w:p>
    <w:p w14:paraId="6D684C9D" w14:textId="7B5DCC3C" w:rsidR="008728BA" w:rsidRPr="008728BA" w:rsidRDefault="008728BA" w:rsidP="00EF76E0">
      <w:pPr>
        <w:spacing w:after="0" w:line="240" w:lineRule="auto"/>
        <w:ind w:right="-180" w:hanging="630"/>
        <w:jc w:val="both"/>
        <w:rPr>
          <w:rFonts w:ascii="Times New Roman" w:hAnsi="Times New Roman" w:cs="Times New Roman"/>
          <w:color w:val="EE0000"/>
          <w:sz w:val="24"/>
          <w:szCs w:val="24"/>
        </w:rPr>
      </w:pPr>
      <w:r w:rsidRPr="008728BA">
        <w:rPr>
          <w:rFonts w:ascii="Times New Roman" w:hAnsi="Times New Roman" w:cs="Times New Roman"/>
          <w:color w:val="EE0000"/>
          <w:sz w:val="24"/>
          <w:szCs w:val="24"/>
        </w:rPr>
        <w:t xml:space="preserve">Roesch-McNally, G. E., A. D. Basche, J. G. Arbuckle, J. C. Tyndall, F. E. Miguez, T. Bowman, and R. Clay. </w:t>
      </w:r>
      <w:r w:rsidR="00B1633E">
        <w:rPr>
          <w:rFonts w:ascii="Times New Roman" w:hAnsi="Times New Roman" w:cs="Times New Roman"/>
          <w:color w:val="EE0000"/>
          <w:sz w:val="24"/>
          <w:szCs w:val="24"/>
        </w:rPr>
        <w:t>(</w:t>
      </w:r>
      <w:r w:rsidRPr="008728BA">
        <w:rPr>
          <w:rFonts w:ascii="Times New Roman" w:hAnsi="Times New Roman" w:cs="Times New Roman"/>
          <w:color w:val="EE0000"/>
          <w:sz w:val="24"/>
          <w:szCs w:val="24"/>
        </w:rPr>
        <w:t>2018</w:t>
      </w:r>
      <w:r w:rsidR="00B1633E">
        <w:rPr>
          <w:rFonts w:ascii="Times New Roman" w:hAnsi="Times New Roman" w:cs="Times New Roman"/>
          <w:color w:val="EE0000"/>
          <w:sz w:val="24"/>
          <w:szCs w:val="24"/>
        </w:rPr>
        <w:t>)</w:t>
      </w:r>
      <w:r w:rsidRPr="008728BA">
        <w:rPr>
          <w:rFonts w:ascii="Times New Roman" w:hAnsi="Times New Roman" w:cs="Times New Roman"/>
          <w:color w:val="EE0000"/>
          <w:sz w:val="24"/>
          <w:szCs w:val="24"/>
        </w:rPr>
        <w:t xml:space="preserve">. </w:t>
      </w:r>
      <w:r w:rsidR="00BF5E83">
        <w:rPr>
          <w:rFonts w:ascii="Times New Roman" w:hAnsi="Times New Roman" w:cs="Times New Roman"/>
          <w:color w:val="EE0000"/>
          <w:sz w:val="24"/>
          <w:szCs w:val="24"/>
        </w:rPr>
        <w:t>"</w:t>
      </w:r>
      <w:r w:rsidRPr="008728BA">
        <w:rPr>
          <w:rFonts w:ascii="Times New Roman" w:hAnsi="Times New Roman" w:cs="Times New Roman"/>
          <w:color w:val="EE0000"/>
          <w:sz w:val="24"/>
          <w:szCs w:val="24"/>
        </w:rPr>
        <w:t>The Trouble with Cover Crops: Farmers</w:t>
      </w:r>
      <w:r w:rsidR="00BF5E83">
        <w:rPr>
          <w:rFonts w:ascii="Times New Roman" w:hAnsi="Times New Roman" w:cs="Times New Roman"/>
          <w:color w:val="EE0000"/>
          <w:sz w:val="24"/>
          <w:szCs w:val="24"/>
        </w:rPr>
        <w:t>'</w:t>
      </w:r>
      <w:r w:rsidRPr="008728BA">
        <w:rPr>
          <w:rFonts w:ascii="Times New Roman" w:hAnsi="Times New Roman" w:cs="Times New Roman"/>
          <w:color w:val="EE0000"/>
          <w:sz w:val="24"/>
          <w:szCs w:val="24"/>
        </w:rPr>
        <w:t xml:space="preserve"> Experiences with Overcoming Barriers to Adoption.</w:t>
      </w:r>
      <w:r w:rsidR="00BF5E83">
        <w:rPr>
          <w:rFonts w:ascii="Times New Roman" w:hAnsi="Times New Roman" w:cs="Times New Roman"/>
          <w:color w:val="EE0000"/>
          <w:sz w:val="24"/>
          <w:szCs w:val="24"/>
        </w:rPr>
        <w:t>"</w:t>
      </w:r>
      <w:r w:rsidRPr="008728BA">
        <w:rPr>
          <w:rFonts w:ascii="Times New Roman" w:hAnsi="Times New Roman" w:cs="Times New Roman"/>
          <w:color w:val="EE0000"/>
          <w:sz w:val="24"/>
          <w:szCs w:val="24"/>
        </w:rPr>
        <w:t xml:space="preserve"> </w:t>
      </w:r>
      <w:r w:rsidRPr="008728BA">
        <w:rPr>
          <w:rFonts w:ascii="Times New Roman" w:hAnsi="Times New Roman" w:cs="Times New Roman"/>
          <w:i/>
          <w:iCs/>
          <w:color w:val="EE0000"/>
          <w:sz w:val="24"/>
          <w:szCs w:val="24"/>
        </w:rPr>
        <w:t xml:space="preserve">Renewable Agriculture and Food Systems </w:t>
      </w:r>
      <w:r w:rsidRPr="008728BA">
        <w:rPr>
          <w:rFonts w:ascii="Times New Roman" w:hAnsi="Times New Roman" w:cs="Times New Roman"/>
          <w:color w:val="EE0000"/>
          <w:sz w:val="24"/>
          <w:szCs w:val="24"/>
        </w:rPr>
        <w:t>33 (4): 322–333. https://doi.org/10.1017/S1742170517000096.</w:t>
      </w:r>
    </w:p>
    <w:p w14:paraId="02635609" w14:textId="77777777"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Rogers, E. M. (2003). </w:t>
      </w:r>
      <w:r w:rsidRPr="01F5E783">
        <w:rPr>
          <w:rFonts w:ascii="Times New Roman" w:hAnsi="Times New Roman" w:cs="Times New Roman"/>
          <w:i/>
          <w:iCs/>
          <w:sz w:val="24"/>
          <w:szCs w:val="24"/>
        </w:rPr>
        <w:t>Diffusion of innovations</w:t>
      </w:r>
      <w:r w:rsidRPr="01F5E783">
        <w:rPr>
          <w:rFonts w:ascii="Times New Roman" w:hAnsi="Times New Roman" w:cs="Times New Roman"/>
          <w:sz w:val="24"/>
          <w:szCs w:val="24"/>
        </w:rPr>
        <w:t xml:space="preserve"> (5th ed.). Free Press.</w:t>
      </w:r>
    </w:p>
    <w:p w14:paraId="092402F6" w14:textId="17DE934D" w:rsidR="00B6148D" w:rsidRPr="0036466E" w:rsidRDefault="1F65EAB5" w:rsidP="00EF76E0">
      <w:pPr>
        <w:spacing w:after="0" w:line="240" w:lineRule="auto"/>
        <w:ind w:right="-180" w:hanging="630"/>
        <w:jc w:val="both"/>
        <w:rPr>
          <w:rStyle w:val="Hyperlink"/>
          <w:rFonts w:ascii="Times New Roman" w:hAnsi="Times New Roman" w:cs="Times New Roman"/>
          <w:color w:val="auto"/>
          <w:sz w:val="24"/>
          <w:szCs w:val="24"/>
          <w:u w:val="none"/>
        </w:rPr>
      </w:pPr>
      <w:r w:rsidRPr="096975FB">
        <w:rPr>
          <w:rFonts w:ascii="Times New Roman" w:hAnsi="Times New Roman" w:cs="Times New Roman"/>
          <w:sz w:val="24"/>
          <w:szCs w:val="24"/>
        </w:rPr>
        <w:t xml:space="preserve">Rosenberg, A. B., &amp; Pratt, B. (2024). Land use impacts of the Conservation Reserve Program: An analysis of rejected offers. </w:t>
      </w:r>
      <w:r w:rsidRPr="096975FB">
        <w:rPr>
          <w:rFonts w:ascii="Times New Roman" w:hAnsi="Times New Roman" w:cs="Times New Roman"/>
          <w:i/>
          <w:iCs/>
          <w:sz w:val="24"/>
          <w:szCs w:val="24"/>
        </w:rPr>
        <w:t>American Journal of Agricultural Economics, 106</w:t>
      </w:r>
      <w:r w:rsidRPr="096975FB">
        <w:rPr>
          <w:rFonts w:ascii="Times New Roman" w:hAnsi="Times New Roman" w:cs="Times New Roman"/>
          <w:sz w:val="24"/>
          <w:szCs w:val="24"/>
        </w:rPr>
        <w:t>(3), 1217–1240.</w:t>
      </w:r>
    </w:p>
    <w:p w14:paraId="7F441EF8" w14:textId="71973F29" w:rsidR="317C9159" w:rsidRDefault="317C9159" w:rsidP="00EF76E0">
      <w:pPr>
        <w:spacing w:after="0" w:line="240" w:lineRule="auto"/>
        <w:ind w:right="-180" w:hanging="630"/>
        <w:jc w:val="both"/>
        <w:rPr>
          <w:rStyle w:val="Hyperlink"/>
          <w:rFonts w:ascii="Times New Roman" w:eastAsia="Times New Roman" w:hAnsi="Times New Roman" w:cs="Times New Roman"/>
          <w:sz w:val="24"/>
          <w:szCs w:val="24"/>
        </w:rPr>
      </w:pPr>
      <w:r w:rsidRPr="096975FB">
        <w:rPr>
          <w:rFonts w:ascii="Times New Roman" w:eastAsia="Times New Roman" w:hAnsi="Times New Roman" w:cs="Times New Roman"/>
          <w:sz w:val="24"/>
          <w:szCs w:val="24"/>
        </w:rPr>
        <w:t xml:space="preserve">Ryan, R., Prokopy, L. S., &amp; Gordon, B. (2023). Exploring farmer engagement in conservation programs: The role of trust, values, and communication. </w:t>
      </w:r>
      <w:r w:rsidRPr="096975FB">
        <w:rPr>
          <w:rFonts w:ascii="Times New Roman" w:eastAsia="Times New Roman" w:hAnsi="Times New Roman" w:cs="Times New Roman"/>
          <w:i/>
          <w:iCs/>
          <w:sz w:val="24"/>
          <w:szCs w:val="24"/>
        </w:rPr>
        <w:t>Journal of Environmental Management, 325</w:t>
      </w:r>
      <w:r w:rsidRPr="096975FB">
        <w:rPr>
          <w:rFonts w:ascii="Times New Roman" w:eastAsia="Times New Roman" w:hAnsi="Times New Roman" w:cs="Times New Roman"/>
          <w:sz w:val="24"/>
          <w:szCs w:val="24"/>
        </w:rPr>
        <w:t xml:space="preserve">, 116476. </w:t>
      </w:r>
      <w:hyperlink r:id="rId25" w:history="1">
        <w:r w:rsidRPr="096975FB">
          <w:rPr>
            <w:rStyle w:val="Hyperlink"/>
            <w:rFonts w:ascii="Times New Roman" w:eastAsia="Times New Roman" w:hAnsi="Times New Roman" w:cs="Times New Roman"/>
            <w:sz w:val="24"/>
            <w:szCs w:val="24"/>
          </w:rPr>
          <w:t>https://doi.org/10.1016/j.jenvman.2022.116476</w:t>
        </w:r>
      </w:hyperlink>
    </w:p>
    <w:p w14:paraId="67DB63C9" w14:textId="6AC309A5"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lastRenderedPageBreak/>
        <w:t xml:space="preserve">Saha, A., Saha, G. K., Cibin, R., </w:t>
      </w:r>
      <w:proofErr w:type="spellStart"/>
      <w:r w:rsidRPr="01F5E783">
        <w:rPr>
          <w:rFonts w:ascii="Times New Roman" w:hAnsi="Times New Roman" w:cs="Times New Roman"/>
          <w:sz w:val="24"/>
          <w:szCs w:val="24"/>
        </w:rPr>
        <w:t>Spiegal</w:t>
      </w:r>
      <w:proofErr w:type="spellEnd"/>
      <w:r w:rsidRPr="01F5E783">
        <w:rPr>
          <w:rFonts w:ascii="Times New Roman" w:hAnsi="Times New Roman" w:cs="Times New Roman"/>
          <w:sz w:val="24"/>
          <w:szCs w:val="24"/>
        </w:rPr>
        <w:t xml:space="preserve">, S., Kleinman, P. J. A., Veith, T. L., White, C. M., Drohan, P. J., &amp; Tsegaye, T. (2023). Evaluating water quality benefits of manure shed management in the </w:t>
      </w:r>
      <w:r w:rsidR="000A2497">
        <w:rPr>
          <w:rFonts w:ascii="Times New Roman" w:hAnsi="Times New Roman" w:cs="Times New Roman"/>
          <w:sz w:val="24"/>
          <w:szCs w:val="24"/>
        </w:rPr>
        <w:t>Susquehanna</w:t>
      </w:r>
      <w:r w:rsidR="002160D5">
        <w:rPr>
          <w:rFonts w:ascii="Times New Roman" w:hAnsi="Times New Roman" w:cs="Times New Roman"/>
          <w:sz w:val="24"/>
          <w:szCs w:val="24"/>
        </w:rPr>
        <w:t xml:space="preserve"> River</w:t>
      </w:r>
      <w:r w:rsidRPr="01F5E783">
        <w:rPr>
          <w:rFonts w:ascii="Times New Roman" w:hAnsi="Times New Roman" w:cs="Times New Roman"/>
          <w:sz w:val="24"/>
          <w:szCs w:val="24"/>
        </w:rPr>
        <w:t xml:space="preserve"> Basin. </w:t>
      </w:r>
      <w:r w:rsidRPr="01F5E783">
        <w:rPr>
          <w:rFonts w:ascii="Times New Roman" w:hAnsi="Times New Roman" w:cs="Times New Roman"/>
          <w:i/>
          <w:iCs/>
          <w:sz w:val="24"/>
          <w:szCs w:val="24"/>
        </w:rPr>
        <w:t>Journal of Environmental Quality, 52</w:t>
      </w:r>
      <w:r w:rsidRPr="01F5E783">
        <w:rPr>
          <w:rFonts w:ascii="Times New Roman" w:hAnsi="Times New Roman" w:cs="Times New Roman"/>
          <w:sz w:val="24"/>
          <w:szCs w:val="24"/>
        </w:rPr>
        <w:t xml:space="preserve">(2), 328–340. </w:t>
      </w:r>
      <w:hyperlink r:id="rId26">
        <w:r w:rsidRPr="01F5E783">
          <w:rPr>
            <w:rStyle w:val="Hyperlink"/>
            <w:rFonts w:ascii="Times New Roman" w:hAnsi="Times New Roman" w:cs="Times New Roman"/>
            <w:sz w:val="24"/>
            <w:szCs w:val="24"/>
          </w:rPr>
          <w:t>https://doi.org/10.1002/jeq2.20429</w:t>
        </w:r>
      </w:hyperlink>
    </w:p>
    <w:p w14:paraId="66900463" w14:textId="77777777" w:rsidR="00CF3DA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Sandelowski, M. (2000). Whatever happened to qualitative description? </w:t>
      </w:r>
      <w:r w:rsidRPr="01F5E783">
        <w:rPr>
          <w:rFonts w:ascii="Times New Roman" w:hAnsi="Times New Roman" w:cs="Times New Roman"/>
          <w:i/>
          <w:iCs/>
          <w:sz w:val="24"/>
          <w:szCs w:val="24"/>
        </w:rPr>
        <w:t>Research in Nursing &amp; Health, 23</w:t>
      </w:r>
      <w:r w:rsidRPr="01F5E783">
        <w:rPr>
          <w:rFonts w:ascii="Times New Roman" w:hAnsi="Times New Roman" w:cs="Times New Roman"/>
          <w:sz w:val="24"/>
          <w:szCs w:val="24"/>
        </w:rPr>
        <w:t>(4), 334–340.</w:t>
      </w:r>
    </w:p>
    <w:p w14:paraId="1DE3BAFD" w14:textId="1C680411" w:rsidR="00803B0E" w:rsidRPr="0096669D" w:rsidRDefault="00803B0E" w:rsidP="00EF76E0">
      <w:pPr>
        <w:spacing w:after="0" w:line="240" w:lineRule="auto"/>
        <w:ind w:right="-180" w:hanging="630"/>
        <w:jc w:val="both"/>
        <w:rPr>
          <w:rFonts w:ascii="Times New Roman" w:hAnsi="Times New Roman" w:cs="Times New Roman"/>
          <w:color w:val="EE0000"/>
          <w:sz w:val="24"/>
          <w:szCs w:val="24"/>
        </w:rPr>
      </w:pPr>
      <w:proofErr w:type="spellStart"/>
      <w:r w:rsidRPr="0096669D">
        <w:rPr>
          <w:rFonts w:ascii="Times New Roman" w:hAnsi="Times New Roman" w:cs="Times New Roman"/>
          <w:color w:val="EE0000"/>
          <w:sz w:val="24"/>
          <w:szCs w:val="24"/>
        </w:rPr>
        <w:t>Shadish</w:t>
      </w:r>
      <w:proofErr w:type="spellEnd"/>
      <w:r w:rsidRPr="0096669D">
        <w:rPr>
          <w:rFonts w:ascii="Times New Roman" w:hAnsi="Times New Roman" w:cs="Times New Roman"/>
          <w:color w:val="EE0000"/>
          <w:sz w:val="24"/>
          <w:szCs w:val="24"/>
        </w:rPr>
        <w:t>, W. R. (1993). Critical multiplism: A research strategy and its attendant tactics. New directions for program evaluation, 1993 (60), 13-57.</w:t>
      </w:r>
    </w:p>
    <w:p w14:paraId="696EA2A6" w14:textId="77777777"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Stern, P. C. (2000). Toward a coherent theory of environmentally significant behavior. </w:t>
      </w:r>
      <w:r w:rsidRPr="01F5E783">
        <w:rPr>
          <w:rFonts w:ascii="Times New Roman" w:hAnsi="Times New Roman" w:cs="Times New Roman"/>
          <w:i/>
          <w:iCs/>
          <w:sz w:val="24"/>
          <w:szCs w:val="24"/>
        </w:rPr>
        <w:t>Journal of Social Issues, 56</w:t>
      </w:r>
      <w:r w:rsidRPr="01F5E783">
        <w:rPr>
          <w:rFonts w:ascii="Times New Roman" w:hAnsi="Times New Roman" w:cs="Times New Roman"/>
          <w:sz w:val="24"/>
          <w:szCs w:val="24"/>
        </w:rPr>
        <w:t>(3), 407–424.</w:t>
      </w:r>
    </w:p>
    <w:p w14:paraId="5462A274" w14:textId="4FAF86ED" w:rsidR="00CF3DAB" w:rsidRPr="00212F9B" w:rsidRDefault="1A03BBC7"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Taylor, W. R., Borron, A., Holt, J., &amp; Monfort, S. (2024). Assessing </w:t>
      </w:r>
      <w:r w:rsidR="002B4139">
        <w:rPr>
          <w:rFonts w:ascii="Times New Roman" w:hAnsi="Times New Roman" w:cs="Times New Roman"/>
          <w:sz w:val="24"/>
          <w:szCs w:val="24"/>
        </w:rPr>
        <w:t>farmers'</w:t>
      </w:r>
      <w:r w:rsidRPr="01F5E783">
        <w:rPr>
          <w:rFonts w:ascii="Times New Roman" w:hAnsi="Times New Roman" w:cs="Times New Roman"/>
          <w:sz w:val="24"/>
          <w:szCs w:val="24"/>
        </w:rPr>
        <w:t xml:space="preserve"> perceptions of best management practices: An exploration of the viewpoints of cotton and peanut farmers in Georgia using Q methodology. </w:t>
      </w:r>
      <w:r w:rsidRPr="01F5E783">
        <w:rPr>
          <w:rFonts w:ascii="Times New Roman" w:hAnsi="Times New Roman" w:cs="Times New Roman"/>
          <w:i/>
          <w:iCs/>
          <w:sz w:val="24"/>
          <w:szCs w:val="24"/>
        </w:rPr>
        <w:t>Journal of Applied Communications, 108</w:t>
      </w:r>
      <w:r w:rsidRPr="01F5E783">
        <w:rPr>
          <w:rFonts w:ascii="Times New Roman" w:hAnsi="Times New Roman" w:cs="Times New Roman"/>
          <w:sz w:val="24"/>
          <w:szCs w:val="24"/>
        </w:rPr>
        <w:t xml:space="preserve">(2). </w:t>
      </w:r>
      <w:hyperlink r:id="rId27">
        <w:r w:rsidRPr="01F5E783">
          <w:rPr>
            <w:rStyle w:val="Hyperlink"/>
            <w:rFonts w:ascii="Times New Roman" w:hAnsi="Times New Roman" w:cs="Times New Roman"/>
            <w:sz w:val="24"/>
            <w:szCs w:val="24"/>
          </w:rPr>
          <w:t>https://doi.org/10.4148/1051-0834.2523</w:t>
        </w:r>
      </w:hyperlink>
    </w:p>
    <w:p w14:paraId="66FF2869" w14:textId="77777777"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U.S. Department of Agriculture, Economic Research Service. (2022). </w:t>
      </w:r>
      <w:r w:rsidRPr="01F5E783">
        <w:rPr>
          <w:rFonts w:ascii="Times New Roman" w:hAnsi="Times New Roman" w:cs="Times New Roman"/>
          <w:i/>
          <w:iCs/>
          <w:sz w:val="24"/>
          <w:szCs w:val="24"/>
        </w:rPr>
        <w:t>Conservation practice adoption rates and trends</w:t>
      </w:r>
      <w:r w:rsidRPr="01F5E783">
        <w:rPr>
          <w:rFonts w:ascii="Times New Roman" w:hAnsi="Times New Roman" w:cs="Times New Roman"/>
          <w:sz w:val="24"/>
          <w:szCs w:val="24"/>
        </w:rPr>
        <w:t xml:space="preserve">. Retrieved May 29, 2025, from </w:t>
      </w:r>
      <w:hyperlink r:id="rId28">
        <w:r w:rsidRPr="01F5E783">
          <w:rPr>
            <w:rStyle w:val="Hyperlink"/>
            <w:rFonts w:ascii="Times New Roman" w:hAnsi="Times New Roman" w:cs="Times New Roman"/>
            <w:sz w:val="24"/>
            <w:szCs w:val="24"/>
          </w:rPr>
          <w:t>https://www.ers.usda.gov/data-products/farm-typology-and-land-use/conservation-practice-adoptionratesandtrends/</w:t>
        </w:r>
      </w:hyperlink>
    </w:p>
    <w:p w14:paraId="65BE300A" w14:textId="4C95D5E2"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United Nations Environment Programme</w:t>
      </w:r>
      <w:r w:rsidR="00A17213">
        <w:rPr>
          <w:rFonts w:ascii="Times New Roman" w:hAnsi="Times New Roman" w:cs="Times New Roman"/>
          <w:sz w:val="24"/>
          <w:szCs w:val="24"/>
        </w:rPr>
        <w:t xml:space="preserve"> (UNEP)</w:t>
      </w:r>
      <w:r w:rsidRPr="01F5E783">
        <w:rPr>
          <w:rFonts w:ascii="Times New Roman" w:hAnsi="Times New Roman" w:cs="Times New Roman"/>
          <w:sz w:val="24"/>
          <w:szCs w:val="24"/>
        </w:rPr>
        <w:t xml:space="preserve">. (2021). </w:t>
      </w:r>
      <w:r w:rsidRPr="01F5E783">
        <w:rPr>
          <w:rFonts w:ascii="Times New Roman" w:hAnsi="Times New Roman" w:cs="Times New Roman"/>
          <w:i/>
          <w:iCs/>
          <w:sz w:val="24"/>
          <w:szCs w:val="24"/>
        </w:rPr>
        <w:t>The state of water pollution: A review of challenges and solutions</w:t>
      </w:r>
      <w:r w:rsidRPr="01F5E783">
        <w:rPr>
          <w:rFonts w:ascii="Times New Roman" w:hAnsi="Times New Roman" w:cs="Times New Roman"/>
          <w:sz w:val="24"/>
          <w:szCs w:val="24"/>
        </w:rPr>
        <w:t>. UNEP.</w:t>
      </w:r>
    </w:p>
    <w:p w14:paraId="4C45DF0D" w14:textId="1A143D96" w:rsidR="00CF3DAB" w:rsidRPr="00212F9B" w:rsidRDefault="1A03BBC7"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Warner, L. A., Lamm, A. J., &amp; Silvert, C. (2020). Diffusion of water</w:t>
      </w:r>
      <w:r w:rsidR="0096338C">
        <w:rPr>
          <w:rFonts w:ascii="Times New Roman" w:hAnsi="Times New Roman" w:cs="Times New Roman"/>
          <w:sz w:val="24"/>
          <w:szCs w:val="24"/>
        </w:rPr>
        <w:t xml:space="preserve"> </w:t>
      </w:r>
      <w:r w:rsidRPr="01F5E783">
        <w:rPr>
          <w:rFonts w:ascii="Times New Roman" w:hAnsi="Times New Roman" w:cs="Times New Roman"/>
          <w:sz w:val="24"/>
          <w:szCs w:val="24"/>
        </w:rPr>
        <w:t xml:space="preserve">saving irrigation innovations in </w:t>
      </w:r>
      <w:r w:rsidR="002B4139">
        <w:rPr>
          <w:rFonts w:ascii="Times New Roman" w:hAnsi="Times New Roman" w:cs="Times New Roman"/>
          <w:sz w:val="24"/>
          <w:szCs w:val="24"/>
        </w:rPr>
        <w:t>Florida's</w:t>
      </w:r>
      <w:r w:rsidRPr="01F5E783">
        <w:rPr>
          <w:rFonts w:ascii="Times New Roman" w:hAnsi="Times New Roman" w:cs="Times New Roman"/>
          <w:sz w:val="24"/>
          <w:szCs w:val="24"/>
        </w:rPr>
        <w:t xml:space="preserve"> urban residential landscapes. </w:t>
      </w:r>
      <w:r w:rsidRPr="01F5E783">
        <w:rPr>
          <w:rFonts w:ascii="Times New Roman" w:hAnsi="Times New Roman" w:cs="Times New Roman"/>
          <w:i/>
          <w:iCs/>
          <w:sz w:val="24"/>
          <w:szCs w:val="24"/>
        </w:rPr>
        <w:t>Urban Forestry &amp; Urban Greening, 47</w:t>
      </w:r>
      <w:r w:rsidRPr="01F5E783">
        <w:rPr>
          <w:rFonts w:ascii="Times New Roman" w:hAnsi="Times New Roman" w:cs="Times New Roman"/>
          <w:sz w:val="24"/>
          <w:szCs w:val="24"/>
        </w:rPr>
        <w:t xml:space="preserve">, Article 126540. </w:t>
      </w:r>
      <w:hyperlink r:id="rId29">
        <w:r w:rsidRPr="01F5E783">
          <w:rPr>
            <w:rStyle w:val="Hyperlink"/>
            <w:rFonts w:ascii="Times New Roman" w:hAnsi="Times New Roman" w:cs="Times New Roman"/>
            <w:sz w:val="24"/>
            <w:szCs w:val="24"/>
          </w:rPr>
          <w:t>https://doi.org/10.1016/j.ufug.2019.126540</w:t>
        </w:r>
      </w:hyperlink>
    </w:p>
    <w:p w14:paraId="2F8AD362" w14:textId="40092EA8" w:rsidR="00CF3DAB" w:rsidRPr="00212F9B" w:rsidRDefault="00CF3DAB" w:rsidP="00EF76E0">
      <w:pPr>
        <w:spacing w:after="0" w:line="240" w:lineRule="auto"/>
        <w:ind w:right="-180" w:hanging="630"/>
        <w:jc w:val="both"/>
        <w:rPr>
          <w:rFonts w:ascii="Times New Roman" w:hAnsi="Times New Roman" w:cs="Times New Roman"/>
          <w:sz w:val="24"/>
          <w:szCs w:val="24"/>
        </w:rPr>
      </w:pPr>
      <w:r w:rsidRPr="01F5E783">
        <w:rPr>
          <w:rFonts w:ascii="Times New Roman" w:hAnsi="Times New Roman" w:cs="Times New Roman"/>
          <w:sz w:val="24"/>
          <w:szCs w:val="24"/>
        </w:rPr>
        <w:t xml:space="preserve">Wauters, E., &amp; Mathijs, E. (2014). The adoption of </w:t>
      </w:r>
      <w:proofErr w:type="gramStart"/>
      <w:r w:rsidRPr="01F5E783">
        <w:rPr>
          <w:rFonts w:ascii="Times New Roman" w:hAnsi="Times New Roman" w:cs="Times New Roman"/>
          <w:sz w:val="24"/>
          <w:szCs w:val="24"/>
        </w:rPr>
        <w:t>farm</w:t>
      </w:r>
      <w:r w:rsidR="0096338C">
        <w:rPr>
          <w:rFonts w:ascii="Times New Roman" w:hAnsi="Times New Roman" w:cs="Times New Roman"/>
          <w:sz w:val="24"/>
          <w:szCs w:val="24"/>
        </w:rPr>
        <w:t xml:space="preserve">  </w:t>
      </w:r>
      <w:r w:rsidRPr="01F5E783">
        <w:rPr>
          <w:rFonts w:ascii="Times New Roman" w:hAnsi="Times New Roman" w:cs="Times New Roman"/>
          <w:sz w:val="24"/>
          <w:szCs w:val="24"/>
        </w:rPr>
        <w:t>level</w:t>
      </w:r>
      <w:proofErr w:type="gramEnd"/>
      <w:r w:rsidRPr="01F5E783">
        <w:rPr>
          <w:rFonts w:ascii="Times New Roman" w:hAnsi="Times New Roman" w:cs="Times New Roman"/>
          <w:sz w:val="24"/>
          <w:szCs w:val="24"/>
        </w:rPr>
        <w:t xml:space="preserve"> soil conservation practices in developed countries: A </w:t>
      </w:r>
      <w:proofErr w:type="gramStart"/>
      <w:r w:rsidR="0096338C" w:rsidRPr="01F5E783">
        <w:rPr>
          <w:rFonts w:ascii="Times New Roman" w:hAnsi="Times New Roman" w:cs="Times New Roman"/>
          <w:sz w:val="24"/>
          <w:szCs w:val="24"/>
        </w:rPr>
        <w:t>meta analytic</w:t>
      </w:r>
      <w:proofErr w:type="gramEnd"/>
      <w:r w:rsidRPr="01F5E783">
        <w:rPr>
          <w:rFonts w:ascii="Times New Roman" w:hAnsi="Times New Roman" w:cs="Times New Roman"/>
          <w:sz w:val="24"/>
          <w:szCs w:val="24"/>
        </w:rPr>
        <w:t xml:space="preserve"> review. </w:t>
      </w:r>
      <w:r w:rsidRPr="01F5E783">
        <w:rPr>
          <w:rFonts w:ascii="Times New Roman" w:hAnsi="Times New Roman" w:cs="Times New Roman"/>
          <w:i/>
          <w:iCs/>
          <w:sz w:val="24"/>
          <w:szCs w:val="24"/>
        </w:rPr>
        <w:t>International Journal of Agricultural Resources, Governance and Ecology, 10</w:t>
      </w:r>
      <w:r w:rsidRPr="01F5E783">
        <w:rPr>
          <w:rFonts w:ascii="Times New Roman" w:hAnsi="Times New Roman" w:cs="Times New Roman"/>
          <w:sz w:val="24"/>
          <w:szCs w:val="24"/>
        </w:rPr>
        <w:t xml:space="preserve">, 78–102. </w:t>
      </w:r>
      <w:hyperlink r:id="rId30">
        <w:r w:rsidRPr="01F5E783">
          <w:rPr>
            <w:rStyle w:val="Hyperlink"/>
            <w:rFonts w:ascii="Times New Roman" w:hAnsi="Times New Roman" w:cs="Times New Roman"/>
            <w:sz w:val="24"/>
            <w:szCs w:val="24"/>
          </w:rPr>
          <w:t>https://doi.org/10.13140/2.1.3770.1766</w:t>
        </w:r>
      </w:hyperlink>
    </w:p>
    <w:p w14:paraId="396B9A22" w14:textId="2F280C6E" w:rsidR="1F65EAB5" w:rsidRDefault="1F65EAB5" w:rsidP="00EF76E0">
      <w:pPr>
        <w:spacing w:after="0" w:line="240" w:lineRule="auto"/>
        <w:ind w:right="-180" w:hanging="630"/>
        <w:jc w:val="both"/>
        <w:rPr>
          <w:rStyle w:val="Hyperlink"/>
          <w:rFonts w:ascii="Times New Roman" w:eastAsia="Times New Roman" w:hAnsi="Times New Roman" w:cs="Times New Roman"/>
          <w:color w:val="0000FF"/>
          <w:sz w:val="24"/>
          <w:szCs w:val="24"/>
        </w:rPr>
      </w:pPr>
      <w:r w:rsidRPr="096975FB">
        <w:rPr>
          <w:rFonts w:ascii="Times New Roman" w:hAnsi="Times New Roman" w:cs="Times New Roman"/>
          <w:sz w:val="24"/>
          <w:szCs w:val="24"/>
        </w:rPr>
        <w:t xml:space="preserve">Yang, Y. Y., &amp; Toor, G. S. (2018). Stormwater runoff driven phosphorus transport in an urban residential catchment: Implications for protecting water quality in urban watersheds. </w:t>
      </w:r>
      <w:r w:rsidRPr="096975FB">
        <w:rPr>
          <w:rFonts w:ascii="Times New Roman" w:hAnsi="Times New Roman" w:cs="Times New Roman"/>
          <w:i/>
          <w:iCs/>
          <w:sz w:val="24"/>
          <w:szCs w:val="24"/>
        </w:rPr>
        <w:t>Scientific Reports, 8</w:t>
      </w:r>
      <w:r w:rsidRPr="096975FB">
        <w:rPr>
          <w:rFonts w:ascii="Times New Roman" w:hAnsi="Times New Roman" w:cs="Times New Roman"/>
          <w:sz w:val="24"/>
          <w:szCs w:val="24"/>
        </w:rPr>
        <w:t>, Article 10485.</w:t>
      </w:r>
    </w:p>
    <w:p w14:paraId="3297F50A" w14:textId="2AE7C51D" w:rsidR="5360BFEA" w:rsidRDefault="5360BFEA" w:rsidP="00EF76E0">
      <w:pPr>
        <w:spacing w:after="0" w:line="240" w:lineRule="auto"/>
        <w:ind w:right="-180" w:hanging="630"/>
        <w:jc w:val="both"/>
        <w:rPr>
          <w:rStyle w:val="Hyperlink"/>
          <w:rFonts w:ascii="Times New Roman" w:eastAsia="Times New Roman" w:hAnsi="Times New Roman" w:cs="Times New Roman"/>
          <w:color w:val="0000FF"/>
          <w:sz w:val="24"/>
          <w:szCs w:val="24"/>
        </w:rPr>
      </w:pPr>
      <w:r w:rsidRPr="096975FB">
        <w:rPr>
          <w:rFonts w:ascii="Times New Roman" w:eastAsia="Times New Roman" w:hAnsi="Times New Roman" w:cs="Times New Roman"/>
          <w:sz w:val="24"/>
          <w:szCs w:val="24"/>
        </w:rPr>
        <w:t xml:space="preserve">Yeboah, F. K., Lupi, F., &amp; Kaplowitz, M. D. (2015). Agricultural </w:t>
      </w:r>
      <w:r w:rsidR="002B4139">
        <w:rPr>
          <w:rFonts w:ascii="Times New Roman" w:eastAsia="Times New Roman" w:hAnsi="Times New Roman" w:cs="Times New Roman"/>
          <w:sz w:val="24"/>
          <w:szCs w:val="24"/>
        </w:rPr>
        <w:t>landowners'</w:t>
      </w:r>
      <w:r w:rsidRPr="096975FB">
        <w:rPr>
          <w:rFonts w:ascii="Times New Roman" w:eastAsia="Times New Roman" w:hAnsi="Times New Roman" w:cs="Times New Roman"/>
          <w:sz w:val="24"/>
          <w:szCs w:val="24"/>
        </w:rPr>
        <w:t xml:space="preserve"> willingness to participate in a filter strip program for watershed protection. </w:t>
      </w:r>
      <w:r w:rsidRPr="096975FB">
        <w:rPr>
          <w:rFonts w:ascii="Times New Roman" w:eastAsia="Times New Roman" w:hAnsi="Times New Roman" w:cs="Times New Roman"/>
          <w:i/>
          <w:iCs/>
          <w:sz w:val="24"/>
          <w:szCs w:val="24"/>
        </w:rPr>
        <w:t>Land Use Policy, 49</w:t>
      </w:r>
      <w:r w:rsidRPr="096975FB">
        <w:rPr>
          <w:rFonts w:ascii="Times New Roman" w:eastAsia="Times New Roman" w:hAnsi="Times New Roman" w:cs="Times New Roman"/>
          <w:sz w:val="24"/>
          <w:szCs w:val="24"/>
        </w:rPr>
        <w:t xml:space="preserve">, 75–85. </w:t>
      </w:r>
      <w:hyperlink r:id="rId31" w:history="1">
        <w:r w:rsidRPr="096975FB">
          <w:rPr>
            <w:rStyle w:val="Hyperlink"/>
            <w:rFonts w:ascii="Times New Roman" w:eastAsia="Times New Roman" w:hAnsi="Times New Roman" w:cs="Times New Roman"/>
            <w:color w:val="0000FF"/>
            <w:sz w:val="24"/>
            <w:szCs w:val="24"/>
          </w:rPr>
          <w:t>https://doi.org/10.1016/j.landusepol.2015.08.009</w:t>
        </w:r>
      </w:hyperlink>
    </w:p>
    <w:p w14:paraId="31EFC3C1" w14:textId="44C313EB" w:rsidR="00CF3DAB" w:rsidRPr="00212F9B" w:rsidRDefault="00CF3DAB" w:rsidP="00EF76E0">
      <w:pPr>
        <w:spacing w:after="0" w:line="240" w:lineRule="auto"/>
        <w:ind w:right="-180" w:hanging="630"/>
        <w:jc w:val="both"/>
        <w:rPr>
          <w:rFonts w:ascii="Times New Roman" w:hAnsi="Times New Roman" w:cs="Times New Roman"/>
          <w:sz w:val="24"/>
          <w:szCs w:val="24"/>
        </w:rPr>
      </w:pPr>
      <w:proofErr w:type="spellStart"/>
      <w:r w:rsidRPr="01F5E783">
        <w:rPr>
          <w:rFonts w:ascii="Times New Roman" w:hAnsi="Times New Roman" w:cs="Times New Roman"/>
          <w:sz w:val="24"/>
          <w:szCs w:val="24"/>
        </w:rPr>
        <w:t>Zandaryaa</w:t>
      </w:r>
      <w:proofErr w:type="spellEnd"/>
      <w:r w:rsidRPr="01F5E783">
        <w:rPr>
          <w:rFonts w:ascii="Times New Roman" w:hAnsi="Times New Roman" w:cs="Times New Roman"/>
          <w:sz w:val="24"/>
          <w:szCs w:val="24"/>
        </w:rPr>
        <w:t>, S., &amp; Mateo</w:t>
      </w:r>
      <w:r w:rsidR="0096338C">
        <w:rPr>
          <w:rFonts w:ascii="Times New Roman" w:hAnsi="Times New Roman" w:cs="Times New Roman"/>
          <w:sz w:val="24"/>
          <w:szCs w:val="24"/>
        </w:rPr>
        <w:t xml:space="preserve"> </w:t>
      </w:r>
      <w:r w:rsidRPr="01F5E783">
        <w:rPr>
          <w:rFonts w:ascii="Times New Roman" w:hAnsi="Times New Roman" w:cs="Times New Roman"/>
          <w:sz w:val="24"/>
          <w:szCs w:val="24"/>
        </w:rPr>
        <w:t>Sagasta, J. (2018). Organic matter, pathogens, and emerging pollutants. In J. Mate</w:t>
      </w:r>
      <w:r w:rsidR="0096338C">
        <w:rPr>
          <w:rFonts w:ascii="Times New Roman" w:hAnsi="Times New Roman" w:cs="Times New Roman"/>
          <w:sz w:val="24"/>
          <w:szCs w:val="24"/>
        </w:rPr>
        <w:t xml:space="preserve">o </w:t>
      </w:r>
      <w:r w:rsidRPr="01F5E783">
        <w:rPr>
          <w:rFonts w:ascii="Times New Roman" w:hAnsi="Times New Roman" w:cs="Times New Roman"/>
          <w:sz w:val="24"/>
          <w:szCs w:val="24"/>
        </w:rPr>
        <w:t xml:space="preserve">Sagasta, S. M. Zadeh, &amp; H. </w:t>
      </w:r>
      <w:proofErr w:type="spellStart"/>
      <w:r w:rsidRPr="01F5E783">
        <w:rPr>
          <w:rFonts w:ascii="Times New Roman" w:hAnsi="Times New Roman" w:cs="Times New Roman"/>
          <w:sz w:val="24"/>
          <w:szCs w:val="24"/>
        </w:rPr>
        <w:t>Turral</w:t>
      </w:r>
      <w:proofErr w:type="spellEnd"/>
      <w:r w:rsidRPr="01F5E783">
        <w:rPr>
          <w:rFonts w:ascii="Times New Roman" w:hAnsi="Times New Roman" w:cs="Times New Roman"/>
          <w:sz w:val="24"/>
          <w:szCs w:val="24"/>
        </w:rPr>
        <w:t xml:space="preserve"> (Eds.), </w:t>
      </w:r>
      <w:r w:rsidRPr="01F5E783">
        <w:rPr>
          <w:rFonts w:ascii="Times New Roman" w:hAnsi="Times New Roman" w:cs="Times New Roman"/>
          <w:i/>
          <w:iCs/>
          <w:sz w:val="24"/>
          <w:szCs w:val="24"/>
        </w:rPr>
        <w:t>More people, more food, worse water? A global review of water pollution from agriculture</w:t>
      </w:r>
      <w:r w:rsidRPr="01F5E783">
        <w:rPr>
          <w:rFonts w:ascii="Times New Roman" w:hAnsi="Times New Roman" w:cs="Times New Roman"/>
          <w:sz w:val="24"/>
          <w:szCs w:val="24"/>
        </w:rPr>
        <w:t xml:space="preserve"> (pp. 125–138). FAO &amp; IWMI. </w:t>
      </w:r>
      <w:hyperlink r:id="rId32">
        <w:r w:rsidRPr="01F5E783">
          <w:rPr>
            <w:rStyle w:val="Hyperlink"/>
            <w:rFonts w:ascii="Times New Roman" w:hAnsi="Times New Roman" w:cs="Times New Roman"/>
            <w:sz w:val="24"/>
            <w:szCs w:val="24"/>
          </w:rPr>
          <w:t>http://www.fao.org/3/ca0146en/CA0146EN.pdf</w:t>
        </w:r>
      </w:hyperlink>
    </w:p>
    <w:p w14:paraId="58BD6CD8" w14:textId="3B9C9E7A" w:rsidR="00FC1DC9" w:rsidRPr="0037218B" w:rsidRDefault="00CF3DAB" w:rsidP="00EF76E0">
      <w:pPr>
        <w:spacing w:after="0" w:line="240" w:lineRule="auto"/>
        <w:ind w:right="-180" w:hanging="630"/>
        <w:jc w:val="both"/>
      </w:pPr>
      <w:r w:rsidRPr="00D018F8">
        <w:rPr>
          <w:rFonts w:ascii="Times New Roman" w:hAnsi="Times New Roman" w:cs="Times New Roman"/>
          <w:sz w:val="24"/>
          <w:szCs w:val="24"/>
          <w:lang w:val="de-DE"/>
        </w:rPr>
        <w:t xml:space="preserve">Zhu, X., Zheng, H., Zuo, D., Pang, Q., Xie, L., Wang, L., … </w:t>
      </w:r>
      <w:r w:rsidRPr="01F5E783">
        <w:rPr>
          <w:rFonts w:ascii="Times New Roman" w:hAnsi="Times New Roman" w:cs="Times New Roman"/>
          <w:sz w:val="24"/>
          <w:szCs w:val="24"/>
        </w:rPr>
        <w:t xml:space="preserve">Jin, J. (2024). Effects of human activities and climate change on water quality and health risks of typical urban rivers in arid/semi-arid areas: A </w:t>
      </w:r>
      <w:proofErr w:type="gramStart"/>
      <w:r w:rsidRPr="01F5E783">
        <w:rPr>
          <w:rFonts w:ascii="Times New Roman" w:hAnsi="Times New Roman" w:cs="Times New Roman"/>
          <w:sz w:val="24"/>
          <w:szCs w:val="24"/>
        </w:rPr>
        <w:t>ten</w:t>
      </w:r>
      <w:r w:rsidR="00766FB5">
        <w:rPr>
          <w:rFonts w:ascii="Times New Roman" w:hAnsi="Times New Roman" w:cs="Times New Roman"/>
          <w:sz w:val="24"/>
          <w:szCs w:val="24"/>
        </w:rPr>
        <w:t xml:space="preserve"> </w:t>
      </w:r>
      <w:r w:rsidRPr="01F5E783">
        <w:rPr>
          <w:rFonts w:ascii="Times New Roman" w:hAnsi="Times New Roman" w:cs="Times New Roman"/>
          <w:sz w:val="24"/>
          <w:szCs w:val="24"/>
        </w:rPr>
        <w:t>year</w:t>
      </w:r>
      <w:proofErr w:type="gramEnd"/>
      <w:r w:rsidRPr="01F5E783">
        <w:rPr>
          <w:rFonts w:ascii="Times New Roman" w:hAnsi="Times New Roman" w:cs="Times New Roman"/>
          <w:sz w:val="24"/>
          <w:szCs w:val="24"/>
        </w:rPr>
        <w:t xml:space="preserve"> historical analysis. </w:t>
      </w:r>
      <w:r w:rsidRPr="01F5E783">
        <w:rPr>
          <w:rFonts w:ascii="Times New Roman" w:hAnsi="Times New Roman" w:cs="Times New Roman"/>
          <w:i/>
          <w:iCs/>
          <w:sz w:val="24"/>
          <w:szCs w:val="24"/>
        </w:rPr>
        <w:t>Environmental Science: Water Research &amp; Technology, 11</w:t>
      </w:r>
      <w:r w:rsidRPr="01F5E783">
        <w:rPr>
          <w:rFonts w:ascii="Times New Roman" w:hAnsi="Times New Roman" w:cs="Times New Roman"/>
          <w:sz w:val="24"/>
          <w:szCs w:val="24"/>
        </w:rPr>
        <w:t xml:space="preserve">, 352–364. </w:t>
      </w:r>
      <w:hyperlink r:id="rId33">
        <w:r w:rsidRPr="01F5E783">
          <w:rPr>
            <w:rStyle w:val="Hyperlink"/>
            <w:rFonts w:ascii="Times New Roman" w:hAnsi="Times New Roman" w:cs="Times New Roman"/>
            <w:sz w:val="24"/>
            <w:szCs w:val="24"/>
          </w:rPr>
          <w:t>https://doi.org/10.1039/D4EW00689E</w:t>
        </w:r>
      </w:hyperlink>
    </w:p>
    <w:sectPr w:rsidR="00FC1DC9" w:rsidRPr="0037218B" w:rsidSect="00BB1FEA">
      <w:headerReference w:type="default" r:id="rId34"/>
      <w:footerReference w:type="default" r:id="rId35"/>
      <w:pgSz w:w="12240" w:h="15840"/>
      <w:pgMar w:top="12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13A0E" w14:textId="77777777" w:rsidR="008921B7" w:rsidRDefault="008921B7" w:rsidP="00BB1FEA">
      <w:pPr>
        <w:spacing w:after="0" w:line="240" w:lineRule="auto"/>
      </w:pPr>
      <w:r>
        <w:separator/>
      </w:r>
    </w:p>
  </w:endnote>
  <w:endnote w:type="continuationSeparator" w:id="0">
    <w:p w14:paraId="7FB977DD" w14:textId="77777777" w:rsidR="008921B7" w:rsidRDefault="008921B7" w:rsidP="00BB1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0C0703" w14:paraId="7A57193A" w14:textId="77777777">
      <w:trPr>
        <w:trHeight w:val="300"/>
      </w:trPr>
      <w:tc>
        <w:tcPr>
          <w:tcW w:w="3120" w:type="dxa"/>
        </w:tcPr>
        <w:p w14:paraId="1BD325F6" w14:textId="77777777" w:rsidR="00B55819" w:rsidRDefault="00B55819">
          <w:pPr>
            <w:pStyle w:val="Header"/>
            <w:ind w:left="-115"/>
          </w:pPr>
        </w:p>
      </w:tc>
      <w:tc>
        <w:tcPr>
          <w:tcW w:w="3120" w:type="dxa"/>
        </w:tcPr>
        <w:p w14:paraId="0E63FC87" w14:textId="77777777" w:rsidR="00B55819" w:rsidRDefault="00DC1D6C">
          <w:pPr>
            <w:pStyle w:val="Header"/>
            <w:jc w:val="center"/>
          </w:pPr>
          <w:r>
            <w:fldChar w:fldCharType="begin"/>
          </w:r>
          <w:r>
            <w:instrText>PAGE</w:instrText>
          </w:r>
          <w:r>
            <w:fldChar w:fldCharType="separate"/>
          </w:r>
          <w:r>
            <w:rPr>
              <w:noProof/>
            </w:rPr>
            <w:t>1</w:t>
          </w:r>
          <w:r>
            <w:fldChar w:fldCharType="end"/>
          </w:r>
        </w:p>
      </w:tc>
      <w:tc>
        <w:tcPr>
          <w:tcW w:w="3120" w:type="dxa"/>
        </w:tcPr>
        <w:p w14:paraId="2CDB7653" w14:textId="77777777" w:rsidR="00B55819" w:rsidRDefault="00B55819">
          <w:pPr>
            <w:pStyle w:val="Header"/>
            <w:ind w:right="-115"/>
            <w:jc w:val="right"/>
          </w:pPr>
        </w:p>
      </w:tc>
    </w:tr>
  </w:tbl>
  <w:p w14:paraId="7A6FC66B" w14:textId="77777777" w:rsidR="00B55819" w:rsidRDefault="00B55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85578" w14:textId="77777777" w:rsidR="008921B7" w:rsidRDefault="008921B7" w:rsidP="00BB1FEA">
      <w:pPr>
        <w:spacing w:after="0" w:line="240" w:lineRule="auto"/>
      </w:pPr>
      <w:r>
        <w:separator/>
      </w:r>
    </w:p>
  </w:footnote>
  <w:footnote w:type="continuationSeparator" w:id="0">
    <w:p w14:paraId="21F3ADFD" w14:textId="77777777" w:rsidR="008921B7" w:rsidRDefault="008921B7" w:rsidP="00BB1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1845"/>
      <w:gridCol w:w="4395"/>
    </w:tblGrid>
    <w:tr w:rsidR="000C0703" w14:paraId="103A5E58" w14:textId="77777777" w:rsidTr="00BB1FEA">
      <w:trPr>
        <w:trHeight w:val="90"/>
      </w:trPr>
      <w:tc>
        <w:tcPr>
          <w:tcW w:w="3120" w:type="dxa"/>
        </w:tcPr>
        <w:p w14:paraId="78508776" w14:textId="77777777" w:rsidR="00B55819" w:rsidRDefault="00B55819">
          <w:pPr>
            <w:pStyle w:val="Header"/>
            <w:ind w:left="-115"/>
          </w:pPr>
        </w:p>
      </w:tc>
      <w:tc>
        <w:tcPr>
          <w:tcW w:w="1845" w:type="dxa"/>
        </w:tcPr>
        <w:p w14:paraId="4469AE9B" w14:textId="77777777" w:rsidR="00B55819" w:rsidRDefault="00B55819">
          <w:pPr>
            <w:pStyle w:val="Header"/>
            <w:jc w:val="center"/>
          </w:pPr>
        </w:p>
      </w:tc>
      <w:tc>
        <w:tcPr>
          <w:tcW w:w="4395" w:type="dxa"/>
        </w:tcPr>
        <w:p w14:paraId="5E62D2B5" w14:textId="77777777" w:rsidR="00B55819" w:rsidRDefault="00B55819">
          <w:pPr>
            <w:pStyle w:val="Header"/>
            <w:ind w:right="-115"/>
            <w:jc w:val="right"/>
          </w:pPr>
        </w:p>
      </w:tc>
    </w:tr>
  </w:tbl>
  <w:p w14:paraId="2A4221B9" w14:textId="641BAEEE" w:rsidR="00B55819" w:rsidRPr="00BB1FEA" w:rsidRDefault="00BB1FEA" w:rsidP="00BB1FEA">
    <w:pPr>
      <w:pStyle w:val="Header"/>
      <w:jc w:val="right"/>
      <w:rPr>
        <w:rFonts w:ascii="Times New Roman" w:hAnsi="Times New Roman" w:cs="Times New Roman"/>
        <w:b/>
        <w:bCs/>
        <w:color w:val="262626" w:themeColor="text1" w:themeTint="D9"/>
      </w:rPr>
    </w:pPr>
    <w:r w:rsidRPr="00BB1FEA">
      <w:rPr>
        <w:rFonts w:ascii="Times New Roman" w:hAnsi="Times New Roman" w:cs="Times New Roman"/>
        <w:b/>
        <w:bCs/>
        <w:color w:val="262626" w:themeColor="text1" w:themeTint="D9"/>
      </w:rPr>
      <w:t>Discipline Area: Extension Education</w:t>
    </w:r>
  </w:p>
  <w:p w14:paraId="0B25C647" w14:textId="0283235A" w:rsidR="00BB1FEA" w:rsidRPr="00BB1FEA" w:rsidRDefault="00BB1FEA" w:rsidP="00BB1FEA">
    <w:pPr>
      <w:pStyle w:val="Header"/>
      <w:jc w:val="right"/>
      <w:rPr>
        <w:rFonts w:ascii="Times New Roman" w:hAnsi="Times New Roman" w:cs="Times New Roman"/>
        <w:b/>
        <w:bCs/>
        <w:color w:val="262626" w:themeColor="text1" w:themeTint="D9"/>
      </w:rPr>
    </w:pPr>
    <w:r w:rsidRPr="00BB1FEA">
      <w:rPr>
        <w:rFonts w:ascii="Times New Roman" w:hAnsi="Times New Roman" w:cs="Times New Roman"/>
        <w:b/>
        <w:bCs/>
        <w:color w:val="262626" w:themeColor="text1" w:themeTint="D9"/>
      </w:rPr>
      <w:t>Presentation format: Research Paper</w:t>
    </w:r>
  </w:p>
</w:hdr>
</file>

<file path=word/intelligence2.xml><?xml version="1.0" encoding="utf-8"?>
<int2:intelligence xmlns:int2="http://schemas.microsoft.com/office/intelligence/2020/intelligence" xmlns:oel="http://schemas.microsoft.com/office/2019/extlst">
  <int2:observations>
    <int2:bookmark int2:bookmarkName="_Int_vNQwjgc3" int2:invalidationBookmarkName="" int2:hashCode="Rj/B2vEe4yxrOG" int2:id="oKhIR9I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00B18"/>
    <w:multiLevelType w:val="hybridMultilevel"/>
    <w:tmpl w:val="810E913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C8781B"/>
    <w:multiLevelType w:val="hybridMultilevel"/>
    <w:tmpl w:val="ED86D2DC"/>
    <w:lvl w:ilvl="0" w:tplc="1BB4470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57B61CC0"/>
    <w:multiLevelType w:val="hybridMultilevel"/>
    <w:tmpl w:val="C7DE3CC2"/>
    <w:lvl w:ilvl="0" w:tplc="3EF46CC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21A29A0"/>
    <w:multiLevelType w:val="hybridMultilevel"/>
    <w:tmpl w:val="5818F25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6B83816"/>
    <w:multiLevelType w:val="hybridMultilevel"/>
    <w:tmpl w:val="E0303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6F7251"/>
    <w:multiLevelType w:val="hybridMultilevel"/>
    <w:tmpl w:val="D7962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402072"/>
    <w:multiLevelType w:val="hybridMultilevel"/>
    <w:tmpl w:val="C13CAAF2"/>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70284805">
    <w:abstractNumId w:val="2"/>
  </w:num>
  <w:num w:numId="2" w16cid:durableId="1294479082">
    <w:abstractNumId w:val="5"/>
  </w:num>
  <w:num w:numId="3" w16cid:durableId="754785177">
    <w:abstractNumId w:val="4"/>
  </w:num>
  <w:num w:numId="4" w16cid:durableId="657076863">
    <w:abstractNumId w:val="3"/>
  </w:num>
  <w:num w:numId="5" w16cid:durableId="396981740">
    <w:abstractNumId w:val="0"/>
  </w:num>
  <w:num w:numId="6" w16cid:durableId="1465461192">
    <w:abstractNumId w:val="1"/>
  </w:num>
  <w:num w:numId="7" w16cid:durableId="17986017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I0NzUzMzQ3MzM1N7ZU0lEKTi0uzszPAykwrAUAEaPfXywAAAA="/>
  </w:docVars>
  <w:rsids>
    <w:rsidRoot w:val="00BB1FEA"/>
    <w:rsid w:val="00001FAD"/>
    <w:rsid w:val="00005297"/>
    <w:rsid w:val="00021B4D"/>
    <w:rsid w:val="00027AED"/>
    <w:rsid w:val="00040CB1"/>
    <w:rsid w:val="00052A2D"/>
    <w:rsid w:val="00055C79"/>
    <w:rsid w:val="000604AB"/>
    <w:rsid w:val="00070B5A"/>
    <w:rsid w:val="00075943"/>
    <w:rsid w:val="00080F71"/>
    <w:rsid w:val="000A11D0"/>
    <w:rsid w:val="000A2497"/>
    <w:rsid w:val="000B2789"/>
    <w:rsid w:val="000C0703"/>
    <w:rsid w:val="000C1B07"/>
    <w:rsid w:val="000C2B99"/>
    <w:rsid w:val="000C45C5"/>
    <w:rsid w:val="000C5901"/>
    <w:rsid w:val="000C5E92"/>
    <w:rsid w:val="000D09B4"/>
    <w:rsid w:val="000D34CE"/>
    <w:rsid w:val="000D59D3"/>
    <w:rsid w:val="000E0A61"/>
    <w:rsid w:val="000E687D"/>
    <w:rsid w:val="00100E09"/>
    <w:rsid w:val="001105B1"/>
    <w:rsid w:val="0011156B"/>
    <w:rsid w:val="001334CB"/>
    <w:rsid w:val="0014FF61"/>
    <w:rsid w:val="0015716F"/>
    <w:rsid w:val="0016463D"/>
    <w:rsid w:val="0017093D"/>
    <w:rsid w:val="00176D33"/>
    <w:rsid w:val="0018489F"/>
    <w:rsid w:val="0019584C"/>
    <w:rsid w:val="001A38B2"/>
    <w:rsid w:val="001A719B"/>
    <w:rsid w:val="001B0195"/>
    <w:rsid w:val="001E0F73"/>
    <w:rsid w:val="001E4C52"/>
    <w:rsid w:val="002011B0"/>
    <w:rsid w:val="0021392C"/>
    <w:rsid w:val="00213F32"/>
    <w:rsid w:val="002160D5"/>
    <w:rsid w:val="002262FA"/>
    <w:rsid w:val="00226E82"/>
    <w:rsid w:val="00242557"/>
    <w:rsid w:val="00245A6A"/>
    <w:rsid w:val="0025116C"/>
    <w:rsid w:val="00251912"/>
    <w:rsid w:val="00251D9D"/>
    <w:rsid w:val="00252A99"/>
    <w:rsid w:val="00264A54"/>
    <w:rsid w:val="0028336C"/>
    <w:rsid w:val="00284555"/>
    <w:rsid w:val="00287063"/>
    <w:rsid w:val="002876A0"/>
    <w:rsid w:val="00287C07"/>
    <w:rsid w:val="00296D81"/>
    <w:rsid w:val="002A34E6"/>
    <w:rsid w:val="002B2DE9"/>
    <w:rsid w:val="002B4139"/>
    <w:rsid w:val="002B65CF"/>
    <w:rsid w:val="002B68F6"/>
    <w:rsid w:val="002D189E"/>
    <w:rsid w:val="002D3A87"/>
    <w:rsid w:val="002F38A5"/>
    <w:rsid w:val="002F7091"/>
    <w:rsid w:val="003002FB"/>
    <w:rsid w:val="00301180"/>
    <w:rsid w:val="00306002"/>
    <w:rsid w:val="00307F9A"/>
    <w:rsid w:val="003206A6"/>
    <w:rsid w:val="00322312"/>
    <w:rsid w:val="003318B5"/>
    <w:rsid w:val="00333BDC"/>
    <w:rsid w:val="003349ED"/>
    <w:rsid w:val="00334E6C"/>
    <w:rsid w:val="003421D8"/>
    <w:rsid w:val="003428BA"/>
    <w:rsid w:val="00356FD8"/>
    <w:rsid w:val="00361A81"/>
    <w:rsid w:val="0036466E"/>
    <w:rsid w:val="0037218B"/>
    <w:rsid w:val="003752EC"/>
    <w:rsid w:val="00376B80"/>
    <w:rsid w:val="00384890"/>
    <w:rsid w:val="00385F5E"/>
    <w:rsid w:val="003A0A6D"/>
    <w:rsid w:val="003A2101"/>
    <w:rsid w:val="003A2F35"/>
    <w:rsid w:val="003B11C8"/>
    <w:rsid w:val="003B30B3"/>
    <w:rsid w:val="003B4063"/>
    <w:rsid w:val="003C16BB"/>
    <w:rsid w:val="003C41F4"/>
    <w:rsid w:val="003F3E56"/>
    <w:rsid w:val="00400C80"/>
    <w:rsid w:val="00404309"/>
    <w:rsid w:val="0041114E"/>
    <w:rsid w:val="00412EF8"/>
    <w:rsid w:val="00413EBE"/>
    <w:rsid w:val="00413F78"/>
    <w:rsid w:val="0041767C"/>
    <w:rsid w:val="00443130"/>
    <w:rsid w:val="00454401"/>
    <w:rsid w:val="0046564F"/>
    <w:rsid w:val="00474E9F"/>
    <w:rsid w:val="00491C80"/>
    <w:rsid w:val="00497CCE"/>
    <w:rsid w:val="004A15B1"/>
    <w:rsid w:val="004B6378"/>
    <w:rsid w:val="004C69F6"/>
    <w:rsid w:val="004D1F69"/>
    <w:rsid w:val="004D44ED"/>
    <w:rsid w:val="004D6116"/>
    <w:rsid w:val="004D6C5B"/>
    <w:rsid w:val="004D6F8C"/>
    <w:rsid w:val="004D7F7B"/>
    <w:rsid w:val="004E32B7"/>
    <w:rsid w:val="004E3485"/>
    <w:rsid w:val="004E6C94"/>
    <w:rsid w:val="004E7A5E"/>
    <w:rsid w:val="004F1EB2"/>
    <w:rsid w:val="004F1F0E"/>
    <w:rsid w:val="004F298E"/>
    <w:rsid w:val="00503B1E"/>
    <w:rsid w:val="0051002D"/>
    <w:rsid w:val="00516A12"/>
    <w:rsid w:val="00521AF9"/>
    <w:rsid w:val="00522829"/>
    <w:rsid w:val="005234AD"/>
    <w:rsid w:val="0052380B"/>
    <w:rsid w:val="00541F85"/>
    <w:rsid w:val="00547164"/>
    <w:rsid w:val="00551A43"/>
    <w:rsid w:val="005573CD"/>
    <w:rsid w:val="0057537C"/>
    <w:rsid w:val="00582420"/>
    <w:rsid w:val="005A0EA2"/>
    <w:rsid w:val="005A1017"/>
    <w:rsid w:val="005A4521"/>
    <w:rsid w:val="005A49BE"/>
    <w:rsid w:val="005B0DBA"/>
    <w:rsid w:val="005B4B3D"/>
    <w:rsid w:val="005C38C6"/>
    <w:rsid w:val="005D6D49"/>
    <w:rsid w:val="005E42A2"/>
    <w:rsid w:val="005F307C"/>
    <w:rsid w:val="005F3219"/>
    <w:rsid w:val="005F3B64"/>
    <w:rsid w:val="005F6517"/>
    <w:rsid w:val="00601934"/>
    <w:rsid w:val="00603CF6"/>
    <w:rsid w:val="00603D17"/>
    <w:rsid w:val="00610FAF"/>
    <w:rsid w:val="006142B8"/>
    <w:rsid w:val="00616C84"/>
    <w:rsid w:val="00624E6F"/>
    <w:rsid w:val="00626460"/>
    <w:rsid w:val="006365D8"/>
    <w:rsid w:val="006434F1"/>
    <w:rsid w:val="00652AAC"/>
    <w:rsid w:val="0066692E"/>
    <w:rsid w:val="006739A8"/>
    <w:rsid w:val="006818EC"/>
    <w:rsid w:val="006900ED"/>
    <w:rsid w:val="0069782C"/>
    <w:rsid w:val="006A0B09"/>
    <w:rsid w:val="006A4C33"/>
    <w:rsid w:val="006B10E3"/>
    <w:rsid w:val="006B47D1"/>
    <w:rsid w:val="006C1930"/>
    <w:rsid w:val="006C5191"/>
    <w:rsid w:val="006E013D"/>
    <w:rsid w:val="006E6ED4"/>
    <w:rsid w:val="006E700D"/>
    <w:rsid w:val="00713675"/>
    <w:rsid w:val="00716D73"/>
    <w:rsid w:val="00725DB5"/>
    <w:rsid w:val="007317F5"/>
    <w:rsid w:val="007341E2"/>
    <w:rsid w:val="00741F23"/>
    <w:rsid w:val="0074217B"/>
    <w:rsid w:val="00744914"/>
    <w:rsid w:val="0075671D"/>
    <w:rsid w:val="00757106"/>
    <w:rsid w:val="00766BBA"/>
    <w:rsid w:val="00766FB5"/>
    <w:rsid w:val="00781C1C"/>
    <w:rsid w:val="00786849"/>
    <w:rsid w:val="00794198"/>
    <w:rsid w:val="00794D07"/>
    <w:rsid w:val="007A2A61"/>
    <w:rsid w:val="007B1B44"/>
    <w:rsid w:val="007C4D84"/>
    <w:rsid w:val="007D4CB7"/>
    <w:rsid w:val="007D65D9"/>
    <w:rsid w:val="007E31EF"/>
    <w:rsid w:val="007E3CEA"/>
    <w:rsid w:val="007E4CA8"/>
    <w:rsid w:val="007E62DE"/>
    <w:rsid w:val="007E6E5A"/>
    <w:rsid w:val="007F6EDD"/>
    <w:rsid w:val="008027D5"/>
    <w:rsid w:val="00803B0E"/>
    <w:rsid w:val="00804765"/>
    <w:rsid w:val="008052A8"/>
    <w:rsid w:val="00806C36"/>
    <w:rsid w:val="00807E4B"/>
    <w:rsid w:val="00816D92"/>
    <w:rsid w:val="00832F17"/>
    <w:rsid w:val="008343BD"/>
    <w:rsid w:val="008619D3"/>
    <w:rsid w:val="008728BA"/>
    <w:rsid w:val="00873430"/>
    <w:rsid w:val="00874DBB"/>
    <w:rsid w:val="00875AC8"/>
    <w:rsid w:val="008921B7"/>
    <w:rsid w:val="008A3C50"/>
    <w:rsid w:val="008A6862"/>
    <w:rsid w:val="008B1046"/>
    <w:rsid w:val="008B203B"/>
    <w:rsid w:val="008B278E"/>
    <w:rsid w:val="008B29B7"/>
    <w:rsid w:val="008E0BAE"/>
    <w:rsid w:val="008E12BF"/>
    <w:rsid w:val="008E2E04"/>
    <w:rsid w:val="008E5406"/>
    <w:rsid w:val="008E5462"/>
    <w:rsid w:val="008E5B99"/>
    <w:rsid w:val="008F10DF"/>
    <w:rsid w:val="008F69E2"/>
    <w:rsid w:val="00902BCB"/>
    <w:rsid w:val="00910C0C"/>
    <w:rsid w:val="00941422"/>
    <w:rsid w:val="00944CD4"/>
    <w:rsid w:val="009450D1"/>
    <w:rsid w:val="00945F48"/>
    <w:rsid w:val="00947D16"/>
    <w:rsid w:val="009570E1"/>
    <w:rsid w:val="00962621"/>
    <w:rsid w:val="0096338C"/>
    <w:rsid w:val="00963699"/>
    <w:rsid w:val="0096669D"/>
    <w:rsid w:val="00974A25"/>
    <w:rsid w:val="00984803"/>
    <w:rsid w:val="00985F9F"/>
    <w:rsid w:val="00986D39"/>
    <w:rsid w:val="00990BC0"/>
    <w:rsid w:val="009A5160"/>
    <w:rsid w:val="009B373B"/>
    <w:rsid w:val="009B3AC7"/>
    <w:rsid w:val="009B5BEB"/>
    <w:rsid w:val="009D4DE3"/>
    <w:rsid w:val="009E7A50"/>
    <w:rsid w:val="009E7B90"/>
    <w:rsid w:val="009F5547"/>
    <w:rsid w:val="009F6B6A"/>
    <w:rsid w:val="00A17213"/>
    <w:rsid w:val="00A17647"/>
    <w:rsid w:val="00A24A96"/>
    <w:rsid w:val="00A2517A"/>
    <w:rsid w:val="00A27B3D"/>
    <w:rsid w:val="00A435C2"/>
    <w:rsid w:val="00A4768D"/>
    <w:rsid w:val="00A60A63"/>
    <w:rsid w:val="00A63680"/>
    <w:rsid w:val="00A645CF"/>
    <w:rsid w:val="00A72385"/>
    <w:rsid w:val="00A86DC9"/>
    <w:rsid w:val="00A9342E"/>
    <w:rsid w:val="00AA1B5C"/>
    <w:rsid w:val="00AA576A"/>
    <w:rsid w:val="00AA577E"/>
    <w:rsid w:val="00AA66B8"/>
    <w:rsid w:val="00AA6847"/>
    <w:rsid w:val="00AA76C7"/>
    <w:rsid w:val="00AE6403"/>
    <w:rsid w:val="00AF5DBD"/>
    <w:rsid w:val="00AF77B0"/>
    <w:rsid w:val="00B02A6F"/>
    <w:rsid w:val="00B05BF0"/>
    <w:rsid w:val="00B11EA9"/>
    <w:rsid w:val="00B12F9A"/>
    <w:rsid w:val="00B1501D"/>
    <w:rsid w:val="00B1633E"/>
    <w:rsid w:val="00B36337"/>
    <w:rsid w:val="00B379B1"/>
    <w:rsid w:val="00B538D0"/>
    <w:rsid w:val="00B55819"/>
    <w:rsid w:val="00B6148D"/>
    <w:rsid w:val="00B73C70"/>
    <w:rsid w:val="00B753C3"/>
    <w:rsid w:val="00B814EA"/>
    <w:rsid w:val="00B966AD"/>
    <w:rsid w:val="00B96A41"/>
    <w:rsid w:val="00BA44C1"/>
    <w:rsid w:val="00BA47E1"/>
    <w:rsid w:val="00BB1FEA"/>
    <w:rsid w:val="00BE7D2D"/>
    <w:rsid w:val="00BF006F"/>
    <w:rsid w:val="00BF45F1"/>
    <w:rsid w:val="00BF5E83"/>
    <w:rsid w:val="00C03F1C"/>
    <w:rsid w:val="00C12DE5"/>
    <w:rsid w:val="00C25C18"/>
    <w:rsid w:val="00C26298"/>
    <w:rsid w:val="00C264B2"/>
    <w:rsid w:val="00C30759"/>
    <w:rsid w:val="00C35148"/>
    <w:rsid w:val="00C43981"/>
    <w:rsid w:val="00C577D0"/>
    <w:rsid w:val="00C637E7"/>
    <w:rsid w:val="00C82E76"/>
    <w:rsid w:val="00C855C9"/>
    <w:rsid w:val="00C875A4"/>
    <w:rsid w:val="00C91C90"/>
    <w:rsid w:val="00CA176B"/>
    <w:rsid w:val="00CA448B"/>
    <w:rsid w:val="00CA49E6"/>
    <w:rsid w:val="00CB2347"/>
    <w:rsid w:val="00CB4FEC"/>
    <w:rsid w:val="00CC4654"/>
    <w:rsid w:val="00CC4FE1"/>
    <w:rsid w:val="00CF3DAB"/>
    <w:rsid w:val="00CF65C6"/>
    <w:rsid w:val="00D018F8"/>
    <w:rsid w:val="00D03029"/>
    <w:rsid w:val="00D21176"/>
    <w:rsid w:val="00D32FB9"/>
    <w:rsid w:val="00D33294"/>
    <w:rsid w:val="00D334D8"/>
    <w:rsid w:val="00D34A11"/>
    <w:rsid w:val="00D578B3"/>
    <w:rsid w:val="00D7429A"/>
    <w:rsid w:val="00D82A0B"/>
    <w:rsid w:val="00DB6170"/>
    <w:rsid w:val="00DB7855"/>
    <w:rsid w:val="00DC1D6C"/>
    <w:rsid w:val="00DE79CC"/>
    <w:rsid w:val="00E016CF"/>
    <w:rsid w:val="00E0179C"/>
    <w:rsid w:val="00E209B3"/>
    <w:rsid w:val="00E26E73"/>
    <w:rsid w:val="00E35668"/>
    <w:rsid w:val="00E35BAB"/>
    <w:rsid w:val="00E4569D"/>
    <w:rsid w:val="00E45B9F"/>
    <w:rsid w:val="00E52639"/>
    <w:rsid w:val="00E540F6"/>
    <w:rsid w:val="00E55C8D"/>
    <w:rsid w:val="00E560C9"/>
    <w:rsid w:val="00E573A8"/>
    <w:rsid w:val="00E6557F"/>
    <w:rsid w:val="00E8022E"/>
    <w:rsid w:val="00E903CA"/>
    <w:rsid w:val="00E959D1"/>
    <w:rsid w:val="00EA0479"/>
    <w:rsid w:val="00EB4974"/>
    <w:rsid w:val="00EB66A3"/>
    <w:rsid w:val="00EB684F"/>
    <w:rsid w:val="00EC39D8"/>
    <w:rsid w:val="00EE1EAC"/>
    <w:rsid w:val="00EE2673"/>
    <w:rsid w:val="00EE3D7C"/>
    <w:rsid w:val="00EE6C74"/>
    <w:rsid w:val="00EF361D"/>
    <w:rsid w:val="00EF4530"/>
    <w:rsid w:val="00EF4877"/>
    <w:rsid w:val="00EF76E0"/>
    <w:rsid w:val="00F01975"/>
    <w:rsid w:val="00F022A4"/>
    <w:rsid w:val="00F03F4F"/>
    <w:rsid w:val="00F04CB0"/>
    <w:rsid w:val="00F1145E"/>
    <w:rsid w:val="00F23795"/>
    <w:rsid w:val="00F25342"/>
    <w:rsid w:val="00F46C14"/>
    <w:rsid w:val="00F55C92"/>
    <w:rsid w:val="00F60466"/>
    <w:rsid w:val="00F609F1"/>
    <w:rsid w:val="00F64D16"/>
    <w:rsid w:val="00F655E0"/>
    <w:rsid w:val="00F67B18"/>
    <w:rsid w:val="00F80221"/>
    <w:rsid w:val="00FB0A4F"/>
    <w:rsid w:val="00FB1A8B"/>
    <w:rsid w:val="00FB2845"/>
    <w:rsid w:val="00FC1DC9"/>
    <w:rsid w:val="01089570"/>
    <w:rsid w:val="011FD18C"/>
    <w:rsid w:val="013718BC"/>
    <w:rsid w:val="01F5E783"/>
    <w:rsid w:val="01FECF34"/>
    <w:rsid w:val="02B018E2"/>
    <w:rsid w:val="045ABC87"/>
    <w:rsid w:val="0484C8F6"/>
    <w:rsid w:val="04BE5120"/>
    <w:rsid w:val="055F2AA1"/>
    <w:rsid w:val="05C4AF03"/>
    <w:rsid w:val="05E3B8E6"/>
    <w:rsid w:val="064B439B"/>
    <w:rsid w:val="0679DD54"/>
    <w:rsid w:val="06C57B66"/>
    <w:rsid w:val="071CC806"/>
    <w:rsid w:val="09298668"/>
    <w:rsid w:val="096975FB"/>
    <w:rsid w:val="0993E2B6"/>
    <w:rsid w:val="099452FF"/>
    <w:rsid w:val="099AAEE7"/>
    <w:rsid w:val="0ABCC2D1"/>
    <w:rsid w:val="0AE76F41"/>
    <w:rsid w:val="0B183694"/>
    <w:rsid w:val="0C515846"/>
    <w:rsid w:val="0CEDFCB2"/>
    <w:rsid w:val="0D5F801B"/>
    <w:rsid w:val="0DE48687"/>
    <w:rsid w:val="0F14B7FC"/>
    <w:rsid w:val="0F84C169"/>
    <w:rsid w:val="0FBCC55D"/>
    <w:rsid w:val="10B94DC3"/>
    <w:rsid w:val="11CB828F"/>
    <w:rsid w:val="1342BC73"/>
    <w:rsid w:val="1363E942"/>
    <w:rsid w:val="13E78BCC"/>
    <w:rsid w:val="1419FBB3"/>
    <w:rsid w:val="14932130"/>
    <w:rsid w:val="1494A826"/>
    <w:rsid w:val="14D4AC30"/>
    <w:rsid w:val="150A0D56"/>
    <w:rsid w:val="157F1864"/>
    <w:rsid w:val="1641A499"/>
    <w:rsid w:val="173A4C58"/>
    <w:rsid w:val="180A0274"/>
    <w:rsid w:val="1A03BBC7"/>
    <w:rsid w:val="1A30847E"/>
    <w:rsid w:val="1B7E3581"/>
    <w:rsid w:val="1C9C53CB"/>
    <w:rsid w:val="1CE10A07"/>
    <w:rsid w:val="1DE3BB85"/>
    <w:rsid w:val="1DF8A988"/>
    <w:rsid w:val="1F65EAB5"/>
    <w:rsid w:val="1FECCCEF"/>
    <w:rsid w:val="20E16F87"/>
    <w:rsid w:val="20E684DE"/>
    <w:rsid w:val="20EDB422"/>
    <w:rsid w:val="214A0C26"/>
    <w:rsid w:val="21E69EF5"/>
    <w:rsid w:val="22546094"/>
    <w:rsid w:val="22EFD902"/>
    <w:rsid w:val="22F1D996"/>
    <w:rsid w:val="24512849"/>
    <w:rsid w:val="247F7028"/>
    <w:rsid w:val="24A0E925"/>
    <w:rsid w:val="252F53FE"/>
    <w:rsid w:val="25A6ABD4"/>
    <w:rsid w:val="25AF20DD"/>
    <w:rsid w:val="26AA2AA5"/>
    <w:rsid w:val="26C39A08"/>
    <w:rsid w:val="2725C5FA"/>
    <w:rsid w:val="27D95A6D"/>
    <w:rsid w:val="2804DDF8"/>
    <w:rsid w:val="28A4494F"/>
    <w:rsid w:val="2AAAC409"/>
    <w:rsid w:val="2AF9247E"/>
    <w:rsid w:val="2B2F8D69"/>
    <w:rsid w:val="2BCCEB9C"/>
    <w:rsid w:val="2C113D28"/>
    <w:rsid w:val="2C9931FD"/>
    <w:rsid w:val="2CDF603E"/>
    <w:rsid w:val="2D762625"/>
    <w:rsid w:val="2DA7B20F"/>
    <w:rsid w:val="2DB39161"/>
    <w:rsid w:val="2E027462"/>
    <w:rsid w:val="2E1C7F41"/>
    <w:rsid w:val="2E258B85"/>
    <w:rsid w:val="2E2997F9"/>
    <w:rsid w:val="2E803865"/>
    <w:rsid w:val="2ED7C171"/>
    <w:rsid w:val="2EE4E35B"/>
    <w:rsid w:val="307559FB"/>
    <w:rsid w:val="30E03EFE"/>
    <w:rsid w:val="316F2771"/>
    <w:rsid w:val="317C9159"/>
    <w:rsid w:val="33472DAD"/>
    <w:rsid w:val="34728DB1"/>
    <w:rsid w:val="3473E95C"/>
    <w:rsid w:val="34A6EF4C"/>
    <w:rsid w:val="35E62E9F"/>
    <w:rsid w:val="3749616D"/>
    <w:rsid w:val="3775320F"/>
    <w:rsid w:val="384C5475"/>
    <w:rsid w:val="384D40FB"/>
    <w:rsid w:val="386444E9"/>
    <w:rsid w:val="3865292A"/>
    <w:rsid w:val="38858293"/>
    <w:rsid w:val="38D9710D"/>
    <w:rsid w:val="3A07EB7F"/>
    <w:rsid w:val="3A728154"/>
    <w:rsid w:val="3ABEC089"/>
    <w:rsid w:val="3ADFA753"/>
    <w:rsid w:val="3AE85394"/>
    <w:rsid w:val="3B15441A"/>
    <w:rsid w:val="3CBAC22B"/>
    <w:rsid w:val="3E622A74"/>
    <w:rsid w:val="3E78615A"/>
    <w:rsid w:val="3EAD82DA"/>
    <w:rsid w:val="3ED0C7E0"/>
    <w:rsid w:val="3EEF99BD"/>
    <w:rsid w:val="3FAEEADD"/>
    <w:rsid w:val="409C2139"/>
    <w:rsid w:val="40AA23F8"/>
    <w:rsid w:val="40BEDC70"/>
    <w:rsid w:val="4164B3C3"/>
    <w:rsid w:val="41CFB7F4"/>
    <w:rsid w:val="441B65E6"/>
    <w:rsid w:val="451B3B34"/>
    <w:rsid w:val="46171151"/>
    <w:rsid w:val="470ABCED"/>
    <w:rsid w:val="47CE760A"/>
    <w:rsid w:val="49D770DD"/>
    <w:rsid w:val="4A16503B"/>
    <w:rsid w:val="4A24A1E1"/>
    <w:rsid w:val="4A7BF73E"/>
    <w:rsid w:val="4B795DF5"/>
    <w:rsid w:val="4C251908"/>
    <w:rsid w:val="4CBE83FE"/>
    <w:rsid w:val="4D738013"/>
    <w:rsid w:val="4E3C02AC"/>
    <w:rsid w:val="4E3FF6D2"/>
    <w:rsid w:val="4E5E791C"/>
    <w:rsid w:val="4F7E4B71"/>
    <w:rsid w:val="5008FE6F"/>
    <w:rsid w:val="5150A713"/>
    <w:rsid w:val="52078D72"/>
    <w:rsid w:val="5224EFA9"/>
    <w:rsid w:val="5360BFEA"/>
    <w:rsid w:val="5361E88C"/>
    <w:rsid w:val="539B438D"/>
    <w:rsid w:val="5409643E"/>
    <w:rsid w:val="572E2D61"/>
    <w:rsid w:val="578D18BF"/>
    <w:rsid w:val="57EADD81"/>
    <w:rsid w:val="59B79A62"/>
    <w:rsid w:val="59BDD10A"/>
    <w:rsid w:val="5A7458C3"/>
    <w:rsid w:val="5B5EB9C6"/>
    <w:rsid w:val="5BA6C1C9"/>
    <w:rsid w:val="5C20DFD2"/>
    <w:rsid w:val="5D053510"/>
    <w:rsid w:val="5DBE3A3A"/>
    <w:rsid w:val="5E124194"/>
    <w:rsid w:val="5E4C5375"/>
    <w:rsid w:val="61ED5727"/>
    <w:rsid w:val="62323FCA"/>
    <w:rsid w:val="62D94171"/>
    <w:rsid w:val="636483D0"/>
    <w:rsid w:val="65E1261B"/>
    <w:rsid w:val="65F16EC7"/>
    <w:rsid w:val="68B51E48"/>
    <w:rsid w:val="69552B04"/>
    <w:rsid w:val="69C6179B"/>
    <w:rsid w:val="6A81AF8F"/>
    <w:rsid w:val="6ADE3468"/>
    <w:rsid w:val="6AE3E7BB"/>
    <w:rsid w:val="6BFF3B5B"/>
    <w:rsid w:val="6BFF5BC3"/>
    <w:rsid w:val="6E0AE5A1"/>
    <w:rsid w:val="6EDCBCD7"/>
    <w:rsid w:val="6F456C3B"/>
    <w:rsid w:val="6F59AEF6"/>
    <w:rsid w:val="7075E285"/>
    <w:rsid w:val="707CAD2A"/>
    <w:rsid w:val="70928A23"/>
    <w:rsid w:val="72270629"/>
    <w:rsid w:val="72B2737A"/>
    <w:rsid w:val="72C8F57C"/>
    <w:rsid w:val="72F98BEA"/>
    <w:rsid w:val="73812556"/>
    <w:rsid w:val="73F9B9ED"/>
    <w:rsid w:val="747BC6BD"/>
    <w:rsid w:val="751FE715"/>
    <w:rsid w:val="758E0664"/>
    <w:rsid w:val="75904EEA"/>
    <w:rsid w:val="76A2EBCC"/>
    <w:rsid w:val="771360CC"/>
    <w:rsid w:val="77A88715"/>
    <w:rsid w:val="78A20BC7"/>
    <w:rsid w:val="7966899A"/>
    <w:rsid w:val="7A04BB4F"/>
    <w:rsid w:val="7A3AFB29"/>
    <w:rsid w:val="7A5EEF1B"/>
    <w:rsid w:val="7A8C0BA9"/>
    <w:rsid w:val="7B0D9327"/>
    <w:rsid w:val="7C9D7FBB"/>
    <w:rsid w:val="7D09880A"/>
    <w:rsid w:val="7D8F236E"/>
    <w:rsid w:val="7EE7F405"/>
    <w:rsid w:val="7EF82B6C"/>
    <w:rsid w:val="7F1D7F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17CE84"/>
  <w15:chartTrackingRefBased/>
  <w15:docId w15:val="{14D04DB7-6236-C44A-A19F-C3858BB1F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FEA"/>
  </w:style>
  <w:style w:type="paragraph" w:styleId="Heading1">
    <w:name w:val="heading 1"/>
    <w:basedOn w:val="Normal"/>
    <w:next w:val="Normal"/>
    <w:link w:val="Heading1Char"/>
    <w:uiPriority w:val="9"/>
    <w:qFormat/>
    <w:rsid w:val="00BB1FE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B1FE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B1FE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B1FE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B1FE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B1F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F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F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F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FE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B1FE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B1FE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B1FE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B1FE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B1F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F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F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FEA"/>
    <w:rPr>
      <w:rFonts w:eastAsiaTheme="majorEastAsia" w:cstheme="majorBidi"/>
      <w:color w:val="272727" w:themeColor="text1" w:themeTint="D8"/>
    </w:rPr>
  </w:style>
  <w:style w:type="paragraph" w:styleId="Title">
    <w:name w:val="Title"/>
    <w:basedOn w:val="Normal"/>
    <w:next w:val="Normal"/>
    <w:link w:val="TitleChar"/>
    <w:uiPriority w:val="10"/>
    <w:qFormat/>
    <w:rsid w:val="00BB1F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F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FE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F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F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1FEA"/>
    <w:rPr>
      <w:i/>
      <w:iCs/>
      <w:color w:val="404040" w:themeColor="text1" w:themeTint="BF"/>
    </w:rPr>
  </w:style>
  <w:style w:type="paragraph" w:styleId="ListParagraph">
    <w:name w:val="List Paragraph"/>
    <w:basedOn w:val="Normal"/>
    <w:uiPriority w:val="34"/>
    <w:qFormat/>
    <w:rsid w:val="00BB1FEA"/>
    <w:pPr>
      <w:ind w:left="720"/>
      <w:contextualSpacing/>
    </w:pPr>
  </w:style>
  <w:style w:type="character" w:styleId="IntenseEmphasis">
    <w:name w:val="Intense Emphasis"/>
    <w:basedOn w:val="DefaultParagraphFont"/>
    <w:uiPriority w:val="21"/>
    <w:qFormat/>
    <w:rsid w:val="00BB1FEA"/>
    <w:rPr>
      <w:i/>
      <w:iCs/>
      <w:color w:val="365F91" w:themeColor="accent1" w:themeShade="BF"/>
    </w:rPr>
  </w:style>
  <w:style w:type="paragraph" w:styleId="IntenseQuote">
    <w:name w:val="Intense Quote"/>
    <w:basedOn w:val="Normal"/>
    <w:next w:val="Normal"/>
    <w:link w:val="IntenseQuoteChar"/>
    <w:uiPriority w:val="30"/>
    <w:qFormat/>
    <w:rsid w:val="00BB1FE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B1FEA"/>
    <w:rPr>
      <w:i/>
      <w:iCs/>
      <w:color w:val="365F91" w:themeColor="accent1" w:themeShade="BF"/>
    </w:rPr>
  </w:style>
  <w:style w:type="character" w:styleId="IntenseReference">
    <w:name w:val="Intense Reference"/>
    <w:basedOn w:val="DefaultParagraphFont"/>
    <w:uiPriority w:val="32"/>
    <w:qFormat/>
    <w:rsid w:val="00BB1FEA"/>
    <w:rPr>
      <w:b/>
      <w:bCs/>
      <w:smallCaps/>
      <w:color w:val="365F91" w:themeColor="accent1" w:themeShade="BF"/>
      <w:spacing w:val="5"/>
    </w:rPr>
  </w:style>
  <w:style w:type="character" w:styleId="Hyperlink">
    <w:name w:val="Hyperlink"/>
    <w:basedOn w:val="DefaultParagraphFont"/>
    <w:uiPriority w:val="99"/>
    <w:unhideWhenUsed/>
    <w:rsid w:val="00BB1FEA"/>
    <w:rPr>
      <w:color w:val="0000FF" w:themeColor="hyperlink"/>
      <w:u w:val="single"/>
    </w:rPr>
  </w:style>
  <w:style w:type="paragraph" w:styleId="Header">
    <w:name w:val="header"/>
    <w:basedOn w:val="Normal"/>
    <w:link w:val="HeaderChar"/>
    <w:uiPriority w:val="99"/>
    <w:unhideWhenUsed/>
    <w:rsid w:val="00BB1F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FEA"/>
  </w:style>
  <w:style w:type="paragraph" w:styleId="Footer">
    <w:name w:val="footer"/>
    <w:basedOn w:val="Normal"/>
    <w:link w:val="FooterChar"/>
    <w:uiPriority w:val="99"/>
    <w:unhideWhenUsed/>
    <w:rsid w:val="00BB1F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FEA"/>
  </w:style>
  <w:style w:type="character" w:styleId="UnresolvedMention">
    <w:name w:val="Unresolved Mention"/>
    <w:basedOn w:val="DefaultParagraphFont"/>
    <w:uiPriority w:val="99"/>
    <w:semiHidden/>
    <w:unhideWhenUsed/>
    <w:rsid w:val="00361A81"/>
    <w:rPr>
      <w:color w:val="605E5C"/>
      <w:shd w:val="clear" w:color="auto" w:fill="E1DFDD"/>
    </w:rPr>
  </w:style>
  <w:style w:type="paragraph" w:styleId="NormalWeb">
    <w:name w:val="Normal (Web)"/>
    <w:basedOn w:val="Normal"/>
    <w:uiPriority w:val="99"/>
    <w:semiHidden/>
    <w:unhideWhenUsed/>
    <w:rsid w:val="002876A0"/>
    <w:rPr>
      <w:rFonts w:ascii="Times New Roman" w:hAnsi="Times New Roman" w:cs="Times New Roman"/>
      <w:sz w:val="24"/>
      <w:szCs w:val="24"/>
    </w:rPr>
  </w:style>
  <w:style w:type="paragraph" w:styleId="Revision">
    <w:name w:val="Revision"/>
    <w:hidden/>
    <w:uiPriority w:val="99"/>
    <w:semiHidden/>
    <w:rsid w:val="00322312"/>
    <w:pPr>
      <w:spacing w:after="0" w:line="240" w:lineRule="auto"/>
    </w:pPr>
  </w:style>
  <w:style w:type="character" w:styleId="CommentReference">
    <w:name w:val="annotation reference"/>
    <w:basedOn w:val="DefaultParagraphFont"/>
    <w:uiPriority w:val="99"/>
    <w:semiHidden/>
    <w:unhideWhenUsed/>
    <w:rsid w:val="00C875A4"/>
    <w:rPr>
      <w:sz w:val="16"/>
      <w:szCs w:val="16"/>
    </w:rPr>
  </w:style>
  <w:style w:type="paragraph" w:styleId="CommentText">
    <w:name w:val="annotation text"/>
    <w:basedOn w:val="Normal"/>
    <w:link w:val="CommentTextChar"/>
    <w:uiPriority w:val="99"/>
    <w:semiHidden/>
    <w:unhideWhenUsed/>
    <w:rsid w:val="00C875A4"/>
    <w:pPr>
      <w:spacing w:line="240" w:lineRule="auto"/>
    </w:pPr>
    <w:rPr>
      <w:sz w:val="20"/>
      <w:szCs w:val="20"/>
    </w:rPr>
  </w:style>
  <w:style w:type="character" w:customStyle="1" w:styleId="CommentTextChar">
    <w:name w:val="Comment Text Char"/>
    <w:basedOn w:val="DefaultParagraphFont"/>
    <w:link w:val="CommentText"/>
    <w:uiPriority w:val="99"/>
    <w:semiHidden/>
    <w:rsid w:val="00C875A4"/>
    <w:rPr>
      <w:sz w:val="20"/>
      <w:szCs w:val="20"/>
    </w:rPr>
  </w:style>
  <w:style w:type="paragraph" w:styleId="CommentSubject">
    <w:name w:val="annotation subject"/>
    <w:basedOn w:val="CommentText"/>
    <w:next w:val="CommentText"/>
    <w:link w:val="CommentSubjectChar"/>
    <w:uiPriority w:val="99"/>
    <w:semiHidden/>
    <w:unhideWhenUsed/>
    <w:rsid w:val="00C875A4"/>
    <w:rPr>
      <w:b/>
      <w:bCs/>
    </w:rPr>
  </w:style>
  <w:style w:type="character" w:customStyle="1" w:styleId="CommentSubjectChar">
    <w:name w:val="Comment Subject Char"/>
    <w:basedOn w:val="CommentTextChar"/>
    <w:link w:val="CommentSubject"/>
    <w:uiPriority w:val="99"/>
    <w:semiHidden/>
    <w:rsid w:val="00C875A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82953">
      <w:bodyDiv w:val="1"/>
      <w:marLeft w:val="0"/>
      <w:marRight w:val="0"/>
      <w:marTop w:val="0"/>
      <w:marBottom w:val="0"/>
      <w:divBdr>
        <w:top w:val="none" w:sz="0" w:space="0" w:color="auto"/>
        <w:left w:val="none" w:sz="0" w:space="0" w:color="auto"/>
        <w:bottom w:val="none" w:sz="0" w:space="0" w:color="auto"/>
        <w:right w:val="none" w:sz="0" w:space="0" w:color="auto"/>
      </w:divBdr>
    </w:div>
    <w:div w:id="599991938">
      <w:bodyDiv w:val="1"/>
      <w:marLeft w:val="0"/>
      <w:marRight w:val="0"/>
      <w:marTop w:val="0"/>
      <w:marBottom w:val="0"/>
      <w:divBdr>
        <w:top w:val="none" w:sz="0" w:space="0" w:color="auto"/>
        <w:left w:val="none" w:sz="0" w:space="0" w:color="auto"/>
        <w:bottom w:val="none" w:sz="0" w:space="0" w:color="auto"/>
        <w:right w:val="none" w:sz="0" w:space="0" w:color="auto"/>
      </w:divBdr>
    </w:div>
    <w:div w:id="623656729">
      <w:bodyDiv w:val="1"/>
      <w:marLeft w:val="0"/>
      <w:marRight w:val="0"/>
      <w:marTop w:val="0"/>
      <w:marBottom w:val="0"/>
      <w:divBdr>
        <w:top w:val="none" w:sz="0" w:space="0" w:color="auto"/>
        <w:left w:val="none" w:sz="0" w:space="0" w:color="auto"/>
        <w:bottom w:val="none" w:sz="0" w:space="0" w:color="auto"/>
        <w:right w:val="none" w:sz="0" w:space="0" w:color="auto"/>
      </w:divBdr>
    </w:div>
    <w:div w:id="714231390">
      <w:bodyDiv w:val="1"/>
      <w:marLeft w:val="0"/>
      <w:marRight w:val="0"/>
      <w:marTop w:val="0"/>
      <w:marBottom w:val="0"/>
      <w:divBdr>
        <w:top w:val="none" w:sz="0" w:space="0" w:color="auto"/>
        <w:left w:val="none" w:sz="0" w:space="0" w:color="auto"/>
        <w:bottom w:val="none" w:sz="0" w:space="0" w:color="auto"/>
        <w:right w:val="none" w:sz="0" w:space="0" w:color="auto"/>
      </w:divBdr>
    </w:div>
    <w:div w:id="791360166">
      <w:bodyDiv w:val="1"/>
      <w:marLeft w:val="0"/>
      <w:marRight w:val="0"/>
      <w:marTop w:val="0"/>
      <w:marBottom w:val="0"/>
      <w:divBdr>
        <w:top w:val="none" w:sz="0" w:space="0" w:color="auto"/>
        <w:left w:val="none" w:sz="0" w:space="0" w:color="auto"/>
        <w:bottom w:val="none" w:sz="0" w:space="0" w:color="auto"/>
        <w:right w:val="none" w:sz="0" w:space="0" w:color="auto"/>
      </w:divBdr>
    </w:div>
    <w:div w:id="1027439849">
      <w:bodyDiv w:val="1"/>
      <w:marLeft w:val="0"/>
      <w:marRight w:val="0"/>
      <w:marTop w:val="0"/>
      <w:marBottom w:val="0"/>
      <w:divBdr>
        <w:top w:val="none" w:sz="0" w:space="0" w:color="auto"/>
        <w:left w:val="none" w:sz="0" w:space="0" w:color="auto"/>
        <w:bottom w:val="none" w:sz="0" w:space="0" w:color="auto"/>
        <w:right w:val="none" w:sz="0" w:space="0" w:color="auto"/>
      </w:divBdr>
    </w:div>
    <w:div w:id="1029264023">
      <w:bodyDiv w:val="1"/>
      <w:marLeft w:val="0"/>
      <w:marRight w:val="0"/>
      <w:marTop w:val="0"/>
      <w:marBottom w:val="0"/>
      <w:divBdr>
        <w:top w:val="none" w:sz="0" w:space="0" w:color="auto"/>
        <w:left w:val="none" w:sz="0" w:space="0" w:color="auto"/>
        <w:bottom w:val="none" w:sz="0" w:space="0" w:color="auto"/>
        <w:right w:val="none" w:sz="0" w:space="0" w:color="auto"/>
      </w:divBdr>
    </w:div>
    <w:div w:id="1066494480">
      <w:bodyDiv w:val="1"/>
      <w:marLeft w:val="0"/>
      <w:marRight w:val="0"/>
      <w:marTop w:val="0"/>
      <w:marBottom w:val="0"/>
      <w:divBdr>
        <w:top w:val="none" w:sz="0" w:space="0" w:color="auto"/>
        <w:left w:val="none" w:sz="0" w:space="0" w:color="auto"/>
        <w:bottom w:val="none" w:sz="0" w:space="0" w:color="auto"/>
        <w:right w:val="none" w:sz="0" w:space="0" w:color="auto"/>
      </w:divBdr>
    </w:div>
    <w:div w:id="1464233200">
      <w:bodyDiv w:val="1"/>
      <w:marLeft w:val="0"/>
      <w:marRight w:val="0"/>
      <w:marTop w:val="0"/>
      <w:marBottom w:val="0"/>
      <w:divBdr>
        <w:top w:val="none" w:sz="0" w:space="0" w:color="auto"/>
        <w:left w:val="none" w:sz="0" w:space="0" w:color="auto"/>
        <w:bottom w:val="none" w:sz="0" w:space="0" w:color="auto"/>
        <w:right w:val="none" w:sz="0" w:space="0" w:color="auto"/>
      </w:divBdr>
    </w:div>
    <w:div w:id="202277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pa.gov/chesapeake-bay-tmdl/chesapeake-bay-tmdl-progress-and-evaluation" TargetMode="External"/><Relationship Id="rId18" Type="http://schemas.openxmlformats.org/officeDocument/2006/relationships/hyperlink" Target="https://doi.org/10.5032/jae.2017.03185" TargetMode="External"/><Relationship Id="rId26" Type="http://schemas.openxmlformats.org/officeDocument/2006/relationships/hyperlink" Target="https://doi.org/10.1002/jeq2.20429" TargetMode="External"/><Relationship Id="rId21" Type="http://schemas.openxmlformats.org/officeDocument/2006/relationships/hyperlink" Target="https://doi.org/10.2489/jswc.63.5.300" TargetMode="External"/><Relationship Id="rId34" Type="http://schemas.openxmlformats.org/officeDocument/2006/relationships/header" Target="header1.xml"/><Relationship Id="rId7" Type="http://schemas.openxmlformats.org/officeDocument/2006/relationships/hyperlink" Target="https://www.pa.gov/agencies/dep/programs-and-services/water/bwrnsm/bay-restoration/farms-and-the-bay.html" TargetMode="External"/><Relationship Id="rId12" Type="http://schemas.openxmlformats.org/officeDocument/2006/relationships/hyperlink" Target="https://doi.org/10.1007/s00267-020-01406-0" TargetMode="External"/><Relationship Id="rId17" Type="http://schemas.openxmlformats.org/officeDocument/2006/relationships/hyperlink" Target="https://doi.org/10.2489/jswc.2024.00122" TargetMode="External"/><Relationship Id="rId25" Type="http://schemas.openxmlformats.org/officeDocument/2006/relationships/hyperlink" Target="https://doi.org/10.1016/j.jenvman.2022.116476" TargetMode="External"/><Relationship Id="rId33" Type="http://schemas.openxmlformats.org/officeDocument/2006/relationships/hyperlink" Target="https://doi.org/10.1039/D4EW00689E"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google.com/search?q=https://doi.org/10.1080/00224561.2025.2479393" TargetMode="External"/><Relationship Id="rId20" Type="http://schemas.openxmlformats.org/officeDocument/2006/relationships/hyperlink" Target="https://doi.org/10.1016/j.landusepol.2021.105391" TargetMode="External"/><Relationship Id="rId29" Type="http://schemas.openxmlformats.org/officeDocument/2006/relationships/hyperlink" Target="https://doi.org/10.1016/j.ufug.2019.1265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sreports.congress.gov/" TargetMode="External"/><Relationship Id="rId24" Type="http://schemas.openxmlformats.org/officeDocument/2006/relationships/hyperlink" Target="https://doi.org/10.1111/1752-1688.12293" TargetMode="External"/><Relationship Id="rId32" Type="http://schemas.openxmlformats.org/officeDocument/2006/relationships/hyperlink" Target="http://www.fao.org/3/ca0146en/CA0146EN.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26689/ssr.v6i12.8947" TargetMode="External"/><Relationship Id="rId23" Type="http://schemas.openxmlformats.org/officeDocument/2006/relationships/hyperlink" Target="https://doi.org/10.1007/s00267-013-0184-8" TargetMode="External"/><Relationship Id="rId28" Type="http://schemas.openxmlformats.org/officeDocument/2006/relationships/hyperlink" Target="https://www.ers.usda.gov/data-products/farm-typology-and-land-use/conservation-practice-adoption%E2%80%91rates%E2%80%91and%E2%80%91trends/" TargetMode="External"/><Relationship Id="rId36" Type="http://schemas.openxmlformats.org/officeDocument/2006/relationships/fontTable" Target="fontTable.xml"/><Relationship Id="rId10" Type="http://schemas.openxmlformats.org/officeDocument/2006/relationships/hyperlink" Target="https://doi.org/10.3390/w15142532" TargetMode="External"/><Relationship Id="rId19" Type="http://schemas.openxmlformats.org/officeDocument/2006/relationships/hyperlink" Target="https://doi.org/10.1016/j.jenvman.2022.114466" TargetMode="External"/><Relationship Id="rId31" Type="http://schemas.openxmlformats.org/officeDocument/2006/relationships/hyperlink" Target="https://doi.org/10.1016/j.landusepol.2015.08.009" TargetMode="External"/><Relationship Id="rId4" Type="http://schemas.openxmlformats.org/officeDocument/2006/relationships/webSettings" Target="webSettings.xml"/><Relationship Id="rId9" Type="http://schemas.openxmlformats.org/officeDocument/2006/relationships/hyperlink" Target="https://doi.org/10.1016/j.spc.2023.12.011" TargetMode="External"/><Relationship Id="rId14" Type="http://schemas.openxmlformats.org/officeDocument/2006/relationships/hyperlink" Target="https://doi.org/10.1186/s40538-019-0162-6" TargetMode="External"/><Relationship Id="rId22" Type="http://schemas.openxmlformats.org/officeDocument/2006/relationships/hyperlink" Target="https://doi.org/10.1016/j.landusepol.2018.12.025" TargetMode="External"/><Relationship Id="rId27" Type="http://schemas.openxmlformats.org/officeDocument/2006/relationships/hyperlink" Target="https://doi.org/10.4148/1051-0834.2523" TargetMode="External"/><Relationship Id="rId30" Type="http://schemas.openxmlformats.org/officeDocument/2006/relationships/hyperlink" Target="https://doi.org/10.13140/2.1.3770.1766" TargetMode="External"/><Relationship Id="rId35" Type="http://schemas.openxmlformats.org/officeDocument/2006/relationships/footer" Target="footer1.xml"/><Relationship Id="rId8" Type="http://schemas.openxmlformats.org/officeDocument/2006/relationships/hyperlink" Target="https://doi.org/10.1016/0749-5978(91)90020-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D77D7B-2F87-C64B-A1A5-BD7913881805}">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docMetadata/LabelInfo.xml><?xml version="1.0" encoding="utf-8"?>
<clbl:labelList xmlns:clbl="http://schemas.microsoft.com/office/2020/mipLabelMetadata">
  <clbl:label id="{7cf48d45-3ddb-4389-a9c1-c115526eb52e}" enabled="0" method="" siteId="{7cf48d45-3ddb-4389-a9c1-c115526eb52e}" removed="1"/>
</clbl:labelList>
</file>

<file path=docProps/app.xml><?xml version="1.0" encoding="utf-8"?>
<Properties xmlns="http://schemas.openxmlformats.org/officeDocument/2006/extended-properties" xmlns:vt="http://schemas.openxmlformats.org/officeDocument/2006/docPropsVTypes">
  <Template>Normal</Template>
  <TotalTime>340</TotalTime>
  <Pages>8</Pages>
  <Words>4113</Words>
  <Characters>27910</Characters>
  <Application>Microsoft Office Word</Application>
  <DocSecurity>0</DocSecurity>
  <Lines>232</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31960</CharactersWithSpaces>
  <SharedDoc>false</SharedDoc>
  <HLinks>
    <vt:vector size="156" baseType="variant">
      <vt:variant>
        <vt:i4>4063341</vt:i4>
      </vt:variant>
      <vt:variant>
        <vt:i4>87</vt:i4>
      </vt:variant>
      <vt:variant>
        <vt:i4>0</vt:i4>
      </vt:variant>
      <vt:variant>
        <vt:i4>5</vt:i4>
      </vt:variant>
      <vt:variant>
        <vt:lpwstr>https://doi.org/10.1039/D4EW00689E</vt:lpwstr>
      </vt:variant>
      <vt:variant>
        <vt:lpwstr/>
      </vt:variant>
      <vt:variant>
        <vt:i4>2752557</vt:i4>
      </vt:variant>
      <vt:variant>
        <vt:i4>84</vt:i4>
      </vt:variant>
      <vt:variant>
        <vt:i4>0</vt:i4>
      </vt:variant>
      <vt:variant>
        <vt:i4>5</vt:i4>
      </vt:variant>
      <vt:variant>
        <vt:lpwstr>http://www.fao.org/3/ca0146en/CA0146EN.pdf</vt:lpwstr>
      </vt:variant>
      <vt:variant>
        <vt:lpwstr/>
      </vt:variant>
      <vt:variant>
        <vt:i4>4849742</vt:i4>
      </vt:variant>
      <vt:variant>
        <vt:i4>81</vt:i4>
      </vt:variant>
      <vt:variant>
        <vt:i4>0</vt:i4>
      </vt:variant>
      <vt:variant>
        <vt:i4>5</vt:i4>
      </vt:variant>
      <vt:variant>
        <vt:lpwstr>https://doi.org/10.1016/j.landusepol.2015.08.009</vt:lpwstr>
      </vt:variant>
      <vt:variant>
        <vt:lpwstr/>
      </vt:variant>
      <vt:variant>
        <vt:i4>2424946</vt:i4>
      </vt:variant>
      <vt:variant>
        <vt:i4>75</vt:i4>
      </vt:variant>
      <vt:variant>
        <vt:i4>0</vt:i4>
      </vt:variant>
      <vt:variant>
        <vt:i4>5</vt:i4>
      </vt:variant>
      <vt:variant>
        <vt:lpwstr>https://doi.org/10.13140/2.1.3770.1766</vt:lpwstr>
      </vt:variant>
      <vt:variant>
        <vt:lpwstr/>
      </vt:variant>
      <vt:variant>
        <vt:i4>2555938</vt:i4>
      </vt:variant>
      <vt:variant>
        <vt:i4>72</vt:i4>
      </vt:variant>
      <vt:variant>
        <vt:i4>0</vt:i4>
      </vt:variant>
      <vt:variant>
        <vt:i4>5</vt:i4>
      </vt:variant>
      <vt:variant>
        <vt:lpwstr>https://doi.org/10.1016/j.ufug.2019.126540</vt:lpwstr>
      </vt:variant>
      <vt:variant>
        <vt:lpwstr/>
      </vt:variant>
      <vt:variant>
        <vt:i4>3145854</vt:i4>
      </vt:variant>
      <vt:variant>
        <vt:i4>69</vt:i4>
      </vt:variant>
      <vt:variant>
        <vt:i4>0</vt:i4>
      </vt:variant>
      <vt:variant>
        <vt:i4>5</vt:i4>
      </vt:variant>
      <vt:variant>
        <vt:lpwstr>https://www.ers.usda.gov/data-products/farm-typology-and-land-use/conservation-practice-adoption%E2%80%91rates%E2%80%91and%E2%80%91trends/</vt:lpwstr>
      </vt:variant>
      <vt:variant>
        <vt:lpwstr/>
      </vt:variant>
      <vt:variant>
        <vt:i4>3670134</vt:i4>
      </vt:variant>
      <vt:variant>
        <vt:i4>66</vt:i4>
      </vt:variant>
      <vt:variant>
        <vt:i4>0</vt:i4>
      </vt:variant>
      <vt:variant>
        <vt:i4>5</vt:i4>
      </vt:variant>
      <vt:variant>
        <vt:lpwstr>https://doi.org/10.4148/1051-0834.2523</vt:lpwstr>
      </vt:variant>
      <vt:variant>
        <vt:lpwstr/>
      </vt:variant>
      <vt:variant>
        <vt:i4>8061039</vt:i4>
      </vt:variant>
      <vt:variant>
        <vt:i4>63</vt:i4>
      </vt:variant>
      <vt:variant>
        <vt:i4>0</vt:i4>
      </vt:variant>
      <vt:variant>
        <vt:i4>5</vt:i4>
      </vt:variant>
      <vt:variant>
        <vt:lpwstr>https://doi.org/10.1002/jeq2.20429</vt:lpwstr>
      </vt:variant>
      <vt:variant>
        <vt:lpwstr/>
      </vt:variant>
      <vt:variant>
        <vt:i4>5373978</vt:i4>
      </vt:variant>
      <vt:variant>
        <vt:i4>60</vt:i4>
      </vt:variant>
      <vt:variant>
        <vt:i4>0</vt:i4>
      </vt:variant>
      <vt:variant>
        <vt:i4>5</vt:i4>
      </vt:variant>
      <vt:variant>
        <vt:lpwstr>https://doi.org/10.1016/j.jenvman.2022.116476</vt:lpwstr>
      </vt:variant>
      <vt:variant>
        <vt:lpwstr/>
      </vt:variant>
      <vt:variant>
        <vt:i4>3866750</vt:i4>
      </vt:variant>
      <vt:variant>
        <vt:i4>57</vt:i4>
      </vt:variant>
      <vt:variant>
        <vt:i4>0</vt:i4>
      </vt:variant>
      <vt:variant>
        <vt:i4>5</vt:i4>
      </vt:variant>
      <vt:variant>
        <vt:lpwstr>https://doi.org/10.1111/1752-1688.12293</vt:lpwstr>
      </vt:variant>
      <vt:variant>
        <vt:lpwstr/>
      </vt:variant>
      <vt:variant>
        <vt:i4>28</vt:i4>
      </vt:variant>
      <vt:variant>
        <vt:i4>54</vt:i4>
      </vt:variant>
      <vt:variant>
        <vt:i4>0</vt:i4>
      </vt:variant>
      <vt:variant>
        <vt:i4>5</vt:i4>
      </vt:variant>
      <vt:variant>
        <vt:lpwstr>https://doi.org/10.1007/s00267-013-0184-8</vt:lpwstr>
      </vt:variant>
      <vt:variant>
        <vt:lpwstr/>
      </vt:variant>
      <vt:variant>
        <vt:i4>4980800</vt:i4>
      </vt:variant>
      <vt:variant>
        <vt:i4>51</vt:i4>
      </vt:variant>
      <vt:variant>
        <vt:i4>0</vt:i4>
      </vt:variant>
      <vt:variant>
        <vt:i4>5</vt:i4>
      </vt:variant>
      <vt:variant>
        <vt:lpwstr>https://doi.org/10.1016/j.landusepol.2018.12.025</vt:lpwstr>
      </vt:variant>
      <vt:variant>
        <vt:lpwstr/>
      </vt:variant>
      <vt:variant>
        <vt:i4>917585</vt:i4>
      </vt:variant>
      <vt:variant>
        <vt:i4>48</vt:i4>
      </vt:variant>
      <vt:variant>
        <vt:i4>0</vt:i4>
      </vt:variant>
      <vt:variant>
        <vt:i4>5</vt:i4>
      </vt:variant>
      <vt:variant>
        <vt:lpwstr>https://doi.org/10.2489/jswc.63.5.300</vt:lpwstr>
      </vt:variant>
      <vt:variant>
        <vt:lpwstr/>
      </vt:variant>
      <vt:variant>
        <vt:i4>4849753</vt:i4>
      </vt:variant>
      <vt:variant>
        <vt:i4>45</vt:i4>
      </vt:variant>
      <vt:variant>
        <vt:i4>0</vt:i4>
      </vt:variant>
      <vt:variant>
        <vt:i4>5</vt:i4>
      </vt:variant>
      <vt:variant>
        <vt:lpwstr>https://doi.org/10.1016/j.landusepol.2021.105391</vt:lpwstr>
      </vt:variant>
      <vt:variant>
        <vt:lpwstr/>
      </vt:variant>
      <vt:variant>
        <vt:i4>5308442</vt:i4>
      </vt:variant>
      <vt:variant>
        <vt:i4>42</vt:i4>
      </vt:variant>
      <vt:variant>
        <vt:i4>0</vt:i4>
      </vt:variant>
      <vt:variant>
        <vt:i4>5</vt:i4>
      </vt:variant>
      <vt:variant>
        <vt:lpwstr>https://doi.org/10.1016/j.jenvman.2022.114466</vt:lpwstr>
      </vt:variant>
      <vt:variant>
        <vt:lpwstr/>
      </vt:variant>
      <vt:variant>
        <vt:i4>6815857</vt:i4>
      </vt:variant>
      <vt:variant>
        <vt:i4>39</vt:i4>
      </vt:variant>
      <vt:variant>
        <vt:i4>0</vt:i4>
      </vt:variant>
      <vt:variant>
        <vt:i4>5</vt:i4>
      </vt:variant>
      <vt:variant>
        <vt:lpwstr>https://doi.org/10.5032/jae.2017.03185</vt:lpwstr>
      </vt:variant>
      <vt:variant>
        <vt:lpwstr/>
      </vt:variant>
      <vt:variant>
        <vt:i4>2359393</vt:i4>
      </vt:variant>
      <vt:variant>
        <vt:i4>36</vt:i4>
      </vt:variant>
      <vt:variant>
        <vt:i4>0</vt:i4>
      </vt:variant>
      <vt:variant>
        <vt:i4>5</vt:i4>
      </vt:variant>
      <vt:variant>
        <vt:lpwstr>https://doi.org/10.2489/jswc.2024.00122</vt:lpwstr>
      </vt:variant>
      <vt:variant>
        <vt:lpwstr/>
      </vt:variant>
      <vt:variant>
        <vt:i4>2097206</vt:i4>
      </vt:variant>
      <vt:variant>
        <vt:i4>33</vt:i4>
      </vt:variant>
      <vt:variant>
        <vt:i4>0</vt:i4>
      </vt:variant>
      <vt:variant>
        <vt:i4>5</vt:i4>
      </vt:variant>
      <vt:variant>
        <vt:lpwstr>https://doi.org/10.26689/ssr.v6i12.8947</vt:lpwstr>
      </vt:variant>
      <vt:variant>
        <vt:lpwstr/>
      </vt:variant>
      <vt:variant>
        <vt:i4>31</vt:i4>
      </vt:variant>
      <vt:variant>
        <vt:i4>27</vt:i4>
      </vt:variant>
      <vt:variant>
        <vt:i4>0</vt:i4>
      </vt:variant>
      <vt:variant>
        <vt:i4>5</vt:i4>
      </vt:variant>
      <vt:variant>
        <vt:lpwstr>https://doi.org/10.1186/s40538-019-0162-6</vt:lpwstr>
      </vt:variant>
      <vt:variant>
        <vt:lpwstr/>
      </vt:variant>
      <vt:variant>
        <vt:i4>3670071</vt:i4>
      </vt:variant>
      <vt:variant>
        <vt:i4>24</vt:i4>
      </vt:variant>
      <vt:variant>
        <vt:i4>0</vt:i4>
      </vt:variant>
      <vt:variant>
        <vt:i4>5</vt:i4>
      </vt:variant>
      <vt:variant>
        <vt:lpwstr>https://www.epa.gov/chesapeake-bay-tmdl/chesapeake-bay-tmdl-progress-and-evaluation</vt:lpwstr>
      </vt:variant>
      <vt:variant>
        <vt:lpwstr/>
      </vt:variant>
      <vt:variant>
        <vt:i4>2359350</vt:i4>
      </vt:variant>
      <vt:variant>
        <vt:i4>21</vt:i4>
      </vt:variant>
      <vt:variant>
        <vt:i4>0</vt:i4>
      </vt:variant>
      <vt:variant>
        <vt:i4>5</vt:i4>
      </vt:variant>
      <vt:variant>
        <vt:lpwstr>https://doi.org/10.1007/s00267-020-01406-0</vt:lpwstr>
      </vt:variant>
      <vt:variant>
        <vt:lpwstr/>
      </vt:variant>
      <vt:variant>
        <vt:i4>131087</vt:i4>
      </vt:variant>
      <vt:variant>
        <vt:i4>18</vt:i4>
      </vt:variant>
      <vt:variant>
        <vt:i4>0</vt:i4>
      </vt:variant>
      <vt:variant>
        <vt:i4>5</vt:i4>
      </vt:variant>
      <vt:variant>
        <vt:lpwstr>https://crsreports.congress.gov/</vt:lpwstr>
      </vt:variant>
      <vt:variant>
        <vt:lpwstr/>
      </vt:variant>
      <vt:variant>
        <vt:i4>1638426</vt:i4>
      </vt:variant>
      <vt:variant>
        <vt:i4>12</vt:i4>
      </vt:variant>
      <vt:variant>
        <vt:i4>0</vt:i4>
      </vt:variant>
      <vt:variant>
        <vt:i4>5</vt:i4>
      </vt:variant>
      <vt:variant>
        <vt:lpwstr>https://doi.org/10.3390/w15142532</vt:lpwstr>
      </vt:variant>
      <vt:variant>
        <vt:lpwstr/>
      </vt:variant>
      <vt:variant>
        <vt:i4>5177354</vt:i4>
      </vt:variant>
      <vt:variant>
        <vt:i4>9</vt:i4>
      </vt:variant>
      <vt:variant>
        <vt:i4>0</vt:i4>
      </vt:variant>
      <vt:variant>
        <vt:i4>5</vt:i4>
      </vt:variant>
      <vt:variant>
        <vt:lpwstr>https://doi.org/10.1016/j.spc.2023.12.011</vt:lpwstr>
      </vt:variant>
      <vt:variant>
        <vt:lpwstr/>
      </vt:variant>
      <vt:variant>
        <vt:i4>4849739</vt:i4>
      </vt:variant>
      <vt:variant>
        <vt:i4>6</vt:i4>
      </vt:variant>
      <vt:variant>
        <vt:i4>0</vt:i4>
      </vt:variant>
      <vt:variant>
        <vt:i4>5</vt:i4>
      </vt:variant>
      <vt:variant>
        <vt:lpwstr>https://doi.org/10.1016/0749-5978(91)90020-T</vt:lpwstr>
      </vt:variant>
      <vt:variant>
        <vt:lpwstr/>
      </vt:variant>
      <vt:variant>
        <vt:i4>6160398</vt:i4>
      </vt:variant>
      <vt:variant>
        <vt:i4>0</vt:i4>
      </vt:variant>
      <vt:variant>
        <vt:i4>0</vt:i4>
      </vt:variant>
      <vt:variant>
        <vt:i4>5</vt:i4>
      </vt:variant>
      <vt:variant>
        <vt:lpwstr>https://www.pa.gov/agencies/dep/programs-and-services/water/bwrnsm/bay-restoration/farms-and-the-bay.html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Akinbobola, Tolulope Paul</dc:creator>
  <cp:keywords/>
  <dc:description/>
  <cp:lastModifiedBy>Kumar Chaudhary, Anil</cp:lastModifiedBy>
  <cp:revision>80</cp:revision>
  <dcterms:created xsi:type="dcterms:W3CDTF">2025-09-10T03:39:00Z</dcterms:created>
  <dcterms:modified xsi:type="dcterms:W3CDTF">2025-09-12T18:57:00Z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documentId_860</vt:lpwstr>
  </property>
  <property fmtid="{D5CDD505-2E9C-101B-9397-08002B2CF9AE}" pid="3" name="grammarly_documentContext">
    <vt:lpwstr>{"goals":[],"domain":"general","emotions":[],"dialect":"american"}</vt:lpwstr>
  </property>
  <property fmtid="{D5CDD505-2E9C-101B-9397-08002B2CF9AE}" pid="4" name="GrammarlyDocumentId">
    <vt:lpwstr>1d93c3d6-e021-4d71-bf92-e70ef26b8b9e</vt:lpwstr>
  </property>
</Properties>
</file>