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F5F4E" w14:textId="1D3CC66B" w:rsidR="009A52BD" w:rsidRPr="009A52BD" w:rsidRDefault="009A52BD" w:rsidP="00B76AEF">
      <w:pPr>
        <w:pStyle w:val="NormalWeb"/>
        <w:spacing w:before="0" w:beforeAutospacing="0" w:after="0" w:afterAutospacing="0"/>
        <w:jc w:val="center"/>
        <w:rPr>
          <w:color w:val="000000"/>
          <w:sz w:val="27"/>
          <w:szCs w:val="27"/>
        </w:rPr>
      </w:pPr>
      <w:r w:rsidRPr="009A52BD">
        <w:rPr>
          <w:color w:val="000000"/>
          <w:sz w:val="27"/>
          <w:szCs w:val="27"/>
        </w:rPr>
        <w:t xml:space="preserve">Cover pages </w:t>
      </w:r>
    </w:p>
    <w:p w14:paraId="2A9F33A7" w14:textId="77777777" w:rsidR="009A52BD" w:rsidRDefault="009A52BD" w:rsidP="009A52BD">
      <w:pPr>
        <w:pStyle w:val="NormalWeb"/>
        <w:spacing w:before="0" w:beforeAutospacing="0" w:after="0" w:afterAutospacing="0"/>
        <w:rPr>
          <w:b/>
          <w:bCs/>
          <w:color w:val="0E101A"/>
        </w:rPr>
      </w:pPr>
    </w:p>
    <w:p w14:paraId="299951E2" w14:textId="77777777" w:rsidR="009A52BD" w:rsidRDefault="009A52BD" w:rsidP="009A52BD">
      <w:pPr>
        <w:pStyle w:val="NormalWeb"/>
        <w:spacing w:before="0" w:beforeAutospacing="0" w:after="0" w:afterAutospacing="0"/>
        <w:jc w:val="center"/>
        <w:rPr>
          <w:b/>
          <w:bCs/>
          <w:color w:val="0E101A"/>
        </w:rPr>
      </w:pPr>
      <w:r w:rsidRPr="00844425">
        <w:rPr>
          <w:b/>
          <w:bCs/>
          <w:color w:val="0E101A"/>
        </w:rPr>
        <w:t xml:space="preserve">Cultivating Critical Voices: Stakeholder Simulation and Gene-Editing Deliberation in Agricultural </w:t>
      </w:r>
      <w:r>
        <w:rPr>
          <w:b/>
          <w:bCs/>
          <w:color w:val="0E101A"/>
        </w:rPr>
        <w:t>Science Communication</w:t>
      </w:r>
    </w:p>
    <w:p w14:paraId="20871D68" w14:textId="77777777" w:rsidR="009A52BD" w:rsidRDefault="009A52BD" w:rsidP="00B76AEF">
      <w:pPr>
        <w:pStyle w:val="NormalWeb"/>
        <w:spacing w:before="0" w:beforeAutospacing="0" w:after="0" w:afterAutospacing="0"/>
        <w:jc w:val="center"/>
        <w:rPr>
          <w:b/>
          <w:bCs/>
          <w:color w:val="0E101A"/>
        </w:rPr>
      </w:pPr>
    </w:p>
    <w:p w14:paraId="54849639" w14:textId="1DAB73FD" w:rsidR="00C05D61" w:rsidRDefault="009A52BD" w:rsidP="00C05D61">
      <w:pPr>
        <w:spacing w:after="0" w:line="240" w:lineRule="auto"/>
        <w:rPr>
          <w:rFonts w:ascii="Times New Roman" w:eastAsia="Times New Roman" w:hAnsi="Times New Roman" w:cs="Times New Roman"/>
          <w:color w:val="000000"/>
          <w:sz w:val="24"/>
          <w:szCs w:val="24"/>
          <w:lang w:eastAsia="zh-CN"/>
        </w:rPr>
      </w:pPr>
      <w:r w:rsidRPr="009A52BD">
        <w:rPr>
          <w:rFonts w:ascii="Times New Roman" w:eastAsia="Times New Roman" w:hAnsi="Times New Roman" w:cs="Times New Roman"/>
          <w:b/>
          <w:bCs/>
          <w:color w:val="000000"/>
          <w:sz w:val="24"/>
          <w:szCs w:val="24"/>
          <w:lang w:eastAsia="zh-CN"/>
        </w:rPr>
        <w:t>Dr. Lijing Gao</w:t>
      </w:r>
      <w:r w:rsidR="00C05D61">
        <w:rPr>
          <w:rFonts w:ascii="Times New Roman" w:eastAsia="Times New Roman" w:hAnsi="Times New Roman" w:cs="Times New Roman"/>
          <w:color w:val="000000"/>
          <w:sz w:val="24"/>
          <w:szCs w:val="24"/>
          <w:lang w:eastAsia="zh-CN"/>
        </w:rPr>
        <w:t xml:space="preserve">, </w:t>
      </w:r>
      <w:r w:rsidRPr="009A52BD">
        <w:rPr>
          <w:rFonts w:ascii="Times New Roman" w:eastAsia="Times New Roman" w:hAnsi="Times New Roman" w:cs="Times New Roman"/>
          <w:color w:val="000000"/>
          <w:sz w:val="24"/>
          <w:szCs w:val="24"/>
          <w:lang w:eastAsia="zh-CN"/>
        </w:rPr>
        <w:t>Assistant Professor of Agricultural Science Communication</w:t>
      </w:r>
      <w:r w:rsidRPr="009A52BD">
        <w:rPr>
          <w:rFonts w:ascii="Times New Roman" w:eastAsia="Times New Roman" w:hAnsi="Times New Roman" w:cs="Times New Roman"/>
          <w:color w:val="000000"/>
          <w:sz w:val="24"/>
          <w:szCs w:val="24"/>
          <w:lang w:eastAsia="zh-CN"/>
        </w:rPr>
        <w:br/>
        <w:t>University of Missouri, Division of Applied Social Sciences</w:t>
      </w:r>
      <w:r w:rsidRPr="009A52BD">
        <w:rPr>
          <w:rFonts w:ascii="Times New Roman" w:eastAsia="Times New Roman" w:hAnsi="Times New Roman" w:cs="Times New Roman"/>
          <w:color w:val="000000"/>
          <w:sz w:val="24"/>
          <w:szCs w:val="24"/>
          <w:lang w:eastAsia="zh-CN"/>
        </w:rPr>
        <w:br/>
        <w:t>114 Gentry Hall, Columbia, MO 65211</w:t>
      </w:r>
    </w:p>
    <w:p w14:paraId="080AC263" w14:textId="05421DF9" w:rsidR="009A52BD" w:rsidRPr="009A52BD" w:rsidRDefault="00C05D61" w:rsidP="00C05D61">
      <w:pPr>
        <w:spacing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Phone:515-598-6824</w:t>
      </w:r>
      <w:r w:rsidR="009A52BD" w:rsidRPr="009A52BD">
        <w:rPr>
          <w:rFonts w:ascii="Times New Roman" w:eastAsia="Times New Roman" w:hAnsi="Times New Roman" w:cs="Times New Roman"/>
          <w:color w:val="000000"/>
          <w:sz w:val="24"/>
          <w:szCs w:val="24"/>
          <w:lang w:eastAsia="zh-CN"/>
        </w:rPr>
        <w:br/>
        <w:t>Email: lghbc@umsystem.edu</w:t>
      </w:r>
      <w:r w:rsidR="009A52BD" w:rsidRPr="009A52BD">
        <w:rPr>
          <w:rFonts w:ascii="Times New Roman" w:eastAsia="Times New Roman" w:hAnsi="Times New Roman" w:cs="Times New Roman"/>
          <w:color w:val="000000"/>
          <w:sz w:val="24"/>
          <w:szCs w:val="24"/>
          <w:lang w:eastAsia="zh-CN"/>
        </w:rPr>
        <w:br/>
      </w:r>
    </w:p>
    <w:p w14:paraId="297B047D" w14:textId="205B4493" w:rsidR="00C05D61" w:rsidRDefault="009A52BD" w:rsidP="00C05D61">
      <w:pPr>
        <w:spacing w:after="0" w:line="240" w:lineRule="auto"/>
        <w:rPr>
          <w:rFonts w:ascii="Times New Roman" w:eastAsia="Times New Roman" w:hAnsi="Times New Roman" w:cs="Times New Roman"/>
          <w:color w:val="000000"/>
          <w:sz w:val="24"/>
          <w:szCs w:val="24"/>
          <w:lang w:eastAsia="zh-CN"/>
        </w:rPr>
      </w:pPr>
      <w:r w:rsidRPr="009A52BD">
        <w:rPr>
          <w:rFonts w:ascii="Times New Roman" w:eastAsia="Times New Roman" w:hAnsi="Times New Roman" w:cs="Times New Roman"/>
          <w:b/>
          <w:bCs/>
          <w:color w:val="000000"/>
          <w:sz w:val="24"/>
          <w:szCs w:val="24"/>
          <w:lang w:eastAsia="zh-CN"/>
        </w:rPr>
        <w:t>Dr. Kevin Wells</w:t>
      </w:r>
      <w:r w:rsidR="00C05D61">
        <w:rPr>
          <w:rFonts w:ascii="Times New Roman" w:eastAsia="Times New Roman" w:hAnsi="Times New Roman" w:cs="Times New Roman"/>
          <w:color w:val="000000"/>
          <w:sz w:val="24"/>
          <w:szCs w:val="24"/>
          <w:lang w:eastAsia="zh-CN"/>
        </w:rPr>
        <w:t xml:space="preserve">, </w:t>
      </w:r>
      <w:r w:rsidRPr="009A52BD">
        <w:rPr>
          <w:rFonts w:ascii="Times New Roman" w:eastAsia="Times New Roman" w:hAnsi="Times New Roman" w:cs="Times New Roman"/>
          <w:color w:val="000000"/>
          <w:sz w:val="24"/>
          <w:szCs w:val="24"/>
          <w:lang w:eastAsia="zh-CN"/>
        </w:rPr>
        <w:t>Associate Professor, Division of Animal Sciences</w:t>
      </w:r>
      <w:r w:rsidRPr="009A52BD">
        <w:rPr>
          <w:rFonts w:ascii="Times New Roman" w:eastAsia="Times New Roman" w:hAnsi="Times New Roman" w:cs="Times New Roman"/>
          <w:color w:val="000000"/>
          <w:sz w:val="24"/>
          <w:szCs w:val="24"/>
          <w:lang w:eastAsia="zh-CN"/>
        </w:rPr>
        <w:br/>
        <w:t>University of Missouri, CAFNR</w:t>
      </w:r>
    </w:p>
    <w:p w14:paraId="07D0B25E" w14:textId="43405B67" w:rsidR="009A52BD" w:rsidRDefault="00C05D61" w:rsidP="00C05D61">
      <w:pPr>
        <w:spacing w:after="0" w:line="240" w:lineRule="auto"/>
        <w:rPr>
          <w:rFonts w:ascii="Times New Roman" w:eastAsia="Times New Roman" w:hAnsi="Times New Roman" w:cs="Times New Roman"/>
          <w:color w:val="000000"/>
          <w:sz w:val="24"/>
          <w:szCs w:val="24"/>
          <w:lang w:eastAsia="zh-CN"/>
        </w:rPr>
      </w:pPr>
      <w:r>
        <w:rPr>
          <w:rFonts w:ascii="Times New Roman" w:eastAsia="Times New Roman" w:hAnsi="Times New Roman" w:cs="Times New Roman"/>
          <w:color w:val="000000"/>
          <w:sz w:val="24"/>
          <w:szCs w:val="24"/>
          <w:lang w:eastAsia="zh-CN"/>
        </w:rPr>
        <w:t>Animal Sciences Building</w:t>
      </w:r>
      <w:r w:rsidR="009A52BD" w:rsidRPr="009A52BD">
        <w:rPr>
          <w:rFonts w:ascii="Times New Roman" w:eastAsia="Times New Roman" w:hAnsi="Times New Roman" w:cs="Times New Roman"/>
          <w:color w:val="000000"/>
          <w:sz w:val="24"/>
          <w:szCs w:val="24"/>
          <w:lang w:eastAsia="zh-CN"/>
        </w:rPr>
        <w:t>, Columbia, MO 65211</w:t>
      </w:r>
      <w:r w:rsidR="009A52BD" w:rsidRPr="009A52BD">
        <w:rPr>
          <w:rFonts w:ascii="Times New Roman" w:eastAsia="Times New Roman" w:hAnsi="Times New Roman" w:cs="Times New Roman"/>
          <w:color w:val="000000"/>
          <w:sz w:val="24"/>
          <w:szCs w:val="24"/>
          <w:lang w:eastAsia="zh-CN"/>
        </w:rPr>
        <w:br/>
        <w:t>Phone: (573) 882-1765</w:t>
      </w:r>
      <w:r w:rsidR="009A52BD" w:rsidRPr="009A52BD">
        <w:rPr>
          <w:rFonts w:ascii="Times New Roman" w:eastAsia="Times New Roman" w:hAnsi="Times New Roman" w:cs="Times New Roman"/>
          <w:color w:val="000000"/>
          <w:sz w:val="24"/>
          <w:szCs w:val="24"/>
          <w:lang w:eastAsia="zh-CN"/>
        </w:rPr>
        <w:br/>
        <w:t>Email: </w:t>
      </w:r>
      <w:hyperlink r:id="rId7" w:history="1">
        <w:r w:rsidRPr="009A52BD">
          <w:rPr>
            <w:rStyle w:val="Hyperlink"/>
            <w:rFonts w:ascii="Times New Roman" w:eastAsia="Times New Roman" w:hAnsi="Times New Roman" w:cs="Times New Roman"/>
            <w:sz w:val="24"/>
            <w:szCs w:val="24"/>
            <w:lang w:eastAsia="zh-CN"/>
          </w:rPr>
          <w:t>wellskev@missouri.edu</w:t>
        </w:r>
      </w:hyperlink>
    </w:p>
    <w:p w14:paraId="1464BADA" w14:textId="77777777" w:rsidR="00C05D61" w:rsidRPr="009A52BD" w:rsidRDefault="00C05D61" w:rsidP="00C05D61">
      <w:pPr>
        <w:spacing w:after="0" w:line="240" w:lineRule="auto"/>
        <w:rPr>
          <w:rFonts w:ascii="Times New Roman" w:eastAsia="Times New Roman" w:hAnsi="Times New Roman" w:cs="Times New Roman"/>
          <w:color w:val="000000"/>
          <w:sz w:val="24"/>
          <w:szCs w:val="24"/>
          <w:lang w:eastAsia="zh-CN"/>
        </w:rPr>
      </w:pPr>
    </w:p>
    <w:p w14:paraId="72A80B09" w14:textId="20FC5EF1" w:rsidR="009A52BD" w:rsidRDefault="009A52BD" w:rsidP="00C05D61">
      <w:pPr>
        <w:spacing w:after="0" w:line="240" w:lineRule="auto"/>
        <w:rPr>
          <w:rFonts w:ascii="Times New Roman" w:eastAsia="Times New Roman" w:hAnsi="Times New Roman" w:cs="Times New Roman"/>
          <w:color w:val="000000"/>
          <w:sz w:val="24"/>
          <w:szCs w:val="24"/>
          <w:lang w:eastAsia="zh-CN"/>
        </w:rPr>
      </w:pPr>
      <w:r w:rsidRPr="009A52BD">
        <w:rPr>
          <w:rFonts w:ascii="Times New Roman" w:eastAsia="Times New Roman" w:hAnsi="Times New Roman" w:cs="Times New Roman"/>
          <w:b/>
          <w:bCs/>
          <w:color w:val="000000"/>
          <w:sz w:val="24"/>
          <w:szCs w:val="24"/>
          <w:lang w:eastAsia="zh-CN"/>
        </w:rPr>
        <w:t>Dr. Harvey S. James, Jr.</w:t>
      </w:r>
      <w:r w:rsidR="00C05D61">
        <w:rPr>
          <w:rFonts w:ascii="Times New Roman" w:eastAsia="Times New Roman" w:hAnsi="Times New Roman" w:cs="Times New Roman"/>
          <w:color w:val="000000"/>
          <w:sz w:val="24"/>
          <w:szCs w:val="24"/>
          <w:lang w:eastAsia="zh-CN"/>
        </w:rPr>
        <w:t xml:space="preserve"> </w:t>
      </w:r>
      <w:r w:rsidRPr="009A52BD">
        <w:rPr>
          <w:rFonts w:ascii="Times New Roman" w:eastAsia="Times New Roman" w:hAnsi="Times New Roman" w:cs="Times New Roman"/>
          <w:color w:val="000000"/>
          <w:sz w:val="24"/>
          <w:szCs w:val="24"/>
          <w:lang w:eastAsia="zh-CN"/>
        </w:rPr>
        <w:t>Professor of Agricultural and Applied Economics</w:t>
      </w:r>
      <w:r w:rsidRPr="009A52BD">
        <w:rPr>
          <w:rFonts w:ascii="Times New Roman" w:eastAsia="Times New Roman" w:hAnsi="Times New Roman" w:cs="Times New Roman"/>
          <w:color w:val="000000"/>
          <w:sz w:val="24"/>
          <w:szCs w:val="24"/>
          <w:lang w:eastAsia="zh-CN"/>
        </w:rPr>
        <w:br/>
        <w:t>University of Missouri, Division of Applied Social Sciences</w:t>
      </w:r>
      <w:r w:rsidRPr="009A52BD">
        <w:rPr>
          <w:rFonts w:ascii="Times New Roman" w:eastAsia="Times New Roman" w:hAnsi="Times New Roman" w:cs="Times New Roman"/>
          <w:color w:val="000000"/>
          <w:sz w:val="24"/>
          <w:szCs w:val="24"/>
          <w:lang w:eastAsia="zh-CN"/>
        </w:rPr>
        <w:br/>
        <w:t>316C Mumford Hall, Columbia, MO 65211</w:t>
      </w:r>
      <w:r w:rsidRPr="009A52BD">
        <w:rPr>
          <w:rFonts w:ascii="Times New Roman" w:eastAsia="Times New Roman" w:hAnsi="Times New Roman" w:cs="Times New Roman"/>
          <w:color w:val="000000"/>
          <w:sz w:val="24"/>
          <w:szCs w:val="24"/>
          <w:lang w:eastAsia="zh-CN"/>
        </w:rPr>
        <w:br/>
        <w:t>Phone: (573) 884-9682</w:t>
      </w:r>
      <w:r w:rsidRPr="009A52BD">
        <w:rPr>
          <w:rFonts w:ascii="Times New Roman" w:eastAsia="Times New Roman" w:hAnsi="Times New Roman" w:cs="Times New Roman"/>
          <w:color w:val="000000"/>
          <w:sz w:val="24"/>
          <w:szCs w:val="24"/>
          <w:lang w:eastAsia="zh-CN"/>
        </w:rPr>
        <w:br/>
        <w:t>Email: </w:t>
      </w:r>
      <w:hyperlink r:id="rId8" w:history="1">
        <w:r w:rsidR="00C05D61" w:rsidRPr="009A52BD">
          <w:rPr>
            <w:rStyle w:val="Hyperlink"/>
            <w:rFonts w:ascii="Times New Roman" w:eastAsia="Times New Roman" w:hAnsi="Times New Roman" w:cs="Times New Roman"/>
            <w:sz w:val="24"/>
            <w:szCs w:val="24"/>
            <w:lang w:eastAsia="zh-CN"/>
          </w:rPr>
          <w:t>HJames@missouri.edu</w:t>
        </w:r>
      </w:hyperlink>
    </w:p>
    <w:p w14:paraId="7E1ADA8B" w14:textId="77777777" w:rsidR="00C05D61" w:rsidRPr="009A52BD" w:rsidRDefault="00C05D61" w:rsidP="00C05D61">
      <w:pPr>
        <w:spacing w:after="0" w:line="240" w:lineRule="auto"/>
        <w:rPr>
          <w:rFonts w:ascii="Times New Roman" w:eastAsia="Times New Roman" w:hAnsi="Times New Roman" w:cs="Times New Roman"/>
          <w:color w:val="000000"/>
          <w:sz w:val="24"/>
          <w:szCs w:val="24"/>
          <w:lang w:eastAsia="zh-CN"/>
        </w:rPr>
      </w:pPr>
    </w:p>
    <w:p w14:paraId="58FA49F7" w14:textId="3FA870AD" w:rsidR="009A52BD" w:rsidRDefault="009A52BD" w:rsidP="00C05D61">
      <w:pPr>
        <w:spacing w:after="0" w:line="240" w:lineRule="auto"/>
        <w:rPr>
          <w:rFonts w:ascii="Times New Roman" w:eastAsia="Times New Roman" w:hAnsi="Times New Roman" w:cs="Times New Roman"/>
          <w:color w:val="000000"/>
          <w:sz w:val="24"/>
          <w:szCs w:val="24"/>
          <w:lang w:eastAsia="zh-CN"/>
        </w:rPr>
      </w:pPr>
      <w:r w:rsidRPr="009A52BD">
        <w:rPr>
          <w:rFonts w:ascii="Times New Roman" w:eastAsia="Times New Roman" w:hAnsi="Times New Roman" w:cs="Times New Roman"/>
          <w:b/>
          <w:bCs/>
          <w:color w:val="000000"/>
          <w:sz w:val="24"/>
          <w:szCs w:val="24"/>
          <w:lang w:eastAsia="zh-CN"/>
        </w:rPr>
        <w:t>Philip (Andrew) Ross</w:t>
      </w:r>
      <w:r w:rsidRPr="009A52BD">
        <w:rPr>
          <w:rFonts w:ascii="Times New Roman" w:eastAsia="Times New Roman" w:hAnsi="Times New Roman" w:cs="Times New Roman"/>
          <w:color w:val="000000"/>
          <w:sz w:val="24"/>
          <w:szCs w:val="24"/>
          <w:lang w:eastAsia="zh-CN"/>
        </w:rPr>
        <w:br/>
        <w:t>PhD Student, Department of Statistics</w:t>
      </w:r>
      <w:r w:rsidRPr="009A52BD">
        <w:rPr>
          <w:rFonts w:ascii="Times New Roman" w:eastAsia="Times New Roman" w:hAnsi="Times New Roman" w:cs="Times New Roman"/>
          <w:color w:val="000000"/>
          <w:sz w:val="24"/>
          <w:szCs w:val="24"/>
          <w:lang w:eastAsia="zh-CN"/>
        </w:rPr>
        <w:br/>
        <w:t>University of Missouri, Columbia, MO 65211</w:t>
      </w:r>
      <w:r w:rsidRPr="009A52BD">
        <w:rPr>
          <w:rFonts w:ascii="Times New Roman" w:eastAsia="Times New Roman" w:hAnsi="Times New Roman" w:cs="Times New Roman"/>
          <w:color w:val="000000"/>
          <w:sz w:val="24"/>
          <w:szCs w:val="24"/>
          <w:lang w:eastAsia="zh-CN"/>
        </w:rPr>
        <w:br/>
        <w:t>Email: </w:t>
      </w:r>
      <w:r w:rsidRPr="009A52BD">
        <w:rPr>
          <w:rFonts w:ascii="Times New Roman" w:eastAsia="Times New Roman" w:hAnsi="Times New Roman" w:cs="Times New Roman"/>
          <w:color w:val="000000"/>
          <w:sz w:val="24"/>
          <w:szCs w:val="24"/>
          <w:lang w:eastAsia="zh-CN"/>
        </w:rPr>
        <w:t xml:space="preserve"> </w:t>
      </w:r>
      <w:hyperlink r:id="rId9" w:history="1">
        <w:r w:rsidR="00C05D61" w:rsidRPr="00F60670">
          <w:rPr>
            <w:rStyle w:val="Hyperlink"/>
            <w:rFonts w:ascii="Times New Roman" w:eastAsia="Times New Roman" w:hAnsi="Times New Roman" w:cs="Times New Roman"/>
            <w:sz w:val="24"/>
            <w:szCs w:val="24"/>
            <w:lang w:eastAsia="zh-CN"/>
          </w:rPr>
          <w:t>parn4q@missouri.edu</w:t>
        </w:r>
      </w:hyperlink>
    </w:p>
    <w:p w14:paraId="7A66D2A9" w14:textId="77777777" w:rsidR="00C05D61" w:rsidRPr="009A52BD" w:rsidRDefault="00C05D61" w:rsidP="00C05D61">
      <w:pPr>
        <w:spacing w:after="0" w:line="240" w:lineRule="auto"/>
        <w:rPr>
          <w:rFonts w:ascii="Times New Roman" w:eastAsia="Times New Roman" w:hAnsi="Times New Roman" w:cs="Times New Roman"/>
          <w:color w:val="000000"/>
          <w:sz w:val="24"/>
          <w:szCs w:val="24"/>
          <w:lang w:eastAsia="zh-CN"/>
        </w:rPr>
      </w:pPr>
    </w:p>
    <w:p w14:paraId="14F46E56" w14:textId="00ABA860" w:rsidR="009A52BD" w:rsidRDefault="009A52BD" w:rsidP="00C05D61">
      <w:pPr>
        <w:spacing w:after="0" w:line="240" w:lineRule="auto"/>
        <w:rPr>
          <w:rFonts w:ascii="Times New Roman" w:eastAsia="Times New Roman" w:hAnsi="Times New Roman" w:cs="Times New Roman"/>
          <w:color w:val="000000"/>
          <w:sz w:val="24"/>
          <w:szCs w:val="24"/>
          <w:lang w:eastAsia="zh-CN"/>
        </w:rPr>
      </w:pPr>
      <w:r w:rsidRPr="009A52BD">
        <w:rPr>
          <w:rFonts w:ascii="Times New Roman" w:eastAsia="Times New Roman" w:hAnsi="Times New Roman" w:cs="Times New Roman"/>
          <w:b/>
          <w:bCs/>
          <w:color w:val="000000"/>
          <w:sz w:val="24"/>
          <w:szCs w:val="24"/>
          <w:lang w:eastAsia="zh-CN"/>
        </w:rPr>
        <w:t>Dr. John Tummons</w:t>
      </w:r>
      <w:r w:rsidR="00C05D61">
        <w:rPr>
          <w:rFonts w:ascii="Times New Roman" w:eastAsia="Times New Roman" w:hAnsi="Times New Roman" w:cs="Times New Roman"/>
          <w:color w:val="000000"/>
          <w:sz w:val="24"/>
          <w:szCs w:val="24"/>
          <w:lang w:eastAsia="zh-CN"/>
        </w:rPr>
        <w:t xml:space="preserve">, </w:t>
      </w:r>
      <w:r w:rsidRPr="009A52BD">
        <w:rPr>
          <w:rFonts w:ascii="Times New Roman" w:eastAsia="Times New Roman" w:hAnsi="Times New Roman" w:cs="Times New Roman"/>
          <w:color w:val="000000"/>
          <w:sz w:val="24"/>
          <w:szCs w:val="24"/>
          <w:lang w:eastAsia="zh-CN"/>
        </w:rPr>
        <w:t>Associate Professor of Agricultural Education &amp; Leadership</w:t>
      </w:r>
      <w:r w:rsidRPr="009A52BD">
        <w:rPr>
          <w:rFonts w:ascii="Times New Roman" w:eastAsia="Times New Roman" w:hAnsi="Times New Roman" w:cs="Times New Roman"/>
          <w:color w:val="000000"/>
          <w:sz w:val="24"/>
          <w:szCs w:val="24"/>
          <w:lang w:eastAsia="zh-CN"/>
        </w:rPr>
        <w:br/>
        <w:t>Director of Undergraduate Studies</w:t>
      </w:r>
      <w:r w:rsidRPr="009A52BD">
        <w:rPr>
          <w:rFonts w:ascii="Times New Roman" w:eastAsia="Times New Roman" w:hAnsi="Times New Roman" w:cs="Times New Roman"/>
          <w:color w:val="000000"/>
          <w:sz w:val="24"/>
          <w:szCs w:val="24"/>
          <w:lang w:eastAsia="zh-CN"/>
        </w:rPr>
        <w:br/>
        <w:t>University of Missouri, CAFNR</w:t>
      </w:r>
      <w:r w:rsidRPr="009A52BD">
        <w:rPr>
          <w:rFonts w:ascii="Times New Roman" w:eastAsia="Times New Roman" w:hAnsi="Times New Roman" w:cs="Times New Roman"/>
          <w:color w:val="000000"/>
          <w:sz w:val="24"/>
          <w:szCs w:val="24"/>
          <w:lang w:eastAsia="zh-CN"/>
        </w:rPr>
        <w:br/>
        <w:t>127 Gentry Hall, Columbia, MO 65211</w:t>
      </w:r>
      <w:r w:rsidRPr="009A52BD">
        <w:rPr>
          <w:rFonts w:ascii="Times New Roman" w:eastAsia="Times New Roman" w:hAnsi="Times New Roman" w:cs="Times New Roman"/>
          <w:color w:val="000000"/>
          <w:sz w:val="24"/>
          <w:szCs w:val="24"/>
          <w:lang w:eastAsia="zh-CN"/>
        </w:rPr>
        <w:br/>
        <w:t>Phone: (573) 882-9599</w:t>
      </w:r>
      <w:r w:rsidRPr="009A52BD">
        <w:rPr>
          <w:rFonts w:ascii="Times New Roman" w:eastAsia="Times New Roman" w:hAnsi="Times New Roman" w:cs="Times New Roman"/>
          <w:color w:val="000000"/>
          <w:sz w:val="24"/>
          <w:szCs w:val="24"/>
          <w:lang w:eastAsia="zh-CN"/>
        </w:rPr>
        <w:br/>
        <w:t>Email: </w:t>
      </w:r>
      <w:hyperlink r:id="rId10" w:history="1">
        <w:r w:rsidRPr="009A52BD">
          <w:rPr>
            <w:rStyle w:val="Hyperlink"/>
            <w:rFonts w:ascii="Times New Roman" w:eastAsia="Times New Roman" w:hAnsi="Times New Roman" w:cs="Times New Roman"/>
            <w:sz w:val="24"/>
            <w:szCs w:val="24"/>
            <w:lang w:eastAsia="zh-CN"/>
          </w:rPr>
          <w:t>tummonsj@missouri.edu</w:t>
        </w:r>
      </w:hyperlink>
    </w:p>
    <w:p w14:paraId="65DF94C9" w14:textId="77777777" w:rsidR="009A52BD" w:rsidRDefault="009A52BD" w:rsidP="009A52BD">
      <w:pPr>
        <w:spacing w:before="100" w:beforeAutospacing="1" w:after="100" w:afterAutospacing="1" w:line="240" w:lineRule="auto"/>
        <w:rPr>
          <w:rFonts w:ascii="Times New Roman" w:eastAsia="Times New Roman" w:hAnsi="Times New Roman" w:cs="Times New Roman"/>
          <w:color w:val="000000"/>
          <w:sz w:val="24"/>
          <w:szCs w:val="24"/>
          <w:lang w:eastAsia="zh-CN"/>
        </w:rPr>
      </w:pPr>
    </w:p>
    <w:p w14:paraId="27168163" w14:textId="77777777" w:rsidR="009A52BD" w:rsidRDefault="009A52BD" w:rsidP="009A52BD">
      <w:pPr>
        <w:spacing w:before="100" w:beforeAutospacing="1" w:after="100" w:afterAutospacing="1" w:line="240" w:lineRule="auto"/>
        <w:rPr>
          <w:rFonts w:ascii="Times New Roman" w:eastAsia="Times New Roman" w:hAnsi="Times New Roman" w:cs="Times New Roman"/>
          <w:color w:val="000000"/>
          <w:sz w:val="24"/>
          <w:szCs w:val="24"/>
          <w:lang w:eastAsia="zh-CN"/>
        </w:rPr>
      </w:pPr>
    </w:p>
    <w:p w14:paraId="1A95C99C" w14:textId="77777777" w:rsidR="009A52BD" w:rsidRPr="009A52BD" w:rsidRDefault="009A52BD" w:rsidP="009A52BD">
      <w:pPr>
        <w:spacing w:before="100" w:beforeAutospacing="1" w:after="100" w:afterAutospacing="1" w:line="240" w:lineRule="auto"/>
        <w:rPr>
          <w:rFonts w:ascii="Times New Roman" w:eastAsia="Times New Roman" w:hAnsi="Times New Roman" w:cs="Times New Roman"/>
          <w:color w:val="000000"/>
          <w:sz w:val="24"/>
          <w:szCs w:val="24"/>
          <w:lang w:eastAsia="zh-CN"/>
        </w:rPr>
      </w:pPr>
    </w:p>
    <w:p w14:paraId="1580F657" w14:textId="77777777" w:rsidR="009A52BD" w:rsidRDefault="009A52BD" w:rsidP="00B76AEF">
      <w:pPr>
        <w:pStyle w:val="NormalWeb"/>
        <w:spacing w:before="0" w:beforeAutospacing="0" w:after="0" w:afterAutospacing="0"/>
        <w:jc w:val="center"/>
        <w:rPr>
          <w:b/>
          <w:bCs/>
          <w:color w:val="0E101A"/>
        </w:rPr>
      </w:pPr>
    </w:p>
    <w:p w14:paraId="3E3916F3" w14:textId="77777777" w:rsidR="00C76665" w:rsidRDefault="00C76665" w:rsidP="009A52BD">
      <w:pPr>
        <w:pStyle w:val="NormalWeb"/>
        <w:spacing w:before="0" w:beforeAutospacing="0" w:after="0" w:afterAutospacing="0"/>
        <w:jc w:val="center"/>
        <w:rPr>
          <w:b/>
          <w:bCs/>
          <w:color w:val="0E101A"/>
        </w:rPr>
      </w:pPr>
    </w:p>
    <w:p w14:paraId="37C017D2" w14:textId="77777777" w:rsidR="00C76665" w:rsidRDefault="00C76665" w:rsidP="009A52BD">
      <w:pPr>
        <w:pStyle w:val="NormalWeb"/>
        <w:spacing w:before="0" w:beforeAutospacing="0" w:after="0" w:afterAutospacing="0"/>
        <w:jc w:val="center"/>
        <w:rPr>
          <w:b/>
          <w:bCs/>
          <w:color w:val="0E101A"/>
        </w:rPr>
      </w:pPr>
    </w:p>
    <w:p w14:paraId="4AC36396" w14:textId="77777777" w:rsidR="00C76665" w:rsidRDefault="00C76665" w:rsidP="009A52BD">
      <w:pPr>
        <w:pStyle w:val="NormalWeb"/>
        <w:spacing w:before="0" w:beforeAutospacing="0" w:after="0" w:afterAutospacing="0"/>
        <w:jc w:val="center"/>
        <w:rPr>
          <w:b/>
          <w:bCs/>
          <w:color w:val="0E101A"/>
        </w:rPr>
      </w:pPr>
    </w:p>
    <w:p w14:paraId="0ABCA50E" w14:textId="5F5E9693" w:rsidR="009A52BD" w:rsidRDefault="009A52BD" w:rsidP="009A52BD">
      <w:pPr>
        <w:pStyle w:val="NormalWeb"/>
        <w:spacing w:before="0" w:beforeAutospacing="0" w:after="0" w:afterAutospacing="0"/>
        <w:jc w:val="center"/>
        <w:rPr>
          <w:b/>
          <w:bCs/>
          <w:color w:val="0E101A"/>
        </w:rPr>
      </w:pPr>
      <w:r w:rsidRPr="00844425">
        <w:rPr>
          <w:b/>
          <w:bCs/>
          <w:color w:val="0E101A"/>
        </w:rPr>
        <w:lastRenderedPageBreak/>
        <w:t xml:space="preserve">Cultivating Critical Voices: Stakeholder Simulation and Gene-Editing Deliberation in Agricultural </w:t>
      </w:r>
      <w:r>
        <w:rPr>
          <w:b/>
          <w:bCs/>
          <w:color w:val="0E101A"/>
        </w:rPr>
        <w:t>Science Communication</w:t>
      </w:r>
    </w:p>
    <w:p w14:paraId="54AE0A29" w14:textId="77777777" w:rsidR="00B76AEF" w:rsidRDefault="00B76AEF" w:rsidP="00B76AEF">
      <w:pPr>
        <w:pStyle w:val="NormalWeb"/>
        <w:spacing w:before="0" w:beforeAutospacing="0" w:after="0" w:afterAutospacing="0"/>
        <w:jc w:val="center"/>
        <w:rPr>
          <w:b/>
          <w:bCs/>
          <w:color w:val="0E101A"/>
        </w:rPr>
      </w:pPr>
    </w:p>
    <w:p w14:paraId="31D48F67" w14:textId="65F0AF24" w:rsidR="00AF45FA" w:rsidRPr="00B76AEF" w:rsidRDefault="00AF45FA" w:rsidP="00B76AEF">
      <w:pPr>
        <w:pStyle w:val="NormalWeb"/>
        <w:spacing w:before="120" w:beforeAutospacing="0" w:after="120" w:afterAutospacing="0"/>
        <w:rPr>
          <w:b/>
          <w:bCs/>
          <w:color w:val="0E101A"/>
        </w:rPr>
      </w:pPr>
      <w:r w:rsidRPr="00B76AEF">
        <w:rPr>
          <w:b/>
          <w:bCs/>
          <w:color w:val="0E101A"/>
        </w:rPr>
        <w:t>Introduction</w:t>
      </w:r>
    </w:p>
    <w:p w14:paraId="6334FDF8" w14:textId="3F8E172F" w:rsidR="00AF45FA" w:rsidRPr="00AF45FA" w:rsidRDefault="00AF45FA" w:rsidP="00B76AEF">
      <w:pPr>
        <w:pStyle w:val="NormalWeb"/>
        <w:spacing w:before="0" w:beforeAutospacing="0" w:after="0" w:afterAutospacing="0"/>
        <w:rPr>
          <w:color w:val="0E101A"/>
        </w:rPr>
      </w:pPr>
      <w:r w:rsidRPr="00AF45FA">
        <w:rPr>
          <w:color w:val="0E101A"/>
        </w:rPr>
        <w:t xml:space="preserve">Contemporary food and agricultural science programs face rising challenges in preparing students to navigate complex </w:t>
      </w:r>
      <w:proofErr w:type="spellStart"/>
      <w:r w:rsidRPr="00AF45FA">
        <w:rPr>
          <w:color w:val="0E101A"/>
        </w:rPr>
        <w:t>socioscientific</w:t>
      </w:r>
      <w:proofErr w:type="spellEnd"/>
      <w:r w:rsidRPr="00AF45FA">
        <w:rPr>
          <w:color w:val="0E101A"/>
        </w:rPr>
        <w:t xml:space="preserve"> issues introduced by emerging technologies such as gene editing. These technologies demand that learners develop ethical, social, and regulatory reasoning in tandem with technical expertise. Gene‑edited livestock exemplifies these tensions: while offering potential gains in animal welfare and sustainability, it simultaneously raises concerns about oversight, trust, and societal acceptability. With recent U.S. regulatory authorizations moving gene‑edited animals closer to market integration, instruction in this area must embed scientific, civic, and moral reasoning as core components, rather than treating them as supplemental add‑ons.</w:t>
      </w:r>
    </w:p>
    <w:p w14:paraId="1F25C84E" w14:textId="77777777" w:rsidR="00B76AEF" w:rsidRDefault="00AF45FA" w:rsidP="00B76AEF">
      <w:pPr>
        <w:pStyle w:val="NormalWeb"/>
        <w:spacing w:before="120" w:beforeAutospacing="0" w:after="120" w:afterAutospacing="0"/>
        <w:rPr>
          <w:b/>
          <w:bCs/>
          <w:color w:val="0E101A"/>
        </w:rPr>
      </w:pPr>
      <w:r w:rsidRPr="00B76AEF">
        <w:rPr>
          <w:b/>
          <w:bCs/>
          <w:color w:val="0E101A"/>
        </w:rPr>
        <w:t>Program Rationale and Design</w:t>
      </w:r>
    </w:p>
    <w:p w14:paraId="36AB1099" w14:textId="465AA982" w:rsidR="00AF45FA" w:rsidRPr="00B76AEF" w:rsidRDefault="00AF45FA" w:rsidP="00B76AEF">
      <w:pPr>
        <w:pStyle w:val="NormalWeb"/>
        <w:spacing w:before="0" w:beforeAutospacing="0" w:after="0" w:afterAutospacing="0"/>
        <w:rPr>
          <w:b/>
          <w:bCs/>
          <w:color w:val="0E101A"/>
        </w:rPr>
      </w:pPr>
      <w:r w:rsidRPr="00AF45FA">
        <w:rPr>
          <w:color w:val="0E101A"/>
        </w:rPr>
        <w:t>Guided by a constructivist, learner‑centered orientation and grounded in Kolb’s experiential learning cycle, we implemented a Town Hall–style stakeholder role‑play that asked students to deliberate on gene‑edited pork. Participants adopted various stakeholder positions (e.g., regulators, producers, consumers), engaging directly with the ethical, evidentiary, and emotional complexities of the issue. The intervention was designed to cultivate perspective‑taking, strengthen argumentative practice, and promote literacy in regulatory processes.</w:t>
      </w:r>
    </w:p>
    <w:p w14:paraId="6F3B8B17" w14:textId="7F60C818" w:rsidR="00AF45FA" w:rsidRPr="00B76AEF" w:rsidRDefault="00AF45FA" w:rsidP="00B76AEF">
      <w:pPr>
        <w:pStyle w:val="NormalWeb"/>
        <w:spacing w:before="120" w:beforeAutospacing="0" w:after="120" w:afterAutospacing="0"/>
        <w:rPr>
          <w:b/>
          <w:bCs/>
          <w:color w:val="0E101A"/>
        </w:rPr>
      </w:pPr>
      <w:r w:rsidRPr="00B76AEF">
        <w:rPr>
          <w:b/>
          <w:bCs/>
          <w:color w:val="0E101A"/>
        </w:rPr>
        <w:t>How It Works</w:t>
      </w:r>
    </w:p>
    <w:p w14:paraId="61894B24" w14:textId="3EE937B5" w:rsidR="00AF45FA" w:rsidRPr="00AF45FA" w:rsidRDefault="00AF45FA" w:rsidP="00AF45FA">
      <w:pPr>
        <w:pStyle w:val="NormalWeb"/>
        <w:spacing w:after="0"/>
        <w:rPr>
          <w:color w:val="0E101A"/>
        </w:rPr>
      </w:pPr>
      <w:r w:rsidRPr="00AF45FA">
        <w:rPr>
          <w:color w:val="0E101A"/>
        </w:rPr>
        <w:t>The activity was structured in three phases: (1) scaffolded preparation that included briefing materials and curated readings on CRISPR, regulatory oversight, and stakeholder perspectives; (2) a Town Hall simulation involving timed speeches (two‑minute openings), rebuttal and question rounds, and one‑minute closings, with faculty serving as neutral facilitators to balance airtime and evidence use; and (3) an guided debrief connecting the experience to students’ personal values and prospective professional roles. Seven roles—</w:t>
      </w:r>
      <w:proofErr w:type="spellStart"/>
      <w:r w:rsidRPr="00AF45FA">
        <w:rPr>
          <w:color w:val="0E101A"/>
        </w:rPr>
        <w:t>Bioscientist</w:t>
      </w:r>
      <w:proofErr w:type="spellEnd"/>
      <w:r w:rsidRPr="00AF45FA">
        <w:rPr>
          <w:color w:val="0E101A"/>
        </w:rPr>
        <w:t>, Biotech Representative, FDA/USDA Regulator, Agribusiness Supply Chain Representative, Social Media Influencer, Farmer/Producer, and Consumer—were distributed evenly across teams. A semi‑circular room arrangement and structured turn‑taking reinforced inclusive participation.</w:t>
      </w:r>
    </w:p>
    <w:p w14:paraId="113FD7B8" w14:textId="140ADF51" w:rsidR="00AF45FA" w:rsidRPr="00B76AEF" w:rsidRDefault="00AF45FA" w:rsidP="00B76AEF">
      <w:pPr>
        <w:pStyle w:val="NormalWeb"/>
        <w:spacing w:before="120" w:beforeAutospacing="0" w:after="120" w:afterAutospacing="0"/>
        <w:rPr>
          <w:b/>
          <w:bCs/>
          <w:color w:val="0E101A"/>
        </w:rPr>
      </w:pPr>
      <w:r w:rsidRPr="00B76AEF">
        <w:rPr>
          <w:b/>
          <w:bCs/>
          <w:color w:val="0E101A"/>
        </w:rPr>
        <w:t>Methodology</w:t>
      </w:r>
    </w:p>
    <w:p w14:paraId="0C187483" w14:textId="0025E1A0" w:rsidR="00AF45FA" w:rsidRPr="00AF45FA" w:rsidRDefault="00AF45FA" w:rsidP="00AF45FA">
      <w:pPr>
        <w:pStyle w:val="NormalWeb"/>
        <w:spacing w:after="0"/>
        <w:rPr>
          <w:color w:val="0E101A"/>
        </w:rPr>
      </w:pPr>
      <w:r w:rsidRPr="00AF45FA">
        <w:rPr>
          <w:color w:val="0E101A"/>
        </w:rPr>
        <w:t>The intervention was conducted within an undergraduate science communication course at a U.S. land‑grant university, employing mixed methods. Quantitative pre‑ and post‑activity surveys captured changes in content understanding, risk/benefit perceptions, self‑confidence, and regulatory literacy (descriptive comparisons). Qualitative data sources included video‑recorded and transcribed debate sessions, systematic observation notes, and student post‑debate reflections. These were analyzed through thematic coding, using both a priori categories (perspective‑taking, empathy, regulatory reasoning, inclusivity) and open coding, with iterative consensus validation. Assignments were screened for plagiarism and inappropriate AI use, with guidance reminding students of the importance of maintaining their authentic voice.</w:t>
      </w:r>
    </w:p>
    <w:p w14:paraId="5BFB4A92" w14:textId="484D5745" w:rsidR="00AF45FA" w:rsidRPr="00B76AEF" w:rsidRDefault="00AF45FA" w:rsidP="00AF45FA">
      <w:pPr>
        <w:pStyle w:val="NormalWeb"/>
        <w:spacing w:after="0"/>
        <w:rPr>
          <w:b/>
          <w:bCs/>
          <w:color w:val="0E101A"/>
        </w:rPr>
      </w:pPr>
      <w:r w:rsidRPr="00B76AEF">
        <w:rPr>
          <w:b/>
          <w:bCs/>
          <w:color w:val="0E101A"/>
        </w:rPr>
        <w:lastRenderedPageBreak/>
        <w:t>Findings</w:t>
      </w:r>
    </w:p>
    <w:p w14:paraId="12FDEDEA" w14:textId="2A404862" w:rsidR="00AF45FA" w:rsidRPr="00AF45FA" w:rsidRDefault="00AF45FA" w:rsidP="00AF45FA">
      <w:pPr>
        <w:pStyle w:val="NormalWeb"/>
        <w:spacing w:after="0"/>
        <w:rPr>
          <w:color w:val="0E101A"/>
        </w:rPr>
      </w:pPr>
      <w:r w:rsidRPr="00AF45FA">
        <w:rPr>
          <w:color w:val="0E101A"/>
        </w:rPr>
        <w:t>Students frequently described the Town Hall as “more active, interactive, and engaging” than traditional lectures or readings, noting that the combination of preparation, real‑time listening, and adaptive argumentation improved focus and retention</w:t>
      </w:r>
      <w:proofErr w:type="gramStart"/>
      <w:r w:rsidRPr="00AF45FA">
        <w:rPr>
          <w:color w:val="0E101A"/>
        </w:rPr>
        <w:t>—“</w:t>
      </w:r>
      <w:proofErr w:type="gramEnd"/>
      <w:r w:rsidRPr="00AF45FA">
        <w:rPr>
          <w:color w:val="0E101A"/>
        </w:rPr>
        <w:t>you remember stuff better because you’re using it, not just hearing it.” Reported knowledge gains extended beyond scientific content to encompass ethical, policy, and trust dimensions (“I didn’t realize how much FDA/USDA shapes this”).</w:t>
      </w:r>
    </w:p>
    <w:p w14:paraId="45853FC1" w14:textId="5A19C8FC" w:rsidR="00AF45FA" w:rsidRPr="00AF45FA" w:rsidRDefault="00AF45FA" w:rsidP="00AF45FA">
      <w:pPr>
        <w:pStyle w:val="NormalWeb"/>
        <w:spacing w:after="0"/>
        <w:rPr>
          <w:color w:val="0E101A"/>
        </w:rPr>
      </w:pPr>
      <w:r w:rsidRPr="00AF45FA">
        <w:rPr>
          <w:color w:val="0E101A"/>
        </w:rPr>
        <w:t>The format heightened cognitive engagement by requiring active listening, rapid rebuttal, and “thinking on your feet.” Students noted expanded perspective exchange</w:t>
      </w:r>
      <w:proofErr w:type="gramStart"/>
      <w:r w:rsidRPr="00AF45FA">
        <w:rPr>
          <w:color w:val="0E101A"/>
        </w:rPr>
        <w:t>—“</w:t>
      </w:r>
      <w:proofErr w:type="gramEnd"/>
      <w:r w:rsidRPr="00AF45FA">
        <w:rPr>
          <w:color w:val="0E101A"/>
        </w:rPr>
        <w:t>I saw valid points from farmers, regulators, and activists”—and demonstrated more nuanced reasoning that moved beyond binary frames toward trade‑offs among welfare, safety, innovation, and transparency. Emotional responses varied: some participants reported heightened investment (“defending a role made it feel real”), whereas others suggested that role‑play reduced tension while sharpening analysis.</w:t>
      </w:r>
    </w:p>
    <w:p w14:paraId="248395E2" w14:textId="7F25B376" w:rsidR="00AF45FA" w:rsidRPr="00AF45FA" w:rsidRDefault="00AF45FA" w:rsidP="00AF45FA">
      <w:pPr>
        <w:pStyle w:val="NormalWeb"/>
        <w:spacing w:after="0"/>
        <w:rPr>
          <w:color w:val="0E101A"/>
        </w:rPr>
      </w:pPr>
      <w:r w:rsidRPr="00AF45FA">
        <w:rPr>
          <w:color w:val="0E101A"/>
        </w:rPr>
        <w:t>Structural features fostered inclusivity and belonging. Equal speaking turns, circular seating, and shared preparation were cited as lowering anxiety (“sitting in a circle made it less scary”) and encouraging participation from typically quieter students. Role alignment and misalignment both yielded educative benefits: alignment fostered authenticity and responsibility, while misalignment promoted empathy through engagement with unfamiliar perspectives.</w:t>
      </w:r>
    </w:p>
    <w:p w14:paraId="5FFBA867" w14:textId="6462AA3B" w:rsidR="00AF45FA" w:rsidRPr="00AF45FA" w:rsidRDefault="00AF45FA" w:rsidP="00AF45FA">
      <w:pPr>
        <w:pStyle w:val="NormalWeb"/>
        <w:spacing w:after="0"/>
        <w:rPr>
          <w:color w:val="0E101A"/>
        </w:rPr>
      </w:pPr>
      <w:r w:rsidRPr="00AF45FA">
        <w:rPr>
          <w:color w:val="0E101A"/>
        </w:rPr>
        <w:t>Limitations included time pressure that led to rushed exchanges, uneven preparation among participants, occasional rigidity in the format, and indications that much of the learning was concentrated in the preparation stage rather than the live debate.</w:t>
      </w:r>
    </w:p>
    <w:p w14:paraId="278FDA1D" w14:textId="382976B8" w:rsidR="00AF45FA" w:rsidRPr="00B76AEF" w:rsidRDefault="00AF45FA" w:rsidP="00AF45FA">
      <w:pPr>
        <w:pStyle w:val="NormalWeb"/>
        <w:spacing w:after="0"/>
        <w:rPr>
          <w:b/>
          <w:bCs/>
          <w:color w:val="0E101A"/>
        </w:rPr>
      </w:pPr>
      <w:r w:rsidRPr="00B76AEF">
        <w:rPr>
          <w:b/>
          <w:bCs/>
          <w:color w:val="0E101A"/>
        </w:rPr>
        <w:t>Alternative Views, Equity, and Risks</w:t>
      </w:r>
    </w:p>
    <w:p w14:paraId="7D882FE4" w14:textId="385BC3CE" w:rsidR="00AF45FA" w:rsidRPr="00AF45FA" w:rsidRDefault="00AF45FA" w:rsidP="00AF45FA">
      <w:pPr>
        <w:pStyle w:val="NormalWeb"/>
        <w:spacing w:after="0"/>
        <w:rPr>
          <w:color w:val="0E101A"/>
        </w:rPr>
      </w:pPr>
      <w:r w:rsidRPr="00AF45FA">
        <w:rPr>
          <w:color w:val="0E101A"/>
        </w:rPr>
        <w:t>Students noted that role labels can inadvertently reinforce stereotypes if not carefully framed, and some expressed a preference for slower, consensus‑oriented dialogue formats. We also observed evidence of AI‑standardized phrasing in a subset of written reflections. This was addressed through explicit guidance and screening measures to protect student authenticity.</w:t>
      </w:r>
    </w:p>
    <w:p w14:paraId="27328AA8" w14:textId="3373954C" w:rsidR="00AF45FA" w:rsidRPr="00B76AEF" w:rsidRDefault="00AF45FA" w:rsidP="00B76AEF">
      <w:pPr>
        <w:pStyle w:val="NormalWeb"/>
        <w:spacing w:before="120" w:beforeAutospacing="0" w:after="120" w:afterAutospacing="0"/>
        <w:rPr>
          <w:b/>
          <w:bCs/>
          <w:color w:val="0E101A"/>
        </w:rPr>
      </w:pPr>
      <w:r w:rsidRPr="00B76AEF">
        <w:rPr>
          <w:b/>
          <w:bCs/>
          <w:color w:val="0E101A"/>
        </w:rPr>
        <w:t>Discussion and Significance</w:t>
      </w:r>
    </w:p>
    <w:p w14:paraId="49FB87B3" w14:textId="58FE0919" w:rsidR="00AF45FA" w:rsidRDefault="00AF45FA" w:rsidP="00AF45FA">
      <w:pPr>
        <w:pStyle w:val="NormalWeb"/>
        <w:spacing w:before="0" w:beforeAutospacing="0" w:after="0" w:afterAutospacing="0"/>
        <w:rPr>
          <w:color w:val="0E101A"/>
        </w:rPr>
      </w:pPr>
      <w:r w:rsidRPr="00AF45FA">
        <w:rPr>
          <w:color w:val="0E101A"/>
        </w:rPr>
        <w:t>Overall, the Town Hall simulation fostered scientific understanding, perspective‑taking, civic reasoning, and inclusive participation while making socio‑technical trade‑offs concrete. The approach is portable across food‑system and biotechnology topics and can be adapted across diverse courses, including animal science and agribusiness. Future iterations will incorporate extended time for unstructured deliberation, introduce alternate formats (e.g., fishbowl or consensus‑building rounds), and deploy objective discourse measures such as rubric‑based coding and delayed retention assessment. To support replication, we provide role descriptions, timing guidelines, seating arrangements, and debrief scaffolds.</w:t>
      </w:r>
    </w:p>
    <w:p w14:paraId="2FA5EE1C" w14:textId="77777777" w:rsidR="00B76AEF" w:rsidRDefault="00B76AEF" w:rsidP="00AF45FA">
      <w:pPr>
        <w:pStyle w:val="NormalWeb"/>
        <w:spacing w:before="0" w:beforeAutospacing="0" w:after="0" w:afterAutospacing="0"/>
        <w:rPr>
          <w:color w:val="0E101A"/>
        </w:rPr>
      </w:pPr>
    </w:p>
    <w:p w14:paraId="732168FA" w14:textId="77777777" w:rsidR="00B76AEF" w:rsidRDefault="00B76AEF" w:rsidP="00AF45FA">
      <w:pPr>
        <w:pStyle w:val="NormalWeb"/>
        <w:spacing w:before="0" w:beforeAutospacing="0" w:after="0" w:afterAutospacing="0"/>
        <w:rPr>
          <w:color w:val="0E101A"/>
        </w:rPr>
      </w:pPr>
    </w:p>
    <w:p w14:paraId="1E0A5DA5" w14:textId="77777777" w:rsidR="00B76AEF" w:rsidRDefault="00B76AEF" w:rsidP="00AF45FA">
      <w:pPr>
        <w:pStyle w:val="NormalWeb"/>
        <w:spacing w:before="0" w:beforeAutospacing="0" w:after="0" w:afterAutospacing="0"/>
        <w:rPr>
          <w:color w:val="0E101A"/>
        </w:rPr>
      </w:pPr>
    </w:p>
    <w:p w14:paraId="47CD2BAA" w14:textId="6A19A4F6" w:rsidR="00906C99" w:rsidRPr="0096336E" w:rsidRDefault="00906C99" w:rsidP="00906C99">
      <w:pPr>
        <w:pStyle w:val="NormalWeb"/>
        <w:spacing w:before="0" w:beforeAutospacing="0" w:after="0" w:afterAutospacing="0"/>
        <w:rPr>
          <w:b/>
          <w:bCs/>
          <w:color w:val="0E101A"/>
        </w:rPr>
      </w:pPr>
      <w:r w:rsidRPr="0096336E">
        <w:rPr>
          <w:b/>
          <w:bCs/>
          <w:color w:val="0E101A"/>
        </w:rPr>
        <w:lastRenderedPageBreak/>
        <w:t>References</w:t>
      </w:r>
    </w:p>
    <w:p w14:paraId="6D743322" w14:textId="77777777" w:rsidR="002D5596" w:rsidRPr="0096336E" w:rsidRDefault="002D5596" w:rsidP="00906C99">
      <w:pPr>
        <w:pStyle w:val="NormalWeb"/>
        <w:spacing w:before="0" w:beforeAutospacing="0" w:after="0" w:afterAutospacing="0"/>
        <w:rPr>
          <w:b/>
          <w:bCs/>
          <w:color w:val="0E101A"/>
        </w:rPr>
      </w:pPr>
    </w:p>
    <w:p w14:paraId="32D6E96A"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 xml:space="preserve">Chowdhury, T. B. M., Holbrook, J., &amp; Rannikmäe, M. (2020). </w:t>
      </w:r>
      <w:proofErr w:type="spellStart"/>
      <w:r w:rsidRPr="0096336E">
        <w:rPr>
          <w:rFonts w:ascii="Times New Roman" w:hAnsi="Times New Roman" w:cs="Times New Roman"/>
          <w:color w:val="222222"/>
          <w:sz w:val="24"/>
          <w:szCs w:val="24"/>
          <w:shd w:val="clear" w:color="auto" w:fill="FFFFFF"/>
        </w:rPr>
        <w:t>Socioscientific</w:t>
      </w:r>
      <w:proofErr w:type="spellEnd"/>
      <w:r w:rsidRPr="0096336E">
        <w:rPr>
          <w:rFonts w:ascii="Times New Roman" w:hAnsi="Times New Roman" w:cs="Times New Roman"/>
          <w:color w:val="222222"/>
          <w:sz w:val="24"/>
          <w:szCs w:val="24"/>
          <w:shd w:val="clear" w:color="auto" w:fill="FFFFFF"/>
        </w:rPr>
        <w:t xml:space="preserve"> issues within science education and their role in promoting the desired citizenry. Science Education International, 31(2), 203-208.</w:t>
      </w:r>
    </w:p>
    <w:p w14:paraId="79C5495E"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Creswell, J. W., &amp; Creswell, J. (2023). Research design. Thousand Oaks, CA: Sage publications.</w:t>
      </w:r>
    </w:p>
    <w:p w14:paraId="209C8E64"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Kolb, D. A. (2014). Experiential learning: Experience as the source of learning and development. FT press.</w:t>
      </w:r>
    </w:p>
    <w:p w14:paraId="310F53BE"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 xml:space="preserve">Kolstø, S. D. (2001). Scientific literacy for citizenship: Tools for dealing with the science dimension of controversial </w:t>
      </w:r>
      <w:proofErr w:type="spellStart"/>
      <w:r w:rsidRPr="0096336E">
        <w:rPr>
          <w:rFonts w:ascii="Times New Roman" w:hAnsi="Times New Roman" w:cs="Times New Roman"/>
          <w:color w:val="222222"/>
          <w:sz w:val="24"/>
          <w:szCs w:val="24"/>
          <w:shd w:val="clear" w:color="auto" w:fill="FFFFFF"/>
        </w:rPr>
        <w:t>socioscientific</w:t>
      </w:r>
      <w:proofErr w:type="spellEnd"/>
      <w:r w:rsidRPr="0096336E">
        <w:rPr>
          <w:rFonts w:ascii="Times New Roman" w:hAnsi="Times New Roman" w:cs="Times New Roman"/>
          <w:color w:val="222222"/>
          <w:sz w:val="24"/>
          <w:szCs w:val="24"/>
          <w:shd w:val="clear" w:color="auto" w:fill="FFFFFF"/>
        </w:rPr>
        <w:t xml:space="preserve"> issues. Science education, 85(3), 291-310.</w:t>
      </w:r>
    </w:p>
    <w:p w14:paraId="340C6974"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 xml:space="preserve">Namdar, B., &amp; Namdar, A. O. (2021). Fostering students’ values through role play about </w:t>
      </w:r>
      <w:proofErr w:type="spellStart"/>
      <w:r w:rsidRPr="0096336E">
        <w:rPr>
          <w:rFonts w:ascii="Times New Roman" w:hAnsi="Times New Roman" w:cs="Times New Roman"/>
          <w:color w:val="222222"/>
          <w:sz w:val="24"/>
          <w:szCs w:val="24"/>
          <w:shd w:val="clear" w:color="auto" w:fill="FFFFFF"/>
        </w:rPr>
        <w:t>socioscientific</w:t>
      </w:r>
      <w:proofErr w:type="spellEnd"/>
      <w:r w:rsidRPr="0096336E">
        <w:rPr>
          <w:rFonts w:ascii="Times New Roman" w:hAnsi="Times New Roman" w:cs="Times New Roman"/>
          <w:color w:val="222222"/>
          <w:sz w:val="24"/>
          <w:szCs w:val="24"/>
          <w:shd w:val="clear" w:color="auto" w:fill="FFFFFF"/>
        </w:rPr>
        <w:t xml:space="preserve"> issues. The Physics Teacher, 59(6), 497-499.</w:t>
      </w:r>
    </w:p>
    <w:p w14:paraId="5B366147"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Osborne, J., &amp; Pimentel, D. (2022). Dialogic teaching in science classrooms: What does it take? Science Education, 106(3), 517–541. https://doi.org/10.1002/sce.21725</w:t>
      </w:r>
    </w:p>
    <w:p w14:paraId="503ECE56"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proofErr w:type="spellStart"/>
      <w:r w:rsidRPr="0096336E">
        <w:rPr>
          <w:rFonts w:ascii="Times New Roman" w:hAnsi="Times New Roman" w:cs="Times New Roman"/>
          <w:color w:val="222222"/>
          <w:sz w:val="24"/>
          <w:szCs w:val="24"/>
          <w:shd w:val="clear" w:color="auto" w:fill="FFFFFF"/>
        </w:rPr>
        <w:t>Palincsar</w:t>
      </w:r>
      <w:proofErr w:type="spellEnd"/>
      <w:r w:rsidRPr="0096336E">
        <w:rPr>
          <w:rFonts w:ascii="Times New Roman" w:hAnsi="Times New Roman" w:cs="Times New Roman"/>
          <w:color w:val="222222"/>
          <w:sz w:val="24"/>
          <w:szCs w:val="24"/>
          <w:shd w:val="clear" w:color="auto" w:fill="FFFFFF"/>
        </w:rPr>
        <w:t>, A. S. (2020). Social constructivist perspectives on teaching and learning. In R. K. Sawyer (Ed.), The Cambridge Handbook of the Learning Sciences (2nd ed., pp. 345–361). Cambridge University Press.</w:t>
      </w:r>
    </w:p>
    <w:p w14:paraId="147EA884"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Rodriguez-Villamil, P., Beaton, B. P., &amp; Krisher, R. L. (2024). Gene editing in livestock: innovations and applications. Animal Reproduction, 21(3), e20240054.</w:t>
      </w:r>
    </w:p>
    <w:p w14:paraId="5A137950"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 xml:space="preserve">Sadler, T. D. (2004). Informal reasoning regarding </w:t>
      </w:r>
      <w:proofErr w:type="spellStart"/>
      <w:r w:rsidRPr="0096336E">
        <w:rPr>
          <w:rFonts w:ascii="Times New Roman" w:hAnsi="Times New Roman" w:cs="Times New Roman"/>
          <w:color w:val="222222"/>
          <w:sz w:val="24"/>
          <w:szCs w:val="24"/>
          <w:shd w:val="clear" w:color="auto" w:fill="FFFFFF"/>
        </w:rPr>
        <w:t>socioscientific</w:t>
      </w:r>
      <w:proofErr w:type="spellEnd"/>
      <w:r w:rsidRPr="0096336E">
        <w:rPr>
          <w:rFonts w:ascii="Times New Roman" w:hAnsi="Times New Roman" w:cs="Times New Roman"/>
          <w:color w:val="222222"/>
          <w:sz w:val="24"/>
          <w:szCs w:val="24"/>
          <w:shd w:val="clear" w:color="auto" w:fill="FFFFFF"/>
        </w:rPr>
        <w:t xml:space="preserve"> issues: A critical review of research. Journal of Research in Science Teaching: The Official Journal of the National Association for Research in Science Teaching, 41(5), 513-536.</w:t>
      </w:r>
    </w:p>
    <w:p w14:paraId="3821D618"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Segal, H. (2022). Gene editing in agriculture: Navigating ethics and regulation. Agricultural Ethics, 35(2), 123–139.</w:t>
      </w:r>
    </w:p>
    <w:p w14:paraId="051F1D01"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 xml:space="preserve">Van Eenennaam, A. L., Wells, K. D., &amp; Murray, J. D. (2019). Proposed US regulation of gene-edited food animals is not fit for purpose. </w:t>
      </w:r>
      <w:proofErr w:type="spellStart"/>
      <w:r w:rsidRPr="0096336E">
        <w:rPr>
          <w:rFonts w:ascii="Times New Roman" w:hAnsi="Times New Roman" w:cs="Times New Roman"/>
          <w:color w:val="222222"/>
          <w:sz w:val="24"/>
          <w:szCs w:val="24"/>
          <w:shd w:val="clear" w:color="auto" w:fill="FFFFFF"/>
        </w:rPr>
        <w:t>npj</w:t>
      </w:r>
      <w:proofErr w:type="spellEnd"/>
      <w:r w:rsidRPr="0096336E">
        <w:rPr>
          <w:rFonts w:ascii="Times New Roman" w:hAnsi="Times New Roman" w:cs="Times New Roman"/>
          <w:color w:val="222222"/>
          <w:sz w:val="24"/>
          <w:szCs w:val="24"/>
          <w:shd w:val="clear" w:color="auto" w:fill="FFFFFF"/>
        </w:rPr>
        <w:t xml:space="preserve"> Science of Food, 3(1), 3.</w:t>
      </w:r>
    </w:p>
    <w:p w14:paraId="15A87161"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 xml:space="preserve">Zeidler, D. L. (2014). </w:t>
      </w:r>
      <w:proofErr w:type="spellStart"/>
      <w:r w:rsidRPr="0096336E">
        <w:rPr>
          <w:rFonts w:ascii="Times New Roman" w:hAnsi="Times New Roman" w:cs="Times New Roman"/>
          <w:color w:val="222222"/>
          <w:sz w:val="24"/>
          <w:szCs w:val="24"/>
          <w:shd w:val="clear" w:color="auto" w:fill="FFFFFF"/>
        </w:rPr>
        <w:t>Socioscientific</w:t>
      </w:r>
      <w:proofErr w:type="spellEnd"/>
      <w:r w:rsidRPr="0096336E">
        <w:rPr>
          <w:rFonts w:ascii="Times New Roman" w:hAnsi="Times New Roman" w:cs="Times New Roman"/>
          <w:color w:val="222222"/>
          <w:sz w:val="24"/>
          <w:szCs w:val="24"/>
          <w:shd w:val="clear" w:color="auto" w:fill="FFFFFF"/>
        </w:rPr>
        <w:t xml:space="preserve"> issues as a curriculum emphasis: Theory, research, and practice. In Handbook of research on science education, volume II (pp. 697-726). Routledge.</w:t>
      </w:r>
    </w:p>
    <w:p w14:paraId="7A124AAF" w14:textId="77777777" w:rsidR="00E26E49"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 xml:space="preserve">Zeidler, D. L. (2024). </w:t>
      </w:r>
      <w:proofErr w:type="spellStart"/>
      <w:r w:rsidRPr="0096336E">
        <w:rPr>
          <w:rFonts w:ascii="Times New Roman" w:hAnsi="Times New Roman" w:cs="Times New Roman"/>
          <w:color w:val="222222"/>
          <w:sz w:val="24"/>
          <w:szCs w:val="24"/>
          <w:shd w:val="clear" w:color="auto" w:fill="FFFFFF"/>
        </w:rPr>
        <w:t>Socioscientific</w:t>
      </w:r>
      <w:proofErr w:type="spellEnd"/>
      <w:r w:rsidRPr="0096336E">
        <w:rPr>
          <w:rFonts w:ascii="Times New Roman" w:hAnsi="Times New Roman" w:cs="Times New Roman"/>
          <w:color w:val="222222"/>
          <w:sz w:val="24"/>
          <w:szCs w:val="24"/>
          <w:shd w:val="clear" w:color="auto" w:fill="FFFFFF"/>
        </w:rPr>
        <w:t xml:space="preserve"> issues as a curriculum emphasis: Theory, research, and practice. Science &amp; Education, 33(1), 1–22. https://doi.org/10.1007/s11191-023-00388-6</w:t>
      </w:r>
    </w:p>
    <w:p w14:paraId="5F1BA21E" w14:textId="2AC82179" w:rsidR="00F365A2" w:rsidRPr="0096336E" w:rsidRDefault="00E26E49" w:rsidP="00536199">
      <w:pPr>
        <w:spacing w:after="0" w:line="240" w:lineRule="auto"/>
        <w:ind w:left="720" w:hanging="720"/>
        <w:rPr>
          <w:rFonts w:ascii="Times New Roman" w:hAnsi="Times New Roman" w:cs="Times New Roman"/>
          <w:color w:val="222222"/>
          <w:sz w:val="24"/>
          <w:szCs w:val="24"/>
          <w:shd w:val="clear" w:color="auto" w:fill="FFFFFF"/>
        </w:rPr>
      </w:pPr>
      <w:r w:rsidRPr="0096336E">
        <w:rPr>
          <w:rFonts w:ascii="Times New Roman" w:hAnsi="Times New Roman" w:cs="Times New Roman"/>
          <w:color w:val="222222"/>
          <w:sz w:val="24"/>
          <w:szCs w:val="24"/>
          <w:shd w:val="clear" w:color="auto" w:fill="FFFFFF"/>
        </w:rPr>
        <w:t xml:space="preserve">Zeidler, D. L., Sadler, T. D., Simmons, M. L., &amp; Howes, E. V. (2005). Beyond STS: A research-based framework for </w:t>
      </w:r>
      <w:proofErr w:type="spellStart"/>
      <w:r w:rsidRPr="0096336E">
        <w:rPr>
          <w:rFonts w:ascii="Times New Roman" w:hAnsi="Times New Roman" w:cs="Times New Roman"/>
          <w:color w:val="222222"/>
          <w:sz w:val="24"/>
          <w:szCs w:val="24"/>
          <w:shd w:val="clear" w:color="auto" w:fill="FFFFFF"/>
        </w:rPr>
        <w:t>socioscientific</w:t>
      </w:r>
      <w:proofErr w:type="spellEnd"/>
      <w:r w:rsidRPr="0096336E">
        <w:rPr>
          <w:rFonts w:ascii="Times New Roman" w:hAnsi="Times New Roman" w:cs="Times New Roman"/>
          <w:color w:val="222222"/>
          <w:sz w:val="24"/>
          <w:szCs w:val="24"/>
          <w:shd w:val="clear" w:color="auto" w:fill="FFFFFF"/>
        </w:rPr>
        <w:t xml:space="preserve"> issues education. Science Education, 89(3), 357–377. https://doi.org/10.1002/sce.20048</w:t>
      </w:r>
    </w:p>
    <w:p w14:paraId="75C98335" w14:textId="77777777" w:rsidR="00F365A2" w:rsidRDefault="00F365A2" w:rsidP="00E2311F">
      <w:pPr>
        <w:spacing w:after="0" w:line="240" w:lineRule="auto"/>
      </w:pPr>
    </w:p>
    <w:sectPr w:rsidR="00F365A2">
      <w:headerReference w:type="default" r:id="rId11"/>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9FF59" w14:textId="77777777" w:rsidR="008C7C1C" w:rsidRDefault="008C7C1C" w:rsidP="003420EE">
      <w:pPr>
        <w:spacing w:after="0" w:line="240" w:lineRule="auto"/>
      </w:pPr>
      <w:r>
        <w:separator/>
      </w:r>
    </w:p>
  </w:endnote>
  <w:endnote w:type="continuationSeparator" w:id="0">
    <w:p w14:paraId="1DEA8D1A" w14:textId="77777777" w:rsidR="008C7C1C" w:rsidRDefault="008C7C1C" w:rsidP="00342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8640199"/>
      <w:docPartObj>
        <w:docPartGallery w:val="Page Numbers (Bottom of Page)"/>
        <w:docPartUnique/>
      </w:docPartObj>
    </w:sdtPr>
    <w:sdtContent>
      <w:p w14:paraId="5B72A015" w14:textId="1E5ADF96" w:rsidR="0096336E" w:rsidRDefault="0096336E" w:rsidP="005A1F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5063D84" w14:textId="77777777" w:rsidR="0096336E" w:rsidRDefault="009633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9333034"/>
      <w:docPartObj>
        <w:docPartGallery w:val="Page Numbers (Bottom of Page)"/>
        <w:docPartUnique/>
      </w:docPartObj>
    </w:sdtPr>
    <w:sdtContent>
      <w:p w14:paraId="0E886EE5" w14:textId="79799072" w:rsidR="0096336E" w:rsidRDefault="0096336E" w:rsidP="005A1F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210EE07" w14:textId="77777777" w:rsidR="0096336E" w:rsidRDefault="00963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A8E74" w14:textId="77777777" w:rsidR="008C7C1C" w:rsidRDefault="008C7C1C" w:rsidP="003420EE">
      <w:pPr>
        <w:spacing w:after="0" w:line="240" w:lineRule="auto"/>
      </w:pPr>
      <w:r>
        <w:separator/>
      </w:r>
    </w:p>
  </w:footnote>
  <w:footnote w:type="continuationSeparator" w:id="0">
    <w:p w14:paraId="77CFF957" w14:textId="77777777" w:rsidR="008C7C1C" w:rsidRDefault="008C7C1C" w:rsidP="00342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077B6" w14:textId="7A24C964" w:rsidR="003420EE" w:rsidRDefault="003420EE">
    <w:pPr>
      <w:pStyle w:val="Header"/>
    </w:pPr>
    <w:r>
      <w:ptab w:relativeTo="margin" w:alignment="center" w:leader="none"/>
    </w:r>
    <w:r w:rsidRPr="003420EE">
      <w:t>Learner-Centered Teaching</w:t>
    </w:r>
    <w:r>
      <w:t xml:space="preserve"> Presentation</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08510C"/>
    <w:multiLevelType w:val="multilevel"/>
    <w:tmpl w:val="EF02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7E7E8E"/>
    <w:multiLevelType w:val="hybridMultilevel"/>
    <w:tmpl w:val="9FC82B48"/>
    <w:lvl w:ilvl="0" w:tplc="DC066796">
      <w:start w:val="1"/>
      <w:numFmt w:val="bullet"/>
      <w:lvlText w:val="•"/>
      <w:lvlJc w:val="left"/>
      <w:pPr>
        <w:tabs>
          <w:tab w:val="num" w:pos="720"/>
        </w:tabs>
        <w:ind w:left="720" w:hanging="360"/>
      </w:pPr>
      <w:rPr>
        <w:rFonts w:ascii="Arial" w:hAnsi="Arial" w:hint="default"/>
      </w:rPr>
    </w:lvl>
    <w:lvl w:ilvl="1" w:tplc="592441A0" w:tentative="1">
      <w:start w:val="1"/>
      <w:numFmt w:val="bullet"/>
      <w:lvlText w:val="•"/>
      <w:lvlJc w:val="left"/>
      <w:pPr>
        <w:tabs>
          <w:tab w:val="num" w:pos="1440"/>
        </w:tabs>
        <w:ind w:left="1440" w:hanging="360"/>
      </w:pPr>
      <w:rPr>
        <w:rFonts w:ascii="Arial" w:hAnsi="Arial" w:hint="default"/>
      </w:rPr>
    </w:lvl>
    <w:lvl w:ilvl="2" w:tplc="24A6524E" w:tentative="1">
      <w:start w:val="1"/>
      <w:numFmt w:val="bullet"/>
      <w:lvlText w:val="•"/>
      <w:lvlJc w:val="left"/>
      <w:pPr>
        <w:tabs>
          <w:tab w:val="num" w:pos="2160"/>
        </w:tabs>
        <w:ind w:left="2160" w:hanging="360"/>
      </w:pPr>
      <w:rPr>
        <w:rFonts w:ascii="Arial" w:hAnsi="Arial" w:hint="default"/>
      </w:rPr>
    </w:lvl>
    <w:lvl w:ilvl="3" w:tplc="C9929050" w:tentative="1">
      <w:start w:val="1"/>
      <w:numFmt w:val="bullet"/>
      <w:lvlText w:val="•"/>
      <w:lvlJc w:val="left"/>
      <w:pPr>
        <w:tabs>
          <w:tab w:val="num" w:pos="2880"/>
        </w:tabs>
        <w:ind w:left="2880" w:hanging="360"/>
      </w:pPr>
      <w:rPr>
        <w:rFonts w:ascii="Arial" w:hAnsi="Arial" w:hint="default"/>
      </w:rPr>
    </w:lvl>
    <w:lvl w:ilvl="4" w:tplc="BA96C44A" w:tentative="1">
      <w:start w:val="1"/>
      <w:numFmt w:val="bullet"/>
      <w:lvlText w:val="•"/>
      <w:lvlJc w:val="left"/>
      <w:pPr>
        <w:tabs>
          <w:tab w:val="num" w:pos="3600"/>
        </w:tabs>
        <w:ind w:left="3600" w:hanging="360"/>
      </w:pPr>
      <w:rPr>
        <w:rFonts w:ascii="Arial" w:hAnsi="Arial" w:hint="default"/>
      </w:rPr>
    </w:lvl>
    <w:lvl w:ilvl="5" w:tplc="F2DC8590" w:tentative="1">
      <w:start w:val="1"/>
      <w:numFmt w:val="bullet"/>
      <w:lvlText w:val="•"/>
      <w:lvlJc w:val="left"/>
      <w:pPr>
        <w:tabs>
          <w:tab w:val="num" w:pos="4320"/>
        </w:tabs>
        <w:ind w:left="4320" w:hanging="360"/>
      </w:pPr>
      <w:rPr>
        <w:rFonts w:ascii="Arial" w:hAnsi="Arial" w:hint="default"/>
      </w:rPr>
    </w:lvl>
    <w:lvl w:ilvl="6" w:tplc="5818E8C2" w:tentative="1">
      <w:start w:val="1"/>
      <w:numFmt w:val="bullet"/>
      <w:lvlText w:val="•"/>
      <w:lvlJc w:val="left"/>
      <w:pPr>
        <w:tabs>
          <w:tab w:val="num" w:pos="5040"/>
        </w:tabs>
        <w:ind w:left="5040" w:hanging="360"/>
      </w:pPr>
      <w:rPr>
        <w:rFonts w:ascii="Arial" w:hAnsi="Arial" w:hint="default"/>
      </w:rPr>
    </w:lvl>
    <w:lvl w:ilvl="7" w:tplc="070228AE" w:tentative="1">
      <w:start w:val="1"/>
      <w:numFmt w:val="bullet"/>
      <w:lvlText w:val="•"/>
      <w:lvlJc w:val="left"/>
      <w:pPr>
        <w:tabs>
          <w:tab w:val="num" w:pos="5760"/>
        </w:tabs>
        <w:ind w:left="5760" w:hanging="360"/>
      </w:pPr>
      <w:rPr>
        <w:rFonts w:ascii="Arial" w:hAnsi="Arial" w:hint="default"/>
      </w:rPr>
    </w:lvl>
    <w:lvl w:ilvl="8" w:tplc="160E78F4" w:tentative="1">
      <w:start w:val="1"/>
      <w:numFmt w:val="bullet"/>
      <w:lvlText w:val="•"/>
      <w:lvlJc w:val="left"/>
      <w:pPr>
        <w:tabs>
          <w:tab w:val="num" w:pos="6480"/>
        </w:tabs>
        <w:ind w:left="6480" w:hanging="360"/>
      </w:pPr>
      <w:rPr>
        <w:rFonts w:ascii="Arial" w:hAnsi="Arial" w:hint="default"/>
      </w:rPr>
    </w:lvl>
  </w:abstractNum>
  <w:num w:numId="1" w16cid:durableId="1063023632">
    <w:abstractNumId w:val="0"/>
  </w:num>
  <w:num w:numId="2" w16cid:durableId="1419254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363"/>
    <w:rsid w:val="00012D1F"/>
    <w:rsid w:val="000E6FEA"/>
    <w:rsid w:val="001A657B"/>
    <w:rsid w:val="001E3AAE"/>
    <w:rsid w:val="002718FA"/>
    <w:rsid w:val="002C2E25"/>
    <w:rsid w:val="002C4FC7"/>
    <w:rsid w:val="002D5596"/>
    <w:rsid w:val="003133FD"/>
    <w:rsid w:val="003420EE"/>
    <w:rsid w:val="003D0C5E"/>
    <w:rsid w:val="003E7363"/>
    <w:rsid w:val="004C4C7B"/>
    <w:rsid w:val="004D0C50"/>
    <w:rsid w:val="00536199"/>
    <w:rsid w:val="006453D5"/>
    <w:rsid w:val="00654AA5"/>
    <w:rsid w:val="006B6759"/>
    <w:rsid w:val="006C0418"/>
    <w:rsid w:val="00762530"/>
    <w:rsid w:val="00815C12"/>
    <w:rsid w:val="00844425"/>
    <w:rsid w:val="00854EC3"/>
    <w:rsid w:val="008A54AF"/>
    <w:rsid w:val="008C7C1C"/>
    <w:rsid w:val="008F1B5A"/>
    <w:rsid w:val="00906C99"/>
    <w:rsid w:val="0096336E"/>
    <w:rsid w:val="009A52BD"/>
    <w:rsid w:val="009F3C83"/>
    <w:rsid w:val="00A2104C"/>
    <w:rsid w:val="00A5036F"/>
    <w:rsid w:val="00A7572A"/>
    <w:rsid w:val="00AD5932"/>
    <w:rsid w:val="00AF45FA"/>
    <w:rsid w:val="00B05A4B"/>
    <w:rsid w:val="00B463D3"/>
    <w:rsid w:val="00B76AEF"/>
    <w:rsid w:val="00BA0024"/>
    <w:rsid w:val="00C05D61"/>
    <w:rsid w:val="00C255E1"/>
    <w:rsid w:val="00C55384"/>
    <w:rsid w:val="00C76665"/>
    <w:rsid w:val="00CB1C00"/>
    <w:rsid w:val="00D50EDC"/>
    <w:rsid w:val="00E2311F"/>
    <w:rsid w:val="00E26E49"/>
    <w:rsid w:val="00E70E08"/>
    <w:rsid w:val="00EA635A"/>
    <w:rsid w:val="00F27713"/>
    <w:rsid w:val="00F365A2"/>
    <w:rsid w:val="00F74D9D"/>
    <w:rsid w:val="00FD4F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FDE4"/>
  <w15:chartTrackingRefBased/>
  <w15:docId w15:val="{09883D2E-97F2-8C43-893D-0AD8E1376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2BD"/>
    <w:pPr>
      <w:spacing w:after="120" w:line="240" w:lineRule="atLeast"/>
    </w:pPr>
    <w:rPr>
      <w:rFonts w:ascii="Georgia" w:eastAsiaTheme="minorHAnsi"/>
      <w:kern w:val="0"/>
      <w:sz w:val="21"/>
      <w:szCs w:val="22"/>
      <w:lang w:eastAsia="en-US"/>
      <w14:ligatures w14:val="none"/>
    </w:rPr>
  </w:style>
  <w:style w:type="paragraph" w:styleId="Heading1">
    <w:name w:val="heading 1"/>
    <w:basedOn w:val="Normal"/>
    <w:next w:val="Normal"/>
    <w:link w:val="Heading1Char"/>
    <w:uiPriority w:val="9"/>
    <w:qFormat/>
    <w:rsid w:val="003E73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3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3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3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3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3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3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3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3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3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3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3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3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3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3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3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3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363"/>
    <w:rPr>
      <w:rFonts w:eastAsiaTheme="majorEastAsia" w:cstheme="majorBidi"/>
      <w:color w:val="272727" w:themeColor="text1" w:themeTint="D8"/>
    </w:rPr>
  </w:style>
  <w:style w:type="paragraph" w:styleId="Title">
    <w:name w:val="Title"/>
    <w:basedOn w:val="Normal"/>
    <w:next w:val="Normal"/>
    <w:link w:val="TitleChar"/>
    <w:uiPriority w:val="10"/>
    <w:qFormat/>
    <w:rsid w:val="003E73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3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3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3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363"/>
    <w:pPr>
      <w:spacing w:before="160"/>
      <w:jc w:val="center"/>
    </w:pPr>
    <w:rPr>
      <w:i/>
      <w:iCs/>
      <w:color w:val="404040" w:themeColor="text1" w:themeTint="BF"/>
    </w:rPr>
  </w:style>
  <w:style w:type="character" w:customStyle="1" w:styleId="QuoteChar">
    <w:name w:val="Quote Char"/>
    <w:basedOn w:val="DefaultParagraphFont"/>
    <w:link w:val="Quote"/>
    <w:uiPriority w:val="29"/>
    <w:rsid w:val="003E7363"/>
    <w:rPr>
      <w:i/>
      <w:iCs/>
      <w:color w:val="404040" w:themeColor="text1" w:themeTint="BF"/>
    </w:rPr>
  </w:style>
  <w:style w:type="paragraph" w:styleId="ListParagraph">
    <w:name w:val="List Paragraph"/>
    <w:basedOn w:val="Normal"/>
    <w:uiPriority w:val="34"/>
    <w:qFormat/>
    <w:rsid w:val="003E7363"/>
    <w:pPr>
      <w:ind w:left="720"/>
      <w:contextualSpacing/>
    </w:pPr>
  </w:style>
  <w:style w:type="character" w:styleId="IntenseEmphasis">
    <w:name w:val="Intense Emphasis"/>
    <w:basedOn w:val="DefaultParagraphFont"/>
    <w:uiPriority w:val="21"/>
    <w:qFormat/>
    <w:rsid w:val="003E7363"/>
    <w:rPr>
      <w:i/>
      <w:iCs/>
      <w:color w:val="0F4761" w:themeColor="accent1" w:themeShade="BF"/>
    </w:rPr>
  </w:style>
  <w:style w:type="paragraph" w:styleId="IntenseQuote">
    <w:name w:val="Intense Quote"/>
    <w:basedOn w:val="Normal"/>
    <w:next w:val="Normal"/>
    <w:link w:val="IntenseQuoteChar"/>
    <w:uiPriority w:val="30"/>
    <w:qFormat/>
    <w:rsid w:val="003E73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363"/>
    <w:rPr>
      <w:i/>
      <w:iCs/>
      <w:color w:val="0F4761" w:themeColor="accent1" w:themeShade="BF"/>
    </w:rPr>
  </w:style>
  <w:style w:type="character" w:styleId="IntenseReference">
    <w:name w:val="Intense Reference"/>
    <w:basedOn w:val="DefaultParagraphFont"/>
    <w:uiPriority w:val="32"/>
    <w:qFormat/>
    <w:rsid w:val="003E7363"/>
    <w:rPr>
      <w:b/>
      <w:bCs/>
      <w:smallCaps/>
      <w:color w:val="0F4761" w:themeColor="accent1" w:themeShade="BF"/>
      <w:spacing w:val="5"/>
    </w:rPr>
  </w:style>
  <w:style w:type="paragraph" w:styleId="NormalWeb">
    <w:name w:val="Normal (Web)"/>
    <w:basedOn w:val="Normal"/>
    <w:uiPriority w:val="99"/>
    <w:unhideWhenUsed/>
    <w:rsid w:val="00906C99"/>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apple-converted-space">
    <w:name w:val="apple-converted-space"/>
    <w:basedOn w:val="DefaultParagraphFont"/>
    <w:rsid w:val="00906C99"/>
  </w:style>
  <w:style w:type="character" w:styleId="Strong">
    <w:name w:val="Strong"/>
    <w:basedOn w:val="DefaultParagraphFont"/>
    <w:uiPriority w:val="22"/>
    <w:qFormat/>
    <w:rsid w:val="00906C99"/>
    <w:rPr>
      <w:b/>
      <w:bCs/>
    </w:rPr>
  </w:style>
  <w:style w:type="character" w:styleId="Hyperlink">
    <w:name w:val="Hyperlink"/>
    <w:basedOn w:val="DefaultParagraphFont"/>
    <w:uiPriority w:val="99"/>
    <w:unhideWhenUsed/>
    <w:rsid w:val="00FD4F2B"/>
    <w:rPr>
      <w:color w:val="467886" w:themeColor="hyperlink"/>
      <w:u w:val="single"/>
    </w:rPr>
  </w:style>
  <w:style w:type="character" w:styleId="UnresolvedMention">
    <w:name w:val="Unresolved Mention"/>
    <w:basedOn w:val="DefaultParagraphFont"/>
    <w:uiPriority w:val="99"/>
    <w:semiHidden/>
    <w:unhideWhenUsed/>
    <w:rsid w:val="00FD4F2B"/>
    <w:rPr>
      <w:color w:val="605E5C"/>
      <w:shd w:val="clear" w:color="auto" w:fill="E1DFDD"/>
    </w:rPr>
  </w:style>
  <w:style w:type="paragraph" w:styleId="Header">
    <w:name w:val="header"/>
    <w:basedOn w:val="Normal"/>
    <w:link w:val="HeaderChar"/>
    <w:uiPriority w:val="99"/>
    <w:unhideWhenUsed/>
    <w:rsid w:val="00342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20EE"/>
    <w:rPr>
      <w:rFonts w:ascii="Georgia" w:eastAsiaTheme="minorHAnsi"/>
      <w:kern w:val="0"/>
      <w:sz w:val="21"/>
      <w:szCs w:val="22"/>
      <w:lang w:eastAsia="en-US"/>
      <w14:ligatures w14:val="none"/>
    </w:rPr>
  </w:style>
  <w:style w:type="paragraph" w:styleId="Footer">
    <w:name w:val="footer"/>
    <w:basedOn w:val="Normal"/>
    <w:link w:val="FooterChar"/>
    <w:uiPriority w:val="99"/>
    <w:unhideWhenUsed/>
    <w:rsid w:val="00342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20EE"/>
    <w:rPr>
      <w:rFonts w:ascii="Georgia" w:eastAsiaTheme="minorHAnsi"/>
      <w:kern w:val="0"/>
      <w:sz w:val="21"/>
      <w:szCs w:val="22"/>
      <w:lang w:eastAsia="en-US"/>
      <w14:ligatures w14:val="none"/>
    </w:rPr>
  </w:style>
  <w:style w:type="character" w:styleId="PageNumber">
    <w:name w:val="page number"/>
    <w:basedOn w:val="DefaultParagraphFont"/>
    <w:uiPriority w:val="99"/>
    <w:semiHidden/>
    <w:unhideWhenUsed/>
    <w:rsid w:val="0096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768787">
      <w:bodyDiv w:val="1"/>
      <w:marLeft w:val="0"/>
      <w:marRight w:val="0"/>
      <w:marTop w:val="0"/>
      <w:marBottom w:val="0"/>
      <w:divBdr>
        <w:top w:val="none" w:sz="0" w:space="0" w:color="auto"/>
        <w:left w:val="none" w:sz="0" w:space="0" w:color="auto"/>
        <w:bottom w:val="none" w:sz="0" w:space="0" w:color="auto"/>
        <w:right w:val="none" w:sz="0" w:space="0" w:color="auto"/>
      </w:divBdr>
    </w:div>
    <w:div w:id="884947802">
      <w:bodyDiv w:val="1"/>
      <w:marLeft w:val="0"/>
      <w:marRight w:val="0"/>
      <w:marTop w:val="0"/>
      <w:marBottom w:val="0"/>
      <w:divBdr>
        <w:top w:val="none" w:sz="0" w:space="0" w:color="auto"/>
        <w:left w:val="none" w:sz="0" w:space="0" w:color="auto"/>
        <w:bottom w:val="none" w:sz="0" w:space="0" w:color="auto"/>
        <w:right w:val="none" w:sz="0" w:space="0" w:color="auto"/>
      </w:divBdr>
    </w:div>
    <w:div w:id="966545702">
      <w:bodyDiv w:val="1"/>
      <w:marLeft w:val="0"/>
      <w:marRight w:val="0"/>
      <w:marTop w:val="0"/>
      <w:marBottom w:val="0"/>
      <w:divBdr>
        <w:top w:val="none" w:sz="0" w:space="0" w:color="auto"/>
        <w:left w:val="none" w:sz="0" w:space="0" w:color="auto"/>
        <w:bottom w:val="none" w:sz="0" w:space="0" w:color="auto"/>
        <w:right w:val="none" w:sz="0" w:space="0" w:color="auto"/>
      </w:divBdr>
    </w:div>
    <w:div w:id="1555778292">
      <w:bodyDiv w:val="1"/>
      <w:marLeft w:val="0"/>
      <w:marRight w:val="0"/>
      <w:marTop w:val="0"/>
      <w:marBottom w:val="0"/>
      <w:divBdr>
        <w:top w:val="none" w:sz="0" w:space="0" w:color="auto"/>
        <w:left w:val="none" w:sz="0" w:space="0" w:color="auto"/>
        <w:bottom w:val="none" w:sz="0" w:space="0" w:color="auto"/>
        <w:right w:val="none" w:sz="0" w:space="0" w:color="auto"/>
      </w:divBdr>
    </w:div>
    <w:div w:id="1617714428">
      <w:bodyDiv w:val="1"/>
      <w:marLeft w:val="0"/>
      <w:marRight w:val="0"/>
      <w:marTop w:val="0"/>
      <w:marBottom w:val="0"/>
      <w:divBdr>
        <w:top w:val="none" w:sz="0" w:space="0" w:color="auto"/>
        <w:left w:val="none" w:sz="0" w:space="0" w:color="auto"/>
        <w:bottom w:val="none" w:sz="0" w:space="0" w:color="auto"/>
        <w:right w:val="none" w:sz="0" w:space="0" w:color="auto"/>
      </w:divBdr>
    </w:div>
    <w:div w:id="188540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James@missouri.ed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wellskev@missouri.ed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tummonsj@missouri.edu" TargetMode="External"/><Relationship Id="rId4" Type="http://schemas.openxmlformats.org/officeDocument/2006/relationships/webSettings" Target="webSettings.xml"/><Relationship Id="rId9" Type="http://schemas.openxmlformats.org/officeDocument/2006/relationships/hyperlink" Target="mailto:parn4q@missouri.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1458</Words>
  <Characters>8312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Lijing Gao</dc:creator>
  <cp:keywords/>
  <dc:description/>
  <cp:lastModifiedBy>Lijing Gao</cp:lastModifiedBy>
  <cp:revision>2</cp:revision>
  <dcterms:created xsi:type="dcterms:W3CDTF">2025-09-19T18:35:00Z</dcterms:created>
  <dcterms:modified xsi:type="dcterms:W3CDTF">2025-09-19T18:35:00Z</dcterms:modified>
</cp:coreProperties>
</file>