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D4E4D" w14:textId="18947B3E" w:rsidR="00D83C8D" w:rsidRDefault="00D83C8D" w:rsidP="78B6BDBD">
      <w:pPr>
        <w:spacing w:line="240" w:lineRule="auto"/>
        <w:jc w:val="center"/>
        <w:rPr>
          <w:rFonts w:ascii="Times New Roman" w:hAnsi="Times New Roman" w:cs="Times New Roman"/>
          <w:b/>
          <w:bCs/>
        </w:rPr>
      </w:pPr>
      <w:r w:rsidRPr="78B6BDBD">
        <w:rPr>
          <w:rFonts w:ascii="Times New Roman" w:hAnsi="Times New Roman" w:cs="Times New Roman"/>
          <w:b/>
          <w:bCs/>
        </w:rPr>
        <w:t xml:space="preserve">Slowed Progress: Identifying Barriers to BMP Adoption for Water Conservation in </w:t>
      </w:r>
      <w:r w:rsidR="7ED5A93B" w:rsidRPr="78B6BDBD">
        <w:rPr>
          <w:rFonts w:ascii="Times New Roman" w:hAnsi="Times New Roman" w:cs="Times New Roman"/>
          <w:b/>
          <w:bCs/>
        </w:rPr>
        <w:t>Pennsylvania</w:t>
      </w:r>
    </w:p>
    <w:p w14:paraId="21A1BB9D" w14:textId="77777777" w:rsidR="00D83C8D" w:rsidRPr="00A9325F" w:rsidRDefault="00D83C8D" w:rsidP="00D83C8D">
      <w:pPr>
        <w:spacing w:after="0" w:line="240" w:lineRule="auto"/>
        <w:jc w:val="center"/>
        <w:rPr>
          <w:rFonts w:ascii="Times New Roman" w:hAnsi="Times New Roman" w:cs="Times New Roman"/>
          <w:b/>
          <w:bCs/>
        </w:rPr>
      </w:pPr>
      <w:r w:rsidRPr="00A9325F">
        <w:rPr>
          <w:rFonts w:ascii="Times New Roman" w:hAnsi="Times New Roman" w:cs="Times New Roman"/>
          <w:b/>
          <w:bCs/>
        </w:rPr>
        <w:t>Introduction</w:t>
      </w:r>
    </w:p>
    <w:p w14:paraId="54A72F21" w14:textId="4588E819" w:rsidR="00D83C8D" w:rsidRPr="00423F4B" w:rsidRDefault="00D83C8D" w:rsidP="00D83C8D">
      <w:pPr>
        <w:spacing w:line="240" w:lineRule="auto"/>
        <w:jc w:val="both"/>
        <w:rPr>
          <w:rFonts w:ascii="Times New Roman" w:hAnsi="Times New Roman" w:cs="Times New Roman"/>
        </w:rPr>
      </w:pPr>
      <w:r>
        <w:rPr>
          <w:rFonts w:ascii="Times New Roman" w:hAnsi="Times New Roman" w:cs="Times New Roman"/>
        </w:rPr>
        <w:t>Nonpoint</w:t>
      </w:r>
      <w:r w:rsidRPr="0276C376">
        <w:rPr>
          <w:rFonts w:ascii="Times New Roman" w:hAnsi="Times New Roman" w:cs="Times New Roman"/>
        </w:rPr>
        <w:t xml:space="preserve"> source (NPS) pollution—diffuse pollution that does not originate from a single, identifiable source—has long been recognized as a </w:t>
      </w:r>
      <w:r>
        <w:rPr>
          <w:rFonts w:ascii="Times New Roman" w:hAnsi="Times New Roman" w:cs="Times New Roman"/>
        </w:rPr>
        <w:t>significant</w:t>
      </w:r>
      <w:r w:rsidRPr="0276C376">
        <w:rPr>
          <w:rFonts w:ascii="Times New Roman" w:hAnsi="Times New Roman" w:cs="Times New Roman"/>
        </w:rPr>
        <w:t xml:space="preserve"> threat to water quality in the United States. The U.S. Environmental Protection Agency (USEPA, 1996) identified it as </w:t>
      </w:r>
      <w:r>
        <w:rPr>
          <w:rFonts w:ascii="Times New Roman" w:hAnsi="Times New Roman" w:cs="Times New Roman"/>
        </w:rPr>
        <w:t>"</w:t>
      </w:r>
      <w:r w:rsidRPr="0276C376">
        <w:rPr>
          <w:rFonts w:ascii="Times New Roman" w:hAnsi="Times New Roman" w:cs="Times New Roman"/>
        </w:rPr>
        <w:t xml:space="preserve">the </w:t>
      </w:r>
      <w:r>
        <w:rPr>
          <w:rFonts w:ascii="Times New Roman" w:hAnsi="Times New Roman" w:cs="Times New Roman"/>
        </w:rPr>
        <w:t>nation's</w:t>
      </w:r>
      <w:r w:rsidRPr="0276C376">
        <w:rPr>
          <w:rFonts w:ascii="Times New Roman" w:hAnsi="Times New Roman" w:cs="Times New Roman"/>
        </w:rPr>
        <w:t xml:space="preserve"> largest water quality problem.</w:t>
      </w:r>
      <w:r>
        <w:rPr>
          <w:rFonts w:ascii="Times New Roman" w:hAnsi="Times New Roman" w:cs="Times New Roman"/>
        </w:rPr>
        <w:t>"</w:t>
      </w:r>
      <w:r w:rsidRPr="0276C376">
        <w:rPr>
          <w:rFonts w:ascii="Times New Roman" w:hAnsi="Times New Roman" w:cs="Times New Roman"/>
        </w:rPr>
        <w:t xml:space="preserve"> Among the various contributors to NPS pollution, agricultural activities </w:t>
      </w:r>
      <w:r>
        <w:rPr>
          <w:rFonts w:ascii="Times New Roman" w:hAnsi="Times New Roman" w:cs="Times New Roman"/>
        </w:rPr>
        <w:t>are</w:t>
      </w:r>
      <w:r w:rsidRPr="0276C376">
        <w:rPr>
          <w:rFonts w:ascii="Times New Roman" w:hAnsi="Times New Roman" w:cs="Times New Roman"/>
        </w:rPr>
        <w:t xml:space="preserve"> a primary source of impairment for </w:t>
      </w:r>
      <w:r w:rsidR="009B3984">
        <w:rPr>
          <w:rFonts w:ascii="Times New Roman" w:hAnsi="Times New Roman" w:cs="Times New Roman"/>
        </w:rPr>
        <w:t>s</w:t>
      </w:r>
      <w:r w:rsidR="0039069D">
        <w:rPr>
          <w:rFonts w:ascii="Times New Roman" w:hAnsi="Times New Roman" w:cs="Times New Roman"/>
        </w:rPr>
        <w:t>tream</w:t>
      </w:r>
      <w:r w:rsidRPr="0276C376">
        <w:rPr>
          <w:rFonts w:ascii="Times New Roman" w:hAnsi="Times New Roman" w:cs="Times New Roman"/>
        </w:rPr>
        <w:t>s, lakes, and s</w:t>
      </w:r>
      <w:r w:rsidR="0039069D">
        <w:rPr>
          <w:rFonts w:ascii="Times New Roman" w:hAnsi="Times New Roman" w:cs="Times New Roman"/>
        </w:rPr>
        <w:t>urface water</w:t>
      </w:r>
      <w:r w:rsidRPr="0276C376">
        <w:rPr>
          <w:rFonts w:ascii="Times New Roman" w:hAnsi="Times New Roman" w:cs="Times New Roman"/>
        </w:rPr>
        <w:t xml:space="preserve">s across the country. Each year, farmers in the United States apply an estimated 500,000 tons of pesticides, 12 million tons of nitrogen, and 4 million tons of phosphorus fertilizers to croplands, significantly impacting downstream water quality (USGS, 2023). This issue is particularly acute in the Chesapeake Bay watershed, where agricultural runoff is a leading contributor to nutrient pollution. According to the U.S. Environmental Protection Agency (2023), NPS pollution remains a critical challenge in this region. </w:t>
      </w:r>
      <w:r w:rsidR="009B3984">
        <w:rPr>
          <w:rFonts w:ascii="Times New Roman" w:hAnsi="Times New Roman" w:cs="Times New Roman"/>
        </w:rPr>
        <w:t>Pennsylvania</w:t>
      </w:r>
      <w:r w:rsidRPr="0276C376">
        <w:rPr>
          <w:rFonts w:ascii="Times New Roman" w:hAnsi="Times New Roman" w:cs="Times New Roman"/>
        </w:rPr>
        <w:t xml:space="preserve">, which occupies a large portion of the watershed, contributes the highest nitrogen loads entering the Bay primarily through runoff from fertilized croplands and livestock manure in the River Basin (USGS, 2023; Chesapeake Bay Program, 2023). </w:t>
      </w:r>
      <w:r w:rsidR="009B3984">
        <w:rPr>
          <w:rFonts w:ascii="Times New Roman" w:hAnsi="Times New Roman" w:cs="Times New Roman"/>
        </w:rPr>
        <w:t>Pennsylvania</w:t>
      </w:r>
      <w:r>
        <w:rPr>
          <w:rFonts w:ascii="Times New Roman" w:hAnsi="Times New Roman" w:cs="Times New Roman"/>
        </w:rPr>
        <w:t>'s</w:t>
      </w:r>
      <w:r w:rsidRPr="0276C376">
        <w:rPr>
          <w:rFonts w:ascii="Times New Roman" w:hAnsi="Times New Roman" w:cs="Times New Roman"/>
        </w:rPr>
        <w:t xml:space="preserve"> 2022 Integrated Water Quality Report highlighted that over 8,000 miles of rivers and streams are classified as impaired due to sedimentation, nutrient loading, and direct livestock access to water bodies (</w:t>
      </w:r>
      <w:r w:rsidR="009B3984">
        <w:rPr>
          <w:rFonts w:ascii="Times New Roman" w:hAnsi="Times New Roman" w:cs="Times New Roman"/>
        </w:rPr>
        <w:t xml:space="preserve">Pennsylvania </w:t>
      </w:r>
      <w:r w:rsidRPr="0276C376">
        <w:rPr>
          <w:rFonts w:ascii="Times New Roman" w:hAnsi="Times New Roman" w:cs="Times New Roman"/>
        </w:rPr>
        <w:t>DEP, 2022).</w:t>
      </w:r>
    </w:p>
    <w:p w14:paraId="2CC7EE90" w14:textId="77777777" w:rsidR="00D83C8D" w:rsidRDefault="00D83C8D" w:rsidP="00D83C8D">
      <w:pPr>
        <w:spacing w:line="240" w:lineRule="auto"/>
        <w:jc w:val="both"/>
        <w:rPr>
          <w:rFonts w:ascii="Times New Roman" w:hAnsi="Times New Roman" w:cs="Times New Roman"/>
        </w:rPr>
      </w:pPr>
      <w:r>
        <w:rPr>
          <w:rFonts w:ascii="Times New Roman" w:hAnsi="Times New Roman" w:cs="Times New Roman"/>
        </w:rPr>
        <w:t>The</w:t>
      </w:r>
      <w:r w:rsidRPr="125D8DEE">
        <w:rPr>
          <w:rFonts w:ascii="Times New Roman" w:hAnsi="Times New Roman" w:cs="Times New Roman"/>
        </w:rPr>
        <w:t xml:space="preserve"> U.S. government has adopted a multi-level approach involving federal, state, and local programs</w:t>
      </w:r>
      <w:r>
        <w:rPr>
          <w:rFonts w:ascii="Times New Roman" w:hAnsi="Times New Roman" w:cs="Times New Roman"/>
        </w:rPr>
        <w:t xml:space="preserve"> to combat nonpoint source water pollution, particularly from agricultural activities</w:t>
      </w:r>
      <w:r w:rsidRPr="125D8DEE">
        <w:rPr>
          <w:rFonts w:ascii="Times New Roman" w:hAnsi="Times New Roman" w:cs="Times New Roman"/>
        </w:rPr>
        <w:t xml:space="preserve">. </w:t>
      </w:r>
      <w:r>
        <w:rPr>
          <w:rFonts w:ascii="Times New Roman" w:hAnsi="Times New Roman" w:cs="Times New Roman"/>
        </w:rPr>
        <w:t>The</w:t>
      </w:r>
      <w:r w:rsidRPr="125D8DEE">
        <w:rPr>
          <w:rFonts w:ascii="Times New Roman" w:hAnsi="Times New Roman" w:cs="Times New Roman"/>
        </w:rPr>
        <w:t xml:space="preserve"> U.S. EPA administers the Section 319 </w:t>
      </w:r>
      <w:r>
        <w:rPr>
          <w:rFonts w:ascii="Times New Roman" w:hAnsi="Times New Roman" w:cs="Times New Roman"/>
        </w:rPr>
        <w:t>Nonpoint</w:t>
      </w:r>
      <w:r w:rsidRPr="125D8DEE">
        <w:rPr>
          <w:rFonts w:ascii="Times New Roman" w:hAnsi="Times New Roman" w:cs="Times New Roman"/>
        </w:rPr>
        <w:t xml:space="preserve"> Source Management Program under the Clean Water Act</w:t>
      </w:r>
      <w:r>
        <w:rPr>
          <w:rFonts w:ascii="Times New Roman" w:hAnsi="Times New Roman" w:cs="Times New Roman"/>
        </w:rPr>
        <w:t xml:space="preserve"> at the federal level</w:t>
      </w:r>
      <w:r w:rsidRPr="125D8DEE">
        <w:rPr>
          <w:rFonts w:ascii="Times New Roman" w:hAnsi="Times New Roman" w:cs="Times New Roman"/>
        </w:rPr>
        <w:t xml:space="preserve">. This program provides funding to states and local entities to support the implementation of Best Management Practices (BMPs), including riparian buffers, cover crops, and livestock exclusion fencing (U.S. EPA, 2023). Additionally, the U.S. Department of </w:t>
      </w:r>
      <w:r>
        <w:rPr>
          <w:rFonts w:ascii="Times New Roman" w:hAnsi="Times New Roman" w:cs="Times New Roman"/>
        </w:rPr>
        <w:t>Agriculture's</w:t>
      </w:r>
      <w:r w:rsidRPr="125D8DEE">
        <w:rPr>
          <w:rFonts w:ascii="Times New Roman" w:hAnsi="Times New Roman" w:cs="Times New Roman"/>
        </w:rPr>
        <w:t xml:space="preserve"> Natural Resources Conservation Service (NRCS) plays a key role in promoting conservation through voluntary incentive-based programs such as the Environmental Quality Incentives Program (EQIP), the Conservation Reserve Program (CRP), and the Conservation Stewardship Program (CSP). These programs offer technical assistance and cost-sharing for farmers implementing BMPs to reduce nutrient and sediment runoff (USDA NRCS, 2024). In the Chesapeake Bay region, the 2010 establishment of the Total Maximum Daily Load (TMDL) by the EPA set enforceable pollution reduction targets, prompting states to develop Watershed Implementation Plans (WIPs). These WIPs are designed to accelerate the adoption of agricultural BMPs, improve nutrient management, and engage local stakeholders in meeting water quality goals (Chesapeake Bay Program, 2023).</w:t>
      </w:r>
    </w:p>
    <w:p w14:paraId="70C7D8E5" w14:textId="7395DF57" w:rsidR="002C0678" w:rsidRDefault="00D83C8D" w:rsidP="00C844A3">
      <w:pPr>
        <w:spacing w:line="240" w:lineRule="auto"/>
        <w:jc w:val="both"/>
        <w:rPr>
          <w:rFonts w:ascii="Times New Roman" w:hAnsi="Times New Roman" w:cs="Times New Roman"/>
        </w:rPr>
      </w:pPr>
      <w:r w:rsidRPr="7EE883B4">
        <w:rPr>
          <w:rFonts w:ascii="Times New Roman" w:hAnsi="Times New Roman" w:cs="Times New Roman"/>
        </w:rPr>
        <w:t xml:space="preserve">Notably, </w:t>
      </w:r>
      <w:r>
        <w:rPr>
          <w:rFonts w:ascii="Times New Roman" w:hAnsi="Times New Roman" w:cs="Times New Roman"/>
        </w:rPr>
        <w:t>farmers'</w:t>
      </w:r>
      <w:r w:rsidRPr="7EE883B4">
        <w:rPr>
          <w:rFonts w:ascii="Times New Roman" w:hAnsi="Times New Roman" w:cs="Times New Roman"/>
        </w:rPr>
        <w:t xml:space="preserve"> voluntary adoption of Best Management Practices (BMPs) is essential to achieving the goals set under the TMDL and ensuring long-term water quality improvements. To make meaningful progress, it is critical for stakeholders—policymakers, extension agents, and conservation organizations—to understand the practical challenges farmers face in adopting these practices. While previous research has </w:t>
      </w:r>
      <w:r>
        <w:rPr>
          <w:rFonts w:ascii="Times New Roman" w:hAnsi="Times New Roman" w:cs="Times New Roman"/>
        </w:rPr>
        <w:t xml:space="preserve">broadly </w:t>
      </w:r>
      <w:r w:rsidRPr="7EE883B4">
        <w:rPr>
          <w:rFonts w:ascii="Times New Roman" w:hAnsi="Times New Roman" w:cs="Times New Roman"/>
        </w:rPr>
        <w:t xml:space="preserve">explored both the drivers and barriers to conservation adoption, there remains a gap in the literature regarding in-depth qualitative studies grounded in integrated social theory frameworks. Such approaches are necessary to uncover the complex, context-specific barriers that may not be captured in quantitative surveys alone (Prokopy, 2011; Ranjan et al., 2019). Guided by an integrated theoretical framework and qualitative inquiry, this study sought to explore the key challenges and constraints that hinder the adoption of water conservation BMPs in </w:t>
      </w:r>
      <w:r w:rsidR="009B3984">
        <w:rPr>
          <w:rFonts w:ascii="Times New Roman" w:hAnsi="Times New Roman" w:cs="Times New Roman"/>
        </w:rPr>
        <w:t>Pennsylvania</w:t>
      </w:r>
      <w:r w:rsidRPr="7EE883B4">
        <w:rPr>
          <w:rFonts w:ascii="Times New Roman" w:hAnsi="Times New Roman" w:cs="Times New Roman"/>
        </w:rPr>
        <w:t xml:space="preserve">. </w:t>
      </w:r>
    </w:p>
    <w:p w14:paraId="11146361" w14:textId="77777777" w:rsidR="00F733D6" w:rsidRDefault="00F733D6" w:rsidP="00F733D6">
      <w:pPr>
        <w:spacing w:after="0" w:line="240" w:lineRule="auto"/>
        <w:jc w:val="center"/>
        <w:rPr>
          <w:rFonts w:ascii="Times New Roman" w:hAnsi="Times New Roman" w:cs="Times New Roman"/>
          <w:b/>
          <w:bCs/>
        </w:rPr>
      </w:pPr>
    </w:p>
    <w:p w14:paraId="50479996" w14:textId="77777777" w:rsidR="00F733D6" w:rsidRDefault="00F733D6" w:rsidP="00F733D6">
      <w:pPr>
        <w:spacing w:after="0" w:line="240" w:lineRule="auto"/>
        <w:jc w:val="center"/>
        <w:rPr>
          <w:rFonts w:ascii="Times New Roman" w:hAnsi="Times New Roman" w:cs="Times New Roman"/>
          <w:b/>
          <w:bCs/>
        </w:rPr>
      </w:pPr>
    </w:p>
    <w:p w14:paraId="37FAC2F1" w14:textId="563527E0" w:rsidR="00E90A56" w:rsidRPr="007F3215" w:rsidRDefault="00E90A56" w:rsidP="00F733D6">
      <w:pPr>
        <w:spacing w:after="0" w:line="240" w:lineRule="auto"/>
        <w:jc w:val="center"/>
        <w:rPr>
          <w:rFonts w:ascii="Times New Roman" w:hAnsi="Times New Roman" w:cs="Times New Roman"/>
        </w:rPr>
      </w:pPr>
      <w:r w:rsidRPr="7EE883B4">
        <w:rPr>
          <w:rFonts w:ascii="Times New Roman" w:hAnsi="Times New Roman" w:cs="Times New Roman"/>
          <w:b/>
          <w:bCs/>
        </w:rPr>
        <w:lastRenderedPageBreak/>
        <w:t>Theoretical Framework</w:t>
      </w:r>
    </w:p>
    <w:p w14:paraId="51129845" w14:textId="01517674" w:rsidR="008D3BE1" w:rsidRDefault="008110F2" w:rsidP="00D142DB">
      <w:pPr>
        <w:spacing w:before="120" w:after="0" w:line="240" w:lineRule="auto"/>
        <w:jc w:val="both"/>
        <w:rPr>
          <w:rFonts w:ascii="Times New Roman" w:hAnsi="Times New Roman" w:cs="Times New Roman"/>
        </w:rPr>
      </w:pPr>
      <w:r w:rsidRPr="008110F2">
        <w:rPr>
          <w:rFonts w:ascii="Times New Roman" w:hAnsi="Times New Roman" w:cs="Times New Roman"/>
        </w:rPr>
        <w:t>This study was guided by an integrated application of three well-established theories: the Diffusion of Innovation (DOI) Theory (Rogers, 2003), the Theory of Planned Behavior (TPB) (Ajzen, 1991), and the Value–Belief–Norm (VBN) Theory (Stern, 2000).</w:t>
      </w:r>
      <w:r w:rsidR="00DD5939">
        <w:rPr>
          <w:rFonts w:ascii="Times New Roman" w:hAnsi="Times New Roman" w:cs="Times New Roman"/>
        </w:rPr>
        <w:t xml:space="preserve"> </w:t>
      </w:r>
      <w:r w:rsidR="00AF2D32" w:rsidRPr="00AF2D32">
        <w:rPr>
          <w:rFonts w:ascii="Times New Roman" w:hAnsi="Times New Roman" w:cs="Times New Roman"/>
        </w:rPr>
        <w:t xml:space="preserve">The Diffusion of Innovations (DOI) theory (Rogers, 2003) offers a foundational lens for understanding how innovations—such as Best Management Practices (BMPs)—spread within social systems. It highlights four key elements: the innovation itself, communication channels, time, and social structure. Adoption is influenced by five perceived attributes: relative advantage, compatibility, complexity, trialability, and observability. In agricultural contexts, DOI is especially useful in identifying why some innovations face resistance. For example, studies by Bilal et al. (2024), Looney et al. (2022), Pannell et al. (2006), and Warner and Lamm (2020) applied DOI to explore barriers to adopting technologies like </w:t>
      </w:r>
      <w:proofErr w:type="spellStart"/>
      <w:r w:rsidR="00AF2D32" w:rsidRPr="00AF2D32">
        <w:rPr>
          <w:rFonts w:ascii="Times New Roman" w:hAnsi="Times New Roman" w:cs="Times New Roman"/>
        </w:rPr>
        <w:t>Bt</w:t>
      </w:r>
      <w:proofErr w:type="spellEnd"/>
      <w:r w:rsidR="00AF2D32" w:rsidRPr="00AF2D32">
        <w:rPr>
          <w:rFonts w:ascii="Times New Roman" w:hAnsi="Times New Roman" w:cs="Times New Roman"/>
        </w:rPr>
        <w:t xml:space="preserve"> cotton, no-till farming, and water conservation practices.</w:t>
      </w:r>
    </w:p>
    <w:p w14:paraId="3E64EF9D" w14:textId="454804A8" w:rsidR="00111718" w:rsidRPr="00111718" w:rsidRDefault="008110F2" w:rsidP="00D142DB">
      <w:pPr>
        <w:spacing w:before="120" w:line="240" w:lineRule="auto"/>
        <w:jc w:val="both"/>
        <w:rPr>
          <w:rFonts w:ascii="Times New Roman" w:hAnsi="Times New Roman" w:cs="Times New Roman"/>
        </w:rPr>
      </w:pPr>
      <w:r w:rsidRPr="008110F2">
        <w:rPr>
          <w:rFonts w:ascii="Times New Roman" w:hAnsi="Times New Roman" w:cs="Times New Roman"/>
        </w:rPr>
        <w:t xml:space="preserve">The Theory of Planned Behavior (TPB) offers a robust framework for understanding not only the drivers but also the barriers to adoption, positing that an individual's behavior stems from their intentions, which are, in turn, shaped by three core constructs: attitude toward the behavior, subjective norms (perceived social pressure), and perceived behavioral control (sense of self-efficacy). It could be generally appropriate to assume that farmers may face significant barriers to adopting Best Management Practices (BMPs) if they hold negative attitudes towards them (e.g., perceiving them as ineffective or costly) or believe their social circle does not support the practices. This often leads to non-adoption or discontinuance of conservation efforts. </w:t>
      </w:r>
      <w:r w:rsidR="00111718" w:rsidRPr="00111718">
        <w:rPr>
          <w:rFonts w:ascii="Times New Roman" w:hAnsi="Times New Roman" w:cs="Times New Roman"/>
        </w:rPr>
        <w:t>Studies such as Wang et al. (2024), Shock (2013), and Kruse and Michelsen (2020) have applied TPB to identify how unfavorable perceptions and social pressures contribute to resistance or abandonment of water conservation practices.</w:t>
      </w:r>
    </w:p>
    <w:p w14:paraId="41F7B1C4" w14:textId="77777777" w:rsidR="008B39E9" w:rsidRDefault="008B39E9" w:rsidP="008B39E9">
      <w:pPr>
        <w:spacing w:after="0" w:line="240" w:lineRule="auto"/>
        <w:jc w:val="both"/>
        <w:rPr>
          <w:rFonts w:ascii="Times New Roman" w:hAnsi="Times New Roman" w:cs="Times New Roman"/>
        </w:rPr>
      </w:pPr>
      <w:r w:rsidRPr="008B39E9">
        <w:rPr>
          <w:rFonts w:ascii="Times New Roman" w:hAnsi="Times New Roman" w:cs="Times New Roman"/>
        </w:rPr>
        <w:t xml:space="preserve">The Value–Belief–Norm (VBN) theory explains the ethical and psychological roots of pro-environmental behavior, suggesting that core values like biospheric or altruistic </w:t>
      </w:r>
      <w:proofErr w:type="gramStart"/>
      <w:r w:rsidRPr="008B39E9">
        <w:rPr>
          <w:rFonts w:ascii="Times New Roman" w:hAnsi="Times New Roman" w:cs="Times New Roman"/>
        </w:rPr>
        <w:t>ones</w:t>
      </w:r>
      <w:proofErr w:type="gramEnd"/>
      <w:r w:rsidRPr="008B39E9">
        <w:rPr>
          <w:rFonts w:ascii="Times New Roman" w:hAnsi="Times New Roman" w:cs="Times New Roman"/>
        </w:rPr>
        <w:t xml:space="preserve"> shape environmental beliefs and a sense of responsibility to act (Stern, 2000; Price &amp; Leviston, 2014). By integrating VBN with TPB and DOI, this study adopts a comprehensive framework to examine BMP adoption barriers and better understand the complexities of farmers’ conservation decisions (Mao et al., 2020).</w:t>
      </w:r>
    </w:p>
    <w:p w14:paraId="34602384" w14:textId="7D124BED" w:rsidR="003977F9" w:rsidRPr="003C6FAA" w:rsidRDefault="003977F9" w:rsidP="003977F9">
      <w:pPr>
        <w:spacing w:after="0" w:line="240" w:lineRule="auto"/>
        <w:jc w:val="center"/>
        <w:rPr>
          <w:rFonts w:ascii="Times New Roman" w:hAnsi="Times New Roman" w:cs="Times New Roman"/>
          <w:b/>
          <w:bCs/>
        </w:rPr>
      </w:pPr>
      <w:r w:rsidRPr="003C6FAA">
        <w:rPr>
          <w:rFonts w:ascii="Times New Roman" w:hAnsi="Times New Roman" w:cs="Times New Roman"/>
          <w:b/>
          <w:bCs/>
        </w:rPr>
        <w:t xml:space="preserve">Purpose and </w:t>
      </w:r>
      <w:r>
        <w:rPr>
          <w:rFonts w:ascii="Times New Roman" w:hAnsi="Times New Roman" w:cs="Times New Roman"/>
          <w:b/>
          <w:bCs/>
        </w:rPr>
        <w:t>Objectives</w:t>
      </w:r>
    </w:p>
    <w:p w14:paraId="673F5977" w14:textId="53950AB5" w:rsidR="003977F9" w:rsidRPr="00BA0AA4" w:rsidRDefault="003977F9" w:rsidP="003977F9">
      <w:pPr>
        <w:spacing w:line="240" w:lineRule="auto"/>
        <w:jc w:val="both"/>
        <w:rPr>
          <w:rFonts w:ascii="Times New Roman" w:hAnsi="Times New Roman" w:cs="Times New Roman"/>
        </w:rPr>
      </w:pPr>
      <w:r w:rsidRPr="0276C376">
        <w:rPr>
          <w:rFonts w:ascii="Times New Roman" w:hAnsi="Times New Roman" w:cs="Times New Roman"/>
        </w:rPr>
        <w:t xml:space="preserve">The overall purpose of this study was to understand the socio-psychological factors hindering </w:t>
      </w:r>
      <w:r>
        <w:rPr>
          <w:rFonts w:ascii="Times New Roman" w:hAnsi="Times New Roman" w:cs="Times New Roman"/>
        </w:rPr>
        <w:t>farmers'</w:t>
      </w:r>
      <w:r w:rsidRPr="0276C376">
        <w:rPr>
          <w:rFonts w:ascii="Times New Roman" w:hAnsi="Times New Roman" w:cs="Times New Roman"/>
        </w:rPr>
        <w:t xml:space="preserve"> adoption of water conservation BMPs in </w:t>
      </w:r>
      <w:r w:rsidR="009B3984">
        <w:rPr>
          <w:rFonts w:ascii="Times New Roman" w:hAnsi="Times New Roman" w:cs="Times New Roman"/>
        </w:rPr>
        <w:t>Pennsylvania</w:t>
      </w:r>
      <w:r>
        <w:rPr>
          <w:rFonts w:ascii="Times New Roman" w:hAnsi="Times New Roman" w:cs="Times New Roman"/>
        </w:rPr>
        <w:t>'s</w:t>
      </w:r>
      <w:r w:rsidRPr="0276C376">
        <w:rPr>
          <w:rFonts w:ascii="Times New Roman" w:hAnsi="Times New Roman" w:cs="Times New Roman"/>
        </w:rPr>
        <w:t xml:space="preserve"> Chesapeake Bay Watershed region. The specific objective </w:t>
      </w:r>
      <w:r>
        <w:rPr>
          <w:rFonts w:ascii="Times New Roman" w:hAnsi="Times New Roman" w:cs="Times New Roman"/>
        </w:rPr>
        <w:t>was t</w:t>
      </w:r>
      <w:r w:rsidRPr="00BA0AA4">
        <w:rPr>
          <w:rFonts w:ascii="Times New Roman" w:hAnsi="Times New Roman" w:cs="Times New Roman"/>
        </w:rPr>
        <w:t xml:space="preserve">o identify the barriers to adopting water conservation BMPs among farmers in </w:t>
      </w:r>
      <w:r w:rsidR="009B3984">
        <w:rPr>
          <w:rFonts w:ascii="Times New Roman" w:hAnsi="Times New Roman" w:cs="Times New Roman"/>
        </w:rPr>
        <w:t>Pennsylvania</w:t>
      </w:r>
      <w:r w:rsidRPr="00BA0AA4">
        <w:rPr>
          <w:rFonts w:ascii="Times New Roman" w:hAnsi="Times New Roman" w:cs="Times New Roman"/>
        </w:rPr>
        <w:t xml:space="preserve">'s Chesapeake Bay region. </w:t>
      </w:r>
    </w:p>
    <w:p w14:paraId="4A5FB1B8" w14:textId="77777777" w:rsidR="002533E8" w:rsidRPr="00595BBD" w:rsidRDefault="002533E8" w:rsidP="002533E8">
      <w:pPr>
        <w:spacing w:after="0" w:line="240" w:lineRule="auto"/>
        <w:jc w:val="center"/>
        <w:rPr>
          <w:rFonts w:ascii="Times New Roman" w:hAnsi="Times New Roman" w:cs="Times New Roman"/>
          <w:b/>
          <w:bCs/>
        </w:rPr>
      </w:pPr>
      <w:r w:rsidRPr="00595BBD">
        <w:rPr>
          <w:rFonts w:ascii="Times New Roman" w:hAnsi="Times New Roman" w:cs="Times New Roman"/>
          <w:b/>
          <w:bCs/>
        </w:rPr>
        <w:t>Methodology</w:t>
      </w:r>
    </w:p>
    <w:p w14:paraId="5726928C" w14:textId="77777777" w:rsidR="00754DF0" w:rsidRDefault="00754DF0" w:rsidP="002533E8">
      <w:pPr>
        <w:spacing w:line="240" w:lineRule="auto"/>
        <w:jc w:val="both"/>
        <w:rPr>
          <w:rFonts w:ascii="Times New Roman" w:hAnsi="Times New Roman" w:cs="Times New Roman"/>
        </w:rPr>
      </w:pPr>
      <w:r w:rsidRPr="00754DF0">
        <w:rPr>
          <w:rFonts w:ascii="Times New Roman" w:hAnsi="Times New Roman" w:cs="Times New Roman"/>
        </w:rPr>
        <w:t>This research constituted a component of a comprehensive initiative aimed at attaining TMDL objectives through human-centered modeling approaches that hinder BMP adoption behaviors amid environmental uncertainties. The findings presented herein derive from preliminary exploratory interviews conducted with agricultural stakeholders.</w:t>
      </w:r>
    </w:p>
    <w:p w14:paraId="143165CB" w14:textId="6D77B3B8" w:rsidR="002533E8" w:rsidRPr="00595BBD" w:rsidRDefault="00810450" w:rsidP="002533E8">
      <w:pPr>
        <w:spacing w:line="240" w:lineRule="auto"/>
        <w:jc w:val="both"/>
        <w:rPr>
          <w:rFonts w:ascii="Times New Roman" w:hAnsi="Times New Roman" w:cs="Times New Roman"/>
        </w:rPr>
      </w:pPr>
      <w:r w:rsidRPr="00810450">
        <w:rPr>
          <w:rFonts w:ascii="Times New Roman" w:hAnsi="Times New Roman" w:cs="Times New Roman"/>
          <w:b/>
          <w:bCs/>
        </w:rPr>
        <w:t>Research framework</w:t>
      </w:r>
      <w:r w:rsidR="002533E8">
        <w:rPr>
          <w:rFonts w:ascii="Times New Roman" w:hAnsi="Times New Roman" w:cs="Times New Roman"/>
        </w:rPr>
        <w:t xml:space="preserve">: </w:t>
      </w:r>
      <w:r w:rsidR="00850421" w:rsidRPr="00850421">
        <w:rPr>
          <w:rFonts w:ascii="Times New Roman" w:hAnsi="Times New Roman" w:cs="Times New Roman"/>
        </w:rPr>
        <w:t xml:space="preserve">The research employed a qualitative interpretive approach (Creswell &amp; Poth, 2018; Merriam &amp; Tisdell, 2016) to capture participants' authentic perspectives regarding barriers to water conservation BMP implementation on their agricultural operations. This methodological choice was selected due to its effectiveness in understanding complex social phenomena and its suitability for research </w:t>
      </w:r>
      <w:r w:rsidR="000949E3">
        <w:rPr>
          <w:rFonts w:ascii="Times New Roman" w:hAnsi="Times New Roman" w:cs="Times New Roman"/>
        </w:rPr>
        <w:t>to</w:t>
      </w:r>
      <w:r w:rsidR="00850421" w:rsidRPr="00850421">
        <w:rPr>
          <w:rFonts w:ascii="Times New Roman" w:hAnsi="Times New Roman" w:cs="Times New Roman"/>
        </w:rPr>
        <w:t xml:space="preserve"> inform policy development and enhanc</w:t>
      </w:r>
      <w:r w:rsidR="000949E3">
        <w:rPr>
          <w:rFonts w:ascii="Times New Roman" w:hAnsi="Times New Roman" w:cs="Times New Roman"/>
        </w:rPr>
        <w:t>e</w:t>
      </w:r>
      <w:r w:rsidR="00850421" w:rsidRPr="00850421">
        <w:rPr>
          <w:rFonts w:ascii="Times New Roman" w:hAnsi="Times New Roman" w:cs="Times New Roman"/>
        </w:rPr>
        <w:t xml:space="preserve"> agricultural practices (Tracy, 2020; Maxwell, 2013). The interpretive framework aligns with the research objectives' focus on understanding subjective experiences and perceptions within real-world agricultural contexts. Methodological rigor </w:t>
      </w:r>
      <w:r w:rsidR="00850421" w:rsidRPr="00850421">
        <w:rPr>
          <w:rFonts w:ascii="Times New Roman" w:hAnsi="Times New Roman" w:cs="Times New Roman"/>
        </w:rPr>
        <w:lastRenderedPageBreak/>
        <w:t xml:space="preserve">was ensured throughout the research process </w:t>
      </w:r>
      <w:r w:rsidR="00507948">
        <w:rPr>
          <w:rFonts w:ascii="Times New Roman" w:hAnsi="Times New Roman" w:cs="Times New Roman"/>
        </w:rPr>
        <w:t xml:space="preserve">to capture and </w:t>
      </w:r>
      <w:r w:rsidR="00E81D68">
        <w:rPr>
          <w:rFonts w:ascii="Times New Roman" w:hAnsi="Times New Roman" w:cs="Times New Roman"/>
        </w:rPr>
        <w:t xml:space="preserve">faithfully </w:t>
      </w:r>
      <w:r w:rsidR="00507948">
        <w:rPr>
          <w:rFonts w:ascii="Times New Roman" w:hAnsi="Times New Roman" w:cs="Times New Roman"/>
        </w:rPr>
        <w:t>represent participant perspectives and lived experiences</w:t>
      </w:r>
      <w:r w:rsidR="00850421" w:rsidRPr="00850421">
        <w:rPr>
          <w:rFonts w:ascii="Times New Roman" w:hAnsi="Times New Roman" w:cs="Times New Roman"/>
        </w:rPr>
        <w:t>.</w:t>
      </w:r>
    </w:p>
    <w:p w14:paraId="3912E567" w14:textId="62BC1204" w:rsidR="00E20C15" w:rsidRDefault="00B02D41" w:rsidP="002533E8">
      <w:pPr>
        <w:spacing w:line="240" w:lineRule="auto"/>
        <w:jc w:val="both"/>
        <w:rPr>
          <w:rFonts w:ascii="Times New Roman" w:hAnsi="Times New Roman" w:cs="Times New Roman"/>
        </w:rPr>
      </w:pPr>
      <w:r w:rsidRPr="00B02D41">
        <w:rPr>
          <w:rFonts w:ascii="Times New Roman" w:hAnsi="Times New Roman" w:cs="Times New Roman"/>
          <w:b/>
          <w:bCs/>
        </w:rPr>
        <w:t>Population Selection and Participant Recruitment</w:t>
      </w:r>
      <w:r w:rsidR="002533E8">
        <w:rPr>
          <w:rFonts w:ascii="Times New Roman" w:hAnsi="Times New Roman" w:cs="Times New Roman"/>
        </w:rPr>
        <w:t xml:space="preserve">: </w:t>
      </w:r>
      <w:r w:rsidR="00AA2BA8">
        <w:rPr>
          <w:rFonts w:ascii="Times New Roman" w:hAnsi="Times New Roman" w:cs="Times New Roman"/>
        </w:rPr>
        <w:t xml:space="preserve">The study population </w:t>
      </w:r>
      <w:r w:rsidR="00365D2D">
        <w:rPr>
          <w:rFonts w:ascii="Times New Roman" w:hAnsi="Times New Roman" w:cs="Times New Roman"/>
        </w:rPr>
        <w:t xml:space="preserve">was </w:t>
      </w:r>
      <w:r w:rsidR="00AA2BA8">
        <w:rPr>
          <w:rFonts w:ascii="Times New Roman" w:hAnsi="Times New Roman" w:cs="Times New Roman"/>
        </w:rPr>
        <w:t xml:space="preserve">comprised </w:t>
      </w:r>
      <w:r w:rsidR="00365D2D">
        <w:rPr>
          <w:rFonts w:ascii="Times New Roman" w:hAnsi="Times New Roman" w:cs="Times New Roman"/>
        </w:rPr>
        <w:t xml:space="preserve">of </w:t>
      </w:r>
      <w:r w:rsidR="00AA2BA8">
        <w:rPr>
          <w:rFonts w:ascii="Times New Roman" w:hAnsi="Times New Roman" w:cs="Times New Roman"/>
        </w:rPr>
        <w:t>a</w:t>
      </w:r>
      <w:r w:rsidR="00E20C15" w:rsidRPr="00E20C15">
        <w:rPr>
          <w:rFonts w:ascii="Times New Roman" w:hAnsi="Times New Roman" w:cs="Times New Roman"/>
        </w:rPr>
        <w:t xml:space="preserve">gricultural farmers working within the </w:t>
      </w:r>
      <w:r w:rsidR="009B3984" w:rsidRPr="009B3984">
        <w:rPr>
          <w:rFonts w:ascii="Times New Roman" w:hAnsi="Times New Roman" w:cs="Times New Roman"/>
        </w:rPr>
        <w:t>Susquehanna</w:t>
      </w:r>
      <w:r w:rsidR="009B3984">
        <w:rPr>
          <w:rFonts w:ascii="Times New Roman" w:hAnsi="Times New Roman" w:cs="Times New Roman"/>
        </w:rPr>
        <w:t xml:space="preserve"> </w:t>
      </w:r>
      <w:r w:rsidR="0039069D">
        <w:rPr>
          <w:rFonts w:ascii="Times New Roman" w:hAnsi="Times New Roman" w:cs="Times New Roman"/>
        </w:rPr>
        <w:t>R</w:t>
      </w:r>
      <w:r w:rsidR="00E20C15" w:rsidRPr="00E20C15">
        <w:rPr>
          <w:rFonts w:ascii="Times New Roman" w:hAnsi="Times New Roman" w:cs="Times New Roman"/>
        </w:rPr>
        <w:t>iver watershed in</w:t>
      </w:r>
      <w:r w:rsidR="009B3984">
        <w:rPr>
          <w:rFonts w:ascii="Times New Roman" w:hAnsi="Times New Roman" w:cs="Times New Roman"/>
        </w:rPr>
        <w:t xml:space="preserve"> Pennsylvania</w:t>
      </w:r>
      <w:r w:rsidR="00E20C15" w:rsidRPr="00E20C15">
        <w:rPr>
          <w:rFonts w:ascii="Times New Roman" w:hAnsi="Times New Roman" w:cs="Times New Roman"/>
        </w:rPr>
        <w:t xml:space="preserve">. County selection followed a strategic approach based on the state's tiered WIP framework for nutrient reduction targets toward 2025 objectives, prioritizing areas with the highest classification rankings. Recruitment strategies involved collaboration with the project's advisory committee, agricultural extension personnel, local soil and water conservation districts, and NRCS representatives who distributed informational materials during community gatherings and through informal networks. Existing professional relationships established by research team members within target counties further supported participant identification. The recruitment approach utilized non-probabilistic sampling techniques, specifically purposeful and chain-referral sampling methods, to achieve adequate participation levels. Inclusion criteria specified active farmers aged 18 years or above, operating within designated counties along the </w:t>
      </w:r>
      <w:r w:rsidR="009B3984" w:rsidRPr="009B3984">
        <w:rPr>
          <w:rFonts w:ascii="Times New Roman" w:hAnsi="Times New Roman" w:cs="Times New Roman"/>
        </w:rPr>
        <w:t>Susquehanna</w:t>
      </w:r>
      <w:r w:rsidR="009B3984">
        <w:rPr>
          <w:rFonts w:ascii="Times New Roman" w:hAnsi="Times New Roman" w:cs="Times New Roman"/>
        </w:rPr>
        <w:t xml:space="preserve"> </w:t>
      </w:r>
      <w:r w:rsidR="0039069D">
        <w:rPr>
          <w:rFonts w:ascii="Times New Roman" w:hAnsi="Times New Roman" w:cs="Times New Roman"/>
        </w:rPr>
        <w:t>R</w:t>
      </w:r>
      <w:r w:rsidR="009B3984">
        <w:rPr>
          <w:rFonts w:ascii="Times New Roman" w:hAnsi="Times New Roman" w:cs="Times New Roman"/>
        </w:rPr>
        <w:t>iver</w:t>
      </w:r>
      <w:r w:rsidR="00E20C15" w:rsidRPr="00E20C15">
        <w:rPr>
          <w:rFonts w:ascii="Times New Roman" w:hAnsi="Times New Roman" w:cs="Times New Roman"/>
        </w:rPr>
        <w:t xml:space="preserve"> corridor, who provided informed consent for participation. Interview sessions were conducted in</w:t>
      </w:r>
      <w:r w:rsidR="006761F1">
        <w:rPr>
          <w:rFonts w:ascii="Times New Roman" w:hAnsi="Times New Roman" w:cs="Times New Roman"/>
        </w:rPr>
        <w:t xml:space="preserve"> </w:t>
      </w:r>
      <w:r w:rsidR="00E20C15" w:rsidRPr="00E20C15">
        <w:rPr>
          <w:rFonts w:ascii="Times New Roman" w:hAnsi="Times New Roman" w:cs="Times New Roman"/>
        </w:rPr>
        <w:t xml:space="preserve">person through farm visits or via remote platforms according to participant preferences. The final sample included 12 agricultural producers, with interview sessions averaging 50 minutes </w:t>
      </w:r>
      <w:r w:rsidR="00A10399">
        <w:rPr>
          <w:rFonts w:ascii="Times New Roman" w:hAnsi="Times New Roman" w:cs="Times New Roman"/>
        </w:rPr>
        <w:t xml:space="preserve">in </w:t>
      </w:r>
      <w:r w:rsidR="00E20C15" w:rsidRPr="00E20C15">
        <w:rPr>
          <w:rFonts w:ascii="Times New Roman" w:hAnsi="Times New Roman" w:cs="Times New Roman"/>
        </w:rPr>
        <w:t>duration, and participants received compensation as previously arranged. Ethical approval for this research was obtained from the [University] Institutional Review Board.</w:t>
      </w:r>
    </w:p>
    <w:p w14:paraId="0F22DBD4" w14:textId="332FC413" w:rsidR="002533E8" w:rsidRDefault="002533E8" w:rsidP="002533E8">
      <w:pPr>
        <w:spacing w:line="240" w:lineRule="auto"/>
        <w:jc w:val="both"/>
        <w:rPr>
          <w:rFonts w:ascii="Times New Roman" w:hAnsi="Times New Roman" w:cs="Times New Roman"/>
        </w:rPr>
      </w:pPr>
      <w:r w:rsidRPr="125D8DEE">
        <w:rPr>
          <w:rFonts w:ascii="Times New Roman" w:hAnsi="Times New Roman" w:cs="Times New Roman"/>
          <w:b/>
          <w:bCs/>
        </w:rPr>
        <w:t>Data Collection</w:t>
      </w:r>
      <w:r>
        <w:rPr>
          <w:rFonts w:ascii="Times New Roman" w:hAnsi="Times New Roman" w:cs="Times New Roman"/>
        </w:rPr>
        <w:t xml:space="preserve">: </w:t>
      </w:r>
      <w:r w:rsidR="00363FA0" w:rsidRPr="00363FA0">
        <w:rPr>
          <w:rFonts w:ascii="Times New Roman" w:hAnsi="Times New Roman" w:cs="Times New Roman"/>
        </w:rPr>
        <w:t>Data collection utilized in-depth interview techniques following a semi-structured guide created through collaborative efforts among an interdisciplinary research team and grounded in existing scholarly literature. The interview instrument underwent external validation by specialists in behavioral sciences, environmental resources, and agricultural conservation to ensure content validity. Protocol development prioritized clear language</w:t>
      </w:r>
      <w:r w:rsidR="007F1D75">
        <w:rPr>
          <w:rFonts w:ascii="Times New Roman" w:hAnsi="Times New Roman" w:cs="Times New Roman"/>
        </w:rPr>
        <w:t xml:space="preserve"> and</w:t>
      </w:r>
      <w:r w:rsidR="00363FA0" w:rsidRPr="00363FA0">
        <w:rPr>
          <w:rFonts w:ascii="Times New Roman" w:hAnsi="Times New Roman" w:cs="Times New Roman"/>
        </w:rPr>
        <w:t xml:space="preserve"> neutrality and avoided complex or compound questioning </w:t>
      </w:r>
      <w:r w:rsidR="00DF42F0">
        <w:rPr>
          <w:rFonts w:ascii="Times New Roman" w:hAnsi="Times New Roman" w:cs="Times New Roman"/>
        </w:rPr>
        <w:t>structures. T</w:t>
      </w:r>
      <w:r w:rsidR="008440FE">
        <w:rPr>
          <w:rFonts w:ascii="Times New Roman" w:hAnsi="Times New Roman" w:cs="Times New Roman"/>
        </w:rPr>
        <w:t>he</w:t>
      </w:r>
      <w:r w:rsidR="00363FA0" w:rsidRPr="00363FA0">
        <w:rPr>
          <w:rFonts w:ascii="Times New Roman" w:hAnsi="Times New Roman" w:cs="Times New Roman"/>
        </w:rPr>
        <w:t xml:space="preserve"> finalized instrument comprised two primary domains: participant background characteristics and factors influencing BMP implementation decisions.</w:t>
      </w:r>
    </w:p>
    <w:p w14:paraId="28E6FE58" w14:textId="1690DCA1" w:rsidR="00F733D6" w:rsidRDefault="003744B1" w:rsidP="00F733D6">
      <w:pPr>
        <w:spacing w:line="240" w:lineRule="auto"/>
        <w:jc w:val="both"/>
        <w:rPr>
          <w:rFonts w:ascii="Times New Roman" w:hAnsi="Times New Roman" w:cs="Times New Roman"/>
        </w:rPr>
      </w:pPr>
      <w:r w:rsidRPr="003744B1">
        <w:rPr>
          <w:rFonts w:ascii="Times New Roman" w:hAnsi="Times New Roman" w:cs="Times New Roman"/>
          <w:b/>
          <w:bCs/>
        </w:rPr>
        <w:t xml:space="preserve">Data Processing </w:t>
      </w:r>
      <w:r>
        <w:rPr>
          <w:rFonts w:ascii="Times New Roman" w:hAnsi="Times New Roman" w:cs="Times New Roman"/>
          <w:b/>
          <w:bCs/>
        </w:rPr>
        <w:t xml:space="preserve">and </w:t>
      </w:r>
      <w:r w:rsidR="002533E8" w:rsidRPr="00595BBD">
        <w:rPr>
          <w:rFonts w:ascii="Times New Roman" w:hAnsi="Times New Roman" w:cs="Times New Roman"/>
          <w:b/>
          <w:bCs/>
        </w:rPr>
        <w:t>Analysis</w:t>
      </w:r>
      <w:r w:rsidR="002533E8">
        <w:rPr>
          <w:rFonts w:ascii="Times New Roman" w:hAnsi="Times New Roman" w:cs="Times New Roman"/>
        </w:rPr>
        <w:t xml:space="preserve">: </w:t>
      </w:r>
      <w:r w:rsidR="00C418F5">
        <w:rPr>
          <w:rFonts w:ascii="Times New Roman" w:hAnsi="Times New Roman" w:cs="Times New Roman"/>
        </w:rPr>
        <w:t>Interview data were first transcribed verbatim using digital transcription software and repeatedly read to become familiar. Thematic analysis (Braun &amp; Clarke, 2006, 2015) was used, moving systematically from open to axial to selective coding. An inductive–deductive approach guided the process. While initial codes emerged naturally, they were later mapped to constructs from the study’s theoretical framework—Diffusion of Innovation (trialability and observability), Theory of Planned Behavior (attitudes and perceived behavioral control), and Value–Belief–Norm Theory (environmental values and moral obligation). This ensured that the analysis was both grounded in participants’ genuine perspectives and informed by theory. To improve reliability, three coders independently analyzed a subset of transcripts, compared interpretations, and refined the codebook together. Emergent themes were then interpreted within broader socio-cultural and economic contexts. Findings are presented through narrative synthesis, incorporating direct in vivo quotations to retain participants’ voices while explicitly linking themes to DOI, TPB, and VBN constructs.</w:t>
      </w:r>
    </w:p>
    <w:p w14:paraId="1F91425D" w14:textId="1DCCD887" w:rsidR="009E349A" w:rsidRPr="00595BBD" w:rsidRDefault="00945316" w:rsidP="00F733D6">
      <w:pPr>
        <w:spacing w:line="240" w:lineRule="auto"/>
        <w:jc w:val="both"/>
        <w:rPr>
          <w:rFonts w:ascii="Times New Roman" w:hAnsi="Times New Roman" w:cs="Times New Roman"/>
        </w:rPr>
      </w:pPr>
      <w:r w:rsidRPr="00945316">
        <w:rPr>
          <w:rFonts w:ascii="Times New Roman" w:hAnsi="Times New Roman" w:cs="Times New Roman"/>
          <w:b/>
          <w:bCs/>
        </w:rPr>
        <w:t>Research Quality and Reliability</w:t>
      </w:r>
      <w:r w:rsidR="002533E8">
        <w:rPr>
          <w:rFonts w:ascii="Times New Roman" w:hAnsi="Times New Roman" w:cs="Times New Roman"/>
        </w:rPr>
        <w:t xml:space="preserve">: </w:t>
      </w:r>
      <w:r w:rsidR="005A6B2C">
        <w:rPr>
          <w:rFonts w:ascii="Times New Roman" w:hAnsi="Times New Roman" w:cs="Times New Roman"/>
        </w:rPr>
        <w:t>The</w:t>
      </w:r>
      <w:r w:rsidR="00FC5811" w:rsidRPr="00FC5811">
        <w:rPr>
          <w:rFonts w:ascii="Times New Roman" w:hAnsi="Times New Roman" w:cs="Times New Roman"/>
        </w:rPr>
        <w:t xml:space="preserve"> trustworthiness </w:t>
      </w:r>
      <w:r w:rsidR="005A6B2C">
        <w:rPr>
          <w:rFonts w:ascii="Times New Roman" w:hAnsi="Times New Roman" w:cs="Times New Roman"/>
        </w:rPr>
        <w:t xml:space="preserve">of the study </w:t>
      </w:r>
      <w:r w:rsidR="00FC5811" w:rsidRPr="00FC5811">
        <w:rPr>
          <w:rFonts w:ascii="Times New Roman" w:hAnsi="Times New Roman" w:cs="Times New Roman"/>
        </w:rPr>
        <w:t xml:space="preserve">was established using Lincoln and Guba's (1985) four-criterion framework: transferability, dependability, confirmability, and credibility. Transferability was addressed through strategic sampling approaches and comprehensive contextual descriptions supported by participant verbatim excerpts. Dependability was maintained through detailed documentation of collection procedures and comprehensive audit documentation, including analytical memos throughout the research process, providing transparent reporting of </w:t>
      </w:r>
      <w:r w:rsidR="00FC5811" w:rsidRPr="00FC5811">
        <w:rPr>
          <w:rFonts w:ascii="Times New Roman" w:hAnsi="Times New Roman" w:cs="Times New Roman"/>
        </w:rPr>
        <w:lastRenderedPageBreak/>
        <w:t xml:space="preserve">analytical procedures and interpretive reasoning leading to final thematic structures (Shenton, 2004; </w:t>
      </w:r>
      <w:proofErr w:type="spellStart"/>
      <w:r w:rsidR="00FC5811" w:rsidRPr="00FC5811">
        <w:rPr>
          <w:rFonts w:ascii="Times New Roman" w:hAnsi="Times New Roman" w:cs="Times New Roman"/>
        </w:rPr>
        <w:t>Korstjens</w:t>
      </w:r>
      <w:proofErr w:type="spellEnd"/>
      <w:r w:rsidR="00FC5811" w:rsidRPr="00FC5811">
        <w:rPr>
          <w:rFonts w:ascii="Times New Roman" w:hAnsi="Times New Roman" w:cs="Times New Roman"/>
        </w:rPr>
        <w:t xml:space="preserve"> &amp; Moser, 2018). Confirmability was achieved through methodological triangulation, comparing interview findings with existing literature, field observations during selected farm visits, and multiple-coder analysis to establish inter-rater agreement. Credibility was ensured through expert panel review of the interview protocol to validate </w:t>
      </w:r>
      <w:r w:rsidR="00425E21">
        <w:rPr>
          <w:rFonts w:ascii="Times New Roman" w:hAnsi="Times New Roman" w:cs="Times New Roman"/>
        </w:rPr>
        <w:t>the</w:t>
      </w:r>
      <w:r w:rsidR="00FC5811" w:rsidRPr="00FC5811">
        <w:rPr>
          <w:rFonts w:ascii="Times New Roman" w:hAnsi="Times New Roman" w:cs="Times New Roman"/>
        </w:rPr>
        <w:t xml:space="preserve"> appropriateness </w:t>
      </w:r>
      <w:r w:rsidR="00425E21">
        <w:rPr>
          <w:rFonts w:ascii="Times New Roman" w:hAnsi="Times New Roman" w:cs="Times New Roman"/>
        </w:rPr>
        <w:t xml:space="preserve">of questions </w:t>
      </w:r>
      <w:r w:rsidR="00FC5811" w:rsidRPr="00FC5811">
        <w:rPr>
          <w:rFonts w:ascii="Times New Roman" w:hAnsi="Times New Roman" w:cs="Times New Roman"/>
        </w:rPr>
        <w:t>before data collection commenced.</w:t>
      </w:r>
      <w:r w:rsidR="002533E8" w:rsidRPr="00595BBD">
        <w:rPr>
          <w:rFonts w:ascii="Times New Roman" w:hAnsi="Times New Roman" w:cs="Times New Roman"/>
        </w:rPr>
        <w:t xml:space="preserve"> </w:t>
      </w:r>
    </w:p>
    <w:p w14:paraId="22ABAA27" w14:textId="77777777" w:rsidR="009E349A" w:rsidRPr="008A7AB5" w:rsidRDefault="009E349A" w:rsidP="009E349A">
      <w:pPr>
        <w:spacing w:after="0" w:line="240" w:lineRule="auto"/>
        <w:jc w:val="center"/>
        <w:rPr>
          <w:rFonts w:ascii="Times New Roman" w:hAnsi="Times New Roman" w:cs="Times New Roman"/>
          <w:b/>
          <w:bCs/>
        </w:rPr>
      </w:pPr>
      <w:r>
        <w:rPr>
          <w:rFonts w:ascii="Times New Roman" w:hAnsi="Times New Roman" w:cs="Times New Roman"/>
          <w:b/>
          <w:bCs/>
        </w:rPr>
        <w:t>Results</w:t>
      </w:r>
      <w:r w:rsidRPr="008A7AB5">
        <w:rPr>
          <w:rFonts w:ascii="Times New Roman" w:hAnsi="Times New Roman" w:cs="Times New Roman"/>
          <w:b/>
          <w:bCs/>
        </w:rPr>
        <w:t xml:space="preserve"> and Discussion</w:t>
      </w:r>
    </w:p>
    <w:p w14:paraId="2EAB4EC5" w14:textId="2CEA3113" w:rsidR="009E349A" w:rsidRPr="00CF05F4" w:rsidRDefault="00E3422A" w:rsidP="009E349A">
      <w:pPr>
        <w:spacing w:line="240" w:lineRule="auto"/>
        <w:jc w:val="both"/>
        <w:rPr>
          <w:rFonts w:ascii="Times New Roman" w:hAnsi="Times New Roman" w:cs="Times New Roman"/>
        </w:rPr>
      </w:pPr>
      <w:r w:rsidRPr="00E3422A">
        <w:rPr>
          <w:rFonts w:ascii="Times New Roman" w:hAnsi="Times New Roman" w:cs="Times New Roman"/>
        </w:rPr>
        <w:t>Thematic analysis of interview data revealed five key themes representing the major challenges faced by farmers in adopting Best Management Practices (BMPs) for water conservation. These findings illuminate the complex interplay between individual farm constraints and broader systemic barriers.</w:t>
      </w:r>
    </w:p>
    <w:p w14:paraId="7CF9A2AC" w14:textId="48968C8A" w:rsidR="009E349A" w:rsidRPr="00302D77" w:rsidRDefault="5E520580" w:rsidP="2FBEF36B">
      <w:pPr>
        <w:spacing w:line="240" w:lineRule="auto"/>
        <w:jc w:val="both"/>
        <w:rPr>
          <w:rFonts w:ascii="Times New Roman" w:hAnsi="Times New Roman" w:cs="Times New Roman"/>
        </w:rPr>
      </w:pPr>
      <w:r w:rsidRPr="2FBEF36B">
        <w:rPr>
          <w:rFonts w:ascii="Times New Roman" w:hAnsi="Times New Roman" w:cs="Times New Roman"/>
          <w:b/>
          <w:bCs/>
        </w:rPr>
        <w:t>Economic Infeasibility:</w:t>
      </w:r>
      <w:r w:rsidRPr="2FBEF36B">
        <w:rPr>
          <w:rFonts w:ascii="Times New Roman" w:hAnsi="Times New Roman" w:cs="Times New Roman"/>
        </w:rPr>
        <w:t xml:space="preserve"> A </w:t>
      </w:r>
      <w:r w:rsidRPr="003C17AC">
        <w:rPr>
          <w:rFonts w:ascii="Times New Roman" w:hAnsi="Times New Roman" w:cs="Times New Roman"/>
          <w:color w:val="000000" w:themeColor="text1"/>
        </w:rPr>
        <w:t xml:space="preserve">central barrier to BMP adoption was the perceived financial burden. </w:t>
      </w:r>
      <w:r w:rsidR="000B08FF" w:rsidRPr="003C17AC">
        <w:rPr>
          <w:rFonts w:ascii="Times New Roman" w:hAnsi="Times New Roman" w:cs="Times New Roman"/>
          <w:color w:val="000000" w:themeColor="text1"/>
        </w:rPr>
        <w:t xml:space="preserve">Although participants showed positive attitudes toward conservation, their perceived behavioral control (TPB) was restricted by the high costs of equipment, materials, and yield risks. </w:t>
      </w:r>
      <w:r w:rsidRPr="003C17AC">
        <w:rPr>
          <w:rFonts w:ascii="Times New Roman" w:hAnsi="Times New Roman" w:cs="Times New Roman"/>
          <w:color w:val="000000" w:themeColor="text1"/>
        </w:rPr>
        <w:t xml:space="preserve">For small and mid-sized farms, the initial investment often exceeded their capacity, reducing their sense of control over the adoption decision. As one farmer explained, </w:t>
      </w:r>
      <w:r w:rsidRPr="003C17AC">
        <w:rPr>
          <w:rFonts w:ascii="Times New Roman" w:hAnsi="Times New Roman" w:cs="Times New Roman"/>
          <w:i/>
          <w:iCs/>
          <w:color w:val="000000" w:themeColor="text1"/>
        </w:rPr>
        <w:t>“Too expensive for me, but the big guys can afford it. The little guys can’t afford it yet.”</w:t>
      </w:r>
      <w:r w:rsidRPr="003C17AC">
        <w:rPr>
          <w:rFonts w:ascii="Times New Roman" w:hAnsi="Times New Roman" w:cs="Times New Roman"/>
          <w:color w:val="000000" w:themeColor="text1"/>
        </w:rPr>
        <w:t xml:space="preserve"> Similarly, uncertainty about short-term yield reductions discouraged adoption, reflecting </w:t>
      </w:r>
      <w:r w:rsidR="00864D5B" w:rsidRPr="003C17AC">
        <w:rPr>
          <w:rFonts w:ascii="Times New Roman" w:hAnsi="Times New Roman" w:cs="Times New Roman"/>
          <w:color w:val="000000" w:themeColor="text1"/>
        </w:rPr>
        <w:t xml:space="preserve">the </w:t>
      </w:r>
      <w:r w:rsidRPr="003C17AC">
        <w:rPr>
          <w:rFonts w:ascii="Times New Roman" w:hAnsi="Times New Roman" w:cs="Times New Roman"/>
          <w:color w:val="000000" w:themeColor="text1"/>
        </w:rPr>
        <w:t>DOI’s concept of trialability</w:t>
      </w:r>
      <w:r w:rsidR="00864D5B" w:rsidRPr="003C17AC">
        <w:rPr>
          <w:rFonts w:ascii="Times New Roman" w:hAnsi="Times New Roman" w:cs="Times New Roman"/>
          <w:color w:val="000000" w:themeColor="text1"/>
        </w:rPr>
        <w:t xml:space="preserve">; </w:t>
      </w:r>
      <w:r w:rsidRPr="003C17AC">
        <w:rPr>
          <w:rFonts w:ascii="Times New Roman" w:hAnsi="Times New Roman" w:cs="Times New Roman"/>
          <w:color w:val="000000" w:themeColor="text1"/>
        </w:rPr>
        <w:t xml:space="preserve">farmers were hesitant to adopt without evidence that early implementation risks could be overcome. As one participant noted, </w:t>
      </w:r>
      <w:r w:rsidRPr="003C17AC">
        <w:rPr>
          <w:rFonts w:ascii="Times New Roman" w:hAnsi="Times New Roman" w:cs="Times New Roman"/>
          <w:i/>
          <w:iCs/>
          <w:color w:val="000000" w:themeColor="text1"/>
        </w:rPr>
        <w:t xml:space="preserve">“So the first two years we might have seen </w:t>
      </w:r>
      <w:r w:rsidRPr="2FBEF36B">
        <w:rPr>
          <w:rFonts w:ascii="Times New Roman" w:hAnsi="Times New Roman" w:cs="Times New Roman"/>
          <w:i/>
          <w:iCs/>
        </w:rPr>
        <w:t>a little bit of a reduction challenge.”</w:t>
      </w:r>
      <w:r w:rsidRPr="2FBEF36B">
        <w:rPr>
          <w:rFonts w:ascii="Times New Roman" w:hAnsi="Times New Roman" w:cs="Times New Roman"/>
        </w:rPr>
        <w:t xml:space="preserve"> </w:t>
      </w:r>
      <w:r w:rsidR="4824EB7D" w:rsidRPr="2FBEF36B">
        <w:rPr>
          <w:rFonts w:ascii="Times New Roman" w:hAnsi="Times New Roman" w:cs="Times New Roman"/>
        </w:rPr>
        <w:t>Roesch-McNally et al. (2017) found that yield uncertainty discouraged cover-crop use, even when farmers were environmentally motivated.</w:t>
      </w:r>
    </w:p>
    <w:p w14:paraId="4CEB59F4" w14:textId="2EE1A8D9" w:rsidR="00A346E7" w:rsidRPr="00302D77" w:rsidRDefault="009E349A" w:rsidP="2FBEF36B">
      <w:pPr>
        <w:spacing w:line="240" w:lineRule="auto"/>
        <w:jc w:val="both"/>
        <w:rPr>
          <w:rFonts w:ascii="Times New Roman" w:hAnsi="Times New Roman" w:cs="Times New Roman"/>
        </w:rPr>
      </w:pPr>
      <w:r w:rsidRPr="2FBEF36B">
        <w:rPr>
          <w:rFonts w:ascii="Times New Roman" w:hAnsi="Times New Roman" w:cs="Times New Roman"/>
          <w:b/>
          <w:bCs/>
        </w:rPr>
        <w:t>Knowledge Gaps and Cognitive Dissonance</w:t>
      </w:r>
      <w:r w:rsidRPr="2FBEF36B">
        <w:rPr>
          <w:rFonts w:ascii="Times New Roman" w:hAnsi="Times New Roman" w:cs="Times New Roman"/>
        </w:rPr>
        <w:t xml:space="preserve">: </w:t>
      </w:r>
      <w:r w:rsidR="00A346E7" w:rsidRPr="2FBEF36B">
        <w:rPr>
          <w:rFonts w:ascii="Times New Roman" w:hAnsi="Times New Roman" w:cs="Times New Roman"/>
        </w:rPr>
        <w:t xml:space="preserve">Farmers frequently described </w:t>
      </w:r>
      <w:r w:rsidR="00864D5B">
        <w:rPr>
          <w:rFonts w:ascii="Times New Roman" w:hAnsi="Times New Roman" w:cs="Times New Roman"/>
        </w:rPr>
        <w:t xml:space="preserve">a </w:t>
      </w:r>
      <w:r w:rsidR="00A346E7" w:rsidRPr="2FBEF36B">
        <w:rPr>
          <w:rFonts w:ascii="Times New Roman" w:hAnsi="Times New Roman" w:cs="Times New Roman"/>
        </w:rPr>
        <w:t xml:space="preserve">limited understanding of how and why BMPs function, which constrained adoption. </w:t>
      </w:r>
      <w:r w:rsidR="00864D5B">
        <w:rPr>
          <w:rFonts w:ascii="Times New Roman" w:hAnsi="Times New Roman" w:cs="Times New Roman"/>
        </w:rPr>
        <w:t xml:space="preserve">From a Diffusion of Innovation perspective, this highlights the importance of knowledge as the initial stage of adoption—without clear awareness and understanding, farmers found it difficult to move toward trial or implementation. As one participant emphasized, </w:t>
      </w:r>
      <w:r w:rsidR="00A346E7" w:rsidRPr="2FBEF36B">
        <w:rPr>
          <w:rFonts w:ascii="Times New Roman" w:hAnsi="Times New Roman" w:cs="Times New Roman"/>
          <w:i/>
          <w:iCs/>
        </w:rPr>
        <w:t>“They need more education to know why they are doing it. I’ve started with the education part first.”</w:t>
      </w:r>
      <w:r w:rsidR="00A346E7" w:rsidRPr="2FBEF36B">
        <w:rPr>
          <w:rFonts w:ascii="Times New Roman" w:hAnsi="Times New Roman" w:cs="Times New Roman"/>
        </w:rPr>
        <w:t xml:space="preserve"> </w:t>
      </w:r>
      <w:r w:rsidR="0049295D">
        <w:rPr>
          <w:rFonts w:ascii="Times New Roman" w:hAnsi="Times New Roman" w:cs="Times New Roman"/>
        </w:rPr>
        <w:t xml:space="preserve">This aligns with the Theory of Planned Behavior’s construct of attitudes: when practices are encouraged without sufficient explanation or apparent success, attitudes become mixed or negative, decreasing willingness to adopt. </w:t>
      </w:r>
    </w:p>
    <w:p w14:paraId="32C96C0A" w14:textId="7330E732" w:rsidR="00A346E7" w:rsidRPr="00302D77" w:rsidRDefault="009E349A" w:rsidP="2FBEF36B">
      <w:pPr>
        <w:spacing w:line="240" w:lineRule="auto"/>
        <w:jc w:val="both"/>
        <w:rPr>
          <w:rFonts w:ascii="Times New Roman" w:hAnsi="Times New Roman" w:cs="Times New Roman"/>
        </w:rPr>
      </w:pPr>
      <w:r w:rsidRPr="2FBEF36B">
        <w:rPr>
          <w:rFonts w:ascii="Times New Roman" w:hAnsi="Times New Roman" w:cs="Times New Roman"/>
          <w:b/>
          <w:bCs/>
        </w:rPr>
        <w:t>Institutional and Policy-Level Constraints</w:t>
      </w:r>
      <w:r w:rsidRPr="2FBEF36B">
        <w:rPr>
          <w:rFonts w:ascii="Times New Roman" w:hAnsi="Times New Roman" w:cs="Times New Roman"/>
        </w:rPr>
        <w:t xml:space="preserve">: </w:t>
      </w:r>
      <w:r w:rsidR="00A346E7" w:rsidRPr="2FBEF36B">
        <w:rPr>
          <w:rFonts w:ascii="Times New Roman" w:hAnsi="Times New Roman" w:cs="Times New Roman"/>
        </w:rPr>
        <w:t xml:space="preserve">Farmers emphasized that policy-related barriers shaped their ability and willingness to adopt BMPs. </w:t>
      </w:r>
      <w:r w:rsidR="0049295D">
        <w:rPr>
          <w:rFonts w:ascii="Times New Roman" w:hAnsi="Times New Roman" w:cs="Times New Roman"/>
        </w:rPr>
        <w:t xml:space="preserve">In the Theory of Planned Behavior, these constraints directly reduce perceived behavioral control: when funding is delayed or unavailable, farmers feel they lack the resources needed to act, regardless of their positive attitudes toward conservation. </w:t>
      </w:r>
      <w:r w:rsidR="00A346E7" w:rsidRPr="2FBEF36B">
        <w:rPr>
          <w:rFonts w:ascii="Times New Roman" w:hAnsi="Times New Roman" w:cs="Times New Roman"/>
        </w:rPr>
        <w:t xml:space="preserve">One farmer expressed: </w:t>
      </w:r>
      <w:r w:rsidR="00A346E7" w:rsidRPr="2FBEF36B">
        <w:rPr>
          <w:rFonts w:ascii="Times New Roman" w:hAnsi="Times New Roman" w:cs="Times New Roman"/>
          <w:i/>
          <w:iCs/>
        </w:rPr>
        <w:t>“Maryland pays farmers to put cover crops in, and we’re sitting on the border, and there is no funding here.”</w:t>
      </w:r>
      <w:r w:rsidR="00A346E7" w:rsidRPr="2FBEF36B">
        <w:rPr>
          <w:rFonts w:ascii="Times New Roman" w:hAnsi="Times New Roman" w:cs="Times New Roman"/>
        </w:rPr>
        <w:t xml:space="preserve"> </w:t>
      </w:r>
      <w:r w:rsidR="00AF2A50">
        <w:rPr>
          <w:rFonts w:ascii="Times New Roman" w:hAnsi="Times New Roman" w:cs="Times New Roman"/>
        </w:rPr>
        <w:t xml:space="preserve">Such disparities also relate to Diffusion of Innovation’s concept of system support and reinvention: adoption slows down when institutional systems do not provide consistent or timely reinforcement. </w:t>
      </w:r>
      <w:r w:rsidR="00A346E7" w:rsidRPr="2FBEF36B">
        <w:rPr>
          <w:rFonts w:ascii="Times New Roman" w:hAnsi="Times New Roman" w:cs="Times New Roman"/>
        </w:rPr>
        <w:t xml:space="preserve">As another participant described, </w:t>
      </w:r>
      <w:r w:rsidR="00A346E7" w:rsidRPr="2FBEF36B">
        <w:rPr>
          <w:rFonts w:ascii="Times New Roman" w:hAnsi="Times New Roman" w:cs="Times New Roman"/>
          <w:i/>
          <w:iCs/>
        </w:rPr>
        <w:t>“But the problem was, it took almost 3 years for that funding to become actually real,”</w:t>
      </w:r>
      <w:r w:rsidR="00A346E7" w:rsidRPr="2FBEF36B">
        <w:rPr>
          <w:rFonts w:ascii="Times New Roman" w:hAnsi="Times New Roman" w:cs="Times New Roman"/>
        </w:rPr>
        <w:t xml:space="preserve"> illustrating how bureaucratic delays erode trust in conservation programs. </w:t>
      </w:r>
      <w:r w:rsidR="00D57FCA" w:rsidRPr="2FBEF36B">
        <w:rPr>
          <w:rFonts w:ascii="Times New Roman" w:hAnsi="Times New Roman" w:cs="Times New Roman"/>
        </w:rPr>
        <w:t>These challenges highlight broader issues of fragmented governance, which Reimer and Prokopy (2014) identified as limiting the effectiveness of conservation policies on the ground.</w:t>
      </w:r>
    </w:p>
    <w:p w14:paraId="6A3D70F3" w14:textId="25F4F2B6" w:rsidR="00D57FCA" w:rsidRPr="00302D77" w:rsidRDefault="009E349A" w:rsidP="2FBEF36B">
      <w:pPr>
        <w:spacing w:line="240" w:lineRule="auto"/>
        <w:jc w:val="both"/>
        <w:rPr>
          <w:rFonts w:ascii="Times New Roman" w:hAnsi="Times New Roman" w:cs="Times New Roman"/>
        </w:rPr>
      </w:pPr>
      <w:r w:rsidRPr="2FBEF36B">
        <w:rPr>
          <w:rFonts w:ascii="Times New Roman" w:hAnsi="Times New Roman" w:cs="Times New Roman"/>
          <w:b/>
          <w:bCs/>
        </w:rPr>
        <w:t>Socio-Cultural Resistance</w:t>
      </w:r>
      <w:r w:rsidRPr="2FBEF36B">
        <w:rPr>
          <w:rFonts w:ascii="Times New Roman" w:hAnsi="Times New Roman" w:cs="Times New Roman"/>
        </w:rPr>
        <w:t xml:space="preserve">: </w:t>
      </w:r>
      <w:r w:rsidR="00D57FCA" w:rsidRPr="2FBEF36B">
        <w:rPr>
          <w:rFonts w:ascii="Times New Roman" w:hAnsi="Times New Roman" w:cs="Times New Roman"/>
        </w:rPr>
        <w:t xml:space="preserve">Farmers described how community norms and peer expectations shaped their willingness to adopt conservation practices. </w:t>
      </w:r>
      <w:r w:rsidR="003B058E">
        <w:rPr>
          <w:rFonts w:ascii="Times New Roman" w:hAnsi="Times New Roman" w:cs="Times New Roman"/>
        </w:rPr>
        <w:t xml:space="preserve">In the Theory of Planned Behavior, these dynamics illustrate the influence of subjective norms: farmers hesitated to adopt BMPs when they feared negative judgment from neighbors or family members. </w:t>
      </w:r>
      <w:r w:rsidR="00D57FCA" w:rsidRPr="2FBEF36B">
        <w:rPr>
          <w:rFonts w:ascii="Times New Roman" w:hAnsi="Times New Roman" w:cs="Times New Roman"/>
        </w:rPr>
        <w:t>As one participant explained</w:t>
      </w:r>
      <w:r w:rsidR="00D57FCA" w:rsidRPr="2FBEF36B">
        <w:rPr>
          <w:rFonts w:ascii="Times New Roman" w:hAnsi="Times New Roman" w:cs="Times New Roman"/>
          <w:i/>
          <w:iCs/>
        </w:rPr>
        <w:t xml:space="preserve">, “Yeah, my </w:t>
      </w:r>
      <w:r w:rsidR="00D57FCA" w:rsidRPr="2FBEF36B">
        <w:rPr>
          <w:rFonts w:ascii="Times New Roman" w:hAnsi="Times New Roman" w:cs="Times New Roman"/>
          <w:i/>
          <w:iCs/>
        </w:rPr>
        <w:lastRenderedPageBreak/>
        <w:t>brother does some… he’s not no-till. And I can’t torment him because he’s got to learn himself… his neighbors, he’s afraid the neighbors will laugh at him.”</w:t>
      </w:r>
      <w:r w:rsidR="00D57FCA" w:rsidRPr="2FBEF36B">
        <w:rPr>
          <w:rFonts w:ascii="Times New Roman" w:hAnsi="Times New Roman" w:cs="Times New Roman"/>
        </w:rPr>
        <w:t xml:space="preserve"> </w:t>
      </w:r>
      <w:r w:rsidR="003B058E">
        <w:rPr>
          <w:rFonts w:ascii="Times New Roman" w:hAnsi="Times New Roman" w:cs="Times New Roman"/>
        </w:rPr>
        <w:t xml:space="preserve">Similarly, another farmer pointed out how public perception of yields influenced decisions: </w:t>
      </w:r>
      <w:r w:rsidR="00D57FCA" w:rsidRPr="2FBEF36B">
        <w:rPr>
          <w:rFonts w:ascii="Times New Roman" w:hAnsi="Times New Roman" w:cs="Times New Roman"/>
          <w:i/>
          <w:iCs/>
        </w:rPr>
        <w:t>“It’s a public perception… his crop might not be stacking up against the other, so he never started.”</w:t>
      </w:r>
      <w:r w:rsidR="00D57FCA" w:rsidRPr="2FBEF36B">
        <w:rPr>
          <w:rFonts w:ascii="Times New Roman" w:hAnsi="Times New Roman" w:cs="Times New Roman"/>
        </w:rPr>
        <w:t xml:space="preserve"> These social dynamics support Reimer and Prokopy's (2014) finding that conservation decisions are shaped not only by economics and policy but also by social acceptability within farming communities.</w:t>
      </w:r>
    </w:p>
    <w:p w14:paraId="59DBE518" w14:textId="349E6592" w:rsidR="00D57FCA" w:rsidRDefault="009E349A" w:rsidP="2FBEF36B">
      <w:pPr>
        <w:spacing w:line="240" w:lineRule="auto"/>
        <w:jc w:val="both"/>
        <w:rPr>
          <w:rFonts w:ascii="Times New Roman" w:hAnsi="Times New Roman" w:cs="Times New Roman"/>
        </w:rPr>
      </w:pPr>
      <w:r w:rsidRPr="2FBEF36B">
        <w:rPr>
          <w:rFonts w:ascii="Times New Roman" w:hAnsi="Times New Roman" w:cs="Times New Roman"/>
          <w:b/>
          <w:bCs/>
        </w:rPr>
        <w:t>Logistical and Ecological Implementation Issues</w:t>
      </w:r>
      <w:r w:rsidRPr="2FBEF36B">
        <w:rPr>
          <w:rFonts w:ascii="Times New Roman" w:hAnsi="Times New Roman" w:cs="Times New Roman"/>
        </w:rPr>
        <w:t xml:space="preserve">: </w:t>
      </w:r>
      <w:r w:rsidR="00D57FCA" w:rsidRPr="2FBEF36B">
        <w:rPr>
          <w:rFonts w:ascii="Times New Roman" w:hAnsi="Times New Roman" w:cs="Times New Roman"/>
        </w:rPr>
        <w:t xml:space="preserve">Farmers highlighted hands-on challenges that constrained BMP adoption. </w:t>
      </w:r>
      <w:r w:rsidR="004E097A">
        <w:rPr>
          <w:rFonts w:ascii="Times New Roman" w:hAnsi="Times New Roman" w:cs="Times New Roman"/>
        </w:rPr>
        <w:t xml:space="preserve">The Theory of Planned Behavior indicates that these challenges diminish perceived behavioral control. </w:t>
      </w:r>
      <w:r w:rsidR="00D57FCA" w:rsidRPr="2FBEF36B">
        <w:rPr>
          <w:rFonts w:ascii="Times New Roman" w:hAnsi="Times New Roman" w:cs="Times New Roman"/>
        </w:rPr>
        <w:t xml:space="preserve">As one farmer noted, </w:t>
      </w:r>
      <w:r w:rsidR="00D57FCA" w:rsidRPr="2FBEF36B">
        <w:rPr>
          <w:rFonts w:ascii="Times New Roman" w:hAnsi="Times New Roman" w:cs="Times New Roman"/>
          <w:i/>
          <w:iCs/>
        </w:rPr>
        <w:t>“It's [cover cropping] always a challenge because it's extra work,”</w:t>
      </w:r>
      <w:r w:rsidR="00D57FCA" w:rsidRPr="2FBEF36B">
        <w:rPr>
          <w:rFonts w:ascii="Times New Roman" w:hAnsi="Times New Roman" w:cs="Times New Roman"/>
        </w:rPr>
        <w:t xml:space="preserve"> and another added, </w:t>
      </w:r>
      <w:r w:rsidR="00D57FCA" w:rsidRPr="2FBEF36B">
        <w:rPr>
          <w:rFonts w:ascii="Times New Roman" w:hAnsi="Times New Roman" w:cs="Times New Roman"/>
          <w:i/>
          <w:iCs/>
        </w:rPr>
        <w:t>“The problem with it [cover cropping] sometimes is trying to incorporate the timetable of the crop farmers.”</w:t>
      </w:r>
      <w:r w:rsidR="00D57FCA" w:rsidRPr="2FBEF36B">
        <w:rPr>
          <w:rFonts w:ascii="Times New Roman" w:hAnsi="Times New Roman" w:cs="Times New Roman"/>
        </w:rPr>
        <w:t xml:space="preserve"> </w:t>
      </w:r>
      <w:r w:rsidR="004E097A">
        <w:rPr>
          <w:rFonts w:ascii="Times New Roman" w:hAnsi="Times New Roman" w:cs="Times New Roman"/>
        </w:rPr>
        <w:t>From a Diffusion of Innovation perspective, these logistical hurdles impact trialability and complexity, delaying the adoption process. One participant explained,</w:t>
      </w:r>
      <w:r w:rsidR="00D57FCA" w:rsidRPr="2FBEF36B">
        <w:rPr>
          <w:rFonts w:ascii="Times New Roman" w:hAnsi="Times New Roman" w:cs="Times New Roman"/>
          <w:color w:val="FF0000"/>
        </w:rPr>
        <w:t xml:space="preserve"> </w:t>
      </w:r>
      <w:r w:rsidR="00D57FCA" w:rsidRPr="2FBEF36B">
        <w:rPr>
          <w:rFonts w:ascii="Times New Roman" w:hAnsi="Times New Roman" w:cs="Times New Roman"/>
          <w:i/>
          <w:iCs/>
        </w:rPr>
        <w:t>“There wasn’t ponding, and these riparian buffers were actually growing up with invasives… it was destroying actually an environment.”</w:t>
      </w:r>
      <w:r w:rsidR="00D57FCA" w:rsidRPr="2FBEF36B">
        <w:rPr>
          <w:rFonts w:ascii="Times New Roman" w:hAnsi="Times New Roman" w:cs="Times New Roman"/>
        </w:rPr>
        <w:t xml:space="preserve"> These findings support Liu et al. (2018), who emphasized that logistical burdens, environmental unpredictability, and technical complexity are central obstacles in conservation practice.</w:t>
      </w:r>
    </w:p>
    <w:p w14:paraId="7293FB2D" w14:textId="0DD25A39" w:rsidR="009E349A" w:rsidRPr="008A3CB9" w:rsidRDefault="009E349A" w:rsidP="00F733D6">
      <w:pPr>
        <w:spacing w:after="0" w:line="240" w:lineRule="auto"/>
        <w:jc w:val="center"/>
        <w:rPr>
          <w:rFonts w:ascii="Times New Roman" w:hAnsi="Times New Roman" w:cs="Times New Roman"/>
          <w:b/>
          <w:bCs/>
        </w:rPr>
      </w:pPr>
      <w:r w:rsidRPr="0276C376">
        <w:rPr>
          <w:rFonts w:ascii="Times New Roman" w:hAnsi="Times New Roman" w:cs="Times New Roman"/>
          <w:b/>
          <w:bCs/>
        </w:rPr>
        <w:t>Conclusion</w:t>
      </w:r>
      <w:r>
        <w:rPr>
          <w:rFonts w:ascii="Times New Roman" w:hAnsi="Times New Roman" w:cs="Times New Roman"/>
          <w:b/>
          <w:bCs/>
        </w:rPr>
        <w:t>s and Recommendations</w:t>
      </w:r>
    </w:p>
    <w:p w14:paraId="541CEEEA" w14:textId="72ED98C9" w:rsidR="00AD1A29" w:rsidRDefault="009E349A" w:rsidP="00F733D6">
      <w:pPr>
        <w:spacing w:after="0" w:line="240" w:lineRule="auto"/>
        <w:jc w:val="both"/>
        <w:rPr>
          <w:rFonts w:ascii="Times New Roman" w:hAnsi="Times New Roman" w:cs="Times New Roman"/>
        </w:rPr>
      </w:pPr>
      <w:r w:rsidRPr="125D8DEE">
        <w:rPr>
          <w:rFonts w:ascii="Times New Roman" w:hAnsi="Times New Roman" w:cs="Times New Roman"/>
        </w:rPr>
        <w:t xml:space="preserve">This study highlighted the multifaceted and </w:t>
      </w:r>
      <w:r>
        <w:rPr>
          <w:rFonts w:ascii="Times New Roman" w:hAnsi="Times New Roman" w:cs="Times New Roman"/>
        </w:rPr>
        <w:t>context-specific</w:t>
      </w:r>
      <w:r w:rsidRPr="125D8DEE">
        <w:rPr>
          <w:rFonts w:ascii="Times New Roman" w:hAnsi="Times New Roman" w:cs="Times New Roman"/>
        </w:rPr>
        <w:t xml:space="preserve"> challenges that hinder farmers in </w:t>
      </w:r>
      <w:r w:rsidR="009B3984">
        <w:rPr>
          <w:rFonts w:ascii="Times New Roman" w:hAnsi="Times New Roman" w:cs="Times New Roman"/>
        </w:rPr>
        <w:t xml:space="preserve">Pennsylvania </w:t>
      </w:r>
      <w:r w:rsidRPr="125D8DEE">
        <w:rPr>
          <w:rFonts w:ascii="Times New Roman" w:hAnsi="Times New Roman" w:cs="Times New Roman"/>
        </w:rPr>
        <w:t>from adopting Best Management Practices (BMPs) for water conservation.</w:t>
      </w:r>
      <w:r w:rsidR="006C3685">
        <w:rPr>
          <w:rFonts w:ascii="Times New Roman" w:hAnsi="Times New Roman" w:cs="Times New Roman"/>
        </w:rPr>
        <w:t xml:space="preserve"> </w:t>
      </w:r>
      <w:r w:rsidR="00BC3A6C" w:rsidRPr="00BC3A6C">
        <w:rPr>
          <w:rFonts w:ascii="Times New Roman" w:hAnsi="Times New Roman" w:cs="Times New Roman"/>
        </w:rPr>
        <w:t>Farmers' BMP adoption choices are influenced by intricate relationships among financial, social, regulatory, and operational factors that go far beyond basic economic evaluations</w:t>
      </w:r>
      <w:r w:rsidR="00AD1A29">
        <w:rPr>
          <w:rFonts w:ascii="Times New Roman" w:hAnsi="Times New Roman" w:cs="Times New Roman"/>
        </w:rPr>
        <w:t xml:space="preserve"> (cost-</w:t>
      </w:r>
      <w:r w:rsidR="00B323B1">
        <w:rPr>
          <w:rFonts w:ascii="Times New Roman" w:hAnsi="Times New Roman" w:cs="Times New Roman"/>
        </w:rPr>
        <w:t>benefit ratio)</w:t>
      </w:r>
      <w:r w:rsidR="00BC3A6C" w:rsidRPr="00BC3A6C">
        <w:rPr>
          <w:rFonts w:ascii="Times New Roman" w:hAnsi="Times New Roman" w:cs="Times New Roman"/>
        </w:rPr>
        <w:t xml:space="preserve">. Achieving meaningful water quality improvements demands comprehensive strategies that align policies between different governmental levels, deliver extensive technical assistance, close knowledge gaps through focused educational programs, and proactively transform local cultural attitudes that inhibit conservation adoption. The findings demonstrate that while technical BMP solutions exist, psychological, institutional, and cultural elements substantially influence implementation decisions. Failure to address these underlying systemic issues may prevent </w:t>
      </w:r>
      <w:r w:rsidR="001C7196">
        <w:rPr>
          <w:rFonts w:ascii="Times New Roman" w:hAnsi="Times New Roman" w:cs="Times New Roman"/>
        </w:rPr>
        <w:t>achieving</w:t>
      </w:r>
      <w:r w:rsidR="00BC3A6C" w:rsidRPr="00BC3A6C">
        <w:rPr>
          <w:rFonts w:ascii="Times New Roman" w:hAnsi="Times New Roman" w:cs="Times New Roman"/>
        </w:rPr>
        <w:t xml:space="preserve"> </w:t>
      </w:r>
      <w:r w:rsidR="001C7196">
        <w:rPr>
          <w:rFonts w:ascii="Times New Roman" w:hAnsi="Times New Roman" w:cs="Times New Roman"/>
        </w:rPr>
        <w:t xml:space="preserve">the </w:t>
      </w:r>
      <w:r w:rsidR="00BC3A6C" w:rsidRPr="00BC3A6C">
        <w:rPr>
          <w:rFonts w:ascii="Times New Roman" w:hAnsi="Times New Roman" w:cs="Times New Roman"/>
        </w:rPr>
        <w:t>Chesapeake Bay TMDL objectives.</w:t>
      </w:r>
    </w:p>
    <w:p w14:paraId="574F5697" w14:textId="4525BEFE" w:rsidR="009E349A" w:rsidRDefault="009E349A" w:rsidP="00302D77">
      <w:pPr>
        <w:spacing w:before="240" w:line="240" w:lineRule="auto"/>
        <w:jc w:val="both"/>
        <w:rPr>
          <w:rFonts w:ascii="Times New Roman" w:hAnsi="Times New Roman" w:cs="Times New Roman"/>
        </w:rPr>
      </w:pPr>
      <w:r w:rsidRPr="125D8DEE">
        <w:rPr>
          <w:rFonts w:ascii="Times New Roman" w:hAnsi="Times New Roman" w:cs="Times New Roman"/>
        </w:rPr>
        <w:t>Based on the study</w:t>
      </w:r>
      <w:r>
        <w:rPr>
          <w:rFonts w:ascii="Times New Roman" w:hAnsi="Times New Roman" w:cs="Times New Roman"/>
        </w:rPr>
        <w:t>,</w:t>
      </w:r>
      <w:r w:rsidRPr="125D8DEE">
        <w:rPr>
          <w:rFonts w:ascii="Times New Roman" w:hAnsi="Times New Roman" w:cs="Times New Roman"/>
        </w:rPr>
        <w:t xml:space="preserve"> we recommend </w:t>
      </w:r>
      <w:r>
        <w:rPr>
          <w:rFonts w:ascii="Times New Roman" w:hAnsi="Times New Roman" w:cs="Times New Roman"/>
        </w:rPr>
        <w:t xml:space="preserve">that </w:t>
      </w:r>
      <w:r w:rsidRPr="125D8DEE">
        <w:rPr>
          <w:rFonts w:ascii="Times New Roman" w:hAnsi="Times New Roman" w:cs="Times New Roman"/>
        </w:rPr>
        <w:t>the stakeholders focus on the following aspects</w:t>
      </w:r>
      <w:r>
        <w:rPr>
          <w:rFonts w:ascii="Times New Roman" w:hAnsi="Times New Roman" w:cs="Times New Roman"/>
        </w:rPr>
        <w:t>:</w:t>
      </w:r>
    </w:p>
    <w:p w14:paraId="19B9D34C" w14:textId="77777777" w:rsidR="009E349A" w:rsidRPr="00F461D1" w:rsidRDefault="009E349A" w:rsidP="009E349A">
      <w:pPr>
        <w:spacing w:after="0" w:line="240" w:lineRule="auto"/>
        <w:jc w:val="both"/>
        <w:rPr>
          <w:rFonts w:ascii="Times New Roman" w:hAnsi="Times New Roman" w:cs="Times New Roman"/>
        </w:rPr>
      </w:pPr>
      <w:r w:rsidRPr="00BA0AA4">
        <w:rPr>
          <w:rFonts w:ascii="Times New Roman" w:hAnsi="Times New Roman" w:cs="Times New Roman"/>
          <w:i/>
          <w:iCs/>
        </w:rPr>
        <w:t>Strengthen Financial Support and Risk Mitigation</w:t>
      </w:r>
      <w:r w:rsidRPr="00BA0AA4">
        <w:rPr>
          <w:rFonts w:ascii="Times New Roman" w:hAnsi="Times New Roman" w:cs="Times New Roman"/>
        </w:rPr>
        <w:t>:</w:t>
      </w:r>
      <w:r w:rsidRPr="00F461D1">
        <w:rPr>
          <w:rFonts w:ascii="Times New Roman" w:hAnsi="Times New Roman" w:cs="Times New Roman"/>
        </w:rPr>
        <w:t xml:space="preserve"> Expand cost-sharing programs with greater funding coverage, especially for small and mid-sized farms that often struggle to invest in BMPs. Streamline application and disbursement processes to reduce bureaucratic delays and build trust in funding programs. Establish yield-loss protection or transition subsidies to ease the financial risk during the early adoption</w:t>
      </w:r>
      <w:r>
        <w:rPr>
          <w:rFonts w:ascii="Times New Roman" w:hAnsi="Times New Roman" w:cs="Times New Roman"/>
        </w:rPr>
        <w:t>.</w:t>
      </w:r>
    </w:p>
    <w:p w14:paraId="08EBC86E" w14:textId="77777777" w:rsidR="009E349A" w:rsidRPr="00F461D1" w:rsidRDefault="009E349A" w:rsidP="009E349A">
      <w:pPr>
        <w:spacing w:after="0" w:line="240" w:lineRule="auto"/>
        <w:jc w:val="both"/>
        <w:rPr>
          <w:rFonts w:ascii="Times New Roman" w:hAnsi="Times New Roman" w:cs="Times New Roman"/>
        </w:rPr>
      </w:pPr>
      <w:r w:rsidRPr="00BA0AA4">
        <w:rPr>
          <w:rFonts w:ascii="Times New Roman" w:hAnsi="Times New Roman" w:cs="Times New Roman"/>
          <w:i/>
          <w:iCs/>
        </w:rPr>
        <w:t>Improve Policy Coordination and Administrative Efficiency</w:t>
      </w:r>
      <w:r w:rsidRPr="00BA0AA4">
        <w:rPr>
          <w:rFonts w:ascii="Times New Roman" w:hAnsi="Times New Roman" w:cs="Times New Roman"/>
        </w:rPr>
        <w:t>:</w:t>
      </w:r>
      <w:r w:rsidRPr="00F461D1">
        <w:rPr>
          <w:rFonts w:ascii="Times New Roman" w:hAnsi="Times New Roman" w:cs="Times New Roman"/>
        </w:rPr>
        <w:t xml:space="preserve"> Harmonize conservation incentives and support systems across neighboring states to remove cross-border disparities. Create more standardized and transparent conservation program guidelines to reduce confusion and promote equal access for all eligible farmers.</w:t>
      </w:r>
    </w:p>
    <w:p w14:paraId="5874D1D1" w14:textId="241A75FC" w:rsidR="009E349A" w:rsidRPr="00F461D1" w:rsidRDefault="009E349A" w:rsidP="009E349A">
      <w:pPr>
        <w:spacing w:after="0" w:line="240" w:lineRule="auto"/>
        <w:jc w:val="both"/>
        <w:rPr>
          <w:rFonts w:ascii="Times New Roman" w:hAnsi="Times New Roman" w:cs="Times New Roman"/>
        </w:rPr>
      </w:pPr>
      <w:r w:rsidRPr="00BA0AA4">
        <w:rPr>
          <w:rFonts w:ascii="Times New Roman" w:hAnsi="Times New Roman" w:cs="Times New Roman"/>
          <w:i/>
          <w:iCs/>
        </w:rPr>
        <w:t>Expand Education, Demonstration, and Farmer-to-Farmer Learning</w:t>
      </w:r>
      <w:r w:rsidRPr="00BA0AA4">
        <w:rPr>
          <w:rFonts w:ascii="Times New Roman" w:hAnsi="Times New Roman" w:cs="Times New Roman"/>
        </w:rPr>
        <w:t xml:space="preserve">: </w:t>
      </w:r>
      <w:r w:rsidR="00C95759" w:rsidRPr="00C95759">
        <w:rPr>
          <w:rFonts w:ascii="Times New Roman" w:hAnsi="Times New Roman" w:cs="Times New Roman"/>
        </w:rPr>
        <w:t>Develop comprehensive, practical training programs that provide detailed technical guidance on BMP implementation and maintenance.</w:t>
      </w:r>
      <w:r w:rsidR="00C95759">
        <w:rPr>
          <w:rFonts w:ascii="Times New Roman" w:hAnsi="Times New Roman" w:cs="Times New Roman"/>
        </w:rPr>
        <w:t xml:space="preserve"> </w:t>
      </w:r>
      <w:r w:rsidRPr="00F461D1">
        <w:rPr>
          <w:rFonts w:ascii="Times New Roman" w:hAnsi="Times New Roman" w:cs="Times New Roman"/>
        </w:rPr>
        <w:t>Develop farmer-led demonstration sites and peer-to-peer learning networks to showcase real-world results and build local credibility.</w:t>
      </w:r>
    </w:p>
    <w:p w14:paraId="79E9B89C" w14:textId="24C8C55A" w:rsidR="00F733D6" w:rsidRPr="00302D77" w:rsidRDefault="009E349A" w:rsidP="00302D77">
      <w:pPr>
        <w:spacing w:line="240" w:lineRule="auto"/>
        <w:jc w:val="both"/>
        <w:rPr>
          <w:rFonts w:ascii="Times New Roman" w:hAnsi="Times New Roman" w:cs="Times New Roman"/>
        </w:rPr>
      </w:pPr>
      <w:r w:rsidRPr="00BA0AA4">
        <w:rPr>
          <w:rFonts w:ascii="Times New Roman" w:hAnsi="Times New Roman" w:cs="Times New Roman"/>
          <w:i/>
          <w:iCs/>
        </w:rPr>
        <w:t>Future Research</w:t>
      </w:r>
      <w:r w:rsidRPr="00BA0AA4">
        <w:rPr>
          <w:rFonts w:ascii="Times New Roman" w:hAnsi="Times New Roman" w:cs="Times New Roman"/>
        </w:rPr>
        <w:t xml:space="preserve">: </w:t>
      </w:r>
      <w:r w:rsidRPr="00F461D1">
        <w:rPr>
          <w:rFonts w:ascii="Times New Roman" w:hAnsi="Times New Roman" w:cs="Times New Roman"/>
        </w:rPr>
        <w:t>Future studies should quantify the identified barriers, assess the effectiveness of targeted interventions, and explore the influence of social networks and policy variations on BMP adoption.</w:t>
      </w:r>
    </w:p>
    <w:p w14:paraId="5872F97B" w14:textId="1CAB7D11" w:rsidR="00E625EE" w:rsidRPr="0006090B" w:rsidRDefault="00E625EE" w:rsidP="0006090B">
      <w:pPr>
        <w:spacing w:line="240" w:lineRule="auto"/>
        <w:jc w:val="center"/>
        <w:rPr>
          <w:rFonts w:ascii="Times New Roman" w:hAnsi="Times New Roman" w:cs="Times New Roman"/>
          <w:b/>
          <w:bCs/>
        </w:rPr>
      </w:pPr>
      <w:r w:rsidRPr="0006090B">
        <w:rPr>
          <w:rFonts w:ascii="Times New Roman" w:hAnsi="Times New Roman" w:cs="Times New Roman"/>
          <w:b/>
          <w:bCs/>
        </w:rPr>
        <w:lastRenderedPageBreak/>
        <w:t>References</w:t>
      </w:r>
    </w:p>
    <w:p w14:paraId="4FE61291" w14:textId="0EB00C0A" w:rsidR="008D3BE1" w:rsidRPr="008D3BE1" w:rsidRDefault="009B3984" w:rsidP="008D3BE1">
      <w:pPr>
        <w:spacing w:line="240" w:lineRule="auto"/>
        <w:ind w:left="720" w:hanging="720"/>
        <w:jc w:val="both"/>
        <w:rPr>
          <w:rFonts w:ascii="Times New Roman" w:hAnsi="Times New Roman" w:cs="Times New Roman"/>
        </w:rPr>
      </w:pPr>
      <w:r>
        <w:rPr>
          <w:rFonts w:ascii="Times New Roman" w:hAnsi="Times New Roman" w:cs="Times New Roman"/>
        </w:rPr>
        <w:t>Pennsylvania</w:t>
      </w:r>
      <w:r w:rsidR="008D3BE1" w:rsidRPr="008D3BE1">
        <w:rPr>
          <w:rFonts w:ascii="Times New Roman" w:hAnsi="Times New Roman" w:cs="Times New Roman"/>
        </w:rPr>
        <w:t xml:space="preserve"> Department of Environmental Protection (</w:t>
      </w:r>
      <w:r>
        <w:rPr>
          <w:rFonts w:ascii="Times New Roman" w:hAnsi="Times New Roman" w:cs="Times New Roman"/>
        </w:rPr>
        <w:t>Pennsylvania</w:t>
      </w:r>
      <w:r w:rsidR="008D3BE1" w:rsidRPr="008D3BE1">
        <w:rPr>
          <w:rFonts w:ascii="Times New Roman" w:hAnsi="Times New Roman" w:cs="Times New Roman"/>
        </w:rPr>
        <w:t xml:space="preserve"> DEP). (2022). 2022 </w:t>
      </w:r>
      <w:r>
        <w:rPr>
          <w:rFonts w:ascii="Times New Roman" w:hAnsi="Times New Roman" w:cs="Times New Roman"/>
        </w:rPr>
        <w:t xml:space="preserve">Pennsylvania </w:t>
      </w:r>
      <w:r w:rsidR="008D3BE1" w:rsidRPr="008D3BE1">
        <w:rPr>
          <w:rFonts w:ascii="Times New Roman" w:hAnsi="Times New Roman" w:cs="Times New Roman"/>
        </w:rPr>
        <w:t xml:space="preserve">Integrated Water Quality Monitoring and Assessment Report. https://www.dep.  </w:t>
      </w:r>
    </w:p>
    <w:p w14:paraId="4863136D"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Ajzen, I. (1991). The Theory of Planned Behavior. Organizational Behavior and Human Decision Processes, 50, 179-211. http://dx.doi.org/10.1016/0749-5978(91)90020-T </w:t>
      </w:r>
    </w:p>
    <w:p w14:paraId="1BED12C5"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Bilal, S., et al. (2024). Barriers to the adoption of multiple agricultural innovations: Insights from </w:t>
      </w:r>
      <w:proofErr w:type="spellStart"/>
      <w:r w:rsidRPr="008D3BE1">
        <w:rPr>
          <w:rFonts w:ascii="Times New Roman" w:hAnsi="Times New Roman" w:cs="Times New Roman"/>
        </w:rPr>
        <w:t>Bt</w:t>
      </w:r>
      <w:proofErr w:type="spellEnd"/>
      <w:r w:rsidRPr="008D3BE1">
        <w:rPr>
          <w:rFonts w:ascii="Times New Roman" w:hAnsi="Times New Roman" w:cs="Times New Roman"/>
        </w:rPr>
        <w:t xml:space="preserve"> cotton, wheat seeds, herbicides and no-tillage. </w:t>
      </w:r>
      <w:proofErr w:type="spellStart"/>
      <w:r w:rsidRPr="008D3BE1">
        <w:rPr>
          <w:rFonts w:ascii="Times New Roman" w:hAnsi="Times New Roman" w:cs="Times New Roman"/>
        </w:rPr>
        <w:t>EconStor</w:t>
      </w:r>
      <w:proofErr w:type="spellEnd"/>
      <w:r w:rsidRPr="008D3BE1">
        <w:rPr>
          <w:rFonts w:ascii="Times New Roman" w:hAnsi="Times New Roman" w:cs="Times New Roman"/>
        </w:rPr>
        <w:t>.</w:t>
      </w:r>
    </w:p>
    <w:p w14:paraId="70F5BEB2"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Braun, V., &amp; Clarke, V. (2015). Thematic analysis. In H. Cooper, P. M. Camic, D. L. Long, A. T. Panter, D. </w:t>
      </w:r>
      <w:proofErr w:type="spellStart"/>
      <w:r w:rsidRPr="008D3BE1">
        <w:rPr>
          <w:rFonts w:ascii="Times New Roman" w:hAnsi="Times New Roman" w:cs="Times New Roman"/>
        </w:rPr>
        <w:t>Rindskopf</w:t>
      </w:r>
      <w:proofErr w:type="spellEnd"/>
      <w:r w:rsidRPr="008D3BE1">
        <w:rPr>
          <w:rFonts w:ascii="Times New Roman" w:hAnsi="Times New Roman" w:cs="Times New Roman"/>
        </w:rPr>
        <w:t>, &amp; K. J. Sher (Eds.), APA handbook of research methods in psychology, Vol. 2: Research designs (pp. 57–71).</w:t>
      </w:r>
    </w:p>
    <w:p w14:paraId="1EA1962C" w14:textId="0189A65C"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Chesapeake Bay Program. (2023). </w:t>
      </w:r>
      <w:r w:rsidR="009B3984">
        <w:rPr>
          <w:rFonts w:ascii="Times New Roman" w:hAnsi="Times New Roman" w:cs="Times New Roman"/>
        </w:rPr>
        <w:t>Pennsylvania</w:t>
      </w:r>
      <w:r w:rsidRPr="008D3BE1">
        <w:rPr>
          <w:rFonts w:ascii="Times New Roman" w:hAnsi="Times New Roman" w:cs="Times New Roman"/>
        </w:rPr>
        <w:t xml:space="preserve">'s progress in reducing pollution. https://www.chesapeakebay.net </w:t>
      </w:r>
    </w:p>
    <w:p w14:paraId="380AD1DA"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Chesapeake Bay Program. (2023). Chesapeake Bay TMDL.                                                                                https://www.chesapeakebay.net/what/programs/watershed-implementation   </w:t>
      </w:r>
    </w:p>
    <w:p w14:paraId="1221770F"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Creswell, J. W., &amp; Poth, C. N. (2018). Qualitative inquiry and research design: Choosing among five approaches (4th ed.). SAGE Publications.</w:t>
      </w:r>
    </w:p>
    <w:p w14:paraId="28E12C47" w14:textId="77777777" w:rsidR="008D3BE1" w:rsidRPr="008D3BE1" w:rsidRDefault="008D3BE1" w:rsidP="008D3BE1">
      <w:pPr>
        <w:spacing w:line="240" w:lineRule="auto"/>
        <w:ind w:left="720" w:hanging="720"/>
        <w:jc w:val="both"/>
        <w:rPr>
          <w:rFonts w:ascii="Times New Roman" w:hAnsi="Times New Roman" w:cs="Times New Roman"/>
        </w:rPr>
      </w:pPr>
      <w:proofErr w:type="spellStart"/>
      <w:r w:rsidRPr="008D3BE1">
        <w:rPr>
          <w:rFonts w:ascii="Times New Roman" w:hAnsi="Times New Roman" w:cs="Times New Roman"/>
        </w:rPr>
        <w:t>Korstjens</w:t>
      </w:r>
      <w:proofErr w:type="spellEnd"/>
      <w:r w:rsidRPr="008D3BE1">
        <w:rPr>
          <w:rFonts w:ascii="Times New Roman" w:hAnsi="Times New Roman" w:cs="Times New Roman"/>
        </w:rPr>
        <w:t>, I., &amp; Moser, A. (2018). Series: Practical guidance to qualitative research. Part 4: Trustworthiness and publishing. European Journal of General Practice, 24(1), 120-124. https://doi.org/10.1080/13814788.2017.1375092</w:t>
      </w:r>
    </w:p>
    <w:p w14:paraId="616C719D"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Kruse, S., &amp; Michelsen, A. (2020). Farmers’ intentions to implement climate change adaptation measures: A comprehensive analysis using the Theory of Planned Behavior. Journal of Environmental Management, 276, 111304.</w:t>
      </w:r>
    </w:p>
    <w:p w14:paraId="184F7B5D"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Lincoln, Y. S., &amp; Guba, E. G. (1985). Naturalistic inquiry. Sage Publications  </w:t>
      </w:r>
    </w:p>
    <w:p w14:paraId="3C3C64C5"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Liu, T., Bruins, R. J. F., &amp; Heberling, M. T. (2018). Factors influencing farmers' adoption of Best Management Practices: A review and synthesis. Sustainability, 10(2), 432. https://doi.org/10.3390/su10020432</w:t>
      </w:r>
    </w:p>
    <w:p w14:paraId="73F2A611"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Looney, L., et al. (2022). Producers' adoption behaviors for precision agriculture (PA) technologies to improve nitrogen use efficiency: Diffusion of Innovations theory as an explanatory lens. Advancements in Agricultural Development, 3(3), 40-50.</w:t>
      </w:r>
    </w:p>
    <w:p w14:paraId="3ED9C579"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Mao, Y., Huang, D., Zhou, J., Li, Y., &amp; Wei, J. (2020). Understanding pro-environmental behavior: A comprehensive review of the theoretical models and their applications. Journal of Cleaner Production, 259, 120894.</w:t>
      </w:r>
    </w:p>
    <w:p w14:paraId="437990FE"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Maxwell, J. A. (2013). Qualitative research design: An interactive approach (3rd ed.). SAGE Publications.</w:t>
      </w:r>
    </w:p>
    <w:p w14:paraId="29BC388A"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Merriam, S. B., &amp; Tisdell, E. J. (2016). Qualitative research: A guide to design and implementation (4th ed.). Jossey-Bass.</w:t>
      </w:r>
    </w:p>
    <w:p w14:paraId="34D1DEED"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Pannell, D. J., et al. (2006).4 Understanding and promoting adoption of conservation practices by rural landholders. Australian Journal of Experimental Agriculture, 46(11), 1407-1424.</w:t>
      </w:r>
    </w:p>
    <w:p w14:paraId="7261E6F0"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lastRenderedPageBreak/>
        <w:t>Price, J., &amp; Leviston, Z. (2014). Predicting pro-environmental agricultural practices: The role of values and belief strength. Journal of Environmental Psychology, 38, 1–10. https://doi.org/10.1016/j.jenvp.2013.12.001</w:t>
      </w:r>
    </w:p>
    <w:p w14:paraId="30E571E9"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Prokopy, L. S. (2011). Agricultural human dimensions research: The role of qualitative research methods. Journal of Soil and Water Conservation, 66(5), 125A–129A. https://doi.org/10.2489/jswc.66.5.125A</w:t>
      </w:r>
    </w:p>
    <w:p w14:paraId="6D4FC0B2"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Prokopy, L. S., </w:t>
      </w:r>
      <w:proofErr w:type="spellStart"/>
      <w:r w:rsidRPr="008D3BE1">
        <w:rPr>
          <w:rFonts w:ascii="Times New Roman" w:hAnsi="Times New Roman" w:cs="Times New Roman"/>
        </w:rPr>
        <w:t>Floress</w:t>
      </w:r>
      <w:proofErr w:type="spellEnd"/>
      <w:r w:rsidRPr="008D3BE1">
        <w:rPr>
          <w:rFonts w:ascii="Times New Roman" w:hAnsi="Times New Roman" w:cs="Times New Roman"/>
        </w:rPr>
        <w:t xml:space="preserve">, K., </w:t>
      </w:r>
      <w:proofErr w:type="spellStart"/>
      <w:r w:rsidRPr="008D3BE1">
        <w:rPr>
          <w:rFonts w:ascii="Times New Roman" w:hAnsi="Times New Roman" w:cs="Times New Roman"/>
        </w:rPr>
        <w:t>KlotthorW</w:t>
      </w:r>
      <w:proofErr w:type="spellEnd"/>
      <w:r w:rsidRPr="008D3BE1">
        <w:rPr>
          <w:rFonts w:ascii="Times New Roman" w:hAnsi="Times New Roman" w:cs="Times New Roman"/>
        </w:rPr>
        <w:t xml:space="preserve"> </w:t>
      </w:r>
      <w:proofErr w:type="spellStart"/>
      <w:r w:rsidRPr="008D3BE1">
        <w:rPr>
          <w:rFonts w:ascii="Times New Roman" w:hAnsi="Times New Roman" w:cs="Times New Roman"/>
        </w:rPr>
        <w:t>einkauf</w:t>
      </w:r>
      <w:proofErr w:type="spellEnd"/>
      <w:r w:rsidRPr="008D3BE1">
        <w:rPr>
          <w:rFonts w:ascii="Times New Roman" w:hAnsi="Times New Roman" w:cs="Times New Roman"/>
        </w:rPr>
        <w:t xml:space="preserve">, D., &amp; </w:t>
      </w:r>
      <w:proofErr w:type="spellStart"/>
      <w:r w:rsidRPr="008D3BE1">
        <w:rPr>
          <w:rFonts w:ascii="Times New Roman" w:hAnsi="Times New Roman" w:cs="Times New Roman"/>
        </w:rPr>
        <w:t>BaumgartGetz</w:t>
      </w:r>
      <w:proofErr w:type="spellEnd"/>
      <w:r w:rsidRPr="008D3BE1">
        <w:rPr>
          <w:rFonts w:ascii="Times New Roman" w:hAnsi="Times New Roman" w:cs="Times New Roman"/>
        </w:rPr>
        <w:t xml:space="preserve">, A. (2008). Determinants of agricultural best management practice adoption: Evidence from the literature. Journal of Soil and Water Conservation, 63(5), 300–311. https://doi.org/10.2489/jswc.63.5.300 </w:t>
      </w:r>
    </w:p>
    <w:p w14:paraId="27A070B1"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Ranjan, P., Church, S. P., </w:t>
      </w:r>
      <w:proofErr w:type="spellStart"/>
      <w:r w:rsidRPr="008D3BE1">
        <w:rPr>
          <w:rFonts w:ascii="Times New Roman" w:hAnsi="Times New Roman" w:cs="Times New Roman"/>
        </w:rPr>
        <w:t>Floress</w:t>
      </w:r>
      <w:proofErr w:type="spellEnd"/>
      <w:r w:rsidRPr="008D3BE1">
        <w:rPr>
          <w:rFonts w:ascii="Times New Roman" w:hAnsi="Times New Roman" w:cs="Times New Roman"/>
        </w:rPr>
        <w:t>, K., &amp; Prokopy, L. S. (2019). Synthesizing conservation motivations and barriers: What have we learned from qualitative studies of farmers’ behaviors in the U.S.? Society &amp; Natural Resources, 32(11), 1171–1199.           https://doi.org/10.1080/08941920.2019.1648710</w:t>
      </w:r>
    </w:p>
    <w:p w14:paraId="510FEBE0"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Reimer, A. P., &amp; Prokopy, L. S. (2014). Farmer participation in U.S. Farm Bill conservation programs. Environmental Management, 53(2), 318–332. https://doi.org/10.1007/s00267-013-0184-8 </w:t>
      </w:r>
    </w:p>
    <w:p w14:paraId="19179A10"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Roesch-McNally, G. E., A. D. Basche, J. G. Arbuckle, J. C. Tyndall, F. E. Miguez, T. Bowman, and R. Clay. (2017). The trouble with cover crops: Farmers' experiences with overcoming barriers to adoption. Renewable Agriculture and Food Systems 33 :322–33. doi:10.1017/S1742170517000096. </w:t>
      </w:r>
    </w:p>
    <w:p w14:paraId="397E0A3D"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Rogers, E. M. (2003). Diffusion of innovations (5th ed.). Free Press   </w:t>
      </w:r>
    </w:p>
    <w:p w14:paraId="5E7D4181"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Shenton, A. K. (2004). Strategies for ensuring trustworthiness in qualitative research projects. Education for Information, 22(2), 63-75. https://doi.org/10.3233/EFI-2004-22201</w:t>
      </w:r>
    </w:p>
    <w:p w14:paraId="0646E136"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Shock, C. C. (2013). Examining the Voluntary Adoption of Agricultural Conservation Practices in Northern Malheur County, Oregon. (Unpublished master's thesis). Oregon State University.</w:t>
      </w:r>
    </w:p>
    <w:p w14:paraId="683A84F2"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Stern, P. C. (2000). Toward a coherent theory of environmentally significant behavior. Journal of Social Issues, 56(3), 407–424.    </w:t>
      </w:r>
    </w:p>
    <w:p w14:paraId="280B17D3"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Tracy, S. J. (2020). Qualitative research methods: Collecting evidence, crafting analysis, communicating impact (2nd ed.). Wiley-Blackwell.</w:t>
      </w:r>
    </w:p>
    <w:p w14:paraId="4C9DC04F"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U.S. Department of Agriculture Natural Resources Conservation Service. (2024). Conservation Programs. https://www.nrcs.usda.gov/programs-initiatives  </w:t>
      </w:r>
    </w:p>
    <w:p w14:paraId="5AE77B8D"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U.S. Environmental Protection Agency (U.S. EPA). (2023). Nonpoint source: Agriculture. https://www.epa.gov/nps/nonpoint-source-agriculture  </w:t>
      </w:r>
    </w:p>
    <w:p w14:paraId="7D7BBCCA"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U.S. Environmental Protection Agency. (2023). Section 319 Nonpoint Source Management Program. https://www.epa.gov/nps/319-grant-program-states-and-territories  </w:t>
      </w:r>
    </w:p>
    <w:p w14:paraId="0F069928"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U.S. Geological Survey (USGS). (2023). Agricultural contaminants. U.S. Department of the Interior.https://www.usgs.gov/special-topics/water-science-school/science/agricultural contaminants  </w:t>
      </w:r>
    </w:p>
    <w:p w14:paraId="0B2E4C1B"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United States Environmental Protection Agency (USEPA). Nonpoint Source Pollution: The Nation's Largest Water Quality Problem; USEPA Office of Water: Washington, DC, USA, 1996.</w:t>
      </w:r>
    </w:p>
    <w:p w14:paraId="0A2A609C" w14:textId="77777777" w:rsidR="008D3BE1" w:rsidRPr="008D3BE1"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lastRenderedPageBreak/>
        <w:t>Wang, J., et al. (2024). The influence of water rights transfer policy on farmers' intention to conserve water. Water Policy, 26(4), 410-424.</w:t>
      </w:r>
    </w:p>
    <w:p w14:paraId="1353FAC1" w14:textId="16C8E803" w:rsidR="006436FC" w:rsidRPr="00C844A3" w:rsidRDefault="008D3BE1" w:rsidP="008D3BE1">
      <w:pPr>
        <w:spacing w:line="240" w:lineRule="auto"/>
        <w:ind w:left="720" w:hanging="720"/>
        <w:jc w:val="both"/>
        <w:rPr>
          <w:rFonts w:ascii="Times New Roman" w:hAnsi="Times New Roman" w:cs="Times New Roman"/>
        </w:rPr>
      </w:pPr>
      <w:r w:rsidRPr="008D3BE1">
        <w:rPr>
          <w:rFonts w:ascii="Times New Roman" w:hAnsi="Times New Roman" w:cs="Times New Roman"/>
        </w:rPr>
        <w:t xml:space="preserve">Warner, L. A., &amp; Lamm, A. J. (2020). Diffusion of water-saving irrigation innovations in Florida's urban residential landscapes. </w:t>
      </w:r>
      <w:proofErr w:type="spellStart"/>
      <w:r w:rsidRPr="008D3BE1">
        <w:rPr>
          <w:rFonts w:ascii="Times New Roman" w:hAnsi="Times New Roman" w:cs="Times New Roman"/>
        </w:rPr>
        <w:t>HortTechnology</w:t>
      </w:r>
      <w:proofErr w:type="spellEnd"/>
      <w:r w:rsidRPr="008D3BE1">
        <w:rPr>
          <w:rFonts w:ascii="Times New Roman" w:hAnsi="Times New Roman" w:cs="Times New Roman"/>
        </w:rPr>
        <w:t>, 30(6), 664-672.</w:t>
      </w:r>
    </w:p>
    <w:sectPr w:rsidR="006436FC" w:rsidRPr="00C844A3" w:rsidSect="00F733D6">
      <w:headerReference w:type="default" r:id="rId6"/>
      <w:footerReference w:type="default" r:id="rId7"/>
      <w:pgSz w:w="12240" w:h="15840"/>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9FB12" w14:textId="77777777" w:rsidR="00A84584" w:rsidRDefault="00A84584" w:rsidP="00951582">
      <w:pPr>
        <w:spacing w:after="0" w:line="240" w:lineRule="auto"/>
      </w:pPr>
      <w:r>
        <w:separator/>
      </w:r>
    </w:p>
  </w:endnote>
  <w:endnote w:type="continuationSeparator" w:id="0">
    <w:p w14:paraId="68C123B4" w14:textId="77777777" w:rsidR="00A84584" w:rsidRDefault="00A84584" w:rsidP="00951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781DF" w14:textId="77777777" w:rsidR="00D74018" w:rsidRPr="00D74018" w:rsidRDefault="00D74018">
    <w:pPr>
      <w:pStyle w:val="Footer"/>
      <w:tabs>
        <w:tab w:val="clear" w:pos="4680"/>
        <w:tab w:val="clear" w:pos="9360"/>
      </w:tabs>
      <w:jc w:val="center"/>
      <w:rPr>
        <w:rFonts w:ascii="Times New Roman" w:hAnsi="Times New Roman" w:cs="Times New Roman"/>
        <w:caps/>
        <w:noProof/>
        <w:color w:val="000000" w:themeColor="text1"/>
      </w:rPr>
    </w:pPr>
    <w:r w:rsidRPr="00D74018">
      <w:rPr>
        <w:rFonts w:ascii="Times New Roman" w:hAnsi="Times New Roman" w:cs="Times New Roman"/>
        <w:caps/>
        <w:color w:val="000000" w:themeColor="text1"/>
      </w:rPr>
      <w:fldChar w:fldCharType="begin"/>
    </w:r>
    <w:r w:rsidRPr="00D74018">
      <w:rPr>
        <w:rFonts w:ascii="Times New Roman" w:hAnsi="Times New Roman" w:cs="Times New Roman"/>
        <w:caps/>
        <w:color w:val="000000" w:themeColor="text1"/>
      </w:rPr>
      <w:instrText xml:space="preserve"> PAGE   \* MERGEFORMAT </w:instrText>
    </w:r>
    <w:r w:rsidRPr="00D74018">
      <w:rPr>
        <w:rFonts w:ascii="Times New Roman" w:hAnsi="Times New Roman" w:cs="Times New Roman"/>
        <w:caps/>
        <w:color w:val="000000" w:themeColor="text1"/>
      </w:rPr>
      <w:fldChar w:fldCharType="separate"/>
    </w:r>
    <w:r w:rsidRPr="00D74018">
      <w:rPr>
        <w:rFonts w:ascii="Times New Roman" w:hAnsi="Times New Roman" w:cs="Times New Roman"/>
        <w:caps/>
        <w:noProof/>
        <w:color w:val="000000" w:themeColor="text1"/>
      </w:rPr>
      <w:t>2</w:t>
    </w:r>
    <w:r w:rsidRPr="00D74018">
      <w:rPr>
        <w:rFonts w:ascii="Times New Roman" w:hAnsi="Times New Roman" w:cs="Times New Roman"/>
        <w:caps/>
        <w:noProof/>
        <w:color w:val="000000" w:themeColor="text1"/>
      </w:rPr>
      <w:fldChar w:fldCharType="end"/>
    </w:r>
  </w:p>
  <w:p w14:paraId="7CED892F" w14:textId="77777777" w:rsidR="00D74018" w:rsidRDefault="00D74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D1D7F" w14:textId="77777777" w:rsidR="00A84584" w:rsidRDefault="00A84584" w:rsidP="00951582">
      <w:pPr>
        <w:spacing w:after="0" w:line="240" w:lineRule="auto"/>
      </w:pPr>
      <w:r>
        <w:separator/>
      </w:r>
    </w:p>
  </w:footnote>
  <w:footnote w:type="continuationSeparator" w:id="0">
    <w:p w14:paraId="2B0D64EF" w14:textId="77777777" w:rsidR="00A84584" w:rsidRDefault="00A84584" w:rsidP="00951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2091" w14:textId="77777777" w:rsidR="00D74018" w:rsidRPr="00D74018" w:rsidRDefault="00D74018" w:rsidP="00D74018">
    <w:pPr>
      <w:pStyle w:val="Header"/>
      <w:jc w:val="right"/>
      <w:rPr>
        <w:rFonts w:ascii="Times New Roman" w:hAnsi="Times New Roman" w:cs="Times New Roman"/>
      </w:rPr>
    </w:pPr>
    <w:r w:rsidRPr="00D74018">
      <w:rPr>
        <w:rFonts w:ascii="Times New Roman" w:hAnsi="Times New Roman" w:cs="Times New Roman"/>
      </w:rPr>
      <w:t xml:space="preserve">Discipline Area: Extension Education  </w:t>
    </w:r>
  </w:p>
  <w:p w14:paraId="1C599EA9" w14:textId="0FA01400" w:rsidR="00951582" w:rsidRPr="00D74018" w:rsidRDefault="00D74018" w:rsidP="00D74018">
    <w:pPr>
      <w:pStyle w:val="Header"/>
      <w:jc w:val="right"/>
      <w:rPr>
        <w:rFonts w:ascii="Times New Roman" w:hAnsi="Times New Roman" w:cs="Times New Roman"/>
      </w:rPr>
    </w:pPr>
    <w:r w:rsidRPr="00D74018">
      <w:rPr>
        <w:rFonts w:ascii="Times New Roman" w:hAnsi="Times New Roman" w:cs="Times New Roman"/>
      </w:rPr>
      <w:t>Presentation Format: Research Paper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678"/>
    <w:rsid w:val="00027AED"/>
    <w:rsid w:val="00041850"/>
    <w:rsid w:val="00043C6A"/>
    <w:rsid w:val="0006090B"/>
    <w:rsid w:val="000949E3"/>
    <w:rsid w:val="00095387"/>
    <w:rsid w:val="000A6F09"/>
    <w:rsid w:val="000B08FF"/>
    <w:rsid w:val="00100268"/>
    <w:rsid w:val="00111718"/>
    <w:rsid w:val="001A3755"/>
    <w:rsid w:val="001C7196"/>
    <w:rsid w:val="001D3815"/>
    <w:rsid w:val="002533E8"/>
    <w:rsid w:val="00264363"/>
    <w:rsid w:val="002A4C8B"/>
    <w:rsid w:val="002C0678"/>
    <w:rsid w:val="00302D77"/>
    <w:rsid w:val="00350108"/>
    <w:rsid w:val="00352DF1"/>
    <w:rsid w:val="00363FA0"/>
    <w:rsid w:val="00365D2D"/>
    <w:rsid w:val="003744B1"/>
    <w:rsid w:val="00374C72"/>
    <w:rsid w:val="0039069D"/>
    <w:rsid w:val="003977F9"/>
    <w:rsid w:val="003B058E"/>
    <w:rsid w:val="003B4BFF"/>
    <w:rsid w:val="003C17AC"/>
    <w:rsid w:val="00410DA3"/>
    <w:rsid w:val="00425E21"/>
    <w:rsid w:val="00465D26"/>
    <w:rsid w:val="0047672C"/>
    <w:rsid w:val="0048061C"/>
    <w:rsid w:val="00481842"/>
    <w:rsid w:val="0049295D"/>
    <w:rsid w:val="004E097A"/>
    <w:rsid w:val="00507948"/>
    <w:rsid w:val="00524905"/>
    <w:rsid w:val="00555A88"/>
    <w:rsid w:val="005A6B2C"/>
    <w:rsid w:val="005B0EAD"/>
    <w:rsid w:val="005F7FF9"/>
    <w:rsid w:val="006436FC"/>
    <w:rsid w:val="00652A7F"/>
    <w:rsid w:val="006548E5"/>
    <w:rsid w:val="006761F1"/>
    <w:rsid w:val="006B594D"/>
    <w:rsid w:val="006B7FAB"/>
    <w:rsid w:val="006C3685"/>
    <w:rsid w:val="006F2EBC"/>
    <w:rsid w:val="00717CB6"/>
    <w:rsid w:val="00722C45"/>
    <w:rsid w:val="00754649"/>
    <w:rsid w:val="00754DF0"/>
    <w:rsid w:val="007F1D75"/>
    <w:rsid w:val="00810450"/>
    <w:rsid w:val="008110F2"/>
    <w:rsid w:val="008223C7"/>
    <w:rsid w:val="008440FE"/>
    <w:rsid w:val="00850421"/>
    <w:rsid w:val="00864D5B"/>
    <w:rsid w:val="00866320"/>
    <w:rsid w:val="0087346E"/>
    <w:rsid w:val="008B39E9"/>
    <w:rsid w:val="008D3BE1"/>
    <w:rsid w:val="008F10A8"/>
    <w:rsid w:val="00937C81"/>
    <w:rsid w:val="00945316"/>
    <w:rsid w:val="00951582"/>
    <w:rsid w:val="00960616"/>
    <w:rsid w:val="009B2337"/>
    <w:rsid w:val="009B3984"/>
    <w:rsid w:val="009E349A"/>
    <w:rsid w:val="009E6D30"/>
    <w:rsid w:val="009F7502"/>
    <w:rsid w:val="00A0189C"/>
    <w:rsid w:val="00A10399"/>
    <w:rsid w:val="00A12340"/>
    <w:rsid w:val="00A125BC"/>
    <w:rsid w:val="00A125E8"/>
    <w:rsid w:val="00A346E7"/>
    <w:rsid w:val="00A461CF"/>
    <w:rsid w:val="00A805A2"/>
    <w:rsid w:val="00A84584"/>
    <w:rsid w:val="00AA13BC"/>
    <w:rsid w:val="00AA2BA8"/>
    <w:rsid w:val="00AD1A29"/>
    <w:rsid w:val="00AF2A50"/>
    <w:rsid w:val="00AF2D32"/>
    <w:rsid w:val="00AF48F9"/>
    <w:rsid w:val="00B02D41"/>
    <w:rsid w:val="00B05A40"/>
    <w:rsid w:val="00B168A2"/>
    <w:rsid w:val="00B323B1"/>
    <w:rsid w:val="00B92275"/>
    <w:rsid w:val="00B93927"/>
    <w:rsid w:val="00BA6BEB"/>
    <w:rsid w:val="00BC3A6C"/>
    <w:rsid w:val="00BE45E3"/>
    <w:rsid w:val="00BF5768"/>
    <w:rsid w:val="00C03A14"/>
    <w:rsid w:val="00C06691"/>
    <w:rsid w:val="00C17A79"/>
    <w:rsid w:val="00C3118F"/>
    <w:rsid w:val="00C418F5"/>
    <w:rsid w:val="00C45442"/>
    <w:rsid w:val="00C844A3"/>
    <w:rsid w:val="00C95759"/>
    <w:rsid w:val="00C95A81"/>
    <w:rsid w:val="00CF5A60"/>
    <w:rsid w:val="00D07A09"/>
    <w:rsid w:val="00D142DB"/>
    <w:rsid w:val="00D362AB"/>
    <w:rsid w:val="00D46405"/>
    <w:rsid w:val="00D57FCA"/>
    <w:rsid w:val="00D65B1B"/>
    <w:rsid w:val="00D74018"/>
    <w:rsid w:val="00D83C8D"/>
    <w:rsid w:val="00D95908"/>
    <w:rsid w:val="00DC0231"/>
    <w:rsid w:val="00DD1F63"/>
    <w:rsid w:val="00DD5939"/>
    <w:rsid w:val="00DF42F0"/>
    <w:rsid w:val="00E20C15"/>
    <w:rsid w:val="00E3422A"/>
    <w:rsid w:val="00E625EE"/>
    <w:rsid w:val="00E81D68"/>
    <w:rsid w:val="00E90A56"/>
    <w:rsid w:val="00EC2C07"/>
    <w:rsid w:val="00EE0AC9"/>
    <w:rsid w:val="00EF4EC5"/>
    <w:rsid w:val="00F01975"/>
    <w:rsid w:val="00F34D14"/>
    <w:rsid w:val="00F733D6"/>
    <w:rsid w:val="00F77E35"/>
    <w:rsid w:val="00FA0037"/>
    <w:rsid w:val="00FC0843"/>
    <w:rsid w:val="00FC5811"/>
    <w:rsid w:val="172500F9"/>
    <w:rsid w:val="194D2532"/>
    <w:rsid w:val="1A417655"/>
    <w:rsid w:val="1C610898"/>
    <w:rsid w:val="24689547"/>
    <w:rsid w:val="270D4BEF"/>
    <w:rsid w:val="2FBEF36B"/>
    <w:rsid w:val="4824EB7D"/>
    <w:rsid w:val="57860B76"/>
    <w:rsid w:val="5E520580"/>
    <w:rsid w:val="78B6BDBD"/>
    <w:rsid w:val="7AB96FCA"/>
    <w:rsid w:val="7ED5A9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C5C43"/>
  <w15:chartTrackingRefBased/>
  <w15:docId w15:val="{29BA37D4-B72C-4B37-88F0-EA0A14500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C8D"/>
  </w:style>
  <w:style w:type="paragraph" w:styleId="Heading1">
    <w:name w:val="heading 1"/>
    <w:basedOn w:val="Normal"/>
    <w:next w:val="Normal"/>
    <w:link w:val="Heading1Char"/>
    <w:uiPriority w:val="9"/>
    <w:qFormat/>
    <w:rsid w:val="002C0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678"/>
    <w:rPr>
      <w:rFonts w:eastAsiaTheme="majorEastAsia" w:cstheme="majorBidi"/>
      <w:color w:val="272727" w:themeColor="text1" w:themeTint="D8"/>
    </w:rPr>
  </w:style>
  <w:style w:type="paragraph" w:styleId="Title">
    <w:name w:val="Title"/>
    <w:basedOn w:val="Normal"/>
    <w:next w:val="Normal"/>
    <w:link w:val="TitleChar"/>
    <w:uiPriority w:val="10"/>
    <w:qFormat/>
    <w:rsid w:val="002C0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678"/>
    <w:pPr>
      <w:spacing w:before="160"/>
      <w:jc w:val="center"/>
    </w:pPr>
    <w:rPr>
      <w:i/>
      <w:iCs/>
      <w:color w:val="404040" w:themeColor="text1" w:themeTint="BF"/>
    </w:rPr>
  </w:style>
  <w:style w:type="character" w:customStyle="1" w:styleId="QuoteChar">
    <w:name w:val="Quote Char"/>
    <w:basedOn w:val="DefaultParagraphFont"/>
    <w:link w:val="Quote"/>
    <w:uiPriority w:val="29"/>
    <w:rsid w:val="002C0678"/>
    <w:rPr>
      <w:i/>
      <w:iCs/>
      <w:color w:val="404040" w:themeColor="text1" w:themeTint="BF"/>
    </w:rPr>
  </w:style>
  <w:style w:type="paragraph" w:styleId="ListParagraph">
    <w:name w:val="List Paragraph"/>
    <w:basedOn w:val="Normal"/>
    <w:uiPriority w:val="34"/>
    <w:qFormat/>
    <w:rsid w:val="002C0678"/>
    <w:pPr>
      <w:ind w:left="720"/>
      <w:contextualSpacing/>
    </w:pPr>
  </w:style>
  <w:style w:type="character" w:styleId="IntenseEmphasis">
    <w:name w:val="Intense Emphasis"/>
    <w:basedOn w:val="DefaultParagraphFont"/>
    <w:uiPriority w:val="21"/>
    <w:qFormat/>
    <w:rsid w:val="002C0678"/>
    <w:rPr>
      <w:i/>
      <w:iCs/>
      <w:color w:val="0F4761" w:themeColor="accent1" w:themeShade="BF"/>
    </w:rPr>
  </w:style>
  <w:style w:type="paragraph" w:styleId="IntenseQuote">
    <w:name w:val="Intense Quote"/>
    <w:basedOn w:val="Normal"/>
    <w:next w:val="Normal"/>
    <w:link w:val="IntenseQuoteChar"/>
    <w:uiPriority w:val="30"/>
    <w:qFormat/>
    <w:rsid w:val="002C0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678"/>
    <w:rPr>
      <w:i/>
      <w:iCs/>
      <w:color w:val="0F4761" w:themeColor="accent1" w:themeShade="BF"/>
    </w:rPr>
  </w:style>
  <w:style w:type="character" w:styleId="IntenseReference">
    <w:name w:val="Intense Reference"/>
    <w:basedOn w:val="DefaultParagraphFont"/>
    <w:uiPriority w:val="32"/>
    <w:qFormat/>
    <w:rsid w:val="002C0678"/>
    <w:rPr>
      <w:b/>
      <w:bCs/>
      <w:smallCaps/>
      <w:color w:val="0F4761" w:themeColor="accent1" w:themeShade="BF"/>
      <w:spacing w:val="5"/>
    </w:rPr>
  </w:style>
  <w:style w:type="paragraph" w:styleId="Header">
    <w:name w:val="header"/>
    <w:basedOn w:val="Normal"/>
    <w:link w:val="HeaderChar"/>
    <w:uiPriority w:val="99"/>
    <w:unhideWhenUsed/>
    <w:rsid w:val="00951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582"/>
  </w:style>
  <w:style w:type="paragraph" w:styleId="Footer">
    <w:name w:val="footer"/>
    <w:basedOn w:val="Normal"/>
    <w:link w:val="FooterChar"/>
    <w:uiPriority w:val="99"/>
    <w:unhideWhenUsed/>
    <w:rsid w:val="00951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E77C34-7F00-0946-B9D5-3616D82D22D2}">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7</TotalTime>
  <Pages>8</Pages>
  <Words>3892</Words>
  <Characters>22185</Characters>
  <Application>Microsoft Office Word</Application>
  <DocSecurity>0</DocSecurity>
  <Lines>184</Lines>
  <Paragraphs>52</Paragraphs>
  <ScaleCrop>false</ScaleCrop>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jagadeesh kimavath</dc:creator>
  <cp:keywords/>
  <dc:description/>
  <cp:lastModifiedBy>Kumar Chaudhary, Anil</cp:lastModifiedBy>
  <cp:revision>15</cp:revision>
  <dcterms:created xsi:type="dcterms:W3CDTF">2025-09-10T15:44:00Z</dcterms:created>
  <dcterms:modified xsi:type="dcterms:W3CDTF">2025-09-12T18:55:00Z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documentId_813</vt:lpwstr>
  </property>
  <property fmtid="{D5CDD505-2E9C-101B-9397-08002B2CF9AE}" pid="3" name="grammarly_documentContext">
    <vt:lpwstr>{"goals":[],"domain":"general","emotions":[],"dialect":"american"}</vt:lpwstr>
  </property>
</Properties>
</file>