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A734F" w14:textId="183174F5" w:rsidR="00FC1D9B" w:rsidRPr="00FC1D9B" w:rsidRDefault="00FC1D9B" w:rsidP="00FC1D9B">
      <w:pPr>
        <w:spacing w:after="0" w:line="240" w:lineRule="auto"/>
        <w:jc w:val="center"/>
        <w:rPr>
          <w:b/>
        </w:rPr>
      </w:pPr>
      <w:r>
        <w:rPr>
          <w:b/>
        </w:rPr>
        <w:t xml:space="preserve">How Do </w:t>
      </w:r>
      <w:r w:rsidR="002666A2">
        <w:rPr>
          <w:b/>
        </w:rPr>
        <w:t>Kentucky</w:t>
      </w:r>
      <w:r w:rsidRPr="00FC1D9B">
        <w:rPr>
          <w:b/>
        </w:rPr>
        <w:t xml:space="preserve"> Agriculture Teachers Use Student Credentialing </w:t>
      </w:r>
    </w:p>
    <w:p w14:paraId="0F1A0E43" w14:textId="456DC15E" w:rsidR="009646C4" w:rsidRDefault="00FC1D9B" w:rsidP="00FC1D9B">
      <w:pPr>
        <w:spacing w:after="0" w:line="240" w:lineRule="auto"/>
        <w:jc w:val="center"/>
        <w:rPr>
          <w:b/>
        </w:rPr>
      </w:pPr>
      <w:r w:rsidRPr="00FC1D9B">
        <w:rPr>
          <w:b/>
        </w:rPr>
        <w:t>in Agricultural Education Programming</w:t>
      </w:r>
      <w:r>
        <w:rPr>
          <w:b/>
        </w:rPr>
        <w:t>?</w:t>
      </w:r>
    </w:p>
    <w:p w14:paraId="5F387700" w14:textId="77777777" w:rsidR="002666A2" w:rsidRDefault="002666A2" w:rsidP="00FC1D9B">
      <w:pPr>
        <w:spacing w:after="0" w:line="240" w:lineRule="auto"/>
        <w:jc w:val="center"/>
        <w:rPr>
          <w:b/>
        </w:rPr>
      </w:pPr>
    </w:p>
    <w:p w14:paraId="16438AFE" w14:textId="78C74138" w:rsidR="002666A2" w:rsidRDefault="002666A2" w:rsidP="00FC1D9B">
      <w:pPr>
        <w:spacing w:after="0" w:line="240" w:lineRule="auto"/>
        <w:jc w:val="center"/>
        <w:rPr>
          <w:bCs/>
        </w:rPr>
      </w:pPr>
      <w:r>
        <w:rPr>
          <w:bCs/>
        </w:rPr>
        <w:t>K. Jourdan Palmeri, Marshall County Technical Center</w:t>
      </w:r>
    </w:p>
    <w:p w14:paraId="0B98DBEB" w14:textId="752A89E9" w:rsidR="002666A2" w:rsidRDefault="002666A2" w:rsidP="00FC1D9B">
      <w:pPr>
        <w:spacing w:after="0" w:line="240" w:lineRule="auto"/>
        <w:jc w:val="center"/>
        <w:rPr>
          <w:bCs/>
        </w:rPr>
      </w:pPr>
      <w:r>
        <w:rPr>
          <w:bCs/>
        </w:rPr>
        <w:t>Trent Wells, Murray State University</w:t>
      </w:r>
    </w:p>
    <w:p w14:paraId="325AE658" w14:textId="6419DCF6" w:rsidR="002666A2" w:rsidRDefault="002666A2" w:rsidP="00FC1D9B">
      <w:pPr>
        <w:spacing w:after="0" w:line="240" w:lineRule="auto"/>
        <w:jc w:val="center"/>
        <w:rPr>
          <w:bCs/>
        </w:rPr>
      </w:pPr>
      <w:r>
        <w:rPr>
          <w:bCs/>
        </w:rPr>
        <w:t>Jay K. Solomonson, Illinois State University</w:t>
      </w:r>
    </w:p>
    <w:p w14:paraId="33695E82" w14:textId="0C823D84" w:rsidR="002666A2" w:rsidRDefault="002666A2" w:rsidP="00FC1D9B">
      <w:pPr>
        <w:spacing w:after="0" w:line="240" w:lineRule="auto"/>
        <w:jc w:val="center"/>
        <w:rPr>
          <w:bCs/>
        </w:rPr>
      </w:pPr>
      <w:r>
        <w:rPr>
          <w:bCs/>
        </w:rPr>
        <w:t>Maggie Salem, East Texas A&amp;M University</w:t>
      </w:r>
    </w:p>
    <w:p w14:paraId="396D5B14" w14:textId="214685D9" w:rsidR="002666A2" w:rsidRPr="002666A2" w:rsidRDefault="002666A2" w:rsidP="00FC1D9B">
      <w:pPr>
        <w:spacing w:after="0" w:line="240" w:lineRule="auto"/>
        <w:jc w:val="center"/>
        <w:rPr>
          <w:bCs/>
        </w:rPr>
      </w:pPr>
      <w:r>
        <w:rPr>
          <w:bCs/>
        </w:rPr>
        <w:t>Bryan D. Rank, East Texas A&amp;M University</w:t>
      </w:r>
    </w:p>
    <w:p w14:paraId="66663DAC" w14:textId="7ECBF0B3" w:rsidR="005B163A" w:rsidRPr="005F34CC" w:rsidRDefault="005B163A" w:rsidP="005F34CC">
      <w:pPr>
        <w:spacing w:after="0" w:line="240" w:lineRule="auto"/>
        <w:rPr>
          <w:rFonts w:cs="Times New Roman"/>
          <w:b/>
          <w:szCs w:val="24"/>
        </w:rPr>
      </w:pPr>
    </w:p>
    <w:p w14:paraId="76FBF07E" w14:textId="20B87B07" w:rsidR="000B3385" w:rsidRDefault="000B3385" w:rsidP="00884E4F">
      <w:pPr>
        <w:spacing w:after="0" w:line="240" w:lineRule="auto"/>
        <w:jc w:val="center"/>
        <w:rPr>
          <w:b/>
        </w:rPr>
      </w:pPr>
      <w:r w:rsidRPr="00C0323E">
        <w:rPr>
          <w:b/>
        </w:rPr>
        <w:t>Introduction</w:t>
      </w:r>
    </w:p>
    <w:p w14:paraId="05D4C370" w14:textId="4E5A4394" w:rsidR="000B3385" w:rsidRDefault="000B3385" w:rsidP="00884E4F">
      <w:pPr>
        <w:spacing w:after="0" w:line="240" w:lineRule="auto"/>
        <w:jc w:val="center"/>
        <w:rPr>
          <w:b/>
        </w:rPr>
      </w:pPr>
    </w:p>
    <w:p w14:paraId="18505DDA" w14:textId="77740C67" w:rsidR="005A280F" w:rsidRDefault="00946A96" w:rsidP="003D157D">
      <w:pPr>
        <w:spacing w:after="0" w:line="240" w:lineRule="auto"/>
        <w:ind w:firstLine="720"/>
        <w:rPr>
          <w:szCs w:val="24"/>
        </w:rPr>
      </w:pPr>
      <w:r>
        <w:rPr>
          <w:szCs w:val="24"/>
        </w:rPr>
        <w:t xml:space="preserve">School accountability is a </w:t>
      </w:r>
      <w:r w:rsidR="00B03493">
        <w:rPr>
          <w:szCs w:val="24"/>
        </w:rPr>
        <w:t xml:space="preserve">dominant practice in school systems across the United States. </w:t>
      </w:r>
      <w:r w:rsidR="00E06BF6">
        <w:rPr>
          <w:szCs w:val="24"/>
        </w:rPr>
        <w:t xml:space="preserve">School accountability measures are varied and are designed to positively impact student achievement and </w:t>
      </w:r>
      <w:r w:rsidR="00EA4AA6">
        <w:rPr>
          <w:szCs w:val="24"/>
        </w:rPr>
        <w:t>ensure school progress and performance (Figlio &amp; Loeb, 2011). One such school accountability measure occurs within Career and Technical Education (CTE) program</w:t>
      </w:r>
      <w:r w:rsidR="00D569C3">
        <w:rPr>
          <w:szCs w:val="24"/>
        </w:rPr>
        <w:t>ming</w:t>
      </w:r>
      <w:r w:rsidR="00EA4AA6">
        <w:rPr>
          <w:szCs w:val="24"/>
        </w:rPr>
        <w:t>, including Agricultural Education, via industry credentialing</w:t>
      </w:r>
      <w:r w:rsidR="00D569C3">
        <w:rPr>
          <w:szCs w:val="24"/>
        </w:rPr>
        <w:t>. Within the context of CTE programming, industry credentialing is designed to</w:t>
      </w:r>
      <w:r w:rsidR="00547BD0">
        <w:rPr>
          <w:szCs w:val="24"/>
        </w:rPr>
        <w:t xml:space="preserve"> prepare</w:t>
      </w:r>
      <w:r w:rsidR="00D569C3">
        <w:rPr>
          <w:szCs w:val="24"/>
        </w:rPr>
        <w:t xml:space="preserve"> students</w:t>
      </w:r>
      <w:r w:rsidR="00976F1E">
        <w:rPr>
          <w:szCs w:val="24"/>
        </w:rPr>
        <w:t xml:space="preserve"> to enter the workforce equipped with the requisite knowledge and skills</w:t>
      </w:r>
      <w:r w:rsidR="00D569C3">
        <w:rPr>
          <w:szCs w:val="24"/>
        </w:rPr>
        <w:t xml:space="preserve"> (Castellano et al., 2005).</w:t>
      </w:r>
      <w:r w:rsidR="00976F1E">
        <w:rPr>
          <w:szCs w:val="24"/>
        </w:rPr>
        <w:t xml:space="preserve"> </w:t>
      </w:r>
      <w:r w:rsidR="00730EFE">
        <w:rPr>
          <w:szCs w:val="24"/>
        </w:rPr>
        <w:t xml:space="preserve">Industry credentialing is one of several school accountability measures employed within </w:t>
      </w:r>
      <w:r w:rsidR="0039263C">
        <w:rPr>
          <w:szCs w:val="24"/>
        </w:rPr>
        <w:t>Kentucky</w:t>
      </w:r>
      <w:r w:rsidR="00730EFE">
        <w:rPr>
          <w:szCs w:val="24"/>
        </w:rPr>
        <w:t xml:space="preserve"> public schools (</w:t>
      </w:r>
      <w:r w:rsidR="0039263C">
        <w:rPr>
          <w:szCs w:val="24"/>
        </w:rPr>
        <w:t>Kentucky</w:t>
      </w:r>
      <w:r w:rsidR="00730EFE">
        <w:rPr>
          <w:szCs w:val="24"/>
        </w:rPr>
        <w:t xml:space="preserve"> Department of Education, 2024). However, </w:t>
      </w:r>
      <w:r w:rsidR="0039263C">
        <w:rPr>
          <w:szCs w:val="24"/>
        </w:rPr>
        <w:t>Kentucky</w:t>
      </w:r>
      <w:r w:rsidR="00730EFE">
        <w:rPr>
          <w:szCs w:val="24"/>
        </w:rPr>
        <w:t xml:space="preserve"> agriculture teachers anecdotally report both successes and shortcomings </w:t>
      </w:r>
      <w:r w:rsidR="00547BD0">
        <w:rPr>
          <w:szCs w:val="24"/>
        </w:rPr>
        <w:t>when employing industry credentialing within their respective Agricultural Education programs</w:t>
      </w:r>
      <w:r w:rsidR="00730EFE">
        <w:rPr>
          <w:szCs w:val="24"/>
        </w:rPr>
        <w:t xml:space="preserve"> (</w:t>
      </w:r>
      <w:r w:rsidR="002666A2">
        <w:rPr>
          <w:szCs w:val="24"/>
        </w:rPr>
        <w:t>M. Chaliff</w:t>
      </w:r>
      <w:r w:rsidR="00730EFE">
        <w:rPr>
          <w:szCs w:val="24"/>
        </w:rPr>
        <w:t>, personal communication, August 29, 2024).</w:t>
      </w:r>
      <w:r w:rsidR="00547BD0">
        <w:rPr>
          <w:szCs w:val="24"/>
        </w:rPr>
        <w:t xml:space="preserve"> Considering school accountability measures and expectations alongside the shallow pool of literature regarding industry credentialing within Agricultural Education</w:t>
      </w:r>
      <w:r w:rsidR="002C5510">
        <w:rPr>
          <w:szCs w:val="24"/>
        </w:rPr>
        <w:t xml:space="preserve"> programming</w:t>
      </w:r>
      <w:r w:rsidR="00547BD0">
        <w:rPr>
          <w:szCs w:val="24"/>
        </w:rPr>
        <w:t>, we felt it prudent to explore this topic more deeply.</w:t>
      </w:r>
    </w:p>
    <w:p w14:paraId="3B9E0608" w14:textId="77777777" w:rsidR="005F34CC" w:rsidRDefault="005F34CC" w:rsidP="00ED333A">
      <w:pPr>
        <w:spacing w:after="0" w:line="240" w:lineRule="auto"/>
        <w:rPr>
          <w:b/>
        </w:rPr>
      </w:pPr>
    </w:p>
    <w:p w14:paraId="21559618" w14:textId="33F4BB13" w:rsidR="003F68E5" w:rsidRDefault="00780C33" w:rsidP="00884E4F">
      <w:pPr>
        <w:spacing w:after="0" w:line="240" w:lineRule="auto"/>
        <w:jc w:val="center"/>
        <w:rPr>
          <w:b/>
        </w:rPr>
      </w:pPr>
      <w:r>
        <w:rPr>
          <w:b/>
        </w:rPr>
        <w:t>Theoretical</w:t>
      </w:r>
      <w:r w:rsidR="005F34CC">
        <w:rPr>
          <w:b/>
        </w:rPr>
        <w:t xml:space="preserve"> Framework</w:t>
      </w:r>
    </w:p>
    <w:p w14:paraId="7DE6E375" w14:textId="0B2CE3CA" w:rsidR="003F68E5" w:rsidRDefault="003F68E5" w:rsidP="00884E4F">
      <w:pPr>
        <w:spacing w:after="0" w:line="240" w:lineRule="auto"/>
        <w:jc w:val="center"/>
        <w:rPr>
          <w:b/>
        </w:rPr>
      </w:pPr>
    </w:p>
    <w:p w14:paraId="542B6598" w14:textId="3FC6A7A8" w:rsidR="0089525A" w:rsidRDefault="0073603D" w:rsidP="0073603D">
      <w:pPr>
        <w:spacing w:after="0" w:line="240" w:lineRule="auto"/>
        <w:ind w:firstLine="720"/>
      </w:pPr>
      <w:r>
        <w:t xml:space="preserve">We used human capital theory (HCT) as the underlying framework basis for our study’s data analysis and interpretation. Per HCT, investing in people and providing them with </w:t>
      </w:r>
      <w:r w:rsidR="00342344">
        <w:t>enhanced</w:t>
      </w:r>
      <w:r>
        <w:t xml:space="preserve"> education and training</w:t>
      </w:r>
      <w:r w:rsidR="00342344">
        <w:t xml:space="preserve"> will improve </w:t>
      </w:r>
      <w:r>
        <w:t xml:space="preserve">the productive </w:t>
      </w:r>
      <w:r w:rsidR="00342344">
        <w:t>capacity</w:t>
      </w:r>
      <w:r>
        <w:t xml:space="preserve"> of these individuals</w:t>
      </w:r>
      <w:r w:rsidR="00342344">
        <w:t>, thereby allowing them to</w:t>
      </w:r>
      <w:r>
        <w:t xml:space="preserve"> add value to society (Becker, 1993). The skills, knowledge, and abilities of individuals who function within a society or organization give a value-added factor and increase overall performance. As industry credentials are meant to provide </w:t>
      </w:r>
      <w:r w:rsidR="005B7E4E">
        <w:t>public</w:t>
      </w:r>
      <w:r>
        <w:t xml:space="preserve"> school graduates with improved economic outcomes and social mobility (</w:t>
      </w:r>
      <w:r w:rsidR="00B141C3">
        <w:rPr>
          <w:szCs w:val="24"/>
        </w:rPr>
        <w:t>Castellano et al., 2005</w:t>
      </w:r>
      <w:r>
        <w:t>), they can consequently be considered an investment in human capital. Agriculture teachers are directly responsible for preparing human capital for the agricultural industry (Stripling &amp; Ricketts, 2016). HCT provide</w:t>
      </w:r>
      <w:r w:rsidR="0027049B">
        <w:t>s</w:t>
      </w:r>
      <w:r>
        <w:t xml:space="preserve"> a lens through which to examine agriculture teachers</w:t>
      </w:r>
      <w:r w:rsidR="00967606">
        <w:t>’</w:t>
      </w:r>
      <w:r>
        <w:t xml:space="preserve"> </w:t>
      </w:r>
      <w:r w:rsidR="00967606">
        <w:t xml:space="preserve">experiences </w:t>
      </w:r>
      <w:r w:rsidR="005B7E4E">
        <w:t>facilitat</w:t>
      </w:r>
      <w:r w:rsidR="00967606">
        <w:t>ing</w:t>
      </w:r>
      <w:r>
        <w:t xml:space="preserve"> </w:t>
      </w:r>
      <w:r w:rsidR="008E0951">
        <w:t xml:space="preserve">industry </w:t>
      </w:r>
      <w:r>
        <w:t xml:space="preserve">credentialing </w:t>
      </w:r>
      <w:r w:rsidR="002C5510">
        <w:t>when</w:t>
      </w:r>
      <w:r>
        <w:t xml:space="preserve"> preparing </w:t>
      </w:r>
      <w:r w:rsidR="005B7E4E">
        <w:t xml:space="preserve">their </w:t>
      </w:r>
      <w:r>
        <w:t xml:space="preserve">students for </w:t>
      </w:r>
      <w:r w:rsidR="005B7E4E">
        <w:t>life beyond high school</w:t>
      </w:r>
      <w:r>
        <w:t>.</w:t>
      </w:r>
    </w:p>
    <w:p w14:paraId="1863F6B2" w14:textId="77777777" w:rsidR="00ED333A" w:rsidRDefault="00ED333A" w:rsidP="0073603D">
      <w:pPr>
        <w:spacing w:after="0" w:line="240" w:lineRule="auto"/>
        <w:ind w:firstLine="720"/>
      </w:pPr>
    </w:p>
    <w:p w14:paraId="6CC79BFC" w14:textId="77777777" w:rsidR="00ED333A" w:rsidRDefault="00ED333A" w:rsidP="00ED333A">
      <w:pPr>
        <w:spacing w:after="0" w:line="240" w:lineRule="auto"/>
        <w:jc w:val="center"/>
        <w:rPr>
          <w:szCs w:val="24"/>
        </w:rPr>
      </w:pPr>
      <w:r>
        <w:rPr>
          <w:b/>
        </w:rPr>
        <w:t>Purpose of the Study and Research Questions</w:t>
      </w:r>
    </w:p>
    <w:p w14:paraId="40B806FC" w14:textId="77777777" w:rsidR="00ED333A" w:rsidRDefault="00ED333A" w:rsidP="00ED333A">
      <w:pPr>
        <w:spacing w:after="0" w:line="240" w:lineRule="auto"/>
        <w:ind w:firstLine="720"/>
        <w:rPr>
          <w:szCs w:val="24"/>
        </w:rPr>
      </w:pPr>
    </w:p>
    <w:p w14:paraId="6EF0D5E0" w14:textId="77777777" w:rsidR="00ED333A" w:rsidRDefault="00ED333A" w:rsidP="00ED333A">
      <w:pPr>
        <w:spacing w:after="0" w:line="240" w:lineRule="auto"/>
        <w:ind w:firstLine="720"/>
        <w:rPr>
          <w:szCs w:val="24"/>
        </w:rPr>
      </w:pPr>
      <w:r>
        <w:rPr>
          <w:szCs w:val="24"/>
        </w:rPr>
        <w:t>Our study’s</w:t>
      </w:r>
      <w:r w:rsidRPr="006841F6">
        <w:rPr>
          <w:szCs w:val="24"/>
        </w:rPr>
        <w:t xml:space="preserve"> purpose was to explore </w:t>
      </w:r>
      <w:r>
        <w:rPr>
          <w:szCs w:val="24"/>
        </w:rPr>
        <w:t>Kentucky</w:t>
      </w:r>
      <w:r w:rsidRPr="006841F6">
        <w:rPr>
          <w:szCs w:val="24"/>
        </w:rPr>
        <w:t xml:space="preserve"> agriculture teachers’ perceptions regarding current industry credential offerings, how they operationalize the curricula, knowledge, and skills necessary to prepare for industry credential offerings, and the perceived benefits for students who earn such credentials. </w:t>
      </w:r>
      <w:r>
        <w:rPr>
          <w:szCs w:val="24"/>
        </w:rPr>
        <w:t>We used four</w:t>
      </w:r>
      <w:r w:rsidRPr="006841F6">
        <w:rPr>
          <w:szCs w:val="24"/>
        </w:rPr>
        <w:t xml:space="preserve"> research questions</w:t>
      </w:r>
      <w:r>
        <w:rPr>
          <w:szCs w:val="24"/>
        </w:rPr>
        <w:t xml:space="preserve"> to guide our study</w:t>
      </w:r>
      <w:r w:rsidRPr="006841F6">
        <w:rPr>
          <w:szCs w:val="24"/>
        </w:rPr>
        <w:t xml:space="preserve">: </w:t>
      </w:r>
    </w:p>
    <w:p w14:paraId="336B3D73" w14:textId="77777777" w:rsidR="00ED333A" w:rsidRDefault="00ED333A" w:rsidP="00ED333A">
      <w:pPr>
        <w:spacing w:after="0" w:line="240" w:lineRule="auto"/>
        <w:ind w:left="720"/>
        <w:rPr>
          <w:szCs w:val="24"/>
        </w:rPr>
      </w:pPr>
      <w:r w:rsidRPr="006841F6">
        <w:rPr>
          <w:szCs w:val="24"/>
        </w:rPr>
        <w:lastRenderedPageBreak/>
        <w:t xml:space="preserve">1) How do </w:t>
      </w:r>
      <w:r>
        <w:rPr>
          <w:szCs w:val="24"/>
        </w:rPr>
        <w:t>Kentucky</w:t>
      </w:r>
      <w:r w:rsidRPr="006841F6">
        <w:rPr>
          <w:szCs w:val="24"/>
        </w:rPr>
        <w:t xml:space="preserve"> agriculture teachers operationalize industry credentialing in their respective programs?</w:t>
      </w:r>
    </w:p>
    <w:p w14:paraId="342128AA" w14:textId="77777777" w:rsidR="00ED333A" w:rsidRPr="006841F6" w:rsidRDefault="00ED333A" w:rsidP="00ED333A">
      <w:pPr>
        <w:spacing w:after="0" w:line="240" w:lineRule="auto"/>
        <w:rPr>
          <w:szCs w:val="24"/>
        </w:rPr>
      </w:pPr>
    </w:p>
    <w:p w14:paraId="7721CAF6" w14:textId="77777777" w:rsidR="00ED333A" w:rsidRDefault="00ED333A" w:rsidP="00ED333A">
      <w:pPr>
        <w:spacing w:after="0" w:line="240" w:lineRule="auto"/>
        <w:ind w:left="720"/>
        <w:rPr>
          <w:szCs w:val="24"/>
        </w:rPr>
      </w:pPr>
      <w:r w:rsidRPr="006841F6">
        <w:rPr>
          <w:szCs w:val="24"/>
        </w:rPr>
        <w:t xml:space="preserve">2) What are </w:t>
      </w:r>
      <w:r>
        <w:rPr>
          <w:szCs w:val="24"/>
        </w:rPr>
        <w:t>Kentucky</w:t>
      </w:r>
      <w:r w:rsidRPr="006841F6">
        <w:rPr>
          <w:szCs w:val="24"/>
        </w:rPr>
        <w:t xml:space="preserve"> agriculture teachers’ perceived benefits for their students earning industry credentials?</w:t>
      </w:r>
    </w:p>
    <w:p w14:paraId="66742AF6" w14:textId="77777777" w:rsidR="00ED333A" w:rsidRPr="006841F6" w:rsidRDefault="00ED333A" w:rsidP="00ED333A">
      <w:pPr>
        <w:spacing w:after="0" w:line="240" w:lineRule="auto"/>
        <w:rPr>
          <w:szCs w:val="24"/>
        </w:rPr>
      </w:pPr>
    </w:p>
    <w:p w14:paraId="11A11947" w14:textId="77777777" w:rsidR="00ED333A" w:rsidRDefault="00ED333A" w:rsidP="00ED333A">
      <w:pPr>
        <w:spacing w:after="0" w:line="240" w:lineRule="auto"/>
        <w:ind w:left="720"/>
        <w:rPr>
          <w:szCs w:val="24"/>
        </w:rPr>
      </w:pPr>
      <w:r w:rsidRPr="006841F6">
        <w:rPr>
          <w:szCs w:val="24"/>
        </w:rPr>
        <w:t xml:space="preserve">3) What challenges do </w:t>
      </w:r>
      <w:r>
        <w:rPr>
          <w:szCs w:val="24"/>
        </w:rPr>
        <w:t>Kentucky</w:t>
      </w:r>
      <w:r w:rsidRPr="006841F6">
        <w:rPr>
          <w:szCs w:val="24"/>
        </w:rPr>
        <w:t xml:space="preserve"> agriculture teachers experience regarding offering industry credentialing within their programs?</w:t>
      </w:r>
    </w:p>
    <w:p w14:paraId="6C538092" w14:textId="77777777" w:rsidR="00ED333A" w:rsidRPr="006841F6" w:rsidRDefault="00ED333A" w:rsidP="00ED333A">
      <w:pPr>
        <w:spacing w:after="0" w:line="240" w:lineRule="auto"/>
        <w:rPr>
          <w:szCs w:val="24"/>
        </w:rPr>
      </w:pPr>
    </w:p>
    <w:p w14:paraId="5A7861B1" w14:textId="77777777" w:rsidR="00ED333A" w:rsidRDefault="00ED333A" w:rsidP="00ED333A">
      <w:pPr>
        <w:spacing w:after="0" w:line="240" w:lineRule="auto"/>
        <w:ind w:left="720"/>
        <w:rPr>
          <w:szCs w:val="24"/>
        </w:rPr>
      </w:pPr>
      <w:r w:rsidRPr="006841F6">
        <w:rPr>
          <w:szCs w:val="24"/>
        </w:rPr>
        <w:t xml:space="preserve">4) What successes do </w:t>
      </w:r>
      <w:r>
        <w:rPr>
          <w:szCs w:val="24"/>
        </w:rPr>
        <w:t>Kentucky</w:t>
      </w:r>
      <w:r w:rsidRPr="006841F6">
        <w:rPr>
          <w:szCs w:val="24"/>
        </w:rPr>
        <w:t xml:space="preserve"> agriculture teachers experience regarding offering industry credentialing within their programs?</w:t>
      </w:r>
    </w:p>
    <w:p w14:paraId="453AA990" w14:textId="77777777" w:rsidR="005F34CC" w:rsidRDefault="005F34CC" w:rsidP="00437F34">
      <w:pPr>
        <w:spacing w:after="0" w:line="240" w:lineRule="auto"/>
        <w:rPr>
          <w:b/>
        </w:rPr>
      </w:pPr>
    </w:p>
    <w:p w14:paraId="7355AFDF" w14:textId="520BC3E8" w:rsidR="000B3385" w:rsidRDefault="000B3385" w:rsidP="00884E4F">
      <w:pPr>
        <w:spacing w:after="0" w:line="240" w:lineRule="auto"/>
        <w:jc w:val="center"/>
        <w:rPr>
          <w:b/>
        </w:rPr>
      </w:pPr>
      <w:r>
        <w:rPr>
          <w:b/>
        </w:rPr>
        <w:t>Methods</w:t>
      </w:r>
    </w:p>
    <w:p w14:paraId="08519B6C" w14:textId="3DC444E4" w:rsidR="000B3385" w:rsidRDefault="000B3385" w:rsidP="00884E4F">
      <w:pPr>
        <w:spacing w:after="0" w:line="240" w:lineRule="auto"/>
        <w:jc w:val="center"/>
        <w:rPr>
          <w:b/>
        </w:rPr>
      </w:pPr>
    </w:p>
    <w:p w14:paraId="70CB4281" w14:textId="5E26C695" w:rsidR="00D0605C" w:rsidRDefault="00D0605C" w:rsidP="003012F9">
      <w:pPr>
        <w:spacing w:after="0" w:line="240" w:lineRule="auto"/>
        <w:ind w:firstLine="720"/>
        <w:rPr>
          <w:rFonts w:eastAsia="Times New Roman" w:cs="Times New Roman"/>
          <w:szCs w:val="24"/>
        </w:rPr>
      </w:pPr>
      <w:r>
        <w:t xml:space="preserve">Our study was phenomenological in its approach. </w:t>
      </w:r>
      <w:r>
        <w:rPr>
          <w:rFonts w:eastAsia="Times New Roman" w:cs="Times New Roman"/>
          <w:color w:val="000000"/>
          <w:szCs w:val="24"/>
        </w:rPr>
        <w:t>Phenomenological research “describes the common meaning for several individuals of their lived experiences of a concept or a phenomenon</w:t>
      </w:r>
      <w:r w:rsidR="00437F34">
        <w:rPr>
          <w:rFonts w:eastAsia="Times New Roman" w:cs="Times New Roman"/>
          <w:color w:val="000000"/>
          <w:szCs w:val="24"/>
        </w:rPr>
        <w:t>”</w:t>
      </w:r>
      <w:r>
        <w:rPr>
          <w:rFonts w:eastAsia="Times New Roman" w:cs="Times New Roman"/>
          <w:color w:val="000000"/>
          <w:szCs w:val="24"/>
        </w:rPr>
        <w:t xml:space="preserve"> (Creswell &amp; Poth, 2018, p. 75). </w:t>
      </w:r>
      <w:r>
        <w:rPr>
          <w:rFonts w:eastAsia="Times New Roman" w:cs="Times New Roman"/>
          <w:szCs w:val="24"/>
        </w:rPr>
        <w:t xml:space="preserve">The phenomenon in question was the lived experiences of </w:t>
      </w:r>
      <w:r w:rsidR="0039263C">
        <w:rPr>
          <w:rFonts w:eastAsia="Times New Roman" w:cs="Times New Roman"/>
          <w:szCs w:val="24"/>
        </w:rPr>
        <w:t>Kentucky</w:t>
      </w:r>
      <w:r>
        <w:rPr>
          <w:rFonts w:eastAsia="Times New Roman" w:cs="Times New Roman"/>
          <w:szCs w:val="24"/>
        </w:rPr>
        <w:t xml:space="preserve"> agriculture teachers as they have facilitated the industry credentialing process within their respective Agricultural Education programs. </w:t>
      </w:r>
      <w:r>
        <w:rPr>
          <w:rFonts w:eastAsia="Times New Roman" w:cs="Times New Roman"/>
          <w:color w:val="000000"/>
          <w:szCs w:val="24"/>
        </w:rPr>
        <w:t xml:space="preserve">The lead researcher chiefly employed one-on-one, semi-structured interviews with nine </w:t>
      </w:r>
      <w:r w:rsidR="0039263C">
        <w:rPr>
          <w:rFonts w:eastAsia="Times New Roman" w:cs="Times New Roman"/>
          <w:color w:val="000000"/>
          <w:szCs w:val="24"/>
        </w:rPr>
        <w:t>Kentucky</w:t>
      </w:r>
      <w:r>
        <w:rPr>
          <w:rFonts w:eastAsia="Times New Roman" w:cs="Times New Roman"/>
          <w:color w:val="000000"/>
          <w:szCs w:val="24"/>
        </w:rPr>
        <w:t xml:space="preserve"> agriculture teachers who teach Agricultural Education coursework to public school students in grades nine through 12. Within the context of phenomenological research, in-depth interviews allow the researcher to thoroughly explore an experience undergone by several individuals (Creswell &amp; Poth, 2018), such as agriculture teachers’ experiences with industry credentialing for students.</w:t>
      </w:r>
    </w:p>
    <w:p w14:paraId="1CAC544E" w14:textId="77777777" w:rsidR="00D0605C" w:rsidRDefault="00D0605C" w:rsidP="003012F9">
      <w:pPr>
        <w:spacing w:after="0" w:line="240" w:lineRule="auto"/>
        <w:ind w:firstLine="720"/>
      </w:pPr>
    </w:p>
    <w:p w14:paraId="60BFE6AC" w14:textId="1EAF3EB6" w:rsidR="00D7085B" w:rsidRDefault="00D7085B" w:rsidP="003012F9">
      <w:pPr>
        <w:spacing w:after="0" w:line="240" w:lineRule="auto"/>
        <w:ind w:firstLine="720"/>
      </w:pPr>
      <w:r>
        <w:t xml:space="preserve">To </w:t>
      </w:r>
      <w:r w:rsidR="003F5B2A">
        <w:t>initiate our study</w:t>
      </w:r>
      <w:r>
        <w:t xml:space="preserve">, the </w:t>
      </w:r>
      <w:r w:rsidR="003F5B2A">
        <w:t xml:space="preserve">lead </w:t>
      </w:r>
      <w:r>
        <w:t xml:space="preserve">researcher first obtained an electronic copy of the 2024-2025 </w:t>
      </w:r>
      <w:r w:rsidR="0039263C">
        <w:t>Kentucky</w:t>
      </w:r>
      <w:r>
        <w:t xml:space="preserve"> Agriculture Teacher Directory from </w:t>
      </w:r>
      <w:r w:rsidR="003F5B2A">
        <w:t xml:space="preserve">state-level Agricultural Education staff. </w:t>
      </w:r>
      <w:r>
        <w:t xml:space="preserve">Afterward, the </w:t>
      </w:r>
      <w:r w:rsidR="003F5B2A">
        <w:t xml:space="preserve">lead </w:t>
      </w:r>
      <w:r>
        <w:t xml:space="preserve">researcher randomly selected 48 agriculture teachers from across the </w:t>
      </w:r>
      <w:r w:rsidR="0039263C">
        <w:t>Kentucky</w:t>
      </w:r>
      <w:r>
        <w:t xml:space="preserve"> FFA Association’s 12 service regions to participate in this study. </w:t>
      </w:r>
      <w:r w:rsidR="003B7F88">
        <w:t xml:space="preserve">Specifically, </w:t>
      </w:r>
      <w:r w:rsidR="00227C40">
        <w:t>the lead researcher randomly selected four agriculture teachers from each of the 12 service regions.</w:t>
      </w:r>
      <w:r w:rsidR="003012F9">
        <w:t xml:space="preserve"> </w:t>
      </w:r>
      <w:r>
        <w:t xml:space="preserve">The </w:t>
      </w:r>
      <w:r w:rsidR="003F5B2A">
        <w:t xml:space="preserve">lead </w:t>
      </w:r>
      <w:r>
        <w:t xml:space="preserve">researcher used the Qualtrics survey platform to solicit participants. The </w:t>
      </w:r>
      <w:r w:rsidR="00226BC2">
        <w:t xml:space="preserve">lead </w:t>
      </w:r>
      <w:r>
        <w:t>researcher used a Qualtrics-based pre-interview questionnaire to help ensure that the prospective participants met the appropriate selection criteria. These criteria were as follows:</w:t>
      </w:r>
    </w:p>
    <w:p w14:paraId="0C47D500" w14:textId="77777777" w:rsidR="003F5B2A" w:rsidRDefault="003F5B2A" w:rsidP="003F5B2A">
      <w:pPr>
        <w:spacing w:after="0" w:line="240" w:lineRule="auto"/>
        <w:ind w:left="720"/>
      </w:pPr>
    </w:p>
    <w:p w14:paraId="3D014148" w14:textId="23F3C543" w:rsidR="00D7085B" w:rsidRDefault="00D7085B" w:rsidP="003F5B2A">
      <w:pPr>
        <w:spacing w:after="0" w:line="240" w:lineRule="auto"/>
        <w:ind w:left="720"/>
      </w:pPr>
      <w:r>
        <w:t xml:space="preserve">1) Prospective participants must have reported that they have taught high school-level Agricultural Education courses in </w:t>
      </w:r>
      <w:r w:rsidR="0039263C">
        <w:t>Kentucky</w:t>
      </w:r>
      <w:r>
        <w:t xml:space="preserve"> for at least three years;</w:t>
      </w:r>
    </w:p>
    <w:p w14:paraId="5BCE6890" w14:textId="77777777" w:rsidR="003F5B2A" w:rsidRDefault="003F5B2A" w:rsidP="003F5B2A">
      <w:pPr>
        <w:spacing w:after="0" w:line="240" w:lineRule="auto"/>
        <w:ind w:left="720"/>
      </w:pPr>
    </w:p>
    <w:p w14:paraId="7432371A" w14:textId="188E3721" w:rsidR="00D7085B" w:rsidRDefault="00D7085B" w:rsidP="003F5B2A">
      <w:pPr>
        <w:spacing w:after="0" w:line="240" w:lineRule="auto"/>
        <w:ind w:left="720"/>
      </w:pPr>
      <w:r>
        <w:t>2) Prospective participants must have reported that they currently teach at least one high school-level Agricultural Education course; and</w:t>
      </w:r>
    </w:p>
    <w:p w14:paraId="22E5A629" w14:textId="77777777" w:rsidR="003F5B2A" w:rsidRDefault="003F5B2A" w:rsidP="003F5B2A">
      <w:pPr>
        <w:spacing w:after="0" w:line="240" w:lineRule="auto"/>
        <w:ind w:left="720"/>
      </w:pPr>
    </w:p>
    <w:p w14:paraId="4578D961" w14:textId="77777777" w:rsidR="00D7085B" w:rsidRDefault="00D7085B" w:rsidP="003F5B2A">
      <w:pPr>
        <w:spacing w:after="0" w:line="240" w:lineRule="auto"/>
        <w:ind w:left="720"/>
      </w:pPr>
      <w:r>
        <w:t>3) Prospective participants must have reported that they facilitate the student credentialing process (such as offering or awarding industry certifications) within at least one high school-level Agricultural Education course that they teach.</w:t>
      </w:r>
    </w:p>
    <w:p w14:paraId="20F88051" w14:textId="77777777" w:rsidR="00227C40" w:rsidRDefault="00227C40" w:rsidP="003F5B2A">
      <w:pPr>
        <w:spacing w:after="0" w:line="240" w:lineRule="auto"/>
        <w:ind w:firstLine="720"/>
      </w:pPr>
    </w:p>
    <w:p w14:paraId="62AC2BE5" w14:textId="14379F2E" w:rsidR="000D1E25" w:rsidRDefault="003012F9" w:rsidP="003F5B2A">
      <w:pPr>
        <w:spacing w:after="0" w:line="240" w:lineRule="auto"/>
        <w:ind w:firstLine="720"/>
      </w:pPr>
      <w:r>
        <w:rPr>
          <w:rFonts w:eastAsia="Times New Roman" w:cs="Times New Roman"/>
          <w:szCs w:val="24"/>
        </w:rPr>
        <w:t>Prior to initiating the participant solicitation process</w:t>
      </w:r>
      <w:r w:rsidR="00227C40">
        <w:rPr>
          <w:rFonts w:eastAsia="Times New Roman" w:cs="Times New Roman"/>
          <w:color w:val="000000"/>
          <w:szCs w:val="24"/>
        </w:rPr>
        <w:t>, the lead researcher</w:t>
      </w:r>
      <w:r>
        <w:rPr>
          <w:rFonts w:eastAsia="Times New Roman" w:cs="Times New Roman"/>
          <w:color w:val="000000"/>
          <w:szCs w:val="24"/>
        </w:rPr>
        <w:t xml:space="preserve">: (a) obtained the appropriate approvals from the </w:t>
      </w:r>
      <w:r w:rsidR="00F5322D">
        <w:rPr>
          <w:rFonts w:eastAsia="Times New Roman" w:cs="Times New Roman"/>
          <w:color w:val="000000"/>
          <w:szCs w:val="24"/>
        </w:rPr>
        <w:t>Murray State University</w:t>
      </w:r>
      <w:r>
        <w:rPr>
          <w:rFonts w:eastAsia="Times New Roman" w:cs="Times New Roman"/>
          <w:color w:val="000000"/>
          <w:szCs w:val="24"/>
        </w:rPr>
        <w:t xml:space="preserve"> Institutional Review Board (IRB) and </w:t>
      </w:r>
      <w:r>
        <w:rPr>
          <w:rFonts w:eastAsia="Times New Roman" w:cs="Times New Roman"/>
          <w:color w:val="000000"/>
          <w:szCs w:val="24"/>
        </w:rPr>
        <w:lastRenderedPageBreak/>
        <w:t>(b)</w:t>
      </w:r>
      <w:r w:rsidR="00227C40">
        <w:rPr>
          <w:rFonts w:eastAsia="Times New Roman" w:cs="Times New Roman"/>
          <w:color w:val="000000"/>
          <w:szCs w:val="24"/>
        </w:rPr>
        <w:t xml:space="preserve"> consulted a panel of three agricultural teacher educators to review the </w:t>
      </w:r>
      <w:r w:rsidR="00227C40">
        <w:t>Qualtrics-based pre-interview questionnaire for clarity</w:t>
      </w:r>
      <w:r w:rsidR="00227C40">
        <w:rPr>
          <w:rFonts w:eastAsia="Times New Roman" w:cs="Times New Roman"/>
          <w:color w:val="000000"/>
          <w:szCs w:val="24"/>
        </w:rPr>
        <w:t xml:space="preserve">. </w:t>
      </w:r>
      <w:r w:rsidR="00AC52D1">
        <w:rPr>
          <w:rFonts w:eastAsia="Times New Roman" w:cs="Times New Roman"/>
          <w:color w:val="000000"/>
          <w:szCs w:val="24"/>
        </w:rPr>
        <w:t xml:space="preserve">The lead researcher used their feedback to adjust the pre-interview questionnaire accordingly prior to its use. </w:t>
      </w:r>
      <w:r w:rsidR="00227C40">
        <w:t xml:space="preserve">Within this </w:t>
      </w:r>
      <w:r w:rsidR="005A280F">
        <w:t xml:space="preserve">12-item </w:t>
      </w:r>
      <w:r w:rsidR="00227C40">
        <w:t>questionnaire</w:t>
      </w:r>
      <w:r w:rsidR="00D7085B">
        <w:t xml:space="preserve">, the </w:t>
      </w:r>
      <w:r w:rsidR="003F5B2A">
        <w:t xml:space="preserve">lead </w:t>
      </w:r>
      <w:r w:rsidR="00D7085B">
        <w:t xml:space="preserve">researcher asked participants to complete additional demographics-related items and to provide their contact information if they were willing to participate in a one-on-one Zoom interview with the </w:t>
      </w:r>
      <w:r w:rsidR="0007676E">
        <w:t xml:space="preserve">lead </w:t>
      </w:r>
      <w:r w:rsidR="00D7085B">
        <w:t>researcher.</w:t>
      </w:r>
      <w:r w:rsidR="003F5B2A">
        <w:t xml:space="preserve"> </w:t>
      </w:r>
      <w:r w:rsidR="00D7085B">
        <w:t xml:space="preserve">The </w:t>
      </w:r>
      <w:r w:rsidR="000D1E25">
        <w:t xml:space="preserve">lead </w:t>
      </w:r>
      <w:r w:rsidR="00D7085B">
        <w:t xml:space="preserve">researcher began soliciting prospective participants via e-mail in February 2025. Following Dillman et al.’s (2014) recommendations, the </w:t>
      </w:r>
      <w:r w:rsidR="000D1E25">
        <w:t xml:space="preserve">lead </w:t>
      </w:r>
      <w:r w:rsidR="00D7085B">
        <w:t xml:space="preserve">researcher used a series of e-mail contacts to help elicit responses from prospective participants. Out of the 48 randomly-selected prospective participants, 10 participants provided usable responses to the pre-interview questionnaire, yielding a response rate of 20.8%. Further, all 10 participants indicated their willingness to participate in the one-on-one Zoom interview with the </w:t>
      </w:r>
      <w:r w:rsidR="00227C40">
        <w:t xml:space="preserve">lead </w:t>
      </w:r>
      <w:r w:rsidR="00D7085B">
        <w:t xml:space="preserve">researcher. However, one participant did not complete the interview process. </w:t>
      </w:r>
      <w:r w:rsidR="004B78A1">
        <w:t>We did not report their data.</w:t>
      </w:r>
    </w:p>
    <w:p w14:paraId="2A47EF7D" w14:textId="77777777" w:rsidR="000D1E25" w:rsidRDefault="000D1E25" w:rsidP="003F5B2A">
      <w:pPr>
        <w:spacing w:after="0" w:line="240" w:lineRule="auto"/>
        <w:ind w:firstLine="720"/>
      </w:pPr>
    </w:p>
    <w:p w14:paraId="1DEA6194" w14:textId="6302012F" w:rsidR="003F5B2A" w:rsidRPr="0089513F" w:rsidRDefault="00D7085B" w:rsidP="0089513F">
      <w:pPr>
        <w:spacing w:after="0" w:line="240" w:lineRule="auto"/>
        <w:ind w:firstLine="720"/>
      </w:pPr>
      <w:r>
        <w:t xml:space="preserve">The </w:t>
      </w:r>
      <w:r w:rsidR="000D1E25">
        <w:t xml:space="preserve">lead </w:t>
      </w:r>
      <w:r>
        <w:t>researcher used a</w:t>
      </w:r>
      <w:r w:rsidR="001F71E8">
        <w:t>n eight</w:t>
      </w:r>
      <w:r w:rsidR="005A280F">
        <w:t xml:space="preserve">-item, </w:t>
      </w:r>
      <w:r>
        <w:t xml:space="preserve">semi-structured interview protocol to conduct </w:t>
      </w:r>
      <w:r w:rsidR="00E56EBC">
        <w:t>all nine</w:t>
      </w:r>
      <w:r>
        <w:t xml:space="preserve"> interview</w:t>
      </w:r>
      <w:r w:rsidR="00E56EBC">
        <w:t>s</w:t>
      </w:r>
      <w:r>
        <w:t xml:space="preserve">. </w:t>
      </w:r>
      <w:r w:rsidR="000D1E25">
        <w:rPr>
          <w:rFonts w:eastAsia="Times New Roman" w:cs="Times New Roman"/>
          <w:szCs w:val="24"/>
        </w:rPr>
        <w:t>Before</w:t>
      </w:r>
      <w:r w:rsidR="000D1E25">
        <w:rPr>
          <w:rFonts w:eastAsia="Times New Roman" w:cs="Times New Roman"/>
          <w:color w:val="000000"/>
          <w:szCs w:val="24"/>
        </w:rPr>
        <w:t xml:space="preserve"> conducting the interviews, the lead researcher consulted a panel of three agricultural teacher educators to review the interview questions for clarity. Each agricultural teacher educator had prior experience and appropriate expertise in conducting qualitative research. </w:t>
      </w:r>
      <w:r w:rsidR="00AC52D1">
        <w:rPr>
          <w:rFonts w:eastAsia="Times New Roman" w:cs="Times New Roman"/>
          <w:color w:val="000000"/>
          <w:szCs w:val="24"/>
        </w:rPr>
        <w:t xml:space="preserve">The lead researcher used their feedback to adjust the interview protocol accordingly prior to its use. </w:t>
      </w:r>
      <w:r w:rsidR="00AC52D1">
        <w:t>T</w:t>
      </w:r>
      <w:r>
        <w:t xml:space="preserve">he </w:t>
      </w:r>
      <w:r w:rsidR="004C4D14">
        <w:t xml:space="preserve">lead </w:t>
      </w:r>
      <w:r>
        <w:t xml:space="preserve">researcher audio- and video-recorded each </w:t>
      </w:r>
      <w:r w:rsidR="00AC52D1">
        <w:t xml:space="preserve">of the nine </w:t>
      </w:r>
      <w:r w:rsidR="001F71E8">
        <w:t>one-on-one</w:t>
      </w:r>
      <w:r>
        <w:t xml:space="preserve"> interview</w:t>
      </w:r>
      <w:r w:rsidR="00AC52D1">
        <w:t>s</w:t>
      </w:r>
      <w:r>
        <w:t xml:space="preserve">, transcribed each interview </w:t>
      </w:r>
      <w:r w:rsidR="00AC52D1" w:rsidRPr="00AC52D1">
        <w:t>verbatim</w:t>
      </w:r>
      <w:r>
        <w:t xml:space="preserve">, and assigned each participant a pseudonym. After the transcription process concluded, the </w:t>
      </w:r>
      <w:r w:rsidR="004C4D14">
        <w:t xml:space="preserve">lead </w:t>
      </w:r>
      <w:r>
        <w:t xml:space="preserve">researcher </w:t>
      </w:r>
      <w:r w:rsidR="004C4D14">
        <w:t>followed-up</w:t>
      </w:r>
      <w:r w:rsidR="00AC52D1">
        <w:t xml:space="preserve"> with</w:t>
      </w:r>
      <w:r>
        <w:t xml:space="preserve"> each participant </w:t>
      </w:r>
      <w:r w:rsidR="00AC52D1">
        <w:t xml:space="preserve">via e-mail and asked them </w:t>
      </w:r>
      <w:r>
        <w:t>to review their interview transcript to ensure accuracy.</w:t>
      </w:r>
      <w:r w:rsidR="0089513F">
        <w:t xml:space="preserve"> </w:t>
      </w:r>
      <w:r w:rsidR="000D1E25">
        <w:rPr>
          <w:rFonts w:eastAsia="Calibri"/>
        </w:rPr>
        <w:t>We</w:t>
      </w:r>
      <w:r w:rsidR="003F5B2A" w:rsidRPr="003F5B2A">
        <w:rPr>
          <w:rFonts w:eastAsia="Calibri"/>
        </w:rPr>
        <w:t xml:space="preserve"> used IBM</w:t>
      </w:r>
      <w:r w:rsidR="003F5B2A" w:rsidRPr="00956570">
        <w:rPr>
          <w:rFonts w:eastAsia="Calibri"/>
          <w:vertAlign w:val="superscript"/>
        </w:rPr>
        <w:t>®</w:t>
      </w:r>
      <w:r w:rsidR="003F5B2A" w:rsidRPr="003F5B2A">
        <w:rPr>
          <w:rFonts w:eastAsia="Calibri"/>
        </w:rPr>
        <w:t xml:space="preserve"> SPSS</w:t>
      </w:r>
      <w:r w:rsidR="00956570">
        <w:rPr>
          <w:rFonts w:eastAsia="Calibri" w:cs="Times New Roman"/>
          <w:vertAlign w:val="superscript"/>
        </w:rPr>
        <w:t>®</w:t>
      </w:r>
      <w:r w:rsidR="003F5B2A" w:rsidRPr="003F5B2A">
        <w:rPr>
          <w:rFonts w:eastAsia="Calibri"/>
        </w:rPr>
        <w:t xml:space="preserve"> Software </w:t>
      </w:r>
      <w:r w:rsidR="00FA6422">
        <w:rPr>
          <w:rFonts w:eastAsia="Calibri"/>
        </w:rPr>
        <w:t>(</w:t>
      </w:r>
      <w:r w:rsidR="003F5B2A" w:rsidRPr="003F5B2A">
        <w:rPr>
          <w:rFonts w:eastAsia="Calibri"/>
        </w:rPr>
        <w:t>Version 29.0</w:t>
      </w:r>
      <w:r w:rsidR="00FA6422">
        <w:rPr>
          <w:rFonts w:eastAsia="Calibri"/>
        </w:rPr>
        <w:t>)</w:t>
      </w:r>
      <w:r w:rsidR="003F5B2A" w:rsidRPr="003F5B2A">
        <w:rPr>
          <w:rFonts w:eastAsia="Calibri"/>
        </w:rPr>
        <w:t xml:space="preserve"> to analyze the data collected from the pre-interview questionnaire. Specifically, </w:t>
      </w:r>
      <w:r w:rsidR="000D1E25">
        <w:rPr>
          <w:rFonts w:eastAsia="Calibri"/>
        </w:rPr>
        <w:t>we</w:t>
      </w:r>
      <w:r w:rsidR="003F5B2A" w:rsidRPr="003F5B2A">
        <w:rPr>
          <w:rFonts w:eastAsia="Calibri"/>
        </w:rPr>
        <w:t xml:space="preserve"> used frequencies and percentages to analyze these data. Regarding the data collected during the interviews, </w:t>
      </w:r>
      <w:r w:rsidR="000D1E25">
        <w:rPr>
          <w:rFonts w:eastAsia="Calibri"/>
        </w:rPr>
        <w:t>we</w:t>
      </w:r>
      <w:r w:rsidR="003F5B2A" w:rsidRPr="003F5B2A">
        <w:rPr>
          <w:rFonts w:eastAsia="Calibri"/>
        </w:rPr>
        <w:t xml:space="preserve"> employed thematic analysis procedures to analyze the data. As </w:t>
      </w:r>
      <w:r w:rsidR="008E0951">
        <w:rPr>
          <w:rFonts w:eastAsia="Calibri"/>
        </w:rPr>
        <w:t>noted</w:t>
      </w:r>
      <w:r w:rsidR="003F5B2A" w:rsidRPr="003F5B2A">
        <w:rPr>
          <w:rFonts w:eastAsia="Calibri"/>
        </w:rPr>
        <w:t xml:space="preserve"> by Creswell and Poth (2018), themes “are broad units of information that consist of several codes aggregated to form a common idea” (p. 328). Thematic analysis involves the identification and interpretation of emergent patterns (Creswell &amp; Poth, 2018).</w:t>
      </w:r>
    </w:p>
    <w:p w14:paraId="6A4B8947" w14:textId="77777777" w:rsidR="003F5B2A" w:rsidRDefault="003F5B2A" w:rsidP="003F5B2A">
      <w:pPr>
        <w:spacing w:after="0" w:line="240" w:lineRule="auto"/>
        <w:ind w:firstLine="720"/>
        <w:rPr>
          <w:rFonts w:eastAsia="Calibri"/>
        </w:rPr>
      </w:pPr>
    </w:p>
    <w:p w14:paraId="43AE1AB8" w14:textId="79471DE6" w:rsidR="003F5B2A" w:rsidRPr="003F5B2A" w:rsidRDefault="003F5B2A" w:rsidP="003F5B2A">
      <w:pPr>
        <w:spacing w:after="0" w:line="240" w:lineRule="auto"/>
        <w:ind w:firstLine="720"/>
        <w:rPr>
          <w:rFonts w:eastAsia="Calibri"/>
        </w:rPr>
      </w:pPr>
      <w:r w:rsidRPr="003F5B2A">
        <w:rPr>
          <w:rFonts w:eastAsia="Calibri"/>
        </w:rPr>
        <w:t xml:space="preserve">Before initiating the </w:t>
      </w:r>
      <w:r w:rsidR="000D1E25">
        <w:rPr>
          <w:rFonts w:eastAsia="Calibri"/>
        </w:rPr>
        <w:t xml:space="preserve">qualitative </w:t>
      </w:r>
      <w:r w:rsidRPr="003F5B2A">
        <w:rPr>
          <w:rFonts w:eastAsia="Calibri"/>
        </w:rPr>
        <w:t xml:space="preserve">data analysis process, </w:t>
      </w:r>
      <w:r w:rsidR="000D1E25">
        <w:rPr>
          <w:rFonts w:eastAsia="Calibri"/>
        </w:rPr>
        <w:t>the lead researcher</w:t>
      </w:r>
      <w:r w:rsidRPr="003F5B2A">
        <w:rPr>
          <w:rFonts w:eastAsia="Calibri"/>
        </w:rPr>
        <w:t xml:space="preserve"> de-identified all interview transcripts and assigned each of the nine participants a pseudonym. The </w:t>
      </w:r>
      <w:r w:rsidR="000D1E25">
        <w:rPr>
          <w:rFonts w:eastAsia="Calibri"/>
        </w:rPr>
        <w:t xml:space="preserve">lead </w:t>
      </w:r>
      <w:r w:rsidRPr="003F5B2A">
        <w:rPr>
          <w:rFonts w:eastAsia="Calibri"/>
        </w:rPr>
        <w:t>researcher then distributed the de-identified interview transcripts to two agricultural teacher educators with experience in qualitative research. Doing so facilitated triangulation between multiple individuals, which a</w:t>
      </w:r>
      <w:r w:rsidR="00D16BF3">
        <w:rPr>
          <w:rFonts w:eastAsia="Calibri"/>
        </w:rPr>
        <w:t>dds</w:t>
      </w:r>
      <w:r w:rsidRPr="003F5B2A">
        <w:rPr>
          <w:rFonts w:eastAsia="Calibri"/>
        </w:rPr>
        <w:t xml:space="preserve"> validity </w:t>
      </w:r>
      <w:r w:rsidR="00D16BF3">
        <w:rPr>
          <w:rFonts w:eastAsia="Calibri"/>
        </w:rPr>
        <w:t>to our study</w:t>
      </w:r>
      <w:r w:rsidRPr="003F5B2A">
        <w:rPr>
          <w:rFonts w:eastAsia="Calibri"/>
        </w:rPr>
        <w:t xml:space="preserve"> (Creswell &amp; Poth, 2018). The</w:t>
      </w:r>
      <w:r w:rsidR="00D16BF3">
        <w:rPr>
          <w:rFonts w:eastAsia="Calibri"/>
        </w:rPr>
        <w:t xml:space="preserve"> lead</w:t>
      </w:r>
      <w:r w:rsidRPr="003F5B2A">
        <w:rPr>
          <w:rFonts w:eastAsia="Calibri"/>
        </w:rPr>
        <w:t xml:space="preserve"> researcher and the two agricultural teacher educators independently reviewed the nine interview transcripts. Each developed and maintained their respective codebooks, memos, and audit trails. Afterward, the </w:t>
      </w:r>
      <w:r w:rsidR="000D1E25">
        <w:rPr>
          <w:rFonts w:eastAsia="Calibri"/>
        </w:rPr>
        <w:t xml:space="preserve">lead </w:t>
      </w:r>
      <w:r w:rsidRPr="003F5B2A">
        <w:rPr>
          <w:rFonts w:eastAsia="Calibri"/>
        </w:rPr>
        <w:t xml:space="preserve">researcher met with the two agricultural teacher educators via Zoom for a debriefing meeting to review the data, identify emerging themes, and discuss their respective findings. </w:t>
      </w:r>
    </w:p>
    <w:p w14:paraId="652133CC" w14:textId="77777777" w:rsidR="003F5B2A" w:rsidRDefault="003F5B2A" w:rsidP="003F5B2A">
      <w:pPr>
        <w:spacing w:after="0" w:line="240" w:lineRule="auto"/>
        <w:ind w:firstLine="720"/>
        <w:rPr>
          <w:rFonts w:eastAsia="Calibri"/>
        </w:rPr>
      </w:pPr>
    </w:p>
    <w:p w14:paraId="105E2A4B" w14:textId="2D101DC7" w:rsidR="003F5B2A" w:rsidRDefault="003F5B2A" w:rsidP="003F5B2A">
      <w:pPr>
        <w:spacing w:after="0" w:line="240" w:lineRule="auto"/>
        <w:ind w:firstLine="720"/>
        <w:rPr>
          <w:rFonts w:eastAsia="Calibri"/>
        </w:rPr>
      </w:pPr>
      <w:r w:rsidRPr="003F5B2A">
        <w:rPr>
          <w:rFonts w:eastAsia="Calibri"/>
        </w:rPr>
        <w:t xml:space="preserve">Regarding the trustworthiness of the research process, </w:t>
      </w:r>
      <w:r w:rsidR="000D1E25">
        <w:rPr>
          <w:rFonts w:eastAsia="Calibri"/>
        </w:rPr>
        <w:t>we</w:t>
      </w:r>
      <w:r w:rsidRPr="003F5B2A">
        <w:rPr>
          <w:rFonts w:eastAsia="Calibri"/>
        </w:rPr>
        <w:t xml:space="preserve"> established credibility, transferability, dependability, and confirmability. The </w:t>
      </w:r>
      <w:r w:rsidR="000D1E25">
        <w:rPr>
          <w:rFonts w:eastAsia="Calibri"/>
        </w:rPr>
        <w:t xml:space="preserve">lead </w:t>
      </w:r>
      <w:r w:rsidRPr="003F5B2A">
        <w:rPr>
          <w:rFonts w:eastAsia="Calibri"/>
        </w:rPr>
        <w:t xml:space="preserve">researcher employed both member-checking procedures with the nine participants and triangulation to help ensure credibility. To help ensure transferability, the </w:t>
      </w:r>
      <w:r w:rsidR="000D1E25">
        <w:rPr>
          <w:rFonts w:eastAsia="Calibri"/>
        </w:rPr>
        <w:t xml:space="preserve">lead </w:t>
      </w:r>
      <w:r w:rsidRPr="003F5B2A">
        <w:rPr>
          <w:rFonts w:eastAsia="Calibri"/>
        </w:rPr>
        <w:t xml:space="preserve">researcher employed rich, thick descriptions of the participants and the data they provided. The </w:t>
      </w:r>
      <w:r w:rsidR="000D1E25">
        <w:rPr>
          <w:rFonts w:eastAsia="Calibri"/>
        </w:rPr>
        <w:t xml:space="preserve">lead </w:t>
      </w:r>
      <w:r w:rsidRPr="003F5B2A">
        <w:rPr>
          <w:rFonts w:eastAsia="Calibri"/>
        </w:rPr>
        <w:t xml:space="preserve">researcher employed an audit trail to help maintain dependability. Lastly, the </w:t>
      </w:r>
      <w:r w:rsidR="000D1E25">
        <w:rPr>
          <w:rFonts w:eastAsia="Calibri"/>
        </w:rPr>
        <w:t xml:space="preserve">lead </w:t>
      </w:r>
      <w:r w:rsidRPr="003F5B2A">
        <w:rPr>
          <w:rFonts w:eastAsia="Calibri"/>
        </w:rPr>
        <w:t xml:space="preserve">researcher used an audit trail, a subjectivity statement, </w:t>
      </w:r>
      <w:r w:rsidRPr="003F5B2A">
        <w:rPr>
          <w:rFonts w:eastAsia="Calibri"/>
        </w:rPr>
        <w:lastRenderedPageBreak/>
        <w:t>and triangulation to help ensure confirmability. Such procedures are important components of the qualitative research process (Creswell &amp; Poth, 2018).</w:t>
      </w:r>
    </w:p>
    <w:p w14:paraId="5E532399" w14:textId="36898949" w:rsidR="00437F34" w:rsidRDefault="00437F34" w:rsidP="003F5B2A">
      <w:pPr>
        <w:spacing w:after="0" w:line="240" w:lineRule="auto"/>
        <w:ind w:firstLine="720"/>
        <w:rPr>
          <w:rFonts w:eastAsia="Calibri"/>
        </w:rPr>
      </w:pPr>
    </w:p>
    <w:p w14:paraId="0E9485D2" w14:textId="77777777" w:rsidR="00437F34" w:rsidRDefault="00437F34" w:rsidP="00437F34">
      <w:pPr>
        <w:spacing w:after="0" w:line="240" w:lineRule="auto"/>
        <w:jc w:val="center"/>
      </w:pPr>
      <w:r w:rsidRPr="005922BA">
        <w:rPr>
          <w:b/>
        </w:rPr>
        <w:t>Subjectivity</w:t>
      </w:r>
      <w:r w:rsidRPr="00355322">
        <w:t xml:space="preserve"> </w:t>
      </w:r>
      <w:r w:rsidRPr="005922BA">
        <w:rPr>
          <w:b/>
        </w:rPr>
        <w:t>Statement</w:t>
      </w:r>
    </w:p>
    <w:p w14:paraId="72DE811C" w14:textId="77777777" w:rsidR="00437F34" w:rsidRPr="00355322" w:rsidRDefault="00437F34" w:rsidP="00437F34">
      <w:pPr>
        <w:spacing w:after="0" w:line="240" w:lineRule="auto"/>
        <w:jc w:val="center"/>
      </w:pPr>
    </w:p>
    <w:p w14:paraId="5D0BF55F" w14:textId="016A4D0F" w:rsidR="00437F34" w:rsidRPr="00355322" w:rsidRDefault="00437F34" w:rsidP="00437F34">
      <w:pPr>
        <w:spacing w:after="0" w:line="240" w:lineRule="auto"/>
        <w:ind w:firstLine="720"/>
      </w:pPr>
      <w:r w:rsidRPr="00355322">
        <w:t xml:space="preserve">Identifying researchers’ biases is an important component of effective qualitative research (Creswell &amp; Poth, 2018). As noted by Mott and Haddad (2024), the use of bracketing helps to negate researcher biases while enhancing both rigor and trustworthiness of the scholarly work being done. It is consequently imperative that </w:t>
      </w:r>
      <w:r>
        <w:t>we</w:t>
      </w:r>
      <w:r w:rsidRPr="00355322">
        <w:t xml:space="preserve"> acknowledge and do</w:t>
      </w:r>
      <w:r>
        <w:t xml:space="preserve"> </w:t>
      </w:r>
      <w:r w:rsidRPr="00355322">
        <w:t xml:space="preserve">such within the scope of </w:t>
      </w:r>
      <w:r>
        <w:t>our</w:t>
      </w:r>
      <w:r w:rsidRPr="00355322">
        <w:t xml:space="preserve"> study. The </w:t>
      </w:r>
      <w:r>
        <w:t xml:space="preserve">lead </w:t>
      </w:r>
      <w:r w:rsidRPr="00355322">
        <w:t>researcher is current</w:t>
      </w:r>
      <w:r>
        <w:t>ly an</w:t>
      </w:r>
      <w:r w:rsidRPr="00355322">
        <w:t xml:space="preserve"> agriculture teacher in </w:t>
      </w:r>
      <w:r w:rsidR="0039263C">
        <w:t>Kentucky</w:t>
      </w:r>
      <w:r w:rsidRPr="00355322">
        <w:t xml:space="preserve"> and has been for over a decade. Further, the </w:t>
      </w:r>
      <w:r>
        <w:t xml:space="preserve">lead </w:t>
      </w:r>
      <w:r w:rsidRPr="00355322">
        <w:t xml:space="preserve">researcher actively incorporates industry credentialing for students enrolled in the Agricultural Education </w:t>
      </w:r>
      <w:r>
        <w:t>program in which</w:t>
      </w:r>
      <w:r w:rsidRPr="00355322">
        <w:t xml:space="preserve"> she teaches. The </w:t>
      </w:r>
      <w:r>
        <w:t xml:space="preserve">lead </w:t>
      </w:r>
      <w:r w:rsidRPr="00355322">
        <w:t xml:space="preserve">researcher has had a variety of both positive and negative experiences related to the industry credentialing process. Further, the </w:t>
      </w:r>
      <w:r>
        <w:t>other co-authors of</w:t>
      </w:r>
      <w:r w:rsidRPr="00355322">
        <w:t xml:space="preserve"> the</w:t>
      </w:r>
      <w:r>
        <w:t xml:space="preserve"> current</w:t>
      </w:r>
      <w:r w:rsidRPr="00355322">
        <w:t xml:space="preserve"> </w:t>
      </w:r>
      <w:r>
        <w:t>study</w:t>
      </w:r>
      <w:r w:rsidRPr="00355322">
        <w:t xml:space="preserve"> were formerly agriculture teachers in public schools. They likewise worked to facilitate the industry credentialing process for their former students and experienced both positive and negative aspects of that process.</w:t>
      </w:r>
    </w:p>
    <w:p w14:paraId="3BF4D2B4" w14:textId="77777777" w:rsidR="000D1E25" w:rsidRPr="00087552" w:rsidRDefault="000D1E25" w:rsidP="003F5B2A">
      <w:pPr>
        <w:spacing w:after="0" w:line="240" w:lineRule="auto"/>
        <w:ind w:firstLine="720"/>
        <w:rPr>
          <w:rFonts w:eastAsia="Calibri"/>
        </w:rPr>
      </w:pPr>
    </w:p>
    <w:p w14:paraId="06768A8D" w14:textId="261F77CA" w:rsidR="000B3385" w:rsidRDefault="00780C33" w:rsidP="00884E4F">
      <w:pPr>
        <w:spacing w:after="0" w:line="240" w:lineRule="auto"/>
        <w:jc w:val="center"/>
        <w:rPr>
          <w:b/>
        </w:rPr>
      </w:pPr>
      <w:r>
        <w:rPr>
          <w:b/>
        </w:rPr>
        <w:t>Findings</w:t>
      </w:r>
    </w:p>
    <w:p w14:paraId="434D367D" w14:textId="043032E1" w:rsidR="000B3385" w:rsidRDefault="000B3385" w:rsidP="00884E4F">
      <w:pPr>
        <w:spacing w:after="0" w:line="240" w:lineRule="auto"/>
        <w:jc w:val="center"/>
        <w:rPr>
          <w:b/>
        </w:rPr>
      </w:pPr>
    </w:p>
    <w:p w14:paraId="06546D34" w14:textId="16328EA2" w:rsidR="007E7C4A" w:rsidRDefault="006262ED" w:rsidP="007E7C4A">
      <w:pPr>
        <w:spacing w:after="0" w:line="240" w:lineRule="auto"/>
        <w:rPr>
          <w:rFonts w:eastAsia="Times New Roman" w:cs="Times New Roman"/>
          <w:szCs w:val="24"/>
        </w:rPr>
      </w:pPr>
      <w:r>
        <w:rPr>
          <w:b/>
        </w:rPr>
        <w:tab/>
      </w:r>
      <w:r w:rsidR="00480846">
        <w:t>Regarding demographics, the typical participant: (1)</w:t>
      </w:r>
      <w:r w:rsidR="007E7C4A">
        <w:rPr>
          <w:b/>
        </w:rPr>
        <w:t xml:space="preserve"> </w:t>
      </w:r>
      <w:r w:rsidR="007E7C4A">
        <w:rPr>
          <w:rFonts w:eastAsia="Times New Roman" w:cs="Times New Roman"/>
          <w:szCs w:val="24"/>
        </w:rPr>
        <w:t xml:space="preserve">had served as an agriculture teacher in </w:t>
      </w:r>
      <w:r w:rsidR="0039263C">
        <w:rPr>
          <w:rFonts w:eastAsia="Times New Roman" w:cs="Times New Roman"/>
          <w:szCs w:val="24"/>
        </w:rPr>
        <w:t>Kentucky</w:t>
      </w:r>
      <w:r w:rsidR="007E7C4A">
        <w:rPr>
          <w:rFonts w:eastAsia="Times New Roman" w:cs="Times New Roman"/>
          <w:szCs w:val="24"/>
        </w:rPr>
        <w:t xml:space="preserve"> for an average of 13.11 years (</w:t>
      </w:r>
      <w:r w:rsidR="007E7C4A">
        <w:rPr>
          <w:rFonts w:eastAsia="Times New Roman" w:cs="Times New Roman"/>
          <w:i/>
          <w:szCs w:val="24"/>
        </w:rPr>
        <w:t xml:space="preserve">SD </w:t>
      </w:r>
      <w:r w:rsidR="007E7C4A">
        <w:rPr>
          <w:rFonts w:eastAsia="Times New Roman" w:cs="Times New Roman"/>
          <w:szCs w:val="24"/>
        </w:rPr>
        <w:t xml:space="preserve">= 7.15), </w:t>
      </w:r>
      <w:r w:rsidR="00480846">
        <w:rPr>
          <w:rFonts w:eastAsia="Times New Roman" w:cs="Times New Roman"/>
          <w:szCs w:val="24"/>
        </w:rPr>
        <w:t xml:space="preserve">(2) </w:t>
      </w:r>
      <w:r w:rsidR="007E7C4A">
        <w:rPr>
          <w:rFonts w:eastAsia="Times New Roman" w:cs="Times New Roman"/>
          <w:szCs w:val="24"/>
        </w:rPr>
        <w:t>had facilitated industry credentialing / certifications for students for an average of 7.33 years (</w:t>
      </w:r>
      <w:r w:rsidR="007E7C4A">
        <w:rPr>
          <w:rFonts w:eastAsia="Times New Roman" w:cs="Times New Roman"/>
          <w:i/>
          <w:szCs w:val="24"/>
        </w:rPr>
        <w:t xml:space="preserve">SD </w:t>
      </w:r>
      <w:r w:rsidR="007E7C4A">
        <w:rPr>
          <w:rFonts w:eastAsia="Times New Roman" w:cs="Times New Roman"/>
          <w:szCs w:val="24"/>
        </w:rPr>
        <w:t>= 5.31), (</w:t>
      </w:r>
      <w:r w:rsidR="00480846">
        <w:rPr>
          <w:rFonts w:eastAsia="Times New Roman" w:cs="Times New Roman"/>
          <w:szCs w:val="24"/>
        </w:rPr>
        <w:t>3</w:t>
      </w:r>
      <w:r w:rsidR="007E7C4A">
        <w:rPr>
          <w:rFonts w:eastAsia="Times New Roman" w:cs="Times New Roman"/>
          <w:szCs w:val="24"/>
        </w:rPr>
        <w:t>) taught courses in the Plant Systems career pathway (</w:t>
      </w:r>
      <w:r w:rsidR="007E7C4A">
        <w:rPr>
          <w:rFonts w:eastAsia="Times New Roman" w:cs="Times New Roman"/>
          <w:i/>
          <w:szCs w:val="24"/>
        </w:rPr>
        <w:t xml:space="preserve">n </w:t>
      </w:r>
      <w:r w:rsidR="007E7C4A">
        <w:rPr>
          <w:rFonts w:eastAsia="Times New Roman" w:cs="Times New Roman"/>
          <w:szCs w:val="24"/>
        </w:rPr>
        <w:t>= 6; 66.7%), and (</w:t>
      </w:r>
      <w:r w:rsidR="00480846">
        <w:rPr>
          <w:rFonts w:eastAsia="Times New Roman" w:cs="Times New Roman"/>
          <w:szCs w:val="24"/>
        </w:rPr>
        <w:t>4</w:t>
      </w:r>
      <w:r w:rsidR="007E7C4A">
        <w:rPr>
          <w:rFonts w:eastAsia="Times New Roman" w:cs="Times New Roman"/>
          <w:szCs w:val="24"/>
        </w:rPr>
        <w:t xml:space="preserve">) taught in public schools located in Western </w:t>
      </w:r>
      <w:r w:rsidR="0039263C">
        <w:rPr>
          <w:rFonts w:eastAsia="Times New Roman" w:cs="Times New Roman"/>
          <w:szCs w:val="24"/>
        </w:rPr>
        <w:t>Kentucky</w:t>
      </w:r>
      <w:r w:rsidR="007E7C4A">
        <w:rPr>
          <w:rFonts w:eastAsia="Times New Roman" w:cs="Times New Roman"/>
          <w:szCs w:val="24"/>
        </w:rPr>
        <w:t xml:space="preserve"> (</w:t>
      </w:r>
      <w:r w:rsidR="007E7C4A">
        <w:rPr>
          <w:rFonts w:eastAsia="Times New Roman" w:cs="Times New Roman"/>
          <w:i/>
          <w:szCs w:val="24"/>
        </w:rPr>
        <w:t xml:space="preserve">n </w:t>
      </w:r>
      <w:r w:rsidR="007E7C4A">
        <w:rPr>
          <w:rFonts w:eastAsia="Times New Roman" w:cs="Times New Roman"/>
          <w:szCs w:val="24"/>
        </w:rPr>
        <w:t xml:space="preserve">= 6; 66.7%). </w:t>
      </w:r>
      <w:r w:rsidR="00967606">
        <w:t>E</w:t>
      </w:r>
      <w:r w:rsidR="007E7C4A">
        <w:rPr>
          <w:rFonts w:eastAsia="Times New Roman" w:cs="Times New Roman"/>
          <w:szCs w:val="24"/>
        </w:rPr>
        <w:t>ight distinct themes emerged</w:t>
      </w:r>
      <w:r w:rsidR="00967606">
        <w:rPr>
          <w:rFonts w:eastAsia="Times New Roman" w:cs="Times New Roman"/>
          <w:szCs w:val="24"/>
        </w:rPr>
        <w:t xml:space="preserve"> across</w:t>
      </w:r>
      <w:r w:rsidR="007E7C4A">
        <w:rPr>
          <w:rFonts w:eastAsia="Times New Roman" w:cs="Times New Roman"/>
          <w:szCs w:val="24"/>
        </w:rPr>
        <w:t xml:space="preserve"> all nine interviews.</w:t>
      </w:r>
    </w:p>
    <w:p w14:paraId="53D900F3" w14:textId="77777777" w:rsidR="0050497A" w:rsidRPr="006262ED" w:rsidRDefault="0050497A" w:rsidP="006262ED">
      <w:pPr>
        <w:spacing w:after="0" w:line="240" w:lineRule="auto"/>
      </w:pPr>
    </w:p>
    <w:p w14:paraId="42B1C948" w14:textId="77777777" w:rsidR="008F093C" w:rsidRPr="008F093C" w:rsidRDefault="008F093C" w:rsidP="008F093C">
      <w:pPr>
        <w:spacing w:after="0" w:line="240" w:lineRule="auto"/>
        <w:rPr>
          <w:b/>
        </w:rPr>
      </w:pPr>
      <w:r w:rsidRPr="008F093C">
        <w:rPr>
          <w:b/>
        </w:rPr>
        <w:t>Integration into Existing Course Curriculum Based on Career Pathways and Alignment</w:t>
      </w:r>
    </w:p>
    <w:p w14:paraId="5EEFB037" w14:textId="77777777" w:rsidR="008F093C" w:rsidRDefault="008F093C" w:rsidP="008F093C">
      <w:pPr>
        <w:spacing w:after="0" w:line="240" w:lineRule="auto"/>
      </w:pPr>
      <w:r>
        <w:tab/>
      </w:r>
    </w:p>
    <w:p w14:paraId="4CBBF468" w14:textId="18B76F58" w:rsidR="008F093C" w:rsidRDefault="008F093C" w:rsidP="006776AD">
      <w:pPr>
        <w:spacing w:after="0" w:line="240" w:lineRule="auto"/>
        <w:ind w:firstLine="720"/>
      </w:pPr>
      <w:r>
        <w:t xml:space="preserve">When asked to consider how to best prepare students for success in industry credentialing programs, participants tended to reflect on ways that certification curricula are used within existing coursework. </w:t>
      </w:r>
      <w:r w:rsidR="002857AF">
        <w:t xml:space="preserve">Travis (pseudonym) </w:t>
      </w:r>
      <w:r w:rsidR="00B97AEF">
        <w:t>opined</w:t>
      </w:r>
      <w:r w:rsidR="002857AF">
        <w:t>, “</w:t>
      </w:r>
      <w:r w:rsidR="002857AF" w:rsidRPr="002857AF">
        <w:t>I think the best thing that I can do to better prepare my kids for those certifications is just good classroom instruction… making sure they understand those components.”</w:t>
      </w:r>
      <w:r w:rsidR="002857AF">
        <w:t xml:space="preserve"> </w:t>
      </w:r>
      <w:r>
        <w:t>Participants also reported higher student success in industry credentialing when a high level of consideration and planning was given to the proper alignment of the course and</w:t>
      </w:r>
      <w:r w:rsidR="00730174">
        <w:t xml:space="preserve"> career</w:t>
      </w:r>
      <w:r>
        <w:t xml:space="preserve"> pathway in which the industry certificate program was offered. The overall ease of implementation for participants and the </w:t>
      </w:r>
      <w:r w:rsidR="006776AD">
        <w:t>overall</w:t>
      </w:r>
      <w:r>
        <w:t xml:space="preserve"> success rates associated with industry credentialing were expressed to be higher in </w:t>
      </w:r>
      <w:r w:rsidR="006776AD">
        <w:t xml:space="preserve">Agricultural Education </w:t>
      </w:r>
      <w:r>
        <w:t>programs that considered proper course-to-certification alignment.</w:t>
      </w:r>
    </w:p>
    <w:p w14:paraId="54FD7416" w14:textId="77777777" w:rsidR="0083165C" w:rsidRDefault="0083165C" w:rsidP="008F093C">
      <w:pPr>
        <w:spacing w:after="0" w:line="240" w:lineRule="auto"/>
      </w:pPr>
    </w:p>
    <w:p w14:paraId="619C2514" w14:textId="1A5B438A" w:rsidR="008F093C" w:rsidRDefault="008F093C" w:rsidP="008F093C">
      <w:pPr>
        <w:spacing w:after="0" w:line="240" w:lineRule="auto"/>
        <w:rPr>
          <w:b/>
        </w:rPr>
      </w:pPr>
      <w:r w:rsidRPr="0083165C">
        <w:rPr>
          <w:b/>
        </w:rPr>
        <w:t>Facilitation of Online Platforms and Third-Party Vendors</w:t>
      </w:r>
    </w:p>
    <w:p w14:paraId="3A3ACCEA" w14:textId="77777777" w:rsidR="0083165C" w:rsidRPr="0083165C" w:rsidRDefault="0083165C" w:rsidP="008F093C">
      <w:pPr>
        <w:spacing w:after="0" w:line="240" w:lineRule="auto"/>
        <w:rPr>
          <w:b/>
        </w:rPr>
      </w:pPr>
    </w:p>
    <w:p w14:paraId="62CB302D" w14:textId="29F4981E" w:rsidR="008F093C" w:rsidRDefault="008F093C" w:rsidP="008F093C">
      <w:pPr>
        <w:spacing w:after="0" w:line="240" w:lineRule="auto"/>
      </w:pPr>
      <w:r>
        <w:tab/>
        <w:t xml:space="preserve">Participants primarily reported utilizing digitally-based credentialing solutions, such as iCEV, when preparing students for the various industry certifications available in Agricultural Education </w:t>
      </w:r>
      <w:r w:rsidR="006776AD">
        <w:t xml:space="preserve">career </w:t>
      </w:r>
      <w:r>
        <w:t xml:space="preserve">pathways in </w:t>
      </w:r>
      <w:r w:rsidR="0039263C">
        <w:t>Kentucky</w:t>
      </w:r>
      <w:r w:rsidR="0069472B">
        <w:t xml:space="preserve">. </w:t>
      </w:r>
      <w:r>
        <w:t xml:space="preserve">Participants reported that the requirements of the various </w:t>
      </w:r>
      <w:r w:rsidR="0069472B">
        <w:t xml:space="preserve">industry </w:t>
      </w:r>
      <w:r>
        <w:t>c</w:t>
      </w:r>
      <w:r w:rsidR="0069472B">
        <w:t>redentials</w:t>
      </w:r>
      <w:r>
        <w:t xml:space="preserve"> may vary, ranging from general knowledge coupled with hands-on skill </w:t>
      </w:r>
      <w:r w:rsidR="0069472B">
        <w:t xml:space="preserve">applications </w:t>
      </w:r>
      <w:r>
        <w:t xml:space="preserve">to fully digital, module-based curriculum delivery. </w:t>
      </w:r>
      <w:r w:rsidR="0069472B">
        <w:t>The participants also reported using</w:t>
      </w:r>
      <w:r>
        <w:t xml:space="preserve"> several industry credentialing programs sponsored by professional organizations </w:t>
      </w:r>
      <w:r>
        <w:lastRenderedPageBreak/>
        <w:t xml:space="preserve">in various industries that are not exclusively facilitated through digital platforms. </w:t>
      </w:r>
      <w:r w:rsidR="002857AF">
        <w:t>Brad (pseudonym) note</w:t>
      </w:r>
      <w:r w:rsidR="00B97AEF">
        <w:t>d</w:t>
      </w:r>
      <w:r w:rsidR="002857AF">
        <w:t xml:space="preserve">, </w:t>
      </w:r>
      <w:r w:rsidR="002857AF" w:rsidRPr="00D2076D">
        <w:rPr>
          <w:rFonts w:cs="Times New Roman"/>
        </w:rPr>
        <w:t xml:space="preserve">“We are now doing the AWS </w:t>
      </w:r>
      <w:r w:rsidR="002857AF">
        <w:rPr>
          <w:rFonts w:cs="Times New Roman"/>
        </w:rPr>
        <w:t xml:space="preserve">[American Welding Society] </w:t>
      </w:r>
      <w:r w:rsidR="002857AF" w:rsidRPr="00D2076D">
        <w:rPr>
          <w:rFonts w:cs="Times New Roman"/>
        </w:rPr>
        <w:t xml:space="preserve">certifications through American Welding Society… It's tough… but it's all stuff they’re going to actually use in industry.” </w:t>
      </w:r>
      <w:r>
        <w:t>Most participants reported using a combination of exclusively digitally-based credentialing platforms and c</w:t>
      </w:r>
      <w:r w:rsidR="0069472B">
        <w:t>redentialing</w:t>
      </w:r>
      <w:r>
        <w:t xml:space="preserve"> platforms requiring hands-on extension components, but the decisions on which options to integrate into the programs were primarily based on the existing career pathways in the program. Further, participants reported that a number of other factors ultimately influenced their decisions regarding which options to offer.</w:t>
      </w:r>
    </w:p>
    <w:p w14:paraId="6A1EDA20" w14:textId="77777777" w:rsidR="00F5322D" w:rsidRDefault="00F5322D" w:rsidP="008F093C">
      <w:pPr>
        <w:spacing w:after="0" w:line="240" w:lineRule="auto"/>
        <w:rPr>
          <w:b/>
        </w:rPr>
      </w:pPr>
    </w:p>
    <w:p w14:paraId="0409C846" w14:textId="34E2568B" w:rsidR="008F093C" w:rsidRDefault="008F093C" w:rsidP="008F093C">
      <w:pPr>
        <w:spacing w:after="0" w:line="240" w:lineRule="auto"/>
        <w:rPr>
          <w:b/>
        </w:rPr>
      </w:pPr>
      <w:r w:rsidRPr="008F093C">
        <w:rPr>
          <w:b/>
        </w:rPr>
        <w:t>Increased Career Readiness and Job Opportunities</w:t>
      </w:r>
    </w:p>
    <w:p w14:paraId="3DCF0A34" w14:textId="77777777" w:rsidR="008F093C" w:rsidRPr="008F093C" w:rsidRDefault="008F093C" w:rsidP="008F093C">
      <w:pPr>
        <w:spacing w:after="0" w:line="240" w:lineRule="auto"/>
        <w:rPr>
          <w:b/>
        </w:rPr>
      </w:pPr>
    </w:p>
    <w:p w14:paraId="50AECB58" w14:textId="568C0E01" w:rsidR="008F093C" w:rsidRDefault="008F093C" w:rsidP="008F093C">
      <w:pPr>
        <w:spacing w:after="0" w:line="240" w:lineRule="auto"/>
      </w:pPr>
      <w:r>
        <w:tab/>
        <w:t>Participants perceived that industry credentialing seem</w:t>
      </w:r>
      <w:r w:rsidR="00974ACD">
        <w:t>ed</w:t>
      </w:r>
      <w:r>
        <w:t xml:space="preserve"> to improve a student’s overall level of employability and tend</w:t>
      </w:r>
      <w:r w:rsidR="00974ACD">
        <w:t>ed</w:t>
      </w:r>
      <w:r>
        <w:t xml:space="preserve"> to externally signal job readiness and an ability to successfully enter into post-secondary opportunities. </w:t>
      </w:r>
      <w:r w:rsidR="00F140C1">
        <w:t xml:space="preserve">Kenzie (pseudonym) </w:t>
      </w:r>
      <w:r w:rsidR="00B97AEF">
        <w:t>expressed</w:t>
      </w:r>
      <w:r w:rsidR="00F140C1">
        <w:t xml:space="preserve">, </w:t>
      </w:r>
      <w:r w:rsidR="00F140C1" w:rsidRPr="00D2076D">
        <w:rPr>
          <w:rFonts w:cs="Times New Roman"/>
        </w:rPr>
        <w:t xml:space="preserve">“It’s something that they can walk up and say… I do have a certification.” </w:t>
      </w:r>
      <w:r>
        <w:t xml:space="preserve">Further, participants reported a higher level of student motivation </w:t>
      </w:r>
      <w:r w:rsidR="00832FA4">
        <w:t>if</w:t>
      </w:r>
      <w:r>
        <w:t xml:space="preserve"> the c</w:t>
      </w:r>
      <w:r w:rsidR="00832FA4">
        <w:t>redential</w:t>
      </w:r>
      <w:r>
        <w:t xml:space="preserve"> aligned with students’ post</w:t>
      </w:r>
      <w:r w:rsidR="00974ACD">
        <w:t>-s</w:t>
      </w:r>
      <w:r>
        <w:t>econdary career plans, but participants acknowledged the perceived benefits of c</w:t>
      </w:r>
      <w:r w:rsidR="00832FA4">
        <w:t>redentials</w:t>
      </w:r>
      <w:r>
        <w:t xml:space="preserve"> regardless of the area that </w:t>
      </w:r>
      <w:r w:rsidR="00832FA4">
        <w:t>it</w:t>
      </w:r>
      <w:r>
        <w:t xml:space="preserve"> align</w:t>
      </w:r>
      <w:r w:rsidR="00832FA4">
        <w:t>ed</w:t>
      </w:r>
      <w:r>
        <w:t xml:space="preserve"> with. </w:t>
      </w:r>
      <w:r w:rsidR="0045734D">
        <w:t>P</w:t>
      </w:r>
      <w:r>
        <w:t xml:space="preserve">articipants placed a high value on </w:t>
      </w:r>
      <w:r w:rsidR="00832FA4">
        <w:t>industry credential</w:t>
      </w:r>
      <w:r>
        <w:t>s that would directly link students to job opportunities and post</w:t>
      </w:r>
      <w:r w:rsidR="00974ACD">
        <w:t>-</w:t>
      </w:r>
      <w:r>
        <w:t>secondary job markets upon a student’s graduation</w:t>
      </w:r>
      <w:r w:rsidR="0045734D">
        <w:t>.</w:t>
      </w:r>
    </w:p>
    <w:p w14:paraId="19F714D0" w14:textId="77777777" w:rsidR="0083165C" w:rsidRDefault="0083165C" w:rsidP="008F093C">
      <w:pPr>
        <w:spacing w:after="0" w:line="240" w:lineRule="auto"/>
      </w:pPr>
    </w:p>
    <w:p w14:paraId="5CBBDB63" w14:textId="38E8EC44" w:rsidR="008F093C" w:rsidRDefault="008F093C" w:rsidP="008F093C">
      <w:pPr>
        <w:spacing w:after="0" w:line="240" w:lineRule="auto"/>
        <w:rPr>
          <w:b/>
        </w:rPr>
      </w:pPr>
      <w:r w:rsidRPr="0083165C">
        <w:rPr>
          <w:b/>
        </w:rPr>
        <w:t>Enhanced Student Confidence and Motivation</w:t>
      </w:r>
    </w:p>
    <w:p w14:paraId="5ABCCC29" w14:textId="77777777" w:rsidR="0083165C" w:rsidRPr="0083165C" w:rsidRDefault="0083165C" w:rsidP="008F093C">
      <w:pPr>
        <w:spacing w:after="0" w:line="240" w:lineRule="auto"/>
        <w:rPr>
          <w:b/>
        </w:rPr>
      </w:pPr>
    </w:p>
    <w:p w14:paraId="0FCBCEF3" w14:textId="245A979A" w:rsidR="008F093C" w:rsidRDefault="008F093C" w:rsidP="008F093C">
      <w:pPr>
        <w:spacing w:after="0" w:line="240" w:lineRule="auto"/>
      </w:pPr>
      <w:r>
        <w:tab/>
      </w:r>
      <w:r w:rsidR="00974ACD">
        <w:t>P</w:t>
      </w:r>
      <w:r>
        <w:t>articipants generally agreed that earning industry c</w:t>
      </w:r>
      <w:r w:rsidR="00974ACD">
        <w:t>redentials</w:t>
      </w:r>
      <w:r>
        <w:t xml:space="preserve"> </w:t>
      </w:r>
      <w:r w:rsidR="00832FA4">
        <w:t xml:space="preserve">appeared to </w:t>
      </w:r>
      <w:r>
        <w:t xml:space="preserve">help boost </w:t>
      </w:r>
      <w:r w:rsidR="00832FA4">
        <w:t xml:space="preserve">their </w:t>
      </w:r>
      <w:r>
        <w:t>student</w:t>
      </w:r>
      <w:r w:rsidR="00974ACD">
        <w:t>s’</w:t>
      </w:r>
      <w:r>
        <w:t xml:space="preserve"> self-esteem, confidence, and drive t</w:t>
      </w:r>
      <w:r w:rsidR="00832FA4">
        <w:t>hem to</w:t>
      </w:r>
      <w:r>
        <w:t xml:space="preserve"> achieve other personal goals. While obtaining industry credentials offered </w:t>
      </w:r>
      <w:r w:rsidR="00974ACD">
        <w:t>via</w:t>
      </w:r>
      <w:r>
        <w:t xml:space="preserve"> </w:t>
      </w:r>
      <w:r w:rsidR="00974ACD">
        <w:t>A</w:t>
      </w:r>
      <w:r>
        <w:t xml:space="preserve">gricultural </w:t>
      </w:r>
      <w:r w:rsidR="00974ACD">
        <w:t>E</w:t>
      </w:r>
      <w:r>
        <w:t>ducation programs may serve as the necessary motivation for successful completion for some students, participants relayed a variety of methods th</w:t>
      </w:r>
      <w:r w:rsidR="00974ACD">
        <w:t>ey used</w:t>
      </w:r>
      <w:r>
        <w:t xml:space="preserve"> to help increase student interest and motivation in obtaining the various </w:t>
      </w:r>
      <w:r w:rsidR="00974ACD">
        <w:t>industry credentials</w:t>
      </w:r>
      <w:r>
        <w:t xml:space="preserve"> offered </w:t>
      </w:r>
      <w:r w:rsidR="00974ACD">
        <w:t>within Agricultural Education</w:t>
      </w:r>
      <w:r>
        <w:t xml:space="preserve"> program</w:t>
      </w:r>
      <w:r w:rsidR="00974ACD">
        <w:t>s</w:t>
      </w:r>
      <w:r>
        <w:t>.</w:t>
      </w:r>
      <w:r w:rsidR="00974ACD">
        <w:t xml:space="preserve"> Further, m</w:t>
      </w:r>
      <w:r>
        <w:t xml:space="preserve">any participants shared </w:t>
      </w:r>
      <w:r w:rsidR="00974ACD">
        <w:t xml:space="preserve">that specialized </w:t>
      </w:r>
      <w:r>
        <w:t xml:space="preserve">graduation regalia and designation incentives </w:t>
      </w:r>
      <w:r w:rsidR="00832FA4">
        <w:t>were</w:t>
      </w:r>
      <w:r>
        <w:t xml:space="preserve"> </w:t>
      </w:r>
      <w:r w:rsidR="00974ACD">
        <w:t xml:space="preserve">often </w:t>
      </w:r>
      <w:r>
        <w:t>available to students who</w:t>
      </w:r>
      <w:r w:rsidR="00974ACD">
        <w:t xml:space="preserve"> earn</w:t>
      </w:r>
      <w:r>
        <w:t xml:space="preserve"> </w:t>
      </w:r>
      <w:r w:rsidR="005F2358">
        <w:t>at least one</w:t>
      </w:r>
      <w:r>
        <w:t xml:space="preserve"> industry c</w:t>
      </w:r>
      <w:r w:rsidR="00974ACD">
        <w:t>redential</w:t>
      </w:r>
      <w:r w:rsidR="00832FA4">
        <w:t xml:space="preserve"> at their respective schools</w:t>
      </w:r>
      <w:r>
        <w:t>.</w:t>
      </w:r>
      <w:r w:rsidR="00B97AEF">
        <w:t xml:space="preserve"> Kara (pseudonym) said, </w:t>
      </w:r>
      <w:r w:rsidR="00B97AEF" w:rsidRPr="00D2076D">
        <w:rPr>
          <w:rFonts w:cs="Times New Roman"/>
        </w:rPr>
        <w:t xml:space="preserve">“They earn their </w:t>
      </w:r>
      <w:r w:rsidR="00B97AEF">
        <w:rPr>
          <w:rFonts w:cs="Times New Roman"/>
        </w:rPr>
        <w:t xml:space="preserve">[industry] </w:t>
      </w:r>
      <w:r w:rsidR="00B97AEF" w:rsidRPr="00D2076D">
        <w:rPr>
          <w:rFonts w:cs="Times New Roman"/>
        </w:rPr>
        <w:t>certificate… and they get a special cord to wear at graduation.”</w:t>
      </w:r>
    </w:p>
    <w:p w14:paraId="3B10A277" w14:textId="77777777" w:rsidR="0083165C" w:rsidRDefault="0083165C" w:rsidP="008F093C">
      <w:pPr>
        <w:spacing w:after="0" w:line="240" w:lineRule="auto"/>
      </w:pPr>
    </w:p>
    <w:p w14:paraId="18CEF601" w14:textId="08358746" w:rsidR="008F093C" w:rsidRDefault="008F093C" w:rsidP="008F093C">
      <w:pPr>
        <w:spacing w:after="0" w:line="240" w:lineRule="auto"/>
        <w:rPr>
          <w:b/>
        </w:rPr>
      </w:pPr>
      <w:r w:rsidRPr="0083165C">
        <w:rPr>
          <w:b/>
        </w:rPr>
        <w:t>Limited Resources for Implementation and Completion</w:t>
      </w:r>
    </w:p>
    <w:p w14:paraId="08934C52" w14:textId="77777777" w:rsidR="0083165C" w:rsidRPr="0083165C" w:rsidRDefault="0083165C" w:rsidP="008F093C">
      <w:pPr>
        <w:spacing w:after="0" w:line="240" w:lineRule="auto"/>
        <w:rPr>
          <w:b/>
        </w:rPr>
      </w:pPr>
    </w:p>
    <w:p w14:paraId="4021B7FC" w14:textId="33ED710C" w:rsidR="008F093C" w:rsidRDefault="008F093C" w:rsidP="008F093C">
      <w:pPr>
        <w:spacing w:after="0" w:line="240" w:lineRule="auto"/>
      </w:pPr>
      <w:r>
        <w:tab/>
      </w:r>
      <w:r w:rsidR="005F2358">
        <w:t>Participants identified several limitations to successful industry credential implementation, such as</w:t>
      </w:r>
      <w:r>
        <w:t xml:space="preserve"> time, equipment</w:t>
      </w:r>
      <w:r w:rsidR="005F2358">
        <w:t xml:space="preserve"> availability</w:t>
      </w:r>
      <w:r>
        <w:t xml:space="preserve">, and resources. </w:t>
      </w:r>
      <w:r w:rsidR="006868B1">
        <w:t xml:space="preserve">Brad (pseudonym) indicated, </w:t>
      </w:r>
      <w:r w:rsidR="006868B1" w:rsidRPr="00821E72">
        <w:rPr>
          <w:rFonts w:cs="Times New Roman"/>
          <w:szCs w:val="24"/>
        </w:rPr>
        <w:t>“I</w:t>
      </w:r>
      <w:r w:rsidR="006868B1" w:rsidRPr="00821E72">
        <w:rPr>
          <w:rFonts w:cs="Times New Roman"/>
          <w:spacing w:val="-5"/>
          <w:szCs w:val="24"/>
        </w:rPr>
        <w:t xml:space="preserve"> </w:t>
      </w:r>
      <w:r w:rsidR="006868B1" w:rsidRPr="00821E72">
        <w:rPr>
          <w:rFonts w:cs="Times New Roman"/>
          <w:szCs w:val="24"/>
        </w:rPr>
        <w:t>guess</w:t>
      </w:r>
      <w:r w:rsidR="006868B1" w:rsidRPr="00821E72">
        <w:rPr>
          <w:rFonts w:cs="Times New Roman"/>
          <w:spacing w:val="-5"/>
          <w:szCs w:val="24"/>
        </w:rPr>
        <w:t xml:space="preserve"> </w:t>
      </w:r>
      <w:r w:rsidR="006868B1" w:rsidRPr="00821E72">
        <w:rPr>
          <w:rFonts w:cs="Times New Roman"/>
          <w:szCs w:val="24"/>
        </w:rPr>
        <w:t>the</w:t>
      </w:r>
      <w:r w:rsidR="006868B1" w:rsidRPr="00821E72">
        <w:rPr>
          <w:rFonts w:cs="Times New Roman"/>
          <w:spacing w:val="-5"/>
          <w:szCs w:val="24"/>
        </w:rPr>
        <w:t xml:space="preserve"> </w:t>
      </w:r>
      <w:r w:rsidR="006868B1" w:rsidRPr="00821E72">
        <w:rPr>
          <w:rFonts w:cs="Times New Roman"/>
          <w:spacing w:val="-2"/>
          <w:szCs w:val="24"/>
        </w:rPr>
        <w:t xml:space="preserve">biggest </w:t>
      </w:r>
      <w:r w:rsidR="006868B1" w:rsidRPr="00821E72">
        <w:rPr>
          <w:rFonts w:cs="Times New Roman"/>
          <w:szCs w:val="24"/>
        </w:rPr>
        <w:t>obstacle</w:t>
      </w:r>
      <w:r w:rsidR="006868B1" w:rsidRPr="00821E72">
        <w:rPr>
          <w:rFonts w:cs="Times New Roman"/>
          <w:spacing w:val="-5"/>
          <w:szCs w:val="24"/>
        </w:rPr>
        <w:t xml:space="preserve"> </w:t>
      </w:r>
      <w:r w:rsidR="006868B1" w:rsidRPr="00821E72">
        <w:rPr>
          <w:rFonts w:cs="Times New Roman"/>
          <w:szCs w:val="24"/>
        </w:rPr>
        <w:t>for</w:t>
      </w:r>
      <w:r w:rsidR="006868B1" w:rsidRPr="00821E72">
        <w:rPr>
          <w:rFonts w:cs="Times New Roman"/>
          <w:spacing w:val="-6"/>
          <w:szCs w:val="24"/>
        </w:rPr>
        <w:t xml:space="preserve"> </w:t>
      </w:r>
      <w:r w:rsidR="006868B1" w:rsidRPr="00821E72">
        <w:rPr>
          <w:rFonts w:cs="Times New Roman"/>
          <w:szCs w:val="24"/>
        </w:rPr>
        <w:t>any</w:t>
      </w:r>
      <w:r w:rsidR="006868B1" w:rsidRPr="00821E72">
        <w:rPr>
          <w:rFonts w:cs="Times New Roman"/>
          <w:spacing w:val="-5"/>
          <w:szCs w:val="24"/>
        </w:rPr>
        <w:t xml:space="preserve"> </w:t>
      </w:r>
      <w:r w:rsidR="006868B1" w:rsidRPr="00821E72">
        <w:rPr>
          <w:rFonts w:cs="Times New Roman"/>
          <w:szCs w:val="24"/>
        </w:rPr>
        <w:t>of</w:t>
      </w:r>
      <w:r w:rsidR="006868B1" w:rsidRPr="00821E72">
        <w:rPr>
          <w:rFonts w:cs="Times New Roman"/>
          <w:spacing w:val="-6"/>
          <w:szCs w:val="24"/>
        </w:rPr>
        <w:t xml:space="preserve"> </w:t>
      </w:r>
      <w:r w:rsidR="006868B1" w:rsidRPr="00821E72">
        <w:rPr>
          <w:rFonts w:cs="Times New Roman"/>
          <w:szCs w:val="24"/>
        </w:rPr>
        <w:t>these</w:t>
      </w:r>
      <w:r w:rsidR="006868B1" w:rsidRPr="00821E72">
        <w:rPr>
          <w:rFonts w:cs="Times New Roman"/>
          <w:spacing w:val="-5"/>
          <w:szCs w:val="24"/>
        </w:rPr>
        <w:t xml:space="preserve"> </w:t>
      </w:r>
      <w:r w:rsidR="006868B1" w:rsidRPr="00821E72">
        <w:rPr>
          <w:rFonts w:cs="Times New Roman"/>
          <w:szCs w:val="24"/>
        </w:rPr>
        <w:t>industry</w:t>
      </w:r>
      <w:r w:rsidR="006868B1" w:rsidRPr="00821E72">
        <w:rPr>
          <w:rFonts w:cs="Times New Roman"/>
          <w:spacing w:val="-6"/>
          <w:szCs w:val="24"/>
        </w:rPr>
        <w:t xml:space="preserve"> </w:t>
      </w:r>
      <w:r w:rsidR="006868B1" w:rsidRPr="00821E72">
        <w:rPr>
          <w:rFonts w:cs="Times New Roman"/>
          <w:szCs w:val="24"/>
        </w:rPr>
        <w:t>certifications</w:t>
      </w:r>
      <w:r w:rsidR="006868B1" w:rsidRPr="00821E72">
        <w:rPr>
          <w:rFonts w:cs="Times New Roman"/>
          <w:spacing w:val="-5"/>
          <w:szCs w:val="24"/>
        </w:rPr>
        <w:t xml:space="preserve"> </w:t>
      </w:r>
      <w:r w:rsidR="006868B1" w:rsidRPr="00821E72">
        <w:rPr>
          <w:rFonts w:cs="Times New Roman"/>
          <w:szCs w:val="24"/>
        </w:rPr>
        <w:t>has</w:t>
      </w:r>
      <w:r w:rsidR="006868B1" w:rsidRPr="00821E72">
        <w:rPr>
          <w:rFonts w:cs="Times New Roman"/>
          <w:spacing w:val="-6"/>
          <w:szCs w:val="24"/>
        </w:rPr>
        <w:t xml:space="preserve"> </w:t>
      </w:r>
      <w:r w:rsidR="006868B1" w:rsidRPr="00821E72">
        <w:rPr>
          <w:rFonts w:cs="Times New Roman"/>
          <w:szCs w:val="24"/>
        </w:rPr>
        <w:t>been</w:t>
      </w:r>
      <w:r w:rsidR="006868B1" w:rsidRPr="00821E72">
        <w:rPr>
          <w:rFonts w:cs="Times New Roman"/>
          <w:spacing w:val="-5"/>
          <w:szCs w:val="24"/>
        </w:rPr>
        <w:t xml:space="preserve"> </w:t>
      </w:r>
      <w:r w:rsidR="006868B1" w:rsidRPr="00821E72">
        <w:rPr>
          <w:rFonts w:cs="Times New Roman"/>
          <w:spacing w:val="-2"/>
          <w:szCs w:val="24"/>
        </w:rPr>
        <w:t>cost.”</w:t>
      </w:r>
      <w:r w:rsidR="006868B1">
        <w:rPr>
          <w:rFonts w:cs="Times New Roman"/>
          <w:spacing w:val="-2"/>
          <w:szCs w:val="24"/>
        </w:rPr>
        <w:t xml:space="preserve"> </w:t>
      </w:r>
      <w:r w:rsidR="005F2358">
        <w:t xml:space="preserve">Further, </w:t>
      </w:r>
      <w:r>
        <w:t>participants</w:t>
      </w:r>
      <w:r w:rsidR="005F2358">
        <w:t xml:space="preserve"> reported</w:t>
      </w:r>
      <w:r>
        <w:t xml:space="preserve"> struggl</w:t>
      </w:r>
      <w:r w:rsidR="005F2358">
        <w:t>ing to</w:t>
      </w:r>
      <w:r>
        <w:t xml:space="preserve"> meet </w:t>
      </w:r>
      <w:r w:rsidR="005F2358">
        <w:t xml:space="preserve">students’ </w:t>
      </w:r>
      <w:r>
        <w:t xml:space="preserve">Individualized Education Program (IEP) accommodations and requirements in both the implementation of the </w:t>
      </w:r>
      <w:r w:rsidR="005F2358">
        <w:t xml:space="preserve">designated industry credentialing </w:t>
      </w:r>
      <w:r>
        <w:t>curricu</w:t>
      </w:r>
      <w:r w:rsidR="005F2358">
        <w:t>la</w:t>
      </w:r>
      <w:r>
        <w:t xml:space="preserve"> and the</w:t>
      </w:r>
      <w:r w:rsidR="005F2358">
        <w:t xml:space="preserve">ir aligned </w:t>
      </w:r>
      <w:r>
        <w:t xml:space="preserve">assessments. </w:t>
      </w:r>
      <w:r w:rsidR="005F2358">
        <w:t>Participants frequently noted that such barriers often</w:t>
      </w:r>
      <w:r>
        <w:t xml:space="preserve"> limit</w:t>
      </w:r>
      <w:r w:rsidR="005F2358">
        <w:t>ed</w:t>
      </w:r>
      <w:r>
        <w:t xml:space="preserve"> student success or </w:t>
      </w:r>
      <w:r w:rsidR="005F2358">
        <w:t>their own</w:t>
      </w:r>
      <w:r>
        <w:t xml:space="preserve"> </w:t>
      </w:r>
      <w:r w:rsidR="00480846">
        <w:t>ability to</w:t>
      </w:r>
      <w:r w:rsidR="00832FA4">
        <w:t xml:space="preserve"> </w:t>
      </w:r>
      <w:r>
        <w:t>implement industry credentialing.</w:t>
      </w:r>
    </w:p>
    <w:p w14:paraId="62DEA767" w14:textId="77777777" w:rsidR="0083165C" w:rsidRDefault="0083165C" w:rsidP="008F093C">
      <w:pPr>
        <w:spacing w:after="0" w:line="240" w:lineRule="auto"/>
      </w:pPr>
    </w:p>
    <w:p w14:paraId="689C2618" w14:textId="7E3D6DFA" w:rsidR="008F093C" w:rsidRDefault="008F093C" w:rsidP="008F093C">
      <w:pPr>
        <w:spacing w:after="0" w:line="240" w:lineRule="auto"/>
        <w:rPr>
          <w:b/>
        </w:rPr>
      </w:pPr>
      <w:r w:rsidRPr="0083165C">
        <w:rPr>
          <w:b/>
        </w:rPr>
        <w:t>Misalignment Among Stakeholder Groups</w:t>
      </w:r>
    </w:p>
    <w:p w14:paraId="15B1096F" w14:textId="77777777" w:rsidR="007E7C4A" w:rsidRDefault="007E7C4A" w:rsidP="008F093C">
      <w:pPr>
        <w:spacing w:after="0" w:line="240" w:lineRule="auto"/>
        <w:rPr>
          <w:b/>
        </w:rPr>
      </w:pPr>
    </w:p>
    <w:p w14:paraId="44D33CAE" w14:textId="6D095F86" w:rsidR="0083165C" w:rsidRDefault="008F093C" w:rsidP="004F570C">
      <w:pPr>
        <w:spacing w:after="0" w:line="240" w:lineRule="auto"/>
        <w:ind w:firstLine="720"/>
      </w:pPr>
      <w:r>
        <w:t xml:space="preserve">Participants in the study identified </w:t>
      </w:r>
      <w:r w:rsidR="004F570C">
        <w:t>several</w:t>
      </w:r>
      <w:r>
        <w:t xml:space="preserve"> stakeholders when considering the industry credentialing process. </w:t>
      </w:r>
      <w:r w:rsidR="006918B8">
        <w:t>Further, they frequently</w:t>
      </w:r>
      <w:r>
        <w:t xml:space="preserve"> identified misalignment among the various </w:t>
      </w:r>
      <w:r>
        <w:lastRenderedPageBreak/>
        <w:t>stakeholder groups</w:t>
      </w:r>
      <w:r w:rsidR="006918B8">
        <w:t>, including industry partners, agriculture teachers, local communities, schools and school administrators, and students themselves</w:t>
      </w:r>
      <w:r>
        <w:t xml:space="preserve">. </w:t>
      </w:r>
      <w:r w:rsidR="006918B8">
        <w:t xml:space="preserve">For example, </w:t>
      </w:r>
      <w:r>
        <w:t xml:space="preserve">however, participants seemed to feel that there is a general lack of understanding or recognition by industry professionals regarding several </w:t>
      </w:r>
      <w:r w:rsidR="006918B8">
        <w:t xml:space="preserve">industry credentialing </w:t>
      </w:r>
      <w:r>
        <w:t>offerings</w:t>
      </w:r>
      <w:r w:rsidR="006918B8">
        <w:t xml:space="preserve"> approved for use in </w:t>
      </w:r>
      <w:r w:rsidR="0039263C">
        <w:t>Kentucky</w:t>
      </w:r>
      <w:r w:rsidR="006918B8">
        <w:t xml:space="preserve"> Agricultural Education programming</w:t>
      </w:r>
      <w:r>
        <w:t xml:space="preserve">. </w:t>
      </w:r>
      <w:r w:rsidR="0089513F">
        <w:t xml:space="preserve">Mallory (pseudonym) stated, </w:t>
      </w:r>
      <w:r w:rsidR="0089513F" w:rsidRPr="000F6347">
        <w:rPr>
          <w:rFonts w:cs="Times New Roman"/>
        </w:rPr>
        <w:t>“They do not get hired or get a raise because they have that</w:t>
      </w:r>
      <w:r w:rsidR="0089513F">
        <w:rPr>
          <w:rFonts w:cs="Times New Roman"/>
        </w:rPr>
        <w:t xml:space="preserve"> [credential]</w:t>
      </w:r>
      <w:r w:rsidR="0089513F" w:rsidRPr="000F6347">
        <w:rPr>
          <w:rFonts w:cs="Times New Roman"/>
        </w:rPr>
        <w:t>.”</w:t>
      </w:r>
      <w:r w:rsidR="0089513F">
        <w:rPr>
          <w:rFonts w:cs="Times New Roman"/>
        </w:rPr>
        <w:t xml:space="preserve"> </w:t>
      </w:r>
      <w:r w:rsidR="004F570C">
        <w:t>Participants also</w:t>
      </w:r>
      <w:r>
        <w:t xml:space="preserve"> identified </w:t>
      </w:r>
      <w:r w:rsidR="004F570C">
        <w:t>perceived</w:t>
      </w:r>
      <w:r>
        <w:t xml:space="preserve"> misalignment </w:t>
      </w:r>
      <w:r w:rsidR="004F570C">
        <w:t>between</w:t>
      </w:r>
      <w:r>
        <w:t xml:space="preserve"> state-level educational standards and </w:t>
      </w:r>
      <w:r w:rsidR="004F570C">
        <w:t>state-approved industry credential</w:t>
      </w:r>
      <w:r>
        <w:t xml:space="preserve"> curricul</w:t>
      </w:r>
      <w:r w:rsidR="004F570C">
        <w:t>a</w:t>
      </w:r>
      <w:r>
        <w:t xml:space="preserve"> and platforms</w:t>
      </w:r>
      <w:r w:rsidR="004F570C">
        <w:t>.</w:t>
      </w:r>
    </w:p>
    <w:p w14:paraId="2D61F88E" w14:textId="77777777" w:rsidR="00A565AB" w:rsidRDefault="00A565AB" w:rsidP="008F093C">
      <w:pPr>
        <w:spacing w:after="0" w:line="240" w:lineRule="auto"/>
        <w:rPr>
          <w:b/>
        </w:rPr>
      </w:pPr>
    </w:p>
    <w:p w14:paraId="3461DB0C" w14:textId="2289251F" w:rsidR="008F093C" w:rsidRDefault="008F093C" w:rsidP="008F093C">
      <w:pPr>
        <w:spacing w:after="0" w:line="240" w:lineRule="auto"/>
        <w:rPr>
          <w:b/>
        </w:rPr>
      </w:pPr>
      <w:r w:rsidRPr="0083165C">
        <w:rPr>
          <w:b/>
        </w:rPr>
        <w:t>Program Validation via Student Achievement</w:t>
      </w:r>
    </w:p>
    <w:p w14:paraId="0261DF52" w14:textId="77777777" w:rsidR="00A565AB" w:rsidRDefault="00A565AB" w:rsidP="008F093C">
      <w:pPr>
        <w:spacing w:after="0" w:line="240" w:lineRule="auto"/>
        <w:rPr>
          <w:b/>
        </w:rPr>
      </w:pPr>
    </w:p>
    <w:p w14:paraId="7A3A46DE" w14:textId="37B8F4CF" w:rsidR="008F093C" w:rsidRDefault="008F093C" w:rsidP="003F1890">
      <w:pPr>
        <w:spacing w:after="0" w:line="240" w:lineRule="auto"/>
      </w:pPr>
      <w:r>
        <w:tab/>
        <w:t>Participants in this study generally praised industry credentialing options as a way to gain both recognition and validation for their respective Agricultural Education programs, even if there may be</w:t>
      </w:r>
      <w:r w:rsidR="003F1890">
        <w:t xml:space="preserve"> ambiguity</w:t>
      </w:r>
      <w:r>
        <w:t xml:space="preserve"> surrounding what the </w:t>
      </w:r>
      <w:r w:rsidR="003F1890">
        <w:t>individual industry credential</w:t>
      </w:r>
      <w:r>
        <w:t xml:space="preserve"> itself mean</w:t>
      </w:r>
      <w:r w:rsidR="003F1890">
        <w:t>t</w:t>
      </w:r>
      <w:r>
        <w:t>.</w:t>
      </w:r>
      <w:r w:rsidR="003F1890">
        <w:t xml:space="preserve"> </w:t>
      </w:r>
      <w:r>
        <w:t xml:space="preserve">Participants also noted positive feedback from their </w:t>
      </w:r>
      <w:r w:rsidR="003F1890">
        <w:t xml:space="preserve">respective </w:t>
      </w:r>
      <w:r>
        <w:t xml:space="preserve">school administrators regarding </w:t>
      </w:r>
      <w:r w:rsidR="003F1890">
        <w:t xml:space="preserve">their own </w:t>
      </w:r>
      <w:r>
        <w:t>success</w:t>
      </w:r>
      <w:r w:rsidR="003F1890">
        <w:t>es</w:t>
      </w:r>
      <w:r>
        <w:t xml:space="preserve"> in </w:t>
      </w:r>
      <w:r w:rsidR="003F1890">
        <w:t xml:space="preserve">implementing </w:t>
      </w:r>
      <w:r>
        <w:t xml:space="preserve">industry credentialing. </w:t>
      </w:r>
      <w:r w:rsidR="002C5510">
        <w:t xml:space="preserve">Kenzie (pseudonym) expressed, </w:t>
      </w:r>
      <w:r w:rsidR="002C5510" w:rsidRPr="008E5A95">
        <w:rPr>
          <w:rFonts w:cs="Times New Roman"/>
        </w:rPr>
        <w:t>“</w:t>
      </w:r>
      <w:r w:rsidR="002C5510">
        <w:rPr>
          <w:rFonts w:cs="Times New Roman"/>
        </w:rPr>
        <w:t>R</w:t>
      </w:r>
      <w:r w:rsidR="002C5510" w:rsidRPr="008E5A95">
        <w:rPr>
          <w:rFonts w:cs="Times New Roman"/>
        </w:rPr>
        <w:t>ight</w:t>
      </w:r>
      <w:r w:rsidR="002C5510" w:rsidRPr="008E5A95">
        <w:rPr>
          <w:rFonts w:cs="Times New Roman"/>
          <w:spacing w:val="-3"/>
        </w:rPr>
        <w:t xml:space="preserve"> </w:t>
      </w:r>
      <w:r w:rsidR="002C5510" w:rsidRPr="008E5A95">
        <w:rPr>
          <w:rFonts w:cs="Times New Roman"/>
        </w:rPr>
        <w:t>now</w:t>
      </w:r>
      <w:r w:rsidR="002C5510" w:rsidRPr="008E5A95">
        <w:rPr>
          <w:rFonts w:cs="Times New Roman"/>
          <w:spacing w:val="-3"/>
        </w:rPr>
        <w:t xml:space="preserve"> </w:t>
      </w:r>
      <w:r w:rsidR="002C5510" w:rsidRPr="008E5A95">
        <w:rPr>
          <w:rFonts w:cs="Times New Roman"/>
        </w:rPr>
        <w:t>the</w:t>
      </w:r>
      <w:r w:rsidR="002C5510" w:rsidRPr="008E5A95">
        <w:rPr>
          <w:rFonts w:cs="Times New Roman"/>
          <w:spacing w:val="-3"/>
        </w:rPr>
        <w:t xml:space="preserve"> </w:t>
      </w:r>
      <w:r w:rsidR="002C5510">
        <w:rPr>
          <w:rFonts w:cs="Times New Roman"/>
          <w:spacing w:val="-3"/>
        </w:rPr>
        <w:t xml:space="preserve">[school] </w:t>
      </w:r>
      <w:r w:rsidR="002C5510" w:rsidRPr="008E5A95">
        <w:rPr>
          <w:rFonts w:cs="Times New Roman"/>
        </w:rPr>
        <w:t>superintendent</w:t>
      </w:r>
      <w:r w:rsidR="002C5510" w:rsidRPr="008E5A95">
        <w:rPr>
          <w:rFonts w:cs="Times New Roman"/>
          <w:spacing w:val="-3"/>
        </w:rPr>
        <w:t xml:space="preserve"> </w:t>
      </w:r>
      <w:r w:rsidR="002C5510" w:rsidRPr="008E5A95">
        <w:rPr>
          <w:rFonts w:cs="Times New Roman"/>
        </w:rPr>
        <w:t>we</w:t>
      </w:r>
      <w:r w:rsidR="002C5510" w:rsidRPr="008E5A95">
        <w:rPr>
          <w:rFonts w:cs="Times New Roman"/>
          <w:spacing w:val="-3"/>
        </w:rPr>
        <w:t xml:space="preserve"> </w:t>
      </w:r>
      <w:r w:rsidR="002C5510" w:rsidRPr="008E5A95">
        <w:rPr>
          <w:rFonts w:cs="Times New Roman"/>
        </w:rPr>
        <w:t>have is all about the certifications. So</w:t>
      </w:r>
      <w:r w:rsidR="002C5510">
        <w:rPr>
          <w:rFonts w:cs="Times New Roman"/>
        </w:rPr>
        <w:t>,</w:t>
      </w:r>
      <w:r w:rsidR="002C5510" w:rsidRPr="008E5A95">
        <w:rPr>
          <w:rFonts w:cs="Times New Roman"/>
        </w:rPr>
        <w:t xml:space="preserve"> they really</w:t>
      </w:r>
      <w:r w:rsidR="002C5510">
        <w:rPr>
          <w:rFonts w:cs="Times New Roman"/>
        </w:rPr>
        <w:t>,</w:t>
      </w:r>
      <w:r w:rsidR="002C5510" w:rsidRPr="008E5A95">
        <w:rPr>
          <w:rFonts w:cs="Times New Roman"/>
        </w:rPr>
        <w:t xml:space="preserve"> really push that here…Any CTE pathway</w:t>
      </w:r>
      <w:r w:rsidR="002C5510">
        <w:rPr>
          <w:rFonts w:cs="Times New Roman"/>
        </w:rPr>
        <w:t>,</w:t>
      </w:r>
      <w:r w:rsidR="002C5510" w:rsidRPr="008E5A95">
        <w:rPr>
          <w:rFonts w:cs="Times New Roman"/>
        </w:rPr>
        <w:t xml:space="preserve"> they really push certifications.” </w:t>
      </w:r>
      <w:r>
        <w:t>Per the participants, parents, and community members also showed support for the participants and their respective Agricultural Education programs when industry credentialing success was shared public</w:t>
      </w:r>
      <w:r w:rsidR="002C5510">
        <w:t>ly</w:t>
      </w:r>
      <w:r>
        <w:t xml:space="preserve">. </w:t>
      </w:r>
    </w:p>
    <w:p w14:paraId="4A94CBE0" w14:textId="77777777" w:rsidR="0083165C" w:rsidRDefault="0083165C" w:rsidP="008F093C">
      <w:pPr>
        <w:spacing w:after="0" w:line="240" w:lineRule="auto"/>
      </w:pPr>
    </w:p>
    <w:p w14:paraId="28BDB912" w14:textId="76A6B93C" w:rsidR="008F093C" w:rsidRDefault="008F093C" w:rsidP="008F093C">
      <w:pPr>
        <w:spacing w:after="0" w:line="240" w:lineRule="auto"/>
        <w:rPr>
          <w:b/>
        </w:rPr>
      </w:pPr>
      <w:r w:rsidRPr="0083165C">
        <w:rPr>
          <w:b/>
        </w:rPr>
        <w:t>Increased Program Enrollment</w:t>
      </w:r>
    </w:p>
    <w:p w14:paraId="751D1926" w14:textId="77777777" w:rsidR="0083165C" w:rsidRPr="0083165C" w:rsidRDefault="0083165C" w:rsidP="008F093C">
      <w:pPr>
        <w:spacing w:after="0" w:line="240" w:lineRule="auto"/>
        <w:rPr>
          <w:b/>
        </w:rPr>
      </w:pPr>
    </w:p>
    <w:p w14:paraId="02CB6E90" w14:textId="05830C9F" w:rsidR="00902F28" w:rsidRPr="006262ED" w:rsidRDefault="008F093C" w:rsidP="008F093C">
      <w:pPr>
        <w:spacing w:after="0" w:line="240" w:lineRule="auto"/>
      </w:pPr>
      <w:r>
        <w:tab/>
        <w:t xml:space="preserve">Several participants also noted </w:t>
      </w:r>
      <w:r w:rsidR="003F1890">
        <w:t xml:space="preserve">that they perceived </w:t>
      </w:r>
      <w:r>
        <w:t>Agricultural Education program</w:t>
      </w:r>
      <w:r w:rsidR="003F1988">
        <w:t>-related</w:t>
      </w:r>
      <w:r>
        <w:t xml:space="preserve"> enrollment benefits and linked </w:t>
      </w:r>
      <w:r w:rsidR="003E7C86">
        <w:t xml:space="preserve">students’ </w:t>
      </w:r>
      <w:r>
        <w:t>successful completion of industry credential</w:t>
      </w:r>
      <w:r w:rsidR="003E7C86">
        <w:t>s</w:t>
      </w:r>
      <w:r>
        <w:t xml:space="preserve"> to increased program enrollment. </w:t>
      </w:r>
      <w:r w:rsidR="00BF39FB">
        <w:t>P</w:t>
      </w:r>
      <w:r w:rsidR="003E7C86">
        <w:t xml:space="preserve">articipants often noted that Agricultural Education program stakeholders’ recognition of students’ success regarding industry credentialing appeared to positively impact course enrollment. </w:t>
      </w:r>
      <w:r w:rsidR="00193BEA">
        <w:t xml:space="preserve">Mallory (pseudonym) indicated, </w:t>
      </w:r>
      <w:r w:rsidR="00193BEA" w:rsidRPr="000F6347">
        <w:rPr>
          <w:rFonts w:cs="Times New Roman"/>
        </w:rPr>
        <w:t>“When we have a high pass rate, our enrollment goes up.”</w:t>
      </w:r>
    </w:p>
    <w:p w14:paraId="01B61141" w14:textId="77777777" w:rsidR="005F34CC" w:rsidRDefault="005F34CC" w:rsidP="00884E4F">
      <w:pPr>
        <w:spacing w:after="0" w:line="240" w:lineRule="auto"/>
        <w:jc w:val="center"/>
        <w:rPr>
          <w:b/>
        </w:rPr>
      </w:pPr>
    </w:p>
    <w:p w14:paraId="4F1F18B9" w14:textId="538CA1F4" w:rsidR="000B3385" w:rsidRDefault="000B3385" w:rsidP="00884E4F">
      <w:pPr>
        <w:spacing w:after="0" w:line="240" w:lineRule="auto"/>
        <w:jc w:val="center"/>
        <w:rPr>
          <w:b/>
        </w:rPr>
      </w:pPr>
      <w:r>
        <w:rPr>
          <w:b/>
        </w:rPr>
        <w:t>Conclusions</w:t>
      </w:r>
      <w:r w:rsidR="008E0951">
        <w:rPr>
          <w:b/>
        </w:rPr>
        <w:t>,</w:t>
      </w:r>
      <w:r w:rsidR="00E84E2E">
        <w:rPr>
          <w:b/>
        </w:rPr>
        <w:t xml:space="preserve"> </w:t>
      </w:r>
      <w:r>
        <w:rPr>
          <w:b/>
        </w:rPr>
        <w:t>Recommendations</w:t>
      </w:r>
      <w:r w:rsidR="00B84F2D">
        <w:rPr>
          <w:b/>
        </w:rPr>
        <w:t>, and Limitations</w:t>
      </w:r>
    </w:p>
    <w:p w14:paraId="407EE9D7" w14:textId="38B44793" w:rsidR="000B3385" w:rsidRDefault="000B3385" w:rsidP="00884E4F">
      <w:pPr>
        <w:spacing w:after="0" w:line="240" w:lineRule="auto"/>
        <w:jc w:val="center"/>
        <w:rPr>
          <w:b/>
        </w:rPr>
      </w:pPr>
    </w:p>
    <w:p w14:paraId="30B49F7F" w14:textId="46E613A4" w:rsidR="00773450" w:rsidRDefault="008E0951" w:rsidP="00052060">
      <w:pPr>
        <w:spacing w:after="0" w:line="240" w:lineRule="auto"/>
        <w:ind w:firstLine="720"/>
      </w:pPr>
      <w:r>
        <w:t xml:space="preserve">The participants in our study provided insight into industry credentialing with </w:t>
      </w:r>
      <w:r w:rsidR="0039263C">
        <w:t>Kentucky</w:t>
      </w:r>
      <w:r>
        <w:t xml:space="preserve"> Agricultural Education programming. Based on our findings, we concluded that</w:t>
      </w:r>
      <w:r w:rsidR="00240C42">
        <w:t xml:space="preserve"> participants</w:t>
      </w:r>
      <w:r>
        <w:t>: (1) perceived there to be positive impacts resulting from practical, intentional employment of industry credentialing within their respective Agricultural Education programs, (2) perceived there to be some uncertainty regarding the value or appropriateness of certain state-approved industry credentialing options, and (3) prioritized positive, student-focused outcomes of industry credentialing efforts within Agricultural Education programming.</w:t>
      </w:r>
      <w:r w:rsidR="0029567C">
        <w:t xml:space="preserve"> </w:t>
      </w:r>
      <w:r w:rsidR="00052060">
        <w:t>The human capital development process is facilitated by enhanced training and education for individuals, which yields measurable dividends for our society (Becker, 1993). Our</w:t>
      </w:r>
      <w:r w:rsidR="0029567C">
        <w:t xml:space="preserve"> findings lend support to </w:t>
      </w:r>
      <w:r w:rsidR="00052060">
        <w:t xml:space="preserve">appropriately and intentionally </w:t>
      </w:r>
      <w:r w:rsidR="0029567C">
        <w:t xml:space="preserve">using industry credentialing within Agricultural Education programming to strengthen the development of human capital for the agricultural industry, which is </w:t>
      </w:r>
      <w:r w:rsidR="00052060">
        <w:t xml:space="preserve">an intent of Agricultural Education programs (Stripling &amp; Ricketts, 2016). </w:t>
      </w:r>
    </w:p>
    <w:p w14:paraId="670537A6" w14:textId="77777777" w:rsidR="00773450" w:rsidRDefault="00773450" w:rsidP="00761C30">
      <w:pPr>
        <w:spacing w:after="0" w:line="240" w:lineRule="auto"/>
        <w:ind w:firstLine="720"/>
      </w:pPr>
    </w:p>
    <w:p w14:paraId="65BEF06E" w14:textId="3C49DF1E" w:rsidR="00761C30" w:rsidRDefault="008E0951" w:rsidP="00052060">
      <w:pPr>
        <w:spacing w:after="0" w:line="240" w:lineRule="auto"/>
      </w:pPr>
      <w:r>
        <w:tab/>
      </w:r>
      <w:r w:rsidR="00240C42">
        <w:t>W</w:t>
      </w:r>
      <w:r>
        <w:t xml:space="preserve">e </w:t>
      </w:r>
      <w:r w:rsidR="00D16BF3">
        <w:t xml:space="preserve">recommend that: (1) </w:t>
      </w:r>
      <w:r w:rsidR="0039263C">
        <w:t>Kentucky</w:t>
      </w:r>
      <w:r w:rsidR="00052060">
        <w:t xml:space="preserve"> Agricultural Education leaders and stakeholders carefully review our study and </w:t>
      </w:r>
      <w:r w:rsidR="003D4FC0">
        <w:t>adjust</w:t>
      </w:r>
      <w:r w:rsidR="00052060">
        <w:t xml:space="preserve"> their industry credentialing infrastructure</w:t>
      </w:r>
      <w:r w:rsidR="00245011">
        <w:t xml:space="preserve"> and processes</w:t>
      </w:r>
      <w:r w:rsidR="00052060">
        <w:t xml:space="preserve"> </w:t>
      </w:r>
      <w:r w:rsidR="00052060">
        <w:lastRenderedPageBreak/>
        <w:t>where appropriate</w:t>
      </w:r>
      <w:r w:rsidR="003D4FC0">
        <w:t xml:space="preserve"> and (2)</w:t>
      </w:r>
      <w:r w:rsidR="00052060">
        <w:t xml:space="preserve"> our study be replicated with </w:t>
      </w:r>
      <w:r w:rsidR="007325F0">
        <w:t>additional populations of</w:t>
      </w:r>
      <w:r w:rsidR="00052060">
        <w:t xml:space="preserve"> agriculture teachers and, if practical, </w:t>
      </w:r>
      <w:r w:rsidR="00245011">
        <w:t xml:space="preserve">teachers of </w:t>
      </w:r>
      <w:r w:rsidR="00052060">
        <w:t xml:space="preserve">other CTE </w:t>
      </w:r>
      <w:r w:rsidR="00245011">
        <w:t>subject matter area</w:t>
      </w:r>
      <w:r w:rsidR="00052060">
        <w:t>s</w:t>
      </w:r>
      <w:r w:rsidR="00D16BF3">
        <w:t>.</w:t>
      </w:r>
      <w:r w:rsidR="00052060">
        <w:t xml:space="preserve"> </w:t>
      </w:r>
      <w:r w:rsidR="00761C30">
        <w:t>Regarding limitations, our findings cannot be generalized beyond those nine agriculture teachers who participated</w:t>
      </w:r>
      <w:r w:rsidR="00B141C3">
        <w:t xml:space="preserve"> in our study</w:t>
      </w:r>
      <w:r w:rsidR="00761C30">
        <w:t xml:space="preserve">. Moreover, as a result of selection bias, the findings presented within </w:t>
      </w:r>
      <w:r w:rsidR="007325F0">
        <w:t>our</w:t>
      </w:r>
      <w:r w:rsidR="00761C30">
        <w:t xml:space="preserve"> study may reflect perspectives from agriculture teachers who have largely positive or negative experiences with industry credentialing. </w:t>
      </w:r>
      <w:r w:rsidR="00773450">
        <w:t>Further, our study focused only on one state’s agriculture teachers</w:t>
      </w:r>
      <w:r w:rsidR="00052060">
        <w:t xml:space="preserve"> and did not include teachers from other areas of CTE</w:t>
      </w:r>
      <w:r w:rsidR="00773450">
        <w:t xml:space="preserve">. Deeper exploration of this topic </w:t>
      </w:r>
      <w:r w:rsidR="00052060">
        <w:t>elsewhere</w:t>
      </w:r>
      <w:r w:rsidR="00773450">
        <w:t xml:space="preserve"> may yield useful information to those </w:t>
      </w:r>
      <w:r w:rsidR="00D16BF3">
        <w:t xml:space="preserve">respective </w:t>
      </w:r>
      <w:r w:rsidR="00773450">
        <w:t>states</w:t>
      </w:r>
      <w:r w:rsidR="00D16BF3">
        <w:t>’</w:t>
      </w:r>
      <w:r w:rsidR="00773450">
        <w:t xml:space="preserve"> </w:t>
      </w:r>
      <w:r w:rsidR="00052060">
        <w:t>Agricultural Education and CTE</w:t>
      </w:r>
      <w:r w:rsidR="00773450">
        <w:t xml:space="preserve"> stakeholders.</w:t>
      </w:r>
    </w:p>
    <w:p w14:paraId="51EB16F7" w14:textId="77777777" w:rsidR="00F5322D" w:rsidRDefault="00F5322D" w:rsidP="00052060">
      <w:pPr>
        <w:spacing w:after="0" w:line="240" w:lineRule="auto"/>
      </w:pPr>
    </w:p>
    <w:p w14:paraId="159F8B6B" w14:textId="0D9BE265" w:rsidR="000B3385" w:rsidRDefault="000B3385" w:rsidP="00240C42">
      <w:pPr>
        <w:spacing w:after="0" w:line="240" w:lineRule="auto"/>
        <w:jc w:val="center"/>
        <w:rPr>
          <w:b/>
        </w:rPr>
      </w:pPr>
      <w:r>
        <w:rPr>
          <w:b/>
        </w:rPr>
        <w:t>References</w:t>
      </w:r>
    </w:p>
    <w:p w14:paraId="0C1A518E" w14:textId="7B4C0BE8" w:rsidR="00277D73" w:rsidRDefault="00277D73" w:rsidP="00884E4F">
      <w:pPr>
        <w:spacing w:after="0" w:line="240" w:lineRule="auto"/>
        <w:jc w:val="center"/>
        <w:rPr>
          <w:b/>
        </w:rPr>
      </w:pPr>
    </w:p>
    <w:p w14:paraId="55474749" w14:textId="77777777" w:rsidR="007846CF" w:rsidRDefault="007846CF" w:rsidP="007846CF">
      <w:pPr>
        <w:pBdr>
          <w:top w:val="nil"/>
          <w:left w:val="nil"/>
          <w:bottom w:val="nil"/>
          <w:right w:val="nil"/>
          <w:between w:val="nil"/>
        </w:pBdr>
        <w:spacing w:after="0" w:line="240" w:lineRule="auto"/>
        <w:rPr>
          <w:rFonts w:eastAsia="Times New Roman" w:cs="Times New Roman"/>
          <w:i/>
          <w:szCs w:val="24"/>
        </w:rPr>
      </w:pPr>
      <w:r>
        <w:rPr>
          <w:rFonts w:eastAsia="Times New Roman" w:cs="Times New Roman"/>
          <w:szCs w:val="24"/>
        </w:rPr>
        <w:t xml:space="preserve">Becker, G. S. (1993). </w:t>
      </w:r>
      <w:r>
        <w:rPr>
          <w:rFonts w:eastAsia="Times New Roman" w:cs="Times New Roman"/>
          <w:i/>
          <w:szCs w:val="24"/>
        </w:rPr>
        <w:t>Human capital: A theoretical and empirical analysis, with special</w:t>
      </w:r>
    </w:p>
    <w:p w14:paraId="2A86A2B3" w14:textId="77777777" w:rsidR="007846CF" w:rsidRDefault="007846CF" w:rsidP="007846CF">
      <w:pPr>
        <w:pBdr>
          <w:top w:val="nil"/>
          <w:left w:val="nil"/>
          <w:bottom w:val="nil"/>
          <w:right w:val="nil"/>
          <w:between w:val="nil"/>
        </w:pBdr>
        <w:spacing w:after="0" w:line="240" w:lineRule="auto"/>
        <w:ind w:firstLine="720"/>
        <w:rPr>
          <w:rFonts w:eastAsia="Times New Roman" w:cs="Times New Roman"/>
          <w:szCs w:val="24"/>
        </w:rPr>
      </w:pPr>
      <w:r>
        <w:rPr>
          <w:rFonts w:eastAsia="Times New Roman" w:cs="Times New Roman"/>
          <w:i/>
          <w:szCs w:val="24"/>
        </w:rPr>
        <w:t>reference to education</w:t>
      </w:r>
      <w:r>
        <w:rPr>
          <w:rFonts w:eastAsia="Times New Roman" w:cs="Times New Roman"/>
          <w:szCs w:val="24"/>
        </w:rPr>
        <w:t xml:space="preserve"> (3rd ed.). University of Chicago Press.</w:t>
      </w:r>
    </w:p>
    <w:p w14:paraId="3D9D4405" w14:textId="77777777" w:rsidR="007846CF" w:rsidRDefault="007846CF" w:rsidP="007846CF">
      <w:pPr>
        <w:pBdr>
          <w:top w:val="nil"/>
          <w:left w:val="nil"/>
          <w:bottom w:val="nil"/>
          <w:right w:val="nil"/>
          <w:between w:val="nil"/>
        </w:pBdr>
        <w:spacing w:after="0" w:line="240" w:lineRule="auto"/>
        <w:ind w:left="720" w:hanging="720"/>
        <w:rPr>
          <w:rFonts w:eastAsia="Times New Roman" w:cs="Times New Roman"/>
          <w:color w:val="000000"/>
          <w:szCs w:val="24"/>
        </w:rPr>
      </w:pPr>
    </w:p>
    <w:p w14:paraId="6312DE75" w14:textId="457C48D1" w:rsidR="00976F1E" w:rsidRDefault="00976F1E" w:rsidP="007846CF">
      <w:pPr>
        <w:pBdr>
          <w:top w:val="nil"/>
          <w:left w:val="nil"/>
          <w:bottom w:val="nil"/>
          <w:right w:val="nil"/>
          <w:between w:val="nil"/>
        </w:pBdr>
        <w:spacing w:after="0" w:line="240" w:lineRule="auto"/>
        <w:ind w:left="720" w:hanging="720"/>
        <w:rPr>
          <w:rFonts w:eastAsia="Times New Roman" w:cs="Times New Roman"/>
          <w:color w:val="000000"/>
          <w:szCs w:val="24"/>
        </w:rPr>
      </w:pPr>
      <w:r>
        <w:rPr>
          <w:rFonts w:eastAsia="Times New Roman" w:cs="Times New Roman"/>
          <w:color w:val="000000"/>
          <w:szCs w:val="24"/>
        </w:rPr>
        <w:t xml:space="preserve">Castellano, M., Stone III, J. R., &amp; Stringfield, S. (2005). </w:t>
      </w:r>
      <w:r w:rsidRPr="00976F1E">
        <w:rPr>
          <w:rFonts w:eastAsia="Times New Roman" w:cs="Times New Roman"/>
          <w:color w:val="000000"/>
          <w:szCs w:val="24"/>
        </w:rPr>
        <w:t xml:space="preserve">Earning </w:t>
      </w:r>
      <w:r>
        <w:rPr>
          <w:rFonts w:eastAsia="Times New Roman" w:cs="Times New Roman"/>
          <w:color w:val="000000"/>
          <w:szCs w:val="24"/>
        </w:rPr>
        <w:t>i</w:t>
      </w:r>
      <w:r w:rsidRPr="00976F1E">
        <w:rPr>
          <w:rFonts w:eastAsia="Times New Roman" w:cs="Times New Roman"/>
          <w:color w:val="000000"/>
          <w:szCs w:val="24"/>
        </w:rPr>
        <w:t>ndustry-</w:t>
      </w:r>
      <w:r>
        <w:rPr>
          <w:rFonts w:eastAsia="Times New Roman" w:cs="Times New Roman"/>
          <w:color w:val="000000"/>
          <w:szCs w:val="24"/>
        </w:rPr>
        <w:t>r</w:t>
      </w:r>
      <w:r w:rsidRPr="00976F1E">
        <w:rPr>
          <w:rFonts w:eastAsia="Times New Roman" w:cs="Times New Roman"/>
          <w:color w:val="000000"/>
          <w:szCs w:val="24"/>
        </w:rPr>
        <w:t xml:space="preserve">ecognized </w:t>
      </w:r>
      <w:r>
        <w:rPr>
          <w:rFonts w:eastAsia="Times New Roman" w:cs="Times New Roman"/>
          <w:color w:val="000000"/>
          <w:szCs w:val="24"/>
        </w:rPr>
        <w:t>c</w:t>
      </w:r>
      <w:r w:rsidRPr="00976F1E">
        <w:rPr>
          <w:rFonts w:eastAsia="Times New Roman" w:cs="Times New Roman"/>
          <w:color w:val="000000"/>
          <w:szCs w:val="24"/>
        </w:rPr>
        <w:t xml:space="preserve">redentials in </w:t>
      </w:r>
      <w:r>
        <w:rPr>
          <w:rFonts w:eastAsia="Times New Roman" w:cs="Times New Roman"/>
          <w:color w:val="000000"/>
          <w:szCs w:val="24"/>
        </w:rPr>
        <w:t>h</w:t>
      </w:r>
      <w:r w:rsidRPr="00976F1E">
        <w:rPr>
          <w:rFonts w:eastAsia="Times New Roman" w:cs="Times New Roman"/>
          <w:color w:val="000000"/>
          <w:szCs w:val="24"/>
        </w:rPr>
        <w:t xml:space="preserve">igh </w:t>
      </w:r>
      <w:r>
        <w:rPr>
          <w:rFonts w:eastAsia="Times New Roman" w:cs="Times New Roman"/>
          <w:color w:val="000000"/>
          <w:szCs w:val="24"/>
        </w:rPr>
        <w:t>s</w:t>
      </w:r>
      <w:r w:rsidRPr="00976F1E">
        <w:rPr>
          <w:rFonts w:eastAsia="Times New Roman" w:cs="Times New Roman"/>
          <w:color w:val="000000"/>
          <w:szCs w:val="24"/>
        </w:rPr>
        <w:t xml:space="preserve">chool: Exploring </w:t>
      </w:r>
      <w:r>
        <w:rPr>
          <w:rFonts w:eastAsia="Times New Roman" w:cs="Times New Roman"/>
          <w:color w:val="000000"/>
          <w:szCs w:val="24"/>
        </w:rPr>
        <w:t>r</w:t>
      </w:r>
      <w:r w:rsidRPr="00976F1E">
        <w:rPr>
          <w:rFonts w:eastAsia="Times New Roman" w:cs="Times New Roman"/>
          <w:color w:val="000000"/>
          <w:szCs w:val="24"/>
        </w:rPr>
        <w:t xml:space="preserve">esearch and </w:t>
      </w:r>
      <w:r>
        <w:rPr>
          <w:rFonts w:eastAsia="Times New Roman" w:cs="Times New Roman"/>
          <w:color w:val="000000"/>
          <w:szCs w:val="24"/>
        </w:rPr>
        <w:t>p</w:t>
      </w:r>
      <w:r w:rsidRPr="00976F1E">
        <w:rPr>
          <w:rFonts w:eastAsia="Times New Roman" w:cs="Times New Roman"/>
          <w:color w:val="000000"/>
          <w:szCs w:val="24"/>
        </w:rPr>
        <w:t xml:space="preserve">olicy </w:t>
      </w:r>
      <w:r>
        <w:rPr>
          <w:rFonts w:eastAsia="Times New Roman" w:cs="Times New Roman"/>
          <w:color w:val="000000"/>
          <w:szCs w:val="24"/>
        </w:rPr>
        <w:t>i</w:t>
      </w:r>
      <w:r w:rsidRPr="00976F1E">
        <w:rPr>
          <w:rFonts w:eastAsia="Times New Roman" w:cs="Times New Roman"/>
          <w:color w:val="000000"/>
          <w:szCs w:val="24"/>
        </w:rPr>
        <w:t>ssues</w:t>
      </w:r>
      <w:r>
        <w:rPr>
          <w:rFonts w:eastAsia="Times New Roman" w:cs="Times New Roman"/>
          <w:color w:val="000000"/>
          <w:szCs w:val="24"/>
        </w:rPr>
        <w:t xml:space="preserve">. </w:t>
      </w:r>
      <w:r w:rsidRPr="00976F1E">
        <w:rPr>
          <w:rFonts w:eastAsia="Times New Roman" w:cs="Times New Roman"/>
          <w:i/>
          <w:color w:val="000000"/>
          <w:szCs w:val="24"/>
        </w:rPr>
        <w:t>Journal of Career and Technical Education, 21</w:t>
      </w:r>
      <w:r>
        <w:rPr>
          <w:rFonts w:eastAsia="Times New Roman" w:cs="Times New Roman"/>
          <w:color w:val="000000"/>
          <w:szCs w:val="24"/>
        </w:rPr>
        <w:t>(</w:t>
      </w:r>
      <w:r w:rsidRPr="00976F1E">
        <w:rPr>
          <w:rFonts w:eastAsia="Times New Roman" w:cs="Times New Roman"/>
          <w:color w:val="000000"/>
          <w:szCs w:val="24"/>
        </w:rPr>
        <w:t>2</w:t>
      </w:r>
      <w:r>
        <w:rPr>
          <w:rFonts w:eastAsia="Times New Roman" w:cs="Times New Roman"/>
          <w:color w:val="000000"/>
          <w:szCs w:val="24"/>
        </w:rPr>
        <w:t>),</w:t>
      </w:r>
      <w:r w:rsidRPr="00976F1E">
        <w:rPr>
          <w:rFonts w:eastAsia="Times New Roman" w:cs="Times New Roman"/>
          <w:color w:val="000000"/>
          <w:szCs w:val="24"/>
        </w:rPr>
        <w:t xml:space="preserve"> 7-34</w:t>
      </w:r>
      <w:r>
        <w:rPr>
          <w:rFonts w:eastAsia="Times New Roman" w:cs="Times New Roman"/>
          <w:color w:val="000000"/>
          <w:szCs w:val="24"/>
        </w:rPr>
        <w:t xml:space="preserve">. </w:t>
      </w:r>
      <w:r w:rsidRPr="00976F1E">
        <w:rPr>
          <w:rFonts w:eastAsia="Times New Roman" w:cs="Times New Roman"/>
          <w:color w:val="000000"/>
          <w:szCs w:val="24"/>
        </w:rPr>
        <w:t>https://files.eric.ed.gov/fulltext/EJ1069518.pdf</w:t>
      </w:r>
    </w:p>
    <w:p w14:paraId="2899D855" w14:textId="77777777" w:rsidR="00976F1E" w:rsidRDefault="00976F1E" w:rsidP="007846CF">
      <w:pPr>
        <w:pBdr>
          <w:top w:val="nil"/>
          <w:left w:val="nil"/>
          <w:bottom w:val="nil"/>
          <w:right w:val="nil"/>
          <w:between w:val="nil"/>
        </w:pBdr>
        <w:spacing w:after="0" w:line="240" w:lineRule="auto"/>
        <w:ind w:left="720" w:hanging="720"/>
        <w:rPr>
          <w:rFonts w:eastAsia="Times New Roman" w:cs="Times New Roman"/>
          <w:color w:val="000000"/>
          <w:szCs w:val="24"/>
        </w:rPr>
      </w:pPr>
    </w:p>
    <w:p w14:paraId="48F89856" w14:textId="0318A231" w:rsidR="00FD0056" w:rsidRDefault="00FD0056" w:rsidP="007846CF">
      <w:pPr>
        <w:pBdr>
          <w:top w:val="nil"/>
          <w:left w:val="nil"/>
          <w:bottom w:val="nil"/>
          <w:right w:val="nil"/>
          <w:between w:val="nil"/>
        </w:pBdr>
        <w:spacing w:after="0" w:line="240" w:lineRule="auto"/>
        <w:ind w:left="720" w:hanging="720"/>
        <w:rPr>
          <w:rFonts w:eastAsia="Times New Roman" w:cs="Times New Roman"/>
          <w:color w:val="000000"/>
          <w:szCs w:val="24"/>
        </w:rPr>
      </w:pPr>
      <w:r>
        <w:rPr>
          <w:rFonts w:eastAsia="Times New Roman" w:cs="Times New Roman"/>
          <w:color w:val="000000"/>
          <w:szCs w:val="24"/>
        </w:rPr>
        <w:t xml:space="preserve">Creswell, J. W., &amp; Poth, C. N. (2018). </w:t>
      </w:r>
      <w:r>
        <w:rPr>
          <w:rFonts w:eastAsia="Times New Roman" w:cs="Times New Roman"/>
          <w:i/>
          <w:color w:val="000000"/>
          <w:szCs w:val="24"/>
        </w:rPr>
        <w:t>Qualitative inquiry and research design: Choosing among five approaches</w:t>
      </w:r>
      <w:r>
        <w:rPr>
          <w:rFonts w:eastAsia="Times New Roman" w:cs="Times New Roman"/>
          <w:color w:val="000000"/>
          <w:szCs w:val="24"/>
        </w:rPr>
        <w:t xml:space="preserve"> (4th ed.). SAGE Publications.</w:t>
      </w:r>
    </w:p>
    <w:p w14:paraId="4FB292F5" w14:textId="77777777" w:rsidR="00FD0056" w:rsidRDefault="00FD0056" w:rsidP="00FD0056">
      <w:pPr>
        <w:tabs>
          <w:tab w:val="left" w:pos="90"/>
        </w:tabs>
        <w:spacing w:after="0" w:line="240" w:lineRule="auto"/>
        <w:ind w:left="720" w:hanging="720"/>
        <w:rPr>
          <w:rFonts w:eastAsia="Times New Roman" w:cs="Times New Roman"/>
          <w:szCs w:val="24"/>
        </w:rPr>
      </w:pPr>
    </w:p>
    <w:p w14:paraId="03F8FEAD" w14:textId="01DF6637" w:rsidR="00FD0056" w:rsidRDefault="00FD0056" w:rsidP="007846CF">
      <w:pPr>
        <w:tabs>
          <w:tab w:val="left" w:pos="90"/>
        </w:tabs>
        <w:spacing w:after="0" w:line="240" w:lineRule="auto"/>
        <w:ind w:left="720" w:hanging="720"/>
        <w:rPr>
          <w:rFonts w:eastAsia="Times New Roman" w:cs="Times New Roman"/>
          <w:szCs w:val="24"/>
        </w:rPr>
      </w:pPr>
      <w:r>
        <w:rPr>
          <w:rFonts w:eastAsia="Times New Roman" w:cs="Times New Roman"/>
          <w:szCs w:val="24"/>
        </w:rPr>
        <w:t xml:space="preserve">Dillman, D. A., Smyth, J. D., &amp; Christian, L. M. (2014). </w:t>
      </w:r>
      <w:r>
        <w:rPr>
          <w:rFonts w:eastAsia="Times New Roman" w:cs="Times New Roman"/>
          <w:i/>
          <w:szCs w:val="24"/>
        </w:rPr>
        <w:t xml:space="preserve">Internet, phone, mail, and mixed-mode surveys: The tailored design method </w:t>
      </w:r>
      <w:r>
        <w:rPr>
          <w:rFonts w:eastAsia="Times New Roman" w:cs="Times New Roman"/>
          <w:szCs w:val="24"/>
        </w:rPr>
        <w:t>(4th ed.). John Wiley &amp; Sons, Inc.</w:t>
      </w:r>
    </w:p>
    <w:p w14:paraId="72610479" w14:textId="0EF59484" w:rsidR="007846CF" w:rsidRDefault="007846CF" w:rsidP="007846CF">
      <w:pPr>
        <w:tabs>
          <w:tab w:val="left" w:pos="90"/>
        </w:tabs>
        <w:spacing w:after="0" w:line="240" w:lineRule="auto"/>
        <w:ind w:left="720" w:hanging="720"/>
        <w:rPr>
          <w:rFonts w:eastAsia="Times New Roman" w:cs="Times New Roman"/>
          <w:szCs w:val="24"/>
        </w:rPr>
      </w:pPr>
    </w:p>
    <w:p w14:paraId="32D73848" w14:textId="35B55305" w:rsidR="00EA4AA6" w:rsidRPr="00EA4AA6" w:rsidRDefault="00EA4AA6" w:rsidP="007846CF">
      <w:pPr>
        <w:pBdr>
          <w:top w:val="nil"/>
          <w:left w:val="nil"/>
          <w:bottom w:val="nil"/>
          <w:right w:val="nil"/>
          <w:between w:val="nil"/>
        </w:pBdr>
        <w:spacing w:after="0" w:line="240" w:lineRule="auto"/>
        <w:ind w:left="720" w:hanging="720"/>
        <w:rPr>
          <w:rFonts w:eastAsia="Times New Roman" w:cs="Times New Roman"/>
          <w:color w:val="000000"/>
          <w:szCs w:val="24"/>
        </w:rPr>
      </w:pPr>
      <w:r>
        <w:rPr>
          <w:rFonts w:eastAsia="Times New Roman" w:cs="Times New Roman"/>
          <w:color w:val="000000"/>
          <w:szCs w:val="24"/>
        </w:rPr>
        <w:t xml:space="preserve">Figlio, D., &amp; Loeb, S. (2011). Chapter 8: School accountability. In </w:t>
      </w:r>
      <w:r w:rsidRPr="00EA4AA6">
        <w:rPr>
          <w:rFonts w:eastAsia="Times New Roman" w:cs="Times New Roman"/>
          <w:color w:val="000000"/>
          <w:szCs w:val="24"/>
        </w:rPr>
        <w:t xml:space="preserve">Eric A. Hanushek, Stephen Machin, </w:t>
      </w:r>
      <w:r>
        <w:rPr>
          <w:rFonts w:eastAsia="Times New Roman" w:cs="Times New Roman"/>
          <w:color w:val="000000"/>
          <w:szCs w:val="24"/>
        </w:rPr>
        <w:t xml:space="preserve">&amp; </w:t>
      </w:r>
      <w:r w:rsidRPr="00EA4AA6">
        <w:rPr>
          <w:rFonts w:eastAsia="Times New Roman" w:cs="Times New Roman"/>
          <w:color w:val="000000"/>
          <w:szCs w:val="24"/>
        </w:rPr>
        <w:t xml:space="preserve">Ludger Woessmann </w:t>
      </w:r>
      <w:r>
        <w:rPr>
          <w:rFonts w:eastAsia="Times New Roman" w:cs="Times New Roman"/>
          <w:color w:val="000000"/>
          <w:szCs w:val="24"/>
        </w:rPr>
        <w:t xml:space="preserve">(Eds.), </w:t>
      </w:r>
      <w:r w:rsidRPr="00EA4AA6">
        <w:rPr>
          <w:rFonts w:eastAsia="Times New Roman" w:cs="Times New Roman"/>
          <w:i/>
          <w:color w:val="000000"/>
          <w:szCs w:val="24"/>
        </w:rPr>
        <w:t>Handbook of the Economics of Education</w:t>
      </w:r>
      <w:r>
        <w:rPr>
          <w:rFonts w:eastAsia="Times New Roman" w:cs="Times New Roman"/>
          <w:color w:val="000000"/>
          <w:szCs w:val="24"/>
        </w:rPr>
        <w:t xml:space="preserve"> (pp. 383-421). Elsevier. </w:t>
      </w:r>
      <w:r w:rsidRPr="00EA4AA6">
        <w:rPr>
          <w:rFonts w:eastAsia="Times New Roman" w:cs="Times New Roman"/>
          <w:color w:val="000000"/>
          <w:szCs w:val="24"/>
        </w:rPr>
        <w:t>https://doi.org/10.1016/B978-0-444-53429-3.00008-9</w:t>
      </w:r>
    </w:p>
    <w:p w14:paraId="0D67EAA3" w14:textId="77777777" w:rsidR="00EA4AA6" w:rsidRDefault="00EA4AA6" w:rsidP="007846CF">
      <w:pPr>
        <w:pBdr>
          <w:top w:val="nil"/>
          <w:left w:val="nil"/>
          <w:bottom w:val="nil"/>
          <w:right w:val="nil"/>
          <w:between w:val="nil"/>
        </w:pBdr>
        <w:spacing w:after="0" w:line="240" w:lineRule="auto"/>
        <w:ind w:left="720" w:hanging="720"/>
        <w:rPr>
          <w:rFonts w:eastAsia="Times New Roman" w:cs="Times New Roman"/>
          <w:color w:val="000000"/>
          <w:szCs w:val="24"/>
        </w:rPr>
      </w:pPr>
    </w:p>
    <w:p w14:paraId="032B5615" w14:textId="05970358" w:rsidR="007846CF" w:rsidRDefault="007846CF" w:rsidP="007846CF">
      <w:pPr>
        <w:pBdr>
          <w:top w:val="nil"/>
          <w:left w:val="nil"/>
          <w:bottom w:val="nil"/>
          <w:right w:val="nil"/>
          <w:between w:val="nil"/>
        </w:pBdr>
        <w:spacing w:after="0" w:line="240" w:lineRule="auto"/>
        <w:ind w:left="720" w:hanging="720"/>
        <w:rPr>
          <w:rFonts w:eastAsia="Times New Roman" w:cs="Times New Roman"/>
          <w:color w:val="000000"/>
          <w:szCs w:val="24"/>
        </w:rPr>
      </w:pPr>
      <w:r>
        <w:rPr>
          <w:rFonts w:eastAsia="Times New Roman" w:cs="Times New Roman"/>
          <w:color w:val="000000"/>
          <w:szCs w:val="24"/>
        </w:rPr>
        <w:t xml:space="preserve">Mott, R., &amp; Haddad, B. (2024). A call to better qual: A philosophical and methodological examination to phenomenological research. </w:t>
      </w:r>
      <w:r>
        <w:rPr>
          <w:rFonts w:eastAsia="Times New Roman" w:cs="Times New Roman"/>
          <w:i/>
          <w:color w:val="000000"/>
          <w:szCs w:val="24"/>
        </w:rPr>
        <w:t>Journal of Agricultural Education, 65</w:t>
      </w:r>
      <w:r>
        <w:rPr>
          <w:rFonts w:eastAsia="Times New Roman" w:cs="Times New Roman"/>
          <w:color w:val="000000"/>
          <w:szCs w:val="24"/>
        </w:rPr>
        <w:t>(3), 260–275. https://doi.org/10.5032/jae.v65i3.2492</w:t>
      </w:r>
    </w:p>
    <w:p w14:paraId="6B2D3B71" w14:textId="77777777" w:rsidR="007846CF" w:rsidRDefault="007846CF" w:rsidP="007846CF">
      <w:pPr>
        <w:pBdr>
          <w:top w:val="nil"/>
          <w:left w:val="nil"/>
          <w:bottom w:val="nil"/>
          <w:right w:val="nil"/>
          <w:between w:val="nil"/>
        </w:pBdr>
        <w:spacing w:after="0" w:line="240" w:lineRule="auto"/>
        <w:rPr>
          <w:rFonts w:eastAsia="Times New Roman" w:cs="Times New Roman"/>
          <w:szCs w:val="24"/>
        </w:rPr>
      </w:pPr>
    </w:p>
    <w:p w14:paraId="4C7E3512" w14:textId="437F9AF6" w:rsidR="00730EFE" w:rsidRPr="00730EFE" w:rsidRDefault="0039263C" w:rsidP="00730EFE">
      <w:pPr>
        <w:pBdr>
          <w:top w:val="nil"/>
          <w:left w:val="nil"/>
          <w:bottom w:val="nil"/>
          <w:right w:val="nil"/>
          <w:between w:val="nil"/>
        </w:pBdr>
        <w:spacing w:after="0" w:line="240" w:lineRule="auto"/>
        <w:rPr>
          <w:rFonts w:eastAsia="Times New Roman" w:cs="Times New Roman"/>
          <w:szCs w:val="24"/>
        </w:rPr>
      </w:pPr>
      <w:r>
        <w:rPr>
          <w:rFonts w:eastAsia="Times New Roman" w:cs="Times New Roman"/>
          <w:szCs w:val="24"/>
        </w:rPr>
        <w:t>Kentucky</w:t>
      </w:r>
      <w:r w:rsidR="00730EFE" w:rsidRPr="00730EFE">
        <w:rPr>
          <w:rFonts w:eastAsia="Times New Roman" w:cs="Times New Roman"/>
          <w:szCs w:val="24"/>
        </w:rPr>
        <w:t xml:space="preserve"> Department of Education. (2024, June 17). </w:t>
      </w:r>
      <w:r w:rsidR="00730EFE" w:rsidRPr="00730EFE">
        <w:rPr>
          <w:rFonts w:eastAsia="Times New Roman" w:cs="Times New Roman"/>
          <w:i/>
          <w:szCs w:val="24"/>
        </w:rPr>
        <w:t>Accountability</w:t>
      </w:r>
      <w:r w:rsidR="00730EFE" w:rsidRPr="00730EFE">
        <w:rPr>
          <w:rFonts w:eastAsia="Times New Roman" w:cs="Times New Roman"/>
          <w:szCs w:val="24"/>
        </w:rPr>
        <w:t>.</w:t>
      </w:r>
    </w:p>
    <w:p w14:paraId="3DC05CCD" w14:textId="79131232" w:rsidR="00730EFE" w:rsidRDefault="00730EFE" w:rsidP="00730EFE">
      <w:pPr>
        <w:pBdr>
          <w:top w:val="nil"/>
          <w:left w:val="nil"/>
          <w:bottom w:val="nil"/>
          <w:right w:val="nil"/>
          <w:between w:val="nil"/>
        </w:pBdr>
        <w:spacing w:after="0" w:line="240" w:lineRule="auto"/>
        <w:ind w:firstLine="720"/>
        <w:rPr>
          <w:rFonts w:eastAsia="Times New Roman" w:cs="Times New Roman"/>
          <w:szCs w:val="24"/>
        </w:rPr>
      </w:pPr>
      <w:r w:rsidRPr="00730EFE">
        <w:rPr>
          <w:rFonts w:eastAsia="Times New Roman" w:cs="Times New Roman"/>
          <w:szCs w:val="24"/>
        </w:rPr>
        <w:t>https://www.education.</w:t>
      </w:r>
      <w:r w:rsidR="0039263C">
        <w:rPr>
          <w:rFonts w:eastAsia="Times New Roman" w:cs="Times New Roman"/>
          <w:szCs w:val="24"/>
        </w:rPr>
        <w:t>Kentucky</w:t>
      </w:r>
      <w:r w:rsidRPr="00730EFE">
        <w:rPr>
          <w:rFonts w:eastAsia="Times New Roman" w:cs="Times New Roman"/>
          <w:szCs w:val="24"/>
        </w:rPr>
        <w:t>.gov/AA/Acct/Pages/default.aspx</w:t>
      </w:r>
    </w:p>
    <w:p w14:paraId="1450E2F7" w14:textId="77777777" w:rsidR="00730EFE" w:rsidRDefault="00730EFE" w:rsidP="007846CF">
      <w:pPr>
        <w:pBdr>
          <w:top w:val="nil"/>
          <w:left w:val="nil"/>
          <w:bottom w:val="nil"/>
          <w:right w:val="nil"/>
          <w:between w:val="nil"/>
        </w:pBdr>
        <w:spacing w:after="0" w:line="240" w:lineRule="auto"/>
        <w:rPr>
          <w:rFonts w:eastAsia="Times New Roman" w:cs="Times New Roman"/>
          <w:szCs w:val="24"/>
        </w:rPr>
      </w:pPr>
    </w:p>
    <w:p w14:paraId="20816F16" w14:textId="17B4F613" w:rsidR="007846CF" w:rsidRDefault="007846CF" w:rsidP="007846CF">
      <w:pPr>
        <w:pBdr>
          <w:top w:val="nil"/>
          <w:left w:val="nil"/>
          <w:bottom w:val="nil"/>
          <w:right w:val="nil"/>
          <w:between w:val="nil"/>
        </w:pBdr>
        <w:spacing w:after="0" w:line="240" w:lineRule="auto"/>
        <w:rPr>
          <w:rFonts w:eastAsia="Times New Roman" w:cs="Times New Roman"/>
          <w:i/>
          <w:szCs w:val="24"/>
        </w:rPr>
      </w:pPr>
      <w:r>
        <w:rPr>
          <w:rFonts w:eastAsia="Times New Roman" w:cs="Times New Roman"/>
          <w:szCs w:val="24"/>
        </w:rPr>
        <w:t xml:space="preserve">Stripling, C. T. &amp; Rickets, J. C. (2016). </w:t>
      </w:r>
      <w:r>
        <w:rPr>
          <w:rFonts w:eastAsia="Times New Roman" w:cs="Times New Roman"/>
          <w:i/>
          <w:szCs w:val="24"/>
        </w:rPr>
        <w:t>American Association for Agricultural Education</w:t>
      </w:r>
    </w:p>
    <w:p w14:paraId="208F5B89" w14:textId="77777777" w:rsidR="007846CF" w:rsidRDefault="007846CF" w:rsidP="007846CF">
      <w:pPr>
        <w:pBdr>
          <w:top w:val="nil"/>
          <w:left w:val="nil"/>
          <w:bottom w:val="nil"/>
          <w:right w:val="nil"/>
          <w:between w:val="nil"/>
        </w:pBdr>
        <w:spacing w:after="0" w:line="240" w:lineRule="auto"/>
        <w:ind w:firstLine="720"/>
        <w:rPr>
          <w:rFonts w:eastAsia="Times New Roman" w:cs="Times New Roman"/>
          <w:szCs w:val="24"/>
        </w:rPr>
      </w:pPr>
      <w:r>
        <w:rPr>
          <w:rFonts w:eastAsia="Times New Roman" w:cs="Times New Roman"/>
          <w:i/>
          <w:szCs w:val="24"/>
        </w:rPr>
        <w:t>National Research Agenda: 2016-2020.</w:t>
      </w:r>
      <w:r>
        <w:rPr>
          <w:rFonts w:eastAsia="Times New Roman" w:cs="Times New Roman"/>
          <w:szCs w:val="24"/>
        </w:rPr>
        <w:t xml:space="preserve"> Gainesville, FL: Department of Agricultural</w:t>
      </w:r>
    </w:p>
    <w:p w14:paraId="36B7679E" w14:textId="77777777" w:rsidR="007846CF" w:rsidRDefault="007846CF" w:rsidP="007846CF">
      <w:pPr>
        <w:pBdr>
          <w:top w:val="nil"/>
          <w:left w:val="nil"/>
          <w:bottom w:val="nil"/>
          <w:right w:val="nil"/>
          <w:between w:val="nil"/>
        </w:pBdr>
        <w:spacing w:after="0" w:line="240" w:lineRule="auto"/>
        <w:ind w:firstLine="720"/>
        <w:rPr>
          <w:rFonts w:eastAsia="Times New Roman" w:cs="Times New Roman"/>
          <w:szCs w:val="24"/>
        </w:rPr>
      </w:pPr>
      <w:r>
        <w:rPr>
          <w:rFonts w:eastAsia="Times New Roman" w:cs="Times New Roman"/>
          <w:szCs w:val="24"/>
        </w:rPr>
        <w:t xml:space="preserve">Education and Communication. </w:t>
      </w:r>
    </w:p>
    <w:p w14:paraId="7E4F4E69" w14:textId="77777777" w:rsidR="007846CF" w:rsidRDefault="007846CF" w:rsidP="00FD0056">
      <w:pPr>
        <w:tabs>
          <w:tab w:val="left" w:pos="90"/>
        </w:tabs>
        <w:spacing w:after="0" w:line="240" w:lineRule="auto"/>
        <w:ind w:left="720" w:hanging="720"/>
        <w:rPr>
          <w:rFonts w:eastAsia="Times New Roman" w:cs="Times New Roman"/>
          <w:szCs w:val="24"/>
        </w:rPr>
      </w:pPr>
    </w:p>
    <w:p w14:paraId="6778769A" w14:textId="40C09F83" w:rsidR="007F0AE3" w:rsidRPr="00277D73" w:rsidRDefault="007F0AE3" w:rsidP="00884E4F">
      <w:pPr>
        <w:spacing w:after="0" w:line="240" w:lineRule="auto"/>
        <w:ind w:left="720" w:hanging="720"/>
      </w:pPr>
    </w:p>
    <w:sectPr w:rsidR="007F0AE3" w:rsidRPr="00277D73" w:rsidSect="00AC12B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3FC5F" w14:textId="77777777" w:rsidR="009B6EB0" w:rsidRDefault="009B6EB0" w:rsidP="000B3385">
      <w:pPr>
        <w:spacing w:after="0" w:line="240" w:lineRule="auto"/>
      </w:pPr>
      <w:r>
        <w:separator/>
      </w:r>
    </w:p>
  </w:endnote>
  <w:endnote w:type="continuationSeparator" w:id="0">
    <w:p w14:paraId="2766EB1A" w14:textId="77777777" w:rsidR="009B6EB0" w:rsidRDefault="009B6EB0" w:rsidP="000B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646284"/>
      <w:docPartObj>
        <w:docPartGallery w:val="Page Numbers (Bottom of Page)"/>
        <w:docPartUnique/>
      </w:docPartObj>
    </w:sdtPr>
    <w:sdtEndPr>
      <w:rPr>
        <w:noProof/>
      </w:rPr>
    </w:sdtEndPr>
    <w:sdtContent>
      <w:p w14:paraId="7CEBADD6" w14:textId="5124FFBC" w:rsidR="0077721F" w:rsidRDefault="00777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EB932" w14:textId="77777777" w:rsidR="0077721F" w:rsidRDefault="0077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004EF" w14:textId="77777777" w:rsidR="009B6EB0" w:rsidRDefault="009B6EB0" w:rsidP="000B3385">
      <w:pPr>
        <w:spacing w:after="0" w:line="240" w:lineRule="auto"/>
      </w:pPr>
      <w:r>
        <w:separator/>
      </w:r>
    </w:p>
  </w:footnote>
  <w:footnote w:type="continuationSeparator" w:id="0">
    <w:p w14:paraId="15884B4C" w14:textId="77777777" w:rsidR="009B6EB0" w:rsidRDefault="009B6EB0" w:rsidP="000B3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911F" w14:textId="37D28DE5" w:rsidR="00F3381D" w:rsidRDefault="00F3381D" w:rsidP="00F3381D">
    <w:pPr>
      <w:pStyle w:val="Header"/>
      <w:jc w:val="right"/>
    </w:pPr>
    <w:r>
      <w:t>Discipline Area: Agricultural Education</w:t>
    </w:r>
  </w:p>
  <w:p w14:paraId="564F8965" w14:textId="77777777" w:rsidR="00F3381D" w:rsidRDefault="00F338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62002"/>
    <w:multiLevelType w:val="hybridMultilevel"/>
    <w:tmpl w:val="32182A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1A76801"/>
    <w:multiLevelType w:val="hybridMultilevel"/>
    <w:tmpl w:val="BD98E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60521751">
    <w:abstractNumId w:val="1"/>
  </w:num>
  <w:num w:numId="2" w16cid:durableId="1311638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c3sDQ1sjQ1NzA2MTRS0lEKTi0uzszPAykwqgUA6sTXXywAAAA="/>
  </w:docVars>
  <w:rsids>
    <w:rsidRoot w:val="009646C4"/>
    <w:rsid w:val="000003DE"/>
    <w:rsid w:val="000160C8"/>
    <w:rsid w:val="00024EE4"/>
    <w:rsid w:val="00030552"/>
    <w:rsid w:val="00030917"/>
    <w:rsid w:val="00052060"/>
    <w:rsid w:val="00057D90"/>
    <w:rsid w:val="00073947"/>
    <w:rsid w:val="0007676E"/>
    <w:rsid w:val="00087552"/>
    <w:rsid w:val="000A0643"/>
    <w:rsid w:val="000A0786"/>
    <w:rsid w:val="000B3385"/>
    <w:rsid w:val="000D0889"/>
    <w:rsid w:val="000D1E25"/>
    <w:rsid w:val="000F2FB0"/>
    <w:rsid w:val="001018C5"/>
    <w:rsid w:val="00101B05"/>
    <w:rsid w:val="001043F0"/>
    <w:rsid w:val="001222FA"/>
    <w:rsid w:val="00126154"/>
    <w:rsid w:val="00126BCB"/>
    <w:rsid w:val="00134FB3"/>
    <w:rsid w:val="001570F5"/>
    <w:rsid w:val="001721FF"/>
    <w:rsid w:val="00193BEA"/>
    <w:rsid w:val="00194953"/>
    <w:rsid w:val="001A0FA5"/>
    <w:rsid w:val="001C600E"/>
    <w:rsid w:val="001E3592"/>
    <w:rsid w:val="001E537F"/>
    <w:rsid w:val="001F71E8"/>
    <w:rsid w:val="00215869"/>
    <w:rsid w:val="00226BC2"/>
    <w:rsid w:val="00227C40"/>
    <w:rsid w:val="00231B58"/>
    <w:rsid w:val="00233156"/>
    <w:rsid w:val="00233425"/>
    <w:rsid w:val="00240C42"/>
    <w:rsid w:val="00245011"/>
    <w:rsid w:val="00245889"/>
    <w:rsid w:val="00251DAA"/>
    <w:rsid w:val="00251F90"/>
    <w:rsid w:val="00255B8D"/>
    <w:rsid w:val="002666A2"/>
    <w:rsid w:val="0027049B"/>
    <w:rsid w:val="00274446"/>
    <w:rsid w:val="0027632A"/>
    <w:rsid w:val="00277D73"/>
    <w:rsid w:val="00282503"/>
    <w:rsid w:val="00282E30"/>
    <w:rsid w:val="002834D1"/>
    <w:rsid w:val="002857AF"/>
    <w:rsid w:val="0029237A"/>
    <w:rsid w:val="0029567C"/>
    <w:rsid w:val="002B1E6D"/>
    <w:rsid w:val="002C4357"/>
    <w:rsid w:val="002C5510"/>
    <w:rsid w:val="002D0BA7"/>
    <w:rsid w:val="002D1BFE"/>
    <w:rsid w:val="002E004C"/>
    <w:rsid w:val="002E26AE"/>
    <w:rsid w:val="002F52C8"/>
    <w:rsid w:val="003012F9"/>
    <w:rsid w:val="0033352F"/>
    <w:rsid w:val="00340EB8"/>
    <w:rsid w:val="00342344"/>
    <w:rsid w:val="00355322"/>
    <w:rsid w:val="003847B5"/>
    <w:rsid w:val="0039187E"/>
    <w:rsid w:val="0039263C"/>
    <w:rsid w:val="00396FF9"/>
    <w:rsid w:val="003A474B"/>
    <w:rsid w:val="003A71C2"/>
    <w:rsid w:val="003B7F88"/>
    <w:rsid w:val="003C2760"/>
    <w:rsid w:val="003D157D"/>
    <w:rsid w:val="003D1D39"/>
    <w:rsid w:val="003D4FC0"/>
    <w:rsid w:val="003E7C86"/>
    <w:rsid w:val="003F1890"/>
    <w:rsid w:val="003F1988"/>
    <w:rsid w:val="003F5B2A"/>
    <w:rsid w:val="003F68E5"/>
    <w:rsid w:val="00401259"/>
    <w:rsid w:val="00416DFF"/>
    <w:rsid w:val="004338BC"/>
    <w:rsid w:val="0043462B"/>
    <w:rsid w:val="00437F34"/>
    <w:rsid w:val="0045059F"/>
    <w:rsid w:val="0045734D"/>
    <w:rsid w:val="0047377F"/>
    <w:rsid w:val="00480846"/>
    <w:rsid w:val="00481B8E"/>
    <w:rsid w:val="004924DC"/>
    <w:rsid w:val="00496A11"/>
    <w:rsid w:val="004B78A1"/>
    <w:rsid w:val="004C2362"/>
    <w:rsid w:val="004C2749"/>
    <w:rsid w:val="004C4D14"/>
    <w:rsid w:val="004C55F8"/>
    <w:rsid w:val="004C5D7A"/>
    <w:rsid w:val="004D2E7E"/>
    <w:rsid w:val="004F570C"/>
    <w:rsid w:val="004F5F9A"/>
    <w:rsid w:val="0050497A"/>
    <w:rsid w:val="00523A59"/>
    <w:rsid w:val="00530C45"/>
    <w:rsid w:val="00535318"/>
    <w:rsid w:val="005423F0"/>
    <w:rsid w:val="005468D0"/>
    <w:rsid w:val="00547BD0"/>
    <w:rsid w:val="005525CA"/>
    <w:rsid w:val="005700A7"/>
    <w:rsid w:val="0057200F"/>
    <w:rsid w:val="00580B54"/>
    <w:rsid w:val="005864DB"/>
    <w:rsid w:val="005922BA"/>
    <w:rsid w:val="005923FD"/>
    <w:rsid w:val="00595C4B"/>
    <w:rsid w:val="005A280F"/>
    <w:rsid w:val="005B163A"/>
    <w:rsid w:val="005B7E4E"/>
    <w:rsid w:val="005C05F7"/>
    <w:rsid w:val="005C2FD8"/>
    <w:rsid w:val="005D2AE2"/>
    <w:rsid w:val="005D542D"/>
    <w:rsid w:val="005E0011"/>
    <w:rsid w:val="005F2358"/>
    <w:rsid w:val="005F34CC"/>
    <w:rsid w:val="005F4EB5"/>
    <w:rsid w:val="006007FE"/>
    <w:rsid w:val="00602D30"/>
    <w:rsid w:val="00602FC1"/>
    <w:rsid w:val="006062FA"/>
    <w:rsid w:val="00615BB7"/>
    <w:rsid w:val="00621557"/>
    <w:rsid w:val="006262ED"/>
    <w:rsid w:val="006561E7"/>
    <w:rsid w:val="00666BAF"/>
    <w:rsid w:val="00666C02"/>
    <w:rsid w:val="00666FD9"/>
    <w:rsid w:val="006776AD"/>
    <w:rsid w:val="006841F6"/>
    <w:rsid w:val="006868B1"/>
    <w:rsid w:val="006918B8"/>
    <w:rsid w:val="0069472B"/>
    <w:rsid w:val="006B4C70"/>
    <w:rsid w:val="006C5992"/>
    <w:rsid w:val="007001EA"/>
    <w:rsid w:val="00724750"/>
    <w:rsid w:val="00730174"/>
    <w:rsid w:val="00730EFE"/>
    <w:rsid w:val="00731B1F"/>
    <w:rsid w:val="007325F0"/>
    <w:rsid w:val="0073603D"/>
    <w:rsid w:val="007568CF"/>
    <w:rsid w:val="00761C30"/>
    <w:rsid w:val="00764EEF"/>
    <w:rsid w:val="00773450"/>
    <w:rsid w:val="0077721F"/>
    <w:rsid w:val="00780C33"/>
    <w:rsid w:val="007846CF"/>
    <w:rsid w:val="007B4A75"/>
    <w:rsid w:val="007D6650"/>
    <w:rsid w:val="007E7C4A"/>
    <w:rsid w:val="007F0AE3"/>
    <w:rsid w:val="008155FB"/>
    <w:rsid w:val="0083165C"/>
    <w:rsid w:val="00831FCB"/>
    <w:rsid w:val="00832FA4"/>
    <w:rsid w:val="0083429C"/>
    <w:rsid w:val="00837EE1"/>
    <w:rsid w:val="0084367C"/>
    <w:rsid w:val="00847CEB"/>
    <w:rsid w:val="00851193"/>
    <w:rsid w:val="0085122E"/>
    <w:rsid w:val="00860F00"/>
    <w:rsid w:val="00884E4F"/>
    <w:rsid w:val="00887AFA"/>
    <w:rsid w:val="00894CF2"/>
    <w:rsid w:val="0089513F"/>
    <w:rsid w:val="0089525A"/>
    <w:rsid w:val="008A3E2E"/>
    <w:rsid w:val="008A6F37"/>
    <w:rsid w:val="008B1CF9"/>
    <w:rsid w:val="008B7299"/>
    <w:rsid w:val="008C05F7"/>
    <w:rsid w:val="008C619D"/>
    <w:rsid w:val="008C7023"/>
    <w:rsid w:val="008D3100"/>
    <w:rsid w:val="008E0951"/>
    <w:rsid w:val="008E17BB"/>
    <w:rsid w:val="008E2560"/>
    <w:rsid w:val="008E6337"/>
    <w:rsid w:val="008F093C"/>
    <w:rsid w:val="008F4D39"/>
    <w:rsid w:val="00902F28"/>
    <w:rsid w:val="00906EDA"/>
    <w:rsid w:val="00916F6D"/>
    <w:rsid w:val="00917C86"/>
    <w:rsid w:val="0092030C"/>
    <w:rsid w:val="0092301E"/>
    <w:rsid w:val="00930387"/>
    <w:rsid w:val="00946A96"/>
    <w:rsid w:val="009516FF"/>
    <w:rsid w:val="00956570"/>
    <w:rsid w:val="009646C4"/>
    <w:rsid w:val="00967606"/>
    <w:rsid w:val="00974ACD"/>
    <w:rsid w:val="00976747"/>
    <w:rsid w:val="00976F1E"/>
    <w:rsid w:val="009801F1"/>
    <w:rsid w:val="00985535"/>
    <w:rsid w:val="00996942"/>
    <w:rsid w:val="009A57C3"/>
    <w:rsid w:val="009A681E"/>
    <w:rsid w:val="009B443A"/>
    <w:rsid w:val="009B6A72"/>
    <w:rsid w:val="009B6EB0"/>
    <w:rsid w:val="009C50CF"/>
    <w:rsid w:val="009C5B7E"/>
    <w:rsid w:val="009D6E8F"/>
    <w:rsid w:val="009E3E5E"/>
    <w:rsid w:val="009F21F0"/>
    <w:rsid w:val="009F5FE9"/>
    <w:rsid w:val="00A2686B"/>
    <w:rsid w:val="00A3434C"/>
    <w:rsid w:val="00A543EB"/>
    <w:rsid w:val="00A55702"/>
    <w:rsid w:val="00A565AB"/>
    <w:rsid w:val="00A60883"/>
    <w:rsid w:val="00A66B84"/>
    <w:rsid w:val="00A66E1E"/>
    <w:rsid w:val="00A67368"/>
    <w:rsid w:val="00A8087D"/>
    <w:rsid w:val="00A857B7"/>
    <w:rsid w:val="00A87F7D"/>
    <w:rsid w:val="00A9495F"/>
    <w:rsid w:val="00A957F2"/>
    <w:rsid w:val="00A95C28"/>
    <w:rsid w:val="00AA1914"/>
    <w:rsid w:val="00AA6F2B"/>
    <w:rsid w:val="00AA73C6"/>
    <w:rsid w:val="00AB147B"/>
    <w:rsid w:val="00AB1F96"/>
    <w:rsid w:val="00AC12BE"/>
    <w:rsid w:val="00AC52D1"/>
    <w:rsid w:val="00AF47A3"/>
    <w:rsid w:val="00B03493"/>
    <w:rsid w:val="00B03648"/>
    <w:rsid w:val="00B141C3"/>
    <w:rsid w:val="00B23D93"/>
    <w:rsid w:val="00B33CA3"/>
    <w:rsid w:val="00B47CB1"/>
    <w:rsid w:val="00B63B8D"/>
    <w:rsid w:val="00B716C8"/>
    <w:rsid w:val="00B76DB6"/>
    <w:rsid w:val="00B84F2D"/>
    <w:rsid w:val="00B8538F"/>
    <w:rsid w:val="00B97AEF"/>
    <w:rsid w:val="00BD01E7"/>
    <w:rsid w:val="00BF39FB"/>
    <w:rsid w:val="00BF742D"/>
    <w:rsid w:val="00C0081B"/>
    <w:rsid w:val="00C0323E"/>
    <w:rsid w:val="00C16C7D"/>
    <w:rsid w:val="00C300A4"/>
    <w:rsid w:val="00C46983"/>
    <w:rsid w:val="00C56759"/>
    <w:rsid w:val="00C6670F"/>
    <w:rsid w:val="00C66876"/>
    <w:rsid w:val="00C73FFA"/>
    <w:rsid w:val="00C928FA"/>
    <w:rsid w:val="00C96E39"/>
    <w:rsid w:val="00CA1C57"/>
    <w:rsid w:val="00CA1ED3"/>
    <w:rsid w:val="00CA26E2"/>
    <w:rsid w:val="00CA4D11"/>
    <w:rsid w:val="00CB05C5"/>
    <w:rsid w:val="00CB741B"/>
    <w:rsid w:val="00CD1DC5"/>
    <w:rsid w:val="00CD75EA"/>
    <w:rsid w:val="00CE0BC5"/>
    <w:rsid w:val="00CE2896"/>
    <w:rsid w:val="00CF2120"/>
    <w:rsid w:val="00D0385F"/>
    <w:rsid w:val="00D0605C"/>
    <w:rsid w:val="00D06367"/>
    <w:rsid w:val="00D14AF2"/>
    <w:rsid w:val="00D16BF3"/>
    <w:rsid w:val="00D21D53"/>
    <w:rsid w:val="00D26932"/>
    <w:rsid w:val="00D51651"/>
    <w:rsid w:val="00D569C3"/>
    <w:rsid w:val="00D64FC0"/>
    <w:rsid w:val="00D7085B"/>
    <w:rsid w:val="00D70D83"/>
    <w:rsid w:val="00D86CA8"/>
    <w:rsid w:val="00D952BC"/>
    <w:rsid w:val="00DA7711"/>
    <w:rsid w:val="00DB7AEF"/>
    <w:rsid w:val="00DC3073"/>
    <w:rsid w:val="00DD06B0"/>
    <w:rsid w:val="00DD6B4E"/>
    <w:rsid w:val="00DD76E5"/>
    <w:rsid w:val="00DE2D3A"/>
    <w:rsid w:val="00E0465E"/>
    <w:rsid w:val="00E06BF6"/>
    <w:rsid w:val="00E30905"/>
    <w:rsid w:val="00E44864"/>
    <w:rsid w:val="00E46330"/>
    <w:rsid w:val="00E47A72"/>
    <w:rsid w:val="00E47AF9"/>
    <w:rsid w:val="00E56EBC"/>
    <w:rsid w:val="00E77110"/>
    <w:rsid w:val="00E8236B"/>
    <w:rsid w:val="00E84E2E"/>
    <w:rsid w:val="00E90306"/>
    <w:rsid w:val="00EA1A37"/>
    <w:rsid w:val="00EA49AB"/>
    <w:rsid w:val="00EA4AA6"/>
    <w:rsid w:val="00EB2957"/>
    <w:rsid w:val="00EB71CF"/>
    <w:rsid w:val="00EC61B7"/>
    <w:rsid w:val="00ED333A"/>
    <w:rsid w:val="00EE69E0"/>
    <w:rsid w:val="00EE7896"/>
    <w:rsid w:val="00F11B35"/>
    <w:rsid w:val="00F13B1C"/>
    <w:rsid w:val="00F140C1"/>
    <w:rsid w:val="00F218FD"/>
    <w:rsid w:val="00F23CA0"/>
    <w:rsid w:val="00F3381D"/>
    <w:rsid w:val="00F5322D"/>
    <w:rsid w:val="00F66B80"/>
    <w:rsid w:val="00F72BE8"/>
    <w:rsid w:val="00F82766"/>
    <w:rsid w:val="00FA463A"/>
    <w:rsid w:val="00FA6422"/>
    <w:rsid w:val="00FB0627"/>
    <w:rsid w:val="00FC1D9B"/>
    <w:rsid w:val="00FD0056"/>
    <w:rsid w:val="00FD2277"/>
    <w:rsid w:val="00FD762A"/>
    <w:rsid w:val="00FE0D41"/>
    <w:rsid w:val="00FF2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1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6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385"/>
  </w:style>
  <w:style w:type="paragraph" w:styleId="Footer">
    <w:name w:val="footer"/>
    <w:basedOn w:val="Normal"/>
    <w:link w:val="FooterChar"/>
    <w:uiPriority w:val="99"/>
    <w:unhideWhenUsed/>
    <w:rsid w:val="000B3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385"/>
  </w:style>
  <w:style w:type="table" w:customStyle="1" w:styleId="TableGrid1">
    <w:name w:val="Table Grid1"/>
    <w:basedOn w:val="TableNormal"/>
    <w:next w:val="TableGrid"/>
    <w:uiPriority w:val="39"/>
    <w:rsid w:val="00D952BC"/>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9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11B35"/>
    <w:pPr>
      <w:spacing w:after="200" w:line="240" w:lineRule="auto"/>
    </w:pPr>
    <w:rPr>
      <w:i/>
      <w:iCs/>
      <w:color w:val="44546A" w:themeColor="text2"/>
      <w:sz w:val="18"/>
      <w:szCs w:val="18"/>
    </w:rPr>
  </w:style>
  <w:style w:type="table" w:customStyle="1" w:styleId="TableGrid2">
    <w:name w:val="Table Grid2"/>
    <w:basedOn w:val="TableNormal"/>
    <w:next w:val="TableGrid"/>
    <w:uiPriority w:val="39"/>
    <w:rsid w:val="00F11B35"/>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2896"/>
  </w:style>
  <w:style w:type="table" w:customStyle="1" w:styleId="TableGrid4">
    <w:name w:val="Table Grid4"/>
    <w:basedOn w:val="TableNormal"/>
    <w:next w:val="TableGrid"/>
    <w:uiPriority w:val="39"/>
    <w:rsid w:val="0021586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1C57"/>
    <w:rPr>
      <w:color w:val="0563C1" w:themeColor="hyperlink"/>
      <w:u w:val="single"/>
    </w:rPr>
  </w:style>
  <w:style w:type="character" w:styleId="UnresolvedMention">
    <w:name w:val="Unresolved Mention"/>
    <w:basedOn w:val="DefaultParagraphFont"/>
    <w:uiPriority w:val="99"/>
    <w:semiHidden/>
    <w:unhideWhenUsed/>
    <w:rsid w:val="00CA1C57"/>
    <w:rPr>
      <w:color w:val="605E5C"/>
      <w:shd w:val="clear" w:color="auto" w:fill="E1DFDD"/>
    </w:rPr>
  </w:style>
  <w:style w:type="paragraph" w:customStyle="1" w:styleId="Default">
    <w:name w:val="Default"/>
    <w:rsid w:val="008F4D39"/>
    <w:pPr>
      <w:autoSpaceDE w:val="0"/>
      <w:autoSpaceDN w:val="0"/>
      <w:adjustRightInd w:val="0"/>
      <w:spacing w:after="0" w:line="240" w:lineRule="auto"/>
    </w:pPr>
    <w:rPr>
      <w:rFonts w:eastAsia="Times New Roman" w:cs="Times New Roman"/>
      <w:color w:val="000000"/>
      <w:szCs w:val="24"/>
    </w:rPr>
  </w:style>
  <w:style w:type="paragraph" w:styleId="ListParagraph">
    <w:name w:val="List Paragraph"/>
    <w:basedOn w:val="Normal"/>
    <w:uiPriority w:val="34"/>
    <w:qFormat/>
    <w:rsid w:val="00B84F2D"/>
    <w:pPr>
      <w:ind w:left="720"/>
      <w:contextualSpacing/>
    </w:pPr>
  </w:style>
  <w:style w:type="paragraph" w:customStyle="1" w:styleId="p1">
    <w:name w:val="p1"/>
    <w:basedOn w:val="Normal"/>
    <w:rsid w:val="00580B54"/>
    <w:pPr>
      <w:spacing w:after="0" w:line="240" w:lineRule="auto"/>
    </w:pPr>
    <w:rPr>
      <w:rFonts w:cs="Times New Roman"/>
      <w:sz w:val="18"/>
      <w:szCs w:val="18"/>
    </w:rPr>
  </w:style>
  <w:style w:type="paragraph" w:styleId="BalloonText">
    <w:name w:val="Balloon Text"/>
    <w:basedOn w:val="Normal"/>
    <w:link w:val="BalloonTextChar"/>
    <w:uiPriority w:val="99"/>
    <w:semiHidden/>
    <w:unhideWhenUsed/>
    <w:rsid w:val="00A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C6"/>
    <w:rPr>
      <w:rFonts w:ascii="Segoe UI" w:hAnsi="Segoe UI" w:cs="Segoe UI"/>
      <w:sz w:val="18"/>
      <w:szCs w:val="18"/>
    </w:rPr>
  </w:style>
  <w:style w:type="paragraph" w:styleId="Revision">
    <w:name w:val="Revision"/>
    <w:hidden/>
    <w:uiPriority w:val="99"/>
    <w:semiHidden/>
    <w:rsid w:val="004C2362"/>
    <w:pPr>
      <w:spacing w:after="0" w:line="240" w:lineRule="auto"/>
    </w:pPr>
  </w:style>
  <w:style w:type="character" w:styleId="CommentReference">
    <w:name w:val="annotation reference"/>
    <w:basedOn w:val="DefaultParagraphFont"/>
    <w:uiPriority w:val="99"/>
    <w:semiHidden/>
    <w:unhideWhenUsed/>
    <w:rsid w:val="00245889"/>
    <w:rPr>
      <w:sz w:val="16"/>
      <w:szCs w:val="16"/>
    </w:rPr>
  </w:style>
  <w:style w:type="paragraph" w:styleId="CommentText">
    <w:name w:val="annotation text"/>
    <w:basedOn w:val="Normal"/>
    <w:link w:val="CommentTextChar"/>
    <w:uiPriority w:val="99"/>
    <w:unhideWhenUsed/>
    <w:rsid w:val="00245889"/>
    <w:pPr>
      <w:spacing w:line="240" w:lineRule="auto"/>
    </w:pPr>
    <w:rPr>
      <w:sz w:val="20"/>
      <w:szCs w:val="20"/>
    </w:rPr>
  </w:style>
  <w:style w:type="character" w:customStyle="1" w:styleId="CommentTextChar">
    <w:name w:val="Comment Text Char"/>
    <w:basedOn w:val="DefaultParagraphFont"/>
    <w:link w:val="CommentText"/>
    <w:uiPriority w:val="99"/>
    <w:rsid w:val="00245889"/>
    <w:rPr>
      <w:sz w:val="20"/>
      <w:szCs w:val="20"/>
    </w:rPr>
  </w:style>
  <w:style w:type="paragraph" w:styleId="CommentSubject">
    <w:name w:val="annotation subject"/>
    <w:basedOn w:val="CommentText"/>
    <w:next w:val="CommentText"/>
    <w:link w:val="CommentSubjectChar"/>
    <w:uiPriority w:val="99"/>
    <w:semiHidden/>
    <w:unhideWhenUsed/>
    <w:rsid w:val="00245889"/>
    <w:rPr>
      <w:b/>
      <w:bCs/>
    </w:rPr>
  </w:style>
  <w:style w:type="character" w:customStyle="1" w:styleId="CommentSubjectChar">
    <w:name w:val="Comment Subject Char"/>
    <w:basedOn w:val="CommentTextChar"/>
    <w:link w:val="CommentSubject"/>
    <w:uiPriority w:val="99"/>
    <w:semiHidden/>
    <w:rsid w:val="002458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F465A-FAF8-4A55-9007-4FD445045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3304</Words>
  <Characters>18836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2025-07-13T20:01:00Z</dcterms:created>
  <dcterms:modified xsi:type="dcterms:W3CDTF">2026-01-02T16:46:00Z</dcterms:modified>
</cp:coreProperties>
</file>