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40503" w14:textId="661E0E3F"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3F69F916" w14:textId="6C71D843"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62660235" w14:textId="59DF832D"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5F36D708" w14:textId="35D3C505"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55C98447" w14:textId="6901F313"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2B7F868F" w14:textId="1A4C1246"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32BD2C83" w14:textId="057C505D"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44FC5216" w14:textId="1B4D1F8A"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621DBAB5" w14:textId="5F31F477"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4572CA2A" w14:textId="6847B965"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720358F9" w14:textId="0EC1214E"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592EF2F1" w14:textId="121F4D01"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1D810B72" w14:textId="533D1F3A"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3B5EFA53" w14:textId="396050D4"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06DC863C" w14:textId="1AF2FA22"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1B54A4AF" w14:textId="4E42C427"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3D38A808" w14:textId="6E02F1AC"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1EFE8272" w14:textId="127BDA28" w:rsidR="008926E2" w:rsidRDefault="1321E98D" w:rsidP="1321E98D">
      <w:pPr>
        <w:spacing w:after="0" w:line="240" w:lineRule="auto"/>
        <w:jc w:val="center"/>
        <w:rPr>
          <w:rFonts w:ascii="Times New Roman" w:eastAsia="Times New Roman" w:hAnsi="Times New Roman" w:cs="Times New Roman"/>
          <w:b/>
          <w:bCs/>
          <w:color w:val="000000" w:themeColor="text1"/>
          <w:sz w:val="24"/>
          <w:szCs w:val="24"/>
        </w:rPr>
      </w:pPr>
      <w:r w:rsidRPr="1321E98D">
        <w:rPr>
          <w:rFonts w:ascii="Times New Roman" w:eastAsia="Times New Roman" w:hAnsi="Times New Roman" w:cs="Times New Roman"/>
          <w:b/>
          <w:bCs/>
          <w:color w:val="000000" w:themeColor="text1"/>
          <w:sz w:val="24"/>
          <w:szCs w:val="24"/>
        </w:rPr>
        <w:t xml:space="preserve">Exploring the Impact of an Electricity Workshop on SBAE Teachers Ability to Perform Electrical Skills </w:t>
      </w:r>
    </w:p>
    <w:p w14:paraId="29E7EB5A" w14:textId="2BE5D4DC" w:rsidR="008926E2" w:rsidRDefault="1321E98D" w:rsidP="1321E98D">
      <w:pPr>
        <w:spacing w:after="0" w:line="240" w:lineRule="auto"/>
        <w:jc w:val="center"/>
        <w:rPr>
          <w:rFonts w:ascii="Times New Roman" w:eastAsia="Times New Roman" w:hAnsi="Times New Roman" w:cs="Times New Roman"/>
          <w:color w:val="000000" w:themeColor="text1"/>
          <w:sz w:val="19"/>
          <w:szCs w:val="19"/>
        </w:rPr>
      </w:pPr>
      <w:r w:rsidRPr="1321E98D">
        <w:rPr>
          <w:rFonts w:ascii="Times New Roman" w:eastAsia="Times New Roman" w:hAnsi="Times New Roman" w:cs="Times New Roman"/>
          <w:color w:val="000000" w:themeColor="text1"/>
          <w:sz w:val="24"/>
          <w:szCs w:val="24"/>
        </w:rPr>
        <w:t>Kenedy Kornegay</w:t>
      </w:r>
      <w:r w:rsidRPr="1321E98D">
        <w:rPr>
          <w:rFonts w:ascii="Times New Roman" w:eastAsia="Times New Roman" w:hAnsi="Times New Roman" w:cs="Times New Roman"/>
          <w:color w:val="000000" w:themeColor="text1"/>
          <w:sz w:val="24"/>
          <w:szCs w:val="24"/>
          <w:vertAlign w:val="superscript"/>
        </w:rPr>
        <w:t>1</w:t>
      </w:r>
      <w:r w:rsidRPr="1321E98D">
        <w:rPr>
          <w:rFonts w:ascii="Times New Roman" w:eastAsia="Times New Roman" w:hAnsi="Times New Roman" w:cs="Times New Roman"/>
          <w:color w:val="000000" w:themeColor="text1"/>
          <w:sz w:val="24"/>
          <w:szCs w:val="24"/>
        </w:rPr>
        <w:t>, Dr. Ryan Anderson</w:t>
      </w:r>
      <w:r w:rsidRPr="1321E98D">
        <w:rPr>
          <w:rFonts w:ascii="Times New Roman" w:eastAsia="Times New Roman" w:hAnsi="Times New Roman" w:cs="Times New Roman"/>
          <w:color w:val="000000" w:themeColor="text1"/>
          <w:sz w:val="24"/>
          <w:szCs w:val="24"/>
          <w:vertAlign w:val="superscript"/>
        </w:rPr>
        <w:t xml:space="preserve"> 2</w:t>
      </w:r>
      <w:r w:rsidRPr="1321E98D">
        <w:rPr>
          <w:rFonts w:ascii="Times New Roman" w:eastAsia="Times New Roman" w:hAnsi="Times New Roman" w:cs="Times New Roman"/>
          <w:color w:val="000000" w:themeColor="text1"/>
          <w:sz w:val="24"/>
          <w:szCs w:val="24"/>
        </w:rPr>
        <w:t>, Dr. Thomas Paulsen</w:t>
      </w:r>
      <w:r w:rsidRPr="1321E98D">
        <w:rPr>
          <w:rFonts w:ascii="Times New Roman" w:eastAsia="Times New Roman" w:hAnsi="Times New Roman" w:cs="Times New Roman"/>
          <w:color w:val="000000" w:themeColor="text1"/>
          <w:sz w:val="24"/>
          <w:szCs w:val="24"/>
          <w:vertAlign w:val="superscript"/>
        </w:rPr>
        <w:t xml:space="preserve"> 3</w:t>
      </w:r>
      <w:r w:rsidRPr="1321E98D">
        <w:rPr>
          <w:rFonts w:ascii="Times New Roman" w:eastAsia="Times New Roman" w:hAnsi="Times New Roman" w:cs="Times New Roman"/>
          <w:color w:val="000000" w:themeColor="text1"/>
          <w:sz w:val="24"/>
          <w:szCs w:val="24"/>
        </w:rPr>
        <w:t xml:space="preserve"> and Dr. Merritt Drewery</w:t>
      </w:r>
      <w:r w:rsidRPr="1321E98D">
        <w:rPr>
          <w:rFonts w:ascii="Times New Roman" w:eastAsia="Times New Roman" w:hAnsi="Times New Roman" w:cs="Times New Roman"/>
          <w:color w:val="000000" w:themeColor="text1"/>
          <w:sz w:val="24"/>
          <w:szCs w:val="24"/>
          <w:vertAlign w:val="superscript"/>
        </w:rPr>
        <w:t xml:space="preserve"> 4</w:t>
      </w:r>
    </w:p>
    <w:p w14:paraId="1552004E" w14:textId="6EF1CF44"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1779CE5B" w14:textId="1D4BF97B"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55165F87" w14:textId="1DEC3C88"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388CD8B9" w14:textId="0DAA69A2"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611B8DE6" w14:textId="17CB0369"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300AEB35" w14:textId="066B91D2"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618D7A8F" w14:textId="71F5F18B"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024BEBC2" w14:textId="746A365D"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4886EFA1" w14:textId="6849381B"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7A0F20B1" w14:textId="3FB56AA2"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2C10C181" w14:textId="775BB97F"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1E5F0FCE" w14:textId="4E791C7C"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019477EF" w14:textId="04D6DA75"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17BCE5AB" w14:textId="051FB9E2" w:rsidR="008926E2" w:rsidRDefault="008926E2" w:rsidP="1321E98D">
      <w:pPr>
        <w:spacing w:after="0" w:line="240" w:lineRule="auto"/>
        <w:jc w:val="center"/>
        <w:rPr>
          <w:rFonts w:ascii="Times New Roman" w:eastAsia="Times New Roman" w:hAnsi="Times New Roman" w:cs="Times New Roman"/>
          <w:color w:val="000000" w:themeColor="text1"/>
          <w:sz w:val="24"/>
          <w:szCs w:val="24"/>
        </w:rPr>
      </w:pPr>
    </w:p>
    <w:p w14:paraId="6634548D" w14:textId="4513D1C8" w:rsidR="008926E2" w:rsidRDefault="1321E98D" w:rsidP="1321E98D">
      <w:pPr>
        <w:spacing w:after="0" w:line="240" w:lineRule="auto"/>
        <w:jc w:val="center"/>
        <w:rPr>
          <w:rFonts w:ascii="Times New Roman" w:eastAsia="Times New Roman" w:hAnsi="Times New Roman" w:cs="Times New Roman"/>
          <w:color w:val="000000" w:themeColor="text1"/>
          <w:sz w:val="24"/>
          <w:szCs w:val="24"/>
        </w:rPr>
      </w:pPr>
      <w:r w:rsidRPr="1321E98D">
        <w:rPr>
          <w:rFonts w:ascii="Times New Roman" w:eastAsia="Times New Roman" w:hAnsi="Times New Roman" w:cs="Times New Roman"/>
          <w:color w:val="000000" w:themeColor="text1"/>
          <w:sz w:val="24"/>
          <w:szCs w:val="24"/>
        </w:rPr>
        <w:t>Kenedy Kornegay</w:t>
      </w:r>
      <w:r w:rsidRPr="1321E98D">
        <w:rPr>
          <w:rFonts w:ascii="Times New Roman" w:eastAsia="Times New Roman" w:hAnsi="Times New Roman" w:cs="Times New Roman"/>
          <w:color w:val="000000" w:themeColor="text1"/>
          <w:sz w:val="24"/>
          <w:szCs w:val="24"/>
          <w:vertAlign w:val="superscript"/>
        </w:rPr>
        <w:t xml:space="preserve"> 1</w:t>
      </w:r>
      <w:r w:rsidRPr="1321E98D">
        <w:rPr>
          <w:rFonts w:ascii="Times New Roman" w:eastAsia="Times New Roman" w:hAnsi="Times New Roman" w:cs="Times New Roman"/>
          <w:color w:val="000000" w:themeColor="text1"/>
          <w:sz w:val="24"/>
          <w:szCs w:val="24"/>
        </w:rPr>
        <w:t xml:space="preserve">, a Digital Data Analyst at Xylem Water Technologies, </w:t>
      </w:r>
      <w:hyperlink r:id="rId7">
        <w:r w:rsidRPr="1321E98D">
          <w:rPr>
            <w:rStyle w:val="Hyperlink"/>
            <w:rFonts w:ascii="Times New Roman" w:eastAsia="Times New Roman" w:hAnsi="Times New Roman" w:cs="Times New Roman"/>
            <w:sz w:val="24"/>
            <w:szCs w:val="24"/>
          </w:rPr>
          <w:t>kenedy.kornegay@xylem.com</w:t>
        </w:r>
      </w:hyperlink>
    </w:p>
    <w:p w14:paraId="51309548" w14:textId="23510434" w:rsidR="008926E2" w:rsidRDefault="1321E98D" w:rsidP="1321E98D">
      <w:pPr>
        <w:spacing w:after="0" w:line="240" w:lineRule="auto"/>
        <w:jc w:val="center"/>
        <w:rPr>
          <w:rFonts w:ascii="Times New Roman" w:eastAsia="Times New Roman" w:hAnsi="Times New Roman" w:cs="Times New Roman"/>
          <w:color w:val="000000" w:themeColor="text1"/>
          <w:sz w:val="24"/>
          <w:szCs w:val="24"/>
        </w:rPr>
      </w:pPr>
      <w:r w:rsidRPr="1321E98D">
        <w:rPr>
          <w:rFonts w:ascii="Times New Roman" w:eastAsia="Times New Roman" w:hAnsi="Times New Roman" w:cs="Times New Roman"/>
          <w:color w:val="000000" w:themeColor="text1"/>
          <w:sz w:val="24"/>
          <w:szCs w:val="24"/>
        </w:rPr>
        <w:t>Dr. Ryan Anderson</w:t>
      </w:r>
      <w:r w:rsidRPr="1321E98D">
        <w:rPr>
          <w:rFonts w:ascii="Times New Roman" w:eastAsia="Times New Roman" w:hAnsi="Times New Roman" w:cs="Times New Roman"/>
          <w:color w:val="000000" w:themeColor="text1"/>
          <w:sz w:val="24"/>
          <w:szCs w:val="24"/>
          <w:vertAlign w:val="superscript"/>
        </w:rPr>
        <w:t xml:space="preserve"> 2</w:t>
      </w:r>
      <w:r w:rsidRPr="1321E98D">
        <w:rPr>
          <w:rFonts w:ascii="Times New Roman" w:eastAsia="Times New Roman" w:hAnsi="Times New Roman" w:cs="Times New Roman"/>
          <w:color w:val="000000" w:themeColor="text1"/>
          <w:sz w:val="24"/>
          <w:szCs w:val="24"/>
        </w:rPr>
        <w:t xml:space="preserve">, an Associate Professor in the Department of Agricultural Sciences at Texas State University, </w:t>
      </w:r>
      <w:hyperlink r:id="rId8">
        <w:r w:rsidRPr="1321E98D">
          <w:rPr>
            <w:rStyle w:val="Hyperlink"/>
            <w:rFonts w:ascii="Times New Roman" w:eastAsia="Times New Roman" w:hAnsi="Times New Roman" w:cs="Times New Roman"/>
            <w:sz w:val="24"/>
            <w:szCs w:val="24"/>
          </w:rPr>
          <w:t>r_a461@txstate.edu</w:t>
        </w:r>
      </w:hyperlink>
    </w:p>
    <w:p w14:paraId="229F1BEE" w14:textId="53F0B236" w:rsidR="008926E2" w:rsidRDefault="1321E98D" w:rsidP="1321E98D">
      <w:pPr>
        <w:spacing w:after="0" w:line="240" w:lineRule="auto"/>
        <w:jc w:val="center"/>
        <w:rPr>
          <w:rFonts w:ascii="Times New Roman" w:eastAsia="Times New Roman" w:hAnsi="Times New Roman" w:cs="Times New Roman"/>
          <w:color w:val="000000" w:themeColor="text1"/>
          <w:sz w:val="24"/>
          <w:szCs w:val="24"/>
        </w:rPr>
      </w:pPr>
      <w:r w:rsidRPr="1321E98D">
        <w:rPr>
          <w:rFonts w:ascii="Times New Roman" w:eastAsia="Times New Roman" w:hAnsi="Times New Roman" w:cs="Times New Roman"/>
          <w:color w:val="000000" w:themeColor="text1"/>
          <w:sz w:val="24"/>
          <w:szCs w:val="24"/>
        </w:rPr>
        <w:t>Dr. Thomas Paulsen</w:t>
      </w:r>
      <w:r w:rsidRPr="1321E98D">
        <w:rPr>
          <w:rFonts w:ascii="Times New Roman" w:eastAsia="Times New Roman" w:hAnsi="Times New Roman" w:cs="Times New Roman"/>
          <w:color w:val="000000" w:themeColor="text1"/>
          <w:sz w:val="24"/>
          <w:szCs w:val="24"/>
          <w:vertAlign w:val="superscript"/>
        </w:rPr>
        <w:t xml:space="preserve"> 3</w:t>
      </w:r>
      <w:r w:rsidRPr="1321E98D">
        <w:rPr>
          <w:rFonts w:ascii="Times New Roman" w:eastAsia="Times New Roman" w:hAnsi="Times New Roman" w:cs="Times New Roman"/>
          <w:color w:val="000000" w:themeColor="text1"/>
          <w:sz w:val="24"/>
          <w:szCs w:val="24"/>
        </w:rPr>
        <w:t xml:space="preserve">, </w:t>
      </w:r>
      <w:proofErr w:type="gramStart"/>
      <w:r w:rsidRPr="1321E98D">
        <w:rPr>
          <w:rFonts w:ascii="Times New Roman" w:eastAsia="Times New Roman" w:hAnsi="Times New Roman" w:cs="Times New Roman"/>
          <w:color w:val="000000" w:themeColor="text1"/>
          <w:sz w:val="24"/>
          <w:szCs w:val="24"/>
        </w:rPr>
        <w:t>an</w:t>
      </w:r>
      <w:proofErr w:type="gramEnd"/>
      <w:r w:rsidRPr="1321E98D">
        <w:rPr>
          <w:rFonts w:ascii="Times New Roman" w:eastAsia="Times New Roman" w:hAnsi="Times New Roman" w:cs="Times New Roman"/>
          <w:color w:val="000000" w:themeColor="text1"/>
          <w:sz w:val="24"/>
          <w:szCs w:val="24"/>
        </w:rPr>
        <w:t xml:space="preserve"> Professor &amp; Dean of Agricultural and Aviation Applied Agriculture &amp; Food Studies at Morningside University, </w:t>
      </w:r>
      <w:hyperlink r:id="rId9">
        <w:r w:rsidRPr="1321E98D">
          <w:rPr>
            <w:rStyle w:val="Hyperlink"/>
            <w:rFonts w:ascii="Times New Roman" w:eastAsia="Times New Roman" w:hAnsi="Times New Roman" w:cs="Times New Roman"/>
            <w:sz w:val="24"/>
            <w:szCs w:val="24"/>
          </w:rPr>
          <w:t>paulsent@morningside.edu</w:t>
        </w:r>
      </w:hyperlink>
      <w:r w:rsidRPr="1321E98D">
        <w:rPr>
          <w:rFonts w:ascii="Times New Roman" w:eastAsia="Times New Roman" w:hAnsi="Times New Roman" w:cs="Times New Roman"/>
          <w:color w:val="000000" w:themeColor="text1"/>
          <w:sz w:val="24"/>
          <w:szCs w:val="24"/>
        </w:rPr>
        <w:t xml:space="preserve"> </w:t>
      </w:r>
    </w:p>
    <w:p w14:paraId="67523CC6" w14:textId="13AA38F8" w:rsidR="008926E2" w:rsidRDefault="1321E98D" w:rsidP="1321E98D">
      <w:pPr>
        <w:spacing w:after="0" w:line="240" w:lineRule="auto"/>
        <w:jc w:val="center"/>
        <w:rPr>
          <w:rFonts w:ascii="Times New Roman" w:eastAsia="Times New Roman" w:hAnsi="Times New Roman" w:cs="Times New Roman"/>
          <w:color w:val="000000" w:themeColor="text1"/>
          <w:sz w:val="24"/>
          <w:szCs w:val="24"/>
        </w:rPr>
      </w:pPr>
      <w:r w:rsidRPr="1321E98D">
        <w:rPr>
          <w:rFonts w:ascii="Times New Roman" w:eastAsia="Times New Roman" w:hAnsi="Times New Roman" w:cs="Times New Roman"/>
          <w:color w:val="000000" w:themeColor="text1"/>
          <w:sz w:val="24"/>
          <w:szCs w:val="24"/>
        </w:rPr>
        <w:t>Dr. Merritt Drewery</w:t>
      </w:r>
      <w:r w:rsidRPr="1321E98D">
        <w:rPr>
          <w:rFonts w:ascii="Times New Roman" w:eastAsia="Times New Roman" w:hAnsi="Times New Roman" w:cs="Times New Roman"/>
          <w:color w:val="000000" w:themeColor="text1"/>
          <w:sz w:val="24"/>
          <w:szCs w:val="24"/>
          <w:vertAlign w:val="superscript"/>
        </w:rPr>
        <w:t xml:space="preserve"> 4</w:t>
      </w:r>
      <w:r w:rsidRPr="1321E98D">
        <w:rPr>
          <w:rFonts w:ascii="Times New Roman" w:eastAsia="Times New Roman" w:hAnsi="Times New Roman" w:cs="Times New Roman"/>
          <w:color w:val="000000" w:themeColor="text1"/>
          <w:sz w:val="24"/>
          <w:szCs w:val="24"/>
        </w:rPr>
        <w:t xml:space="preserve">, an Associate Professor in the Department of Agricultural Sciences at Texas State University, </w:t>
      </w:r>
      <w:hyperlink r:id="rId10">
        <w:r w:rsidRPr="1321E98D">
          <w:rPr>
            <w:rStyle w:val="Hyperlink"/>
            <w:rFonts w:ascii="Times New Roman" w:eastAsia="Times New Roman" w:hAnsi="Times New Roman" w:cs="Times New Roman"/>
            <w:sz w:val="24"/>
            <w:szCs w:val="24"/>
          </w:rPr>
          <w:t>m_d553@txstate.edu</w:t>
        </w:r>
      </w:hyperlink>
    </w:p>
    <w:p w14:paraId="3CB328E3" w14:textId="5F7531F2" w:rsidR="008926E2" w:rsidRDefault="008926E2" w:rsidP="1321E98D">
      <w:pPr>
        <w:spacing w:after="0" w:line="240" w:lineRule="auto"/>
        <w:jc w:val="center"/>
        <w:rPr>
          <w:rFonts w:ascii="Times New Roman" w:eastAsia="Times New Roman" w:hAnsi="Times New Roman" w:cs="Times New Roman"/>
          <w:b/>
          <w:bCs/>
          <w:color w:val="000000" w:themeColor="text1"/>
          <w:sz w:val="24"/>
          <w:szCs w:val="24"/>
        </w:rPr>
      </w:pPr>
    </w:p>
    <w:p w14:paraId="2E77F63B" w14:textId="4EF92FCE" w:rsidR="00B000F1" w:rsidRDefault="00B000F1" w:rsidP="1321E98D">
      <w:pPr>
        <w:jc w:val="center"/>
        <w:rPr>
          <w:rFonts w:ascii="Times New Roman" w:eastAsia="Times New Roman" w:hAnsi="Times New Roman" w:cs="Times New Roman"/>
          <w:b/>
          <w:bCs/>
          <w:color w:val="000000" w:themeColor="text1"/>
          <w:sz w:val="24"/>
          <w:szCs w:val="24"/>
        </w:rPr>
      </w:pPr>
    </w:p>
    <w:p w14:paraId="79801332" w14:textId="3E826829" w:rsidR="00B000F1" w:rsidRDefault="324EB0E7" w:rsidP="1321E98D">
      <w:r>
        <w:br w:type="page"/>
      </w:r>
    </w:p>
    <w:p w14:paraId="759C75AE" w14:textId="07820259" w:rsidR="00B000F1" w:rsidRDefault="1321E98D" w:rsidP="1321E98D">
      <w:pPr>
        <w:spacing w:after="0" w:line="240" w:lineRule="auto"/>
        <w:jc w:val="center"/>
        <w:rPr>
          <w:rFonts w:ascii="Times New Roman" w:eastAsia="Times New Roman" w:hAnsi="Times New Roman" w:cs="Times New Roman"/>
          <w:b/>
          <w:bCs/>
          <w:color w:val="000000" w:themeColor="text1"/>
          <w:sz w:val="24"/>
          <w:szCs w:val="24"/>
        </w:rPr>
      </w:pPr>
      <w:r w:rsidRPr="1321E98D">
        <w:rPr>
          <w:rFonts w:ascii="Times New Roman" w:eastAsia="Times New Roman" w:hAnsi="Times New Roman" w:cs="Times New Roman"/>
          <w:b/>
          <w:bCs/>
          <w:color w:val="000000" w:themeColor="text1"/>
          <w:sz w:val="24"/>
          <w:szCs w:val="24"/>
        </w:rPr>
        <w:lastRenderedPageBreak/>
        <w:t>Introduction</w:t>
      </w:r>
    </w:p>
    <w:p w14:paraId="011BDBD6" w14:textId="45C78034" w:rsidR="00A43107" w:rsidRPr="00A43107" w:rsidRDefault="337B458B" w:rsidP="1321E98D">
      <w:pPr>
        <w:spacing w:after="0" w:line="240" w:lineRule="auto"/>
        <w:ind w:firstLine="720"/>
        <w:rPr>
          <w:rFonts w:ascii="Times New Roman" w:eastAsia="Times New Roman" w:hAnsi="Times New Roman" w:cs="Times New Roman"/>
          <w:color w:val="1A1918"/>
          <w:sz w:val="24"/>
          <w:szCs w:val="24"/>
        </w:rPr>
      </w:pPr>
      <w:r w:rsidRPr="337B458B">
        <w:rPr>
          <w:rFonts w:ascii="Times New Roman" w:eastAsia="Calibri" w:hAnsi="Times New Roman" w:cs="Times New Roman"/>
          <w:color w:val="000000" w:themeColor="text1"/>
          <w:sz w:val="24"/>
          <w:szCs w:val="24"/>
        </w:rPr>
        <w:t xml:space="preserve">Agricultural mechanics covers a wide range of technical skills, necessitating a strong expertise for effective instruction (Albritton &amp; Roberts, 2020; Jenkins et al., 2010; Roberts et al., 2007; Robert &amp; Dyer, 2004). However, many preservice teachers report feeling inadequately prepared to perform these skills, often due to limited coursework in agricultural mechanics within teacher preparation programs (Burris et al., 2010; Granberry, 2023; Hubert &amp; Leising, 2000; Wells et al., 2021). Consequently, this lack of training can hinder the development of confidence and competence, which is crucial for preparing the next generation of skilled SBAE teachers. </w:t>
      </w:r>
      <w:r w:rsidRPr="337B458B">
        <w:rPr>
          <w:rFonts w:ascii="Times New Roman" w:eastAsia="Times New Roman" w:hAnsi="Times New Roman" w:cs="Times New Roman"/>
          <w:color w:val="1A1918"/>
          <w:sz w:val="24"/>
          <w:szCs w:val="24"/>
        </w:rPr>
        <w:t>The overarching framework of this study is guided by the skill acquisition theory, which outlines five stages of learning</w:t>
      </w:r>
      <w:r w:rsidR="00AC1B53" w:rsidRPr="337B458B">
        <w:rPr>
          <w:rFonts w:ascii="Times New Roman" w:eastAsia="Times New Roman" w:hAnsi="Times New Roman" w:cs="Times New Roman"/>
          <w:color w:val="1A1918"/>
          <w:sz w:val="24"/>
          <w:szCs w:val="24"/>
        </w:rPr>
        <w:t>: notice</w:t>
      </w:r>
      <w:r w:rsidRPr="337B458B">
        <w:rPr>
          <w:rFonts w:ascii="Times New Roman" w:eastAsia="Times New Roman" w:hAnsi="Times New Roman" w:cs="Times New Roman"/>
          <w:i/>
          <w:iCs/>
          <w:color w:val="1A1918"/>
          <w:sz w:val="24"/>
          <w:szCs w:val="24"/>
        </w:rPr>
        <w:t xml:space="preserve">, advanced beginner, competent performer, proficient performer, </w:t>
      </w:r>
      <w:r w:rsidRPr="337B458B">
        <w:rPr>
          <w:rFonts w:ascii="Times New Roman" w:eastAsia="Times New Roman" w:hAnsi="Times New Roman" w:cs="Times New Roman"/>
          <w:color w:val="1A1918"/>
          <w:sz w:val="24"/>
          <w:szCs w:val="24"/>
        </w:rPr>
        <w:t xml:space="preserve">and </w:t>
      </w:r>
      <w:r w:rsidRPr="337B458B">
        <w:rPr>
          <w:rFonts w:ascii="Times New Roman" w:eastAsia="Times New Roman" w:hAnsi="Times New Roman" w:cs="Times New Roman"/>
          <w:i/>
          <w:iCs/>
          <w:color w:val="1A1918"/>
          <w:sz w:val="24"/>
          <w:szCs w:val="24"/>
        </w:rPr>
        <w:t>expert</w:t>
      </w:r>
      <w:r w:rsidRPr="337B458B">
        <w:rPr>
          <w:rFonts w:ascii="Times New Roman" w:eastAsia="Times New Roman" w:hAnsi="Times New Roman" w:cs="Times New Roman"/>
          <w:color w:val="1A1918"/>
          <w:sz w:val="24"/>
          <w:szCs w:val="24"/>
        </w:rPr>
        <w:t xml:space="preserve"> </w:t>
      </w:r>
      <w:r w:rsidRPr="337B458B">
        <w:rPr>
          <w:rFonts w:ascii="Times New Roman" w:eastAsia="Times New Roman" w:hAnsi="Times New Roman" w:cs="Times New Roman"/>
          <w:color w:val="000000" w:themeColor="text1"/>
        </w:rPr>
        <w:t>(Dreyfus, 2004)</w:t>
      </w:r>
      <w:r w:rsidRPr="337B458B">
        <w:rPr>
          <w:rFonts w:ascii="Times New Roman" w:eastAsia="Times New Roman" w:hAnsi="Times New Roman" w:cs="Times New Roman"/>
          <w:color w:val="1A1918"/>
          <w:sz w:val="24"/>
          <w:szCs w:val="24"/>
        </w:rPr>
        <w:t>. During each stage within the skill acquisition theory, learners decrease in rules and instruction and increase in problem solving and effortless comprehension (Ropo, 2004).</w:t>
      </w:r>
    </w:p>
    <w:p w14:paraId="40CC491E" w14:textId="6B5398DA" w:rsidR="00B000F1" w:rsidRDefault="1321E98D" w:rsidP="1321E98D">
      <w:pPr>
        <w:spacing w:after="0" w:line="240" w:lineRule="auto"/>
        <w:jc w:val="center"/>
        <w:rPr>
          <w:rFonts w:ascii="Times New Roman" w:eastAsia="Times New Roman" w:hAnsi="Times New Roman" w:cs="Times New Roman"/>
          <w:b/>
          <w:bCs/>
          <w:color w:val="000000" w:themeColor="text1"/>
          <w:sz w:val="24"/>
          <w:szCs w:val="24"/>
        </w:rPr>
      </w:pPr>
      <w:r w:rsidRPr="1321E98D">
        <w:rPr>
          <w:rFonts w:ascii="Times New Roman" w:eastAsia="Times New Roman" w:hAnsi="Times New Roman" w:cs="Times New Roman"/>
          <w:b/>
          <w:bCs/>
          <w:color w:val="000000" w:themeColor="text1"/>
          <w:sz w:val="24"/>
          <w:szCs w:val="24"/>
        </w:rPr>
        <w:t>Purpose and Objectives</w:t>
      </w:r>
    </w:p>
    <w:p w14:paraId="7646C54A" w14:textId="773ABB59" w:rsidR="00F45B13" w:rsidRPr="00383AA7" w:rsidRDefault="26850913" w:rsidP="26850913">
      <w:pPr>
        <w:spacing w:after="0" w:line="240" w:lineRule="auto"/>
        <w:ind w:firstLine="720"/>
        <w:rPr>
          <w:rFonts w:ascii="Times New Roman" w:eastAsia="Times New Roman" w:hAnsi="Times New Roman" w:cs="Times New Roman"/>
          <w:color w:val="000000" w:themeColor="text1"/>
          <w:sz w:val="24"/>
          <w:szCs w:val="24"/>
        </w:rPr>
      </w:pPr>
      <w:bookmarkStart w:id="0" w:name="_Hlk175143263"/>
      <w:r w:rsidRPr="26850913">
        <w:rPr>
          <w:rFonts w:ascii="Times New Roman" w:eastAsia="Times New Roman" w:hAnsi="Times New Roman" w:cs="Times New Roman"/>
          <w:color w:val="000000" w:themeColor="text1"/>
          <w:sz w:val="24"/>
          <w:szCs w:val="24"/>
        </w:rPr>
        <w:t xml:space="preserve">The purpose of this study is to explore the impact of an electricity workshop on SBAE </w:t>
      </w:r>
      <w:proofErr w:type="gramStart"/>
      <w:r w:rsidRPr="26850913">
        <w:rPr>
          <w:rFonts w:ascii="Times New Roman" w:eastAsia="Times New Roman" w:hAnsi="Times New Roman" w:cs="Times New Roman"/>
          <w:color w:val="000000" w:themeColor="text1"/>
          <w:sz w:val="24"/>
          <w:szCs w:val="24"/>
        </w:rPr>
        <w:t>teachers</w:t>
      </w:r>
      <w:proofErr w:type="gramEnd"/>
      <w:r w:rsidRPr="26850913">
        <w:rPr>
          <w:rFonts w:ascii="Times New Roman" w:eastAsia="Times New Roman" w:hAnsi="Times New Roman" w:cs="Times New Roman"/>
          <w:color w:val="000000" w:themeColor="text1"/>
          <w:sz w:val="24"/>
          <w:szCs w:val="24"/>
        </w:rPr>
        <w:t xml:space="preserve"> perceived ability to perform electrical skills. Aligned with the American Association of </w:t>
      </w:r>
      <w:r w:rsidRPr="26850913">
        <w:rPr>
          <w:rFonts w:ascii="Times New Roman" w:eastAsia="Times New Roman" w:hAnsi="Times New Roman" w:cs="Times New Roman"/>
          <w:i/>
          <w:iCs/>
          <w:color w:val="000000" w:themeColor="text1"/>
          <w:sz w:val="24"/>
          <w:szCs w:val="24"/>
        </w:rPr>
        <w:t>Agricultural Education’s National Research Values</w:t>
      </w:r>
      <w:r w:rsidRPr="26850913">
        <w:rPr>
          <w:rFonts w:ascii="Times New Roman" w:eastAsia="Times New Roman" w:hAnsi="Times New Roman" w:cs="Times New Roman"/>
          <w:color w:val="000000" w:themeColor="text1"/>
          <w:sz w:val="24"/>
          <w:szCs w:val="24"/>
        </w:rPr>
        <w:t xml:space="preserve"> related to ensuring diversity, equity, inclusion, and belonging, this research aims to provide education and evaluation efforts in agricultural, food, and natural resources (AFNR) systems through an electricity workshop to increase the ability to teach agricultural mechanics skills in four key areas: </w:t>
      </w:r>
      <w:r w:rsidRPr="26850913">
        <w:rPr>
          <w:rFonts w:ascii="Times New Roman" w:eastAsia="Times New Roman" w:hAnsi="Times New Roman" w:cs="Times New Roman"/>
          <w:i/>
          <w:iCs/>
          <w:color w:val="000000" w:themeColor="text1"/>
          <w:sz w:val="24"/>
          <w:szCs w:val="24"/>
        </w:rPr>
        <w:t>1) electrical safety and tools, 2) switches and receptacles, 3) making electrical connections,</w:t>
      </w:r>
      <w:r w:rsidRPr="26850913">
        <w:rPr>
          <w:rFonts w:ascii="Times New Roman" w:eastAsia="Times New Roman" w:hAnsi="Times New Roman" w:cs="Times New Roman"/>
          <w:color w:val="000000" w:themeColor="text1"/>
          <w:sz w:val="24"/>
          <w:szCs w:val="24"/>
        </w:rPr>
        <w:t xml:space="preserve"> and 4) </w:t>
      </w:r>
      <w:r w:rsidRPr="26850913">
        <w:rPr>
          <w:rFonts w:ascii="Times New Roman" w:eastAsia="Times New Roman" w:hAnsi="Times New Roman" w:cs="Times New Roman"/>
          <w:i/>
          <w:iCs/>
          <w:color w:val="000000" w:themeColor="text1"/>
          <w:sz w:val="24"/>
          <w:szCs w:val="24"/>
        </w:rPr>
        <w:t xml:space="preserve">electrical testing </w:t>
      </w:r>
      <w:r w:rsidRPr="26850913">
        <w:rPr>
          <w:rFonts w:ascii="Times New Roman" w:eastAsia="Times New Roman" w:hAnsi="Times New Roman" w:cs="Times New Roman"/>
          <w:color w:val="000000" w:themeColor="text1"/>
          <w:sz w:val="24"/>
          <w:szCs w:val="24"/>
        </w:rPr>
        <w:t>(AAAE, 2023</w:t>
      </w:r>
      <w:bookmarkStart w:id="1" w:name="_Hlk181017479"/>
      <w:r w:rsidRPr="26850913">
        <w:rPr>
          <w:rFonts w:ascii="Times New Roman" w:eastAsia="Times New Roman" w:hAnsi="Times New Roman" w:cs="Times New Roman"/>
          <w:color w:val="000000" w:themeColor="text1"/>
          <w:sz w:val="24"/>
          <w:szCs w:val="24"/>
        </w:rPr>
        <w:t>).</w:t>
      </w:r>
      <w:bookmarkEnd w:id="1"/>
    </w:p>
    <w:bookmarkEnd w:id="0"/>
    <w:p w14:paraId="67304055" w14:textId="4CB2556C" w:rsidR="28514D9E" w:rsidRDefault="1321E98D" w:rsidP="1321E98D">
      <w:pPr>
        <w:spacing w:after="0" w:line="240" w:lineRule="auto"/>
        <w:jc w:val="center"/>
        <w:rPr>
          <w:rFonts w:ascii="Times New Roman" w:eastAsia="Times New Roman" w:hAnsi="Times New Roman" w:cs="Times New Roman"/>
          <w:color w:val="000000" w:themeColor="text1"/>
          <w:sz w:val="24"/>
          <w:szCs w:val="24"/>
        </w:rPr>
      </w:pPr>
      <w:r w:rsidRPr="1321E98D">
        <w:rPr>
          <w:rFonts w:ascii="Times New Roman" w:eastAsia="Times New Roman" w:hAnsi="Times New Roman" w:cs="Times New Roman"/>
          <w:b/>
          <w:bCs/>
          <w:color w:val="000000" w:themeColor="text1"/>
          <w:sz w:val="24"/>
          <w:szCs w:val="24"/>
        </w:rPr>
        <w:t>Methods</w:t>
      </w:r>
    </w:p>
    <w:p w14:paraId="7DC3047C" w14:textId="09FABF80" w:rsidR="00E52640" w:rsidRPr="00E2522B" w:rsidRDefault="26850913" w:rsidP="1321E98D">
      <w:pPr>
        <w:spacing w:after="0" w:line="240" w:lineRule="auto"/>
        <w:ind w:firstLine="720"/>
        <w:rPr>
          <w:rFonts w:ascii="Times New Roman" w:eastAsia="Times New Roman" w:hAnsi="Times New Roman" w:cs="Times New Roman"/>
          <w:b/>
          <w:bCs/>
          <w:sz w:val="24"/>
          <w:szCs w:val="24"/>
        </w:rPr>
      </w:pPr>
      <w:r w:rsidRPr="26850913">
        <w:rPr>
          <w:rFonts w:ascii="Times New Roman" w:eastAsia="Times New Roman" w:hAnsi="Times New Roman" w:cs="Times New Roman"/>
          <w:color w:val="000000" w:themeColor="text1"/>
          <w:sz w:val="24"/>
          <w:szCs w:val="24"/>
        </w:rPr>
        <w:t>This study sought to determine the impact of an electricity workshop on SBAE teachers' perceived ability to perform electricity skills in the four key areas previously stated. A ten-day intensive Agricultural Mechanics Academy (AMA) was conducted, with one-and-a-half days dedicated to electricity. A paper questionnaire was developed and reviewed by a panel of experts consisting of five individuals with SBAE experience to ensure industry verbiage, then revised accordingly. SBAE teachers (n=80) who attended the electricity training were asked to rate their ability to perform 29 electrical skills from the four electricity constructs.</w:t>
      </w:r>
    </w:p>
    <w:p w14:paraId="0276A5E5" w14:textId="5372FF8F" w:rsidR="00435775" w:rsidRDefault="637B48A4" w:rsidP="637B48A4">
      <w:pPr>
        <w:spacing w:after="0" w:line="240" w:lineRule="auto"/>
        <w:jc w:val="center"/>
        <w:rPr>
          <w:rFonts w:ascii="Times New Roman" w:eastAsia="Times New Roman" w:hAnsi="Times New Roman" w:cs="Times New Roman"/>
          <w:b/>
          <w:bCs/>
          <w:color w:val="000000" w:themeColor="text1"/>
          <w:sz w:val="24"/>
          <w:szCs w:val="24"/>
        </w:rPr>
      </w:pPr>
      <w:r w:rsidRPr="637B48A4">
        <w:rPr>
          <w:rFonts w:ascii="Times New Roman" w:eastAsia="Times New Roman" w:hAnsi="Times New Roman" w:cs="Times New Roman"/>
          <w:b/>
          <w:bCs/>
          <w:color w:val="000000" w:themeColor="text1"/>
          <w:sz w:val="24"/>
          <w:szCs w:val="24"/>
        </w:rPr>
        <w:t>Results</w:t>
      </w:r>
    </w:p>
    <w:p w14:paraId="3B9D6502" w14:textId="0C8F6547" w:rsidR="00E52640" w:rsidRDefault="167EE8BD" w:rsidP="1321E98D">
      <w:pPr>
        <w:spacing w:after="0" w:line="240" w:lineRule="auto"/>
        <w:ind w:firstLine="720"/>
        <w:rPr>
          <w:rFonts w:ascii="Times New Roman" w:hAnsi="Times New Roman" w:cs="Times New Roman"/>
          <w:sz w:val="24"/>
          <w:szCs w:val="24"/>
        </w:rPr>
      </w:pPr>
      <w:r w:rsidRPr="167EE8BD">
        <w:rPr>
          <w:rFonts w:ascii="Times New Roman" w:hAnsi="Times New Roman" w:cs="Times New Roman"/>
          <w:sz w:val="24"/>
          <w:szCs w:val="24"/>
        </w:rPr>
        <w:t xml:space="preserve">The participants reported significant positive changes in mean score for all four constructs. The participants had the highest ability to perform </w:t>
      </w:r>
      <w:r w:rsidRPr="167EE8BD">
        <w:rPr>
          <w:rFonts w:ascii="Times New Roman" w:hAnsi="Times New Roman" w:cs="Times New Roman"/>
          <w:i/>
          <w:iCs/>
          <w:sz w:val="24"/>
          <w:szCs w:val="24"/>
        </w:rPr>
        <w:t xml:space="preserve">Electrical Safety and Tools Skills </w:t>
      </w:r>
      <w:r w:rsidRPr="167EE8BD">
        <w:rPr>
          <w:rFonts w:ascii="Times New Roman" w:hAnsi="Times New Roman" w:cs="Times New Roman"/>
          <w:sz w:val="24"/>
          <w:szCs w:val="24"/>
        </w:rPr>
        <w:t>both before (</w:t>
      </w:r>
      <w:r w:rsidRPr="167EE8BD">
        <w:rPr>
          <w:rFonts w:ascii="Times New Roman" w:hAnsi="Times New Roman" w:cs="Times New Roman"/>
          <w:i/>
          <w:iCs/>
          <w:sz w:val="24"/>
          <w:szCs w:val="24"/>
        </w:rPr>
        <w:t xml:space="preserve">M </w:t>
      </w:r>
      <w:r w:rsidRPr="167EE8BD">
        <w:rPr>
          <w:rFonts w:ascii="Times New Roman" w:hAnsi="Times New Roman" w:cs="Times New Roman"/>
          <w:sz w:val="24"/>
          <w:szCs w:val="24"/>
        </w:rPr>
        <w:t xml:space="preserve">= 2.34; </w:t>
      </w:r>
      <w:r w:rsidRPr="167EE8BD">
        <w:rPr>
          <w:rFonts w:ascii="Times New Roman" w:hAnsi="Times New Roman" w:cs="Times New Roman"/>
          <w:i/>
          <w:iCs/>
          <w:sz w:val="24"/>
          <w:szCs w:val="24"/>
        </w:rPr>
        <w:t xml:space="preserve">SD </w:t>
      </w:r>
      <w:r w:rsidRPr="167EE8BD">
        <w:rPr>
          <w:rFonts w:ascii="Times New Roman" w:hAnsi="Times New Roman" w:cs="Times New Roman"/>
          <w:sz w:val="24"/>
          <w:szCs w:val="24"/>
        </w:rPr>
        <w:t>= 0.97) and after (</w:t>
      </w:r>
      <w:r w:rsidRPr="167EE8BD">
        <w:rPr>
          <w:rFonts w:ascii="Times New Roman" w:hAnsi="Times New Roman" w:cs="Times New Roman"/>
          <w:i/>
          <w:iCs/>
          <w:sz w:val="24"/>
          <w:szCs w:val="24"/>
        </w:rPr>
        <w:t xml:space="preserve">M </w:t>
      </w:r>
      <w:r w:rsidRPr="167EE8BD">
        <w:rPr>
          <w:rFonts w:ascii="Times New Roman" w:hAnsi="Times New Roman" w:cs="Times New Roman"/>
          <w:sz w:val="24"/>
          <w:szCs w:val="24"/>
        </w:rPr>
        <w:t xml:space="preserve">= 4.04; </w:t>
      </w:r>
      <w:r w:rsidRPr="167EE8BD">
        <w:rPr>
          <w:rFonts w:ascii="Times New Roman" w:hAnsi="Times New Roman" w:cs="Times New Roman"/>
          <w:i/>
          <w:iCs/>
          <w:sz w:val="24"/>
          <w:szCs w:val="24"/>
        </w:rPr>
        <w:t xml:space="preserve">SD = </w:t>
      </w:r>
      <w:r w:rsidRPr="167EE8BD">
        <w:rPr>
          <w:rFonts w:ascii="Times New Roman" w:hAnsi="Times New Roman" w:cs="Times New Roman"/>
          <w:sz w:val="24"/>
          <w:szCs w:val="24"/>
        </w:rPr>
        <w:t xml:space="preserve">0.66). The participants had the lowest ability to perform </w:t>
      </w:r>
      <w:r w:rsidRPr="167EE8BD">
        <w:rPr>
          <w:rFonts w:ascii="Times New Roman" w:hAnsi="Times New Roman" w:cs="Times New Roman"/>
          <w:i/>
          <w:iCs/>
          <w:sz w:val="24"/>
          <w:szCs w:val="24"/>
        </w:rPr>
        <w:t xml:space="preserve">Electrical Testing </w:t>
      </w:r>
      <w:r w:rsidRPr="167EE8BD">
        <w:rPr>
          <w:rFonts w:ascii="Times New Roman" w:hAnsi="Times New Roman" w:cs="Times New Roman"/>
          <w:sz w:val="24"/>
          <w:szCs w:val="24"/>
        </w:rPr>
        <w:t>both before (</w:t>
      </w:r>
      <w:r w:rsidRPr="167EE8BD">
        <w:rPr>
          <w:rFonts w:ascii="Times New Roman" w:hAnsi="Times New Roman" w:cs="Times New Roman"/>
          <w:i/>
          <w:iCs/>
          <w:sz w:val="24"/>
          <w:szCs w:val="24"/>
        </w:rPr>
        <w:t xml:space="preserve">M </w:t>
      </w:r>
      <w:r w:rsidRPr="167EE8BD">
        <w:rPr>
          <w:rFonts w:ascii="Times New Roman" w:hAnsi="Times New Roman" w:cs="Times New Roman"/>
          <w:sz w:val="24"/>
          <w:szCs w:val="24"/>
        </w:rPr>
        <w:t xml:space="preserve">= 1.53; </w:t>
      </w:r>
      <w:r w:rsidRPr="167EE8BD">
        <w:rPr>
          <w:rFonts w:ascii="Times New Roman" w:hAnsi="Times New Roman" w:cs="Times New Roman"/>
          <w:i/>
          <w:iCs/>
          <w:sz w:val="24"/>
          <w:szCs w:val="24"/>
        </w:rPr>
        <w:t xml:space="preserve">SD </w:t>
      </w:r>
      <w:r w:rsidRPr="167EE8BD">
        <w:rPr>
          <w:rFonts w:ascii="Times New Roman" w:hAnsi="Times New Roman" w:cs="Times New Roman"/>
          <w:sz w:val="24"/>
          <w:szCs w:val="24"/>
        </w:rPr>
        <w:t>= 0.77) and after (</w:t>
      </w:r>
      <w:r w:rsidRPr="167EE8BD">
        <w:rPr>
          <w:rFonts w:ascii="Times New Roman" w:hAnsi="Times New Roman" w:cs="Times New Roman"/>
          <w:i/>
          <w:iCs/>
          <w:sz w:val="24"/>
          <w:szCs w:val="24"/>
        </w:rPr>
        <w:t xml:space="preserve">M </w:t>
      </w:r>
      <w:r w:rsidRPr="167EE8BD">
        <w:rPr>
          <w:rFonts w:ascii="Times New Roman" w:hAnsi="Times New Roman" w:cs="Times New Roman"/>
          <w:sz w:val="24"/>
          <w:szCs w:val="24"/>
        </w:rPr>
        <w:t xml:space="preserve">= 3.26; </w:t>
      </w:r>
      <w:r w:rsidRPr="167EE8BD">
        <w:rPr>
          <w:rFonts w:ascii="Times New Roman" w:hAnsi="Times New Roman" w:cs="Times New Roman"/>
          <w:i/>
          <w:iCs/>
          <w:sz w:val="24"/>
          <w:szCs w:val="24"/>
        </w:rPr>
        <w:t xml:space="preserve">SD = </w:t>
      </w:r>
      <w:r w:rsidRPr="167EE8BD">
        <w:rPr>
          <w:rFonts w:ascii="Times New Roman" w:hAnsi="Times New Roman" w:cs="Times New Roman"/>
          <w:sz w:val="24"/>
          <w:szCs w:val="24"/>
        </w:rPr>
        <w:t xml:space="preserve">1.73) but saw the second largest change in mean scores. </w:t>
      </w:r>
    </w:p>
    <w:p w14:paraId="7E3CC8DA" w14:textId="10235825" w:rsidR="324EB0E7" w:rsidRDefault="26850913" w:rsidP="1321E98D">
      <w:pPr>
        <w:spacing w:after="0" w:line="240" w:lineRule="auto"/>
        <w:jc w:val="center"/>
        <w:rPr>
          <w:rFonts w:ascii="Times New Roman" w:eastAsia="Times New Roman" w:hAnsi="Times New Roman" w:cs="Times New Roman"/>
          <w:b/>
          <w:bCs/>
          <w:color w:val="000000" w:themeColor="text1"/>
          <w:sz w:val="24"/>
          <w:szCs w:val="24"/>
        </w:rPr>
      </w:pPr>
      <w:r w:rsidRPr="26850913">
        <w:rPr>
          <w:rFonts w:ascii="Times New Roman" w:eastAsia="Times New Roman" w:hAnsi="Times New Roman" w:cs="Times New Roman"/>
          <w:b/>
          <w:bCs/>
          <w:color w:val="000000" w:themeColor="text1"/>
          <w:sz w:val="24"/>
          <w:szCs w:val="24"/>
        </w:rPr>
        <w:t>Conclusions and Recommendations</w:t>
      </w:r>
    </w:p>
    <w:p w14:paraId="26C225B0" w14:textId="78D774B8" w:rsidR="005D3478" w:rsidRDefault="167EE8BD" w:rsidP="26850913">
      <w:pPr>
        <w:spacing w:after="0" w:line="240" w:lineRule="auto"/>
        <w:ind w:firstLine="720"/>
        <w:rPr>
          <w:rFonts w:ascii="Times New Roman" w:eastAsia="Times New Roman" w:hAnsi="Times New Roman" w:cs="Times New Roman"/>
          <w:color w:val="000000" w:themeColor="text1"/>
          <w:sz w:val="24"/>
          <w:szCs w:val="24"/>
        </w:rPr>
      </w:pPr>
      <w:r w:rsidRPr="167EE8BD">
        <w:rPr>
          <w:rFonts w:ascii="Times New Roman" w:eastAsia="Times New Roman" w:hAnsi="Times New Roman" w:cs="Times New Roman"/>
          <w:color w:val="000000" w:themeColor="text1"/>
          <w:sz w:val="24"/>
          <w:szCs w:val="24"/>
        </w:rPr>
        <w:t xml:space="preserve">Pre-test data showed participants were at the </w:t>
      </w:r>
      <w:r w:rsidRPr="167EE8BD">
        <w:rPr>
          <w:rFonts w:ascii="Times New Roman" w:eastAsia="Times New Roman" w:hAnsi="Times New Roman" w:cs="Times New Roman"/>
          <w:i/>
          <w:iCs/>
          <w:color w:val="000000" w:themeColor="text1"/>
          <w:sz w:val="24"/>
          <w:szCs w:val="24"/>
        </w:rPr>
        <w:t xml:space="preserve">novice </w:t>
      </w:r>
      <w:r w:rsidRPr="167EE8BD">
        <w:rPr>
          <w:rFonts w:ascii="Times New Roman" w:eastAsia="Times New Roman" w:hAnsi="Times New Roman" w:cs="Times New Roman"/>
          <w:color w:val="000000" w:themeColor="text1"/>
          <w:sz w:val="24"/>
          <w:szCs w:val="24"/>
        </w:rPr>
        <w:t xml:space="preserve">and/or </w:t>
      </w:r>
      <w:r w:rsidRPr="167EE8BD">
        <w:rPr>
          <w:rFonts w:ascii="Times New Roman" w:eastAsia="Times New Roman" w:hAnsi="Times New Roman" w:cs="Times New Roman"/>
          <w:i/>
          <w:iCs/>
          <w:color w:val="000000" w:themeColor="text1"/>
          <w:sz w:val="24"/>
          <w:szCs w:val="24"/>
        </w:rPr>
        <w:t xml:space="preserve">advanced beginner </w:t>
      </w:r>
      <w:r w:rsidRPr="167EE8BD">
        <w:rPr>
          <w:rFonts w:ascii="Times New Roman" w:eastAsia="Times New Roman" w:hAnsi="Times New Roman" w:cs="Times New Roman"/>
          <w:color w:val="000000" w:themeColor="text1"/>
          <w:sz w:val="24"/>
          <w:szCs w:val="24"/>
        </w:rPr>
        <w:t xml:space="preserve">stage of the skill acquisition theory and progressed to the </w:t>
      </w:r>
      <w:r w:rsidRPr="167EE8BD">
        <w:rPr>
          <w:rFonts w:ascii="Times New Roman" w:eastAsia="Times New Roman" w:hAnsi="Times New Roman" w:cs="Times New Roman"/>
          <w:i/>
          <w:iCs/>
          <w:color w:val="1A1918"/>
          <w:sz w:val="24"/>
          <w:szCs w:val="24"/>
        </w:rPr>
        <w:t xml:space="preserve">competent </w:t>
      </w:r>
      <w:r w:rsidRPr="167EE8BD">
        <w:rPr>
          <w:rFonts w:ascii="Times New Roman" w:eastAsia="Times New Roman" w:hAnsi="Times New Roman" w:cs="Times New Roman"/>
          <w:i/>
          <w:iCs/>
          <w:color w:val="000000" w:themeColor="text1"/>
          <w:sz w:val="24"/>
          <w:szCs w:val="24"/>
        </w:rPr>
        <w:t xml:space="preserve">or proficient performer </w:t>
      </w:r>
      <w:r w:rsidRPr="167EE8BD">
        <w:rPr>
          <w:rFonts w:ascii="Times New Roman" w:eastAsia="Times New Roman" w:hAnsi="Times New Roman" w:cs="Times New Roman"/>
          <w:color w:val="000000" w:themeColor="text1"/>
          <w:sz w:val="24"/>
          <w:szCs w:val="24"/>
        </w:rPr>
        <w:t>stage by the workshop’s end. Through this change, SBAE teachers were able to grow in their comprehension and problem-solving skills within electricity. We recommend that future training programs for SBAE teachers incorporate more hands-on, practical activities, designed to enhance teachers’ technical skills and confidence. Future research should explore the long-term impact of professional development workshops, such as assessing how these skills are maintained or further developed over time.</w:t>
      </w:r>
    </w:p>
    <w:p w14:paraId="006E467D" w14:textId="5902843D" w:rsidR="005D3478" w:rsidRDefault="00E2522B" w:rsidP="1321E98D">
      <w:pPr>
        <w:spacing w:after="0" w:line="240" w:lineRule="auto"/>
      </w:pPr>
      <w:r>
        <w:br w:type="page"/>
      </w:r>
    </w:p>
    <w:p w14:paraId="495BB23F" w14:textId="7130D3F8" w:rsidR="005D3478" w:rsidRDefault="637B48A4" w:rsidP="637B48A4">
      <w:pPr>
        <w:spacing w:after="0" w:line="240" w:lineRule="auto"/>
        <w:jc w:val="center"/>
        <w:rPr>
          <w:rFonts w:ascii="Times New Roman" w:eastAsia="Times New Roman" w:hAnsi="Times New Roman" w:cs="Times New Roman"/>
          <w:b/>
          <w:bCs/>
          <w:color w:val="000000" w:themeColor="text1"/>
          <w:sz w:val="24"/>
          <w:szCs w:val="24"/>
        </w:rPr>
      </w:pPr>
      <w:r w:rsidRPr="637B48A4">
        <w:rPr>
          <w:rFonts w:ascii="Times New Roman" w:eastAsia="Times New Roman" w:hAnsi="Times New Roman" w:cs="Times New Roman"/>
          <w:b/>
          <w:bCs/>
          <w:color w:val="000000" w:themeColor="text1"/>
          <w:sz w:val="24"/>
          <w:szCs w:val="24"/>
        </w:rPr>
        <w:lastRenderedPageBreak/>
        <w:t>References</w:t>
      </w:r>
    </w:p>
    <w:p w14:paraId="0E94AFDE" w14:textId="14E7527E" w:rsidR="003E16B4" w:rsidRPr="003E16B4" w:rsidRDefault="337B458B" w:rsidP="337B458B">
      <w:pPr>
        <w:ind w:left="720" w:right="720" w:hanging="720"/>
        <w:rPr>
          <w:rFonts w:ascii="Times New Roman" w:eastAsia="Times New Roman" w:hAnsi="Times New Roman" w:cs="Times New Roman"/>
          <w:color w:val="000000" w:themeColor="text1"/>
          <w:sz w:val="24"/>
          <w:szCs w:val="24"/>
        </w:rPr>
      </w:pPr>
      <w:r w:rsidRPr="337B458B">
        <w:rPr>
          <w:rFonts w:ascii="Times New Roman" w:eastAsia="Times New Roman" w:hAnsi="Times New Roman" w:cs="Times New Roman"/>
          <w:color w:val="000000" w:themeColor="text1"/>
          <w:sz w:val="24"/>
          <w:szCs w:val="24"/>
        </w:rPr>
        <w:t>American Association for Agricultural Education (AAAE). (2023). AAAE Research Values.</w:t>
      </w:r>
    </w:p>
    <w:p w14:paraId="5EDC57DB" w14:textId="1E250DF2" w:rsidR="00A24A9C" w:rsidRDefault="337B458B" w:rsidP="337B458B">
      <w:pPr>
        <w:pStyle w:val="NormalWeb"/>
        <w:spacing w:after="160" w:afterAutospacing="0"/>
        <w:ind w:left="720" w:right="720" w:hanging="720"/>
        <w:rPr>
          <w:color w:val="000000" w:themeColor="text1"/>
        </w:rPr>
      </w:pPr>
      <w:r w:rsidRPr="337B458B">
        <w:rPr>
          <w:color w:val="000000" w:themeColor="text1"/>
        </w:rPr>
        <w:t xml:space="preserve">Albritton, M. C., &amp; Roberts, T. G. (2020). Agricultural technical skills needed by entry level agriculture teachers: A modified Delphi Study. </w:t>
      </w:r>
      <w:r w:rsidRPr="337B458B">
        <w:rPr>
          <w:i/>
          <w:iCs/>
          <w:color w:val="000000" w:themeColor="text1"/>
        </w:rPr>
        <w:t>Journal of Agricultural Education, 61</w:t>
      </w:r>
      <w:r w:rsidRPr="337B458B">
        <w:rPr>
          <w:color w:val="000000" w:themeColor="text1"/>
        </w:rPr>
        <w:t>(1), 140–151. https://doi.org/10.5032/jae.2020.01140</w:t>
      </w:r>
    </w:p>
    <w:p w14:paraId="5A8270BA" w14:textId="49BC4336" w:rsidR="00A24A9C" w:rsidRPr="00A24A9C" w:rsidRDefault="337B458B" w:rsidP="337B458B">
      <w:pPr>
        <w:spacing w:line="240" w:lineRule="auto"/>
        <w:ind w:left="720" w:right="720" w:hanging="720"/>
        <w:rPr>
          <w:rFonts w:ascii="Times New Roman" w:hAnsi="Times New Roman" w:cs="Times New Roman"/>
          <w:color w:val="000000" w:themeColor="text1"/>
          <w:sz w:val="24"/>
          <w:szCs w:val="24"/>
        </w:rPr>
      </w:pPr>
      <w:r w:rsidRPr="337B458B">
        <w:rPr>
          <w:rFonts w:ascii="Times New Roman" w:hAnsi="Times New Roman" w:cs="Times New Roman"/>
          <w:color w:val="000000" w:themeColor="text1"/>
          <w:sz w:val="24"/>
          <w:szCs w:val="24"/>
        </w:rPr>
        <w:t xml:space="preserve">Burris, S., McLaughlin, E. K., McCulloch, A., Brashears, T., &amp; Fraze, S. (2010). A comparison of </w:t>
      </w:r>
      <w:proofErr w:type="gramStart"/>
      <w:r w:rsidRPr="337B458B">
        <w:rPr>
          <w:rFonts w:ascii="Times New Roman" w:hAnsi="Times New Roman" w:cs="Times New Roman"/>
          <w:color w:val="000000" w:themeColor="text1"/>
          <w:sz w:val="24"/>
          <w:szCs w:val="24"/>
        </w:rPr>
        <w:t>first and fifth year</w:t>
      </w:r>
      <w:proofErr w:type="gramEnd"/>
      <w:r w:rsidRPr="337B458B">
        <w:rPr>
          <w:rFonts w:ascii="Times New Roman" w:hAnsi="Times New Roman" w:cs="Times New Roman"/>
          <w:color w:val="000000" w:themeColor="text1"/>
          <w:sz w:val="24"/>
          <w:szCs w:val="24"/>
        </w:rPr>
        <w:t xml:space="preserve"> agriculture teachers on personal teaching efficacy, general teaching efficacy and content efficacy. </w:t>
      </w:r>
      <w:r w:rsidRPr="337B458B">
        <w:rPr>
          <w:rFonts w:ascii="Times New Roman" w:hAnsi="Times New Roman" w:cs="Times New Roman"/>
          <w:i/>
          <w:iCs/>
          <w:color w:val="000000" w:themeColor="text1"/>
          <w:sz w:val="24"/>
          <w:szCs w:val="24"/>
        </w:rPr>
        <w:t>Journal of Agricultural Education, 51</w:t>
      </w:r>
      <w:r w:rsidRPr="337B458B">
        <w:rPr>
          <w:rFonts w:ascii="Times New Roman" w:hAnsi="Times New Roman" w:cs="Times New Roman"/>
          <w:color w:val="000000" w:themeColor="text1"/>
          <w:sz w:val="24"/>
          <w:szCs w:val="24"/>
        </w:rPr>
        <w:t>(1), 22–31. https://doi.org/10.5032/jae.2010.01022</w:t>
      </w:r>
    </w:p>
    <w:p w14:paraId="008D18A1" w14:textId="779311E9" w:rsidR="00E2522B" w:rsidRDefault="337B458B" w:rsidP="337B458B">
      <w:pPr>
        <w:spacing w:line="240" w:lineRule="auto"/>
        <w:ind w:left="567" w:right="720" w:hanging="567"/>
        <w:rPr>
          <w:rFonts w:ascii="Times New Roman" w:eastAsia="Times New Roman" w:hAnsi="Times New Roman" w:cs="Times New Roman"/>
          <w:sz w:val="24"/>
          <w:szCs w:val="24"/>
        </w:rPr>
      </w:pPr>
      <w:r w:rsidRPr="337B458B">
        <w:rPr>
          <w:rFonts w:ascii="Times New Roman" w:eastAsia="Times New Roman" w:hAnsi="Times New Roman" w:cs="Times New Roman"/>
          <w:sz w:val="24"/>
          <w:szCs w:val="24"/>
        </w:rPr>
        <w:t xml:space="preserve">Dreyfus, S. E. (2004). The five-stage model of Adult Skill Acquisition. </w:t>
      </w:r>
      <w:r w:rsidRPr="337B458B">
        <w:rPr>
          <w:rFonts w:ascii="Times New Roman" w:eastAsia="Times New Roman" w:hAnsi="Times New Roman" w:cs="Times New Roman"/>
          <w:i/>
          <w:iCs/>
          <w:sz w:val="24"/>
          <w:szCs w:val="24"/>
        </w:rPr>
        <w:t>Bulletin of Science, Technology &amp;amp; Society</w:t>
      </w:r>
      <w:r w:rsidRPr="337B458B">
        <w:rPr>
          <w:rFonts w:ascii="Times New Roman" w:eastAsia="Times New Roman" w:hAnsi="Times New Roman" w:cs="Times New Roman"/>
          <w:sz w:val="24"/>
          <w:szCs w:val="24"/>
        </w:rPr>
        <w:t xml:space="preserve">, </w:t>
      </w:r>
      <w:r w:rsidRPr="337B458B">
        <w:rPr>
          <w:rFonts w:ascii="Times New Roman" w:eastAsia="Times New Roman" w:hAnsi="Times New Roman" w:cs="Times New Roman"/>
          <w:i/>
          <w:iCs/>
          <w:sz w:val="24"/>
          <w:szCs w:val="24"/>
        </w:rPr>
        <w:t>24</w:t>
      </w:r>
      <w:r w:rsidRPr="337B458B">
        <w:rPr>
          <w:rFonts w:ascii="Times New Roman" w:eastAsia="Times New Roman" w:hAnsi="Times New Roman" w:cs="Times New Roman"/>
          <w:sz w:val="24"/>
          <w:szCs w:val="24"/>
        </w:rPr>
        <w:t xml:space="preserve">(3), 177–181. </w:t>
      </w:r>
      <w:hyperlink r:id="rId11">
        <w:r w:rsidRPr="337B458B">
          <w:rPr>
            <w:rStyle w:val="Hyperlink"/>
            <w:rFonts w:ascii="Times New Roman" w:eastAsia="Times New Roman" w:hAnsi="Times New Roman" w:cs="Times New Roman"/>
            <w:sz w:val="24"/>
            <w:szCs w:val="24"/>
          </w:rPr>
          <w:t>https://doi.org/10.1177/0270467604264992</w:t>
        </w:r>
      </w:hyperlink>
      <w:r w:rsidRPr="337B458B">
        <w:rPr>
          <w:rFonts w:ascii="Times New Roman" w:eastAsia="Times New Roman" w:hAnsi="Times New Roman" w:cs="Times New Roman"/>
          <w:sz w:val="24"/>
          <w:szCs w:val="24"/>
        </w:rPr>
        <w:t>. </w:t>
      </w:r>
    </w:p>
    <w:p w14:paraId="214653CC" w14:textId="5F2493DA" w:rsidR="00A24A9C" w:rsidRPr="00A24A9C" w:rsidRDefault="337B458B" w:rsidP="337B458B">
      <w:pPr>
        <w:spacing w:line="240" w:lineRule="auto"/>
        <w:ind w:left="720" w:right="720" w:hanging="720"/>
        <w:rPr>
          <w:rFonts w:ascii="Times New Roman" w:eastAsia="Times New Roman" w:hAnsi="Times New Roman" w:cs="Times New Roman"/>
          <w:sz w:val="24"/>
          <w:szCs w:val="24"/>
        </w:rPr>
      </w:pPr>
      <w:r w:rsidRPr="337B458B">
        <w:rPr>
          <w:rFonts w:ascii="Times New Roman" w:eastAsia="Times New Roman" w:hAnsi="Times New Roman" w:cs="Times New Roman"/>
          <w:sz w:val="24"/>
          <w:szCs w:val="24"/>
        </w:rPr>
        <w:t xml:space="preserve">Granberry, T., Blackburn, J. J., &amp; Roberts, R. (2023). The state of agricultural mechanics in the preparation of school-based agricultural education teachers. </w:t>
      </w:r>
      <w:r w:rsidRPr="337B458B">
        <w:rPr>
          <w:rFonts w:ascii="Times New Roman" w:eastAsia="Times New Roman" w:hAnsi="Times New Roman" w:cs="Times New Roman"/>
          <w:i/>
          <w:iCs/>
          <w:sz w:val="24"/>
          <w:szCs w:val="24"/>
        </w:rPr>
        <w:t>Journal of Agricultural Education, 64</w:t>
      </w:r>
      <w:r w:rsidRPr="337B458B">
        <w:rPr>
          <w:rFonts w:ascii="Times New Roman" w:eastAsia="Times New Roman" w:hAnsi="Times New Roman" w:cs="Times New Roman"/>
          <w:sz w:val="24"/>
          <w:szCs w:val="24"/>
        </w:rPr>
        <w:t>(4), 144–158. https://doi.org/10.5032/jae.v64i4.160</w:t>
      </w:r>
    </w:p>
    <w:p w14:paraId="50EA4FEF" w14:textId="2E08EE7B" w:rsidR="00A24A9C" w:rsidRPr="00A24A9C" w:rsidRDefault="337B458B" w:rsidP="337B458B">
      <w:pPr>
        <w:spacing w:line="240" w:lineRule="auto"/>
        <w:ind w:left="720" w:right="720" w:hanging="720"/>
        <w:rPr>
          <w:rFonts w:ascii="Times New Roman" w:eastAsia="Times New Roman" w:hAnsi="Times New Roman" w:cs="Times New Roman"/>
          <w:sz w:val="24"/>
          <w:szCs w:val="24"/>
        </w:rPr>
      </w:pPr>
      <w:r w:rsidRPr="337B458B">
        <w:rPr>
          <w:rFonts w:ascii="Times New Roman" w:eastAsia="Times New Roman" w:hAnsi="Times New Roman" w:cs="Times New Roman"/>
          <w:sz w:val="24"/>
          <w:szCs w:val="24"/>
        </w:rPr>
        <w:t xml:space="preserve">Hubert, D. J., &amp; Leising, J. (2000). An assessment of agricultural mechanics course requirements in agriculture teacher education programs in the United States. </w:t>
      </w:r>
      <w:r w:rsidRPr="337B458B">
        <w:rPr>
          <w:rFonts w:ascii="Times New Roman" w:eastAsia="Times New Roman" w:hAnsi="Times New Roman" w:cs="Times New Roman"/>
          <w:i/>
          <w:iCs/>
          <w:sz w:val="24"/>
          <w:szCs w:val="24"/>
        </w:rPr>
        <w:t>Journal of Southern Agricultural Education Research, 50</w:t>
      </w:r>
      <w:r w:rsidRPr="337B458B">
        <w:rPr>
          <w:rFonts w:ascii="Times New Roman" w:eastAsia="Times New Roman" w:hAnsi="Times New Roman" w:cs="Times New Roman"/>
          <w:sz w:val="24"/>
          <w:szCs w:val="24"/>
        </w:rPr>
        <w:t>(1), 24–30. http://www.jsaer.org/pdf/vol50Whole.pdf</w:t>
      </w:r>
    </w:p>
    <w:p w14:paraId="743B8B31" w14:textId="571EBA9F" w:rsidR="00A24A9C" w:rsidRDefault="637B48A4" w:rsidP="637B48A4">
      <w:pPr>
        <w:pStyle w:val="NormalWeb"/>
        <w:spacing w:before="0" w:beforeAutospacing="0" w:after="160" w:afterAutospacing="0"/>
        <w:ind w:left="720" w:right="720" w:hanging="720"/>
      </w:pPr>
      <w:r>
        <w:t xml:space="preserve">Jenkins III, C. C., Kitchel, T., &amp; Hains, B. (2010). Defining agricultural education instructional quality. </w:t>
      </w:r>
      <w:r w:rsidRPr="637B48A4">
        <w:rPr>
          <w:i/>
          <w:iCs/>
        </w:rPr>
        <w:t>Journal of Agricultural Education, 51</w:t>
      </w:r>
      <w:r>
        <w:t xml:space="preserve">(3), 53–63. https://doi.org/10.5032/jae.2010. </w:t>
      </w:r>
    </w:p>
    <w:p w14:paraId="36FCF22D" w14:textId="4C08E59C" w:rsidR="00A24A9C" w:rsidRDefault="637B48A4" w:rsidP="637B48A4">
      <w:pPr>
        <w:pStyle w:val="NormalWeb"/>
        <w:spacing w:after="160" w:afterAutospacing="0"/>
        <w:ind w:left="720" w:right="720" w:hanging="720"/>
      </w:pPr>
      <w:r>
        <w:t xml:space="preserve">Roberts, T. G., &amp; Dyer, J. E. (2004). Inservice needs of traditionally and alternatively certified agriculture teachers. </w:t>
      </w:r>
      <w:r w:rsidRPr="637B48A4">
        <w:rPr>
          <w:i/>
          <w:iCs/>
        </w:rPr>
        <w:t>Journal of Agricultural Education, 45</w:t>
      </w:r>
      <w:r>
        <w:t xml:space="preserve">(4), 57-70. https://doi.org/10.5032/jae.2004. </w:t>
      </w:r>
    </w:p>
    <w:p w14:paraId="2983B3B4" w14:textId="19002E4D" w:rsidR="00A24A9C" w:rsidRDefault="637B48A4" w:rsidP="637B48A4">
      <w:pPr>
        <w:pStyle w:val="NormalWeb"/>
        <w:spacing w:after="160" w:afterAutospacing="0"/>
        <w:ind w:left="720" w:right="720" w:hanging="720"/>
      </w:pPr>
      <w:r>
        <w:t xml:space="preserve">Roberts, T.G., Dooley, K.E., Harlin, J.F. and Murphrey, T.P., (2007). Competencies and traits of successful agricultural science teachers. </w:t>
      </w:r>
      <w:r w:rsidRPr="637B48A4">
        <w:rPr>
          <w:i/>
          <w:iCs/>
        </w:rPr>
        <w:t>Journal of Career and Technical Education</w:t>
      </w:r>
      <w:r>
        <w:t xml:space="preserve">, 22(2). http://doi.org/10.21061/jcte.v22i2 </w:t>
      </w:r>
    </w:p>
    <w:p w14:paraId="4BB2CC23" w14:textId="122C5CEF" w:rsidR="637B48A4" w:rsidRDefault="637B48A4" w:rsidP="637B48A4">
      <w:pPr>
        <w:spacing w:line="240" w:lineRule="auto"/>
        <w:ind w:left="720" w:right="720" w:hanging="720"/>
        <w:rPr>
          <w:rFonts w:ascii="Times New Roman" w:eastAsia="Times New Roman" w:hAnsi="Times New Roman" w:cs="Times New Roman"/>
          <w:color w:val="222222"/>
          <w:sz w:val="24"/>
          <w:szCs w:val="24"/>
        </w:rPr>
      </w:pPr>
      <w:r w:rsidRPr="637B48A4">
        <w:rPr>
          <w:rFonts w:ascii="Times New Roman" w:eastAsia="Times New Roman" w:hAnsi="Times New Roman" w:cs="Times New Roman"/>
          <w:color w:val="222222"/>
          <w:sz w:val="24"/>
          <w:szCs w:val="24"/>
        </w:rPr>
        <w:t xml:space="preserve">Ropo, E. (2004). Teaching expertise: Empirical findings on expert teachers and teacher development. In </w:t>
      </w:r>
      <w:r w:rsidRPr="637B48A4">
        <w:rPr>
          <w:rFonts w:ascii="Times New Roman" w:eastAsia="Times New Roman" w:hAnsi="Times New Roman" w:cs="Times New Roman"/>
          <w:i/>
          <w:iCs/>
          <w:color w:val="222222"/>
          <w:sz w:val="24"/>
          <w:szCs w:val="24"/>
        </w:rPr>
        <w:t>Professional learning: Gaps and transitions on the way from novice to expert</w:t>
      </w:r>
      <w:r w:rsidRPr="637B48A4">
        <w:rPr>
          <w:rFonts w:ascii="Times New Roman" w:eastAsia="Times New Roman" w:hAnsi="Times New Roman" w:cs="Times New Roman"/>
          <w:color w:val="222222"/>
          <w:sz w:val="24"/>
          <w:szCs w:val="24"/>
        </w:rPr>
        <w:t xml:space="preserve"> (pp. 159-179). Dordrecht: Springer Netherlands. https://doi.org/10.1007/1-4020-2094-5_9.</w:t>
      </w:r>
    </w:p>
    <w:p w14:paraId="392C3904" w14:textId="6138B7DE" w:rsidR="00A24A9C" w:rsidRPr="00A24A9C" w:rsidRDefault="637B48A4" w:rsidP="337B458B">
      <w:pPr>
        <w:spacing w:line="240" w:lineRule="auto"/>
        <w:ind w:left="720" w:right="720" w:hanging="720"/>
        <w:rPr>
          <w:rFonts w:ascii="Times New Roman" w:eastAsia="Times New Roman" w:hAnsi="Times New Roman" w:cs="Times New Roman"/>
          <w:sz w:val="24"/>
          <w:szCs w:val="24"/>
        </w:rPr>
      </w:pPr>
      <w:r w:rsidRPr="637B48A4">
        <w:rPr>
          <w:rFonts w:ascii="Times New Roman" w:eastAsia="Times New Roman" w:hAnsi="Times New Roman" w:cs="Times New Roman"/>
          <w:sz w:val="24"/>
          <w:szCs w:val="24"/>
        </w:rPr>
        <w:t xml:space="preserve">Wells, T., Hainline, M. S., Rank, B. D., Sanders, K. W., &amp; Chumbley, S. “Boot.” (2021). A regional study of </w:t>
      </w:r>
      <w:proofErr w:type="gramStart"/>
      <w:r w:rsidRPr="637B48A4">
        <w:rPr>
          <w:rFonts w:ascii="Times New Roman" w:eastAsia="Times New Roman" w:hAnsi="Times New Roman" w:cs="Times New Roman"/>
          <w:sz w:val="24"/>
          <w:szCs w:val="24"/>
        </w:rPr>
        <w:t>the agricultural</w:t>
      </w:r>
      <w:proofErr w:type="gramEnd"/>
      <w:r w:rsidRPr="637B48A4">
        <w:rPr>
          <w:rFonts w:ascii="Times New Roman" w:eastAsia="Times New Roman" w:hAnsi="Times New Roman" w:cs="Times New Roman"/>
          <w:sz w:val="24"/>
          <w:szCs w:val="24"/>
        </w:rPr>
        <w:t xml:space="preserve"> mechanics knowledge and skills needed by school-based agricultural education teachers. </w:t>
      </w:r>
      <w:r w:rsidRPr="637B48A4">
        <w:rPr>
          <w:rFonts w:ascii="Times New Roman" w:eastAsia="Times New Roman" w:hAnsi="Times New Roman" w:cs="Times New Roman"/>
          <w:i/>
          <w:iCs/>
          <w:sz w:val="24"/>
          <w:szCs w:val="24"/>
        </w:rPr>
        <w:t>Journal of Agricultural Education, 62</w:t>
      </w:r>
      <w:r w:rsidRPr="637B48A4">
        <w:rPr>
          <w:rFonts w:ascii="Times New Roman" w:eastAsia="Times New Roman" w:hAnsi="Times New Roman" w:cs="Times New Roman"/>
          <w:sz w:val="24"/>
          <w:szCs w:val="24"/>
        </w:rPr>
        <w:t xml:space="preserve">(2), 148–166. </w:t>
      </w:r>
      <w:hyperlink r:id="rId12">
        <w:r w:rsidRPr="637B48A4">
          <w:rPr>
            <w:rStyle w:val="Hyperlink"/>
            <w:rFonts w:ascii="Times New Roman" w:eastAsia="Times New Roman" w:hAnsi="Times New Roman" w:cs="Times New Roman"/>
            <w:sz w:val="24"/>
            <w:szCs w:val="24"/>
          </w:rPr>
          <w:t>https://doi.org/10.5032/jae.2021.02148</w:t>
        </w:r>
      </w:hyperlink>
    </w:p>
    <w:p w14:paraId="46BC1555" w14:textId="6D10D0EE" w:rsidR="00E2522B" w:rsidRDefault="337B458B" w:rsidP="337B458B">
      <w:pPr>
        <w:pStyle w:val="NormalWeb"/>
        <w:ind w:left="720" w:right="720" w:hanging="720"/>
      </w:pPr>
      <w:r>
        <w:lastRenderedPageBreak/>
        <w:t xml:space="preserve">Wells, K. T., &amp; Miller, G. (2020). The effect of virtual reality technology on Welding Skill Performance. </w:t>
      </w:r>
      <w:r w:rsidRPr="337B458B">
        <w:rPr>
          <w:i/>
          <w:iCs/>
        </w:rPr>
        <w:t>Journal of Agricultural Education</w:t>
      </w:r>
      <w:r>
        <w:t xml:space="preserve">, </w:t>
      </w:r>
      <w:r w:rsidRPr="337B458B">
        <w:rPr>
          <w:i/>
          <w:iCs/>
        </w:rPr>
        <w:t>61</w:t>
      </w:r>
      <w:r>
        <w:t xml:space="preserve">(1), 152–171. https://doi.org/10.5032/jae.2020.01152 </w:t>
      </w:r>
    </w:p>
    <w:p w14:paraId="47C995E9" w14:textId="20C26286" w:rsidR="008926E2" w:rsidRPr="00CF3ADD" w:rsidRDefault="008926E2" w:rsidP="337B458B">
      <w:pPr>
        <w:ind w:left="720" w:right="720" w:hanging="720"/>
        <w:rPr>
          <w:rFonts w:ascii="Times New Roman" w:eastAsia="Times New Roman" w:hAnsi="Times New Roman" w:cs="Times New Roman"/>
          <w:color w:val="000000" w:themeColor="text1"/>
          <w:sz w:val="24"/>
          <w:szCs w:val="24"/>
        </w:rPr>
      </w:pPr>
    </w:p>
    <w:sectPr w:rsidR="008926E2" w:rsidRPr="00CF3ADD">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0F15B" w14:textId="77777777" w:rsidR="00CD6D2A" w:rsidRDefault="00CD6D2A" w:rsidP="007E0B08">
      <w:pPr>
        <w:spacing w:after="0" w:line="240" w:lineRule="auto"/>
      </w:pPr>
      <w:r>
        <w:separator/>
      </w:r>
    </w:p>
  </w:endnote>
  <w:endnote w:type="continuationSeparator" w:id="0">
    <w:p w14:paraId="61181A1F" w14:textId="77777777" w:rsidR="00CD6D2A" w:rsidRDefault="00CD6D2A" w:rsidP="007E0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96468" w14:textId="77777777" w:rsidR="00CD6D2A" w:rsidRDefault="00CD6D2A" w:rsidP="007E0B08">
      <w:pPr>
        <w:spacing w:after="0" w:line="240" w:lineRule="auto"/>
      </w:pPr>
      <w:r>
        <w:separator/>
      </w:r>
    </w:p>
  </w:footnote>
  <w:footnote w:type="continuationSeparator" w:id="0">
    <w:p w14:paraId="17DAB23C" w14:textId="77777777" w:rsidR="00CD6D2A" w:rsidRDefault="00CD6D2A" w:rsidP="007E0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ED1BE" w14:textId="3BF2DFFC" w:rsidR="007E0B08" w:rsidRDefault="007E0B08" w:rsidP="007E0B08">
    <w:pPr>
      <w:pStyle w:val="Header"/>
      <w:jc w:val="right"/>
    </w:pPr>
    <w: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3D6A6"/>
    <w:multiLevelType w:val="hybridMultilevel"/>
    <w:tmpl w:val="6DA00574"/>
    <w:lvl w:ilvl="0" w:tplc="980C8FC4">
      <w:start w:val="1"/>
      <w:numFmt w:val="bullet"/>
      <w:lvlText w:val=""/>
      <w:lvlJc w:val="left"/>
      <w:pPr>
        <w:ind w:left="720" w:hanging="360"/>
      </w:pPr>
      <w:rPr>
        <w:rFonts w:ascii="Symbol" w:hAnsi="Symbol" w:hint="default"/>
      </w:rPr>
    </w:lvl>
    <w:lvl w:ilvl="1" w:tplc="DF0ECD90">
      <w:start w:val="1"/>
      <w:numFmt w:val="bullet"/>
      <w:lvlText w:val="o"/>
      <w:lvlJc w:val="left"/>
      <w:pPr>
        <w:ind w:left="1440" w:hanging="360"/>
      </w:pPr>
      <w:rPr>
        <w:rFonts w:ascii="Courier New" w:hAnsi="Courier New" w:hint="default"/>
      </w:rPr>
    </w:lvl>
    <w:lvl w:ilvl="2" w:tplc="C0DEC0D0">
      <w:start w:val="1"/>
      <w:numFmt w:val="bullet"/>
      <w:lvlText w:val=""/>
      <w:lvlJc w:val="left"/>
      <w:pPr>
        <w:ind w:left="2160" w:hanging="360"/>
      </w:pPr>
      <w:rPr>
        <w:rFonts w:ascii="Wingdings" w:hAnsi="Wingdings" w:hint="default"/>
      </w:rPr>
    </w:lvl>
    <w:lvl w:ilvl="3" w:tplc="99A8680C">
      <w:start w:val="1"/>
      <w:numFmt w:val="bullet"/>
      <w:lvlText w:val=""/>
      <w:lvlJc w:val="left"/>
      <w:pPr>
        <w:ind w:left="2880" w:hanging="360"/>
      </w:pPr>
      <w:rPr>
        <w:rFonts w:ascii="Symbol" w:hAnsi="Symbol" w:hint="default"/>
      </w:rPr>
    </w:lvl>
    <w:lvl w:ilvl="4" w:tplc="2CE6EDF8">
      <w:start w:val="1"/>
      <w:numFmt w:val="bullet"/>
      <w:lvlText w:val="o"/>
      <w:lvlJc w:val="left"/>
      <w:pPr>
        <w:ind w:left="3600" w:hanging="360"/>
      </w:pPr>
      <w:rPr>
        <w:rFonts w:ascii="Courier New" w:hAnsi="Courier New" w:hint="default"/>
      </w:rPr>
    </w:lvl>
    <w:lvl w:ilvl="5" w:tplc="C89A3324">
      <w:start w:val="1"/>
      <w:numFmt w:val="bullet"/>
      <w:lvlText w:val=""/>
      <w:lvlJc w:val="left"/>
      <w:pPr>
        <w:ind w:left="4320" w:hanging="360"/>
      </w:pPr>
      <w:rPr>
        <w:rFonts w:ascii="Wingdings" w:hAnsi="Wingdings" w:hint="default"/>
      </w:rPr>
    </w:lvl>
    <w:lvl w:ilvl="6" w:tplc="3F841784">
      <w:start w:val="1"/>
      <w:numFmt w:val="bullet"/>
      <w:lvlText w:val=""/>
      <w:lvlJc w:val="left"/>
      <w:pPr>
        <w:ind w:left="5040" w:hanging="360"/>
      </w:pPr>
      <w:rPr>
        <w:rFonts w:ascii="Symbol" w:hAnsi="Symbol" w:hint="default"/>
      </w:rPr>
    </w:lvl>
    <w:lvl w:ilvl="7" w:tplc="8AF0A1EE">
      <w:start w:val="1"/>
      <w:numFmt w:val="bullet"/>
      <w:lvlText w:val="o"/>
      <w:lvlJc w:val="left"/>
      <w:pPr>
        <w:ind w:left="5760" w:hanging="360"/>
      </w:pPr>
      <w:rPr>
        <w:rFonts w:ascii="Courier New" w:hAnsi="Courier New" w:hint="default"/>
      </w:rPr>
    </w:lvl>
    <w:lvl w:ilvl="8" w:tplc="C8DC18D2">
      <w:start w:val="1"/>
      <w:numFmt w:val="bullet"/>
      <w:lvlText w:val=""/>
      <w:lvlJc w:val="left"/>
      <w:pPr>
        <w:ind w:left="6480" w:hanging="360"/>
      </w:pPr>
      <w:rPr>
        <w:rFonts w:ascii="Wingdings" w:hAnsi="Wingdings" w:hint="default"/>
      </w:rPr>
    </w:lvl>
  </w:abstractNum>
  <w:abstractNum w:abstractNumId="1" w15:restartNumberingAfterBreak="0">
    <w:nsid w:val="2789D3EF"/>
    <w:multiLevelType w:val="hybridMultilevel"/>
    <w:tmpl w:val="C72C828A"/>
    <w:lvl w:ilvl="0" w:tplc="8CB8F302">
      <w:start w:val="1"/>
      <w:numFmt w:val="bullet"/>
      <w:lvlText w:val=""/>
      <w:lvlJc w:val="left"/>
      <w:pPr>
        <w:ind w:left="720" w:hanging="360"/>
      </w:pPr>
      <w:rPr>
        <w:rFonts w:ascii="Symbol" w:hAnsi="Symbol" w:hint="default"/>
      </w:rPr>
    </w:lvl>
    <w:lvl w:ilvl="1" w:tplc="2FF056F8">
      <w:start w:val="1"/>
      <w:numFmt w:val="bullet"/>
      <w:lvlText w:val="o"/>
      <w:lvlJc w:val="left"/>
      <w:pPr>
        <w:ind w:left="1440" w:hanging="360"/>
      </w:pPr>
      <w:rPr>
        <w:rFonts w:ascii="Courier New" w:hAnsi="Courier New" w:hint="default"/>
      </w:rPr>
    </w:lvl>
    <w:lvl w:ilvl="2" w:tplc="CBC4DC56">
      <w:start w:val="1"/>
      <w:numFmt w:val="bullet"/>
      <w:lvlText w:val=""/>
      <w:lvlJc w:val="left"/>
      <w:pPr>
        <w:ind w:left="2160" w:hanging="360"/>
      </w:pPr>
      <w:rPr>
        <w:rFonts w:ascii="Wingdings" w:hAnsi="Wingdings" w:hint="default"/>
      </w:rPr>
    </w:lvl>
    <w:lvl w:ilvl="3" w:tplc="612C5914">
      <w:start w:val="1"/>
      <w:numFmt w:val="bullet"/>
      <w:lvlText w:val=""/>
      <w:lvlJc w:val="left"/>
      <w:pPr>
        <w:ind w:left="2880" w:hanging="360"/>
      </w:pPr>
      <w:rPr>
        <w:rFonts w:ascii="Symbol" w:hAnsi="Symbol" w:hint="default"/>
      </w:rPr>
    </w:lvl>
    <w:lvl w:ilvl="4" w:tplc="BB1469DA">
      <w:start w:val="1"/>
      <w:numFmt w:val="bullet"/>
      <w:lvlText w:val="o"/>
      <w:lvlJc w:val="left"/>
      <w:pPr>
        <w:ind w:left="3600" w:hanging="360"/>
      </w:pPr>
      <w:rPr>
        <w:rFonts w:ascii="Courier New" w:hAnsi="Courier New" w:hint="default"/>
      </w:rPr>
    </w:lvl>
    <w:lvl w:ilvl="5" w:tplc="5A3870B4">
      <w:start w:val="1"/>
      <w:numFmt w:val="bullet"/>
      <w:lvlText w:val=""/>
      <w:lvlJc w:val="left"/>
      <w:pPr>
        <w:ind w:left="4320" w:hanging="360"/>
      </w:pPr>
      <w:rPr>
        <w:rFonts w:ascii="Wingdings" w:hAnsi="Wingdings" w:hint="default"/>
      </w:rPr>
    </w:lvl>
    <w:lvl w:ilvl="6" w:tplc="083090FA">
      <w:start w:val="1"/>
      <w:numFmt w:val="bullet"/>
      <w:lvlText w:val=""/>
      <w:lvlJc w:val="left"/>
      <w:pPr>
        <w:ind w:left="5040" w:hanging="360"/>
      </w:pPr>
      <w:rPr>
        <w:rFonts w:ascii="Symbol" w:hAnsi="Symbol" w:hint="default"/>
      </w:rPr>
    </w:lvl>
    <w:lvl w:ilvl="7" w:tplc="744C1CE4">
      <w:start w:val="1"/>
      <w:numFmt w:val="bullet"/>
      <w:lvlText w:val="o"/>
      <w:lvlJc w:val="left"/>
      <w:pPr>
        <w:ind w:left="5760" w:hanging="360"/>
      </w:pPr>
      <w:rPr>
        <w:rFonts w:ascii="Courier New" w:hAnsi="Courier New" w:hint="default"/>
      </w:rPr>
    </w:lvl>
    <w:lvl w:ilvl="8" w:tplc="9788EB34">
      <w:start w:val="1"/>
      <w:numFmt w:val="bullet"/>
      <w:lvlText w:val=""/>
      <w:lvlJc w:val="left"/>
      <w:pPr>
        <w:ind w:left="6480" w:hanging="360"/>
      </w:pPr>
      <w:rPr>
        <w:rFonts w:ascii="Wingdings" w:hAnsi="Wingdings" w:hint="default"/>
      </w:rPr>
    </w:lvl>
  </w:abstractNum>
  <w:abstractNum w:abstractNumId="2" w15:restartNumberingAfterBreak="0">
    <w:nsid w:val="7E3B5EB9"/>
    <w:multiLevelType w:val="hybridMultilevel"/>
    <w:tmpl w:val="43A0A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0123906">
    <w:abstractNumId w:val="1"/>
  </w:num>
  <w:num w:numId="2" w16cid:durableId="972095921">
    <w:abstractNumId w:val="0"/>
  </w:num>
  <w:num w:numId="3" w16cid:durableId="271135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7E6462"/>
    <w:rsid w:val="000C5B53"/>
    <w:rsid w:val="00124242"/>
    <w:rsid w:val="00130D6A"/>
    <w:rsid w:val="00176132"/>
    <w:rsid w:val="002107DC"/>
    <w:rsid w:val="002C33A9"/>
    <w:rsid w:val="0030339C"/>
    <w:rsid w:val="003E16B4"/>
    <w:rsid w:val="0041442F"/>
    <w:rsid w:val="00435775"/>
    <w:rsid w:val="004F7BB0"/>
    <w:rsid w:val="005541A4"/>
    <w:rsid w:val="00577073"/>
    <w:rsid w:val="00582755"/>
    <w:rsid w:val="005B7608"/>
    <w:rsid w:val="005D3478"/>
    <w:rsid w:val="005F6AC1"/>
    <w:rsid w:val="006200D9"/>
    <w:rsid w:val="006606F4"/>
    <w:rsid w:val="007003BB"/>
    <w:rsid w:val="00793A79"/>
    <w:rsid w:val="007A2850"/>
    <w:rsid w:val="007B4A15"/>
    <w:rsid w:val="007D5F41"/>
    <w:rsid w:val="007E0B08"/>
    <w:rsid w:val="008926E2"/>
    <w:rsid w:val="00940D13"/>
    <w:rsid w:val="00941F90"/>
    <w:rsid w:val="00977B67"/>
    <w:rsid w:val="009C0580"/>
    <w:rsid w:val="009F6C49"/>
    <w:rsid w:val="00A03CB5"/>
    <w:rsid w:val="00A13118"/>
    <w:rsid w:val="00A13EEB"/>
    <w:rsid w:val="00A235E8"/>
    <w:rsid w:val="00A24A9C"/>
    <w:rsid w:val="00A43107"/>
    <w:rsid w:val="00A542AB"/>
    <w:rsid w:val="00A874BA"/>
    <w:rsid w:val="00AA09DD"/>
    <w:rsid w:val="00AC1B53"/>
    <w:rsid w:val="00B000F1"/>
    <w:rsid w:val="00B234CC"/>
    <w:rsid w:val="00BC2C36"/>
    <w:rsid w:val="00BE38C9"/>
    <w:rsid w:val="00C12839"/>
    <w:rsid w:val="00C42652"/>
    <w:rsid w:val="00C85AA7"/>
    <w:rsid w:val="00CC2150"/>
    <w:rsid w:val="00CD6D2A"/>
    <w:rsid w:val="00CF3ADD"/>
    <w:rsid w:val="00E2522B"/>
    <w:rsid w:val="00E52640"/>
    <w:rsid w:val="00EF150F"/>
    <w:rsid w:val="00F01E38"/>
    <w:rsid w:val="00F41DC5"/>
    <w:rsid w:val="00F45B13"/>
    <w:rsid w:val="00F5248A"/>
    <w:rsid w:val="00F966F7"/>
    <w:rsid w:val="00FA4520"/>
    <w:rsid w:val="00FF4CCF"/>
    <w:rsid w:val="11679CDA"/>
    <w:rsid w:val="127E6462"/>
    <w:rsid w:val="1321E98D"/>
    <w:rsid w:val="167EE8BD"/>
    <w:rsid w:val="19172643"/>
    <w:rsid w:val="26850913"/>
    <w:rsid w:val="28514D9E"/>
    <w:rsid w:val="2A48B1CC"/>
    <w:rsid w:val="324EB0E7"/>
    <w:rsid w:val="337B458B"/>
    <w:rsid w:val="39D0C079"/>
    <w:rsid w:val="44B62969"/>
    <w:rsid w:val="637B48A4"/>
    <w:rsid w:val="79BECAA8"/>
    <w:rsid w:val="7B863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7E6462"/>
  <w15:chartTrackingRefBased/>
  <w15:docId w15:val="{B29F8DB2-F61F-4B64-8884-AD20BC3DA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43577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26E2"/>
    <w:rPr>
      <w:color w:val="0563C1" w:themeColor="hyperlink"/>
      <w:u w:val="single"/>
    </w:rPr>
  </w:style>
  <w:style w:type="character" w:styleId="UnresolvedMention">
    <w:name w:val="Unresolved Mention"/>
    <w:basedOn w:val="DefaultParagraphFont"/>
    <w:uiPriority w:val="99"/>
    <w:semiHidden/>
    <w:unhideWhenUsed/>
    <w:rsid w:val="008926E2"/>
    <w:rPr>
      <w:color w:val="605E5C"/>
      <w:shd w:val="clear" w:color="auto" w:fill="E1DFDD"/>
    </w:rPr>
  </w:style>
  <w:style w:type="paragraph" w:styleId="Header">
    <w:name w:val="header"/>
    <w:basedOn w:val="Normal"/>
    <w:link w:val="HeaderChar"/>
    <w:uiPriority w:val="99"/>
    <w:unhideWhenUsed/>
    <w:rsid w:val="007E0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0B08"/>
  </w:style>
  <w:style w:type="paragraph" w:styleId="Footer">
    <w:name w:val="footer"/>
    <w:basedOn w:val="Normal"/>
    <w:link w:val="FooterChar"/>
    <w:uiPriority w:val="99"/>
    <w:unhideWhenUsed/>
    <w:rsid w:val="007E0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0B08"/>
  </w:style>
  <w:style w:type="paragraph" w:styleId="NormalWeb">
    <w:name w:val="Normal (Web)"/>
    <w:basedOn w:val="Normal"/>
    <w:uiPriority w:val="99"/>
    <w:unhideWhenUsed/>
    <w:rsid w:val="00E2522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73569">
      <w:bodyDiv w:val="1"/>
      <w:marLeft w:val="0"/>
      <w:marRight w:val="0"/>
      <w:marTop w:val="0"/>
      <w:marBottom w:val="0"/>
      <w:divBdr>
        <w:top w:val="none" w:sz="0" w:space="0" w:color="auto"/>
        <w:left w:val="none" w:sz="0" w:space="0" w:color="auto"/>
        <w:bottom w:val="none" w:sz="0" w:space="0" w:color="auto"/>
        <w:right w:val="none" w:sz="0" w:space="0" w:color="auto"/>
      </w:divBdr>
    </w:div>
    <w:div w:id="126156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_a461@txstate.ed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enedy.kornegay@xylem.com" TargetMode="External"/><Relationship Id="rId12" Type="http://schemas.openxmlformats.org/officeDocument/2006/relationships/hyperlink" Target="https://doi.org/10.5032/jae.2021.021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27046760426499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_d553@txstate.edu" TargetMode="External"/><Relationship Id="rId4" Type="http://schemas.openxmlformats.org/officeDocument/2006/relationships/webSettings" Target="webSettings.xml"/><Relationship Id="rId9" Type="http://schemas.openxmlformats.org/officeDocument/2006/relationships/hyperlink" Target="mailto:paulsent@morningsi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1093</Words>
  <Characters>6236</Characters>
  <Application>Microsoft Office Word</Application>
  <DocSecurity>0</DocSecurity>
  <Lines>51</Lines>
  <Paragraphs>14</Paragraphs>
  <ScaleCrop>false</ScaleCrop>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Kenedy Kornegay</dc:creator>
  <cp:keywords/>
  <dc:description/>
  <cp:lastModifiedBy>Anderson, Ryan G</cp:lastModifiedBy>
  <cp:revision>15</cp:revision>
  <cp:lastPrinted>2024-10-29T00:12:00Z</cp:lastPrinted>
  <dcterms:created xsi:type="dcterms:W3CDTF">2024-10-29T01:29:00Z</dcterms:created>
  <dcterms:modified xsi:type="dcterms:W3CDTF">2025-10-17T02:27:00Z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cce8cc25e2c3fd5664b8e21a80e6b1cf2729056551fe7de95325251646cdf51a</vt:lpwstr>
  </property>
</Properties>
</file>