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2EF6A" w14:textId="77777777" w:rsidR="001C34DC" w:rsidRDefault="001C34DC" w:rsidP="000962EC">
      <w:pPr>
        <w:spacing w:after="0"/>
        <w:jc w:val="center"/>
        <w:rPr>
          <w:b/>
          <w:bCs/>
          <w:sz w:val="22"/>
          <w:szCs w:val="22"/>
        </w:rPr>
      </w:pPr>
    </w:p>
    <w:p w14:paraId="6745901A" w14:textId="77777777" w:rsidR="00017A5F" w:rsidRDefault="00017A5F" w:rsidP="000962EC">
      <w:pPr>
        <w:spacing w:after="0"/>
        <w:jc w:val="center"/>
        <w:rPr>
          <w:b/>
          <w:bCs/>
          <w:sz w:val="22"/>
          <w:szCs w:val="22"/>
        </w:rPr>
      </w:pPr>
    </w:p>
    <w:p w14:paraId="52E196BA" w14:textId="77777777" w:rsidR="00017A5F" w:rsidRDefault="00017A5F" w:rsidP="000962EC">
      <w:pPr>
        <w:spacing w:after="0"/>
        <w:jc w:val="center"/>
        <w:rPr>
          <w:b/>
          <w:bCs/>
          <w:sz w:val="22"/>
          <w:szCs w:val="22"/>
        </w:rPr>
      </w:pPr>
    </w:p>
    <w:p w14:paraId="0DD5C1D6" w14:textId="77777777" w:rsidR="00017A5F" w:rsidRDefault="00017A5F" w:rsidP="000962EC">
      <w:pPr>
        <w:spacing w:after="0"/>
        <w:jc w:val="center"/>
        <w:rPr>
          <w:b/>
          <w:bCs/>
          <w:sz w:val="22"/>
          <w:szCs w:val="22"/>
        </w:rPr>
      </w:pPr>
    </w:p>
    <w:p w14:paraId="4BFC439A" w14:textId="77777777" w:rsidR="00017A5F" w:rsidRDefault="00017A5F" w:rsidP="000962EC">
      <w:pPr>
        <w:spacing w:after="0"/>
        <w:jc w:val="center"/>
        <w:rPr>
          <w:b/>
          <w:bCs/>
          <w:sz w:val="22"/>
          <w:szCs w:val="22"/>
        </w:rPr>
      </w:pPr>
    </w:p>
    <w:p w14:paraId="2E107A29" w14:textId="77777777" w:rsidR="00017A5F" w:rsidRDefault="00017A5F" w:rsidP="000962EC">
      <w:pPr>
        <w:spacing w:after="0"/>
        <w:jc w:val="center"/>
        <w:rPr>
          <w:b/>
          <w:bCs/>
          <w:sz w:val="22"/>
          <w:szCs w:val="22"/>
        </w:rPr>
      </w:pPr>
    </w:p>
    <w:p w14:paraId="1CBC99DF" w14:textId="77777777" w:rsidR="00017A5F" w:rsidRDefault="00017A5F" w:rsidP="000962EC">
      <w:pPr>
        <w:spacing w:after="0"/>
        <w:jc w:val="center"/>
        <w:rPr>
          <w:b/>
          <w:bCs/>
          <w:sz w:val="22"/>
          <w:szCs w:val="22"/>
        </w:rPr>
      </w:pPr>
    </w:p>
    <w:p w14:paraId="469FDC9E" w14:textId="77777777" w:rsidR="00017A5F" w:rsidRDefault="00017A5F" w:rsidP="000962EC">
      <w:pPr>
        <w:spacing w:after="0"/>
        <w:jc w:val="center"/>
        <w:rPr>
          <w:b/>
          <w:bCs/>
          <w:sz w:val="22"/>
          <w:szCs w:val="22"/>
        </w:rPr>
      </w:pPr>
    </w:p>
    <w:p w14:paraId="00C7B7AA" w14:textId="77777777" w:rsidR="00017A5F" w:rsidRDefault="00017A5F" w:rsidP="000962EC">
      <w:pPr>
        <w:spacing w:after="0"/>
        <w:jc w:val="center"/>
        <w:rPr>
          <w:b/>
          <w:bCs/>
          <w:sz w:val="22"/>
          <w:szCs w:val="22"/>
        </w:rPr>
      </w:pPr>
    </w:p>
    <w:p w14:paraId="38CB6BA5" w14:textId="77777777" w:rsidR="00017A5F" w:rsidRDefault="00017A5F" w:rsidP="000962EC">
      <w:pPr>
        <w:spacing w:after="0"/>
        <w:jc w:val="center"/>
        <w:rPr>
          <w:b/>
          <w:bCs/>
          <w:sz w:val="22"/>
          <w:szCs w:val="22"/>
        </w:rPr>
      </w:pPr>
    </w:p>
    <w:p w14:paraId="269CC154" w14:textId="77777777" w:rsidR="00017A5F" w:rsidRDefault="00017A5F" w:rsidP="000962EC">
      <w:pPr>
        <w:spacing w:after="0"/>
        <w:jc w:val="center"/>
        <w:rPr>
          <w:b/>
          <w:bCs/>
          <w:sz w:val="22"/>
          <w:szCs w:val="22"/>
        </w:rPr>
      </w:pPr>
    </w:p>
    <w:p w14:paraId="41F94B38" w14:textId="77777777" w:rsidR="00017A5F" w:rsidRDefault="00017A5F" w:rsidP="000962EC">
      <w:pPr>
        <w:spacing w:after="0"/>
        <w:jc w:val="center"/>
        <w:rPr>
          <w:b/>
          <w:bCs/>
          <w:sz w:val="22"/>
          <w:szCs w:val="22"/>
        </w:rPr>
      </w:pPr>
    </w:p>
    <w:p w14:paraId="641DA825" w14:textId="77777777" w:rsidR="00017A5F" w:rsidRDefault="00017A5F" w:rsidP="000962EC">
      <w:pPr>
        <w:spacing w:after="0"/>
        <w:jc w:val="center"/>
        <w:rPr>
          <w:b/>
          <w:bCs/>
          <w:sz w:val="22"/>
          <w:szCs w:val="22"/>
        </w:rPr>
      </w:pPr>
    </w:p>
    <w:p w14:paraId="264A17E8" w14:textId="77777777" w:rsidR="001C34DC" w:rsidRDefault="001C34DC" w:rsidP="000962EC">
      <w:pPr>
        <w:spacing w:after="0"/>
        <w:jc w:val="center"/>
        <w:rPr>
          <w:b/>
          <w:bCs/>
          <w:sz w:val="22"/>
          <w:szCs w:val="22"/>
        </w:rPr>
      </w:pPr>
    </w:p>
    <w:p w14:paraId="07510F96" w14:textId="77777777" w:rsidR="00017A5F" w:rsidRDefault="00017A5F" w:rsidP="000962EC">
      <w:pPr>
        <w:spacing w:after="0"/>
        <w:jc w:val="center"/>
        <w:rPr>
          <w:b/>
          <w:bCs/>
          <w:sz w:val="22"/>
          <w:szCs w:val="22"/>
        </w:rPr>
      </w:pPr>
    </w:p>
    <w:p w14:paraId="77A9D866" w14:textId="77777777" w:rsidR="00017A5F" w:rsidRDefault="00017A5F" w:rsidP="000962EC">
      <w:pPr>
        <w:spacing w:after="0"/>
        <w:jc w:val="center"/>
        <w:rPr>
          <w:b/>
          <w:bCs/>
          <w:sz w:val="22"/>
          <w:szCs w:val="22"/>
        </w:rPr>
      </w:pPr>
    </w:p>
    <w:p w14:paraId="7518537A" w14:textId="4C18394B" w:rsidR="001C34DC" w:rsidRDefault="001C34DC" w:rsidP="001C34DC">
      <w:pPr>
        <w:spacing w:after="199" w:line="259" w:lineRule="auto"/>
        <w:ind w:left="37" w:right="27"/>
        <w:jc w:val="center"/>
      </w:pPr>
      <w:r>
        <w:rPr>
          <w:b/>
        </w:rPr>
        <w:t xml:space="preserve">Teacher-perceived Adequacy of Tools and Equipment Available to Teach Electricity  </w:t>
      </w:r>
    </w:p>
    <w:p w14:paraId="7EF83E35" w14:textId="77777777" w:rsidR="00017A5F" w:rsidRPr="00017A5F" w:rsidRDefault="00017A5F" w:rsidP="00017A5F">
      <w:pPr>
        <w:spacing w:after="160" w:line="240" w:lineRule="auto"/>
        <w:ind w:left="0" w:firstLine="0"/>
        <w:jc w:val="center"/>
        <w:rPr>
          <w:rFonts w:eastAsiaTheme="minorHAnsi"/>
          <w:color w:val="auto"/>
          <w:lang w:val="en-US" w:eastAsia="en-US"/>
        </w:rPr>
      </w:pPr>
      <w:r w:rsidRPr="00017A5F">
        <w:rPr>
          <w:rFonts w:eastAsiaTheme="minorHAnsi"/>
          <w:color w:val="auto"/>
          <w:lang w:val="en-US" w:eastAsia="en-US"/>
        </w:rPr>
        <w:t>Molly Massey</w:t>
      </w:r>
      <w:r w:rsidRPr="00017A5F">
        <w:rPr>
          <w:rFonts w:eastAsiaTheme="minorHAnsi"/>
          <w:color w:val="auto"/>
          <w:vertAlign w:val="superscript"/>
          <w:lang w:val="en-US" w:eastAsia="en-US"/>
        </w:rPr>
        <w:t>1</w:t>
      </w:r>
      <w:r w:rsidRPr="00017A5F">
        <w:rPr>
          <w:rFonts w:eastAsiaTheme="minorHAnsi"/>
          <w:color w:val="auto"/>
          <w:lang w:val="en-US" w:eastAsia="en-US"/>
        </w:rPr>
        <w:t>; Kenedy Kornegay</w:t>
      </w:r>
      <w:r w:rsidRPr="00017A5F">
        <w:rPr>
          <w:rFonts w:eastAsiaTheme="minorHAnsi"/>
          <w:color w:val="auto"/>
          <w:vertAlign w:val="superscript"/>
          <w:lang w:val="en-US" w:eastAsia="en-US"/>
        </w:rPr>
        <w:t>2</w:t>
      </w:r>
      <w:r w:rsidRPr="00017A5F">
        <w:rPr>
          <w:rFonts w:eastAsiaTheme="minorHAnsi"/>
          <w:color w:val="auto"/>
          <w:lang w:val="en-US" w:eastAsia="en-US"/>
        </w:rPr>
        <w:t>; Dr. Ryan G. Anderson</w:t>
      </w:r>
      <w:r w:rsidRPr="00017A5F">
        <w:rPr>
          <w:rFonts w:eastAsiaTheme="minorHAnsi"/>
          <w:color w:val="auto"/>
          <w:vertAlign w:val="superscript"/>
          <w:lang w:val="en-US" w:eastAsia="en-US"/>
        </w:rPr>
        <w:t>3</w:t>
      </w:r>
    </w:p>
    <w:p w14:paraId="14777D14" w14:textId="77777777" w:rsidR="00017A5F" w:rsidRPr="00017A5F" w:rsidRDefault="00017A5F" w:rsidP="00017A5F">
      <w:pPr>
        <w:spacing w:after="160" w:line="240" w:lineRule="auto"/>
        <w:ind w:left="0" w:firstLine="0"/>
        <w:jc w:val="center"/>
        <w:rPr>
          <w:rFonts w:eastAsiaTheme="minorHAnsi"/>
          <w:color w:val="auto"/>
          <w:lang w:val="en-US" w:eastAsia="en-US"/>
        </w:rPr>
      </w:pPr>
    </w:p>
    <w:p w14:paraId="47062BA0" w14:textId="77777777" w:rsidR="00017A5F" w:rsidRPr="00017A5F" w:rsidRDefault="00017A5F" w:rsidP="00017A5F">
      <w:pPr>
        <w:spacing w:after="160" w:line="240" w:lineRule="auto"/>
        <w:ind w:left="0" w:firstLine="0"/>
        <w:jc w:val="center"/>
        <w:rPr>
          <w:rFonts w:eastAsiaTheme="minorHAnsi"/>
          <w:color w:val="auto"/>
          <w:lang w:val="en-US" w:eastAsia="en-US"/>
        </w:rPr>
      </w:pPr>
    </w:p>
    <w:p w14:paraId="52C47E47" w14:textId="77777777" w:rsidR="00017A5F" w:rsidRPr="00017A5F" w:rsidRDefault="00017A5F" w:rsidP="00017A5F">
      <w:pPr>
        <w:spacing w:after="160" w:line="240" w:lineRule="auto"/>
        <w:ind w:left="0" w:firstLine="0"/>
        <w:jc w:val="center"/>
        <w:rPr>
          <w:rFonts w:eastAsiaTheme="minorHAnsi"/>
          <w:color w:val="auto"/>
          <w:lang w:val="en-US" w:eastAsia="en-US"/>
        </w:rPr>
      </w:pPr>
    </w:p>
    <w:p w14:paraId="572D4BDF" w14:textId="77777777" w:rsidR="00017A5F" w:rsidRPr="00017A5F" w:rsidRDefault="00017A5F" w:rsidP="00017A5F">
      <w:pPr>
        <w:spacing w:after="160" w:line="240" w:lineRule="auto"/>
        <w:ind w:left="0" w:firstLine="0"/>
        <w:jc w:val="center"/>
        <w:rPr>
          <w:rFonts w:eastAsiaTheme="minorHAnsi"/>
          <w:color w:val="auto"/>
          <w:lang w:val="en-US" w:eastAsia="en-US"/>
        </w:rPr>
      </w:pPr>
    </w:p>
    <w:p w14:paraId="7FC4A14B" w14:textId="77777777" w:rsidR="00017A5F" w:rsidRPr="00017A5F" w:rsidRDefault="00017A5F" w:rsidP="00017A5F">
      <w:pPr>
        <w:spacing w:after="160" w:line="240" w:lineRule="auto"/>
        <w:ind w:left="0" w:firstLine="0"/>
        <w:jc w:val="center"/>
        <w:rPr>
          <w:rFonts w:eastAsiaTheme="minorHAnsi"/>
          <w:color w:val="auto"/>
          <w:lang w:val="en-US" w:eastAsia="en-US"/>
        </w:rPr>
      </w:pPr>
    </w:p>
    <w:p w14:paraId="356CC10B" w14:textId="77777777" w:rsidR="00017A5F" w:rsidRPr="00017A5F" w:rsidRDefault="00017A5F" w:rsidP="00017A5F">
      <w:pPr>
        <w:spacing w:after="160" w:line="240" w:lineRule="auto"/>
        <w:ind w:left="0" w:firstLine="0"/>
        <w:jc w:val="center"/>
        <w:rPr>
          <w:rFonts w:eastAsiaTheme="minorHAnsi"/>
          <w:color w:val="auto"/>
          <w:lang w:val="en-US" w:eastAsia="en-US"/>
        </w:rPr>
      </w:pPr>
    </w:p>
    <w:p w14:paraId="28369425" w14:textId="77777777" w:rsidR="00017A5F" w:rsidRDefault="00017A5F" w:rsidP="00017A5F">
      <w:pPr>
        <w:spacing w:after="160" w:line="240" w:lineRule="auto"/>
        <w:ind w:left="0" w:firstLine="0"/>
        <w:jc w:val="center"/>
        <w:rPr>
          <w:rFonts w:eastAsiaTheme="minorHAnsi"/>
          <w:color w:val="auto"/>
          <w:lang w:val="en-US" w:eastAsia="en-US"/>
        </w:rPr>
      </w:pPr>
    </w:p>
    <w:p w14:paraId="292545CB" w14:textId="77777777" w:rsidR="00017A5F" w:rsidRDefault="00017A5F" w:rsidP="00017A5F">
      <w:pPr>
        <w:spacing w:after="160" w:line="240" w:lineRule="auto"/>
        <w:ind w:left="0" w:firstLine="0"/>
        <w:jc w:val="center"/>
        <w:rPr>
          <w:rFonts w:eastAsiaTheme="minorHAnsi"/>
          <w:color w:val="auto"/>
          <w:lang w:val="en-US" w:eastAsia="en-US"/>
        </w:rPr>
      </w:pPr>
    </w:p>
    <w:p w14:paraId="7EDD511E" w14:textId="77777777" w:rsidR="00017A5F" w:rsidRPr="00017A5F" w:rsidRDefault="00017A5F" w:rsidP="00017A5F">
      <w:pPr>
        <w:spacing w:after="160" w:line="240" w:lineRule="auto"/>
        <w:ind w:left="0" w:firstLine="0"/>
        <w:jc w:val="center"/>
        <w:rPr>
          <w:rFonts w:eastAsiaTheme="minorHAnsi"/>
          <w:color w:val="auto"/>
          <w:lang w:val="en-US" w:eastAsia="en-US"/>
        </w:rPr>
      </w:pPr>
    </w:p>
    <w:p w14:paraId="50DE1E6A" w14:textId="77777777" w:rsidR="00017A5F" w:rsidRPr="00017A5F" w:rsidRDefault="00017A5F" w:rsidP="00017A5F">
      <w:pPr>
        <w:spacing w:after="160" w:line="240" w:lineRule="auto"/>
        <w:ind w:left="0" w:firstLine="0"/>
        <w:jc w:val="center"/>
        <w:rPr>
          <w:rFonts w:eastAsiaTheme="minorHAnsi"/>
          <w:color w:val="auto"/>
          <w:lang w:val="en-US" w:eastAsia="en-US"/>
        </w:rPr>
      </w:pPr>
    </w:p>
    <w:p w14:paraId="7441B394" w14:textId="77777777" w:rsidR="00017A5F" w:rsidRPr="00017A5F" w:rsidRDefault="00017A5F" w:rsidP="00017A5F">
      <w:pPr>
        <w:spacing w:after="160" w:line="240" w:lineRule="auto"/>
        <w:ind w:left="0" w:firstLine="0"/>
        <w:jc w:val="center"/>
        <w:rPr>
          <w:rFonts w:eastAsiaTheme="minorHAnsi"/>
          <w:color w:val="auto"/>
          <w:lang w:val="en-US" w:eastAsia="en-US"/>
        </w:rPr>
      </w:pPr>
    </w:p>
    <w:p w14:paraId="17932443" w14:textId="77777777" w:rsidR="00017A5F" w:rsidRPr="00017A5F" w:rsidRDefault="00017A5F" w:rsidP="00017A5F">
      <w:pPr>
        <w:spacing w:after="160" w:line="240" w:lineRule="auto"/>
        <w:ind w:left="0" w:firstLine="0"/>
        <w:jc w:val="center"/>
        <w:rPr>
          <w:rFonts w:eastAsiaTheme="minorHAnsi"/>
          <w:color w:val="auto"/>
          <w:lang w:val="en-US" w:eastAsia="en-US"/>
        </w:rPr>
      </w:pPr>
    </w:p>
    <w:p w14:paraId="02E2DC9C" w14:textId="77777777" w:rsidR="00017A5F" w:rsidRPr="00017A5F" w:rsidRDefault="00017A5F" w:rsidP="00017A5F">
      <w:pPr>
        <w:spacing w:after="160" w:line="240" w:lineRule="auto"/>
        <w:ind w:left="0" w:firstLine="0"/>
        <w:jc w:val="center"/>
        <w:rPr>
          <w:rFonts w:eastAsiaTheme="minorHAnsi"/>
          <w:color w:val="auto"/>
          <w:lang w:val="en-US" w:eastAsia="en-US"/>
        </w:rPr>
      </w:pPr>
      <w:r w:rsidRPr="00017A5F">
        <w:rPr>
          <w:rFonts w:eastAsiaTheme="minorHAnsi"/>
          <w:color w:val="auto"/>
          <w:vertAlign w:val="superscript"/>
          <w:lang w:val="en-US" w:eastAsia="en-US"/>
        </w:rPr>
        <w:t>1</w:t>
      </w:r>
      <w:r w:rsidRPr="00017A5F">
        <w:rPr>
          <w:rFonts w:eastAsiaTheme="minorHAnsi"/>
          <w:color w:val="auto"/>
          <w:lang w:val="en-US" w:eastAsia="en-US"/>
        </w:rPr>
        <w:t>Molly Massey, an Undergraduate Student in the Department of Agricultural Sciences at Tarleton State University, molly.massey@go.tarleton.edu</w:t>
      </w:r>
    </w:p>
    <w:p w14:paraId="5435FDF9" w14:textId="77777777" w:rsidR="00017A5F" w:rsidRPr="00017A5F" w:rsidRDefault="00017A5F" w:rsidP="00017A5F">
      <w:pPr>
        <w:spacing w:after="160" w:line="240" w:lineRule="auto"/>
        <w:ind w:left="0" w:firstLine="0"/>
        <w:jc w:val="center"/>
        <w:rPr>
          <w:rFonts w:eastAsiaTheme="minorHAnsi"/>
          <w:color w:val="auto"/>
          <w:lang w:val="en-US" w:eastAsia="en-US"/>
        </w:rPr>
      </w:pPr>
      <w:r w:rsidRPr="00017A5F">
        <w:rPr>
          <w:rFonts w:eastAsiaTheme="minorHAnsi"/>
          <w:color w:val="auto"/>
          <w:vertAlign w:val="superscript"/>
          <w:lang w:val="en-US" w:eastAsia="en-US"/>
        </w:rPr>
        <w:t>2</w:t>
      </w:r>
      <w:r w:rsidRPr="00017A5F">
        <w:rPr>
          <w:rFonts w:eastAsiaTheme="minorHAnsi"/>
          <w:color w:val="auto"/>
          <w:lang w:val="en-US" w:eastAsia="en-US"/>
        </w:rPr>
        <w:t>Kenedy Kornegay, a Digital Data Analyst at Xylem Water Solutions, kenedy.kornegay@xylem.com</w:t>
      </w:r>
    </w:p>
    <w:p w14:paraId="19068BC4" w14:textId="0B7DDA0C" w:rsidR="001C34DC" w:rsidRPr="00017A5F" w:rsidRDefault="00017A5F" w:rsidP="00017A5F">
      <w:pPr>
        <w:spacing w:after="160" w:line="240" w:lineRule="auto"/>
        <w:ind w:left="0" w:firstLine="0"/>
        <w:jc w:val="center"/>
        <w:rPr>
          <w:rFonts w:eastAsiaTheme="minorHAnsi"/>
          <w:color w:val="auto"/>
          <w:lang w:val="en-US" w:eastAsia="en-US"/>
        </w:rPr>
      </w:pPr>
      <w:r w:rsidRPr="00017A5F">
        <w:rPr>
          <w:rFonts w:eastAsiaTheme="minorHAnsi"/>
          <w:color w:val="auto"/>
          <w:vertAlign w:val="superscript"/>
          <w:lang w:val="en-US" w:eastAsia="en-US"/>
        </w:rPr>
        <w:t>3</w:t>
      </w:r>
      <w:r w:rsidRPr="00017A5F">
        <w:rPr>
          <w:rFonts w:eastAsiaTheme="minorHAnsi"/>
          <w:color w:val="auto"/>
          <w:lang w:val="en-US" w:eastAsia="en-US"/>
        </w:rPr>
        <w:t xml:space="preserve">Dr. Ryan G. Anderson, an Associate Professor in the Department of Agricultural Sciences at Texas State University, r_a461@txstate.edu </w:t>
      </w:r>
    </w:p>
    <w:p w14:paraId="40A53F21" w14:textId="72A3D099" w:rsidR="000962EC" w:rsidRPr="001D7170" w:rsidRDefault="000962EC" w:rsidP="000962EC">
      <w:pPr>
        <w:spacing w:after="0"/>
        <w:jc w:val="center"/>
        <w:rPr>
          <w:b/>
          <w:bCs/>
          <w:sz w:val="22"/>
          <w:szCs w:val="22"/>
        </w:rPr>
      </w:pPr>
      <w:r w:rsidRPr="001D7170">
        <w:rPr>
          <w:b/>
          <w:bCs/>
          <w:sz w:val="22"/>
          <w:szCs w:val="22"/>
        </w:rPr>
        <w:lastRenderedPageBreak/>
        <w:t>Introduction</w:t>
      </w:r>
    </w:p>
    <w:p w14:paraId="0CA51933" w14:textId="5A307F12" w:rsidR="00FB023D" w:rsidRPr="001D7170" w:rsidRDefault="005F6B5B" w:rsidP="000962EC">
      <w:pPr>
        <w:spacing w:after="0"/>
        <w:ind w:left="-15" w:firstLine="721"/>
        <w:rPr>
          <w:sz w:val="22"/>
          <w:szCs w:val="22"/>
        </w:rPr>
      </w:pPr>
      <w:r w:rsidRPr="001D7170">
        <w:rPr>
          <w:sz w:val="22"/>
          <w:szCs w:val="22"/>
        </w:rPr>
        <w:t>School-Based Agricultural Education (SBAE) teachers face many obstacles providing thorough lessons when having a shortage of material (McCubbins et al., 2016). Agricultural mechanics has several different areas of content, maintaining correct equipment for all lessons can be difficult for secondary institutions (McCubbins et al., 2017).</w:t>
      </w:r>
      <w:r w:rsidR="00C872BF" w:rsidRPr="001D7170">
        <w:rPr>
          <w:sz w:val="22"/>
          <w:szCs w:val="22"/>
        </w:rPr>
        <w:t xml:space="preserve"> Specifically, when teaching electricity, the SBAE teachers’ ability to maintain correct tools and knowledge of each element is essential for students to gain a well-rounded education (Slusher et al., 2011).</w:t>
      </w:r>
      <w:r w:rsidR="008C7E76" w:rsidRPr="001D7170">
        <w:rPr>
          <w:sz w:val="22"/>
          <w:szCs w:val="22"/>
        </w:rPr>
        <w:t xml:space="preserve"> Providing teaching materials with proper training, including workshops, will allow SBAE teachers to establish a better understanding of the tools and equipment needed for the curriculum taught.  </w:t>
      </w:r>
    </w:p>
    <w:p w14:paraId="2B3B7CC7" w14:textId="40586E03" w:rsidR="000962EC" w:rsidRPr="001D7170" w:rsidRDefault="000962EC" w:rsidP="000962EC">
      <w:pPr>
        <w:spacing w:after="0"/>
        <w:jc w:val="center"/>
        <w:rPr>
          <w:b/>
          <w:bCs/>
          <w:sz w:val="22"/>
          <w:szCs w:val="22"/>
        </w:rPr>
      </w:pPr>
      <w:r w:rsidRPr="001D7170">
        <w:rPr>
          <w:b/>
          <w:bCs/>
          <w:sz w:val="22"/>
          <w:szCs w:val="22"/>
        </w:rPr>
        <w:t>Theoretical framework</w:t>
      </w:r>
    </w:p>
    <w:p w14:paraId="49258E55" w14:textId="1187B513" w:rsidR="00FB023D" w:rsidRPr="001D7170" w:rsidRDefault="00FB023D" w:rsidP="00FB023D">
      <w:pPr>
        <w:spacing w:after="6"/>
        <w:ind w:left="-15" w:firstLine="721"/>
        <w:rPr>
          <w:sz w:val="22"/>
          <w:szCs w:val="22"/>
        </w:rPr>
      </w:pPr>
      <w:r w:rsidRPr="001D7170">
        <w:rPr>
          <w:sz w:val="22"/>
          <w:szCs w:val="22"/>
        </w:rPr>
        <w:t xml:space="preserve">Bandura's </w:t>
      </w:r>
      <w:r w:rsidR="00E546BB">
        <w:rPr>
          <w:sz w:val="22"/>
          <w:szCs w:val="22"/>
        </w:rPr>
        <w:t xml:space="preserve">(1997) </w:t>
      </w:r>
      <w:r w:rsidRPr="001D7170">
        <w:rPr>
          <w:sz w:val="22"/>
          <w:szCs w:val="22"/>
        </w:rPr>
        <w:t xml:space="preserve">theory of self-efficacy served as the theoretical framework for this </w:t>
      </w:r>
      <w:proofErr w:type="spellStart"/>
      <w:proofErr w:type="gramStart"/>
      <w:r w:rsidRPr="001D7170">
        <w:rPr>
          <w:sz w:val="22"/>
          <w:szCs w:val="22"/>
        </w:rPr>
        <w:t>study</w:t>
      </w:r>
      <w:r w:rsidR="00E546BB">
        <w:rPr>
          <w:sz w:val="22"/>
          <w:szCs w:val="22"/>
        </w:rPr>
        <w:t>.</w:t>
      </w:r>
      <w:r w:rsidRPr="001D7170">
        <w:rPr>
          <w:sz w:val="22"/>
          <w:szCs w:val="22"/>
        </w:rPr>
        <w:t>Self</w:t>
      </w:r>
      <w:proofErr w:type="spellEnd"/>
      <w:proofErr w:type="gramEnd"/>
      <w:r w:rsidRPr="001D7170">
        <w:rPr>
          <w:sz w:val="22"/>
          <w:szCs w:val="22"/>
        </w:rPr>
        <w:t>-efficacy is thinking about one's ability to complete a task and goals. This study evaluated SBAE teachers' perceived tools and equipment available to teach electricity. Self-efficacy in teachers can influence what they choose to include in lessons due to not being confident in the area for various reasons such as lack of tools. Teachers who lack self-efficacy in the concept of electricity may believe they lack the necessary tools to be efficient in the given subject.</w:t>
      </w:r>
    </w:p>
    <w:p w14:paraId="28D15676" w14:textId="7D277357" w:rsidR="00994E17" w:rsidRPr="001D7170" w:rsidRDefault="00F1663E" w:rsidP="00F1663E">
      <w:pPr>
        <w:jc w:val="center"/>
        <w:rPr>
          <w:b/>
          <w:bCs/>
          <w:sz w:val="22"/>
          <w:szCs w:val="22"/>
        </w:rPr>
      </w:pPr>
      <w:r w:rsidRPr="001D7170">
        <w:rPr>
          <w:b/>
          <w:bCs/>
          <w:sz w:val="22"/>
          <w:szCs w:val="22"/>
        </w:rPr>
        <w:t>Purpose and Objectives</w:t>
      </w:r>
    </w:p>
    <w:p w14:paraId="090CE010" w14:textId="340A73EF" w:rsidR="00FA59D4" w:rsidRPr="001D7170" w:rsidRDefault="00F1663E" w:rsidP="00FA59D4">
      <w:pPr>
        <w:ind w:left="-15" w:firstLine="721"/>
        <w:rPr>
          <w:sz w:val="22"/>
          <w:szCs w:val="22"/>
        </w:rPr>
      </w:pPr>
      <w:r w:rsidRPr="001D7170">
        <w:rPr>
          <w:sz w:val="22"/>
          <w:szCs w:val="22"/>
        </w:rPr>
        <w:t>The purpose of this study was to develop an understanding of the participating teachers' perception of tools and equipment available to teach electricity</w:t>
      </w:r>
      <w:r w:rsidR="002C6AB0" w:rsidRPr="001D7170">
        <w:rPr>
          <w:sz w:val="22"/>
          <w:szCs w:val="22"/>
        </w:rPr>
        <w:t xml:space="preserve">. </w:t>
      </w:r>
      <w:r w:rsidR="00FA59D4" w:rsidRPr="001D7170">
        <w:rPr>
          <w:sz w:val="22"/>
          <w:szCs w:val="22"/>
        </w:rPr>
        <w:t xml:space="preserve">To accomplish and guide this purpose, the </w:t>
      </w:r>
      <w:r w:rsidR="005D2A9B" w:rsidRPr="001D7170">
        <w:rPr>
          <w:sz w:val="22"/>
          <w:szCs w:val="22"/>
        </w:rPr>
        <w:t xml:space="preserve">objective </w:t>
      </w:r>
      <w:r w:rsidR="00F47BA2" w:rsidRPr="001D7170">
        <w:rPr>
          <w:sz w:val="22"/>
          <w:szCs w:val="22"/>
        </w:rPr>
        <w:t>was to</w:t>
      </w:r>
      <w:r w:rsidR="005D2A9B" w:rsidRPr="001D7170">
        <w:rPr>
          <w:sz w:val="22"/>
          <w:szCs w:val="22"/>
        </w:rPr>
        <w:t xml:space="preserve"> </w:t>
      </w:r>
      <w:r w:rsidR="00F47BA2" w:rsidRPr="001D7170">
        <w:rPr>
          <w:sz w:val="22"/>
          <w:szCs w:val="22"/>
        </w:rPr>
        <w:t>identify teachers</w:t>
      </w:r>
      <w:r w:rsidR="00C80AAA" w:rsidRPr="001D7170">
        <w:rPr>
          <w:sz w:val="22"/>
          <w:szCs w:val="22"/>
        </w:rPr>
        <w:t>' availability of tools and equipment used to teach</w:t>
      </w:r>
      <w:r w:rsidR="00FA59D4" w:rsidRPr="001D7170">
        <w:rPr>
          <w:sz w:val="22"/>
          <w:szCs w:val="22"/>
        </w:rPr>
        <w:t xml:space="preserve"> </w:t>
      </w:r>
      <w:r w:rsidR="00C80AAA" w:rsidRPr="001D7170">
        <w:rPr>
          <w:sz w:val="22"/>
          <w:szCs w:val="22"/>
        </w:rPr>
        <w:t xml:space="preserve">four </w:t>
      </w:r>
      <w:r w:rsidR="00E546BB">
        <w:rPr>
          <w:sz w:val="22"/>
          <w:szCs w:val="22"/>
        </w:rPr>
        <w:t xml:space="preserve">Alternating Current (AC) </w:t>
      </w:r>
      <w:r w:rsidR="00C80AAA" w:rsidRPr="001D7170">
        <w:rPr>
          <w:sz w:val="22"/>
          <w:szCs w:val="22"/>
        </w:rPr>
        <w:t xml:space="preserve">electrical </w:t>
      </w:r>
      <w:r w:rsidR="00E546BB">
        <w:rPr>
          <w:sz w:val="22"/>
          <w:szCs w:val="22"/>
        </w:rPr>
        <w:t>constructs</w:t>
      </w:r>
      <w:r w:rsidR="00C80AAA" w:rsidRPr="001D7170">
        <w:rPr>
          <w:sz w:val="22"/>
          <w:szCs w:val="22"/>
        </w:rPr>
        <w:t xml:space="preserve">. These electrical </w:t>
      </w:r>
      <w:r w:rsidR="00E546BB">
        <w:rPr>
          <w:sz w:val="22"/>
          <w:szCs w:val="22"/>
        </w:rPr>
        <w:t xml:space="preserve">constructs </w:t>
      </w:r>
      <w:r w:rsidR="00C80AAA" w:rsidRPr="001D7170">
        <w:rPr>
          <w:sz w:val="22"/>
          <w:szCs w:val="22"/>
        </w:rPr>
        <w:t>included safety organization and tools, receptacles and switches, making electrical connections, and electrical testing</w:t>
      </w:r>
      <w:r w:rsidR="00E546BB">
        <w:rPr>
          <w:sz w:val="22"/>
          <w:szCs w:val="22"/>
        </w:rPr>
        <w:t>.</w:t>
      </w:r>
    </w:p>
    <w:p w14:paraId="7481071D" w14:textId="72826659" w:rsidR="00F1663E" w:rsidRPr="001D7170" w:rsidRDefault="00B07025" w:rsidP="00B07025">
      <w:pPr>
        <w:jc w:val="center"/>
        <w:rPr>
          <w:b/>
          <w:bCs/>
          <w:sz w:val="22"/>
          <w:szCs w:val="22"/>
        </w:rPr>
      </w:pPr>
      <w:r w:rsidRPr="001D7170">
        <w:rPr>
          <w:b/>
          <w:bCs/>
          <w:sz w:val="22"/>
          <w:szCs w:val="22"/>
        </w:rPr>
        <w:t>Methods</w:t>
      </w:r>
    </w:p>
    <w:p w14:paraId="0FDE5FED" w14:textId="123C95CF" w:rsidR="008C3982" w:rsidRPr="001D7170" w:rsidRDefault="00B07025" w:rsidP="008C3982">
      <w:pPr>
        <w:spacing w:after="0"/>
        <w:ind w:left="-15" w:firstLine="721"/>
        <w:rPr>
          <w:sz w:val="22"/>
          <w:szCs w:val="22"/>
        </w:rPr>
      </w:pPr>
      <w:r w:rsidRPr="001D7170">
        <w:rPr>
          <w:sz w:val="22"/>
          <w:szCs w:val="22"/>
        </w:rPr>
        <w:t xml:space="preserve">A 12-hour electricity workshop was held at </w:t>
      </w:r>
      <w:r w:rsidR="001A7815">
        <w:rPr>
          <w:sz w:val="22"/>
          <w:szCs w:val="22"/>
        </w:rPr>
        <w:t xml:space="preserve">Texas </w:t>
      </w:r>
      <w:r w:rsidR="008E56D6">
        <w:rPr>
          <w:sz w:val="22"/>
          <w:szCs w:val="22"/>
        </w:rPr>
        <w:t>S</w:t>
      </w:r>
      <w:r w:rsidR="001A7815">
        <w:rPr>
          <w:sz w:val="22"/>
          <w:szCs w:val="22"/>
        </w:rPr>
        <w:t>tate</w:t>
      </w:r>
      <w:r w:rsidR="008E56D6">
        <w:rPr>
          <w:sz w:val="22"/>
          <w:szCs w:val="22"/>
        </w:rPr>
        <w:t xml:space="preserve"> University</w:t>
      </w:r>
      <w:r w:rsidRPr="001D7170">
        <w:rPr>
          <w:sz w:val="22"/>
          <w:szCs w:val="22"/>
        </w:rPr>
        <w:t xml:space="preserve"> with 80 SBAE teachers in attendance. The workshop comprised one and a half days of electrical training led by an agricultural education professor who specializes in agricultural mechanics. Researchers determined that a pre-test vs post-test would effectively determine the impact of this educational training. Respondents who attended the workshop were asked about their perceived perception of the tools and equipment available at their secondary institution to teach </w:t>
      </w:r>
      <w:r w:rsidR="00E546BB">
        <w:rPr>
          <w:sz w:val="22"/>
          <w:szCs w:val="22"/>
        </w:rPr>
        <w:t>electricity</w:t>
      </w:r>
      <w:r w:rsidRPr="001D7170">
        <w:rPr>
          <w:sz w:val="22"/>
          <w:szCs w:val="22"/>
        </w:rPr>
        <w:t xml:space="preserve">. </w:t>
      </w:r>
    </w:p>
    <w:p w14:paraId="586A86D9" w14:textId="072ACBF0" w:rsidR="008C3982" w:rsidRPr="001D7170" w:rsidRDefault="008C3982" w:rsidP="00BF1F36">
      <w:pPr>
        <w:spacing w:after="0"/>
        <w:jc w:val="center"/>
        <w:rPr>
          <w:sz w:val="22"/>
          <w:szCs w:val="22"/>
        </w:rPr>
      </w:pPr>
      <w:r w:rsidRPr="001D7170">
        <w:rPr>
          <w:b/>
          <w:bCs/>
          <w:color w:val="000000" w:themeColor="text1"/>
          <w:sz w:val="22"/>
          <w:szCs w:val="22"/>
        </w:rPr>
        <w:t>Results</w:t>
      </w:r>
    </w:p>
    <w:p w14:paraId="0D921784" w14:textId="63A72110" w:rsidR="001D7170" w:rsidRPr="008132DC" w:rsidRDefault="008132DC" w:rsidP="008132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2"/>
          <w:szCs w:val="22"/>
        </w:rPr>
      </w:pPr>
      <w:r>
        <w:rPr>
          <w:color w:val="000000" w:themeColor="text1"/>
          <w:sz w:val="22"/>
          <w:szCs w:val="22"/>
        </w:rPr>
        <w:tab/>
      </w:r>
      <w:r>
        <w:rPr>
          <w:color w:val="000000" w:themeColor="text1"/>
          <w:sz w:val="22"/>
          <w:szCs w:val="22"/>
        </w:rPr>
        <w:tab/>
      </w:r>
      <w:r w:rsidR="008C3982" w:rsidRPr="001D7170">
        <w:rPr>
          <w:color w:val="000000" w:themeColor="text1"/>
          <w:sz w:val="22"/>
          <w:szCs w:val="22"/>
        </w:rPr>
        <w:t>Upon workshop completion, our participants’ perceptions of the adequacy of tools and equipment at their respective schools increased in all four constructs. Receptacles &amp; Switches</w:t>
      </w:r>
      <w:r w:rsidR="008C3982" w:rsidRPr="001D7170">
        <w:rPr>
          <w:i/>
          <w:color w:val="000000" w:themeColor="text1"/>
          <w:sz w:val="22"/>
          <w:szCs w:val="22"/>
        </w:rPr>
        <w:t xml:space="preserve"> </w:t>
      </w:r>
      <w:r w:rsidR="008C3982" w:rsidRPr="001D7170">
        <w:rPr>
          <w:color w:val="000000" w:themeColor="text1"/>
          <w:sz w:val="22"/>
          <w:szCs w:val="22"/>
        </w:rPr>
        <w:t xml:space="preserve">saw the greatest increase in score for tools and equipment to teach electricity (MD=1.53) while Making Electrical Connections saw the </w:t>
      </w:r>
      <w:r w:rsidR="00E546BB">
        <w:rPr>
          <w:color w:val="000000" w:themeColor="text1"/>
          <w:sz w:val="22"/>
          <w:szCs w:val="22"/>
        </w:rPr>
        <w:t>smallest</w:t>
      </w:r>
      <w:r w:rsidR="00E546BB" w:rsidRPr="001D7170">
        <w:rPr>
          <w:color w:val="000000" w:themeColor="text1"/>
          <w:sz w:val="22"/>
          <w:szCs w:val="22"/>
        </w:rPr>
        <w:t xml:space="preserve"> </w:t>
      </w:r>
      <w:r w:rsidR="008C3982" w:rsidRPr="001D7170">
        <w:rPr>
          <w:color w:val="000000" w:themeColor="text1"/>
          <w:sz w:val="22"/>
          <w:szCs w:val="22"/>
        </w:rPr>
        <w:t>increase (MD=1.37)</w:t>
      </w:r>
      <w:r w:rsidR="008C3982" w:rsidRPr="001D7170">
        <w:rPr>
          <w:i/>
          <w:color w:val="000000" w:themeColor="text1"/>
          <w:sz w:val="22"/>
          <w:szCs w:val="22"/>
        </w:rPr>
        <w:t xml:space="preserve">. </w:t>
      </w:r>
      <w:r w:rsidR="008C3982" w:rsidRPr="001D7170">
        <w:rPr>
          <w:color w:val="000000" w:themeColor="text1"/>
          <w:sz w:val="22"/>
          <w:szCs w:val="22"/>
        </w:rPr>
        <w:t xml:space="preserve"> </w:t>
      </w:r>
      <w:r w:rsidRPr="00EC1376">
        <w:rPr>
          <w:sz w:val="22"/>
          <w:szCs w:val="22"/>
        </w:rPr>
        <w:t xml:space="preserve">A single-tailed t-test was conducted to determine if there was a statistically significant change for </w:t>
      </w:r>
      <w:r>
        <w:rPr>
          <w:sz w:val="22"/>
          <w:szCs w:val="22"/>
        </w:rPr>
        <w:t xml:space="preserve">all four </w:t>
      </w:r>
      <w:r w:rsidRPr="00EC1376">
        <w:rPr>
          <w:sz w:val="22"/>
          <w:szCs w:val="22"/>
        </w:rPr>
        <w:t xml:space="preserve">constructs. All </w:t>
      </w:r>
      <w:r w:rsidR="00E546BB">
        <w:rPr>
          <w:sz w:val="22"/>
          <w:szCs w:val="22"/>
        </w:rPr>
        <w:t>four</w:t>
      </w:r>
      <w:r w:rsidR="00E546BB" w:rsidRPr="00EC1376">
        <w:rPr>
          <w:sz w:val="22"/>
          <w:szCs w:val="22"/>
        </w:rPr>
        <w:t xml:space="preserve"> </w:t>
      </w:r>
      <w:r w:rsidRPr="00EC1376">
        <w:rPr>
          <w:sz w:val="22"/>
          <w:szCs w:val="22"/>
        </w:rPr>
        <w:t xml:space="preserve">constructs were statistically significant based on their p-values being “p = &lt;.001”, and all </w:t>
      </w:r>
      <w:r>
        <w:rPr>
          <w:sz w:val="22"/>
          <w:szCs w:val="22"/>
        </w:rPr>
        <w:t>four</w:t>
      </w:r>
      <w:r w:rsidRPr="00EC1376">
        <w:rPr>
          <w:sz w:val="22"/>
          <w:szCs w:val="22"/>
        </w:rPr>
        <w:t xml:space="preserve"> had a </w:t>
      </w:r>
      <w:r>
        <w:rPr>
          <w:sz w:val="22"/>
          <w:szCs w:val="22"/>
        </w:rPr>
        <w:t>large</w:t>
      </w:r>
      <w:r w:rsidRPr="00EC1376">
        <w:rPr>
          <w:sz w:val="22"/>
          <w:szCs w:val="22"/>
        </w:rPr>
        <w:t xml:space="preserve"> effect size (</w:t>
      </w:r>
      <w:r w:rsidRPr="00EC1376">
        <w:rPr>
          <w:i/>
          <w:iCs/>
          <w:sz w:val="22"/>
          <w:szCs w:val="22"/>
        </w:rPr>
        <w:t>d</w:t>
      </w:r>
      <w:r w:rsidRPr="00EC1376">
        <w:rPr>
          <w:sz w:val="22"/>
          <w:szCs w:val="22"/>
        </w:rPr>
        <w:t xml:space="preserve"> = </w:t>
      </w:r>
      <w:r>
        <w:rPr>
          <w:sz w:val="22"/>
          <w:szCs w:val="22"/>
        </w:rPr>
        <w:t>1</w:t>
      </w:r>
      <w:r w:rsidRPr="00EC1376">
        <w:rPr>
          <w:sz w:val="22"/>
          <w:szCs w:val="22"/>
        </w:rPr>
        <w:t>.4</w:t>
      </w:r>
      <w:r>
        <w:rPr>
          <w:sz w:val="22"/>
          <w:szCs w:val="22"/>
        </w:rPr>
        <w:t>3</w:t>
      </w:r>
      <w:r w:rsidRPr="00EC1376">
        <w:rPr>
          <w:sz w:val="22"/>
          <w:szCs w:val="22"/>
        </w:rPr>
        <w:t xml:space="preserve"> – </w:t>
      </w:r>
      <w:r>
        <w:rPr>
          <w:sz w:val="22"/>
          <w:szCs w:val="22"/>
        </w:rPr>
        <w:t>1</w:t>
      </w:r>
      <w:r w:rsidRPr="00EC1376">
        <w:rPr>
          <w:sz w:val="22"/>
          <w:szCs w:val="22"/>
        </w:rPr>
        <w:t>.</w:t>
      </w:r>
      <w:r>
        <w:rPr>
          <w:sz w:val="22"/>
          <w:szCs w:val="22"/>
        </w:rPr>
        <w:t>5</w:t>
      </w:r>
      <w:r w:rsidRPr="00EC1376">
        <w:rPr>
          <w:sz w:val="22"/>
          <w:szCs w:val="22"/>
        </w:rPr>
        <w:t>2)</w:t>
      </w:r>
      <w:r>
        <w:rPr>
          <w:sz w:val="22"/>
          <w:szCs w:val="22"/>
        </w:rPr>
        <w:t>.</w:t>
      </w:r>
    </w:p>
    <w:p w14:paraId="7EA0376D" w14:textId="3B3BB9B4" w:rsidR="00FF6AA4" w:rsidRPr="00BF1F36" w:rsidRDefault="00FF6AA4" w:rsidP="00B10A6F">
      <w:pPr>
        <w:pStyle w:val="Heading1"/>
        <w:spacing w:before="10" w:after="10"/>
        <w:ind w:right="18"/>
        <w:jc w:val="center"/>
        <w:rPr>
          <w:rFonts w:ascii="Times New Roman" w:hAnsi="Times New Roman" w:cs="Times New Roman"/>
          <w:b/>
          <w:bCs/>
          <w:color w:val="000000" w:themeColor="text1"/>
          <w:sz w:val="22"/>
          <w:szCs w:val="22"/>
        </w:rPr>
      </w:pPr>
      <w:r w:rsidRPr="00BF1F36">
        <w:rPr>
          <w:rFonts w:ascii="Times New Roman" w:hAnsi="Times New Roman" w:cs="Times New Roman"/>
          <w:b/>
          <w:bCs/>
          <w:color w:val="000000" w:themeColor="text1"/>
          <w:sz w:val="22"/>
          <w:szCs w:val="22"/>
        </w:rPr>
        <w:t>Conclusions and Recommendations</w:t>
      </w:r>
    </w:p>
    <w:p w14:paraId="09C409D4" w14:textId="2B3E52E6" w:rsidR="008C3982" w:rsidRPr="001D7170" w:rsidRDefault="00FF6AA4" w:rsidP="00FF6AA4">
      <w:pPr>
        <w:spacing w:after="187"/>
        <w:ind w:left="-15" w:firstLine="721"/>
        <w:rPr>
          <w:sz w:val="22"/>
          <w:szCs w:val="22"/>
        </w:rPr>
      </w:pPr>
      <w:r w:rsidRPr="001D7170">
        <w:rPr>
          <w:sz w:val="22"/>
          <w:szCs w:val="22"/>
        </w:rPr>
        <w:t xml:space="preserve"> Our results were </w:t>
      </w:r>
      <w:proofErr w:type="gramStart"/>
      <w:r w:rsidRPr="001D7170">
        <w:rPr>
          <w:sz w:val="22"/>
          <w:szCs w:val="22"/>
        </w:rPr>
        <w:t>similar to</w:t>
      </w:r>
      <w:proofErr w:type="gramEnd"/>
      <w:r w:rsidRPr="001D7170">
        <w:rPr>
          <w:sz w:val="22"/>
          <w:szCs w:val="22"/>
        </w:rPr>
        <w:t xml:space="preserve"> the findings of </w:t>
      </w:r>
      <w:r w:rsidR="00926541" w:rsidRPr="001D7170">
        <w:rPr>
          <w:sz w:val="22"/>
          <w:szCs w:val="22"/>
        </w:rPr>
        <w:t>McCubbin’s</w:t>
      </w:r>
      <w:r w:rsidRPr="001D7170">
        <w:rPr>
          <w:sz w:val="22"/>
          <w:szCs w:val="22"/>
        </w:rPr>
        <w:t xml:space="preserve"> et al. (2017), who recommended that SBAE teachers heavily benefited from attending a professional development workshop, which aided the perception of tools and equipment available in secondary institutions to teach </w:t>
      </w:r>
      <w:r w:rsidR="008F1D24" w:rsidRPr="001D7170">
        <w:rPr>
          <w:sz w:val="22"/>
          <w:szCs w:val="22"/>
        </w:rPr>
        <w:t>electricity</w:t>
      </w:r>
      <w:r w:rsidR="008F1D24">
        <w:rPr>
          <w:sz w:val="22"/>
          <w:szCs w:val="22"/>
        </w:rPr>
        <w:t>.</w:t>
      </w:r>
      <w:r w:rsidR="00CF2A08">
        <w:t xml:space="preserve"> Our results also supported Bandura's theory of self-efficacy through the idea that if educators do not possess positive self-efficacy in a particular area, they will typically avoid the subject when teaching</w:t>
      </w:r>
      <w:r w:rsidR="00BF1F36">
        <w:t>. We recommend that SBAE teachers continue attending professional development workshops to maintain content knowledge and improving self-efficacy in their lessons.</w:t>
      </w:r>
    </w:p>
    <w:p w14:paraId="0E651F32" w14:textId="77777777" w:rsidR="008C3982" w:rsidRDefault="008C3982" w:rsidP="00B07025">
      <w:pPr>
        <w:spacing w:after="197"/>
        <w:ind w:left="-15" w:firstLine="721"/>
      </w:pPr>
    </w:p>
    <w:p w14:paraId="429E0B32" w14:textId="60CEF2F2" w:rsidR="00EB4E0D" w:rsidRPr="008F1D24" w:rsidRDefault="00EB4E0D" w:rsidP="008F1D24">
      <w:pPr>
        <w:pStyle w:val="Heading1"/>
        <w:ind w:left="37" w:right="21"/>
        <w:jc w:val="center"/>
        <w:rPr>
          <w:rFonts w:ascii="Times New Roman" w:hAnsi="Times New Roman" w:cs="Times New Roman"/>
          <w:b/>
          <w:bCs/>
          <w:color w:val="000000" w:themeColor="text1"/>
          <w:sz w:val="22"/>
          <w:szCs w:val="22"/>
        </w:rPr>
      </w:pPr>
      <w:r w:rsidRPr="00EB4E0D">
        <w:rPr>
          <w:rFonts w:ascii="Times New Roman" w:hAnsi="Times New Roman" w:cs="Times New Roman"/>
          <w:b/>
          <w:bCs/>
          <w:color w:val="000000" w:themeColor="text1"/>
          <w:sz w:val="22"/>
          <w:szCs w:val="22"/>
        </w:rPr>
        <w:lastRenderedPageBreak/>
        <w:t>References</w:t>
      </w:r>
    </w:p>
    <w:p w14:paraId="5530661F" w14:textId="77777777" w:rsidR="00B14949" w:rsidRDefault="00B14949" w:rsidP="00017A5F">
      <w:pPr>
        <w:spacing w:after="0" w:line="240" w:lineRule="auto"/>
        <w:ind w:left="-5"/>
      </w:pPr>
      <w:r>
        <w:t xml:space="preserve">McCubbins, O., Anderson, R. G., Paulsen, T. H., &amp; Wells, T. (2016). Teacher-perceived </w:t>
      </w:r>
      <w:r>
        <w:rPr>
          <w:rFonts w:ascii="Aptos" w:eastAsia="Aptos" w:hAnsi="Aptos" w:cs="Aptos"/>
        </w:rPr>
        <w:t xml:space="preserve">  </w:t>
      </w:r>
    </w:p>
    <w:p w14:paraId="3CCAA108" w14:textId="77777777" w:rsidR="00B14949" w:rsidRDefault="00B14949" w:rsidP="00017A5F">
      <w:pPr>
        <w:tabs>
          <w:tab w:val="center" w:pos="3912"/>
          <w:tab w:val="center" w:pos="7924"/>
        </w:tabs>
        <w:spacing w:after="0" w:line="240" w:lineRule="auto"/>
        <w:ind w:left="-15" w:firstLine="0"/>
      </w:pPr>
      <w:r>
        <w:rPr>
          <w:rFonts w:ascii="Aptos" w:eastAsia="Aptos" w:hAnsi="Aptos" w:cs="Aptos"/>
        </w:rPr>
        <w:t xml:space="preserve"> </w:t>
      </w:r>
      <w:r>
        <w:rPr>
          <w:rFonts w:ascii="Aptos" w:eastAsia="Aptos" w:hAnsi="Aptos" w:cs="Aptos"/>
        </w:rPr>
        <w:tab/>
      </w:r>
      <w:r>
        <w:t xml:space="preserve">Adequacy of Tools and Equipment Available to Teach Agricultural </w:t>
      </w:r>
      <w:r>
        <w:rPr>
          <w:rFonts w:ascii="Aptos" w:eastAsia="Aptos" w:hAnsi="Aptos" w:cs="Aptos"/>
        </w:rPr>
        <w:t xml:space="preserve">  </w:t>
      </w:r>
      <w:r>
        <w:rPr>
          <w:rFonts w:ascii="Aptos" w:eastAsia="Aptos" w:hAnsi="Aptos" w:cs="Aptos"/>
        </w:rPr>
        <w:tab/>
        <w:t xml:space="preserve"> </w:t>
      </w:r>
    </w:p>
    <w:p w14:paraId="44908DB7" w14:textId="77777777" w:rsidR="00B14949" w:rsidRDefault="00B14949" w:rsidP="00017A5F">
      <w:pPr>
        <w:tabs>
          <w:tab w:val="center" w:pos="3589"/>
          <w:tab w:val="center" w:pos="7203"/>
          <w:tab w:val="center" w:pos="7924"/>
          <w:tab w:val="center" w:pos="8644"/>
        </w:tabs>
        <w:spacing w:after="0" w:line="240" w:lineRule="auto"/>
        <w:ind w:left="-15" w:firstLine="0"/>
      </w:pPr>
      <w:r>
        <w:rPr>
          <w:rFonts w:ascii="Aptos" w:eastAsia="Aptos" w:hAnsi="Aptos" w:cs="Aptos"/>
        </w:rPr>
        <w:t xml:space="preserve"> </w:t>
      </w:r>
      <w:r>
        <w:rPr>
          <w:rFonts w:ascii="Aptos" w:eastAsia="Aptos" w:hAnsi="Aptos" w:cs="Aptos"/>
        </w:rPr>
        <w:tab/>
      </w:r>
      <w:r>
        <w:t xml:space="preserve">Mechanics. </w:t>
      </w:r>
      <w:r>
        <w:rPr>
          <w:i/>
        </w:rPr>
        <w:t>Journal of Agriculture Education,</w:t>
      </w:r>
      <w:r>
        <w:t xml:space="preserve"> </w:t>
      </w:r>
      <w:r>
        <w:rPr>
          <w:i/>
        </w:rPr>
        <w:t>57</w:t>
      </w:r>
      <w:r>
        <w:t xml:space="preserve">, 223–236. </w:t>
      </w:r>
      <w:r>
        <w:rPr>
          <w:rFonts w:ascii="Aptos" w:eastAsia="Aptos" w:hAnsi="Aptos" w:cs="Aptos"/>
        </w:rPr>
        <w:t xml:space="preserve"> </w:t>
      </w:r>
      <w:r>
        <w:rPr>
          <w:rFonts w:ascii="Aptos" w:eastAsia="Aptos" w:hAnsi="Aptos" w:cs="Aptos"/>
        </w:rPr>
        <w:tab/>
        <w:t xml:space="preserve"> </w:t>
      </w:r>
      <w:r>
        <w:rPr>
          <w:rFonts w:ascii="Aptos" w:eastAsia="Aptos" w:hAnsi="Aptos" w:cs="Aptos"/>
        </w:rPr>
        <w:tab/>
        <w:t xml:space="preserve"> </w:t>
      </w:r>
      <w:r>
        <w:rPr>
          <w:rFonts w:ascii="Aptos" w:eastAsia="Aptos" w:hAnsi="Aptos" w:cs="Aptos"/>
        </w:rPr>
        <w:tab/>
        <w:t xml:space="preserve"> </w:t>
      </w:r>
    </w:p>
    <w:p w14:paraId="78998F33" w14:textId="77777777" w:rsidR="00B14949" w:rsidRDefault="00B14949" w:rsidP="00017A5F">
      <w:pPr>
        <w:tabs>
          <w:tab w:val="center" w:pos="3300"/>
        </w:tabs>
        <w:spacing w:after="0" w:line="240" w:lineRule="auto"/>
        <w:ind w:left="-15" w:firstLine="0"/>
      </w:pPr>
      <w:r>
        <w:rPr>
          <w:rFonts w:ascii="Aptos" w:eastAsia="Aptos" w:hAnsi="Aptos" w:cs="Aptos"/>
        </w:rPr>
        <w:t xml:space="preserve"> </w:t>
      </w:r>
      <w:r>
        <w:rPr>
          <w:rFonts w:ascii="Aptos" w:eastAsia="Aptos" w:hAnsi="Aptos" w:cs="Aptos"/>
        </w:rPr>
        <w:tab/>
      </w:r>
      <w:r>
        <w:t xml:space="preserve">https://doi.org/https://doi.org/10.5032/jae.2016.03223  </w:t>
      </w:r>
    </w:p>
    <w:p w14:paraId="65094DAB" w14:textId="77777777" w:rsidR="00E546BB" w:rsidRDefault="00E546BB" w:rsidP="00E546BB">
      <w:pPr>
        <w:spacing w:after="0" w:line="240" w:lineRule="auto"/>
        <w:ind w:left="0" w:right="664" w:firstLine="0"/>
        <w:jc w:val="both"/>
      </w:pPr>
    </w:p>
    <w:p w14:paraId="167D8C9F" w14:textId="77777777" w:rsidR="00E546BB" w:rsidRDefault="00B14949" w:rsidP="00E546BB">
      <w:pPr>
        <w:spacing w:after="0" w:line="240" w:lineRule="auto"/>
        <w:ind w:left="0" w:right="664" w:firstLine="0"/>
        <w:jc w:val="both"/>
      </w:pPr>
      <w:r>
        <w:t>McCubbins, O., Wells, T., Anderson, R. G., &amp; Paulsen, T. H. (2017). Examining the</w:t>
      </w:r>
    </w:p>
    <w:p w14:paraId="3617A30B" w14:textId="7499B916" w:rsidR="00B14949" w:rsidRDefault="00B14949" w:rsidP="00017A5F">
      <w:pPr>
        <w:spacing w:after="0" w:line="240" w:lineRule="auto"/>
        <w:ind w:left="720" w:right="664" w:firstLine="0"/>
        <w:jc w:val="both"/>
      </w:pPr>
      <w:r>
        <w:t xml:space="preserve">relationship between the perceived adequacy of tools and equipment and perceived </w:t>
      </w:r>
      <w:r>
        <w:rPr>
          <w:rFonts w:ascii="Aptos" w:eastAsia="Aptos" w:hAnsi="Aptos" w:cs="Aptos"/>
        </w:rPr>
        <w:t xml:space="preserve">  </w:t>
      </w:r>
      <w:r>
        <w:t xml:space="preserve">competency to teach agricultural mechanics. </w:t>
      </w:r>
      <w:r>
        <w:rPr>
          <w:i/>
        </w:rPr>
        <w:t xml:space="preserve">Journal of Agricultural </w:t>
      </w:r>
      <w:r>
        <w:rPr>
          <w:rFonts w:ascii="Aptos" w:eastAsia="Aptos" w:hAnsi="Aptos" w:cs="Aptos"/>
        </w:rPr>
        <w:t xml:space="preserve">  </w:t>
      </w:r>
    </w:p>
    <w:p w14:paraId="43D6BF14" w14:textId="77777777" w:rsidR="00B14949" w:rsidRDefault="00B14949" w:rsidP="00017A5F">
      <w:pPr>
        <w:tabs>
          <w:tab w:val="center" w:pos="3943"/>
        </w:tabs>
        <w:spacing w:after="0" w:line="240" w:lineRule="auto"/>
        <w:ind w:left="-15" w:firstLine="0"/>
      </w:pPr>
      <w:r>
        <w:rPr>
          <w:rFonts w:ascii="Aptos" w:eastAsia="Aptos" w:hAnsi="Aptos" w:cs="Aptos"/>
        </w:rPr>
        <w:t xml:space="preserve"> </w:t>
      </w:r>
      <w:r>
        <w:rPr>
          <w:rFonts w:ascii="Aptos" w:eastAsia="Aptos" w:hAnsi="Aptos" w:cs="Aptos"/>
        </w:rPr>
        <w:tab/>
      </w:r>
      <w:r>
        <w:rPr>
          <w:i/>
        </w:rPr>
        <w:t>Education</w:t>
      </w:r>
      <w:r>
        <w:t xml:space="preserve">, </w:t>
      </w:r>
      <w:r>
        <w:rPr>
          <w:i/>
        </w:rPr>
        <w:t>58</w:t>
      </w:r>
      <w:r>
        <w:t xml:space="preserve">(2), 268–283. https://doi.org/10.5032/jae.2017.02268  </w:t>
      </w:r>
    </w:p>
    <w:p w14:paraId="035FCCD7" w14:textId="77777777" w:rsidR="00E546BB" w:rsidRDefault="00E546BB" w:rsidP="00E546BB">
      <w:pPr>
        <w:spacing w:after="0" w:line="240" w:lineRule="auto"/>
        <w:ind w:left="-5" w:right="82"/>
      </w:pPr>
    </w:p>
    <w:p w14:paraId="1864B798" w14:textId="77777777" w:rsidR="00017A5F" w:rsidRDefault="00B14949" w:rsidP="00017A5F">
      <w:pPr>
        <w:spacing w:after="0" w:line="240" w:lineRule="auto"/>
        <w:ind w:left="-5" w:right="82"/>
      </w:pPr>
      <w:r>
        <w:t xml:space="preserve">Slusher, W. L., Robinson, J. S., &amp; Edwards, M. C. (2011). Assessing the animal science </w:t>
      </w:r>
      <w:r>
        <w:rPr>
          <w:rFonts w:ascii="Aptos" w:eastAsia="Aptos" w:hAnsi="Aptos" w:cs="Aptos"/>
        </w:rPr>
        <w:t xml:space="preserve">  </w:t>
      </w:r>
      <w:r w:rsidR="008F1D24">
        <w:rPr>
          <w:rFonts w:ascii="Aptos" w:eastAsia="Aptos" w:hAnsi="Aptos" w:cs="Aptos"/>
        </w:rPr>
        <w:tab/>
      </w:r>
      <w:r w:rsidR="008F1D24">
        <w:rPr>
          <w:rFonts w:ascii="Aptos" w:eastAsia="Aptos" w:hAnsi="Aptos" w:cs="Aptos"/>
        </w:rPr>
        <w:tab/>
      </w:r>
      <w:r>
        <w:rPr>
          <w:rFonts w:ascii="Aptos" w:eastAsia="Aptos" w:hAnsi="Aptos" w:cs="Aptos"/>
        </w:rPr>
        <w:t xml:space="preserve"> </w:t>
      </w:r>
      <w:r>
        <w:rPr>
          <w:rFonts w:ascii="Aptos" w:eastAsia="Aptos" w:hAnsi="Aptos" w:cs="Aptos"/>
        </w:rPr>
        <w:tab/>
      </w:r>
      <w:r>
        <w:t xml:space="preserve">technical skills needed by secondary agricultural education graduates for employment </w:t>
      </w:r>
      <w:r>
        <w:rPr>
          <w:rFonts w:ascii="Aptos" w:eastAsia="Aptos" w:hAnsi="Aptos" w:cs="Aptos"/>
        </w:rPr>
        <w:t xml:space="preserve">  </w:t>
      </w:r>
      <w:r w:rsidR="008F1D24">
        <w:rPr>
          <w:rFonts w:ascii="Aptos" w:eastAsia="Aptos" w:hAnsi="Aptos" w:cs="Aptos"/>
        </w:rPr>
        <w:tab/>
      </w:r>
      <w:r>
        <w:rPr>
          <w:rFonts w:ascii="Aptos" w:eastAsia="Aptos" w:hAnsi="Aptos" w:cs="Aptos"/>
        </w:rPr>
        <w:tab/>
      </w:r>
      <w:r>
        <w:t xml:space="preserve">in the Animal Industries: A modified Delphi Study. </w:t>
      </w:r>
      <w:r>
        <w:rPr>
          <w:i/>
        </w:rPr>
        <w:t>Journal of Agricultural Education</w:t>
      </w:r>
      <w:r>
        <w:t xml:space="preserve">, </w:t>
      </w:r>
    </w:p>
    <w:p w14:paraId="10CD20D5" w14:textId="3B3C6E6A" w:rsidR="00B14949" w:rsidRDefault="00B14949" w:rsidP="00017A5F">
      <w:pPr>
        <w:spacing w:after="0" w:line="240" w:lineRule="auto"/>
        <w:ind w:left="-5" w:right="82" w:firstLine="725"/>
      </w:pPr>
      <w:r>
        <w:rPr>
          <w:i/>
        </w:rPr>
        <w:t>52</w:t>
      </w:r>
      <w:r>
        <w:t xml:space="preserve">(2), 95–106. https://doi.org/10.5032/jae.2011.02095  </w:t>
      </w:r>
    </w:p>
    <w:p w14:paraId="54D3F520" w14:textId="77777777" w:rsidR="00B07025" w:rsidRPr="00B07025" w:rsidRDefault="00B07025" w:rsidP="00B07025">
      <w:pPr>
        <w:jc w:val="center"/>
        <w:rPr>
          <w:sz w:val="22"/>
          <w:szCs w:val="22"/>
        </w:rPr>
      </w:pPr>
    </w:p>
    <w:sectPr w:rsidR="00B07025" w:rsidRPr="00B07025">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CCE0D" w14:textId="77777777" w:rsidR="003D0404" w:rsidRDefault="003D0404" w:rsidP="005F1CF1">
      <w:pPr>
        <w:spacing w:after="0" w:line="240" w:lineRule="auto"/>
      </w:pPr>
      <w:r>
        <w:separator/>
      </w:r>
    </w:p>
  </w:endnote>
  <w:endnote w:type="continuationSeparator" w:id="0">
    <w:p w14:paraId="0B5E1AA1" w14:textId="77777777" w:rsidR="003D0404" w:rsidRDefault="003D0404" w:rsidP="005F1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F3766" w14:textId="77777777" w:rsidR="003D0404" w:rsidRDefault="003D0404" w:rsidP="005F1CF1">
      <w:pPr>
        <w:spacing w:after="0" w:line="240" w:lineRule="auto"/>
      </w:pPr>
      <w:r>
        <w:separator/>
      </w:r>
    </w:p>
  </w:footnote>
  <w:footnote w:type="continuationSeparator" w:id="0">
    <w:p w14:paraId="3E291BB7" w14:textId="77777777" w:rsidR="003D0404" w:rsidRDefault="003D0404" w:rsidP="005F1C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29DE2" w14:textId="492BBE9C" w:rsidR="005F1CF1" w:rsidRPr="00017A5F" w:rsidRDefault="00017A5F" w:rsidP="00017A5F">
    <w:pPr>
      <w:spacing w:after="199" w:line="259" w:lineRule="auto"/>
      <w:ind w:left="0" w:right="27" w:firstLine="0"/>
      <w:jc w:val="right"/>
      <w:rPr>
        <w:i/>
        <w:iCs/>
        <w:lang w:val="en-US"/>
      </w:rPr>
    </w:pPr>
    <w:r w:rsidRPr="00017A5F">
      <w:rPr>
        <w:i/>
        <w:iCs/>
        <w:lang w:val="en-US"/>
      </w:rPr>
      <w:t>Undergraduate Oral/Poster Research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FA5"/>
    <w:rsid w:val="00017A5F"/>
    <w:rsid w:val="000962EC"/>
    <w:rsid w:val="001A7815"/>
    <w:rsid w:val="001C34DC"/>
    <w:rsid w:val="001D7170"/>
    <w:rsid w:val="0027233E"/>
    <w:rsid w:val="002C6AB0"/>
    <w:rsid w:val="00310BF2"/>
    <w:rsid w:val="003D0404"/>
    <w:rsid w:val="00410B5A"/>
    <w:rsid w:val="004245C8"/>
    <w:rsid w:val="00547C4C"/>
    <w:rsid w:val="005D2A9B"/>
    <w:rsid w:val="005F1CF1"/>
    <w:rsid w:val="005F6B5B"/>
    <w:rsid w:val="007B3CEE"/>
    <w:rsid w:val="008132DC"/>
    <w:rsid w:val="008C3982"/>
    <w:rsid w:val="008C7E76"/>
    <w:rsid w:val="008E56D6"/>
    <w:rsid w:val="008F1D24"/>
    <w:rsid w:val="00926541"/>
    <w:rsid w:val="00994E17"/>
    <w:rsid w:val="00A57597"/>
    <w:rsid w:val="00B07025"/>
    <w:rsid w:val="00B10A6F"/>
    <w:rsid w:val="00B14949"/>
    <w:rsid w:val="00B14A17"/>
    <w:rsid w:val="00BF1F36"/>
    <w:rsid w:val="00C04FA5"/>
    <w:rsid w:val="00C15DAB"/>
    <w:rsid w:val="00C80AAA"/>
    <w:rsid w:val="00C872BF"/>
    <w:rsid w:val="00CB6A49"/>
    <w:rsid w:val="00CC70D7"/>
    <w:rsid w:val="00CF2A08"/>
    <w:rsid w:val="00D34D76"/>
    <w:rsid w:val="00E546BB"/>
    <w:rsid w:val="00EB4E0D"/>
    <w:rsid w:val="00F1663E"/>
    <w:rsid w:val="00F47BA2"/>
    <w:rsid w:val="00F95D34"/>
    <w:rsid w:val="00FA59D4"/>
    <w:rsid w:val="00FB023D"/>
    <w:rsid w:val="00FF6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82E89"/>
  <w15:chartTrackingRefBased/>
  <w15:docId w15:val="{24A8B4B6-043B-2747-B5D5-4C039D1DC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E76"/>
    <w:pPr>
      <w:spacing w:after="42" w:line="264" w:lineRule="auto"/>
      <w:ind w:left="10" w:hanging="10"/>
    </w:pPr>
    <w:rPr>
      <w:rFonts w:ascii="Times New Roman" w:eastAsia="Times New Roman" w:hAnsi="Times New Roman" w:cs="Times New Roman"/>
      <w:color w:val="000000"/>
      <w:lang w:val="en" w:eastAsia="en"/>
    </w:rPr>
  </w:style>
  <w:style w:type="paragraph" w:styleId="Heading1">
    <w:name w:val="heading 1"/>
    <w:basedOn w:val="Normal"/>
    <w:next w:val="Normal"/>
    <w:link w:val="Heading1Char"/>
    <w:uiPriority w:val="9"/>
    <w:qFormat/>
    <w:rsid w:val="00C04FA5"/>
    <w:pPr>
      <w:keepNext/>
      <w:keepLines/>
      <w:spacing w:before="360" w:after="80" w:line="278" w:lineRule="auto"/>
      <w:ind w:left="0" w:firstLine="0"/>
      <w:outlineLvl w:val="0"/>
    </w:pPr>
    <w:rPr>
      <w:rFonts w:asciiTheme="majorHAnsi" w:eastAsiaTheme="majorEastAsia" w:hAnsiTheme="majorHAnsi" w:cstheme="majorBidi"/>
      <w:color w:val="0F4761" w:themeColor="accent1" w:themeShade="BF"/>
      <w:sz w:val="40"/>
      <w:szCs w:val="40"/>
      <w:lang w:val="en-US" w:eastAsia="en-US"/>
    </w:rPr>
  </w:style>
  <w:style w:type="paragraph" w:styleId="Heading2">
    <w:name w:val="heading 2"/>
    <w:basedOn w:val="Normal"/>
    <w:next w:val="Normal"/>
    <w:link w:val="Heading2Char"/>
    <w:uiPriority w:val="9"/>
    <w:semiHidden/>
    <w:unhideWhenUsed/>
    <w:qFormat/>
    <w:rsid w:val="00C04FA5"/>
    <w:pPr>
      <w:keepNext/>
      <w:keepLines/>
      <w:spacing w:before="160" w:after="80" w:line="278" w:lineRule="auto"/>
      <w:ind w:left="0" w:firstLine="0"/>
      <w:outlineLvl w:val="1"/>
    </w:pPr>
    <w:rPr>
      <w:rFonts w:asciiTheme="majorHAnsi" w:eastAsiaTheme="majorEastAsia" w:hAnsiTheme="majorHAnsi" w:cstheme="majorBidi"/>
      <w:color w:val="0F4761" w:themeColor="accent1" w:themeShade="BF"/>
      <w:sz w:val="32"/>
      <w:szCs w:val="32"/>
      <w:lang w:val="en-US" w:eastAsia="en-US"/>
    </w:rPr>
  </w:style>
  <w:style w:type="paragraph" w:styleId="Heading3">
    <w:name w:val="heading 3"/>
    <w:basedOn w:val="Normal"/>
    <w:next w:val="Normal"/>
    <w:link w:val="Heading3Char"/>
    <w:uiPriority w:val="9"/>
    <w:semiHidden/>
    <w:unhideWhenUsed/>
    <w:qFormat/>
    <w:rsid w:val="00C04FA5"/>
    <w:pPr>
      <w:keepNext/>
      <w:keepLines/>
      <w:spacing w:before="160" w:after="80" w:line="278" w:lineRule="auto"/>
      <w:ind w:left="0" w:firstLine="0"/>
      <w:outlineLvl w:val="2"/>
    </w:pPr>
    <w:rPr>
      <w:rFonts w:asciiTheme="minorHAnsi" w:eastAsiaTheme="majorEastAsia" w:hAnsiTheme="minorHAnsi" w:cstheme="majorBidi"/>
      <w:color w:val="0F4761" w:themeColor="accent1" w:themeShade="BF"/>
      <w:sz w:val="28"/>
      <w:szCs w:val="28"/>
      <w:lang w:val="en-US" w:eastAsia="en-US"/>
    </w:rPr>
  </w:style>
  <w:style w:type="paragraph" w:styleId="Heading4">
    <w:name w:val="heading 4"/>
    <w:basedOn w:val="Normal"/>
    <w:next w:val="Normal"/>
    <w:link w:val="Heading4Char"/>
    <w:uiPriority w:val="9"/>
    <w:semiHidden/>
    <w:unhideWhenUsed/>
    <w:qFormat/>
    <w:rsid w:val="00C04FA5"/>
    <w:pPr>
      <w:keepNext/>
      <w:keepLines/>
      <w:spacing w:before="80" w:after="40" w:line="278" w:lineRule="auto"/>
      <w:ind w:left="0" w:firstLine="0"/>
      <w:outlineLvl w:val="3"/>
    </w:pPr>
    <w:rPr>
      <w:rFonts w:asciiTheme="minorHAnsi" w:eastAsiaTheme="majorEastAsia" w:hAnsiTheme="minorHAnsi" w:cstheme="majorBidi"/>
      <w:i/>
      <w:iCs/>
      <w:color w:val="0F4761" w:themeColor="accent1" w:themeShade="BF"/>
      <w:lang w:val="en-US" w:eastAsia="en-US"/>
    </w:rPr>
  </w:style>
  <w:style w:type="paragraph" w:styleId="Heading5">
    <w:name w:val="heading 5"/>
    <w:basedOn w:val="Normal"/>
    <w:next w:val="Normal"/>
    <w:link w:val="Heading5Char"/>
    <w:uiPriority w:val="9"/>
    <w:semiHidden/>
    <w:unhideWhenUsed/>
    <w:qFormat/>
    <w:rsid w:val="00C04FA5"/>
    <w:pPr>
      <w:keepNext/>
      <w:keepLines/>
      <w:spacing w:before="80" w:after="40" w:line="278" w:lineRule="auto"/>
      <w:ind w:left="0" w:firstLine="0"/>
      <w:outlineLvl w:val="4"/>
    </w:pPr>
    <w:rPr>
      <w:rFonts w:asciiTheme="minorHAnsi" w:eastAsiaTheme="majorEastAsia" w:hAnsiTheme="minorHAnsi" w:cstheme="majorBidi"/>
      <w:color w:val="0F4761" w:themeColor="accent1" w:themeShade="BF"/>
      <w:lang w:val="en-US" w:eastAsia="en-US"/>
    </w:rPr>
  </w:style>
  <w:style w:type="paragraph" w:styleId="Heading6">
    <w:name w:val="heading 6"/>
    <w:basedOn w:val="Normal"/>
    <w:next w:val="Normal"/>
    <w:link w:val="Heading6Char"/>
    <w:uiPriority w:val="9"/>
    <w:semiHidden/>
    <w:unhideWhenUsed/>
    <w:qFormat/>
    <w:rsid w:val="00C04FA5"/>
    <w:pPr>
      <w:keepNext/>
      <w:keepLines/>
      <w:spacing w:before="40" w:after="0" w:line="278" w:lineRule="auto"/>
      <w:ind w:left="0" w:firstLine="0"/>
      <w:outlineLvl w:val="5"/>
    </w:pPr>
    <w:rPr>
      <w:rFonts w:asciiTheme="minorHAnsi" w:eastAsiaTheme="majorEastAsia" w:hAnsiTheme="minorHAnsi" w:cstheme="majorBidi"/>
      <w:i/>
      <w:iCs/>
      <w:color w:val="595959" w:themeColor="text1" w:themeTint="A6"/>
      <w:lang w:val="en-US" w:eastAsia="en-US"/>
    </w:rPr>
  </w:style>
  <w:style w:type="paragraph" w:styleId="Heading7">
    <w:name w:val="heading 7"/>
    <w:basedOn w:val="Normal"/>
    <w:next w:val="Normal"/>
    <w:link w:val="Heading7Char"/>
    <w:uiPriority w:val="9"/>
    <w:semiHidden/>
    <w:unhideWhenUsed/>
    <w:qFormat/>
    <w:rsid w:val="00C04FA5"/>
    <w:pPr>
      <w:keepNext/>
      <w:keepLines/>
      <w:spacing w:before="40" w:after="0" w:line="278" w:lineRule="auto"/>
      <w:ind w:left="0" w:firstLine="0"/>
      <w:outlineLvl w:val="6"/>
    </w:pPr>
    <w:rPr>
      <w:rFonts w:asciiTheme="minorHAnsi" w:eastAsiaTheme="majorEastAsia" w:hAnsiTheme="minorHAnsi" w:cstheme="majorBidi"/>
      <w:color w:val="595959" w:themeColor="text1" w:themeTint="A6"/>
      <w:lang w:val="en-US" w:eastAsia="en-US"/>
    </w:rPr>
  </w:style>
  <w:style w:type="paragraph" w:styleId="Heading8">
    <w:name w:val="heading 8"/>
    <w:basedOn w:val="Normal"/>
    <w:next w:val="Normal"/>
    <w:link w:val="Heading8Char"/>
    <w:uiPriority w:val="9"/>
    <w:semiHidden/>
    <w:unhideWhenUsed/>
    <w:qFormat/>
    <w:rsid w:val="00C04FA5"/>
    <w:pPr>
      <w:keepNext/>
      <w:keepLines/>
      <w:spacing w:after="0" w:line="278" w:lineRule="auto"/>
      <w:ind w:left="0" w:firstLine="0"/>
      <w:outlineLvl w:val="7"/>
    </w:pPr>
    <w:rPr>
      <w:rFonts w:asciiTheme="minorHAnsi" w:eastAsiaTheme="majorEastAsia" w:hAnsiTheme="minorHAnsi" w:cstheme="majorBidi"/>
      <w:i/>
      <w:iCs/>
      <w:color w:val="272727" w:themeColor="text1" w:themeTint="D8"/>
      <w:lang w:val="en-US" w:eastAsia="en-US"/>
    </w:rPr>
  </w:style>
  <w:style w:type="paragraph" w:styleId="Heading9">
    <w:name w:val="heading 9"/>
    <w:basedOn w:val="Normal"/>
    <w:next w:val="Normal"/>
    <w:link w:val="Heading9Char"/>
    <w:uiPriority w:val="9"/>
    <w:semiHidden/>
    <w:unhideWhenUsed/>
    <w:qFormat/>
    <w:rsid w:val="00C04FA5"/>
    <w:pPr>
      <w:keepNext/>
      <w:keepLines/>
      <w:spacing w:after="0" w:line="278" w:lineRule="auto"/>
      <w:ind w:left="0" w:firstLine="0"/>
      <w:outlineLvl w:val="8"/>
    </w:pPr>
    <w:rPr>
      <w:rFonts w:asciiTheme="minorHAnsi" w:eastAsiaTheme="majorEastAsia" w:hAnsiTheme="minorHAnsi" w:cstheme="majorBidi"/>
      <w:color w:val="272727" w:themeColor="text1" w:themeTint="D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F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4F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4F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4F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4F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4F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4F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4F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4FA5"/>
    <w:rPr>
      <w:rFonts w:eastAsiaTheme="majorEastAsia" w:cstheme="majorBidi"/>
      <w:color w:val="272727" w:themeColor="text1" w:themeTint="D8"/>
    </w:rPr>
  </w:style>
  <w:style w:type="paragraph" w:styleId="Title">
    <w:name w:val="Title"/>
    <w:basedOn w:val="Normal"/>
    <w:next w:val="Normal"/>
    <w:link w:val="TitleChar"/>
    <w:uiPriority w:val="10"/>
    <w:qFormat/>
    <w:rsid w:val="00C04FA5"/>
    <w:pPr>
      <w:spacing w:after="80" w:line="240" w:lineRule="auto"/>
      <w:ind w:left="0" w:firstLine="0"/>
      <w:contextualSpacing/>
    </w:pPr>
    <w:rPr>
      <w:rFonts w:asciiTheme="majorHAnsi" w:eastAsiaTheme="majorEastAsia" w:hAnsiTheme="majorHAnsi" w:cstheme="majorBidi"/>
      <w:color w:val="auto"/>
      <w:spacing w:val="-10"/>
      <w:kern w:val="28"/>
      <w:sz w:val="56"/>
      <w:szCs w:val="56"/>
      <w:lang w:val="en-US" w:eastAsia="en-US"/>
    </w:rPr>
  </w:style>
  <w:style w:type="character" w:customStyle="1" w:styleId="TitleChar">
    <w:name w:val="Title Char"/>
    <w:basedOn w:val="DefaultParagraphFont"/>
    <w:link w:val="Title"/>
    <w:uiPriority w:val="10"/>
    <w:rsid w:val="00C04F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4FA5"/>
    <w:pPr>
      <w:numPr>
        <w:ilvl w:val="1"/>
      </w:numPr>
      <w:spacing w:after="160" w:line="278" w:lineRule="auto"/>
      <w:ind w:left="10" w:hanging="10"/>
    </w:pPr>
    <w:rPr>
      <w:rFonts w:asciiTheme="minorHAnsi" w:eastAsiaTheme="majorEastAsia" w:hAnsiTheme="minorHAnsi" w:cstheme="majorBidi"/>
      <w:color w:val="595959" w:themeColor="text1" w:themeTint="A6"/>
      <w:spacing w:val="15"/>
      <w:sz w:val="28"/>
      <w:szCs w:val="28"/>
      <w:lang w:val="en-US" w:eastAsia="en-US"/>
    </w:rPr>
  </w:style>
  <w:style w:type="character" w:customStyle="1" w:styleId="SubtitleChar">
    <w:name w:val="Subtitle Char"/>
    <w:basedOn w:val="DefaultParagraphFont"/>
    <w:link w:val="Subtitle"/>
    <w:uiPriority w:val="11"/>
    <w:rsid w:val="00C04F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4FA5"/>
    <w:pPr>
      <w:spacing w:before="160" w:after="160" w:line="278" w:lineRule="auto"/>
      <w:ind w:left="0" w:firstLine="0"/>
      <w:jc w:val="center"/>
    </w:pPr>
    <w:rPr>
      <w:rFonts w:asciiTheme="minorHAnsi" w:eastAsiaTheme="minorHAnsi" w:hAnsiTheme="minorHAnsi" w:cstheme="minorBidi"/>
      <w:i/>
      <w:iCs/>
      <w:color w:val="404040" w:themeColor="text1" w:themeTint="BF"/>
      <w:lang w:val="en-US" w:eastAsia="en-US"/>
    </w:rPr>
  </w:style>
  <w:style w:type="character" w:customStyle="1" w:styleId="QuoteChar">
    <w:name w:val="Quote Char"/>
    <w:basedOn w:val="DefaultParagraphFont"/>
    <w:link w:val="Quote"/>
    <w:uiPriority w:val="29"/>
    <w:rsid w:val="00C04FA5"/>
    <w:rPr>
      <w:i/>
      <w:iCs/>
      <w:color w:val="404040" w:themeColor="text1" w:themeTint="BF"/>
    </w:rPr>
  </w:style>
  <w:style w:type="paragraph" w:styleId="ListParagraph">
    <w:name w:val="List Paragraph"/>
    <w:basedOn w:val="Normal"/>
    <w:uiPriority w:val="34"/>
    <w:qFormat/>
    <w:rsid w:val="00C04FA5"/>
    <w:pPr>
      <w:spacing w:after="160" w:line="278" w:lineRule="auto"/>
      <w:ind w:left="720" w:firstLine="0"/>
      <w:contextualSpacing/>
    </w:pPr>
    <w:rPr>
      <w:rFonts w:asciiTheme="minorHAnsi" w:eastAsiaTheme="minorHAnsi" w:hAnsiTheme="minorHAnsi" w:cstheme="minorBidi"/>
      <w:color w:val="auto"/>
      <w:lang w:val="en-US" w:eastAsia="en-US"/>
    </w:rPr>
  </w:style>
  <w:style w:type="character" w:styleId="IntenseEmphasis">
    <w:name w:val="Intense Emphasis"/>
    <w:basedOn w:val="DefaultParagraphFont"/>
    <w:uiPriority w:val="21"/>
    <w:qFormat/>
    <w:rsid w:val="00C04FA5"/>
    <w:rPr>
      <w:i/>
      <w:iCs/>
      <w:color w:val="0F4761" w:themeColor="accent1" w:themeShade="BF"/>
    </w:rPr>
  </w:style>
  <w:style w:type="paragraph" w:styleId="IntenseQuote">
    <w:name w:val="Intense Quote"/>
    <w:basedOn w:val="Normal"/>
    <w:next w:val="Normal"/>
    <w:link w:val="IntenseQuoteChar"/>
    <w:uiPriority w:val="30"/>
    <w:qFormat/>
    <w:rsid w:val="00C04FA5"/>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lang w:val="en-US" w:eastAsia="en-US"/>
    </w:rPr>
  </w:style>
  <w:style w:type="character" w:customStyle="1" w:styleId="IntenseQuoteChar">
    <w:name w:val="Intense Quote Char"/>
    <w:basedOn w:val="DefaultParagraphFont"/>
    <w:link w:val="IntenseQuote"/>
    <w:uiPriority w:val="30"/>
    <w:rsid w:val="00C04FA5"/>
    <w:rPr>
      <w:i/>
      <w:iCs/>
      <w:color w:val="0F4761" w:themeColor="accent1" w:themeShade="BF"/>
    </w:rPr>
  </w:style>
  <w:style w:type="character" w:styleId="IntenseReference">
    <w:name w:val="Intense Reference"/>
    <w:basedOn w:val="DefaultParagraphFont"/>
    <w:uiPriority w:val="32"/>
    <w:qFormat/>
    <w:rsid w:val="00C04FA5"/>
    <w:rPr>
      <w:b/>
      <w:bCs/>
      <w:smallCaps/>
      <w:color w:val="0F4761" w:themeColor="accent1" w:themeShade="BF"/>
      <w:spacing w:val="5"/>
    </w:rPr>
  </w:style>
  <w:style w:type="table" w:customStyle="1" w:styleId="TableGrid">
    <w:name w:val="TableGrid"/>
    <w:rsid w:val="005D2A9B"/>
    <w:pPr>
      <w:spacing w:after="0" w:line="240" w:lineRule="auto"/>
    </w:pPr>
    <w:rPr>
      <w:rFonts w:eastAsiaTheme="minorEastAsia"/>
    </w:rPr>
    <w:tblPr>
      <w:tblCellMar>
        <w:top w:w="0" w:type="dxa"/>
        <w:left w:w="0" w:type="dxa"/>
        <w:bottom w:w="0" w:type="dxa"/>
        <w:right w:w="0" w:type="dxa"/>
      </w:tblCellMar>
    </w:tblPr>
  </w:style>
  <w:style w:type="paragraph" w:styleId="Header">
    <w:name w:val="header"/>
    <w:basedOn w:val="Normal"/>
    <w:link w:val="HeaderChar"/>
    <w:uiPriority w:val="99"/>
    <w:unhideWhenUsed/>
    <w:rsid w:val="005F1C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1CF1"/>
    <w:rPr>
      <w:rFonts w:ascii="Times New Roman" w:eastAsia="Times New Roman" w:hAnsi="Times New Roman" w:cs="Times New Roman"/>
      <w:color w:val="000000"/>
      <w:lang w:val="en" w:eastAsia="en"/>
    </w:rPr>
  </w:style>
  <w:style w:type="paragraph" w:styleId="Footer">
    <w:name w:val="footer"/>
    <w:basedOn w:val="Normal"/>
    <w:link w:val="FooterChar"/>
    <w:uiPriority w:val="99"/>
    <w:unhideWhenUsed/>
    <w:rsid w:val="005F1C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1CF1"/>
    <w:rPr>
      <w:rFonts w:ascii="Times New Roman" w:eastAsia="Times New Roman" w:hAnsi="Times New Roman" w:cs="Times New Roman"/>
      <w:color w:val="000000"/>
      <w:lang w:val="en" w:eastAsia="en"/>
    </w:rPr>
  </w:style>
  <w:style w:type="paragraph" w:styleId="Revision">
    <w:name w:val="Revision"/>
    <w:hidden/>
    <w:uiPriority w:val="99"/>
    <w:semiHidden/>
    <w:rsid w:val="00E546BB"/>
    <w:pPr>
      <w:spacing w:after="0" w:line="240" w:lineRule="auto"/>
    </w:pPr>
    <w:rPr>
      <w:rFonts w:ascii="Times New Roman" w:eastAsia="Times New Roman" w:hAnsi="Times New Roman" w:cs="Times New Roman"/>
      <w:color w:val="000000"/>
      <w:lang w:val="en" w:eastAsia="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775</Words>
  <Characters>4420</Characters>
  <Application>Microsoft Office Word</Application>
  <DocSecurity>0</DocSecurity>
  <Lines>36</Lines>
  <Paragraphs>10</Paragraphs>
  <ScaleCrop>false</ScaleCrop>
  <Company/>
  <LinksUpToDate>false</LinksUpToDate>
  <CharactersWithSpaces>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Massey, Molly K</dc:creator>
  <cp:keywords/>
  <dc:description/>
  <cp:lastModifiedBy>Anderson, Ryan G</cp:lastModifiedBy>
  <cp:revision>2</cp:revision>
  <dcterms:created xsi:type="dcterms:W3CDTF">2025-10-17T02:09:00Z</dcterms:created>
  <dcterms:modified xsi:type="dcterms:W3CDTF">2025-10-17T02:09:00Z</dcterms:modified>
</cp:coreProperties>
</file>