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483A3" w14:textId="77777777" w:rsidR="00D41AB4" w:rsidRDefault="00D41AB4" w:rsidP="00F707E9">
      <w:pPr>
        <w:spacing w:after="0" w:line="240" w:lineRule="auto"/>
        <w:jc w:val="center"/>
        <w:rPr>
          <w:rFonts w:ascii="Times New Roman" w:hAnsi="Times New Roman" w:cs="Times New Roman"/>
          <w:b/>
          <w:bCs/>
        </w:rPr>
      </w:pPr>
    </w:p>
    <w:p w14:paraId="34664D74" w14:textId="77777777" w:rsidR="00D41AB4" w:rsidRDefault="00D41AB4" w:rsidP="00F707E9">
      <w:pPr>
        <w:spacing w:after="0" w:line="240" w:lineRule="auto"/>
        <w:jc w:val="center"/>
        <w:rPr>
          <w:rFonts w:ascii="Times New Roman" w:hAnsi="Times New Roman" w:cs="Times New Roman"/>
          <w:b/>
          <w:bCs/>
        </w:rPr>
      </w:pPr>
    </w:p>
    <w:p w14:paraId="0E2A093B" w14:textId="77777777" w:rsidR="00D41AB4" w:rsidRDefault="00D41AB4" w:rsidP="00F707E9">
      <w:pPr>
        <w:spacing w:after="0" w:line="240" w:lineRule="auto"/>
        <w:jc w:val="center"/>
        <w:rPr>
          <w:rFonts w:ascii="Times New Roman" w:hAnsi="Times New Roman" w:cs="Times New Roman"/>
          <w:b/>
          <w:bCs/>
        </w:rPr>
      </w:pPr>
    </w:p>
    <w:p w14:paraId="066F296E" w14:textId="77777777" w:rsidR="00D41AB4" w:rsidRDefault="00D41AB4" w:rsidP="00F707E9">
      <w:pPr>
        <w:spacing w:after="0" w:line="240" w:lineRule="auto"/>
        <w:jc w:val="center"/>
        <w:rPr>
          <w:rFonts w:ascii="Times New Roman" w:hAnsi="Times New Roman" w:cs="Times New Roman"/>
          <w:b/>
          <w:bCs/>
        </w:rPr>
      </w:pPr>
    </w:p>
    <w:p w14:paraId="7C74FE6E" w14:textId="77777777" w:rsidR="00D41AB4" w:rsidRDefault="00D41AB4" w:rsidP="00F707E9">
      <w:pPr>
        <w:spacing w:after="0" w:line="240" w:lineRule="auto"/>
        <w:jc w:val="center"/>
        <w:rPr>
          <w:rFonts w:ascii="Times New Roman" w:hAnsi="Times New Roman" w:cs="Times New Roman"/>
          <w:b/>
          <w:bCs/>
        </w:rPr>
      </w:pPr>
    </w:p>
    <w:p w14:paraId="6C762F51" w14:textId="77777777" w:rsidR="00D41AB4" w:rsidRDefault="00D41AB4" w:rsidP="00F707E9">
      <w:pPr>
        <w:spacing w:after="0" w:line="240" w:lineRule="auto"/>
        <w:jc w:val="center"/>
        <w:rPr>
          <w:rFonts w:ascii="Times New Roman" w:hAnsi="Times New Roman" w:cs="Times New Roman"/>
          <w:b/>
          <w:bCs/>
        </w:rPr>
      </w:pPr>
    </w:p>
    <w:p w14:paraId="25505A58" w14:textId="77777777" w:rsidR="00D41AB4" w:rsidRDefault="00D41AB4" w:rsidP="00F707E9">
      <w:pPr>
        <w:spacing w:after="0" w:line="240" w:lineRule="auto"/>
        <w:jc w:val="center"/>
        <w:rPr>
          <w:rFonts w:ascii="Times New Roman" w:hAnsi="Times New Roman" w:cs="Times New Roman"/>
          <w:b/>
          <w:bCs/>
        </w:rPr>
      </w:pPr>
    </w:p>
    <w:p w14:paraId="114416A1" w14:textId="77777777" w:rsidR="00D41AB4" w:rsidRDefault="00D41AB4" w:rsidP="00F707E9">
      <w:pPr>
        <w:spacing w:after="0" w:line="240" w:lineRule="auto"/>
        <w:jc w:val="center"/>
        <w:rPr>
          <w:rFonts w:ascii="Times New Roman" w:hAnsi="Times New Roman" w:cs="Times New Roman"/>
          <w:b/>
          <w:bCs/>
        </w:rPr>
      </w:pPr>
    </w:p>
    <w:p w14:paraId="31491E95" w14:textId="77777777" w:rsidR="00D41AB4" w:rsidRDefault="00D41AB4" w:rsidP="00F707E9">
      <w:pPr>
        <w:spacing w:after="0" w:line="240" w:lineRule="auto"/>
        <w:jc w:val="center"/>
        <w:rPr>
          <w:rFonts w:ascii="Times New Roman" w:hAnsi="Times New Roman" w:cs="Times New Roman"/>
          <w:b/>
          <w:bCs/>
        </w:rPr>
      </w:pPr>
    </w:p>
    <w:p w14:paraId="3AE6146D" w14:textId="77777777" w:rsidR="00D41AB4" w:rsidRDefault="00D41AB4" w:rsidP="00F707E9">
      <w:pPr>
        <w:spacing w:after="0" w:line="240" w:lineRule="auto"/>
        <w:jc w:val="center"/>
        <w:rPr>
          <w:rFonts w:ascii="Times New Roman" w:hAnsi="Times New Roman" w:cs="Times New Roman"/>
          <w:b/>
          <w:bCs/>
        </w:rPr>
      </w:pPr>
    </w:p>
    <w:p w14:paraId="527A1195" w14:textId="77777777" w:rsidR="00D41AB4" w:rsidRDefault="00D41AB4" w:rsidP="00F707E9">
      <w:pPr>
        <w:spacing w:after="0" w:line="240" w:lineRule="auto"/>
        <w:jc w:val="center"/>
        <w:rPr>
          <w:rFonts w:ascii="Times New Roman" w:hAnsi="Times New Roman" w:cs="Times New Roman"/>
          <w:b/>
          <w:bCs/>
        </w:rPr>
      </w:pPr>
    </w:p>
    <w:p w14:paraId="3E5F3587" w14:textId="77777777" w:rsidR="00D41AB4" w:rsidRDefault="00D41AB4" w:rsidP="00F707E9">
      <w:pPr>
        <w:spacing w:after="0" w:line="240" w:lineRule="auto"/>
        <w:jc w:val="center"/>
        <w:rPr>
          <w:rFonts w:ascii="Times New Roman" w:hAnsi="Times New Roman" w:cs="Times New Roman"/>
          <w:b/>
          <w:bCs/>
        </w:rPr>
      </w:pPr>
    </w:p>
    <w:p w14:paraId="29CAF648" w14:textId="77777777" w:rsidR="00D41AB4" w:rsidRDefault="00D41AB4" w:rsidP="00F707E9">
      <w:pPr>
        <w:spacing w:after="0" w:line="240" w:lineRule="auto"/>
        <w:jc w:val="center"/>
        <w:rPr>
          <w:rFonts w:ascii="Times New Roman" w:hAnsi="Times New Roman" w:cs="Times New Roman"/>
          <w:b/>
          <w:bCs/>
        </w:rPr>
      </w:pPr>
    </w:p>
    <w:p w14:paraId="22039E37" w14:textId="77777777" w:rsidR="00D41AB4" w:rsidRDefault="00D41AB4" w:rsidP="00F707E9">
      <w:pPr>
        <w:spacing w:after="0" w:line="240" w:lineRule="auto"/>
        <w:jc w:val="center"/>
        <w:rPr>
          <w:rFonts w:ascii="Times New Roman" w:hAnsi="Times New Roman" w:cs="Times New Roman"/>
          <w:b/>
          <w:bCs/>
        </w:rPr>
      </w:pPr>
    </w:p>
    <w:p w14:paraId="5172A45D" w14:textId="77777777" w:rsidR="00D41AB4" w:rsidRDefault="00D41AB4" w:rsidP="00F707E9">
      <w:pPr>
        <w:spacing w:after="0" w:line="240" w:lineRule="auto"/>
        <w:jc w:val="center"/>
        <w:rPr>
          <w:rFonts w:ascii="Times New Roman" w:hAnsi="Times New Roman" w:cs="Times New Roman"/>
          <w:b/>
          <w:bCs/>
        </w:rPr>
      </w:pPr>
    </w:p>
    <w:p w14:paraId="5FEF133E" w14:textId="77777777" w:rsidR="00D41AB4" w:rsidRDefault="00D41AB4" w:rsidP="00F707E9">
      <w:pPr>
        <w:spacing w:after="0" w:line="240" w:lineRule="auto"/>
        <w:jc w:val="center"/>
        <w:rPr>
          <w:rFonts w:ascii="Times New Roman" w:hAnsi="Times New Roman" w:cs="Times New Roman"/>
          <w:b/>
          <w:bCs/>
        </w:rPr>
      </w:pPr>
    </w:p>
    <w:p w14:paraId="403FD229" w14:textId="77777777" w:rsidR="00D41AB4" w:rsidRDefault="00D41AB4" w:rsidP="00F707E9">
      <w:pPr>
        <w:spacing w:after="0" w:line="240" w:lineRule="auto"/>
        <w:jc w:val="center"/>
        <w:rPr>
          <w:rFonts w:ascii="Times New Roman" w:hAnsi="Times New Roman" w:cs="Times New Roman"/>
          <w:b/>
          <w:bCs/>
        </w:rPr>
      </w:pPr>
    </w:p>
    <w:p w14:paraId="2E1FEBE8" w14:textId="16A69F90" w:rsidR="00F707E9" w:rsidRDefault="00F707E9" w:rsidP="00F707E9">
      <w:pPr>
        <w:spacing w:after="0" w:line="240" w:lineRule="auto"/>
        <w:jc w:val="center"/>
        <w:rPr>
          <w:rFonts w:ascii="Times New Roman" w:hAnsi="Times New Roman" w:cs="Times New Roman"/>
          <w:b/>
          <w:bCs/>
        </w:rPr>
      </w:pPr>
      <w:r w:rsidRPr="00F707E9">
        <w:rPr>
          <w:rFonts w:ascii="Times New Roman" w:hAnsi="Times New Roman" w:cs="Times New Roman"/>
          <w:b/>
          <w:bCs/>
        </w:rPr>
        <w:t>Investigating the Effects of a Small Gas Engine Workshop on SBAE Educators’ Perceived Ability to Teach Small Gas Engines</w:t>
      </w:r>
    </w:p>
    <w:p w14:paraId="2A04FCCB" w14:textId="77777777" w:rsidR="00D41AB4" w:rsidRDefault="00D41AB4" w:rsidP="00F707E9">
      <w:pPr>
        <w:spacing w:after="0" w:line="240" w:lineRule="auto"/>
        <w:jc w:val="center"/>
        <w:rPr>
          <w:rFonts w:ascii="Times New Roman" w:hAnsi="Times New Roman" w:cs="Times New Roman"/>
          <w:b/>
          <w:bCs/>
        </w:rPr>
      </w:pPr>
    </w:p>
    <w:p w14:paraId="746CE79F" w14:textId="77777777" w:rsidR="003E76DE" w:rsidRPr="00572725" w:rsidRDefault="003E76DE" w:rsidP="003E76DE">
      <w:pPr>
        <w:spacing w:line="240" w:lineRule="auto"/>
        <w:jc w:val="center"/>
        <w:rPr>
          <w:rFonts w:ascii="Times New Roman" w:hAnsi="Times New Roman" w:cs="Times New Roman"/>
        </w:rPr>
      </w:pPr>
      <w:r>
        <w:rPr>
          <w:rFonts w:ascii="Times New Roman" w:hAnsi="Times New Roman" w:cs="Times New Roman"/>
        </w:rPr>
        <w:t>Sarah Parks</w:t>
      </w:r>
      <w:r w:rsidRPr="00572725">
        <w:rPr>
          <w:rFonts w:ascii="Times New Roman" w:hAnsi="Times New Roman" w:cs="Times New Roman"/>
          <w:vertAlign w:val="superscript"/>
        </w:rPr>
        <w:t>1</w:t>
      </w:r>
      <w:r>
        <w:rPr>
          <w:rFonts w:ascii="Times New Roman" w:hAnsi="Times New Roman" w:cs="Times New Roman"/>
        </w:rPr>
        <w:t xml:space="preserve">, </w:t>
      </w:r>
      <w:r w:rsidRPr="00572725">
        <w:rPr>
          <w:rFonts w:ascii="Times New Roman" w:hAnsi="Times New Roman" w:cs="Times New Roman"/>
        </w:rPr>
        <w:t>Dr. Ryan G. Anderson</w:t>
      </w:r>
      <w:r>
        <w:rPr>
          <w:rFonts w:ascii="Times New Roman" w:hAnsi="Times New Roman" w:cs="Times New Roman"/>
          <w:vertAlign w:val="superscript"/>
        </w:rPr>
        <w:t xml:space="preserve">2 &amp; </w:t>
      </w:r>
      <w:r>
        <w:rPr>
          <w:rFonts w:ascii="Times New Roman" w:hAnsi="Times New Roman" w:cs="Times New Roman"/>
        </w:rPr>
        <w:t>Dr. Dusty Perry</w:t>
      </w:r>
      <w:r>
        <w:rPr>
          <w:rFonts w:ascii="Times New Roman" w:hAnsi="Times New Roman" w:cs="Times New Roman"/>
          <w:vertAlign w:val="superscript"/>
        </w:rPr>
        <w:t>3</w:t>
      </w:r>
    </w:p>
    <w:p w14:paraId="10FEB5E7" w14:textId="77777777" w:rsidR="003E76DE" w:rsidRPr="00572725" w:rsidRDefault="003E76DE" w:rsidP="003E76DE">
      <w:pPr>
        <w:spacing w:line="240" w:lineRule="auto"/>
        <w:jc w:val="center"/>
        <w:rPr>
          <w:rFonts w:ascii="Times New Roman" w:hAnsi="Times New Roman" w:cs="Times New Roman"/>
        </w:rPr>
      </w:pPr>
    </w:p>
    <w:p w14:paraId="16950B34" w14:textId="77777777" w:rsidR="003E76DE" w:rsidRPr="00572725" w:rsidRDefault="003E76DE" w:rsidP="003E76DE">
      <w:pPr>
        <w:spacing w:line="240" w:lineRule="auto"/>
        <w:jc w:val="center"/>
        <w:rPr>
          <w:rFonts w:ascii="Times New Roman" w:hAnsi="Times New Roman" w:cs="Times New Roman"/>
        </w:rPr>
      </w:pPr>
    </w:p>
    <w:p w14:paraId="6EDB8AC7" w14:textId="77777777" w:rsidR="003E76DE" w:rsidRPr="00572725" w:rsidRDefault="003E76DE" w:rsidP="003E76DE">
      <w:pPr>
        <w:spacing w:line="240" w:lineRule="auto"/>
        <w:jc w:val="center"/>
        <w:rPr>
          <w:rFonts w:ascii="Times New Roman" w:hAnsi="Times New Roman" w:cs="Times New Roman"/>
        </w:rPr>
      </w:pPr>
    </w:p>
    <w:p w14:paraId="7767D9AB" w14:textId="77777777" w:rsidR="003E76DE" w:rsidRPr="00572725" w:rsidRDefault="003E76DE" w:rsidP="003E76DE">
      <w:pPr>
        <w:spacing w:line="240" w:lineRule="auto"/>
        <w:jc w:val="center"/>
        <w:rPr>
          <w:rFonts w:ascii="Times New Roman" w:hAnsi="Times New Roman" w:cs="Times New Roman"/>
        </w:rPr>
      </w:pPr>
    </w:p>
    <w:p w14:paraId="66166C2E" w14:textId="77777777" w:rsidR="003E76DE" w:rsidRPr="00572725" w:rsidRDefault="003E76DE" w:rsidP="003E76DE">
      <w:pPr>
        <w:spacing w:line="240" w:lineRule="auto"/>
        <w:jc w:val="center"/>
        <w:rPr>
          <w:rFonts w:ascii="Times New Roman" w:hAnsi="Times New Roman" w:cs="Times New Roman"/>
        </w:rPr>
      </w:pPr>
    </w:p>
    <w:p w14:paraId="054112AE" w14:textId="77777777" w:rsidR="003E76DE" w:rsidRPr="00572725" w:rsidRDefault="003E76DE" w:rsidP="003E76DE">
      <w:pPr>
        <w:spacing w:line="240" w:lineRule="auto"/>
        <w:jc w:val="center"/>
        <w:rPr>
          <w:rFonts w:ascii="Times New Roman" w:hAnsi="Times New Roman" w:cs="Times New Roman"/>
        </w:rPr>
      </w:pPr>
    </w:p>
    <w:p w14:paraId="2C765B41" w14:textId="77777777" w:rsidR="003E76DE" w:rsidRPr="00572725" w:rsidRDefault="003E76DE" w:rsidP="003E76DE">
      <w:pPr>
        <w:spacing w:line="240" w:lineRule="auto"/>
        <w:jc w:val="center"/>
        <w:rPr>
          <w:rFonts w:ascii="Times New Roman" w:hAnsi="Times New Roman" w:cs="Times New Roman"/>
        </w:rPr>
      </w:pPr>
    </w:p>
    <w:p w14:paraId="53978F60" w14:textId="77777777" w:rsidR="003E76DE" w:rsidRPr="00572725" w:rsidRDefault="003E76DE" w:rsidP="003E76DE">
      <w:pPr>
        <w:spacing w:line="240" w:lineRule="auto"/>
        <w:jc w:val="center"/>
        <w:rPr>
          <w:rFonts w:ascii="Times New Roman" w:hAnsi="Times New Roman" w:cs="Times New Roman"/>
        </w:rPr>
      </w:pPr>
    </w:p>
    <w:p w14:paraId="6B83AFA6" w14:textId="77777777" w:rsidR="003E76DE" w:rsidRDefault="003E76DE" w:rsidP="003E76DE">
      <w:pPr>
        <w:spacing w:line="240" w:lineRule="auto"/>
        <w:rPr>
          <w:rFonts w:ascii="Times New Roman" w:hAnsi="Times New Roman" w:cs="Times New Roman"/>
        </w:rPr>
      </w:pPr>
    </w:p>
    <w:p w14:paraId="35F66B31" w14:textId="77777777" w:rsidR="003E76DE" w:rsidRDefault="003E76DE" w:rsidP="003E76DE">
      <w:pPr>
        <w:spacing w:line="240" w:lineRule="auto"/>
        <w:jc w:val="center"/>
        <w:rPr>
          <w:rFonts w:ascii="Times New Roman" w:hAnsi="Times New Roman" w:cs="Times New Roman"/>
        </w:rPr>
      </w:pPr>
    </w:p>
    <w:p w14:paraId="497B0241" w14:textId="77777777" w:rsidR="003E76DE" w:rsidRPr="00572725" w:rsidRDefault="003E76DE" w:rsidP="003E76DE">
      <w:pPr>
        <w:spacing w:line="240" w:lineRule="auto"/>
        <w:jc w:val="center"/>
        <w:rPr>
          <w:rFonts w:ascii="Times New Roman" w:hAnsi="Times New Roman" w:cs="Times New Roman"/>
        </w:rPr>
      </w:pPr>
    </w:p>
    <w:p w14:paraId="0F124E15" w14:textId="77777777" w:rsidR="003E76DE" w:rsidRPr="00D41AB4" w:rsidRDefault="003E76DE" w:rsidP="003E76DE">
      <w:pPr>
        <w:spacing w:line="240" w:lineRule="auto"/>
        <w:jc w:val="center"/>
        <w:rPr>
          <w:rFonts w:ascii="Times New Roman" w:hAnsi="Times New Roman" w:cs="Times New Roman"/>
        </w:rPr>
      </w:pPr>
      <w:r w:rsidRPr="00572725">
        <w:rPr>
          <w:rFonts w:ascii="Times New Roman" w:hAnsi="Times New Roman" w:cs="Times New Roman"/>
          <w:vertAlign w:val="superscript"/>
        </w:rPr>
        <w:t>1</w:t>
      </w:r>
      <w:r>
        <w:rPr>
          <w:rFonts w:ascii="Times New Roman" w:hAnsi="Times New Roman" w:cs="Times New Roman"/>
        </w:rPr>
        <w:t>Sarah Parks</w:t>
      </w:r>
      <w:r w:rsidRPr="00572725">
        <w:rPr>
          <w:rFonts w:ascii="Times New Roman" w:hAnsi="Times New Roman" w:cs="Times New Roman"/>
        </w:rPr>
        <w:t>, a</w:t>
      </w:r>
      <w:r>
        <w:rPr>
          <w:rFonts w:ascii="Times New Roman" w:hAnsi="Times New Roman" w:cs="Times New Roman"/>
        </w:rPr>
        <w:t>n Agricultural Science Teacher at Lockhart Independent School District</w:t>
      </w:r>
      <w:r w:rsidRPr="00572725">
        <w:rPr>
          <w:rFonts w:ascii="Times New Roman" w:hAnsi="Times New Roman" w:cs="Times New Roman"/>
        </w:rPr>
        <w:t xml:space="preserve">, </w:t>
      </w:r>
      <w:hyperlink r:id="rId6" w:history="1">
        <w:r w:rsidRPr="00D41AB4">
          <w:rPr>
            <w:rStyle w:val="Hyperlink"/>
            <w:rFonts w:ascii="Times New Roman" w:hAnsi="Times New Roman" w:cs="Times New Roman"/>
          </w:rPr>
          <w:t>sarah.parks@lockhart.txed.net</w:t>
        </w:r>
      </w:hyperlink>
    </w:p>
    <w:p w14:paraId="4C4A46A2" w14:textId="77777777" w:rsidR="003E76DE" w:rsidRPr="00C4160D" w:rsidRDefault="003E76DE" w:rsidP="003E76DE">
      <w:pPr>
        <w:spacing w:line="240" w:lineRule="auto"/>
        <w:jc w:val="center"/>
        <w:rPr>
          <w:rFonts w:ascii="Times New Roman" w:hAnsi="Times New Roman" w:cs="Times New Roman"/>
        </w:rPr>
      </w:pPr>
      <w:r w:rsidRPr="00572725">
        <w:rPr>
          <w:rFonts w:ascii="Times New Roman" w:hAnsi="Times New Roman" w:cs="Times New Roman"/>
          <w:vertAlign w:val="superscript"/>
        </w:rPr>
        <w:t>2</w:t>
      </w:r>
      <w:r w:rsidRPr="00572725">
        <w:rPr>
          <w:rFonts w:ascii="Times New Roman" w:hAnsi="Times New Roman" w:cs="Times New Roman"/>
        </w:rPr>
        <w:t xml:space="preserve">Dr. Ryan G. Anderson, an Associate Professor in the Department of Agricultural Sciences at Texas State University, </w:t>
      </w:r>
      <w:hyperlink r:id="rId7" w:history="1">
        <w:r w:rsidRPr="00572725">
          <w:rPr>
            <w:rStyle w:val="Hyperlink"/>
            <w:rFonts w:ascii="Times New Roman" w:hAnsi="Times New Roman" w:cs="Times New Roman"/>
          </w:rPr>
          <w:t>r_a461@txstate.edu</w:t>
        </w:r>
      </w:hyperlink>
      <w:r w:rsidRPr="00572725">
        <w:rPr>
          <w:rFonts w:ascii="Times New Roman" w:hAnsi="Times New Roman" w:cs="Times New Roman"/>
        </w:rPr>
        <w:t xml:space="preserve"> </w:t>
      </w:r>
    </w:p>
    <w:p w14:paraId="0E13D12E" w14:textId="77777777" w:rsidR="006A2468" w:rsidRDefault="003E76DE" w:rsidP="006A2468">
      <w:pPr>
        <w:spacing w:after="0" w:line="240" w:lineRule="auto"/>
        <w:jc w:val="center"/>
        <w:rPr>
          <w:rFonts w:ascii="Times New Roman" w:hAnsi="Times New Roman" w:cs="Times New Roman"/>
        </w:rPr>
      </w:pPr>
      <w:r w:rsidRPr="00C4160D">
        <w:rPr>
          <w:rFonts w:ascii="Times New Roman" w:hAnsi="Times New Roman" w:cs="Times New Roman"/>
          <w:vertAlign w:val="superscript"/>
        </w:rPr>
        <w:t>3</w:t>
      </w:r>
      <w:r w:rsidRPr="00C4160D">
        <w:rPr>
          <w:rFonts w:ascii="Times New Roman" w:hAnsi="Times New Roman" w:cs="Times New Roman"/>
        </w:rPr>
        <w:t>Dr. Dusty Perry, an Associate Professor in at Montana State University</w:t>
      </w:r>
      <w:r>
        <w:rPr>
          <w:rFonts w:ascii="Times New Roman" w:hAnsi="Times New Roman" w:cs="Times New Roman"/>
        </w:rPr>
        <w:t xml:space="preserve">, </w:t>
      </w:r>
      <w:r w:rsidRPr="00572725">
        <w:rPr>
          <w:rFonts w:ascii="Times New Roman" w:hAnsi="Times New Roman" w:cs="Times New Roman"/>
        </w:rPr>
        <w:t>Department of Agricultural</w:t>
      </w:r>
      <w:r>
        <w:rPr>
          <w:rFonts w:ascii="Times New Roman" w:hAnsi="Times New Roman" w:cs="Times New Roman"/>
        </w:rPr>
        <w:t xml:space="preserve"> &amp; Technology Education,</w:t>
      </w:r>
      <w:r w:rsidRPr="00572725">
        <w:rPr>
          <w:rFonts w:ascii="Times New Roman" w:hAnsi="Times New Roman" w:cs="Times New Roman"/>
        </w:rPr>
        <w:t xml:space="preserve"> </w:t>
      </w:r>
      <w:hyperlink r:id="rId8" w:history="1">
        <w:r w:rsidRPr="004267DF">
          <w:rPr>
            <w:rStyle w:val="Hyperlink"/>
            <w:rFonts w:ascii="Times New Roman" w:hAnsi="Times New Roman" w:cs="Times New Roman"/>
          </w:rPr>
          <w:t>dustin.perry@montana.edu</w:t>
        </w:r>
      </w:hyperlink>
      <w:r>
        <w:rPr>
          <w:rFonts w:ascii="Times New Roman" w:hAnsi="Times New Roman" w:cs="Times New Roman"/>
        </w:rPr>
        <w:t xml:space="preserve"> </w:t>
      </w:r>
    </w:p>
    <w:p w14:paraId="2043A88A" w14:textId="5AD54B4F" w:rsidR="00F707E9" w:rsidRPr="00F707E9" w:rsidRDefault="00F707E9" w:rsidP="006A2468">
      <w:pPr>
        <w:spacing w:after="0" w:line="240" w:lineRule="auto"/>
        <w:rPr>
          <w:rFonts w:ascii="Times New Roman" w:hAnsi="Times New Roman" w:cs="Times New Roman"/>
        </w:rPr>
      </w:pPr>
      <w:r w:rsidRPr="00F707E9">
        <w:rPr>
          <w:rFonts w:ascii="Times New Roman" w:hAnsi="Times New Roman" w:cs="Times New Roman"/>
          <w:b/>
          <w:bCs/>
        </w:rPr>
        <w:lastRenderedPageBreak/>
        <w:t>Introduction</w:t>
      </w:r>
      <w:r w:rsidR="006A2468">
        <w:rPr>
          <w:rFonts w:ascii="Times New Roman" w:hAnsi="Times New Roman" w:cs="Times New Roman"/>
        </w:rPr>
        <w:t xml:space="preserve">- </w:t>
      </w:r>
      <w:r w:rsidRPr="00F707E9">
        <w:rPr>
          <w:rFonts w:ascii="Times New Roman" w:hAnsi="Times New Roman" w:cs="Times New Roman"/>
        </w:rPr>
        <w:t xml:space="preserve">It has been recommended that school-based agricultural education (SBAE) teachers who lack the knowledge and skills in agricultural mechanics improve these skills through effective professional development opportunities due to the popularity of the agricultural mechanics pathway in SBAE (Wells &amp; Hainline, 2021). Trickett et al. (2023) found that because of the lack of offerings in agricultural mechanics at the post-secondary level creating ill-prepared educators in this field of study. It has been suggested that SBAE </w:t>
      </w:r>
      <w:r w:rsidR="00166EDC">
        <w:rPr>
          <w:rFonts w:ascii="Times New Roman" w:hAnsi="Times New Roman" w:cs="Times New Roman"/>
        </w:rPr>
        <w:t>teache</w:t>
      </w:r>
      <w:r w:rsidRPr="00F707E9">
        <w:rPr>
          <w:rFonts w:ascii="Times New Roman" w:hAnsi="Times New Roman" w:cs="Times New Roman"/>
        </w:rPr>
        <w:t xml:space="preserve">rs have a higher level of confidence in their knowledge and skills when opportunities are presented to them prior to entering the classroom such as experiences and training that are related to coursework they are covering in classes (Burris et al., 2010; Stripling &amp; Roberts, 2012). </w:t>
      </w:r>
    </w:p>
    <w:p w14:paraId="5B332FB6" w14:textId="583FE7D6" w:rsidR="00F707E9" w:rsidRPr="006A2468" w:rsidRDefault="00F707E9" w:rsidP="00F707E9">
      <w:pPr>
        <w:spacing w:before="240" w:after="0" w:line="240" w:lineRule="auto"/>
        <w:rPr>
          <w:rFonts w:ascii="Times New Roman" w:hAnsi="Times New Roman" w:cs="Times New Roman"/>
          <w:b/>
          <w:bCs/>
        </w:rPr>
      </w:pPr>
      <w:r w:rsidRPr="00F707E9">
        <w:rPr>
          <w:rFonts w:ascii="Times New Roman" w:hAnsi="Times New Roman" w:cs="Times New Roman"/>
          <w:b/>
          <w:bCs/>
        </w:rPr>
        <w:t>Conceptual Framework</w:t>
      </w:r>
      <w:r w:rsidR="006A2468">
        <w:rPr>
          <w:rFonts w:ascii="Times New Roman" w:hAnsi="Times New Roman" w:cs="Times New Roman"/>
          <w:b/>
          <w:bCs/>
        </w:rPr>
        <w:t xml:space="preserve">- </w:t>
      </w:r>
      <w:r w:rsidRPr="00F707E9">
        <w:rPr>
          <w:rFonts w:ascii="Times New Roman" w:hAnsi="Times New Roman" w:cs="Times New Roman"/>
        </w:rPr>
        <w:t xml:space="preserve">Robert and Ball’s (2009) content-based model for teaching agriculture was used to frame this study. This framework focuses on determining agricultural industry needs. Once these needs are determined, educators gain competence in technical knowledge and skills within the curriculum created from industry needs to provide improved instruction. For this study, we focused on the skills needed to teach small gas engines to SBAE students. </w:t>
      </w:r>
    </w:p>
    <w:p w14:paraId="65585A9F" w14:textId="1A0B0187" w:rsidR="00F707E9" w:rsidRPr="00C41A77" w:rsidRDefault="00F707E9" w:rsidP="00C41A77">
      <w:pPr>
        <w:spacing w:before="240" w:line="240" w:lineRule="auto"/>
        <w:rPr>
          <w:rFonts w:ascii="Times New Roman" w:hAnsi="Times New Roman" w:cs="Times New Roman"/>
          <w:b/>
          <w:bCs/>
        </w:rPr>
      </w:pPr>
      <w:r w:rsidRPr="00F707E9">
        <w:rPr>
          <w:rFonts w:ascii="Times New Roman" w:hAnsi="Times New Roman" w:cs="Times New Roman"/>
          <w:b/>
          <w:bCs/>
        </w:rPr>
        <w:t>Purpose and Objectives</w:t>
      </w:r>
      <w:r w:rsidR="00C41A77">
        <w:rPr>
          <w:rFonts w:ascii="Times New Roman" w:hAnsi="Times New Roman" w:cs="Times New Roman"/>
          <w:b/>
          <w:bCs/>
        </w:rPr>
        <w:t xml:space="preserve">- </w:t>
      </w:r>
      <w:r w:rsidRPr="00F707E9">
        <w:rPr>
          <w:rFonts w:ascii="Times New Roman" w:hAnsi="Times New Roman" w:cs="Times New Roman"/>
        </w:rPr>
        <w:t xml:space="preserve">The purpose of this study was to determine if the industry-based </w:t>
      </w:r>
      <w:r w:rsidR="001D075B" w:rsidRPr="00F707E9">
        <w:rPr>
          <w:rFonts w:ascii="Times New Roman" w:hAnsi="Times New Roman" w:cs="Times New Roman"/>
        </w:rPr>
        <w:t>small engine</w:t>
      </w:r>
      <w:r w:rsidRPr="00F707E9">
        <w:rPr>
          <w:rFonts w:ascii="Times New Roman" w:hAnsi="Times New Roman" w:cs="Times New Roman"/>
        </w:rPr>
        <w:t xml:space="preserve"> workshop had an impact on SBAE </w:t>
      </w:r>
      <w:proofErr w:type="gramStart"/>
      <w:r w:rsidR="001D075B" w:rsidRPr="00F707E9">
        <w:rPr>
          <w:rFonts w:ascii="Times New Roman" w:hAnsi="Times New Roman" w:cs="Times New Roman"/>
        </w:rPr>
        <w:t>teachers’</w:t>
      </w:r>
      <w:proofErr w:type="gramEnd"/>
      <w:r w:rsidRPr="00F707E9">
        <w:rPr>
          <w:rFonts w:ascii="Times New Roman" w:hAnsi="Times New Roman" w:cs="Times New Roman"/>
        </w:rPr>
        <w:t xml:space="preserve"> perceived ability to teach small gas engines. Our objectives for this study were to determine the impact of the workshop on SBAE teachers’ ability to teach small gas </w:t>
      </w:r>
      <w:r w:rsidR="00C41A77" w:rsidRPr="00F707E9">
        <w:rPr>
          <w:rFonts w:ascii="Times New Roman" w:hAnsi="Times New Roman" w:cs="Times New Roman"/>
        </w:rPr>
        <w:t>engines</w:t>
      </w:r>
      <w:r w:rsidRPr="00F707E9">
        <w:rPr>
          <w:rFonts w:ascii="Times New Roman" w:hAnsi="Times New Roman" w:cs="Times New Roman"/>
        </w:rPr>
        <w:t xml:space="preserve">: 1) inspection </w:t>
      </w:r>
      <w:r w:rsidR="00C41A77">
        <w:rPr>
          <w:rFonts w:ascii="Times New Roman" w:hAnsi="Times New Roman" w:cs="Times New Roman"/>
        </w:rPr>
        <w:t>&amp;</w:t>
      </w:r>
      <w:r w:rsidRPr="00F707E9">
        <w:rPr>
          <w:rFonts w:ascii="Times New Roman" w:hAnsi="Times New Roman" w:cs="Times New Roman"/>
        </w:rPr>
        <w:t xml:space="preserve"> testing, 2) repair, and 3) theories </w:t>
      </w:r>
      <w:r w:rsidR="00C41A77">
        <w:rPr>
          <w:rFonts w:ascii="Times New Roman" w:hAnsi="Times New Roman" w:cs="Times New Roman"/>
        </w:rPr>
        <w:t>&amp;</w:t>
      </w:r>
      <w:r w:rsidRPr="00F707E9">
        <w:rPr>
          <w:rFonts w:ascii="Times New Roman" w:hAnsi="Times New Roman" w:cs="Times New Roman"/>
        </w:rPr>
        <w:t xml:space="preserve"> safety.</w:t>
      </w:r>
    </w:p>
    <w:p w14:paraId="5C00E819" w14:textId="175740A0" w:rsidR="00F707E9" w:rsidRPr="00C41A77" w:rsidRDefault="00F707E9" w:rsidP="00C41A77">
      <w:pPr>
        <w:spacing w:before="240" w:line="240" w:lineRule="auto"/>
        <w:rPr>
          <w:rFonts w:ascii="Times New Roman" w:hAnsi="Times New Roman" w:cs="Times New Roman"/>
          <w:b/>
          <w:bCs/>
        </w:rPr>
      </w:pPr>
      <w:r w:rsidRPr="00F707E9">
        <w:rPr>
          <w:rFonts w:ascii="Times New Roman" w:hAnsi="Times New Roman" w:cs="Times New Roman"/>
          <w:b/>
          <w:bCs/>
        </w:rPr>
        <w:t>Methodology</w:t>
      </w:r>
      <w:r w:rsidR="00C41A77">
        <w:rPr>
          <w:rFonts w:ascii="Times New Roman" w:hAnsi="Times New Roman" w:cs="Times New Roman"/>
          <w:b/>
          <w:bCs/>
        </w:rPr>
        <w:t xml:space="preserve">- </w:t>
      </w:r>
      <w:r w:rsidRPr="00F707E9">
        <w:rPr>
          <w:rFonts w:ascii="Times New Roman" w:hAnsi="Times New Roman" w:cs="Times New Roman"/>
        </w:rPr>
        <w:t xml:space="preserve">This study focused on exploring the impact of a small gas engine training on teachers’ ability to teach small gas engines. Over four years, this study was conducted during the first three days of a 10-day training. To conduct the pre- and post-test data collection, a paper-based survey was created. </w:t>
      </w:r>
    </w:p>
    <w:p w14:paraId="5A8C3976" w14:textId="76E1B214" w:rsidR="00F707E9" w:rsidRPr="00F707E9" w:rsidRDefault="00F707E9" w:rsidP="00C41A77">
      <w:pPr>
        <w:spacing w:before="240" w:line="240" w:lineRule="auto"/>
        <w:rPr>
          <w:rFonts w:ascii="Times New Roman" w:hAnsi="Times New Roman" w:cs="Times New Roman"/>
          <w:i/>
          <w:iCs/>
        </w:rPr>
      </w:pPr>
      <w:r w:rsidRPr="00F707E9">
        <w:rPr>
          <w:rFonts w:ascii="Times New Roman" w:hAnsi="Times New Roman" w:cs="Times New Roman"/>
          <w:b/>
          <w:bCs/>
        </w:rPr>
        <w:t>Results</w:t>
      </w:r>
      <w:r w:rsidR="00C41A77">
        <w:rPr>
          <w:rFonts w:ascii="Times New Roman" w:hAnsi="Times New Roman" w:cs="Times New Roman"/>
          <w:b/>
          <w:bCs/>
        </w:rPr>
        <w:t xml:space="preserve">- </w:t>
      </w:r>
      <w:r w:rsidRPr="00F707E9">
        <w:rPr>
          <w:rFonts w:ascii="Times New Roman" w:hAnsi="Times New Roman" w:cs="Times New Roman"/>
        </w:rPr>
        <w:t xml:space="preserve">According to the pre-test, SBAE </w:t>
      </w:r>
      <w:r w:rsidR="00166EDC" w:rsidRPr="00F707E9">
        <w:rPr>
          <w:rFonts w:ascii="Times New Roman" w:hAnsi="Times New Roman" w:cs="Times New Roman"/>
        </w:rPr>
        <w:t>teachers</w:t>
      </w:r>
      <w:r w:rsidRPr="00F707E9">
        <w:rPr>
          <w:rFonts w:ascii="Times New Roman" w:hAnsi="Times New Roman" w:cs="Times New Roman"/>
        </w:rPr>
        <w:t xml:space="preserve"> reported their ability to teach small gas engines at little ability. There was an increase in mean difference scores from the pre-test to post-test for all three constructs. The change in the mean differences resulted in all three constructs providing an increase in SBAE teachers’ ability to teach small gas engines. All three constructs were rated at above average ability in the post-test. </w:t>
      </w:r>
      <w:r w:rsidR="00166EDC" w:rsidRPr="00166EDC">
        <w:rPr>
          <w:rFonts w:ascii="Times New Roman" w:hAnsi="Times New Roman" w:cs="Times New Roman"/>
        </w:rPr>
        <w:t xml:space="preserve">To determine if all three </w:t>
      </w:r>
      <w:proofErr w:type="gramStart"/>
      <w:r w:rsidR="00166EDC" w:rsidRPr="00166EDC">
        <w:rPr>
          <w:rFonts w:ascii="Times New Roman" w:hAnsi="Times New Roman" w:cs="Times New Roman"/>
        </w:rPr>
        <w:t>constructs</w:t>
      </w:r>
      <w:proofErr w:type="gramEnd"/>
      <w:r w:rsidR="00166EDC" w:rsidRPr="00166EDC">
        <w:rPr>
          <w:rFonts w:ascii="Times New Roman" w:hAnsi="Times New Roman" w:cs="Times New Roman"/>
        </w:rPr>
        <w:t xml:space="preserve"> were statistically significant, a single-tailed t-test was conducted. If the p-value is “p &lt; .05”, then it is considered statistically significant. Based on these p-values, all three constructs can be determined to be statistically significant. All three </w:t>
      </w:r>
      <w:proofErr w:type="gramStart"/>
      <w:r w:rsidR="00166EDC" w:rsidRPr="00166EDC">
        <w:rPr>
          <w:rFonts w:ascii="Times New Roman" w:hAnsi="Times New Roman" w:cs="Times New Roman"/>
        </w:rPr>
        <w:t>constructs</w:t>
      </w:r>
      <w:proofErr w:type="gramEnd"/>
      <w:r w:rsidR="00166EDC" w:rsidRPr="00166EDC">
        <w:rPr>
          <w:rFonts w:ascii="Times New Roman" w:hAnsi="Times New Roman" w:cs="Times New Roman"/>
        </w:rPr>
        <w:t xml:space="preserve"> saw a large effect size as well, ranging from (D = 0.78-0.92). </w:t>
      </w:r>
    </w:p>
    <w:p w14:paraId="56841B18" w14:textId="16213F8F" w:rsidR="00F707E9" w:rsidRPr="00C41A77" w:rsidRDefault="00F707E9" w:rsidP="00C41A77">
      <w:pPr>
        <w:spacing w:before="240" w:line="240" w:lineRule="auto"/>
        <w:rPr>
          <w:rFonts w:ascii="Times New Roman" w:hAnsi="Times New Roman" w:cs="Times New Roman"/>
          <w:b/>
          <w:bCs/>
        </w:rPr>
      </w:pPr>
      <w:r w:rsidRPr="00F707E9">
        <w:rPr>
          <w:rFonts w:ascii="Times New Roman" w:hAnsi="Times New Roman" w:cs="Times New Roman"/>
          <w:b/>
          <w:bCs/>
        </w:rPr>
        <w:t>Conclusion/Implications/Recommendations</w:t>
      </w:r>
      <w:r w:rsidR="00C41A77">
        <w:rPr>
          <w:rFonts w:ascii="Times New Roman" w:hAnsi="Times New Roman" w:cs="Times New Roman"/>
          <w:b/>
          <w:bCs/>
        </w:rPr>
        <w:t xml:space="preserve">- </w:t>
      </w:r>
      <w:r w:rsidRPr="00F707E9">
        <w:rPr>
          <w:rFonts w:ascii="Times New Roman" w:hAnsi="Times New Roman" w:cs="Times New Roman"/>
        </w:rPr>
        <w:t>Based on our findings, it can be concluded that SBAE teachers found the industry-led workshop to be effective in improving their ability to teach small gas engines. Our study aligned with Clark et al. (2021), who recommend that those who teach in the agricultural mechanics content area should pursue further training to improve their skills if they are not adequately prepared at the post-secondary level. SBAE teachers attended this training to better improve their ability to teach small gas engines, and our study indicates this training did improve their ability to teach small gas engines. Results for all 50 variables in the three constructs: inspection and testing, repair, and theory and safety showed a positive increase from the pre-test scores to the post-test scores. Data collected in this study can be deemed as statistically significant and supplemental in providing material and practice to improve SBAE teachers’ ability to teach small gas engines.</w:t>
      </w:r>
    </w:p>
    <w:p w14:paraId="7EA3DA9B" w14:textId="77777777" w:rsidR="00F707E9" w:rsidRDefault="00F707E9" w:rsidP="00F707E9">
      <w:pPr>
        <w:spacing w:after="0" w:line="240" w:lineRule="auto"/>
        <w:jc w:val="center"/>
        <w:rPr>
          <w:rFonts w:ascii="Times New Roman" w:hAnsi="Times New Roman" w:cs="Times New Roman"/>
          <w:b/>
          <w:bCs/>
        </w:rPr>
      </w:pPr>
    </w:p>
    <w:p w14:paraId="6845069F" w14:textId="25105544" w:rsidR="00F707E9" w:rsidRPr="00F707E9" w:rsidRDefault="00F707E9" w:rsidP="00F707E9">
      <w:pPr>
        <w:spacing w:after="0" w:line="240" w:lineRule="auto"/>
        <w:jc w:val="center"/>
        <w:rPr>
          <w:rFonts w:ascii="Times New Roman" w:hAnsi="Times New Roman" w:cs="Times New Roman"/>
          <w:b/>
          <w:bCs/>
        </w:rPr>
      </w:pPr>
      <w:r w:rsidRPr="00F707E9">
        <w:rPr>
          <w:rFonts w:ascii="Times New Roman" w:hAnsi="Times New Roman" w:cs="Times New Roman"/>
          <w:b/>
          <w:bCs/>
        </w:rPr>
        <w:t>References</w:t>
      </w:r>
    </w:p>
    <w:p w14:paraId="3C141772" w14:textId="77777777" w:rsidR="00F707E9" w:rsidRPr="00F707E9" w:rsidRDefault="00F707E9" w:rsidP="00F707E9">
      <w:pPr>
        <w:pStyle w:val="NormalWeb"/>
        <w:spacing w:before="0" w:beforeAutospacing="0" w:after="0" w:afterAutospacing="0"/>
        <w:ind w:left="720" w:hanging="720"/>
      </w:pPr>
      <w:r w:rsidRPr="00F707E9">
        <w:t xml:space="preserve">Burris, S., McLaughlin, E., McCulloch, A., Brashears, T., &amp; Fraze, S. (2010). A comparison of </w:t>
      </w:r>
      <w:proofErr w:type="gramStart"/>
      <w:r w:rsidRPr="00F707E9">
        <w:t>first and fifth year</w:t>
      </w:r>
      <w:proofErr w:type="gramEnd"/>
      <w:r w:rsidRPr="00F707E9">
        <w:t xml:space="preserve"> agriculture teachers on personal teaching efficacy, general teaching efficacy, and content efficacy. </w:t>
      </w:r>
      <w:r w:rsidRPr="00F707E9">
        <w:rPr>
          <w:i/>
          <w:iCs/>
        </w:rPr>
        <w:t>Journal of Agricultural Education, 51</w:t>
      </w:r>
      <w:r w:rsidRPr="00F707E9">
        <w:t xml:space="preserve">(1), 22-31. </w:t>
      </w:r>
      <w:proofErr w:type="spellStart"/>
      <w:r w:rsidRPr="00F707E9">
        <w:t>doi</w:t>
      </w:r>
      <w:proofErr w:type="spellEnd"/>
      <w:r w:rsidRPr="00F707E9">
        <w:t>: 10.5032/jae.2010.01022</w:t>
      </w:r>
    </w:p>
    <w:p w14:paraId="69D45112" w14:textId="77777777" w:rsidR="00F707E9" w:rsidRPr="00F707E9" w:rsidRDefault="00F707E9" w:rsidP="00F707E9">
      <w:pPr>
        <w:pStyle w:val="NormalWeb"/>
        <w:spacing w:before="0" w:beforeAutospacing="0" w:after="0" w:afterAutospacing="0"/>
        <w:ind w:left="720" w:hanging="720"/>
        <w:rPr>
          <w:color w:val="000000" w:themeColor="text1"/>
        </w:rPr>
      </w:pPr>
      <w:r w:rsidRPr="00F707E9">
        <w:rPr>
          <w:color w:val="000000" w:themeColor="text1"/>
        </w:rPr>
        <w:t xml:space="preserve">Clark, T. K., Anderson, R., &amp; Paulsen, T. H. (2021). Agricultural Mechanics Preparation: How Much Do School Based Agricultural Education Teachers </w:t>
      </w:r>
      <w:proofErr w:type="gramStart"/>
      <w:r w:rsidRPr="00F707E9">
        <w:rPr>
          <w:color w:val="000000" w:themeColor="text1"/>
        </w:rPr>
        <w:t>Receive?.</w:t>
      </w:r>
      <w:proofErr w:type="gramEnd"/>
      <w:r w:rsidRPr="00F707E9">
        <w:rPr>
          <w:color w:val="000000" w:themeColor="text1"/>
        </w:rPr>
        <w:t> </w:t>
      </w:r>
      <w:r w:rsidRPr="00F707E9">
        <w:rPr>
          <w:i/>
          <w:iCs/>
          <w:color w:val="000000" w:themeColor="text1"/>
        </w:rPr>
        <w:t>Journal of Agricultural Education</w:t>
      </w:r>
      <w:r w:rsidRPr="00F707E9">
        <w:rPr>
          <w:color w:val="000000" w:themeColor="text1"/>
        </w:rPr>
        <w:t>, </w:t>
      </w:r>
      <w:r w:rsidRPr="00F707E9">
        <w:rPr>
          <w:i/>
          <w:iCs/>
          <w:color w:val="000000" w:themeColor="text1"/>
        </w:rPr>
        <w:t>62</w:t>
      </w:r>
      <w:r w:rsidRPr="00F707E9">
        <w:rPr>
          <w:color w:val="000000" w:themeColor="text1"/>
        </w:rPr>
        <w:t>(1), 17–28. https://doi.org/10.5032/jae.2021.01017</w:t>
      </w:r>
    </w:p>
    <w:p w14:paraId="2D08F953" w14:textId="77777777" w:rsidR="00F707E9" w:rsidRPr="00F707E9" w:rsidRDefault="00F707E9" w:rsidP="00F707E9">
      <w:pPr>
        <w:pStyle w:val="NormalWeb"/>
        <w:spacing w:before="0" w:beforeAutospacing="0" w:after="0" w:afterAutospacing="0"/>
        <w:ind w:left="720" w:hanging="720"/>
      </w:pPr>
      <w:r w:rsidRPr="00F707E9">
        <w:t>Roberts, T. G., &amp; Ball, A. L. (2009). Secondary agricultural science as content and context for teaching. J</w:t>
      </w:r>
      <w:r w:rsidRPr="00F707E9">
        <w:rPr>
          <w:i/>
          <w:iCs/>
        </w:rPr>
        <w:t>ournal of Agricultural Education, 50(1)</w:t>
      </w:r>
      <w:r w:rsidRPr="00F707E9">
        <w:t>, 81-91. https://doi.org/10.5032/jae2009.01081</w:t>
      </w:r>
    </w:p>
    <w:p w14:paraId="4C51A358" w14:textId="77777777" w:rsidR="00F707E9" w:rsidRPr="00F707E9" w:rsidRDefault="00F707E9" w:rsidP="00F707E9">
      <w:pPr>
        <w:spacing w:after="0" w:line="240" w:lineRule="auto"/>
        <w:ind w:left="720" w:hanging="720"/>
        <w:rPr>
          <w:rFonts w:ascii="Times New Roman" w:eastAsia="Times New Roman" w:hAnsi="Times New Roman" w:cs="Times New Roman"/>
        </w:rPr>
      </w:pPr>
      <w:r w:rsidRPr="00F707E9">
        <w:rPr>
          <w:rFonts w:ascii="Times New Roman" w:eastAsia="Times New Roman" w:hAnsi="Times New Roman" w:cs="Times New Roman"/>
        </w:rPr>
        <w:t xml:space="preserve">Stripling, C. T., &amp; Roberts, T. G. (2012). Preservice Agricultural Education Teachers’ Mathematics Ability. </w:t>
      </w:r>
      <w:r w:rsidRPr="00F707E9">
        <w:rPr>
          <w:rFonts w:ascii="Times New Roman" w:eastAsia="Times New Roman" w:hAnsi="Times New Roman" w:cs="Times New Roman"/>
          <w:i/>
          <w:iCs/>
        </w:rPr>
        <w:t>Journal of Agricultural Education</w:t>
      </w:r>
      <w:r w:rsidRPr="00F707E9">
        <w:rPr>
          <w:rFonts w:ascii="Times New Roman" w:eastAsia="Times New Roman" w:hAnsi="Times New Roman" w:cs="Times New Roman"/>
        </w:rPr>
        <w:t xml:space="preserve">, </w:t>
      </w:r>
      <w:r w:rsidRPr="00F707E9">
        <w:rPr>
          <w:rFonts w:ascii="Times New Roman" w:eastAsia="Times New Roman" w:hAnsi="Times New Roman" w:cs="Times New Roman"/>
          <w:i/>
          <w:iCs/>
        </w:rPr>
        <w:t>53</w:t>
      </w:r>
      <w:r w:rsidRPr="00F707E9">
        <w:rPr>
          <w:rFonts w:ascii="Times New Roman" w:eastAsia="Times New Roman" w:hAnsi="Times New Roman" w:cs="Times New Roman"/>
        </w:rPr>
        <w:t>(3), 28–41. https://doi.org/10.5032/jae.2012.03028</w:t>
      </w:r>
    </w:p>
    <w:p w14:paraId="72F437AA" w14:textId="77777777" w:rsidR="00F707E9" w:rsidRPr="00F707E9" w:rsidRDefault="00F707E9" w:rsidP="00F707E9">
      <w:pPr>
        <w:spacing w:after="0" w:line="240" w:lineRule="auto"/>
        <w:ind w:left="720" w:hanging="720"/>
        <w:rPr>
          <w:rFonts w:ascii="Times New Roman" w:hAnsi="Times New Roman" w:cs="Times New Roman"/>
        </w:rPr>
      </w:pPr>
      <w:r w:rsidRPr="00F707E9">
        <w:rPr>
          <w:rFonts w:ascii="Times New Roman" w:hAnsi="Times New Roman" w:cs="Times New Roman"/>
        </w:rPr>
        <w:t xml:space="preserve">Trickett, L., Byrd, A. P., Anderson, R. G., &amp; Haynes, J. C. (2023). Preparing pre-service agricultural education teachers to teach agricultural mechanics: Are we doing </w:t>
      </w:r>
      <w:proofErr w:type="gramStart"/>
      <w:r w:rsidRPr="00F707E9">
        <w:rPr>
          <w:rFonts w:ascii="Times New Roman" w:hAnsi="Times New Roman" w:cs="Times New Roman"/>
        </w:rPr>
        <w:t>enough?.</w:t>
      </w:r>
      <w:proofErr w:type="gramEnd"/>
      <w:r w:rsidRPr="00F707E9">
        <w:rPr>
          <w:rFonts w:ascii="Times New Roman" w:hAnsi="Times New Roman" w:cs="Times New Roman"/>
        </w:rPr>
        <w:t> </w:t>
      </w:r>
      <w:r w:rsidRPr="00F707E9">
        <w:rPr>
          <w:rFonts w:ascii="Times New Roman" w:hAnsi="Times New Roman" w:cs="Times New Roman"/>
          <w:i/>
          <w:iCs/>
        </w:rPr>
        <w:t>Journal of Agricultural Education</w:t>
      </w:r>
      <w:r w:rsidRPr="00F707E9">
        <w:rPr>
          <w:rFonts w:ascii="Times New Roman" w:hAnsi="Times New Roman" w:cs="Times New Roman"/>
        </w:rPr>
        <w:t>, </w:t>
      </w:r>
      <w:r w:rsidRPr="00F707E9">
        <w:rPr>
          <w:rFonts w:ascii="Times New Roman" w:hAnsi="Times New Roman" w:cs="Times New Roman"/>
          <w:i/>
          <w:iCs/>
        </w:rPr>
        <w:t>64</w:t>
      </w:r>
      <w:r w:rsidRPr="00F707E9">
        <w:rPr>
          <w:rFonts w:ascii="Times New Roman" w:hAnsi="Times New Roman" w:cs="Times New Roman"/>
        </w:rPr>
        <w:t>(3), 261–273. https://doi.org/10.5032/jae.v64i3.80</w:t>
      </w:r>
    </w:p>
    <w:p w14:paraId="1E0866A7" w14:textId="77777777" w:rsidR="00F707E9" w:rsidRPr="00F707E9" w:rsidRDefault="00F707E9" w:rsidP="00F707E9">
      <w:pPr>
        <w:spacing w:after="0" w:line="240" w:lineRule="auto"/>
        <w:ind w:left="720" w:hanging="720"/>
        <w:rPr>
          <w:rFonts w:ascii="Times New Roman" w:hAnsi="Times New Roman" w:cs="Times New Roman"/>
          <w:color w:val="000000" w:themeColor="text1"/>
        </w:rPr>
      </w:pPr>
      <w:r w:rsidRPr="00F707E9">
        <w:rPr>
          <w:rFonts w:ascii="Times New Roman" w:hAnsi="Times New Roman" w:cs="Times New Roman"/>
          <w:color w:val="000000" w:themeColor="text1"/>
        </w:rPr>
        <w:t>Wells, T., &amp; Hainline, M. S. (2021). Examining Teachers’ Agricultural Mechanics Professional Development Needs: A National Study.</w:t>
      </w:r>
      <w:r w:rsidRPr="00F707E9">
        <w:rPr>
          <w:rStyle w:val="apple-converted-space"/>
          <w:rFonts w:ascii="Times New Roman" w:hAnsi="Times New Roman" w:cs="Times New Roman"/>
          <w:color w:val="000000" w:themeColor="text1"/>
        </w:rPr>
        <w:t> </w:t>
      </w:r>
      <w:r w:rsidRPr="00F707E9">
        <w:rPr>
          <w:rFonts w:ascii="Times New Roman" w:hAnsi="Times New Roman" w:cs="Times New Roman"/>
          <w:i/>
          <w:iCs/>
          <w:color w:val="000000" w:themeColor="text1"/>
        </w:rPr>
        <w:t>Journal of Agricultural Education</w:t>
      </w:r>
      <w:r w:rsidRPr="00F707E9">
        <w:rPr>
          <w:rFonts w:ascii="Times New Roman" w:hAnsi="Times New Roman" w:cs="Times New Roman"/>
          <w:color w:val="000000" w:themeColor="text1"/>
        </w:rPr>
        <w:t>,</w:t>
      </w:r>
      <w:r w:rsidRPr="00F707E9">
        <w:rPr>
          <w:rStyle w:val="apple-converted-space"/>
          <w:rFonts w:ascii="Times New Roman" w:hAnsi="Times New Roman" w:cs="Times New Roman"/>
          <w:color w:val="000000" w:themeColor="text1"/>
        </w:rPr>
        <w:t> </w:t>
      </w:r>
      <w:r w:rsidRPr="00F707E9">
        <w:rPr>
          <w:rFonts w:ascii="Times New Roman" w:hAnsi="Times New Roman" w:cs="Times New Roman"/>
          <w:i/>
          <w:iCs/>
          <w:color w:val="000000" w:themeColor="text1"/>
        </w:rPr>
        <w:t>62</w:t>
      </w:r>
      <w:r w:rsidRPr="00F707E9">
        <w:rPr>
          <w:rFonts w:ascii="Times New Roman" w:hAnsi="Times New Roman" w:cs="Times New Roman"/>
          <w:color w:val="000000" w:themeColor="text1"/>
        </w:rPr>
        <w:t>(2), 217–238. https://doi.org/10.5032/jae.2021.02217</w:t>
      </w:r>
    </w:p>
    <w:p w14:paraId="4356CBBE" w14:textId="77777777" w:rsidR="00F707E9" w:rsidRPr="00F707E9" w:rsidRDefault="00F707E9" w:rsidP="00F707E9">
      <w:pPr>
        <w:spacing w:after="0" w:line="240" w:lineRule="auto"/>
        <w:rPr>
          <w:rFonts w:ascii="Times New Roman" w:hAnsi="Times New Roman" w:cs="Times New Roman"/>
        </w:rPr>
      </w:pPr>
    </w:p>
    <w:p w14:paraId="73D2FEE7" w14:textId="77777777" w:rsidR="00F707E9" w:rsidRPr="00F707E9" w:rsidRDefault="00F707E9" w:rsidP="00F707E9">
      <w:pPr>
        <w:spacing w:after="0" w:line="240" w:lineRule="auto"/>
        <w:rPr>
          <w:rFonts w:ascii="Times New Roman" w:hAnsi="Times New Roman" w:cs="Times New Roman"/>
        </w:rPr>
      </w:pPr>
    </w:p>
    <w:p w14:paraId="3372D113" w14:textId="77777777" w:rsidR="00F370FC" w:rsidRPr="00F707E9" w:rsidRDefault="00F370FC">
      <w:pPr>
        <w:rPr>
          <w:rFonts w:ascii="Times New Roman" w:hAnsi="Times New Roman" w:cs="Times New Roman"/>
        </w:rPr>
      </w:pPr>
    </w:p>
    <w:sectPr w:rsidR="00F370FC" w:rsidRPr="00F707E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6CB12" w14:textId="77777777" w:rsidR="006F4A9C" w:rsidRDefault="006F4A9C" w:rsidP="00F707E9">
      <w:pPr>
        <w:spacing w:after="0" w:line="240" w:lineRule="auto"/>
      </w:pPr>
      <w:r>
        <w:separator/>
      </w:r>
    </w:p>
  </w:endnote>
  <w:endnote w:type="continuationSeparator" w:id="0">
    <w:p w14:paraId="553A140D" w14:textId="77777777" w:rsidR="006F4A9C" w:rsidRDefault="006F4A9C" w:rsidP="00F7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D8BFF" w14:textId="77777777" w:rsidR="006F4A9C" w:rsidRDefault="006F4A9C" w:rsidP="00F707E9">
      <w:pPr>
        <w:spacing w:after="0" w:line="240" w:lineRule="auto"/>
      </w:pPr>
      <w:r>
        <w:separator/>
      </w:r>
    </w:p>
  </w:footnote>
  <w:footnote w:type="continuationSeparator" w:id="0">
    <w:p w14:paraId="4EB3FD4E" w14:textId="77777777" w:rsidR="006F4A9C" w:rsidRDefault="006F4A9C" w:rsidP="00F70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A094" w14:textId="7B576735" w:rsidR="00F707E9" w:rsidRPr="00F707E9" w:rsidRDefault="00D41AB4" w:rsidP="00F707E9">
    <w:pPr>
      <w:pStyle w:val="Header"/>
      <w:jc w:val="right"/>
      <w:rPr>
        <w:rFonts w:ascii="Times New Roman" w:hAnsi="Times New Roman" w:cs="Times New Roman"/>
      </w:rPr>
    </w:pPr>
    <w:r>
      <w:rPr>
        <w:rFonts w:ascii="Times New Roman" w:hAnsi="Times New Roman" w:cs="Times New Roman"/>
      </w:rPr>
      <w:t xml:space="preserve">Faculty Oral/Poster </w:t>
    </w:r>
    <w:r w:rsidR="00F707E9">
      <w:rPr>
        <w:rFonts w:ascii="Times New Roman" w:hAnsi="Times New Roman" w:cs="Times New Roman"/>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E9"/>
    <w:rsid w:val="00093618"/>
    <w:rsid w:val="000F446E"/>
    <w:rsid w:val="00166EDC"/>
    <w:rsid w:val="001D075B"/>
    <w:rsid w:val="00323728"/>
    <w:rsid w:val="003E76DE"/>
    <w:rsid w:val="00547C4C"/>
    <w:rsid w:val="005624BC"/>
    <w:rsid w:val="00665B80"/>
    <w:rsid w:val="006853CD"/>
    <w:rsid w:val="006A2468"/>
    <w:rsid w:val="006F4A9C"/>
    <w:rsid w:val="00907C16"/>
    <w:rsid w:val="00AD58AD"/>
    <w:rsid w:val="00C41A77"/>
    <w:rsid w:val="00CB7A17"/>
    <w:rsid w:val="00D41AB4"/>
    <w:rsid w:val="00DC2FCA"/>
    <w:rsid w:val="00F370FC"/>
    <w:rsid w:val="00F70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3B75A"/>
  <w15:chartTrackingRefBased/>
  <w15:docId w15:val="{74A47311-8C40-344E-BD3D-ADACBE91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7E9"/>
  </w:style>
  <w:style w:type="paragraph" w:styleId="Heading1">
    <w:name w:val="heading 1"/>
    <w:basedOn w:val="Normal"/>
    <w:next w:val="Normal"/>
    <w:link w:val="Heading1Char"/>
    <w:uiPriority w:val="9"/>
    <w:qFormat/>
    <w:rsid w:val="00F707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07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7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7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7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7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7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7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7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07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7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7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7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7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7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7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7E9"/>
    <w:rPr>
      <w:rFonts w:eastAsiaTheme="majorEastAsia" w:cstheme="majorBidi"/>
      <w:color w:val="272727" w:themeColor="text1" w:themeTint="D8"/>
    </w:rPr>
  </w:style>
  <w:style w:type="paragraph" w:styleId="Title">
    <w:name w:val="Title"/>
    <w:basedOn w:val="Normal"/>
    <w:next w:val="Normal"/>
    <w:link w:val="TitleChar"/>
    <w:uiPriority w:val="10"/>
    <w:qFormat/>
    <w:rsid w:val="00F707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7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7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7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7E9"/>
    <w:pPr>
      <w:spacing w:before="160"/>
      <w:jc w:val="center"/>
    </w:pPr>
    <w:rPr>
      <w:i/>
      <w:iCs/>
      <w:color w:val="404040" w:themeColor="text1" w:themeTint="BF"/>
    </w:rPr>
  </w:style>
  <w:style w:type="character" w:customStyle="1" w:styleId="QuoteChar">
    <w:name w:val="Quote Char"/>
    <w:basedOn w:val="DefaultParagraphFont"/>
    <w:link w:val="Quote"/>
    <w:uiPriority w:val="29"/>
    <w:rsid w:val="00F707E9"/>
    <w:rPr>
      <w:i/>
      <w:iCs/>
      <w:color w:val="404040" w:themeColor="text1" w:themeTint="BF"/>
    </w:rPr>
  </w:style>
  <w:style w:type="paragraph" w:styleId="ListParagraph">
    <w:name w:val="List Paragraph"/>
    <w:basedOn w:val="Normal"/>
    <w:uiPriority w:val="34"/>
    <w:qFormat/>
    <w:rsid w:val="00F707E9"/>
    <w:pPr>
      <w:ind w:left="720"/>
      <w:contextualSpacing/>
    </w:pPr>
  </w:style>
  <w:style w:type="character" w:styleId="IntenseEmphasis">
    <w:name w:val="Intense Emphasis"/>
    <w:basedOn w:val="DefaultParagraphFont"/>
    <w:uiPriority w:val="21"/>
    <w:qFormat/>
    <w:rsid w:val="00F707E9"/>
    <w:rPr>
      <w:i/>
      <w:iCs/>
      <w:color w:val="0F4761" w:themeColor="accent1" w:themeShade="BF"/>
    </w:rPr>
  </w:style>
  <w:style w:type="paragraph" w:styleId="IntenseQuote">
    <w:name w:val="Intense Quote"/>
    <w:basedOn w:val="Normal"/>
    <w:next w:val="Normal"/>
    <w:link w:val="IntenseQuoteChar"/>
    <w:uiPriority w:val="30"/>
    <w:qFormat/>
    <w:rsid w:val="00F707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7E9"/>
    <w:rPr>
      <w:i/>
      <w:iCs/>
      <w:color w:val="0F4761" w:themeColor="accent1" w:themeShade="BF"/>
    </w:rPr>
  </w:style>
  <w:style w:type="character" w:styleId="IntenseReference">
    <w:name w:val="Intense Reference"/>
    <w:basedOn w:val="DefaultParagraphFont"/>
    <w:uiPriority w:val="32"/>
    <w:qFormat/>
    <w:rsid w:val="00F707E9"/>
    <w:rPr>
      <w:b/>
      <w:bCs/>
      <w:smallCaps/>
      <w:color w:val="0F4761" w:themeColor="accent1" w:themeShade="BF"/>
      <w:spacing w:val="5"/>
    </w:rPr>
  </w:style>
  <w:style w:type="table" w:styleId="TableGrid">
    <w:name w:val="Table Grid"/>
    <w:basedOn w:val="TableNormal"/>
    <w:uiPriority w:val="39"/>
    <w:rsid w:val="00F70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707E9"/>
  </w:style>
  <w:style w:type="paragraph" w:styleId="NormalWeb">
    <w:name w:val="Normal (Web)"/>
    <w:basedOn w:val="Normal"/>
    <w:uiPriority w:val="99"/>
    <w:unhideWhenUsed/>
    <w:rsid w:val="00F707E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F707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7E9"/>
  </w:style>
  <w:style w:type="paragraph" w:styleId="Footer">
    <w:name w:val="footer"/>
    <w:basedOn w:val="Normal"/>
    <w:link w:val="FooterChar"/>
    <w:uiPriority w:val="99"/>
    <w:unhideWhenUsed/>
    <w:rsid w:val="00F707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7E9"/>
  </w:style>
  <w:style w:type="character" w:styleId="Hyperlink">
    <w:name w:val="Hyperlink"/>
    <w:basedOn w:val="DefaultParagraphFont"/>
    <w:uiPriority w:val="99"/>
    <w:unhideWhenUsed/>
    <w:rsid w:val="00D41AB4"/>
    <w:rPr>
      <w:color w:val="467886" w:themeColor="hyperlink"/>
      <w:u w:val="single"/>
    </w:rPr>
  </w:style>
  <w:style w:type="character" w:styleId="UnresolvedMention">
    <w:name w:val="Unresolved Mention"/>
    <w:basedOn w:val="DefaultParagraphFont"/>
    <w:uiPriority w:val="99"/>
    <w:semiHidden/>
    <w:unhideWhenUsed/>
    <w:rsid w:val="00D41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stin.perry@montana.edu" TargetMode="External"/><Relationship Id="rId3" Type="http://schemas.openxmlformats.org/officeDocument/2006/relationships/webSettings" Target="webSettings.xml"/><Relationship Id="rId7" Type="http://schemas.openxmlformats.org/officeDocument/2006/relationships/hyperlink" Target="mailto:r_a461@txstat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rah.parks@lockhart.txed.ne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891</Words>
  <Characters>5080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Parks</dc:creator>
  <cp:keywords/>
  <dc:description/>
  <cp:lastModifiedBy>Anderson, Ryan G</cp:lastModifiedBy>
  <cp:revision>2</cp:revision>
  <dcterms:created xsi:type="dcterms:W3CDTF">2025-10-17T02:13:00Z</dcterms:created>
  <dcterms:modified xsi:type="dcterms:W3CDTF">2025-10-17T02:13:00Z</dcterms:modified>
</cp:coreProperties>
</file>