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E5687" w14:textId="77777777" w:rsidR="00D87C86" w:rsidRDefault="00D87C86" w:rsidP="0072745E">
      <w:pPr>
        <w:spacing w:after="0" w:line="240" w:lineRule="auto"/>
        <w:jc w:val="center"/>
        <w:rPr>
          <w:rFonts w:ascii="Times New Roman" w:hAnsi="Times New Roman" w:cs="Times New Roman"/>
          <w:b/>
          <w:bCs/>
        </w:rPr>
      </w:pPr>
    </w:p>
    <w:p w14:paraId="6C709CD6" w14:textId="77777777" w:rsidR="00D87C86" w:rsidRDefault="00D87C86" w:rsidP="0072745E">
      <w:pPr>
        <w:spacing w:after="0" w:line="240" w:lineRule="auto"/>
        <w:jc w:val="center"/>
        <w:rPr>
          <w:rFonts w:ascii="Times New Roman" w:hAnsi="Times New Roman" w:cs="Times New Roman"/>
          <w:b/>
          <w:bCs/>
        </w:rPr>
      </w:pPr>
    </w:p>
    <w:p w14:paraId="55F1E724" w14:textId="77777777" w:rsidR="00D87C86" w:rsidRDefault="00D87C86" w:rsidP="0072745E">
      <w:pPr>
        <w:spacing w:after="0" w:line="240" w:lineRule="auto"/>
        <w:jc w:val="center"/>
        <w:rPr>
          <w:rFonts w:ascii="Times New Roman" w:hAnsi="Times New Roman" w:cs="Times New Roman"/>
          <w:b/>
          <w:bCs/>
        </w:rPr>
      </w:pPr>
    </w:p>
    <w:p w14:paraId="136977EE" w14:textId="77777777" w:rsidR="00D87C86" w:rsidRDefault="00D87C86" w:rsidP="0072745E">
      <w:pPr>
        <w:spacing w:after="0" w:line="240" w:lineRule="auto"/>
        <w:jc w:val="center"/>
        <w:rPr>
          <w:rFonts w:ascii="Times New Roman" w:hAnsi="Times New Roman" w:cs="Times New Roman"/>
          <w:b/>
          <w:bCs/>
        </w:rPr>
      </w:pPr>
    </w:p>
    <w:p w14:paraId="10C937DE" w14:textId="77777777" w:rsidR="00D87C86" w:rsidRDefault="00D87C86" w:rsidP="0072745E">
      <w:pPr>
        <w:spacing w:after="0" w:line="240" w:lineRule="auto"/>
        <w:jc w:val="center"/>
        <w:rPr>
          <w:rFonts w:ascii="Times New Roman" w:hAnsi="Times New Roman" w:cs="Times New Roman"/>
          <w:b/>
          <w:bCs/>
        </w:rPr>
      </w:pPr>
    </w:p>
    <w:p w14:paraId="11CD0891" w14:textId="77777777" w:rsidR="00D87C86" w:rsidRDefault="00D87C86" w:rsidP="0072745E">
      <w:pPr>
        <w:spacing w:after="0" w:line="240" w:lineRule="auto"/>
        <w:jc w:val="center"/>
        <w:rPr>
          <w:rFonts w:ascii="Times New Roman" w:hAnsi="Times New Roman" w:cs="Times New Roman"/>
          <w:b/>
          <w:bCs/>
        </w:rPr>
      </w:pPr>
    </w:p>
    <w:p w14:paraId="66DCA488" w14:textId="77777777" w:rsidR="00D87C86" w:rsidRDefault="00D87C86" w:rsidP="0072745E">
      <w:pPr>
        <w:spacing w:after="0" w:line="240" w:lineRule="auto"/>
        <w:jc w:val="center"/>
        <w:rPr>
          <w:rFonts w:ascii="Times New Roman" w:hAnsi="Times New Roman" w:cs="Times New Roman"/>
          <w:b/>
          <w:bCs/>
        </w:rPr>
      </w:pPr>
    </w:p>
    <w:p w14:paraId="4D67B639" w14:textId="77777777" w:rsidR="00D87C86" w:rsidRDefault="00D87C86" w:rsidP="0072745E">
      <w:pPr>
        <w:spacing w:after="0" w:line="240" w:lineRule="auto"/>
        <w:jc w:val="center"/>
        <w:rPr>
          <w:rFonts w:ascii="Times New Roman" w:hAnsi="Times New Roman" w:cs="Times New Roman"/>
          <w:b/>
          <w:bCs/>
        </w:rPr>
      </w:pPr>
    </w:p>
    <w:p w14:paraId="43008A36" w14:textId="77777777" w:rsidR="00D87C86" w:rsidRDefault="00D87C86" w:rsidP="0072745E">
      <w:pPr>
        <w:spacing w:after="0" w:line="240" w:lineRule="auto"/>
        <w:jc w:val="center"/>
        <w:rPr>
          <w:rFonts w:ascii="Times New Roman" w:hAnsi="Times New Roman" w:cs="Times New Roman"/>
          <w:b/>
          <w:bCs/>
        </w:rPr>
      </w:pPr>
    </w:p>
    <w:p w14:paraId="01B7C4BF" w14:textId="77777777" w:rsidR="00D87C86" w:rsidRDefault="00D87C86" w:rsidP="0072745E">
      <w:pPr>
        <w:spacing w:after="0" w:line="240" w:lineRule="auto"/>
        <w:jc w:val="center"/>
        <w:rPr>
          <w:rFonts w:ascii="Times New Roman" w:hAnsi="Times New Roman" w:cs="Times New Roman"/>
          <w:b/>
          <w:bCs/>
        </w:rPr>
      </w:pPr>
    </w:p>
    <w:p w14:paraId="59A4DD20" w14:textId="77777777" w:rsidR="00D87C86" w:rsidRDefault="00D87C86" w:rsidP="0072745E">
      <w:pPr>
        <w:spacing w:after="0" w:line="240" w:lineRule="auto"/>
        <w:jc w:val="center"/>
        <w:rPr>
          <w:rFonts w:ascii="Times New Roman" w:hAnsi="Times New Roman" w:cs="Times New Roman"/>
          <w:b/>
          <w:bCs/>
        </w:rPr>
      </w:pPr>
    </w:p>
    <w:p w14:paraId="6D0A00B8" w14:textId="77777777" w:rsidR="00D87C86" w:rsidRDefault="00D87C86" w:rsidP="0072745E">
      <w:pPr>
        <w:spacing w:after="0" w:line="240" w:lineRule="auto"/>
        <w:jc w:val="center"/>
        <w:rPr>
          <w:rFonts w:ascii="Times New Roman" w:hAnsi="Times New Roman" w:cs="Times New Roman"/>
          <w:b/>
          <w:bCs/>
        </w:rPr>
      </w:pPr>
    </w:p>
    <w:p w14:paraId="79A6B113" w14:textId="77777777" w:rsidR="00D87C86" w:rsidRDefault="00D87C86" w:rsidP="0072745E">
      <w:pPr>
        <w:spacing w:after="0" w:line="240" w:lineRule="auto"/>
        <w:jc w:val="center"/>
        <w:rPr>
          <w:rFonts w:ascii="Times New Roman" w:hAnsi="Times New Roman" w:cs="Times New Roman"/>
          <w:b/>
          <w:bCs/>
        </w:rPr>
      </w:pPr>
    </w:p>
    <w:p w14:paraId="0E5D4F58" w14:textId="77777777" w:rsidR="00D87C86" w:rsidRDefault="00D87C86" w:rsidP="0072745E">
      <w:pPr>
        <w:spacing w:after="0" w:line="240" w:lineRule="auto"/>
        <w:jc w:val="center"/>
        <w:rPr>
          <w:rFonts w:ascii="Times New Roman" w:hAnsi="Times New Roman" w:cs="Times New Roman"/>
          <w:b/>
          <w:bCs/>
        </w:rPr>
      </w:pPr>
    </w:p>
    <w:p w14:paraId="683D5488" w14:textId="77777777" w:rsidR="00D87C86" w:rsidRDefault="00D87C86" w:rsidP="0072745E">
      <w:pPr>
        <w:spacing w:after="0" w:line="240" w:lineRule="auto"/>
        <w:jc w:val="center"/>
        <w:rPr>
          <w:rFonts w:ascii="Times New Roman" w:hAnsi="Times New Roman" w:cs="Times New Roman"/>
          <w:b/>
          <w:bCs/>
        </w:rPr>
      </w:pPr>
    </w:p>
    <w:p w14:paraId="6BD35FEF" w14:textId="77777777" w:rsidR="00D87C86" w:rsidRDefault="00D87C86" w:rsidP="0072745E">
      <w:pPr>
        <w:spacing w:after="0" w:line="240" w:lineRule="auto"/>
        <w:jc w:val="center"/>
        <w:rPr>
          <w:rFonts w:ascii="Times New Roman" w:hAnsi="Times New Roman" w:cs="Times New Roman"/>
          <w:b/>
          <w:bCs/>
        </w:rPr>
      </w:pPr>
    </w:p>
    <w:p w14:paraId="3578CD37" w14:textId="0AE41A58" w:rsidR="00C91411" w:rsidRDefault="00C91411" w:rsidP="0072745E">
      <w:pPr>
        <w:spacing w:after="0" w:line="240" w:lineRule="auto"/>
        <w:jc w:val="center"/>
        <w:rPr>
          <w:rFonts w:ascii="Times New Roman" w:hAnsi="Times New Roman" w:cs="Times New Roman"/>
          <w:b/>
          <w:bCs/>
        </w:rPr>
      </w:pPr>
      <w:r w:rsidRPr="00A6272A">
        <w:rPr>
          <w:rFonts w:ascii="Times New Roman" w:hAnsi="Times New Roman" w:cs="Times New Roman"/>
          <w:b/>
          <w:bCs/>
        </w:rPr>
        <w:t xml:space="preserve">Determining the Impact of a Small Gas Engine Workshop on the Importance to Teach </w:t>
      </w:r>
    </w:p>
    <w:p w14:paraId="5091064C" w14:textId="77777777" w:rsidR="00D87C86" w:rsidRDefault="00D87C86" w:rsidP="0072745E">
      <w:pPr>
        <w:spacing w:after="0" w:line="240" w:lineRule="auto"/>
        <w:jc w:val="center"/>
        <w:rPr>
          <w:rFonts w:ascii="Times New Roman" w:hAnsi="Times New Roman" w:cs="Times New Roman"/>
          <w:b/>
          <w:bCs/>
        </w:rPr>
      </w:pPr>
    </w:p>
    <w:p w14:paraId="6981171B" w14:textId="77777777" w:rsidR="00BC2888" w:rsidRPr="00572725" w:rsidRDefault="00BC2888" w:rsidP="00BC2888">
      <w:pPr>
        <w:spacing w:line="240" w:lineRule="auto"/>
        <w:jc w:val="center"/>
        <w:rPr>
          <w:rFonts w:ascii="Times New Roman" w:hAnsi="Times New Roman" w:cs="Times New Roman"/>
        </w:rPr>
      </w:pPr>
      <w:r>
        <w:rPr>
          <w:rFonts w:ascii="Times New Roman" w:hAnsi="Times New Roman" w:cs="Times New Roman"/>
        </w:rPr>
        <w:t>Sarah Parks</w:t>
      </w:r>
      <w:r w:rsidRPr="00572725">
        <w:rPr>
          <w:rFonts w:ascii="Times New Roman" w:hAnsi="Times New Roman" w:cs="Times New Roman"/>
          <w:vertAlign w:val="superscript"/>
        </w:rPr>
        <w:t>1</w:t>
      </w:r>
      <w:r>
        <w:rPr>
          <w:rFonts w:ascii="Times New Roman" w:hAnsi="Times New Roman" w:cs="Times New Roman"/>
        </w:rPr>
        <w:t xml:space="preserve">, </w:t>
      </w:r>
      <w:r w:rsidRPr="00572725">
        <w:rPr>
          <w:rFonts w:ascii="Times New Roman" w:hAnsi="Times New Roman" w:cs="Times New Roman"/>
        </w:rPr>
        <w:t>Dr. Ryan G. Anderson</w:t>
      </w:r>
      <w:r>
        <w:rPr>
          <w:rFonts w:ascii="Times New Roman" w:hAnsi="Times New Roman" w:cs="Times New Roman"/>
          <w:vertAlign w:val="superscript"/>
        </w:rPr>
        <w:t xml:space="preserve">2 &amp; </w:t>
      </w:r>
      <w:r>
        <w:rPr>
          <w:rFonts w:ascii="Times New Roman" w:hAnsi="Times New Roman" w:cs="Times New Roman"/>
        </w:rPr>
        <w:t>Dr. Dusty Perry</w:t>
      </w:r>
      <w:r>
        <w:rPr>
          <w:rFonts w:ascii="Times New Roman" w:hAnsi="Times New Roman" w:cs="Times New Roman"/>
          <w:vertAlign w:val="superscript"/>
        </w:rPr>
        <w:t>3</w:t>
      </w:r>
    </w:p>
    <w:p w14:paraId="1860655D" w14:textId="77777777" w:rsidR="00BC2888" w:rsidRPr="00572725" w:rsidRDefault="00BC2888" w:rsidP="00BC2888">
      <w:pPr>
        <w:spacing w:line="240" w:lineRule="auto"/>
        <w:jc w:val="center"/>
        <w:rPr>
          <w:rFonts w:ascii="Times New Roman" w:hAnsi="Times New Roman" w:cs="Times New Roman"/>
        </w:rPr>
      </w:pPr>
    </w:p>
    <w:p w14:paraId="451D729B" w14:textId="77777777" w:rsidR="00BC2888" w:rsidRPr="00572725" w:rsidRDefault="00BC2888" w:rsidP="00BC2888">
      <w:pPr>
        <w:spacing w:line="240" w:lineRule="auto"/>
        <w:jc w:val="center"/>
        <w:rPr>
          <w:rFonts w:ascii="Times New Roman" w:hAnsi="Times New Roman" w:cs="Times New Roman"/>
        </w:rPr>
      </w:pPr>
    </w:p>
    <w:p w14:paraId="15C28BA3" w14:textId="77777777" w:rsidR="00BC2888" w:rsidRPr="00572725" w:rsidRDefault="00BC2888" w:rsidP="00BC2888">
      <w:pPr>
        <w:spacing w:line="240" w:lineRule="auto"/>
        <w:jc w:val="center"/>
        <w:rPr>
          <w:rFonts w:ascii="Times New Roman" w:hAnsi="Times New Roman" w:cs="Times New Roman"/>
        </w:rPr>
      </w:pPr>
    </w:p>
    <w:p w14:paraId="6373B232" w14:textId="77777777" w:rsidR="00BC2888" w:rsidRPr="00572725" w:rsidRDefault="00BC2888" w:rsidP="00BC2888">
      <w:pPr>
        <w:spacing w:line="240" w:lineRule="auto"/>
        <w:jc w:val="center"/>
        <w:rPr>
          <w:rFonts w:ascii="Times New Roman" w:hAnsi="Times New Roman" w:cs="Times New Roman"/>
        </w:rPr>
      </w:pPr>
    </w:p>
    <w:p w14:paraId="68881B07" w14:textId="77777777" w:rsidR="00BC2888" w:rsidRPr="00572725" w:rsidRDefault="00BC2888" w:rsidP="00BC2888">
      <w:pPr>
        <w:spacing w:line="240" w:lineRule="auto"/>
        <w:jc w:val="center"/>
        <w:rPr>
          <w:rFonts w:ascii="Times New Roman" w:hAnsi="Times New Roman" w:cs="Times New Roman"/>
        </w:rPr>
      </w:pPr>
    </w:p>
    <w:p w14:paraId="1535225B" w14:textId="77777777" w:rsidR="00BC2888" w:rsidRDefault="00BC2888" w:rsidP="00BC2888">
      <w:pPr>
        <w:spacing w:line="240" w:lineRule="auto"/>
        <w:rPr>
          <w:rFonts w:ascii="Times New Roman" w:hAnsi="Times New Roman" w:cs="Times New Roman"/>
        </w:rPr>
      </w:pPr>
    </w:p>
    <w:p w14:paraId="3273C3A4" w14:textId="77777777" w:rsidR="00BC2888" w:rsidRDefault="00BC2888" w:rsidP="00BC2888">
      <w:pPr>
        <w:spacing w:line="240" w:lineRule="auto"/>
        <w:jc w:val="center"/>
        <w:rPr>
          <w:rFonts w:ascii="Times New Roman" w:hAnsi="Times New Roman" w:cs="Times New Roman"/>
        </w:rPr>
      </w:pPr>
    </w:p>
    <w:p w14:paraId="1E254877" w14:textId="77777777" w:rsidR="00BC2888" w:rsidRDefault="00BC2888" w:rsidP="00BC2888">
      <w:pPr>
        <w:spacing w:line="240" w:lineRule="auto"/>
        <w:jc w:val="center"/>
        <w:rPr>
          <w:rFonts w:ascii="Times New Roman" w:hAnsi="Times New Roman" w:cs="Times New Roman"/>
        </w:rPr>
      </w:pPr>
    </w:p>
    <w:p w14:paraId="1759C790" w14:textId="77777777" w:rsidR="00BC2888" w:rsidRPr="00572725" w:rsidRDefault="00BC2888" w:rsidP="00BC2888">
      <w:pPr>
        <w:spacing w:line="240" w:lineRule="auto"/>
        <w:jc w:val="center"/>
        <w:rPr>
          <w:rFonts w:ascii="Times New Roman" w:hAnsi="Times New Roman" w:cs="Times New Roman"/>
        </w:rPr>
      </w:pPr>
    </w:p>
    <w:p w14:paraId="6A4999FB" w14:textId="77777777" w:rsidR="00BC2888" w:rsidRDefault="00BC2888" w:rsidP="00BC2888">
      <w:pPr>
        <w:spacing w:line="240" w:lineRule="auto"/>
        <w:jc w:val="center"/>
        <w:rPr>
          <w:rFonts w:ascii="Times New Roman" w:hAnsi="Times New Roman" w:cs="Times New Roman"/>
        </w:rPr>
      </w:pPr>
    </w:p>
    <w:p w14:paraId="24A514A4" w14:textId="77777777" w:rsidR="00BC2888" w:rsidRDefault="00BC2888" w:rsidP="00BC2888">
      <w:pPr>
        <w:spacing w:line="240" w:lineRule="auto"/>
        <w:jc w:val="center"/>
        <w:rPr>
          <w:rFonts w:ascii="Times New Roman" w:hAnsi="Times New Roman" w:cs="Times New Roman"/>
        </w:rPr>
      </w:pPr>
    </w:p>
    <w:p w14:paraId="6C15A4FA" w14:textId="77777777" w:rsidR="00BC2888" w:rsidRPr="00572725" w:rsidRDefault="00BC2888" w:rsidP="00BC2888">
      <w:pPr>
        <w:spacing w:line="240" w:lineRule="auto"/>
        <w:jc w:val="center"/>
        <w:rPr>
          <w:rFonts w:ascii="Times New Roman" w:hAnsi="Times New Roman" w:cs="Times New Roman"/>
        </w:rPr>
      </w:pPr>
    </w:p>
    <w:p w14:paraId="1566FD04" w14:textId="77777777" w:rsidR="00BC2888" w:rsidRPr="00D41AB4" w:rsidRDefault="00BC2888" w:rsidP="00BC2888">
      <w:pPr>
        <w:spacing w:line="240" w:lineRule="auto"/>
        <w:jc w:val="center"/>
        <w:rPr>
          <w:rFonts w:ascii="Times New Roman" w:hAnsi="Times New Roman" w:cs="Times New Roman"/>
        </w:rPr>
      </w:pPr>
      <w:r w:rsidRPr="00572725">
        <w:rPr>
          <w:rFonts w:ascii="Times New Roman" w:hAnsi="Times New Roman" w:cs="Times New Roman"/>
          <w:vertAlign w:val="superscript"/>
        </w:rPr>
        <w:t>1</w:t>
      </w:r>
      <w:r>
        <w:rPr>
          <w:rFonts w:ascii="Times New Roman" w:hAnsi="Times New Roman" w:cs="Times New Roman"/>
        </w:rPr>
        <w:t>Sarah Parks</w:t>
      </w:r>
      <w:r w:rsidRPr="00572725">
        <w:rPr>
          <w:rFonts w:ascii="Times New Roman" w:hAnsi="Times New Roman" w:cs="Times New Roman"/>
        </w:rPr>
        <w:t>, a</w:t>
      </w:r>
      <w:r>
        <w:rPr>
          <w:rFonts w:ascii="Times New Roman" w:hAnsi="Times New Roman" w:cs="Times New Roman"/>
        </w:rPr>
        <w:t>n Agricultural Science Teacher at Lockhart Independent School District</w:t>
      </w:r>
      <w:r w:rsidRPr="00572725">
        <w:rPr>
          <w:rFonts w:ascii="Times New Roman" w:hAnsi="Times New Roman" w:cs="Times New Roman"/>
        </w:rPr>
        <w:t xml:space="preserve">, </w:t>
      </w:r>
      <w:hyperlink r:id="rId6" w:history="1">
        <w:r w:rsidRPr="00D41AB4">
          <w:rPr>
            <w:rStyle w:val="Hyperlink"/>
            <w:rFonts w:ascii="Times New Roman" w:hAnsi="Times New Roman" w:cs="Times New Roman"/>
          </w:rPr>
          <w:t>sarah.parks@lockhart.txed.net</w:t>
        </w:r>
      </w:hyperlink>
    </w:p>
    <w:p w14:paraId="2B052F09" w14:textId="77777777" w:rsidR="00BC2888" w:rsidRPr="00C4160D" w:rsidRDefault="00BC2888" w:rsidP="00BC2888">
      <w:pPr>
        <w:spacing w:line="240" w:lineRule="auto"/>
        <w:jc w:val="center"/>
        <w:rPr>
          <w:rFonts w:ascii="Times New Roman" w:hAnsi="Times New Roman" w:cs="Times New Roman"/>
        </w:rPr>
      </w:pPr>
      <w:r w:rsidRPr="00572725">
        <w:rPr>
          <w:rFonts w:ascii="Times New Roman" w:hAnsi="Times New Roman" w:cs="Times New Roman"/>
          <w:vertAlign w:val="superscript"/>
        </w:rPr>
        <w:t>2</w:t>
      </w:r>
      <w:r w:rsidRPr="00572725">
        <w:rPr>
          <w:rFonts w:ascii="Times New Roman" w:hAnsi="Times New Roman" w:cs="Times New Roman"/>
        </w:rPr>
        <w:t xml:space="preserve">Dr. Ryan G. Anderson, an Associate Professor in the Department of Agricultural Sciences at Texas State University, </w:t>
      </w:r>
      <w:hyperlink r:id="rId7" w:history="1">
        <w:r w:rsidRPr="00572725">
          <w:rPr>
            <w:rStyle w:val="Hyperlink"/>
            <w:rFonts w:ascii="Times New Roman" w:hAnsi="Times New Roman" w:cs="Times New Roman"/>
          </w:rPr>
          <w:t>r_a461@txstate.edu</w:t>
        </w:r>
      </w:hyperlink>
      <w:r w:rsidRPr="00572725">
        <w:rPr>
          <w:rFonts w:ascii="Times New Roman" w:hAnsi="Times New Roman" w:cs="Times New Roman"/>
        </w:rPr>
        <w:t xml:space="preserve"> </w:t>
      </w:r>
    </w:p>
    <w:p w14:paraId="00EA4909" w14:textId="77777777" w:rsidR="00BC2888" w:rsidRPr="00C4160D" w:rsidRDefault="00BC2888" w:rsidP="00BC2888">
      <w:pPr>
        <w:spacing w:after="0" w:line="240" w:lineRule="auto"/>
        <w:jc w:val="center"/>
        <w:rPr>
          <w:rFonts w:ascii="Times New Roman" w:hAnsi="Times New Roman" w:cs="Times New Roman"/>
        </w:rPr>
      </w:pPr>
      <w:r w:rsidRPr="00C4160D">
        <w:rPr>
          <w:rFonts w:ascii="Times New Roman" w:hAnsi="Times New Roman" w:cs="Times New Roman"/>
          <w:vertAlign w:val="superscript"/>
        </w:rPr>
        <w:t>3</w:t>
      </w:r>
      <w:r w:rsidRPr="00C4160D">
        <w:rPr>
          <w:rFonts w:ascii="Times New Roman" w:hAnsi="Times New Roman" w:cs="Times New Roman"/>
        </w:rPr>
        <w:t>Dr. Dusty Perry, an Associate Professor in at Montana State University</w:t>
      </w:r>
      <w:r>
        <w:rPr>
          <w:rFonts w:ascii="Times New Roman" w:hAnsi="Times New Roman" w:cs="Times New Roman"/>
        </w:rPr>
        <w:t xml:space="preserve">, </w:t>
      </w:r>
      <w:r w:rsidRPr="00572725">
        <w:rPr>
          <w:rFonts w:ascii="Times New Roman" w:hAnsi="Times New Roman" w:cs="Times New Roman"/>
        </w:rPr>
        <w:t>Department of Agricultural</w:t>
      </w:r>
      <w:r>
        <w:rPr>
          <w:rFonts w:ascii="Times New Roman" w:hAnsi="Times New Roman" w:cs="Times New Roman"/>
        </w:rPr>
        <w:t xml:space="preserve"> &amp; Technology Education,</w:t>
      </w:r>
      <w:r w:rsidRPr="00572725">
        <w:rPr>
          <w:rFonts w:ascii="Times New Roman" w:hAnsi="Times New Roman" w:cs="Times New Roman"/>
        </w:rPr>
        <w:t xml:space="preserve"> </w:t>
      </w:r>
      <w:hyperlink r:id="rId8" w:history="1">
        <w:r w:rsidRPr="004267DF">
          <w:rPr>
            <w:rStyle w:val="Hyperlink"/>
            <w:rFonts w:ascii="Times New Roman" w:hAnsi="Times New Roman" w:cs="Times New Roman"/>
          </w:rPr>
          <w:t>dustin.perry@montana.edu</w:t>
        </w:r>
      </w:hyperlink>
      <w:r>
        <w:rPr>
          <w:rFonts w:ascii="Times New Roman" w:hAnsi="Times New Roman" w:cs="Times New Roman"/>
        </w:rPr>
        <w:t xml:space="preserve"> </w:t>
      </w:r>
    </w:p>
    <w:p w14:paraId="5A376196" w14:textId="77777777" w:rsidR="00D87C86" w:rsidRDefault="00D87C86" w:rsidP="0072745E">
      <w:pPr>
        <w:spacing w:after="0" w:line="240" w:lineRule="auto"/>
        <w:jc w:val="center"/>
        <w:rPr>
          <w:rFonts w:ascii="Times New Roman" w:hAnsi="Times New Roman" w:cs="Times New Roman"/>
          <w:b/>
          <w:bCs/>
        </w:rPr>
      </w:pPr>
    </w:p>
    <w:p w14:paraId="2610A3B6" w14:textId="1A8BF81B" w:rsidR="00C91411" w:rsidRPr="00F92F41" w:rsidRDefault="00C91411" w:rsidP="00A21704">
      <w:pPr>
        <w:spacing w:after="0" w:line="240" w:lineRule="auto"/>
        <w:rPr>
          <w:rFonts w:ascii="Times New Roman" w:hAnsi="Times New Roman" w:cs="Times New Roman"/>
          <w:b/>
          <w:bCs/>
        </w:rPr>
      </w:pPr>
      <w:r w:rsidRPr="00A6272A">
        <w:rPr>
          <w:rFonts w:ascii="Times New Roman" w:hAnsi="Times New Roman" w:cs="Times New Roman"/>
          <w:b/>
          <w:bCs/>
        </w:rPr>
        <w:lastRenderedPageBreak/>
        <w:t>Introduction</w:t>
      </w:r>
      <w:r w:rsidR="00F92F41">
        <w:rPr>
          <w:rFonts w:ascii="Times New Roman" w:hAnsi="Times New Roman" w:cs="Times New Roman"/>
          <w:b/>
          <w:bCs/>
        </w:rPr>
        <w:t xml:space="preserve">- </w:t>
      </w:r>
      <w:r w:rsidRPr="00C91411">
        <w:rPr>
          <w:rFonts w:ascii="Times New Roman" w:eastAsia="Times New Roman" w:hAnsi="Times New Roman" w:cs="Times New Roman"/>
        </w:rPr>
        <w:t xml:space="preserve">Teacher educators have indicated that teaching agricultural mechanics, including small gas engines, is important. Therefore, there is a need for sufficient preparation for school-based agricultural education (SBAE) teachers in agricultural mechanics (Burris et al., 2005). Comparably, Granberry et al. (2023) found that the majority of pre-service teachers across the United States have some agricultural mechanics training available to them during their preparation program in SBAE. Rasty and Anderson (2025) identified 102 skills in agricultural mechanics that are deemed important to teach in the future. Rasty and Anderson (2025) suggested that to change the views of SBAE teachers on specific skills, industry professionals should provide insight into the skills needed in the workforce. Shultz et al. (2014) determined that small gas engine safety was considered one of the ten most important skills to be taught in agricultural mechanics. </w:t>
      </w:r>
    </w:p>
    <w:p w14:paraId="22F9BE78" w14:textId="77777777" w:rsidR="00A21704" w:rsidRPr="00C91411" w:rsidRDefault="00A21704" w:rsidP="00A21704">
      <w:pPr>
        <w:spacing w:after="0" w:line="240" w:lineRule="auto"/>
        <w:rPr>
          <w:rFonts w:ascii="Times New Roman" w:hAnsi="Times New Roman" w:cs="Times New Roman"/>
          <w:b/>
          <w:bCs/>
        </w:rPr>
      </w:pPr>
    </w:p>
    <w:p w14:paraId="0CCF5D46" w14:textId="5F87F859" w:rsidR="00C91411" w:rsidRPr="00F92F41" w:rsidRDefault="00C91411" w:rsidP="00F92F41">
      <w:pPr>
        <w:spacing w:after="0" w:line="240" w:lineRule="auto"/>
        <w:rPr>
          <w:rFonts w:ascii="Times New Roman" w:eastAsia="Times New Roman" w:hAnsi="Times New Roman" w:cs="Times New Roman"/>
          <w:sz w:val="22"/>
          <w:szCs w:val="22"/>
        </w:rPr>
      </w:pPr>
      <w:r w:rsidRPr="00A6272A">
        <w:rPr>
          <w:rFonts w:ascii="Times New Roman" w:hAnsi="Times New Roman" w:cs="Times New Roman"/>
          <w:b/>
          <w:bCs/>
        </w:rPr>
        <w:t>Theoretical Framework</w:t>
      </w:r>
      <w:r w:rsidR="00F92F41">
        <w:rPr>
          <w:rFonts w:ascii="Times New Roman" w:eastAsia="Times New Roman" w:hAnsi="Times New Roman" w:cs="Times New Roman"/>
          <w:sz w:val="22"/>
          <w:szCs w:val="22"/>
        </w:rPr>
        <w:t xml:space="preserve">- </w:t>
      </w:r>
      <w:r w:rsidRPr="00A6272A">
        <w:rPr>
          <w:rFonts w:ascii="Times New Roman" w:hAnsi="Times New Roman" w:cs="Times New Roman"/>
        </w:rPr>
        <w:t xml:space="preserve">The Experiential Learning Theory (ELT) was used to guide this study. Kolb and Kolb (2006) </w:t>
      </w:r>
      <w:r w:rsidR="0072745E" w:rsidRPr="00A6272A">
        <w:rPr>
          <w:rFonts w:ascii="Times New Roman" w:hAnsi="Times New Roman" w:cs="Times New Roman"/>
        </w:rPr>
        <w:t>suggest</w:t>
      </w:r>
      <w:r w:rsidRPr="00A6272A">
        <w:rPr>
          <w:rFonts w:ascii="Times New Roman" w:hAnsi="Times New Roman" w:cs="Times New Roman"/>
        </w:rPr>
        <w:t xml:space="preserve"> learning plays a major role in the development of humans and the way someone learns can determine their growth personally. The first step in the learning cycle in ELT is Concrete Experience, or the step where the learner is actively listening and engaged. The second step of the learning cycle in ELT is Reflective Observation and Interpretation where the learner can build upon what they have learned. The third step of the learning cycle in ELT is Abstract Conceptualization where learners are interpreting what they have learned and experienced</w:t>
      </w:r>
      <w:r w:rsidR="00354736">
        <w:rPr>
          <w:rFonts w:ascii="Times New Roman" w:hAnsi="Times New Roman" w:cs="Times New Roman"/>
        </w:rPr>
        <w:t>.</w:t>
      </w:r>
      <w:r w:rsidRPr="00A6272A">
        <w:rPr>
          <w:rFonts w:ascii="Times New Roman" w:hAnsi="Times New Roman" w:cs="Times New Roman"/>
        </w:rPr>
        <w:t xml:space="preserve"> The fourth and final step of the learning cycle in ELT is Active Experimentation where learners can apply what they have learned</w:t>
      </w:r>
      <w:r w:rsidR="00F92F41">
        <w:rPr>
          <w:rFonts w:ascii="Times New Roman" w:hAnsi="Times New Roman" w:cs="Times New Roman"/>
        </w:rPr>
        <w:t>.</w:t>
      </w:r>
    </w:p>
    <w:p w14:paraId="758A7741" w14:textId="77777777" w:rsidR="00A21704" w:rsidRPr="00A6272A" w:rsidRDefault="00A21704" w:rsidP="00A21704">
      <w:pPr>
        <w:tabs>
          <w:tab w:val="center" w:pos="4680"/>
          <w:tab w:val="left" w:pos="6316"/>
        </w:tabs>
        <w:spacing w:after="0" w:line="240" w:lineRule="auto"/>
        <w:ind w:firstLine="720"/>
        <w:rPr>
          <w:rFonts w:ascii="Times New Roman" w:hAnsi="Times New Roman" w:cs="Times New Roman"/>
          <w:b/>
          <w:bCs/>
        </w:rPr>
      </w:pPr>
    </w:p>
    <w:p w14:paraId="6BAE1C8A" w14:textId="4872E6C0" w:rsidR="00C91411" w:rsidRPr="00F92F41" w:rsidRDefault="00C91411" w:rsidP="00A21704">
      <w:pPr>
        <w:spacing w:after="0" w:line="240" w:lineRule="auto"/>
        <w:rPr>
          <w:rFonts w:ascii="Times New Roman" w:hAnsi="Times New Roman" w:cs="Times New Roman"/>
          <w:b/>
          <w:bCs/>
        </w:rPr>
      </w:pPr>
      <w:r w:rsidRPr="00A6272A">
        <w:rPr>
          <w:rFonts w:ascii="Times New Roman" w:hAnsi="Times New Roman" w:cs="Times New Roman"/>
          <w:b/>
          <w:bCs/>
        </w:rPr>
        <w:t>Purpose and Objectives</w:t>
      </w:r>
      <w:r w:rsidR="00F92F41">
        <w:rPr>
          <w:rFonts w:ascii="Times New Roman" w:hAnsi="Times New Roman" w:cs="Times New Roman"/>
          <w:b/>
          <w:bCs/>
        </w:rPr>
        <w:t xml:space="preserve">- </w:t>
      </w:r>
      <w:r w:rsidRPr="00A6272A">
        <w:rPr>
          <w:rFonts w:ascii="Times New Roman" w:hAnsi="Times New Roman" w:cs="Times New Roman"/>
        </w:rPr>
        <w:t xml:space="preserve">The purpose of this study is to determine the impact of a small gas engine workshop on the importance </w:t>
      </w:r>
      <w:r w:rsidR="00E43F9C" w:rsidRPr="00A6272A">
        <w:rPr>
          <w:rFonts w:ascii="Times New Roman" w:hAnsi="Times New Roman" w:cs="Times New Roman"/>
        </w:rPr>
        <w:t>of teaching</w:t>
      </w:r>
      <w:r w:rsidRPr="00A6272A">
        <w:rPr>
          <w:rFonts w:ascii="Times New Roman" w:hAnsi="Times New Roman" w:cs="Times New Roman"/>
        </w:rPr>
        <w:t xml:space="preserve"> small gas engines to students from SBAE </w:t>
      </w:r>
      <w:r>
        <w:rPr>
          <w:rFonts w:ascii="Times New Roman" w:hAnsi="Times New Roman" w:cs="Times New Roman"/>
        </w:rPr>
        <w:t>teacher</w:t>
      </w:r>
      <w:r w:rsidRPr="00A6272A">
        <w:rPr>
          <w:rFonts w:ascii="Times New Roman" w:hAnsi="Times New Roman" w:cs="Times New Roman"/>
        </w:rPr>
        <w:t>s</w:t>
      </w:r>
      <w:r>
        <w:rPr>
          <w:rFonts w:ascii="Times New Roman" w:hAnsi="Times New Roman" w:cs="Times New Roman"/>
        </w:rPr>
        <w:t>’</w:t>
      </w:r>
      <w:r w:rsidRPr="00A6272A">
        <w:rPr>
          <w:rFonts w:ascii="Times New Roman" w:hAnsi="Times New Roman" w:cs="Times New Roman"/>
        </w:rPr>
        <w:t xml:space="preserve"> perspectives. Our objectives for this study were to determine what impact was made on SBAE </w:t>
      </w:r>
      <w:r>
        <w:rPr>
          <w:rFonts w:ascii="Times New Roman" w:hAnsi="Times New Roman" w:cs="Times New Roman"/>
        </w:rPr>
        <w:t>teacher</w:t>
      </w:r>
      <w:r w:rsidRPr="00A6272A">
        <w:rPr>
          <w:rFonts w:ascii="Times New Roman" w:hAnsi="Times New Roman" w:cs="Times New Roman"/>
        </w:rPr>
        <w:t>s</w:t>
      </w:r>
      <w:r>
        <w:rPr>
          <w:rFonts w:ascii="Times New Roman" w:hAnsi="Times New Roman" w:cs="Times New Roman"/>
        </w:rPr>
        <w:t>’</w:t>
      </w:r>
      <w:r w:rsidRPr="00A6272A">
        <w:rPr>
          <w:rFonts w:ascii="Times New Roman" w:hAnsi="Times New Roman" w:cs="Times New Roman"/>
        </w:rPr>
        <w:t xml:space="preserve"> perceptions of importance to </w:t>
      </w:r>
      <w:r w:rsidR="00E43F9C" w:rsidRPr="00A6272A">
        <w:rPr>
          <w:rFonts w:ascii="Times New Roman" w:hAnsi="Times New Roman" w:cs="Times New Roman"/>
        </w:rPr>
        <w:t>teaching</w:t>
      </w:r>
      <w:r w:rsidRPr="00A6272A">
        <w:rPr>
          <w:rFonts w:ascii="Times New Roman" w:hAnsi="Times New Roman" w:cs="Times New Roman"/>
        </w:rPr>
        <w:t xml:space="preserve"> small gas </w:t>
      </w:r>
      <w:proofErr w:type="gramStart"/>
      <w:r w:rsidRPr="00A6272A">
        <w:rPr>
          <w:rFonts w:ascii="Times New Roman" w:hAnsi="Times New Roman" w:cs="Times New Roman"/>
        </w:rPr>
        <w:t>engine</w:t>
      </w:r>
      <w:proofErr w:type="gramEnd"/>
      <w:r w:rsidRPr="00A6272A">
        <w:rPr>
          <w:rFonts w:ascii="Times New Roman" w:hAnsi="Times New Roman" w:cs="Times New Roman"/>
        </w:rPr>
        <w:t>: 1) inspection and testing, 2) repair, and 3) theories and safety.</w:t>
      </w:r>
    </w:p>
    <w:p w14:paraId="4C3D6D32" w14:textId="77777777" w:rsidR="00A21704" w:rsidRDefault="00A21704" w:rsidP="00A21704">
      <w:pPr>
        <w:spacing w:after="0" w:line="240" w:lineRule="auto"/>
        <w:rPr>
          <w:rFonts w:ascii="Times New Roman" w:hAnsi="Times New Roman" w:cs="Times New Roman"/>
        </w:rPr>
      </w:pPr>
    </w:p>
    <w:p w14:paraId="6E39C1A1" w14:textId="286A7FA7" w:rsidR="00C91411" w:rsidRPr="00F92F41" w:rsidRDefault="00C91411" w:rsidP="00A21704">
      <w:pPr>
        <w:spacing w:after="0" w:line="240" w:lineRule="auto"/>
        <w:rPr>
          <w:rFonts w:ascii="Times New Roman" w:hAnsi="Times New Roman" w:cs="Times New Roman"/>
          <w:b/>
          <w:bCs/>
        </w:rPr>
      </w:pPr>
      <w:r w:rsidRPr="00A6272A">
        <w:rPr>
          <w:rFonts w:ascii="Times New Roman" w:hAnsi="Times New Roman" w:cs="Times New Roman"/>
          <w:b/>
          <w:bCs/>
        </w:rPr>
        <w:t>Methodology</w:t>
      </w:r>
      <w:r w:rsidR="00F92F41">
        <w:rPr>
          <w:rFonts w:ascii="Times New Roman" w:hAnsi="Times New Roman" w:cs="Times New Roman"/>
          <w:b/>
          <w:bCs/>
        </w:rPr>
        <w:t xml:space="preserve">- </w:t>
      </w:r>
      <w:r w:rsidRPr="00A6272A">
        <w:rPr>
          <w:rFonts w:ascii="Times New Roman" w:hAnsi="Times New Roman" w:cs="Times New Roman"/>
        </w:rPr>
        <w:t>This study was used to determine the impact of a small gas engine workshop on SBAE teachers perceived importance to teach small gas engines</w:t>
      </w:r>
      <w:r w:rsidR="00BB5EB0">
        <w:rPr>
          <w:rFonts w:ascii="Times New Roman" w:hAnsi="Times New Roman" w:cs="Times New Roman"/>
        </w:rPr>
        <w:t xml:space="preserve">. </w:t>
      </w:r>
      <w:r w:rsidRPr="00A6272A">
        <w:rPr>
          <w:rFonts w:ascii="Times New Roman" w:hAnsi="Times New Roman" w:cs="Times New Roman"/>
        </w:rPr>
        <w:t>This training was conducted over the first three days of a 10-day agricultural mechanics workshop replicated over four years. A paper-based survey was created to conduct a pre- and post-test</w:t>
      </w:r>
      <w:r w:rsidR="00F92F41">
        <w:rPr>
          <w:rFonts w:ascii="Times New Roman" w:hAnsi="Times New Roman" w:cs="Times New Roman"/>
        </w:rPr>
        <w:t>.</w:t>
      </w:r>
      <w:r w:rsidRPr="00A6272A">
        <w:rPr>
          <w:rFonts w:ascii="Times New Roman" w:hAnsi="Times New Roman" w:cs="Times New Roman"/>
        </w:rPr>
        <w:t xml:space="preserve"> </w:t>
      </w:r>
    </w:p>
    <w:p w14:paraId="0ABB3ABA" w14:textId="77777777" w:rsidR="00A21704" w:rsidRPr="00A6272A" w:rsidRDefault="00A21704" w:rsidP="00A21704">
      <w:pPr>
        <w:spacing w:after="0" w:line="240" w:lineRule="auto"/>
        <w:rPr>
          <w:rFonts w:ascii="Times New Roman" w:hAnsi="Times New Roman" w:cs="Times New Roman"/>
        </w:rPr>
      </w:pPr>
    </w:p>
    <w:p w14:paraId="0264EF2D" w14:textId="675835FC" w:rsidR="00C91411" w:rsidRPr="00F92F41" w:rsidRDefault="00C91411" w:rsidP="00F92F41">
      <w:pPr>
        <w:spacing w:after="0" w:line="240" w:lineRule="auto"/>
        <w:rPr>
          <w:rFonts w:ascii="Times New Roman" w:hAnsi="Times New Roman" w:cs="Times New Roman"/>
          <w:b/>
          <w:bCs/>
        </w:rPr>
      </w:pPr>
      <w:r w:rsidRPr="00A6272A">
        <w:rPr>
          <w:rFonts w:ascii="Times New Roman" w:hAnsi="Times New Roman" w:cs="Times New Roman"/>
          <w:b/>
          <w:bCs/>
        </w:rPr>
        <w:t>Results/Findings</w:t>
      </w:r>
      <w:r w:rsidR="00F92F41">
        <w:rPr>
          <w:rFonts w:ascii="Times New Roman" w:hAnsi="Times New Roman" w:cs="Times New Roman"/>
          <w:b/>
          <w:bCs/>
        </w:rPr>
        <w:t xml:space="preserve">- </w:t>
      </w:r>
      <w:r w:rsidR="00BB5EB0" w:rsidRPr="00BB5EB0">
        <w:rPr>
          <w:rFonts w:ascii="Times New Roman" w:hAnsi="Times New Roman" w:cs="Times New Roman"/>
        </w:rPr>
        <w:t xml:space="preserve">Based on the pre-test, teachers rated inspection and testing as very important, while repair and theory/safety were rated extremely important. There was a positive change in the mean difference scores from the pre-test and post-test for all </w:t>
      </w:r>
      <w:proofErr w:type="gramStart"/>
      <w:r w:rsidR="00BB5EB0" w:rsidRPr="00BB5EB0">
        <w:rPr>
          <w:rFonts w:ascii="Times New Roman" w:hAnsi="Times New Roman" w:cs="Times New Roman"/>
        </w:rPr>
        <w:t>constructs</w:t>
      </w:r>
      <w:proofErr w:type="gramEnd"/>
      <w:r w:rsidR="00BB5EB0" w:rsidRPr="00BB5EB0">
        <w:rPr>
          <w:rFonts w:ascii="Times New Roman" w:hAnsi="Times New Roman" w:cs="Times New Roman"/>
        </w:rPr>
        <w:t xml:space="preserve">. The change in mean differences resulted in all </w:t>
      </w:r>
      <w:proofErr w:type="gramStart"/>
      <w:r w:rsidR="00BB5EB0" w:rsidRPr="00BB5EB0">
        <w:rPr>
          <w:rFonts w:ascii="Times New Roman" w:hAnsi="Times New Roman" w:cs="Times New Roman"/>
        </w:rPr>
        <w:t>constructs</w:t>
      </w:r>
      <w:proofErr w:type="gramEnd"/>
      <w:r w:rsidR="00BB5EB0" w:rsidRPr="00BB5EB0">
        <w:rPr>
          <w:rFonts w:ascii="Times New Roman" w:hAnsi="Times New Roman" w:cs="Times New Roman"/>
        </w:rPr>
        <w:t xml:space="preserve"> being rated extremely important in the post-test. </w:t>
      </w:r>
    </w:p>
    <w:p w14:paraId="6D1BE1C5" w14:textId="1CE14DF2" w:rsidR="0072745E" w:rsidRPr="00F92F41" w:rsidRDefault="00C91411" w:rsidP="00F92F41">
      <w:pPr>
        <w:spacing w:before="240" w:after="0" w:line="240" w:lineRule="auto"/>
        <w:rPr>
          <w:rFonts w:ascii="Times New Roman" w:hAnsi="Times New Roman" w:cs="Times New Roman"/>
          <w:b/>
          <w:bCs/>
        </w:rPr>
      </w:pPr>
      <w:r w:rsidRPr="00A6272A">
        <w:rPr>
          <w:rFonts w:ascii="Times New Roman" w:hAnsi="Times New Roman" w:cs="Times New Roman"/>
          <w:b/>
          <w:bCs/>
        </w:rPr>
        <w:t>Conclusions/Implications/Recommendations</w:t>
      </w:r>
      <w:r w:rsidR="00F92F41">
        <w:rPr>
          <w:rFonts w:ascii="Times New Roman" w:hAnsi="Times New Roman" w:cs="Times New Roman"/>
          <w:b/>
          <w:bCs/>
        </w:rPr>
        <w:t xml:space="preserve">- </w:t>
      </w:r>
      <w:r w:rsidR="0072745E" w:rsidRPr="0072745E">
        <w:rPr>
          <w:rFonts w:ascii="Times New Roman" w:eastAsia="Times New Roman" w:hAnsi="Times New Roman" w:cs="Times New Roman"/>
        </w:rPr>
        <w:t xml:space="preserve">It can be concluded that SBAE teachers’ experience in a small gas engine workshop positively impacted their perceived importance of teaching small gas engines, with statistically significant changes in all three constructs and 45 of the 50 skills. Therefore, our results suggest that attending supplemental training enables teachers to gain a deeper understanding of what is important to teach in small gas engines. Our findings support those of Granberry et al. (2023), who indicated that supplementary training has impacted what teachers consider important to teach. Clark et al. (2021) suggested that educators who received low levels of training in a given subject area at the post-secondary level may avoid instructing in that subject. </w:t>
      </w:r>
    </w:p>
    <w:p w14:paraId="2F370A20" w14:textId="6A482763" w:rsidR="00C91411" w:rsidRPr="00A6272A" w:rsidRDefault="00C91411" w:rsidP="0072745E">
      <w:pPr>
        <w:spacing w:before="240" w:after="0" w:line="240" w:lineRule="auto"/>
        <w:jc w:val="center"/>
        <w:rPr>
          <w:rFonts w:ascii="Times New Roman" w:hAnsi="Times New Roman" w:cs="Times New Roman"/>
          <w:b/>
          <w:bCs/>
        </w:rPr>
      </w:pPr>
      <w:r w:rsidRPr="00A6272A">
        <w:rPr>
          <w:rFonts w:ascii="Times New Roman" w:hAnsi="Times New Roman" w:cs="Times New Roman"/>
          <w:b/>
          <w:bCs/>
        </w:rPr>
        <w:lastRenderedPageBreak/>
        <w:t>References</w:t>
      </w:r>
    </w:p>
    <w:p w14:paraId="3A50A9E3" w14:textId="015C299C" w:rsidR="00C91411" w:rsidRPr="00A6272A" w:rsidRDefault="00C91411" w:rsidP="0072745E">
      <w:pPr>
        <w:pStyle w:val="NormalWeb"/>
        <w:spacing w:before="0" w:beforeAutospacing="0" w:after="0" w:afterAutospacing="0"/>
        <w:ind w:left="562" w:hanging="562"/>
      </w:pPr>
      <w:r w:rsidRPr="00A6272A">
        <w:t xml:space="preserve">Burris, S., Robinson, J. S., &amp; Terry, J. (2005). Preparation </w:t>
      </w:r>
      <w:r w:rsidR="00E43F9C">
        <w:t>o</w:t>
      </w:r>
      <w:r w:rsidRPr="00A6272A">
        <w:t xml:space="preserve">f </w:t>
      </w:r>
      <w:r w:rsidR="00E43F9C">
        <w:t>p</w:t>
      </w:r>
      <w:r w:rsidRPr="00A6272A">
        <w:t>re-</w:t>
      </w:r>
      <w:r w:rsidR="00E43F9C">
        <w:t>s</w:t>
      </w:r>
      <w:r w:rsidRPr="00A6272A">
        <w:t xml:space="preserve">ervice </w:t>
      </w:r>
      <w:r w:rsidR="00E43F9C">
        <w:t>t</w:t>
      </w:r>
      <w:r w:rsidRPr="00A6272A">
        <w:t xml:space="preserve">eachers </w:t>
      </w:r>
      <w:r w:rsidR="00E43F9C">
        <w:t>i</w:t>
      </w:r>
      <w:r w:rsidRPr="00A6272A">
        <w:t xml:space="preserve">n </w:t>
      </w:r>
      <w:r w:rsidR="00E43F9C">
        <w:t>a</w:t>
      </w:r>
      <w:r w:rsidRPr="00A6272A">
        <w:t xml:space="preserve">gricultural </w:t>
      </w:r>
      <w:r w:rsidR="00E43F9C">
        <w:t>m</w:t>
      </w:r>
      <w:r w:rsidR="00E43F9C" w:rsidRPr="00A6272A">
        <w:t>echanics</w:t>
      </w:r>
      <w:r w:rsidRPr="00A6272A">
        <w:t>. </w:t>
      </w:r>
      <w:r w:rsidRPr="00A6272A">
        <w:rPr>
          <w:i/>
          <w:iCs/>
        </w:rPr>
        <w:t>Journal of Agricultural Education</w:t>
      </w:r>
      <w:r w:rsidRPr="00A6272A">
        <w:t>, </w:t>
      </w:r>
      <w:r w:rsidRPr="00A6272A">
        <w:rPr>
          <w:i/>
          <w:iCs/>
        </w:rPr>
        <w:t>46</w:t>
      </w:r>
      <w:r w:rsidRPr="00A6272A">
        <w:t>(3), 23–34. https://doi.org/10.5032/jae.2005.03023</w:t>
      </w:r>
    </w:p>
    <w:p w14:paraId="43922987" w14:textId="101A0E4A" w:rsidR="00C91411" w:rsidRPr="00A6272A" w:rsidRDefault="00C91411" w:rsidP="0072745E">
      <w:pPr>
        <w:pStyle w:val="NormalWeb"/>
        <w:spacing w:before="0" w:beforeAutospacing="0" w:after="0" w:afterAutospacing="0"/>
        <w:ind w:left="720" w:hanging="720"/>
        <w:rPr>
          <w:color w:val="000000" w:themeColor="text1"/>
        </w:rPr>
      </w:pPr>
      <w:r w:rsidRPr="00A6272A">
        <w:rPr>
          <w:color w:val="000000" w:themeColor="text1"/>
        </w:rPr>
        <w:t xml:space="preserve">Clark, T. K., Anderson, R., &amp; Paulsen, T. H. (2021). Agricultural </w:t>
      </w:r>
      <w:r w:rsidR="00E43F9C">
        <w:rPr>
          <w:color w:val="000000" w:themeColor="text1"/>
        </w:rPr>
        <w:t>m</w:t>
      </w:r>
      <w:r w:rsidRPr="00A6272A">
        <w:rPr>
          <w:color w:val="000000" w:themeColor="text1"/>
        </w:rPr>
        <w:t xml:space="preserve">echanics </w:t>
      </w:r>
      <w:r w:rsidR="00E43F9C">
        <w:rPr>
          <w:color w:val="000000" w:themeColor="text1"/>
        </w:rPr>
        <w:t>p</w:t>
      </w:r>
      <w:r w:rsidRPr="00A6272A">
        <w:rPr>
          <w:color w:val="000000" w:themeColor="text1"/>
        </w:rPr>
        <w:t xml:space="preserve">reparation: How </w:t>
      </w:r>
      <w:r w:rsidR="00E43F9C">
        <w:rPr>
          <w:color w:val="000000" w:themeColor="text1"/>
        </w:rPr>
        <w:t>m</w:t>
      </w:r>
      <w:r w:rsidRPr="00A6272A">
        <w:rPr>
          <w:color w:val="000000" w:themeColor="text1"/>
        </w:rPr>
        <w:t xml:space="preserve">uch </w:t>
      </w:r>
      <w:r w:rsidR="00E43F9C">
        <w:rPr>
          <w:color w:val="000000" w:themeColor="text1"/>
        </w:rPr>
        <w:t>d</w:t>
      </w:r>
      <w:r w:rsidRPr="00A6272A">
        <w:rPr>
          <w:color w:val="000000" w:themeColor="text1"/>
        </w:rPr>
        <w:t xml:space="preserve">o School Based Agricultural Education Teachers </w:t>
      </w:r>
      <w:proofErr w:type="gramStart"/>
      <w:r w:rsidR="00E43F9C">
        <w:rPr>
          <w:color w:val="000000" w:themeColor="text1"/>
        </w:rPr>
        <w:t>r</w:t>
      </w:r>
      <w:r w:rsidR="00E43F9C" w:rsidRPr="00A6272A">
        <w:rPr>
          <w:color w:val="000000" w:themeColor="text1"/>
        </w:rPr>
        <w:t>eceive</w:t>
      </w:r>
      <w:r w:rsidRPr="00A6272A">
        <w:rPr>
          <w:color w:val="000000" w:themeColor="text1"/>
        </w:rPr>
        <w:t>?.</w:t>
      </w:r>
      <w:proofErr w:type="gramEnd"/>
      <w:r w:rsidRPr="00A6272A">
        <w:rPr>
          <w:color w:val="000000" w:themeColor="text1"/>
        </w:rPr>
        <w:t> </w:t>
      </w:r>
      <w:r w:rsidRPr="00A6272A">
        <w:rPr>
          <w:i/>
          <w:iCs/>
          <w:color w:val="000000" w:themeColor="text1"/>
        </w:rPr>
        <w:t>Journal of Agricultural Education</w:t>
      </w:r>
      <w:r w:rsidRPr="00A6272A">
        <w:rPr>
          <w:color w:val="000000" w:themeColor="text1"/>
        </w:rPr>
        <w:t>, </w:t>
      </w:r>
      <w:r w:rsidRPr="00A6272A">
        <w:rPr>
          <w:i/>
          <w:iCs/>
          <w:color w:val="000000" w:themeColor="text1"/>
        </w:rPr>
        <w:t>62</w:t>
      </w:r>
      <w:r w:rsidRPr="00A6272A">
        <w:rPr>
          <w:color w:val="000000" w:themeColor="text1"/>
        </w:rPr>
        <w:t>(1), 17–28. https://doi.org/10.5032/jae.2021.01017</w:t>
      </w:r>
    </w:p>
    <w:p w14:paraId="5950057F" w14:textId="77777777" w:rsidR="00C91411" w:rsidRPr="00A6272A" w:rsidRDefault="00C91411" w:rsidP="0072745E">
      <w:pPr>
        <w:pStyle w:val="NormalWeb"/>
        <w:spacing w:before="0" w:beforeAutospacing="0" w:after="0" w:afterAutospacing="0"/>
        <w:ind w:left="567" w:hanging="567"/>
      </w:pPr>
      <w:r w:rsidRPr="00A6272A">
        <w:t>Granberry, T., Blackburn, J. J., &amp; Roberts, R. (2023). The state of agricultural mechanics in the preparation of school-based agricultural education teachers. </w:t>
      </w:r>
      <w:r w:rsidRPr="00A6272A">
        <w:rPr>
          <w:i/>
          <w:iCs/>
        </w:rPr>
        <w:t>Journal of Agricultural Education</w:t>
      </w:r>
      <w:r w:rsidRPr="00A6272A">
        <w:t>, </w:t>
      </w:r>
      <w:r w:rsidRPr="00A6272A">
        <w:rPr>
          <w:i/>
          <w:iCs/>
        </w:rPr>
        <w:t>64</w:t>
      </w:r>
      <w:r w:rsidRPr="00A6272A">
        <w:t>(4). https://doi.org/10.5032/jae.v64i4.160</w:t>
      </w:r>
    </w:p>
    <w:p w14:paraId="6DEFB0BA" w14:textId="77777777" w:rsidR="00C91411" w:rsidRPr="00A6272A" w:rsidRDefault="00C91411" w:rsidP="0072745E">
      <w:pPr>
        <w:pStyle w:val="NormalWeb"/>
        <w:spacing w:before="0" w:beforeAutospacing="0" w:after="0" w:afterAutospacing="0"/>
        <w:ind w:left="567" w:hanging="567"/>
      </w:pPr>
      <w:r w:rsidRPr="00A6272A">
        <w:t>Kolb, D. A. (2014). Experiential learning: Experience as the source of learning and development (2nd ed.). Upper Saddle River, New Jersey: Pearson Education LTD.</w:t>
      </w:r>
    </w:p>
    <w:p w14:paraId="1F5BB660" w14:textId="20E9F76C" w:rsidR="00C91411" w:rsidRPr="00A6272A" w:rsidRDefault="00C91411" w:rsidP="0072745E">
      <w:pPr>
        <w:pStyle w:val="NormalWeb"/>
        <w:spacing w:before="0" w:beforeAutospacing="0" w:after="0" w:afterAutospacing="0"/>
        <w:ind w:left="720" w:hanging="720"/>
      </w:pPr>
      <w:r w:rsidRPr="00A6272A">
        <w:t xml:space="preserve">Kolb, A., &amp; Kolb, D. (2006). Learning </w:t>
      </w:r>
      <w:r w:rsidR="00E43F9C">
        <w:t>s</w:t>
      </w:r>
      <w:r w:rsidRPr="00A6272A">
        <w:t xml:space="preserve">tyles and </w:t>
      </w:r>
      <w:r w:rsidR="00E43F9C">
        <w:t>l</w:t>
      </w:r>
      <w:r w:rsidRPr="00A6272A">
        <w:t xml:space="preserve">earning </w:t>
      </w:r>
      <w:r w:rsidR="00E43F9C">
        <w:t>s</w:t>
      </w:r>
      <w:r w:rsidRPr="00A6272A">
        <w:t xml:space="preserve">paces: A </w:t>
      </w:r>
      <w:r w:rsidR="00E43F9C">
        <w:t>r</w:t>
      </w:r>
      <w:r w:rsidRPr="00A6272A">
        <w:t xml:space="preserve">eview of the </w:t>
      </w:r>
      <w:r w:rsidR="00E43F9C">
        <w:t>m</w:t>
      </w:r>
      <w:r w:rsidRPr="00A6272A">
        <w:t xml:space="preserve">ultidisciplinary </w:t>
      </w:r>
      <w:r w:rsidR="00E43F9C">
        <w:t>a</w:t>
      </w:r>
      <w:r w:rsidRPr="00A6272A">
        <w:t xml:space="preserve">pplication of </w:t>
      </w:r>
      <w:r w:rsidR="00E43F9C">
        <w:t>e</w:t>
      </w:r>
      <w:r w:rsidRPr="00A6272A">
        <w:t xml:space="preserve">xperiential </w:t>
      </w:r>
      <w:r w:rsidR="00E43F9C">
        <w:t>l</w:t>
      </w:r>
      <w:r w:rsidRPr="00A6272A">
        <w:t xml:space="preserve">earning </w:t>
      </w:r>
      <w:r w:rsidR="00E43F9C">
        <w:t>t</w:t>
      </w:r>
      <w:r w:rsidRPr="00A6272A">
        <w:t xml:space="preserve">heory of </w:t>
      </w:r>
      <w:r w:rsidR="00E43F9C">
        <w:t>h</w:t>
      </w:r>
      <w:r w:rsidRPr="00A6272A">
        <w:t xml:space="preserve">igher </w:t>
      </w:r>
      <w:r w:rsidR="00E43F9C">
        <w:t>e</w:t>
      </w:r>
      <w:r w:rsidRPr="00A6272A">
        <w:t xml:space="preserve">ducation. </w:t>
      </w:r>
      <w:r w:rsidR="00E43F9C">
        <w:rPr>
          <w:i/>
          <w:iCs/>
        </w:rPr>
        <w:t>l</w:t>
      </w:r>
      <w:r w:rsidRPr="00A6272A">
        <w:rPr>
          <w:i/>
          <w:iCs/>
        </w:rPr>
        <w:t xml:space="preserve">earning </w:t>
      </w:r>
      <w:r w:rsidR="00E43F9C">
        <w:rPr>
          <w:i/>
          <w:iCs/>
        </w:rPr>
        <w:t>s</w:t>
      </w:r>
      <w:r w:rsidRPr="00A6272A">
        <w:rPr>
          <w:i/>
          <w:iCs/>
        </w:rPr>
        <w:t xml:space="preserve">tyles and </w:t>
      </w:r>
      <w:r w:rsidR="00E43F9C">
        <w:rPr>
          <w:i/>
          <w:iCs/>
        </w:rPr>
        <w:t>l</w:t>
      </w:r>
      <w:r w:rsidRPr="00A6272A">
        <w:rPr>
          <w:i/>
          <w:iCs/>
        </w:rPr>
        <w:t>earning</w:t>
      </w:r>
      <w:r w:rsidRPr="00A6272A">
        <w:t xml:space="preserve">, 45–91. </w:t>
      </w:r>
    </w:p>
    <w:p w14:paraId="18CBA467" w14:textId="04F1A5BA" w:rsidR="00C91411" w:rsidRPr="00A6272A" w:rsidRDefault="00C91411" w:rsidP="0072745E">
      <w:pPr>
        <w:pStyle w:val="NormalWeb"/>
        <w:spacing w:before="0" w:beforeAutospacing="0" w:after="0" w:afterAutospacing="0"/>
        <w:ind w:left="720" w:hanging="720"/>
      </w:pPr>
      <w:r w:rsidRPr="00A6272A">
        <w:t xml:space="preserve">Rasty, J., &amp; Anderson, R. (2025). The </w:t>
      </w:r>
      <w:r w:rsidR="00E43F9C">
        <w:t>i</w:t>
      </w:r>
      <w:r w:rsidRPr="00A6272A">
        <w:t xml:space="preserve">mportance of </w:t>
      </w:r>
      <w:r w:rsidR="00E43F9C">
        <w:t>a</w:t>
      </w:r>
      <w:r w:rsidRPr="00A6272A">
        <w:t xml:space="preserve">gricultural </w:t>
      </w:r>
      <w:r w:rsidR="00E43F9C">
        <w:t>m</w:t>
      </w:r>
      <w:r w:rsidRPr="00A6272A">
        <w:t xml:space="preserve">echanics </w:t>
      </w:r>
      <w:r w:rsidR="00E43F9C">
        <w:t>s</w:t>
      </w:r>
      <w:r w:rsidRPr="00A6272A">
        <w:t xml:space="preserve">kills </w:t>
      </w:r>
      <w:r w:rsidR="00E43F9C">
        <w:t>t</w:t>
      </w:r>
      <w:r w:rsidRPr="00A6272A">
        <w:t xml:space="preserve">raining: </w:t>
      </w:r>
      <w:r w:rsidR="00E43F9C">
        <w:t>i</w:t>
      </w:r>
      <w:r w:rsidRPr="00A6272A">
        <w:t xml:space="preserve">mplications for </w:t>
      </w:r>
      <w:r w:rsidR="00E43F9C">
        <w:t>A</w:t>
      </w:r>
      <w:r w:rsidRPr="00A6272A">
        <w:t>gricultural Educators. </w:t>
      </w:r>
      <w:r w:rsidRPr="00A6272A">
        <w:rPr>
          <w:i/>
          <w:iCs/>
        </w:rPr>
        <w:t>Journal of Agricultural Systems, Technology, and Management</w:t>
      </w:r>
      <w:r w:rsidRPr="00A6272A">
        <w:t>, </w:t>
      </w:r>
      <w:r w:rsidRPr="00A6272A">
        <w:rPr>
          <w:i/>
          <w:iCs/>
        </w:rPr>
        <w:t>36</w:t>
      </w:r>
      <w:r w:rsidRPr="00A6272A">
        <w:t xml:space="preserve">(1). </w:t>
      </w:r>
    </w:p>
    <w:p w14:paraId="50D26747" w14:textId="77777777" w:rsidR="00F370FC" w:rsidRDefault="00F370FC" w:rsidP="0072745E">
      <w:pPr>
        <w:spacing w:after="0" w:line="240" w:lineRule="auto"/>
      </w:pPr>
    </w:p>
    <w:sectPr w:rsidR="00F370F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C18CB" w14:textId="77777777" w:rsidR="006A6C75" w:rsidRDefault="006A6C75" w:rsidP="007C063E">
      <w:pPr>
        <w:spacing w:after="0" w:line="240" w:lineRule="auto"/>
      </w:pPr>
      <w:r>
        <w:separator/>
      </w:r>
    </w:p>
  </w:endnote>
  <w:endnote w:type="continuationSeparator" w:id="0">
    <w:p w14:paraId="0DE80348" w14:textId="77777777" w:rsidR="006A6C75" w:rsidRDefault="006A6C75" w:rsidP="007C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30FA7" w14:textId="77777777" w:rsidR="006A6C75" w:rsidRDefault="006A6C75" w:rsidP="007C063E">
      <w:pPr>
        <w:spacing w:after="0" w:line="240" w:lineRule="auto"/>
      </w:pPr>
      <w:r>
        <w:separator/>
      </w:r>
    </w:p>
  </w:footnote>
  <w:footnote w:type="continuationSeparator" w:id="0">
    <w:p w14:paraId="56E0A9B2" w14:textId="77777777" w:rsidR="006A6C75" w:rsidRDefault="006A6C75" w:rsidP="007C06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1D224" w14:textId="537DCF54" w:rsidR="007C063E" w:rsidRPr="007C063E" w:rsidRDefault="00D87C86" w:rsidP="007C063E">
    <w:pPr>
      <w:pStyle w:val="Header"/>
      <w:jc w:val="right"/>
      <w:rPr>
        <w:rFonts w:ascii="Times New Roman" w:hAnsi="Times New Roman" w:cs="Times New Roman"/>
      </w:rPr>
    </w:pPr>
    <w:r>
      <w:rPr>
        <w:rFonts w:ascii="Times New Roman" w:hAnsi="Times New Roman" w:cs="Times New Roman"/>
      </w:rPr>
      <w:t xml:space="preserve">Faculty Oral/Poster </w:t>
    </w:r>
    <w:r w:rsidR="007C063E">
      <w:rPr>
        <w:rFonts w:ascii="Times New Roman" w:hAnsi="Times New Roman" w:cs="Times New Roman"/>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411"/>
    <w:rsid w:val="00093618"/>
    <w:rsid w:val="000C10D2"/>
    <w:rsid w:val="000F446E"/>
    <w:rsid w:val="002B406E"/>
    <w:rsid w:val="00323728"/>
    <w:rsid w:val="00354736"/>
    <w:rsid w:val="00547C4C"/>
    <w:rsid w:val="00665B80"/>
    <w:rsid w:val="006A6C75"/>
    <w:rsid w:val="0072745E"/>
    <w:rsid w:val="007C063E"/>
    <w:rsid w:val="008E7169"/>
    <w:rsid w:val="00A21704"/>
    <w:rsid w:val="00AD73B7"/>
    <w:rsid w:val="00B63707"/>
    <w:rsid w:val="00BB5EB0"/>
    <w:rsid w:val="00BC2888"/>
    <w:rsid w:val="00C91411"/>
    <w:rsid w:val="00D87C86"/>
    <w:rsid w:val="00E43F9C"/>
    <w:rsid w:val="00E46FD4"/>
    <w:rsid w:val="00F370FC"/>
    <w:rsid w:val="00F92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1D9FA"/>
  <w15:chartTrackingRefBased/>
  <w15:docId w15:val="{0D40675E-9596-3E40-BE8E-FB7323D32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411"/>
  </w:style>
  <w:style w:type="paragraph" w:styleId="Heading1">
    <w:name w:val="heading 1"/>
    <w:basedOn w:val="Normal"/>
    <w:next w:val="Normal"/>
    <w:link w:val="Heading1Char"/>
    <w:uiPriority w:val="9"/>
    <w:qFormat/>
    <w:rsid w:val="00C91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4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4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4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4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4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4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4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4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4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411"/>
    <w:rPr>
      <w:rFonts w:eastAsiaTheme="majorEastAsia" w:cstheme="majorBidi"/>
      <w:color w:val="272727" w:themeColor="text1" w:themeTint="D8"/>
    </w:rPr>
  </w:style>
  <w:style w:type="paragraph" w:styleId="Title">
    <w:name w:val="Title"/>
    <w:basedOn w:val="Normal"/>
    <w:next w:val="Normal"/>
    <w:link w:val="TitleChar"/>
    <w:uiPriority w:val="10"/>
    <w:qFormat/>
    <w:rsid w:val="00C91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4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411"/>
    <w:pPr>
      <w:spacing w:before="160"/>
      <w:jc w:val="center"/>
    </w:pPr>
    <w:rPr>
      <w:i/>
      <w:iCs/>
      <w:color w:val="404040" w:themeColor="text1" w:themeTint="BF"/>
    </w:rPr>
  </w:style>
  <w:style w:type="character" w:customStyle="1" w:styleId="QuoteChar">
    <w:name w:val="Quote Char"/>
    <w:basedOn w:val="DefaultParagraphFont"/>
    <w:link w:val="Quote"/>
    <w:uiPriority w:val="29"/>
    <w:rsid w:val="00C91411"/>
    <w:rPr>
      <w:i/>
      <w:iCs/>
      <w:color w:val="404040" w:themeColor="text1" w:themeTint="BF"/>
    </w:rPr>
  </w:style>
  <w:style w:type="paragraph" w:styleId="ListParagraph">
    <w:name w:val="List Paragraph"/>
    <w:basedOn w:val="Normal"/>
    <w:uiPriority w:val="34"/>
    <w:qFormat/>
    <w:rsid w:val="00C91411"/>
    <w:pPr>
      <w:ind w:left="720"/>
      <w:contextualSpacing/>
    </w:pPr>
  </w:style>
  <w:style w:type="character" w:styleId="IntenseEmphasis">
    <w:name w:val="Intense Emphasis"/>
    <w:basedOn w:val="DefaultParagraphFont"/>
    <w:uiPriority w:val="21"/>
    <w:qFormat/>
    <w:rsid w:val="00C91411"/>
    <w:rPr>
      <w:i/>
      <w:iCs/>
      <w:color w:val="0F4761" w:themeColor="accent1" w:themeShade="BF"/>
    </w:rPr>
  </w:style>
  <w:style w:type="paragraph" w:styleId="IntenseQuote">
    <w:name w:val="Intense Quote"/>
    <w:basedOn w:val="Normal"/>
    <w:next w:val="Normal"/>
    <w:link w:val="IntenseQuoteChar"/>
    <w:uiPriority w:val="30"/>
    <w:qFormat/>
    <w:rsid w:val="00C91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411"/>
    <w:rPr>
      <w:i/>
      <w:iCs/>
      <w:color w:val="0F4761" w:themeColor="accent1" w:themeShade="BF"/>
    </w:rPr>
  </w:style>
  <w:style w:type="character" w:styleId="IntenseReference">
    <w:name w:val="Intense Reference"/>
    <w:basedOn w:val="DefaultParagraphFont"/>
    <w:uiPriority w:val="32"/>
    <w:qFormat/>
    <w:rsid w:val="00C91411"/>
    <w:rPr>
      <w:b/>
      <w:bCs/>
      <w:smallCaps/>
      <w:color w:val="0F4761" w:themeColor="accent1" w:themeShade="BF"/>
      <w:spacing w:val="5"/>
    </w:rPr>
  </w:style>
  <w:style w:type="table" w:styleId="TableGrid">
    <w:name w:val="Table Grid"/>
    <w:basedOn w:val="TableNormal"/>
    <w:uiPriority w:val="39"/>
    <w:rsid w:val="00C91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141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91411"/>
  </w:style>
  <w:style w:type="paragraph" w:styleId="Header">
    <w:name w:val="header"/>
    <w:basedOn w:val="Normal"/>
    <w:link w:val="HeaderChar"/>
    <w:uiPriority w:val="99"/>
    <w:unhideWhenUsed/>
    <w:rsid w:val="007C06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63E"/>
  </w:style>
  <w:style w:type="paragraph" w:styleId="Footer">
    <w:name w:val="footer"/>
    <w:basedOn w:val="Normal"/>
    <w:link w:val="FooterChar"/>
    <w:uiPriority w:val="99"/>
    <w:unhideWhenUsed/>
    <w:rsid w:val="007C06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63E"/>
  </w:style>
  <w:style w:type="character" w:styleId="Hyperlink">
    <w:name w:val="Hyperlink"/>
    <w:basedOn w:val="DefaultParagraphFont"/>
    <w:uiPriority w:val="99"/>
    <w:unhideWhenUsed/>
    <w:rsid w:val="00D87C8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stin.perry@montana.edu" TargetMode="External"/><Relationship Id="rId3" Type="http://schemas.openxmlformats.org/officeDocument/2006/relationships/webSettings" Target="webSettings.xml"/><Relationship Id="rId7" Type="http://schemas.openxmlformats.org/officeDocument/2006/relationships/hyperlink" Target="mailto:r_a461@txstat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rah.parks@lockhart.txed.ne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Parks</dc:creator>
  <cp:keywords/>
  <dc:description/>
  <cp:lastModifiedBy>Anderson, Ryan G</cp:lastModifiedBy>
  <cp:revision>2</cp:revision>
  <dcterms:created xsi:type="dcterms:W3CDTF">2025-10-17T02:18:00Z</dcterms:created>
  <dcterms:modified xsi:type="dcterms:W3CDTF">2025-10-17T02:18:00Z</dcterms:modified>
</cp:coreProperties>
</file>