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D39D3" w14:textId="242AB2F7" w:rsidR="000566CC" w:rsidRDefault="00FC0E62">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North Carolina</w:t>
      </w:r>
      <w:r w:rsidRPr="001E26B7">
        <w:rPr>
          <w:rFonts w:ascii="Times New Roman" w:eastAsia="Times New Roman" w:hAnsi="Times New Roman" w:cs="Times New Roman"/>
          <w:b/>
          <w:bCs/>
          <w:sz w:val="24"/>
          <w:szCs w:val="24"/>
        </w:rPr>
        <w:t xml:space="preserve"> SBAE Teacher Perceptions of the FFA Affiliation Model</w:t>
      </w:r>
    </w:p>
    <w:p w14:paraId="57FEA304" w14:textId="77777777" w:rsidR="00FC0E62" w:rsidRDefault="00FC0E62">
      <w:pPr>
        <w:spacing w:line="240" w:lineRule="auto"/>
        <w:jc w:val="center"/>
        <w:rPr>
          <w:rFonts w:ascii="Times New Roman" w:eastAsia="Times New Roman" w:hAnsi="Times New Roman" w:cs="Times New Roman"/>
          <w:b/>
          <w:bCs/>
          <w:sz w:val="24"/>
          <w:szCs w:val="24"/>
        </w:rPr>
      </w:pPr>
    </w:p>
    <w:p w14:paraId="204091B2" w14:textId="04990220" w:rsidR="00FC0E62" w:rsidRDefault="00FC0E62">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Kayla L. Paglia, </w:t>
      </w:r>
      <w:r w:rsidRPr="00FC0E62">
        <w:rPr>
          <w:rFonts w:ascii="Times New Roman" w:eastAsia="Times New Roman" w:hAnsi="Times New Roman" w:cs="Times New Roman"/>
          <w:i/>
          <w:iCs/>
          <w:sz w:val="24"/>
          <w:szCs w:val="24"/>
        </w:rPr>
        <w:t>North Carolina State University</w:t>
      </w:r>
    </w:p>
    <w:p w14:paraId="43353290" w14:textId="0871B3D7" w:rsidR="00FC0E62" w:rsidRPr="00FC0E62" w:rsidRDefault="00FC0E62" w:rsidP="00FC0E62">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Travis D. Park, </w:t>
      </w:r>
      <w:r w:rsidRPr="00FC0E62">
        <w:rPr>
          <w:rFonts w:ascii="Times New Roman" w:eastAsia="Times New Roman" w:hAnsi="Times New Roman" w:cs="Times New Roman"/>
          <w:i/>
          <w:iCs/>
          <w:sz w:val="24"/>
          <w:szCs w:val="24"/>
        </w:rPr>
        <w:t>North Carolina State University</w:t>
      </w:r>
    </w:p>
    <w:p w14:paraId="645F9DCA" w14:textId="5FD4E91B" w:rsidR="00FC0E62" w:rsidRDefault="00FC0E62" w:rsidP="00FC0E62">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J. Simpson, </w:t>
      </w:r>
      <w:r w:rsidRPr="00FC0E62">
        <w:rPr>
          <w:rFonts w:ascii="Times New Roman" w:eastAsia="Times New Roman" w:hAnsi="Times New Roman" w:cs="Times New Roman"/>
          <w:i/>
          <w:iCs/>
          <w:sz w:val="24"/>
          <w:szCs w:val="24"/>
        </w:rPr>
        <w:t>North Carolina State University</w:t>
      </w:r>
    </w:p>
    <w:p w14:paraId="55E041B9" w14:textId="5E70D9E0" w:rsidR="000566CC" w:rsidRDefault="00FC0E62" w:rsidP="00FC0E62">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Misty D. Lambert, </w:t>
      </w:r>
      <w:r w:rsidRPr="00FC0E62">
        <w:rPr>
          <w:rFonts w:ascii="Times New Roman" w:eastAsia="Times New Roman" w:hAnsi="Times New Roman" w:cs="Times New Roman"/>
          <w:i/>
          <w:iCs/>
          <w:sz w:val="24"/>
          <w:szCs w:val="24"/>
        </w:rPr>
        <w:t>North Carolina State University</w:t>
      </w:r>
    </w:p>
    <w:p w14:paraId="2A530390" w14:textId="77777777" w:rsidR="000566CC" w:rsidRDefault="000566CC">
      <w:pPr>
        <w:spacing w:line="240" w:lineRule="auto"/>
        <w:rPr>
          <w:rFonts w:ascii="Times New Roman" w:eastAsia="Times New Roman" w:hAnsi="Times New Roman" w:cs="Times New Roman"/>
          <w:i/>
          <w:sz w:val="24"/>
          <w:szCs w:val="24"/>
        </w:rPr>
      </w:pPr>
    </w:p>
    <w:p w14:paraId="4DBC6D2D" w14:textId="77777777"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and Review of Literature </w:t>
      </w:r>
    </w:p>
    <w:p w14:paraId="50B52439" w14:textId="77777777" w:rsidR="000566CC" w:rsidRDefault="000566CC">
      <w:pPr>
        <w:spacing w:line="240" w:lineRule="auto"/>
        <w:jc w:val="center"/>
        <w:rPr>
          <w:rFonts w:ascii="Times New Roman" w:eastAsia="Times New Roman" w:hAnsi="Times New Roman" w:cs="Times New Roman"/>
          <w:b/>
          <w:sz w:val="24"/>
          <w:szCs w:val="24"/>
        </w:rPr>
      </w:pPr>
    </w:p>
    <w:p w14:paraId="503B867B"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FFA associations across the nation have varying ways of managing their FFA membership. An increasingly popular membership management strategy is affiliate membership. “Affiliate membership” is the membership management strategy where all agricultural education students are FFA members. Instead of students paying optional, individual FFA membership dues, chapters are charged an affiliation fee based on the number of students enrolled in their agricultural classes (National FFA Organization, 2022). The affiliate membership program was adopted in 2009 and is still considered to be a relatively new membership structure (Rada et al., 2025; Sheehan &amp; Moore, 2019; Sheehan et al., 2023). As agricultural education becomes increasingly popular, the National FFA Organization and its Board of Directors are guiding the organization toward 100% affiliation by 2028, celebrating the organization’s 100-year anniversary (National FFA Organization, 2025). By evaluating how different states and regions manage their membership, the National FFA organization can best navigate its membership decisions. </w:t>
      </w:r>
    </w:p>
    <w:p w14:paraId="16A30C7B" w14:textId="77777777" w:rsidR="000566CC" w:rsidRDefault="000566CC">
      <w:pPr>
        <w:spacing w:line="240" w:lineRule="auto"/>
        <w:ind w:firstLine="720"/>
        <w:rPr>
          <w:rFonts w:ascii="Times New Roman" w:eastAsia="Times New Roman" w:hAnsi="Times New Roman" w:cs="Times New Roman"/>
          <w:sz w:val="24"/>
          <w:szCs w:val="24"/>
        </w:rPr>
      </w:pPr>
    </w:p>
    <w:p w14:paraId="08227E76"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variety of studies have indicated both benefits and barriers of the FFA affiliation model. Teachers have expressed appreciation for no longer having to beg students to join the organization (Rada et al., 2025; Sheehan et al., 2023). Educators have found that affiliation has brought a greater diversity of students into their FFA program (Elliott &amp; Lambert, 2018; Phelps et al., 2012; Sheehan et al., 2023). Teachers also appreciate that affiliated membership is simpler to handle than organizing individual student dues and value how it relieves the financial burden on students (Sheehan et al., 2023). The number one concern of agricultural educators regarding FFA affiliation membership is how the program will be funded (Rada et al., 2025; Sheehan et al., 2023). Of the 20 associations that have 100% membership, seven are fully funded by government budgets, governor funds, or state departments of agriculture (National FFA Organization, 2025a). Further concerns regarding affiliate membership include whether affiliation is increasing the engagement of students (Currie, 2017; Sheehan et al., 2023). Additionally, some teachers express a lack of available opportunities to get 100% of their students involved with the FFA (Sheehan et al., 2023). </w:t>
      </w:r>
    </w:p>
    <w:p w14:paraId="42602AD0" w14:textId="77777777" w:rsidR="00E4338A" w:rsidRDefault="00E4338A">
      <w:pPr>
        <w:spacing w:line="240" w:lineRule="auto"/>
        <w:ind w:firstLine="720"/>
        <w:rPr>
          <w:rFonts w:ascii="Times New Roman" w:eastAsia="Times New Roman" w:hAnsi="Times New Roman" w:cs="Times New Roman"/>
          <w:sz w:val="24"/>
          <w:szCs w:val="24"/>
        </w:rPr>
      </w:pPr>
    </w:p>
    <w:p w14:paraId="34E6BDE7" w14:textId="77777777" w:rsidR="00E4338A" w:rsidRDefault="00E4338A" w:rsidP="00E4338A">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 and Objectives</w:t>
      </w:r>
    </w:p>
    <w:p w14:paraId="13101EA9" w14:textId="77777777" w:rsidR="00E4338A" w:rsidRDefault="00E4338A" w:rsidP="00E4338A">
      <w:pPr>
        <w:spacing w:line="240" w:lineRule="auto"/>
        <w:rPr>
          <w:rFonts w:ascii="Times New Roman" w:eastAsia="Times New Roman" w:hAnsi="Times New Roman" w:cs="Times New Roman"/>
          <w:b/>
          <w:sz w:val="24"/>
          <w:szCs w:val="24"/>
        </w:rPr>
      </w:pPr>
    </w:p>
    <w:p w14:paraId="76945DFE" w14:textId="2EA8BE07" w:rsidR="00E4338A" w:rsidRDefault="00E4338A" w:rsidP="00E4338A">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Quantitative data on the FFA affiliation model is limited, and </w:t>
      </w:r>
      <w:r w:rsidR="00F0732B">
        <w:rPr>
          <w:rFonts w:ascii="Times New Roman" w:eastAsia="Times New Roman" w:hAnsi="Times New Roman" w:cs="Times New Roman"/>
          <w:sz w:val="24"/>
          <w:szCs w:val="24"/>
        </w:rPr>
        <w:t>contain</w:t>
      </w:r>
      <w:r>
        <w:rPr>
          <w:rFonts w:ascii="Times New Roman" w:eastAsia="Times New Roman" w:hAnsi="Times New Roman" w:cs="Times New Roman"/>
          <w:sz w:val="24"/>
          <w:szCs w:val="24"/>
        </w:rPr>
        <w:t xml:space="preserve"> mainly qualitative studies (Sheehan et al., 2023; Sheehan &amp; Moore, 2019; Rada et al., 2025; Falwell &amp; Guffey, 2023). A gap in the literature has been identified, and this study seeks to quantitatively examine and evaluate the FFA affiliation model. The objective of this study was to examine teachers’ perceptions of the benefits and challenges of FFA affiliation </w:t>
      </w:r>
      <w:r w:rsidR="00FC0E62" w:rsidRPr="00FC0E62">
        <w:rPr>
          <w:rFonts w:ascii="Times New Roman" w:eastAsia="Times New Roman" w:hAnsi="Times New Roman" w:cs="Times New Roman"/>
          <w:sz w:val="24"/>
          <w:szCs w:val="24"/>
        </w:rPr>
        <w:t>North Carolina</w:t>
      </w:r>
      <w:r w:rsidR="00FC0E62" w:rsidRPr="001E26B7">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based on seven constructs, where the state association allows chapters to opt into the program. </w:t>
      </w:r>
    </w:p>
    <w:p w14:paraId="2E5A3C0D" w14:textId="77777777" w:rsidR="000566CC" w:rsidRDefault="000566CC">
      <w:pPr>
        <w:spacing w:line="240" w:lineRule="auto"/>
        <w:jc w:val="center"/>
        <w:rPr>
          <w:rFonts w:ascii="Times New Roman" w:eastAsia="Times New Roman" w:hAnsi="Times New Roman" w:cs="Times New Roman"/>
          <w:b/>
          <w:sz w:val="24"/>
          <w:szCs w:val="24"/>
        </w:rPr>
      </w:pPr>
    </w:p>
    <w:p w14:paraId="1D586C9F" w14:textId="77777777" w:rsidR="00E4338A" w:rsidRDefault="00E4338A">
      <w:pPr>
        <w:spacing w:line="240" w:lineRule="auto"/>
        <w:jc w:val="center"/>
        <w:rPr>
          <w:rFonts w:ascii="Times New Roman" w:eastAsia="Times New Roman" w:hAnsi="Times New Roman" w:cs="Times New Roman"/>
          <w:b/>
          <w:sz w:val="24"/>
          <w:szCs w:val="24"/>
        </w:rPr>
      </w:pPr>
    </w:p>
    <w:p w14:paraId="4CD52712" w14:textId="77777777" w:rsidR="00E4338A" w:rsidRDefault="00E4338A">
      <w:pPr>
        <w:spacing w:line="240" w:lineRule="auto"/>
        <w:jc w:val="center"/>
        <w:rPr>
          <w:rFonts w:ascii="Times New Roman" w:eastAsia="Times New Roman" w:hAnsi="Times New Roman" w:cs="Times New Roman"/>
          <w:b/>
          <w:sz w:val="24"/>
          <w:szCs w:val="24"/>
        </w:rPr>
      </w:pPr>
    </w:p>
    <w:p w14:paraId="06822F01" w14:textId="77777777" w:rsidR="00E4338A" w:rsidRDefault="00E4338A">
      <w:pPr>
        <w:spacing w:line="240" w:lineRule="auto"/>
        <w:jc w:val="center"/>
        <w:rPr>
          <w:rFonts w:ascii="Times New Roman" w:eastAsia="Times New Roman" w:hAnsi="Times New Roman" w:cs="Times New Roman"/>
          <w:b/>
          <w:sz w:val="24"/>
          <w:szCs w:val="24"/>
        </w:rPr>
      </w:pPr>
    </w:p>
    <w:p w14:paraId="56BE87A0" w14:textId="2848A8D8"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Framework</w:t>
      </w:r>
    </w:p>
    <w:p w14:paraId="6665FB36" w14:textId="77777777" w:rsidR="000566CC" w:rsidRDefault="000566CC">
      <w:pPr>
        <w:spacing w:line="240" w:lineRule="auto"/>
        <w:rPr>
          <w:rFonts w:ascii="Times New Roman" w:eastAsia="Times New Roman" w:hAnsi="Times New Roman" w:cs="Times New Roman"/>
          <w:b/>
          <w:sz w:val="24"/>
          <w:szCs w:val="24"/>
        </w:rPr>
      </w:pPr>
    </w:p>
    <w:p w14:paraId="71632AA5"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implemented Rogers’ (2003) Diffusion of Innovations theoretical framework. Rogers (2003) theorized that an individual’s decision to adopt a new idea (such as FFA affiliation) is based on the recommendations and communication from their peers who have experience with the new idea. Thus, the concept is proposed that an advisor’s decision to adopt the affiliation model is based on their conversations with other advisors whose chapters have already adopted the model. Rogers’ (2003) framework has four main components: the innovation, the social system, the communication channels, and time. A social system can take months to years to accept an idea as the standard practice (Rogers, 2003). Therefore, time is a critical component for the adoption of any innovation. Typically, the Diffusion of Innovation framework states that to speed up a social system’s innovation adoption rate, fewer individuals need to be involved in the decision-making process (Rogers, 2003). </w:t>
      </w:r>
    </w:p>
    <w:p w14:paraId="5CD078AC" w14:textId="44A0C85E" w:rsidR="000566CC" w:rsidRDefault="000566CC">
      <w:pPr>
        <w:spacing w:line="240" w:lineRule="auto"/>
        <w:rPr>
          <w:rFonts w:ascii="Times New Roman" w:eastAsia="Times New Roman" w:hAnsi="Times New Roman" w:cs="Times New Roman"/>
          <w:sz w:val="24"/>
          <w:szCs w:val="24"/>
        </w:rPr>
      </w:pPr>
    </w:p>
    <w:p w14:paraId="44B2388C" w14:textId="77777777"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04303971" w14:textId="77777777" w:rsidR="000566C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The methodology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a paper under review for the Journal of Agricultural Education. This study served as the pilot data for the instrumentation, but it has a different population and one extra construct. This quantitative study showcases perceived benefits and challenges from the perspectives of teachers who have opted into the FFA affiliation program. </w:t>
      </w:r>
    </w:p>
    <w:p w14:paraId="49184AB7" w14:textId="77777777" w:rsidR="000566CC" w:rsidRDefault="000566CC">
      <w:pPr>
        <w:spacing w:line="240" w:lineRule="auto"/>
        <w:jc w:val="center"/>
        <w:rPr>
          <w:rFonts w:ascii="Times New Roman" w:eastAsia="Times New Roman" w:hAnsi="Times New Roman" w:cs="Times New Roman"/>
          <w:b/>
          <w:sz w:val="24"/>
          <w:szCs w:val="24"/>
        </w:rPr>
      </w:pPr>
    </w:p>
    <w:p w14:paraId="43F71DD4" w14:textId="77777777"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Instrumentation</w:t>
      </w:r>
    </w:p>
    <w:p w14:paraId="7A403590" w14:textId="77777777" w:rsidR="000566CC" w:rsidRDefault="000566CC">
      <w:pPr>
        <w:spacing w:line="240" w:lineRule="auto"/>
        <w:rPr>
          <w:rFonts w:ascii="Times New Roman" w:eastAsia="Times New Roman" w:hAnsi="Times New Roman" w:cs="Times New Roman"/>
          <w:b/>
          <w:sz w:val="24"/>
          <w:szCs w:val="24"/>
        </w:rPr>
      </w:pPr>
    </w:p>
    <w:p w14:paraId="0C53D691" w14:textId="6F55326F" w:rsidR="000566CC" w:rsidRDefault="00000000">
      <w:pPr>
        <w:spacing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Data were gathered using a Qualtrics questionnaire consisting of 67 questions. A seven-point Likert scale was used for the 52 questions assessing the constructs established through previous literature. A seven-point scale was used instead of a five-point scale to increase data quality (</w:t>
      </w:r>
      <w:proofErr w:type="spellStart"/>
      <w:r>
        <w:rPr>
          <w:rFonts w:ascii="Times New Roman" w:eastAsia="Times New Roman" w:hAnsi="Times New Roman" w:cs="Times New Roman"/>
          <w:sz w:val="24"/>
          <w:szCs w:val="24"/>
        </w:rPr>
        <w:t>Taherdoost</w:t>
      </w:r>
      <w:proofErr w:type="spellEnd"/>
      <w:r>
        <w:rPr>
          <w:rFonts w:ascii="Times New Roman" w:eastAsia="Times New Roman" w:hAnsi="Times New Roman" w:cs="Times New Roman"/>
          <w:sz w:val="24"/>
          <w:szCs w:val="24"/>
        </w:rPr>
        <w:t xml:space="preserve">, 2019), and two questions were open-ended to allow participants to add benefits and challenges that may not have been included in the questionnaire. Data from the two open-ended questions are not included in this study. Questions included an affiliation knowledge check, 52 construct questions, demographics, and gift card drawing information. The research team created the instrument utilizing constructs as identified by Sheehan et al. (2023) and National FFA (2022), including financial management, integration of the three-circle model, student engagement, external engagement, teacher efficiency, and program efficiency. One construct (affiliation versus non-affiliation engagement) was created by the research team to assess teachers' perceived beliefs about whether the affiliation versus non-affiliation model led to more student engagement. This construct was created because teachers who had opted in </w:t>
      </w:r>
      <w:r w:rsidR="00FC0E62" w:rsidRPr="00FC0E62">
        <w:rPr>
          <w:rFonts w:ascii="Times New Roman" w:eastAsia="Times New Roman" w:hAnsi="Times New Roman" w:cs="Times New Roman"/>
          <w:sz w:val="24"/>
          <w:szCs w:val="24"/>
        </w:rPr>
        <w:t>North Carolina</w:t>
      </w:r>
      <w:r w:rsidR="00FC0E62" w:rsidRPr="001E26B7">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would have experience with both models. </w:t>
      </w:r>
    </w:p>
    <w:p w14:paraId="075B38E5" w14:textId="77777777" w:rsidR="000566CC" w:rsidRDefault="000566CC">
      <w:pPr>
        <w:spacing w:line="240" w:lineRule="auto"/>
        <w:ind w:firstLine="720"/>
        <w:rPr>
          <w:rFonts w:ascii="Times New Roman" w:eastAsia="Times New Roman" w:hAnsi="Times New Roman" w:cs="Times New Roman"/>
          <w:sz w:val="24"/>
          <w:szCs w:val="24"/>
        </w:rPr>
      </w:pPr>
    </w:p>
    <w:tbl>
      <w:tblPr>
        <w:tblStyle w:val="a2"/>
        <w:tblW w:w="9450" w:type="dxa"/>
        <w:tblBorders>
          <w:top w:val="nil"/>
          <w:left w:val="nil"/>
          <w:bottom w:val="nil"/>
          <w:right w:val="nil"/>
          <w:insideH w:val="nil"/>
          <w:insideV w:val="nil"/>
        </w:tblBorders>
        <w:tblLayout w:type="fixed"/>
        <w:tblLook w:val="0400" w:firstRow="0" w:lastRow="0" w:firstColumn="0" w:lastColumn="0" w:noHBand="0" w:noVBand="1"/>
      </w:tblPr>
      <w:tblGrid>
        <w:gridCol w:w="2790"/>
        <w:gridCol w:w="6660"/>
      </w:tblGrid>
      <w:tr w:rsidR="000566CC" w14:paraId="77B61044" w14:textId="77777777">
        <w:tc>
          <w:tcPr>
            <w:tcW w:w="9450" w:type="dxa"/>
            <w:gridSpan w:val="2"/>
            <w:tcBorders>
              <w:bottom w:val="single" w:sz="4" w:space="0" w:color="000000"/>
            </w:tcBorders>
          </w:tcPr>
          <w:p w14:paraId="51A24FDB" w14:textId="77777777" w:rsidR="000566CC"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w:t>
            </w:r>
          </w:p>
          <w:p w14:paraId="5ADE53E8" w14:textId="77777777" w:rsidR="000566CC" w:rsidRDefault="000566CC">
            <w:pPr>
              <w:rPr>
                <w:rFonts w:ascii="Times New Roman" w:eastAsia="Times New Roman" w:hAnsi="Times New Roman" w:cs="Times New Roman"/>
                <w:sz w:val="24"/>
                <w:szCs w:val="24"/>
              </w:rPr>
            </w:pPr>
          </w:p>
          <w:p w14:paraId="1E45D2D6" w14:textId="77777777" w:rsidR="000566CC" w:rsidRDefault="00000000">
            <w:pPr>
              <w:rPr>
                <w:rFonts w:ascii="Times New Roman" w:eastAsia="Times New Roman" w:hAnsi="Times New Roman" w:cs="Times New Roman"/>
                <w:i/>
                <w:sz w:val="24"/>
                <w:szCs w:val="24"/>
              </w:rPr>
            </w:pPr>
            <w:r>
              <w:rPr>
                <w:rFonts w:ascii="Times New Roman" w:eastAsia="Times New Roman" w:hAnsi="Times New Roman" w:cs="Times New Roman"/>
                <w:sz w:val="24"/>
                <w:szCs w:val="24"/>
              </w:rPr>
              <w:t>Question Examples by Construct</w:t>
            </w:r>
          </w:p>
        </w:tc>
      </w:tr>
      <w:tr w:rsidR="000566CC" w14:paraId="41F3AA88" w14:textId="77777777">
        <w:tc>
          <w:tcPr>
            <w:tcW w:w="2790" w:type="dxa"/>
            <w:tcBorders>
              <w:top w:val="single" w:sz="4" w:space="0" w:color="000000"/>
              <w:bottom w:val="single" w:sz="4" w:space="0" w:color="000000"/>
            </w:tcBorders>
          </w:tcPr>
          <w:p w14:paraId="1E9AE73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w:t>
            </w:r>
          </w:p>
        </w:tc>
        <w:tc>
          <w:tcPr>
            <w:tcW w:w="6660" w:type="dxa"/>
            <w:tcBorders>
              <w:top w:val="single" w:sz="4" w:space="0" w:color="000000"/>
              <w:bottom w:val="single" w:sz="4" w:space="0" w:color="000000"/>
            </w:tcBorders>
          </w:tcPr>
          <w:p w14:paraId="37A4A25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Question (Affiliation…)</w:t>
            </w:r>
          </w:p>
        </w:tc>
      </w:tr>
      <w:tr w:rsidR="000566CC" w14:paraId="3BEE27D0" w14:textId="77777777">
        <w:tc>
          <w:tcPr>
            <w:tcW w:w="2790" w:type="dxa"/>
          </w:tcPr>
          <w:p w14:paraId="3BE20A95"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Affiliation vs. </w:t>
            </w:r>
            <w:proofErr w:type="gramStart"/>
            <w:r>
              <w:rPr>
                <w:rFonts w:ascii="Times New Roman" w:eastAsia="Times New Roman" w:hAnsi="Times New Roman" w:cs="Times New Roman"/>
                <w:sz w:val="24"/>
                <w:szCs w:val="24"/>
              </w:rPr>
              <w:t>Non-</w:t>
            </w:r>
            <w:proofErr w:type="spellStart"/>
            <w:r>
              <w:rPr>
                <w:rFonts w:ascii="Times New Roman" w:eastAsia="Times New Roman" w:hAnsi="Times New Roman" w:cs="Times New Roman"/>
                <w:sz w:val="24"/>
                <w:szCs w:val="24"/>
              </w:rPr>
              <w:t>Affil</w:t>
            </w:r>
            <w:proofErr w:type="spellEnd"/>
            <w:proofErr w:type="gramEnd"/>
            <w:r>
              <w:rPr>
                <w:rFonts w:ascii="Times New Roman" w:eastAsia="Times New Roman" w:hAnsi="Times New Roman" w:cs="Times New Roman"/>
                <w:sz w:val="24"/>
                <w:szCs w:val="24"/>
              </w:rPr>
              <w:t>. Engagement</w:t>
            </w:r>
          </w:p>
        </w:tc>
        <w:tc>
          <w:tcPr>
            <w:tcW w:w="6660" w:type="dxa"/>
          </w:tcPr>
          <w:p w14:paraId="69BCD489"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MORE engaged local FFA members than non-affiliation.</w:t>
            </w:r>
          </w:p>
          <w:p w14:paraId="0C3286E1"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LESS engaged local FFA members than non-affiliation.</w:t>
            </w:r>
          </w:p>
          <w:p w14:paraId="096D29ED" w14:textId="77777777" w:rsidR="000566CC" w:rsidRDefault="000566CC">
            <w:pPr>
              <w:ind w:left="360" w:hanging="360"/>
              <w:rPr>
                <w:rFonts w:ascii="Times New Roman" w:eastAsia="Times New Roman" w:hAnsi="Times New Roman" w:cs="Times New Roman"/>
                <w:sz w:val="24"/>
                <w:szCs w:val="24"/>
              </w:rPr>
            </w:pPr>
          </w:p>
        </w:tc>
      </w:tr>
      <w:tr w:rsidR="000566CC" w14:paraId="6806A0E2" w14:textId="77777777">
        <w:tc>
          <w:tcPr>
            <w:tcW w:w="2790" w:type="dxa"/>
          </w:tcPr>
          <w:p w14:paraId="3A7A31AD"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Engagement </w:t>
            </w:r>
          </w:p>
        </w:tc>
        <w:tc>
          <w:tcPr>
            <w:tcW w:w="6660" w:type="dxa"/>
          </w:tcPr>
          <w:p w14:paraId="7CD08EE3"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makes my job as an FFA advisor easier to engage ALL students.</w:t>
            </w:r>
          </w:p>
        </w:tc>
      </w:tr>
      <w:tr w:rsidR="000566CC" w14:paraId="17D2D9C6" w14:textId="77777777">
        <w:tc>
          <w:tcPr>
            <w:tcW w:w="2790" w:type="dxa"/>
          </w:tcPr>
          <w:p w14:paraId="6156F90F" w14:textId="77777777" w:rsidR="000566CC" w:rsidRDefault="000566CC">
            <w:pPr>
              <w:ind w:left="360" w:hanging="360"/>
              <w:rPr>
                <w:rFonts w:ascii="Times New Roman" w:eastAsia="Times New Roman" w:hAnsi="Times New Roman" w:cs="Times New Roman"/>
                <w:sz w:val="24"/>
                <w:szCs w:val="24"/>
              </w:rPr>
            </w:pPr>
          </w:p>
        </w:tc>
        <w:tc>
          <w:tcPr>
            <w:tcW w:w="6660" w:type="dxa"/>
          </w:tcPr>
          <w:p w14:paraId="609D910F" w14:textId="77777777" w:rsidR="000566CC" w:rsidRDefault="000566CC">
            <w:pPr>
              <w:ind w:left="360" w:hanging="360"/>
              <w:rPr>
                <w:rFonts w:ascii="Times New Roman" w:eastAsia="Times New Roman" w:hAnsi="Times New Roman" w:cs="Times New Roman"/>
                <w:sz w:val="24"/>
                <w:szCs w:val="24"/>
              </w:rPr>
            </w:pPr>
          </w:p>
        </w:tc>
      </w:tr>
      <w:tr w:rsidR="000566CC" w14:paraId="7ACAB30C" w14:textId="77777777">
        <w:tc>
          <w:tcPr>
            <w:tcW w:w="2790" w:type="dxa"/>
          </w:tcPr>
          <w:p w14:paraId="0EF934EF"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Engagement</w:t>
            </w:r>
          </w:p>
        </w:tc>
        <w:tc>
          <w:tcPr>
            <w:tcW w:w="6660" w:type="dxa"/>
          </w:tcPr>
          <w:p w14:paraId="09706A8D"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allows for easier partnerships with parents.</w:t>
            </w:r>
          </w:p>
          <w:p w14:paraId="38B45FC4" w14:textId="77777777" w:rsidR="000566CC" w:rsidRDefault="000566CC">
            <w:pPr>
              <w:ind w:left="360" w:hanging="360"/>
              <w:rPr>
                <w:rFonts w:ascii="Times New Roman" w:eastAsia="Times New Roman" w:hAnsi="Times New Roman" w:cs="Times New Roman"/>
                <w:sz w:val="24"/>
                <w:szCs w:val="24"/>
              </w:rPr>
            </w:pPr>
          </w:p>
        </w:tc>
      </w:tr>
      <w:tr w:rsidR="000566CC" w14:paraId="64FB4C66" w14:textId="77777777">
        <w:tc>
          <w:tcPr>
            <w:tcW w:w="2790" w:type="dxa"/>
          </w:tcPr>
          <w:p w14:paraId="4D43D330"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w:t>
            </w:r>
          </w:p>
        </w:tc>
        <w:tc>
          <w:tcPr>
            <w:tcW w:w="6660" w:type="dxa"/>
          </w:tcPr>
          <w:p w14:paraId="3E09ADA2"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creates financial restrictions on our chapter.</w:t>
            </w:r>
          </w:p>
          <w:p w14:paraId="1456E77C" w14:textId="77777777" w:rsidR="000566CC" w:rsidRDefault="000566CC">
            <w:pPr>
              <w:ind w:left="360" w:hanging="360"/>
              <w:rPr>
                <w:rFonts w:ascii="Times New Roman" w:eastAsia="Times New Roman" w:hAnsi="Times New Roman" w:cs="Times New Roman"/>
                <w:sz w:val="24"/>
                <w:szCs w:val="24"/>
              </w:rPr>
            </w:pPr>
          </w:p>
        </w:tc>
      </w:tr>
      <w:tr w:rsidR="000566CC" w14:paraId="7F7B9799" w14:textId="77777777">
        <w:tc>
          <w:tcPr>
            <w:tcW w:w="2790" w:type="dxa"/>
          </w:tcPr>
          <w:p w14:paraId="17AEC26B"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3-Circle Model</w:t>
            </w:r>
          </w:p>
          <w:p w14:paraId="266542C9" w14:textId="77777777" w:rsidR="000566CC" w:rsidRDefault="000566CC">
            <w:pPr>
              <w:ind w:left="360" w:hanging="360"/>
              <w:rPr>
                <w:rFonts w:ascii="Times New Roman" w:eastAsia="Times New Roman" w:hAnsi="Times New Roman" w:cs="Times New Roman"/>
                <w:sz w:val="24"/>
                <w:szCs w:val="24"/>
              </w:rPr>
            </w:pPr>
          </w:p>
        </w:tc>
        <w:tc>
          <w:tcPr>
            <w:tcW w:w="6660" w:type="dxa"/>
          </w:tcPr>
          <w:p w14:paraId="15BFF08A"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enables a more complete agricultural education program.</w:t>
            </w:r>
          </w:p>
        </w:tc>
      </w:tr>
      <w:tr w:rsidR="000566CC" w14:paraId="1F8F4094" w14:textId="77777777">
        <w:tc>
          <w:tcPr>
            <w:tcW w:w="2790" w:type="dxa"/>
          </w:tcPr>
          <w:p w14:paraId="4373D4FF"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Teacher Efficiency</w:t>
            </w:r>
          </w:p>
        </w:tc>
        <w:tc>
          <w:tcPr>
            <w:tcW w:w="6660" w:type="dxa"/>
          </w:tcPr>
          <w:p w14:paraId="4DBF239C"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teachers with time to focus on instruction rather than membership logistics.</w:t>
            </w:r>
          </w:p>
          <w:p w14:paraId="38C603DE" w14:textId="77777777" w:rsidR="000566CC" w:rsidRDefault="000566CC">
            <w:pPr>
              <w:ind w:left="360" w:hanging="360"/>
              <w:rPr>
                <w:rFonts w:ascii="Times New Roman" w:eastAsia="Times New Roman" w:hAnsi="Times New Roman" w:cs="Times New Roman"/>
                <w:sz w:val="24"/>
                <w:szCs w:val="24"/>
              </w:rPr>
            </w:pPr>
          </w:p>
        </w:tc>
      </w:tr>
      <w:tr w:rsidR="000566CC" w14:paraId="2FE84D0D" w14:textId="77777777">
        <w:tc>
          <w:tcPr>
            <w:tcW w:w="2790" w:type="dxa"/>
          </w:tcPr>
          <w:p w14:paraId="55AD3AF1"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Program Efficiency</w:t>
            </w:r>
          </w:p>
        </w:tc>
        <w:tc>
          <w:tcPr>
            <w:tcW w:w="6660" w:type="dxa"/>
          </w:tcPr>
          <w:p w14:paraId="71BB0CD5" w14:textId="77777777" w:rsidR="000566CC"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reduces the time needed to complete rosters.</w:t>
            </w:r>
          </w:p>
        </w:tc>
      </w:tr>
      <w:tr w:rsidR="000566CC" w14:paraId="334CF3E2" w14:textId="77777777">
        <w:tc>
          <w:tcPr>
            <w:tcW w:w="9450" w:type="dxa"/>
            <w:gridSpan w:val="2"/>
            <w:tcBorders>
              <w:top w:val="single" w:sz="4" w:space="0" w:color="000000"/>
            </w:tcBorders>
          </w:tcPr>
          <w:p w14:paraId="7DE0C75B"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i/>
                <w:sz w:val="24"/>
                <w:szCs w:val="24"/>
              </w:rPr>
              <w:t>Note.</w:t>
            </w:r>
            <w:r>
              <w:rPr>
                <w:rFonts w:ascii="Times New Roman" w:eastAsia="Times New Roman" w:hAnsi="Times New Roman" w:cs="Times New Roman"/>
                <w:sz w:val="24"/>
                <w:szCs w:val="24"/>
              </w:rPr>
              <w:t xml:space="preserve"> The rating scale ranged from -3 = Strongly Disagree, -2 = Disagree, -1 = Slightly Disagree, 0 = Neutral, 1 = Slightly Agree, 2 = Agree, 3 = Strongly Agree.</w:t>
            </w:r>
          </w:p>
        </w:tc>
      </w:tr>
    </w:tbl>
    <w:p w14:paraId="2A34E850" w14:textId="77777777" w:rsidR="000566CC" w:rsidRDefault="000566CC">
      <w:pPr>
        <w:spacing w:line="240" w:lineRule="auto"/>
        <w:rPr>
          <w:rFonts w:ascii="Times New Roman" w:eastAsia="Times New Roman" w:hAnsi="Times New Roman" w:cs="Times New Roman"/>
          <w:b/>
          <w:sz w:val="24"/>
          <w:szCs w:val="24"/>
        </w:rPr>
      </w:pPr>
    </w:p>
    <w:p w14:paraId="4AC11C47" w14:textId="77777777"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Collection</w:t>
      </w:r>
    </w:p>
    <w:p w14:paraId="6D66BA1D" w14:textId="77777777" w:rsidR="000566CC" w:rsidRDefault="000566CC">
      <w:pPr>
        <w:spacing w:line="240" w:lineRule="auto"/>
        <w:rPr>
          <w:rFonts w:ascii="Times New Roman" w:eastAsia="Times New Roman" w:hAnsi="Times New Roman" w:cs="Times New Roman"/>
          <w:sz w:val="24"/>
          <w:szCs w:val="24"/>
        </w:rPr>
      </w:pPr>
    </w:p>
    <w:p w14:paraId="18FEE113" w14:textId="77801711" w:rsidR="000566C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All teachers in </w:t>
      </w:r>
      <w:r w:rsidR="00FC0E62" w:rsidRPr="00FC0E62">
        <w:rPr>
          <w:rFonts w:ascii="Times New Roman" w:eastAsia="Times New Roman" w:hAnsi="Times New Roman" w:cs="Times New Roman"/>
          <w:sz w:val="24"/>
          <w:szCs w:val="24"/>
        </w:rPr>
        <w:t>North Carolina</w:t>
      </w:r>
      <w:r w:rsidR="00FC0E62" w:rsidRPr="001E26B7">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who opted in to the FFA affiliation model during the 2024-2025 school year comprised the study population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235). Emails were obtained from the state agricultural education directory, randomized, and a simple random sample of 155 emails was selected to showcase teachers’ perspectives (Fraenkel et al., 2023). If any emails were bounced back, the next email on the list was used to fulfill the desired sample size. The instrument was sent directly to participants via email in late April of 2025, and data collection concluded in late May. Following the guidance of Dillman et al. (2014), emails were sent according to a schedule over the course of four weeks. </w:t>
      </w:r>
    </w:p>
    <w:p w14:paraId="050D5705" w14:textId="77777777" w:rsidR="000566CC" w:rsidRDefault="000566CC">
      <w:pPr>
        <w:spacing w:line="240" w:lineRule="auto"/>
        <w:rPr>
          <w:rFonts w:ascii="Times New Roman" w:eastAsia="Times New Roman" w:hAnsi="Times New Roman" w:cs="Times New Roman"/>
          <w:sz w:val="24"/>
          <w:szCs w:val="24"/>
        </w:rPr>
      </w:pPr>
    </w:p>
    <w:p w14:paraId="6BD0085F" w14:textId="4B94EBBB" w:rsidR="000566C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Participants were asked 12 demographic questions. Overall, participants of this study were 62.5% female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40), 87.5% white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xml:space="preserve">= 56), 79.5% members of the </w:t>
      </w:r>
      <w:r w:rsidR="00FC0E62" w:rsidRPr="00FC0E62">
        <w:rPr>
          <w:rFonts w:ascii="Times New Roman" w:eastAsia="Times New Roman" w:hAnsi="Times New Roman" w:cs="Times New Roman"/>
          <w:sz w:val="24"/>
          <w:szCs w:val="24"/>
        </w:rPr>
        <w:t>North Carolina</w:t>
      </w:r>
      <w:r w:rsidR="00FC0E62" w:rsidRPr="001E26B7">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agricultural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association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58), and 61.6% members of NAAE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xml:space="preserve">= 45). Years of teaching experience and the licensure type can be seen in Table 2. </w:t>
      </w:r>
    </w:p>
    <w:p w14:paraId="26DE0F23" w14:textId="77777777" w:rsidR="000566CC" w:rsidRDefault="000566CC">
      <w:pPr>
        <w:spacing w:line="240" w:lineRule="auto"/>
        <w:rPr>
          <w:rFonts w:ascii="Times New Roman" w:eastAsia="Times New Roman" w:hAnsi="Times New Roman" w:cs="Times New Roman"/>
          <w:sz w:val="24"/>
          <w:szCs w:val="24"/>
        </w:rPr>
      </w:pPr>
    </w:p>
    <w:tbl>
      <w:tblPr>
        <w:tblStyle w:val="a3"/>
        <w:tblW w:w="9345" w:type="dxa"/>
        <w:tblBorders>
          <w:top w:val="nil"/>
          <w:left w:val="nil"/>
          <w:bottom w:val="nil"/>
          <w:right w:val="nil"/>
          <w:insideH w:val="nil"/>
          <w:insideV w:val="nil"/>
        </w:tblBorders>
        <w:tblLayout w:type="fixed"/>
        <w:tblLook w:val="0400" w:firstRow="0" w:lastRow="0" w:firstColumn="0" w:lastColumn="0" w:noHBand="0" w:noVBand="1"/>
      </w:tblPr>
      <w:tblGrid>
        <w:gridCol w:w="2685"/>
        <w:gridCol w:w="3270"/>
        <w:gridCol w:w="795"/>
        <w:gridCol w:w="930"/>
        <w:gridCol w:w="690"/>
        <w:gridCol w:w="975"/>
      </w:tblGrid>
      <w:tr w:rsidR="000566CC" w14:paraId="652FEF08" w14:textId="77777777">
        <w:tc>
          <w:tcPr>
            <w:tcW w:w="9345" w:type="dxa"/>
            <w:gridSpan w:val="6"/>
            <w:tcBorders>
              <w:bottom w:val="single" w:sz="4" w:space="0" w:color="000000"/>
            </w:tcBorders>
          </w:tcPr>
          <w:p w14:paraId="2FF77779" w14:textId="77777777" w:rsidR="000566CC"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w:t>
            </w:r>
          </w:p>
          <w:p w14:paraId="43AF3AEB" w14:textId="77777777" w:rsidR="000566CC" w:rsidRDefault="000566CC">
            <w:pPr>
              <w:rPr>
                <w:rFonts w:ascii="Times New Roman" w:eastAsia="Times New Roman" w:hAnsi="Times New Roman" w:cs="Times New Roman"/>
                <w:sz w:val="24"/>
                <w:szCs w:val="24"/>
              </w:rPr>
            </w:pPr>
          </w:p>
          <w:p w14:paraId="34741AAB" w14:textId="77777777" w:rsidR="000566CC"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 Demographics Years of Teaching and Type of Licensure</w:t>
            </w:r>
          </w:p>
        </w:tc>
      </w:tr>
      <w:tr w:rsidR="000566CC" w14:paraId="5732246F" w14:textId="77777777">
        <w:tc>
          <w:tcPr>
            <w:tcW w:w="2685" w:type="dxa"/>
            <w:tcBorders>
              <w:top w:val="single" w:sz="4" w:space="0" w:color="000000"/>
              <w:bottom w:val="single" w:sz="4" w:space="0" w:color="000000"/>
            </w:tcBorders>
          </w:tcPr>
          <w:p w14:paraId="7AF1E8B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3270" w:type="dxa"/>
            <w:tcBorders>
              <w:top w:val="single" w:sz="4" w:space="0" w:color="000000"/>
              <w:bottom w:val="single" w:sz="4" w:space="0" w:color="000000"/>
            </w:tcBorders>
          </w:tcPr>
          <w:p w14:paraId="2D7A648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Category</w:t>
            </w:r>
          </w:p>
        </w:tc>
        <w:tc>
          <w:tcPr>
            <w:tcW w:w="795" w:type="dxa"/>
            <w:tcBorders>
              <w:top w:val="single" w:sz="4" w:space="0" w:color="000000"/>
              <w:bottom w:val="single" w:sz="4" w:space="0" w:color="000000"/>
            </w:tcBorders>
          </w:tcPr>
          <w:p w14:paraId="4B6FDFB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w:t>
            </w:r>
          </w:p>
        </w:tc>
        <w:tc>
          <w:tcPr>
            <w:tcW w:w="930" w:type="dxa"/>
            <w:tcBorders>
              <w:top w:val="single" w:sz="4" w:space="0" w:color="000000"/>
              <w:bottom w:val="single" w:sz="4" w:space="0" w:color="000000"/>
            </w:tcBorders>
          </w:tcPr>
          <w:p w14:paraId="1DE66AA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Range</w:t>
            </w:r>
          </w:p>
        </w:tc>
        <w:tc>
          <w:tcPr>
            <w:tcW w:w="690" w:type="dxa"/>
            <w:tcBorders>
              <w:top w:val="single" w:sz="4" w:space="0" w:color="000000"/>
              <w:bottom w:val="single" w:sz="4" w:space="0" w:color="000000"/>
            </w:tcBorders>
          </w:tcPr>
          <w:p w14:paraId="2B96C6EA" w14:textId="77777777" w:rsidR="000566CC" w:rsidRDefault="00000000">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f</w:t>
            </w:r>
          </w:p>
        </w:tc>
        <w:tc>
          <w:tcPr>
            <w:tcW w:w="975" w:type="dxa"/>
            <w:tcBorders>
              <w:top w:val="single" w:sz="4" w:space="0" w:color="000000"/>
              <w:bottom w:val="single" w:sz="4" w:space="0" w:color="000000"/>
            </w:tcBorders>
          </w:tcPr>
          <w:p w14:paraId="5259B99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0566CC" w14:paraId="02A1EB35" w14:textId="77777777">
        <w:tc>
          <w:tcPr>
            <w:tcW w:w="2685" w:type="dxa"/>
          </w:tcPr>
          <w:p w14:paraId="39AC87D9"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Years Teaching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64)</w:t>
            </w:r>
          </w:p>
        </w:tc>
        <w:tc>
          <w:tcPr>
            <w:tcW w:w="3270" w:type="dxa"/>
          </w:tcPr>
          <w:p w14:paraId="2AE45B49" w14:textId="77777777" w:rsidR="000566CC" w:rsidRDefault="000566CC">
            <w:pPr>
              <w:rPr>
                <w:rFonts w:ascii="Times New Roman" w:eastAsia="Times New Roman" w:hAnsi="Times New Roman" w:cs="Times New Roman"/>
                <w:sz w:val="24"/>
                <w:szCs w:val="24"/>
              </w:rPr>
            </w:pPr>
          </w:p>
        </w:tc>
        <w:tc>
          <w:tcPr>
            <w:tcW w:w="795" w:type="dxa"/>
          </w:tcPr>
          <w:p w14:paraId="158ED5F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12.37</w:t>
            </w:r>
          </w:p>
        </w:tc>
        <w:tc>
          <w:tcPr>
            <w:tcW w:w="930" w:type="dxa"/>
          </w:tcPr>
          <w:p w14:paraId="23B415E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1 - 34</w:t>
            </w:r>
          </w:p>
        </w:tc>
        <w:tc>
          <w:tcPr>
            <w:tcW w:w="690" w:type="dxa"/>
          </w:tcPr>
          <w:p w14:paraId="4EB98507" w14:textId="77777777" w:rsidR="000566CC" w:rsidRDefault="000566CC">
            <w:pPr>
              <w:jc w:val="center"/>
              <w:rPr>
                <w:rFonts w:ascii="Times New Roman" w:eastAsia="Times New Roman" w:hAnsi="Times New Roman" w:cs="Times New Roman"/>
                <w:sz w:val="24"/>
                <w:szCs w:val="24"/>
              </w:rPr>
            </w:pPr>
          </w:p>
        </w:tc>
        <w:tc>
          <w:tcPr>
            <w:tcW w:w="975" w:type="dxa"/>
          </w:tcPr>
          <w:p w14:paraId="3E314146" w14:textId="77777777" w:rsidR="000566CC" w:rsidRDefault="000566CC">
            <w:pPr>
              <w:rPr>
                <w:rFonts w:ascii="Times New Roman" w:eastAsia="Times New Roman" w:hAnsi="Times New Roman" w:cs="Times New Roman"/>
                <w:sz w:val="24"/>
                <w:szCs w:val="24"/>
              </w:rPr>
            </w:pPr>
          </w:p>
        </w:tc>
      </w:tr>
      <w:tr w:rsidR="000566CC" w14:paraId="21DD566A" w14:textId="77777777">
        <w:tc>
          <w:tcPr>
            <w:tcW w:w="2685" w:type="dxa"/>
          </w:tcPr>
          <w:p w14:paraId="18C8FC64" w14:textId="77777777" w:rsidR="000566CC" w:rsidRDefault="000566CC">
            <w:pPr>
              <w:rPr>
                <w:rFonts w:ascii="Times New Roman" w:eastAsia="Times New Roman" w:hAnsi="Times New Roman" w:cs="Times New Roman"/>
                <w:sz w:val="24"/>
                <w:szCs w:val="24"/>
              </w:rPr>
            </w:pPr>
          </w:p>
        </w:tc>
        <w:tc>
          <w:tcPr>
            <w:tcW w:w="3270" w:type="dxa"/>
          </w:tcPr>
          <w:p w14:paraId="71873B47"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0 - 3 Years</w:t>
            </w:r>
          </w:p>
        </w:tc>
        <w:tc>
          <w:tcPr>
            <w:tcW w:w="795" w:type="dxa"/>
          </w:tcPr>
          <w:p w14:paraId="6BFA176A" w14:textId="77777777" w:rsidR="000566CC" w:rsidRDefault="000566CC">
            <w:pPr>
              <w:jc w:val="center"/>
              <w:rPr>
                <w:rFonts w:ascii="Times New Roman" w:eastAsia="Times New Roman" w:hAnsi="Times New Roman" w:cs="Times New Roman"/>
                <w:sz w:val="24"/>
                <w:szCs w:val="24"/>
              </w:rPr>
            </w:pPr>
          </w:p>
        </w:tc>
        <w:tc>
          <w:tcPr>
            <w:tcW w:w="930" w:type="dxa"/>
          </w:tcPr>
          <w:p w14:paraId="74612AAD" w14:textId="77777777" w:rsidR="000566CC" w:rsidRDefault="000566CC">
            <w:pPr>
              <w:jc w:val="center"/>
              <w:rPr>
                <w:rFonts w:ascii="Times New Roman" w:eastAsia="Times New Roman" w:hAnsi="Times New Roman" w:cs="Times New Roman"/>
                <w:sz w:val="24"/>
                <w:szCs w:val="24"/>
              </w:rPr>
            </w:pPr>
          </w:p>
        </w:tc>
        <w:tc>
          <w:tcPr>
            <w:tcW w:w="690" w:type="dxa"/>
          </w:tcPr>
          <w:p w14:paraId="4EAF21B6"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975" w:type="dxa"/>
          </w:tcPr>
          <w:p w14:paraId="2FAD2E7E"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r>
      <w:tr w:rsidR="000566CC" w14:paraId="7B6FBF32" w14:textId="77777777">
        <w:tc>
          <w:tcPr>
            <w:tcW w:w="2685" w:type="dxa"/>
          </w:tcPr>
          <w:p w14:paraId="4348F4A7" w14:textId="77777777" w:rsidR="000566CC" w:rsidRDefault="000566CC">
            <w:pPr>
              <w:rPr>
                <w:rFonts w:ascii="Times New Roman" w:eastAsia="Times New Roman" w:hAnsi="Times New Roman" w:cs="Times New Roman"/>
                <w:sz w:val="24"/>
                <w:szCs w:val="24"/>
              </w:rPr>
            </w:pPr>
          </w:p>
        </w:tc>
        <w:tc>
          <w:tcPr>
            <w:tcW w:w="3270" w:type="dxa"/>
          </w:tcPr>
          <w:p w14:paraId="60DE83D5"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4 - 7 Years</w:t>
            </w:r>
          </w:p>
        </w:tc>
        <w:tc>
          <w:tcPr>
            <w:tcW w:w="795" w:type="dxa"/>
          </w:tcPr>
          <w:p w14:paraId="53746210" w14:textId="77777777" w:rsidR="000566CC" w:rsidRDefault="000566CC">
            <w:pPr>
              <w:jc w:val="center"/>
              <w:rPr>
                <w:rFonts w:ascii="Times New Roman" w:eastAsia="Times New Roman" w:hAnsi="Times New Roman" w:cs="Times New Roman"/>
                <w:sz w:val="24"/>
                <w:szCs w:val="24"/>
              </w:rPr>
            </w:pPr>
          </w:p>
        </w:tc>
        <w:tc>
          <w:tcPr>
            <w:tcW w:w="930" w:type="dxa"/>
          </w:tcPr>
          <w:p w14:paraId="32E2D7EE" w14:textId="77777777" w:rsidR="000566CC" w:rsidRDefault="000566CC">
            <w:pPr>
              <w:jc w:val="center"/>
              <w:rPr>
                <w:rFonts w:ascii="Times New Roman" w:eastAsia="Times New Roman" w:hAnsi="Times New Roman" w:cs="Times New Roman"/>
                <w:sz w:val="24"/>
                <w:szCs w:val="24"/>
              </w:rPr>
            </w:pPr>
          </w:p>
        </w:tc>
        <w:tc>
          <w:tcPr>
            <w:tcW w:w="690" w:type="dxa"/>
          </w:tcPr>
          <w:p w14:paraId="4382905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75" w:type="dxa"/>
          </w:tcPr>
          <w:p w14:paraId="02E73884"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r>
      <w:tr w:rsidR="000566CC" w14:paraId="310F0FA3" w14:textId="77777777">
        <w:tc>
          <w:tcPr>
            <w:tcW w:w="2685" w:type="dxa"/>
          </w:tcPr>
          <w:p w14:paraId="0906D78F" w14:textId="77777777" w:rsidR="000566CC" w:rsidRDefault="000566CC">
            <w:pPr>
              <w:rPr>
                <w:rFonts w:ascii="Times New Roman" w:eastAsia="Times New Roman" w:hAnsi="Times New Roman" w:cs="Times New Roman"/>
                <w:sz w:val="24"/>
                <w:szCs w:val="24"/>
              </w:rPr>
            </w:pPr>
          </w:p>
        </w:tc>
        <w:tc>
          <w:tcPr>
            <w:tcW w:w="3270" w:type="dxa"/>
          </w:tcPr>
          <w:p w14:paraId="66882CB0"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8 - 14 Years</w:t>
            </w:r>
          </w:p>
        </w:tc>
        <w:tc>
          <w:tcPr>
            <w:tcW w:w="795" w:type="dxa"/>
          </w:tcPr>
          <w:p w14:paraId="11274E6E" w14:textId="77777777" w:rsidR="000566CC" w:rsidRDefault="000566CC">
            <w:pPr>
              <w:jc w:val="center"/>
              <w:rPr>
                <w:rFonts w:ascii="Times New Roman" w:eastAsia="Times New Roman" w:hAnsi="Times New Roman" w:cs="Times New Roman"/>
                <w:sz w:val="24"/>
                <w:szCs w:val="24"/>
              </w:rPr>
            </w:pPr>
          </w:p>
        </w:tc>
        <w:tc>
          <w:tcPr>
            <w:tcW w:w="930" w:type="dxa"/>
          </w:tcPr>
          <w:p w14:paraId="2BF89A6B" w14:textId="77777777" w:rsidR="000566CC" w:rsidRDefault="000566CC">
            <w:pPr>
              <w:jc w:val="center"/>
              <w:rPr>
                <w:rFonts w:ascii="Times New Roman" w:eastAsia="Times New Roman" w:hAnsi="Times New Roman" w:cs="Times New Roman"/>
                <w:sz w:val="24"/>
                <w:szCs w:val="24"/>
              </w:rPr>
            </w:pPr>
          </w:p>
        </w:tc>
        <w:tc>
          <w:tcPr>
            <w:tcW w:w="690" w:type="dxa"/>
          </w:tcPr>
          <w:p w14:paraId="7B48C72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75" w:type="dxa"/>
          </w:tcPr>
          <w:p w14:paraId="320CD333"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32.8</w:t>
            </w:r>
          </w:p>
        </w:tc>
      </w:tr>
      <w:tr w:rsidR="000566CC" w14:paraId="41F45C6B" w14:textId="77777777">
        <w:tc>
          <w:tcPr>
            <w:tcW w:w="2685" w:type="dxa"/>
          </w:tcPr>
          <w:p w14:paraId="29D7BE54" w14:textId="77777777" w:rsidR="000566CC" w:rsidRDefault="000566CC">
            <w:pPr>
              <w:rPr>
                <w:rFonts w:ascii="Times New Roman" w:eastAsia="Times New Roman" w:hAnsi="Times New Roman" w:cs="Times New Roman"/>
                <w:sz w:val="24"/>
                <w:szCs w:val="24"/>
              </w:rPr>
            </w:pPr>
          </w:p>
        </w:tc>
        <w:tc>
          <w:tcPr>
            <w:tcW w:w="3270" w:type="dxa"/>
          </w:tcPr>
          <w:p w14:paraId="54AD5563"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15 + Years</w:t>
            </w:r>
          </w:p>
        </w:tc>
        <w:tc>
          <w:tcPr>
            <w:tcW w:w="795" w:type="dxa"/>
          </w:tcPr>
          <w:p w14:paraId="18B18BA3" w14:textId="77777777" w:rsidR="000566CC" w:rsidRDefault="000566CC">
            <w:pPr>
              <w:jc w:val="center"/>
              <w:rPr>
                <w:rFonts w:ascii="Times New Roman" w:eastAsia="Times New Roman" w:hAnsi="Times New Roman" w:cs="Times New Roman"/>
                <w:sz w:val="24"/>
                <w:szCs w:val="24"/>
              </w:rPr>
            </w:pPr>
          </w:p>
        </w:tc>
        <w:tc>
          <w:tcPr>
            <w:tcW w:w="930" w:type="dxa"/>
          </w:tcPr>
          <w:p w14:paraId="6E46A96E" w14:textId="77777777" w:rsidR="000566CC" w:rsidRDefault="000566CC">
            <w:pPr>
              <w:jc w:val="center"/>
              <w:rPr>
                <w:rFonts w:ascii="Times New Roman" w:eastAsia="Times New Roman" w:hAnsi="Times New Roman" w:cs="Times New Roman"/>
                <w:sz w:val="24"/>
                <w:szCs w:val="24"/>
              </w:rPr>
            </w:pPr>
          </w:p>
        </w:tc>
        <w:tc>
          <w:tcPr>
            <w:tcW w:w="690" w:type="dxa"/>
          </w:tcPr>
          <w:p w14:paraId="27DECA2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75" w:type="dxa"/>
          </w:tcPr>
          <w:p w14:paraId="28FE61A2"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32.8</w:t>
            </w:r>
          </w:p>
        </w:tc>
      </w:tr>
      <w:tr w:rsidR="000566CC" w14:paraId="35643BE8" w14:textId="77777777">
        <w:trPr>
          <w:trHeight w:val="220"/>
        </w:trPr>
        <w:tc>
          <w:tcPr>
            <w:tcW w:w="5955" w:type="dxa"/>
            <w:gridSpan w:val="2"/>
          </w:tcPr>
          <w:p w14:paraId="568A432C"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License Type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64)</w:t>
            </w:r>
          </w:p>
        </w:tc>
        <w:tc>
          <w:tcPr>
            <w:tcW w:w="795" w:type="dxa"/>
          </w:tcPr>
          <w:p w14:paraId="113FC1B5" w14:textId="77777777" w:rsidR="000566CC" w:rsidRDefault="000566CC">
            <w:pPr>
              <w:jc w:val="center"/>
              <w:rPr>
                <w:rFonts w:ascii="Times New Roman" w:eastAsia="Times New Roman" w:hAnsi="Times New Roman" w:cs="Times New Roman"/>
                <w:sz w:val="24"/>
                <w:szCs w:val="24"/>
              </w:rPr>
            </w:pPr>
          </w:p>
        </w:tc>
        <w:tc>
          <w:tcPr>
            <w:tcW w:w="930" w:type="dxa"/>
          </w:tcPr>
          <w:p w14:paraId="55F7049C" w14:textId="77777777" w:rsidR="000566CC" w:rsidRDefault="000566CC">
            <w:pPr>
              <w:jc w:val="center"/>
              <w:rPr>
                <w:rFonts w:ascii="Times New Roman" w:eastAsia="Times New Roman" w:hAnsi="Times New Roman" w:cs="Times New Roman"/>
                <w:sz w:val="24"/>
                <w:szCs w:val="24"/>
              </w:rPr>
            </w:pPr>
          </w:p>
        </w:tc>
        <w:tc>
          <w:tcPr>
            <w:tcW w:w="690" w:type="dxa"/>
          </w:tcPr>
          <w:p w14:paraId="0078B5EF" w14:textId="77777777" w:rsidR="000566CC" w:rsidRDefault="000566CC">
            <w:pPr>
              <w:jc w:val="center"/>
              <w:rPr>
                <w:rFonts w:ascii="Times New Roman" w:eastAsia="Times New Roman" w:hAnsi="Times New Roman" w:cs="Times New Roman"/>
                <w:sz w:val="24"/>
                <w:szCs w:val="24"/>
              </w:rPr>
            </w:pPr>
          </w:p>
        </w:tc>
        <w:tc>
          <w:tcPr>
            <w:tcW w:w="975" w:type="dxa"/>
          </w:tcPr>
          <w:p w14:paraId="31E83C76" w14:textId="77777777" w:rsidR="000566CC" w:rsidRDefault="000566CC">
            <w:pPr>
              <w:rPr>
                <w:rFonts w:ascii="Times New Roman" w:eastAsia="Times New Roman" w:hAnsi="Times New Roman" w:cs="Times New Roman"/>
                <w:sz w:val="24"/>
                <w:szCs w:val="24"/>
              </w:rPr>
            </w:pPr>
          </w:p>
        </w:tc>
      </w:tr>
      <w:tr w:rsidR="000566CC" w14:paraId="5E4178F6" w14:textId="77777777">
        <w:tc>
          <w:tcPr>
            <w:tcW w:w="2685" w:type="dxa"/>
          </w:tcPr>
          <w:p w14:paraId="615B0BBB" w14:textId="77777777" w:rsidR="000566CC" w:rsidRDefault="000566CC">
            <w:pPr>
              <w:rPr>
                <w:rFonts w:ascii="Times New Roman" w:eastAsia="Times New Roman" w:hAnsi="Times New Roman" w:cs="Times New Roman"/>
                <w:sz w:val="24"/>
                <w:szCs w:val="24"/>
              </w:rPr>
            </w:pPr>
          </w:p>
        </w:tc>
        <w:tc>
          <w:tcPr>
            <w:tcW w:w="3270" w:type="dxa"/>
          </w:tcPr>
          <w:p w14:paraId="7CDE025C"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in Agriculture</w:t>
            </w:r>
          </w:p>
        </w:tc>
        <w:tc>
          <w:tcPr>
            <w:tcW w:w="795" w:type="dxa"/>
          </w:tcPr>
          <w:p w14:paraId="6C0D862B" w14:textId="77777777" w:rsidR="000566CC" w:rsidRDefault="000566CC">
            <w:pPr>
              <w:jc w:val="center"/>
              <w:rPr>
                <w:rFonts w:ascii="Times New Roman" w:eastAsia="Times New Roman" w:hAnsi="Times New Roman" w:cs="Times New Roman"/>
                <w:sz w:val="24"/>
                <w:szCs w:val="24"/>
              </w:rPr>
            </w:pPr>
          </w:p>
        </w:tc>
        <w:tc>
          <w:tcPr>
            <w:tcW w:w="930" w:type="dxa"/>
          </w:tcPr>
          <w:p w14:paraId="5DE11E79" w14:textId="77777777" w:rsidR="000566CC" w:rsidRDefault="000566CC">
            <w:pPr>
              <w:jc w:val="center"/>
              <w:rPr>
                <w:rFonts w:ascii="Times New Roman" w:eastAsia="Times New Roman" w:hAnsi="Times New Roman" w:cs="Times New Roman"/>
                <w:sz w:val="24"/>
                <w:szCs w:val="24"/>
              </w:rPr>
            </w:pPr>
          </w:p>
        </w:tc>
        <w:tc>
          <w:tcPr>
            <w:tcW w:w="690" w:type="dxa"/>
          </w:tcPr>
          <w:p w14:paraId="205AF5BB"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c>
          <w:tcPr>
            <w:tcW w:w="975" w:type="dxa"/>
          </w:tcPr>
          <w:p w14:paraId="5C91BE61"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60.9</w:t>
            </w:r>
          </w:p>
        </w:tc>
      </w:tr>
      <w:tr w:rsidR="000566CC" w14:paraId="2BB62BBF" w14:textId="77777777">
        <w:tc>
          <w:tcPr>
            <w:tcW w:w="2685" w:type="dxa"/>
          </w:tcPr>
          <w:p w14:paraId="10CA5A86" w14:textId="77777777" w:rsidR="000566CC" w:rsidRDefault="000566CC">
            <w:pPr>
              <w:rPr>
                <w:rFonts w:ascii="Times New Roman" w:eastAsia="Times New Roman" w:hAnsi="Times New Roman" w:cs="Times New Roman"/>
                <w:sz w:val="24"/>
                <w:szCs w:val="24"/>
              </w:rPr>
            </w:pPr>
          </w:p>
        </w:tc>
        <w:tc>
          <w:tcPr>
            <w:tcW w:w="3270" w:type="dxa"/>
          </w:tcPr>
          <w:p w14:paraId="3DFF8266"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in Other Area</w:t>
            </w:r>
          </w:p>
        </w:tc>
        <w:tc>
          <w:tcPr>
            <w:tcW w:w="795" w:type="dxa"/>
          </w:tcPr>
          <w:p w14:paraId="0E3A53FB" w14:textId="77777777" w:rsidR="000566CC" w:rsidRDefault="000566CC">
            <w:pPr>
              <w:jc w:val="center"/>
              <w:rPr>
                <w:rFonts w:ascii="Times New Roman" w:eastAsia="Times New Roman" w:hAnsi="Times New Roman" w:cs="Times New Roman"/>
                <w:sz w:val="24"/>
                <w:szCs w:val="24"/>
              </w:rPr>
            </w:pPr>
          </w:p>
        </w:tc>
        <w:tc>
          <w:tcPr>
            <w:tcW w:w="930" w:type="dxa"/>
          </w:tcPr>
          <w:p w14:paraId="6EB47E40" w14:textId="77777777" w:rsidR="000566CC" w:rsidRDefault="000566CC">
            <w:pPr>
              <w:jc w:val="center"/>
              <w:rPr>
                <w:rFonts w:ascii="Times New Roman" w:eastAsia="Times New Roman" w:hAnsi="Times New Roman" w:cs="Times New Roman"/>
                <w:sz w:val="24"/>
                <w:szCs w:val="24"/>
              </w:rPr>
            </w:pPr>
          </w:p>
        </w:tc>
        <w:tc>
          <w:tcPr>
            <w:tcW w:w="690" w:type="dxa"/>
          </w:tcPr>
          <w:p w14:paraId="1D5C54B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75" w:type="dxa"/>
          </w:tcPr>
          <w:p w14:paraId="7A29ABF1"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r>
      <w:tr w:rsidR="000566CC" w14:paraId="25AD5F21" w14:textId="77777777">
        <w:tc>
          <w:tcPr>
            <w:tcW w:w="2685" w:type="dxa"/>
          </w:tcPr>
          <w:p w14:paraId="06B90725" w14:textId="77777777" w:rsidR="000566CC" w:rsidRDefault="000566CC">
            <w:pPr>
              <w:rPr>
                <w:rFonts w:ascii="Times New Roman" w:eastAsia="Times New Roman" w:hAnsi="Times New Roman" w:cs="Times New Roman"/>
                <w:sz w:val="24"/>
                <w:szCs w:val="24"/>
              </w:rPr>
            </w:pPr>
          </w:p>
        </w:tc>
        <w:tc>
          <w:tcPr>
            <w:tcW w:w="3270" w:type="dxa"/>
          </w:tcPr>
          <w:p w14:paraId="0353D83C"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Alternatively in Agriculture</w:t>
            </w:r>
          </w:p>
        </w:tc>
        <w:tc>
          <w:tcPr>
            <w:tcW w:w="795" w:type="dxa"/>
          </w:tcPr>
          <w:p w14:paraId="429B1558" w14:textId="77777777" w:rsidR="000566CC" w:rsidRDefault="000566CC">
            <w:pPr>
              <w:jc w:val="center"/>
              <w:rPr>
                <w:rFonts w:ascii="Times New Roman" w:eastAsia="Times New Roman" w:hAnsi="Times New Roman" w:cs="Times New Roman"/>
                <w:sz w:val="24"/>
                <w:szCs w:val="24"/>
              </w:rPr>
            </w:pPr>
          </w:p>
        </w:tc>
        <w:tc>
          <w:tcPr>
            <w:tcW w:w="930" w:type="dxa"/>
          </w:tcPr>
          <w:p w14:paraId="528E9681" w14:textId="77777777" w:rsidR="000566CC" w:rsidRDefault="000566CC">
            <w:pPr>
              <w:jc w:val="center"/>
              <w:rPr>
                <w:rFonts w:ascii="Times New Roman" w:eastAsia="Times New Roman" w:hAnsi="Times New Roman" w:cs="Times New Roman"/>
                <w:sz w:val="24"/>
                <w:szCs w:val="24"/>
              </w:rPr>
            </w:pPr>
          </w:p>
        </w:tc>
        <w:tc>
          <w:tcPr>
            <w:tcW w:w="690" w:type="dxa"/>
          </w:tcPr>
          <w:p w14:paraId="4330B2E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975" w:type="dxa"/>
          </w:tcPr>
          <w:p w14:paraId="3E4CDC54"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24.7</w:t>
            </w:r>
          </w:p>
        </w:tc>
      </w:tr>
      <w:tr w:rsidR="000566CC" w14:paraId="0A6CD407" w14:textId="77777777">
        <w:tc>
          <w:tcPr>
            <w:tcW w:w="2685" w:type="dxa"/>
          </w:tcPr>
          <w:p w14:paraId="07273BF3" w14:textId="77777777" w:rsidR="000566CC" w:rsidRDefault="000566CC">
            <w:pPr>
              <w:rPr>
                <w:rFonts w:ascii="Times New Roman" w:eastAsia="Times New Roman" w:hAnsi="Times New Roman" w:cs="Times New Roman"/>
                <w:sz w:val="24"/>
                <w:szCs w:val="24"/>
              </w:rPr>
            </w:pPr>
          </w:p>
        </w:tc>
        <w:tc>
          <w:tcPr>
            <w:tcW w:w="3270" w:type="dxa"/>
          </w:tcPr>
          <w:p w14:paraId="07338D48"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Credential/License</w:t>
            </w:r>
          </w:p>
        </w:tc>
        <w:tc>
          <w:tcPr>
            <w:tcW w:w="795" w:type="dxa"/>
          </w:tcPr>
          <w:p w14:paraId="5FBFB8E1" w14:textId="77777777" w:rsidR="000566CC" w:rsidRDefault="000566CC">
            <w:pPr>
              <w:jc w:val="center"/>
              <w:rPr>
                <w:rFonts w:ascii="Times New Roman" w:eastAsia="Times New Roman" w:hAnsi="Times New Roman" w:cs="Times New Roman"/>
                <w:sz w:val="24"/>
                <w:szCs w:val="24"/>
              </w:rPr>
            </w:pPr>
          </w:p>
        </w:tc>
        <w:tc>
          <w:tcPr>
            <w:tcW w:w="930" w:type="dxa"/>
          </w:tcPr>
          <w:p w14:paraId="592472A4" w14:textId="77777777" w:rsidR="000566CC" w:rsidRDefault="000566CC">
            <w:pPr>
              <w:jc w:val="center"/>
              <w:rPr>
                <w:rFonts w:ascii="Times New Roman" w:eastAsia="Times New Roman" w:hAnsi="Times New Roman" w:cs="Times New Roman"/>
                <w:sz w:val="24"/>
                <w:szCs w:val="24"/>
              </w:rPr>
            </w:pPr>
          </w:p>
        </w:tc>
        <w:tc>
          <w:tcPr>
            <w:tcW w:w="690" w:type="dxa"/>
          </w:tcPr>
          <w:p w14:paraId="664EF4C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75" w:type="dxa"/>
          </w:tcPr>
          <w:p w14:paraId="7E11C2D8"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bl>
    <w:p w14:paraId="0C0ED841" w14:textId="77777777" w:rsidR="000566CC" w:rsidRDefault="000566CC">
      <w:pPr>
        <w:spacing w:line="240" w:lineRule="auto"/>
        <w:rPr>
          <w:rFonts w:ascii="Times New Roman" w:eastAsia="Times New Roman" w:hAnsi="Times New Roman" w:cs="Times New Roman"/>
          <w:b/>
          <w:sz w:val="24"/>
          <w:szCs w:val="24"/>
        </w:rPr>
      </w:pPr>
    </w:p>
    <w:p w14:paraId="76678279" w14:textId="77777777" w:rsidR="001E26B7" w:rsidRDefault="001E26B7">
      <w:pPr>
        <w:spacing w:line="240" w:lineRule="auto"/>
        <w:jc w:val="center"/>
        <w:rPr>
          <w:rFonts w:ascii="Times New Roman" w:eastAsia="Times New Roman" w:hAnsi="Times New Roman" w:cs="Times New Roman"/>
          <w:b/>
          <w:sz w:val="24"/>
          <w:szCs w:val="24"/>
        </w:rPr>
      </w:pPr>
    </w:p>
    <w:p w14:paraId="755CBAAD" w14:textId="77777777" w:rsidR="001E26B7" w:rsidRDefault="001E26B7">
      <w:pPr>
        <w:spacing w:line="240" w:lineRule="auto"/>
        <w:jc w:val="center"/>
        <w:rPr>
          <w:rFonts w:ascii="Times New Roman" w:eastAsia="Times New Roman" w:hAnsi="Times New Roman" w:cs="Times New Roman"/>
          <w:b/>
          <w:sz w:val="24"/>
          <w:szCs w:val="24"/>
        </w:rPr>
      </w:pPr>
    </w:p>
    <w:p w14:paraId="1D450CB8" w14:textId="77777777" w:rsidR="001E26B7" w:rsidRDefault="001E26B7">
      <w:pPr>
        <w:spacing w:line="240" w:lineRule="auto"/>
        <w:jc w:val="center"/>
        <w:rPr>
          <w:rFonts w:ascii="Times New Roman" w:eastAsia="Times New Roman" w:hAnsi="Times New Roman" w:cs="Times New Roman"/>
          <w:b/>
          <w:sz w:val="24"/>
          <w:szCs w:val="24"/>
        </w:rPr>
      </w:pPr>
    </w:p>
    <w:p w14:paraId="308AE292" w14:textId="29D43C9A" w:rsidR="000566CC" w:rsidRDefault="003B0C9E">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Results/Findings</w:t>
      </w:r>
    </w:p>
    <w:p w14:paraId="5B22D447" w14:textId="77777777" w:rsidR="000566CC" w:rsidRDefault="000566CC">
      <w:pPr>
        <w:spacing w:line="240" w:lineRule="auto"/>
        <w:rPr>
          <w:rFonts w:ascii="Times New Roman" w:eastAsia="Times New Roman" w:hAnsi="Times New Roman" w:cs="Times New Roman"/>
          <w:sz w:val="24"/>
          <w:szCs w:val="24"/>
        </w:rPr>
      </w:pPr>
    </w:p>
    <w:p w14:paraId="62368E71"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is quantitative in nature and assesses the seven constructs utilizing 52 items based on a seven-point Likert scale (-3 = “strongly disagree” to 0 = “neutral” to 3 = “strongly agree”). Data analysis was completed using IBM SPSS Statistics version 29. </w:t>
      </w:r>
    </w:p>
    <w:p w14:paraId="62037F68" w14:textId="77777777" w:rsidR="000566CC" w:rsidRDefault="000566CC">
      <w:pPr>
        <w:spacing w:line="240" w:lineRule="auto"/>
        <w:ind w:firstLine="720"/>
        <w:rPr>
          <w:rFonts w:ascii="Times New Roman" w:eastAsia="Times New Roman" w:hAnsi="Times New Roman" w:cs="Times New Roman"/>
          <w:sz w:val="24"/>
          <w:szCs w:val="24"/>
        </w:rPr>
      </w:pPr>
    </w:p>
    <w:p w14:paraId="3B3BAA60"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simple random sample consisted of 155 of 235 teachers who opted into the affiliation model for the 2024-2025 school year. Overall, 64 surveys were completed, which yielded a 41.3% response rate. Early and late responses were analyzed for significant differences across the constructs, and none were found. This considers Linder et al. (2001), accounting for non-response bias. Since there are no significant differences, the results could be generalized to other teachers in this population. Correlations among demographic variables were run, and no significant differences were found. Summated means were calculated to represent constructs. </w:t>
      </w:r>
    </w:p>
    <w:p w14:paraId="7B03E66F" w14:textId="77777777" w:rsidR="000566CC" w:rsidRDefault="000566CC">
      <w:pPr>
        <w:spacing w:line="240" w:lineRule="auto"/>
        <w:ind w:firstLine="720"/>
        <w:rPr>
          <w:rFonts w:ascii="Times New Roman" w:eastAsia="Times New Roman" w:hAnsi="Times New Roman" w:cs="Times New Roman"/>
          <w:sz w:val="24"/>
          <w:szCs w:val="24"/>
        </w:rPr>
      </w:pPr>
    </w:p>
    <w:p w14:paraId="5FAC2E0D"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original program efficiency construct had many questions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17), which may have yielded an inflated Cronbach’s alpha due to this number (Field, 2018). It was broken down into two constructs: teacher efficiency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10) and program efficiency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xml:space="preserve">= 7). All constructs (financial management, integration of the three-circle model, student engagement, external engagement, teacher efficiency, program efficiency, and affiliation versus non-affiliation engagement) were analyzed using Cronbach’s Alpha </w:t>
      </w:r>
      <w:r>
        <w:rPr>
          <w:rFonts w:ascii="Times New Roman" w:eastAsia="Times New Roman" w:hAnsi="Times New Roman" w:cs="Times New Roman"/>
          <w:i/>
          <w:sz w:val="24"/>
          <w:szCs w:val="24"/>
        </w:rPr>
        <w:t xml:space="preserve">post-hoc </w:t>
      </w:r>
      <w:r>
        <w:rPr>
          <w:rFonts w:ascii="Times New Roman" w:eastAsia="Times New Roman" w:hAnsi="Times New Roman" w:cs="Times New Roman"/>
          <w:sz w:val="24"/>
          <w:szCs w:val="24"/>
        </w:rPr>
        <w:t xml:space="preserve">for reliability (see Table 3). Questions that were negatively phrased were </w:t>
      </w:r>
      <w:proofErr w:type="gramStart"/>
      <w:r>
        <w:rPr>
          <w:rFonts w:ascii="Times New Roman" w:eastAsia="Times New Roman" w:hAnsi="Times New Roman" w:cs="Times New Roman"/>
          <w:sz w:val="24"/>
          <w:szCs w:val="24"/>
        </w:rPr>
        <w:t>reverse-coded</w:t>
      </w:r>
      <w:proofErr w:type="gramEnd"/>
      <w:r>
        <w:rPr>
          <w:rFonts w:ascii="Times New Roman" w:eastAsia="Times New Roman" w:hAnsi="Times New Roman" w:cs="Times New Roman"/>
          <w:sz w:val="24"/>
          <w:szCs w:val="24"/>
        </w:rPr>
        <w:t xml:space="preserve"> to ensure Cronbach’s alpha is most reliable (Field, 2018). All constructs had a 𝛂 above 0.85 (see Table 3), which is acceptable (</w:t>
      </w:r>
      <w:proofErr w:type="spellStart"/>
      <w:r>
        <w:rPr>
          <w:rFonts w:ascii="Times New Roman" w:eastAsia="Times New Roman" w:hAnsi="Times New Roman" w:cs="Times New Roman"/>
          <w:sz w:val="24"/>
          <w:szCs w:val="24"/>
        </w:rPr>
        <w:t>Tavakol</w:t>
      </w:r>
      <w:proofErr w:type="spellEnd"/>
      <w:r>
        <w:rPr>
          <w:rFonts w:ascii="Times New Roman" w:eastAsia="Times New Roman" w:hAnsi="Times New Roman" w:cs="Times New Roman"/>
          <w:sz w:val="24"/>
          <w:szCs w:val="24"/>
        </w:rPr>
        <w:t xml:space="preserve"> &amp; Dennick, 2011). </w:t>
      </w:r>
    </w:p>
    <w:p w14:paraId="6B6FA0FB" w14:textId="77777777" w:rsidR="000566CC" w:rsidRDefault="000566CC">
      <w:pPr>
        <w:spacing w:line="240" w:lineRule="auto"/>
        <w:ind w:firstLine="720"/>
        <w:rPr>
          <w:rFonts w:ascii="Times New Roman" w:eastAsia="Times New Roman" w:hAnsi="Times New Roman" w:cs="Times New Roman"/>
          <w:sz w:val="24"/>
          <w:szCs w:val="24"/>
        </w:rPr>
      </w:pPr>
    </w:p>
    <w:p w14:paraId="347FAB7B"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All summated means were calculated using reverse-coded questions to account for negatively worded questions, ensuring all questions were on the same scale. Means of -3.00 to -2.15 were ranked as “strongly disagree,” -2.14 to -1.30 as “disagree,” -1.29 to -0.44 as “slightly disagree,” -0.43 to 0.43 as “neutral,” 0.44 to 1.29 as “slightly agree,” 1.30 to 2.14 as “agree,” and 2.15 to 3.00 as “strongly agree.” All constructs fell into the slightly agree category (see Table 3).</w:t>
      </w:r>
    </w:p>
    <w:p w14:paraId="25127ABD" w14:textId="1B83698D" w:rsidR="000566CC" w:rsidRDefault="000566CC" w:rsidP="001E26B7">
      <w:pPr>
        <w:rPr>
          <w:rFonts w:ascii="Times New Roman" w:eastAsia="Times New Roman" w:hAnsi="Times New Roman" w:cs="Times New Roman"/>
          <w:sz w:val="24"/>
          <w:szCs w:val="24"/>
        </w:rPr>
      </w:pPr>
    </w:p>
    <w:tbl>
      <w:tblPr>
        <w:tblStyle w:val="a4"/>
        <w:tblW w:w="9360" w:type="dxa"/>
        <w:tblBorders>
          <w:top w:val="nil"/>
          <w:left w:val="nil"/>
          <w:bottom w:val="nil"/>
          <w:right w:val="nil"/>
          <w:insideH w:val="nil"/>
          <w:insideV w:val="nil"/>
        </w:tblBorders>
        <w:tblLayout w:type="fixed"/>
        <w:tblLook w:val="0400" w:firstRow="0" w:lastRow="0" w:firstColumn="0" w:lastColumn="0" w:noHBand="0" w:noVBand="1"/>
      </w:tblPr>
      <w:tblGrid>
        <w:gridCol w:w="3425"/>
        <w:gridCol w:w="811"/>
        <w:gridCol w:w="1157"/>
        <w:gridCol w:w="811"/>
        <w:gridCol w:w="1082"/>
        <w:gridCol w:w="812"/>
        <w:gridCol w:w="1262"/>
      </w:tblGrid>
      <w:tr w:rsidR="000566CC" w14:paraId="0B848705" w14:textId="77777777">
        <w:tc>
          <w:tcPr>
            <w:tcW w:w="9360" w:type="dxa"/>
            <w:gridSpan w:val="7"/>
            <w:tcBorders>
              <w:bottom w:val="single" w:sz="4" w:space="0" w:color="000000"/>
            </w:tcBorders>
          </w:tcPr>
          <w:p w14:paraId="50FB6612" w14:textId="77777777" w:rsidR="000566CC"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w:t>
            </w:r>
          </w:p>
          <w:p w14:paraId="5787B055" w14:textId="77777777" w:rsidR="000566CC" w:rsidRDefault="00000000">
            <w:pPr>
              <w:rPr>
                <w:rFonts w:ascii="Times New Roman" w:eastAsia="Times New Roman" w:hAnsi="Times New Roman" w:cs="Times New Roman"/>
                <w:i/>
                <w:sz w:val="24"/>
                <w:szCs w:val="24"/>
              </w:rPr>
            </w:pPr>
            <w:r>
              <w:rPr>
                <w:rFonts w:ascii="Times New Roman" w:eastAsia="Times New Roman" w:hAnsi="Times New Roman" w:cs="Times New Roman"/>
                <w:sz w:val="24"/>
                <w:szCs w:val="24"/>
              </w:rPr>
              <w:t>Summated Means, Medians, and Modes of the Seven Constructs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64-72).</w:t>
            </w:r>
          </w:p>
        </w:tc>
      </w:tr>
      <w:tr w:rsidR="000566CC" w14:paraId="0671010A" w14:textId="77777777">
        <w:tc>
          <w:tcPr>
            <w:tcW w:w="3425" w:type="dxa"/>
            <w:vMerge w:val="restart"/>
            <w:tcBorders>
              <w:top w:val="single" w:sz="4" w:space="0" w:color="000000"/>
            </w:tcBorders>
            <w:vAlign w:val="bottom"/>
          </w:tcPr>
          <w:p w14:paraId="763C91FF"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w:t>
            </w:r>
          </w:p>
        </w:tc>
        <w:tc>
          <w:tcPr>
            <w:tcW w:w="811" w:type="dxa"/>
            <w:vMerge w:val="restart"/>
            <w:tcBorders>
              <w:top w:val="single" w:sz="4" w:space="0" w:color="000000"/>
            </w:tcBorders>
            <w:vAlign w:val="bottom"/>
          </w:tcPr>
          <w:p w14:paraId="0CB9D2E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Items (#)</w:t>
            </w:r>
          </w:p>
        </w:tc>
        <w:tc>
          <w:tcPr>
            <w:tcW w:w="1157" w:type="dxa"/>
            <w:vMerge w:val="restart"/>
            <w:tcBorders>
              <w:top w:val="single" w:sz="4" w:space="0" w:color="000000"/>
            </w:tcBorders>
            <w:vAlign w:val="bottom"/>
          </w:tcPr>
          <w:p w14:paraId="4FDCDE14"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Response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w:t>
            </w:r>
          </w:p>
        </w:tc>
        <w:tc>
          <w:tcPr>
            <w:tcW w:w="2705" w:type="dxa"/>
            <w:gridSpan w:val="3"/>
            <w:tcBorders>
              <w:top w:val="single" w:sz="4" w:space="0" w:color="000000"/>
              <w:bottom w:val="single" w:sz="4" w:space="0" w:color="000000"/>
            </w:tcBorders>
            <w:vAlign w:val="bottom"/>
          </w:tcPr>
          <w:p w14:paraId="6740904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Summated</w:t>
            </w:r>
          </w:p>
        </w:tc>
        <w:tc>
          <w:tcPr>
            <w:tcW w:w="1262" w:type="dxa"/>
            <w:vMerge w:val="restart"/>
            <w:tcBorders>
              <w:top w:val="single" w:sz="4" w:space="0" w:color="000000"/>
            </w:tcBorders>
            <w:vAlign w:val="bottom"/>
          </w:tcPr>
          <w:p w14:paraId="32EB42D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Reliability (α)</w:t>
            </w:r>
          </w:p>
        </w:tc>
      </w:tr>
      <w:tr w:rsidR="000566CC" w14:paraId="44B4AC51" w14:textId="77777777">
        <w:tc>
          <w:tcPr>
            <w:tcW w:w="3425" w:type="dxa"/>
            <w:vMerge/>
            <w:tcBorders>
              <w:top w:val="single" w:sz="4" w:space="0" w:color="000000"/>
            </w:tcBorders>
            <w:vAlign w:val="bottom"/>
          </w:tcPr>
          <w:p w14:paraId="38418D90" w14:textId="77777777" w:rsidR="000566CC" w:rsidRDefault="000566CC">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811" w:type="dxa"/>
            <w:vMerge/>
            <w:tcBorders>
              <w:top w:val="single" w:sz="4" w:space="0" w:color="000000"/>
            </w:tcBorders>
            <w:vAlign w:val="bottom"/>
          </w:tcPr>
          <w:p w14:paraId="45E0983E" w14:textId="77777777" w:rsidR="000566CC" w:rsidRDefault="000566CC">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157" w:type="dxa"/>
            <w:vMerge/>
            <w:tcBorders>
              <w:top w:val="single" w:sz="4" w:space="0" w:color="000000"/>
            </w:tcBorders>
            <w:vAlign w:val="bottom"/>
          </w:tcPr>
          <w:p w14:paraId="543D4E93" w14:textId="77777777" w:rsidR="000566CC" w:rsidRDefault="000566CC">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811" w:type="dxa"/>
            <w:tcBorders>
              <w:top w:val="single" w:sz="4" w:space="0" w:color="000000"/>
              <w:bottom w:val="single" w:sz="4" w:space="0" w:color="000000"/>
            </w:tcBorders>
            <w:vAlign w:val="bottom"/>
          </w:tcPr>
          <w:p w14:paraId="4EFC454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 </w:t>
            </w:r>
          </w:p>
        </w:tc>
        <w:tc>
          <w:tcPr>
            <w:tcW w:w="1082" w:type="dxa"/>
            <w:tcBorders>
              <w:top w:val="single" w:sz="4" w:space="0" w:color="000000"/>
              <w:bottom w:val="single" w:sz="4" w:space="0" w:color="000000"/>
            </w:tcBorders>
            <w:vAlign w:val="bottom"/>
          </w:tcPr>
          <w:p w14:paraId="3EF99F0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Median</w:t>
            </w:r>
          </w:p>
        </w:tc>
        <w:tc>
          <w:tcPr>
            <w:tcW w:w="812" w:type="dxa"/>
            <w:tcBorders>
              <w:top w:val="single" w:sz="4" w:space="0" w:color="000000"/>
              <w:bottom w:val="single" w:sz="4" w:space="0" w:color="000000"/>
            </w:tcBorders>
            <w:vAlign w:val="bottom"/>
          </w:tcPr>
          <w:p w14:paraId="09560C1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w:t>
            </w:r>
          </w:p>
        </w:tc>
        <w:tc>
          <w:tcPr>
            <w:tcW w:w="1262" w:type="dxa"/>
            <w:vMerge/>
            <w:tcBorders>
              <w:top w:val="single" w:sz="4" w:space="0" w:color="000000"/>
            </w:tcBorders>
            <w:vAlign w:val="bottom"/>
          </w:tcPr>
          <w:p w14:paraId="451B55BA" w14:textId="77777777" w:rsidR="000566CC" w:rsidRDefault="000566CC">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0566CC" w14:paraId="186A6C09" w14:textId="77777777">
        <w:tc>
          <w:tcPr>
            <w:tcW w:w="3425" w:type="dxa"/>
          </w:tcPr>
          <w:p w14:paraId="624380E8"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Engagement</w:t>
            </w:r>
          </w:p>
        </w:tc>
        <w:tc>
          <w:tcPr>
            <w:tcW w:w="811" w:type="dxa"/>
          </w:tcPr>
          <w:p w14:paraId="52B52A2F"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57" w:type="dxa"/>
          </w:tcPr>
          <w:p w14:paraId="0B20281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c>
          <w:tcPr>
            <w:tcW w:w="811" w:type="dxa"/>
          </w:tcPr>
          <w:p w14:paraId="6BAFAE9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w:t>
            </w:r>
          </w:p>
        </w:tc>
        <w:tc>
          <w:tcPr>
            <w:tcW w:w="1082" w:type="dxa"/>
          </w:tcPr>
          <w:p w14:paraId="4DCA7AD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812" w:type="dxa"/>
          </w:tcPr>
          <w:p w14:paraId="6BD7D17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1262" w:type="dxa"/>
          </w:tcPr>
          <w:p w14:paraId="518C8F8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p>
        </w:tc>
      </w:tr>
      <w:tr w:rsidR="000566CC" w14:paraId="40C84E13" w14:textId="77777777">
        <w:tc>
          <w:tcPr>
            <w:tcW w:w="3425" w:type="dxa"/>
          </w:tcPr>
          <w:p w14:paraId="45BF47C5"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Teacher Efficiency</w:t>
            </w:r>
          </w:p>
        </w:tc>
        <w:tc>
          <w:tcPr>
            <w:tcW w:w="811" w:type="dxa"/>
          </w:tcPr>
          <w:p w14:paraId="56313AB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157" w:type="dxa"/>
          </w:tcPr>
          <w:p w14:paraId="39A74D4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624BCCB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082" w:type="dxa"/>
          </w:tcPr>
          <w:p w14:paraId="10F89BD6"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812" w:type="dxa"/>
          </w:tcPr>
          <w:p w14:paraId="2C7F2C0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262" w:type="dxa"/>
          </w:tcPr>
          <w:p w14:paraId="25C990E4"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r>
      <w:tr w:rsidR="000566CC" w14:paraId="77FC4DC1" w14:textId="77777777">
        <w:trPr>
          <w:trHeight w:val="222"/>
        </w:trPr>
        <w:tc>
          <w:tcPr>
            <w:tcW w:w="3425" w:type="dxa"/>
          </w:tcPr>
          <w:p w14:paraId="5F68012C"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the 3-Circle Model</w:t>
            </w:r>
          </w:p>
        </w:tc>
        <w:tc>
          <w:tcPr>
            <w:tcW w:w="811" w:type="dxa"/>
          </w:tcPr>
          <w:p w14:paraId="3401DFC2"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157" w:type="dxa"/>
          </w:tcPr>
          <w:p w14:paraId="46F1E91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498832D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1082" w:type="dxa"/>
          </w:tcPr>
          <w:p w14:paraId="0912EB8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w:t>
            </w:r>
          </w:p>
        </w:tc>
        <w:tc>
          <w:tcPr>
            <w:tcW w:w="812" w:type="dxa"/>
          </w:tcPr>
          <w:p w14:paraId="35E32F5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0.63</w:t>
            </w:r>
          </w:p>
        </w:tc>
        <w:tc>
          <w:tcPr>
            <w:tcW w:w="1262" w:type="dxa"/>
          </w:tcPr>
          <w:p w14:paraId="679C733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0566CC" w14:paraId="668C3DE5" w14:textId="77777777">
        <w:trPr>
          <w:trHeight w:val="267"/>
        </w:trPr>
        <w:tc>
          <w:tcPr>
            <w:tcW w:w="3425" w:type="dxa"/>
          </w:tcPr>
          <w:p w14:paraId="253FEA56"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w:t>
            </w:r>
          </w:p>
        </w:tc>
        <w:tc>
          <w:tcPr>
            <w:tcW w:w="811" w:type="dxa"/>
          </w:tcPr>
          <w:p w14:paraId="200DBD6F"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57" w:type="dxa"/>
          </w:tcPr>
          <w:p w14:paraId="4A291D2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264FFBC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0.59</w:t>
            </w:r>
          </w:p>
        </w:tc>
        <w:tc>
          <w:tcPr>
            <w:tcW w:w="1082" w:type="dxa"/>
          </w:tcPr>
          <w:p w14:paraId="657A7A8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812" w:type="dxa"/>
          </w:tcPr>
          <w:p w14:paraId="26BC3FB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62" w:type="dxa"/>
          </w:tcPr>
          <w:p w14:paraId="1EE58782"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r>
      <w:tr w:rsidR="000566CC" w14:paraId="6CD1334E" w14:textId="77777777">
        <w:trPr>
          <w:trHeight w:val="276"/>
        </w:trPr>
        <w:tc>
          <w:tcPr>
            <w:tcW w:w="3425" w:type="dxa"/>
          </w:tcPr>
          <w:p w14:paraId="2D2F78D2"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Engagement</w:t>
            </w:r>
          </w:p>
        </w:tc>
        <w:tc>
          <w:tcPr>
            <w:tcW w:w="811" w:type="dxa"/>
          </w:tcPr>
          <w:p w14:paraId="113AE91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57" w:type="dxa"/>
          </w:tcPr>
          <w:p w14:paraId="1C0C877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c>
          <w:tcPr>
            <w:tcW w:w="811" w:type="dxa"/>
          </w:tcPr>
          <w:p w14:paraId="27B5F35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082" w:type="dxa"/>
          </w:tcPr>
          <w:p w14:paraId="0A44336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812" w:type="dxa"/>
          </w:tcPr>
          <w:p w14:paraId="7574F37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62" w:type="dxa"/>
          </w:tcPr>
          <w:p w14:paraId="22AD48D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0566CC" w14:paraId="38B0C4CB" w14:textId="77777777">
        <w:tc>
          <w:tcPr>
            <w:tcW w:w="3425" w:type="dxa"/>
          </w:tcPr>
          <w:p w14:paraId="30AA1C31"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Affiliation vs. </w:t>
            </w:r>
            <w:proofErr w:type="gramStart"/>
            <w:r>
              <w:rPr>
                <w:rFonts w:ascii="Times New Roman" w:eastAsia="Times New Roman" w:hAnsi="Times New Roman" w:cs="Times New Roman"/>
                <w:sz w:val="24"/>
                <w:szCs w:val="24"/>
              </w:rPr>
              <w:t>Non-Aff</w:t>
            </w:r>
            <w:proofErr w:type="gramEnd"/>
            <w:r>
              <w:rPr>
                <w:rFonts w:ascii="Times New Roman" w:eastAsia="Times New Roman" w:hAnsi="Times New Roman" w:cs="Times New Roman"/>
                <w:sz w:val="24"/>
                <w:szCs w:val="24"/>
              </w:rPr>
              <w:t>. Engage.</w:t>
            </w:r>
          </w:p>
        </w:tc>
        <w:tc>
          <w:tcPr>
            <w:tcW w:w="811" w:type="dxa"/>
          </w:tcPr>
          <w:p w14:paraId="09084A0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157" w:type="dxa"/>
          </w:tcPr>
          <w:p w14:paraId="1E0C102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811" w:type="dxa"/>
          </w:tcPr>
          <w:p w14:paraId="4FD3C74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0.66</w:t>
            </w:r>
          </w:p>
        </w:tc>
        <w:tc>
          <w:tcPr>
            <w:tcW w:w="1082" w:type="dxa"/>
          </w:tcPr>
          <w:p w14:paraId="0A911AAF"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tc>
        <w:tc>
          <w:tcPr>
            <w:tcW w:w="812" w:type="dxa"/>
          </w:tcPr>
          <w:p w14:paraId="7BB952E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62" w:type="dxa"/>
          </w:tcPr>
          <w:p w14:paraId="0FAE9C5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r>
      <w:tr w:rsidR="000566CC" w14:paraId="45848E14" w14:textId="77777777">
        <w:tc>
          <w:tcPr>
            <w:tcW w:w="3425" w:type="dxa"/>
          </w:tcPr>
          <w:p w14:paraId="707A7E01"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Program Efficiency</w:t>
            </w:r>
          </w:p>
        </w:tc>
        <w:tc>
          <w:tcPr>
            <w:tcW w:w="811" w:type="dxa"/>
          </w:tcPr>
          <w:p w14:paraId="2640D98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57" w:type="dxa"/>
          </w:tcPr>
          <w:p w14:paraId="20E62946"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38CA275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1082" w:type="dxa"/>
          </w:tcPr>
          <w:p w14:paraId="3E54F8D2"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812" w:type="dxa"/>
          </w:tcPr>
          <w:p w14:paraId="5CDA688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62" w:type="dxa"/>
          </w:tcPr>
          <w:p w14:paraId="41E9E86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0566CC" w14:paraId="4C8AF485" w14:textId="77777777">
        <w:tc>
          <w:tcPr>
            <w:tcW w:w="9360" w:type="dxa"/>
            <w:gridSpan w:val="7"/>
            <w:tcBorders>
              <w:top w:val="single" w:sz="4" w:space="0" w:color="000000"/>
            </w:tcBorders>
          </w:tcPr>
          <w:p w14:paraId="30C68FE4" w14:textId="4E25ABD9"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i/>
                <w:sz w:val="24"/>
                <w:szCs w:val="24"/>
              </w:rPr>
              <w:t>Note.</w:t>
            </w:r>
            <w:r>
              <w:rPr>
                <w:rFonts w:ascii="Times New Roman" w:eastAsia="Times New Roman" w:hAnsi="Times New Roman" w:cs="Times New Roman"/>
                <w:sz w:val="24"/>
                <w:szCs w:val="24"/>
              </w:rPr>
              <w:t xml:space="preserve"> Strongly disagree = -3 to -2.15, disagree = -2.14 to -1.30, slightly disagree = -1.29 to -0.43, neutral = -0.43 to 0.43, slightly agree = 0.44 to 1.29, agree = 1.30 to 2.14, strongly agree = 2.15 to 3.00.</w:t>
            </w:r>
          </w:p>
        </w:tc>
      </w:tr>
    </w:tbl>
    <w:p w14:paraId="09D3723A" w14:textId="77777777" w:rsidR="000566C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When analyzing simple means, medians, and modes, it was noted that the responses from some participants were skewed. Because several medians and modes were higher than the means, analyses of frequencies of the summated means were conducted. The highest percentage of responses was in the agree range for five out of the seven constructs: student engagement, teacher efficiency, integration of the three-circle model, financial management, and affiliation versus non-affiliation engagement (see Table 4). However, the simple means masked the relatively few respondents who disagreed with the constructs or the benefits of affiliation. </w:t>
      </w:r>
    </w:p>
    <w:p w14:paraId="0FD1E1BB" w14:textId="77777777" w:rsidR="000566CC" w:rsidRDefault="000566CC">
      <w:pPr>
        <w:spacing w:line="240" w:lineRule="auto"/>
        <w:rPr>
          <w:rFonts w:ascii="Times New Roman" w:eastAsia="Times New Roman" w:hAnsi="Times New Roman" w:cs="Times New Roman"/>
          <w:sz w:val="24"/>
          <w:szCs w:val="24"/>
        </w:rPr>
      </w:pPr>
    </w:p>
    <w:tbl>
      <w:tblPr>
        <w:tblStyle w:val="a5"/>
        <w:tblW w:w="9360" w:type="dxa"/>
        <w:tblBorders>
          <w:top w:val="nil"/>
          <w:left w:val="nil"/>
          <w:bottom w:val="nil"/>
          <w:right w:val="nil"/>
          <w:insideH w:val="nil"/>
          <w:insideV w:val="nil"/>
        </w:tblBorders>
        <w:tblLayout w:type="fixed"/>
        <w:tblLook w:val="0400" w:firstRow="0" w:lastRow="0" w:firstColumn="0" w:lastColumn="0" w:noHBand="0" w:noVBand="1"/>
      </w:tblPr>
      <w:tblGrid>
        <w:gridCol w:w="2250"/>
        <w:gridCol w:w="1080"/>
        <w:gridCol w:w="1076"/>
        <w:gridCol w:w="1072"/>
        <w:gridCol w:w="936"/>
        <w:gridCol w:w="977"/>
        <w:gridCol w:w="926"/>
        <w:gridCol w:w="1043"/>
      </w:tblGrid>
      <w:tr w:rsidR="000566CC" w14:paraId="2857D83F" w14:textId="77777777">
        <w:tc>
          <w:tcPr>
            <w:tcW w:w="9360" w:type="dxa"/>
            <w:gridSpan w:val="8"/>
            <w:tcBorders>
              <w:bottom w:val="single" w:sz="4" w:space="0" w:color="000000"/>
            </w:tcBorders>
          </w:tcPr>
          <w:p w14:paraId="01CD816E"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4</w:t>
            </w:r>
          </w:p>
          <w:p w14:paraId="43EAF8CE" w14:textId="77777777" w:rsidR="000566CC"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 of Summated Means by Construct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64-72).</w:t>
            </w:r>
          </w:p>
        </w:tc>
      </w:tr>
      <w:tr w:rsidR="000566CC" w14:paraId="4E7A9AFD" w14:textId="77777777">
        <w:tc>
          <w:tcPr>
            <w:tcW w:w="2250" w:type="dxa"/>
            <w:tcBorders>
              <w:top w:val="single" w:sz="4" w:space="0" w:color="000000"/>
              <w:bottom w:val="single" w:sz="4" w:space="0" w:color="000000"/>
            </w:tcBorders>
            <w:vAlign w:val="bottom"/>
          </w:tcPr>
          <w:p w14:paraId="4D0FB876" w14:textId="77777777" w:rsidR="000566CC"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Construct</w:t>
            </w:r>
          </w:p>
        </w:tc>
        <w:tc>
          <w:tcPr>
            <w:tcW w:w="1080" w:type="dxa"/>
            <w:tcBorders>
              <w:top w:val="single" w:sz="4" w:space="0" w:color="000000"/>
              <w:bottom w:val="single" w:sz="4" w:space="0" w:color="000000"/>
            </w:tcBorders>
            <w:vAlign w:val="bottom"/>
          </w:tcPr>
          <w:p w14:paraId="6F245CF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tc>
        <w:tc>
          <w:tcPr>
            <w:tcW w:w="1076" w:type="dxa"/>
            <w:tcBorders>
              <w:top w:val="single" w:sz="4" w:space="0" w:color="000000"/>
              <w:bottom w:val="single" w:sz="4" w:space="0" w:color="000000"/>
            </w:tcBorders>
            <w:vAlign w:val="bottom"/>
          </w:tcPr>
          <w:p w14:paraId="610F17E4"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tc>
        <w:tc>
          <w:tcPr>
            <w:tcW w:w="1072" w:type="dxa"/>
            <w:tcBorders>
              <w:top w:val="single" w:sz="4" w:space="0" w:color="000000"/>
              <w:bottom w:val="single" w:sz="4" w:space="0" w:color="000000"/>
            </w:tcBorders>
            <w:vAlign w:val="bottom"/>
          </w:tcPr>
          <w:p w14:paraId="1B146D7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Slightly Disagree </w:t>
            </w:r>
          </w:p>
        </w:tc>
        <w:tc>
          <w:tcPr>
            <w:tcW w:w="936" w:type="dxa"/>
            <w:tcBorders>
              <w:top w:val="single" w:sz="4" w:space="0" w:color="000000"/>
              <w:bottom w:val="single" w:sz="4" w:space="0" w:color="000000"/>
            </w:tcBorders>
            <w:vAlign w:val="bottom"/>
          </w:tcPr>
          <w:p w14:paraId="79B7DCF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tc>
        <w:tc>
          <w:tcPr>
            <w:tcW w:w="977" w:type="dxa"/>
            <w:tcBorders>
              <w:top w:val="single" w:sz="4" w:space="0" w:color="000000"/>
              <w:bottom w:val="single" w:sz="4" w:space="0" w:color="000000"/>
            </w:tcBorders>
            <w:vAlign w:val="bottom"/>
          </w:tcPr>
          <w:p w14:paraId="1DA6050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Slightly Agree </w:t>
            </w:r>
          </w:p>
        </w:tc>
        <w:tc>
          <w:tcPr>
            <w:tcW w:w="926" w:type="dxa"/>
            <w:tcBorders>
              <w:top w:val="single" w:sz="4" w:space="0" w:color="000000"/>
              <w:bottom w:val="single" w:sz="4" w:space="0" w:color="000000"/>
            </w:tcBorders>
            <w:vAlign w:val="bottom"/>
          </w:tcPr>
          <w:p w14:paraId="051B5754"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tc>
        <w:tc>
          <w:tcPr>
            <w:tcW w:w="1043" w:type="dxa"/>
            <w:tcBorders>
              <w:top w:val="single" w:sz="4" w:space="0" w:color="000000"/>
              <w:bottom w:val="single" w:sz="4" w:space="0" w:color="000000"/>
            </w:tcBorders>
            <w:vAlign w:val="bottom"/>
          </w:tcPr>
          <w:p w14:paraId="04F1E21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Agree </w:t>
            </w:r>
          </w:p>
        </w:tc>
      </w:tr>
      <w:tr w:rsidR="000566CC" w14:paraId="1034C1C8" w14:textId="77777777">
        <w:tc>
          <w:tcPr>
            <w:tcW w:w="2250" w:type="dxa"/>
            <w:tcBorders>
              <w:top w:val="single" w:sz="4" w:space="0" w:color="000000"/>
            </w:tcBorders>
          </w:tcPr>
          <w:p w14:paraId="5098BC91" w14:textId="77777777" w:rsidR="000566CC" w:rsidRDefault="00000000">
            <w:pPr>
              <w:ind w:left="345" w:hanging="345"/>
              <w:rPr>
                <w:rFonts w:ascii="Times New Roman" w:eastAsia="Times New Roman" w:hAnsi="Times New Roman" w:cs="Times New Roman"/>
                <w:b/>
                <w:sz w:val="24"/>
                <w:szCs w:val="24"/>
              </w:rPr>
            </w:pPr>
            <w:r>
              <w:rPr>
                <w:rFonts w:ascii="Times New Roman" w:eastAsia="Times New Roman" w:hAnsi="Times New Roman" w:cs="Times New Roman"/>
                <w:sz w:val="24"/>
                <w:szCs w:val="24"/>
              </w:rPr>
              <w:t>Student Engagement</w:t>
            </w:r>
          </w:p>
        </w:tc>
        <w:tc>
          <w:tcPr>
            <w:tcW w:w="1080" w:type="dxa"/>
            <w:tcBorders>
              <w:top w:val="single" w:sz="4" w:space="0" w:color="000000"/>
            </w:tcBorders>
          </w:tcPr>
          <w:p w14:paraId="0E86ECA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1.5</w:t>
            </w:r>
          </w:p>
        </w:tc>
        <w:tc>
          <w:tcPr>
            <w:tcW w:w="1076" w:type="dxa"/>
            <w:tcBorders>
              <w:top w:val="single" w:sz="4" w:space="0" w:color="000000"/>
            </w:tcBorders>
          </w:tcPr>
          <w:p w14:paraId="6931A4A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w:t>
            </w:r>
          </w:p>
        </w:tc>
        <w:tc>
          <w:tcPr>
            <w:tcW w:w="1072" w:type="dxa"/>
            <w:tcBorders>
              <w:top w:val="single" w:sz="4" w:space="0" w:color="000000"/>
            </w:tcBorders>
          </w:tcPr>
          <w:p w14:paraId="30874AC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p>
        </w:tc>
        <w:tc>
          <w:tcPr>
            <w:tcW w:w="936" w:type="dxa"/>
            <w:tcBorders>
              <w:top w:val="single" w:sz="4" w:space="0" w:color="000000"/>
            </w:tcBorders>
          </w:tcPr>
          <w:p w14:paraId="514D7F07"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22.7</w:t>
            </w:r>
          </w:p>
        </w:tc>
        <w:tc>
          <w:tcPr>
            <w:tcW w:w="977" w:type="dxa"/>
            <w:tcBorders>
              <w:top w:val="single" w:sz="4" w:space="0" w:color="000000"/>
            </w:tcBorders>
          </w:tcPr>
          <w:p w14:paraId="250F003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16.7</w:t>
            </w:r>
          </w:p>
        </w:tc>
        <w:tc>
          <w:tcPr>
            <w:tcW w:w="926" w:type="dxa"/>
            <w:tcBorders>
              <w:top w:val="single" w:sz="4" w:space="0" w:color="000000"/>
            </w:tcBorders>
          </w:tcPr>
          <w:p w14:paraId="4B89160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31.8</w:t>
            </w:r>
          </w:p>
        </w:tc>
        <w:tc>
          <w:tcPr>
            <w:tcW w:w="1043" w:type="dxa"/>
            <w:tcBorders>
              <w:top w:val="single" w:sz="4" w:space="0" w:color="000000"/>
            </w:tcBorders>
          </w:tcPr>
          <w:p w14:paraId="651FCE2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24.2</w:t>
            </w:r>
          </w:p>
        </w:tc>
      </w:tr>
      <w:tr w:rsidR="000566CC" w14:paraId="49C16CFE" w14:textId="77777777">
        <w:tc>
          <w:tcPr>
            <w:tcW w:w="2250" w:type="dxa"/>
          </w:tcPr>
          <w:p w14:paraId="52FAC2B0" w14:textId="77777777" w:rsidR="000566CC" w:rsidRDefault="00000000">
            <w:pPr>
              <w:ind w:left="345" w:hanging="345"/>
              <w:rPr>
                <w:rFonts w:ascii="Times New Roman" w:eastAsia="Times New Roman" w:hAnsi="Times New Roman" w:cs="Times New Roman"/>
                <w:b/>
                <w:sz w:val="24"/>
                <w:szCs w:val="24"/>
              </w:rPr>
            </w:pPr>
            <w:r>
              <w:rPr>
                <w:rFonts w:ascii="Times New Roman" w:eastAsia="Times New Roman" w:hAnsi="Times New Roman" w:cs="Times New Roman"/>
                <w:sz w:val="24"/>
                <w:szCs w:val="24"/>
              </w:rPr>
              <w:t>Teacher Efficiency</w:t>
            </w:r>
          </w:p>
        </w:tc>
        <w:tc>
          <w:tcPr>
            <w:tcW w:w="1080" w:type="dxa"/>
          </w:tcPr>
          <w:p w14:paraId="790BBA24"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p>
        </w:tc>
        <w:tc>
          <w:tcPr>
            <w:tcW w:w="1076" w:type="dxa"/>
          </w:tcPr>
          <w:p w14:paraId="51F0FFF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3.1</w:t>
            </w:r>
          </w:p>
        </w:tc>
        <w:tc>
          <w:tcPr>
            <w:tcW w:w="1072" w:type="dxa"/>
          </w:tcPr>
          <w:p w14:paraId="2598C7E7"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6.2</w:t>
            </w:r>
          </w:p>
        </w:tc>
        <w:tc>
          <w:tcPr>
            <w:tcW w:w="936" w:type="dxa"/>
          </w:tcPr>
          <w:p w14:paraId="7139B797"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18.5</w:t>
            </w:r>
          </w:p>
        </w:tc>
        <w:tc>
          <w:tcPr>
            <w:tcW w:w="977" w:type="dxa"/>
          </w:tcPr>
          <w:p w14:paraId="4E45116B"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23.1</w:t>
            </w:r>
          </w:p>
        </w:tc>
        <w:tc>
          <w:tcPr>
            <w:tcW w:w="926" w:type="dxa"/>
          </w:tcPr>
          <w:p w14:paraId="4ABA0F8F"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33.8</w:t>
            </w:r>
          </w:p>
        </w:tc>
        <w:tc>
          <w:tcPr>
            <w:tcW w:w="1043" w:type="dxa"/>
          </w:tcPr>
          <w:p w14:paraId="5EF3CB0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15.4</w:t>
            </w:r>
          </w:p>
        </w:tc>
      </w:tr>
      <w:tr w:rsidR="000566CC" w14:paraId="25E34646" w14:textId="77777777">
        <w:tc>
          <w:tcPr>
            <w:tcW w:w="2250" w:type="dxa"/>
          </w:tcPr>
          <w:p w14:paraId="1C7F19C0" w14:textId="77777777" w:rsidR="000566CC" w:rsidRDefault="00000000">
            <w:pPr>
              <w:ind w:left="345" w:hanging="345"/>
              <w:rPr>
                <w:rFonts w:ascii="Times New Roman" w:eastAsia="Times New Roman" w:hAnsi="Times New Roman" w:cs="Times New Roman"/>
                <w:b/>
                <w:sz w:val="24"/>
                <w:szCs w:val="24"/>
              </w:rPr>
            </w:pPr>
            <w:r>
              <w:rPr>
                <w:rFonts w:ascii="Times New Roman" w:eastAsia="Times New Roman" w:hAnsi="Times New Roman" w:cs="Times New Roman"/>
                <w:sz w:val="24"/>
                <w:szCs w:val="24"/>
              </w:rPr>
              <w:t>Integration of the 3-Circle Model</w:t>
            </w:r>
          </w:p>
        </w:tc>
        <w:tc>
          <w:tcPr>
            <w:tcW w:w="1080" w:type="dxa"/>
          </w:tcPr>
          <w:p w14:paraId="530BAD8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p>
        </w:tc>
        <w:tc>
          <w:tcPr>
            <w:tcW w:w="1076" w:type="dxa"/>
          </w:tcPr>
          <w:p w14:paraId="020DA2B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1.6</w:t>
            </w:r>
          </w:p>
        </w:tc>
        <w:tc>
          <w:tcPr>
            <w:tcW w:w="1072" w:type="dxa"/>
          </w:tcPr>
          <w:p w14:paraId="6026F0B5"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6.3</w:t>
            </w:r>
          </w:p>
        </w:tc>
        <w:tc>
          <w:tcPr>
            <w:tcW w:w="936" w:type="dxa"/>
          </w:tcPr>
          <w:p w14:paraId="50ED477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18.8</w:t>
            </w:r>
          </w:p>
        </w:tc>
        <w:tc>
          <w:tcPr>
            <w:tcW w:w="977" w:type="dxa"/>
          </w:tcPr>
          <w:p w14:paraId="39DC814B"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29.7</w:t>
            </w:r>
          </w:p>
        </w:tc>
        <w:tc>
          <w:tcPr>
            <w:tcW w:w="926" w:type="dxa"/>
          </w:tcPr>
          <w:p w14:paraId="5B58EFE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29.7</w:t>
            </w:r>
          </w:p>
        </w:tc>
        <w:tc>
          <w:tcPr>
            <w:tcW w:w="1043" w:type="dxa"/>
          </w:tcPr>
          <w:p w14:paraId="7DF7C8E7"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14.1</w:t>
            </w:r>
          </w:p>
        </w:tc>
      </w:tr>
      <w:tr w:rsidR="000566CC" w14:paraId="01637891" w14:textId="77777777">
        <w:tc>
          <w:tcPr>
            <w:tcW w:w="2250" w:type="dxa"/>
          </w:tcPr>
          <w:p w14:paraId="1B0BA4C1" w14:textId="77777777" w:rsidR="000566CC" w:rsidRDefault="00000000">
            <w:pPr>
              <w:ind w:left="345" w:hanging="345"/>
              <w:rPr>
                <w:rFonts w:ascii="Times New Roman" w:eastAsia="Times New Roman" w:hAnsi="Times New Roman" w:cs="Times New Roman"/>
                <w:b/>
                <w:sz w:val="24"/>
                <w:szCs w:val="24"/>
              </w:rPr>
            </w:pPr>
            <w:r>
              <w:rPr>
                <w:rFonts w:ascii="Times New Roman" w:eastAsia="Times New Roman" w:hAnsi="Times New Roman" w:cs="Times New Roman"/>
                <w:sz w:val="24"/>
                <w:szCs w:val="24"/>
              </w:rPr>
              <w:t>Financial Mgt.</w:t>
            </w:r>
          </w:p>
        </w:tc>
        <w:tc>
          <w:tcPr>
            <w:tcW w:w="1080" w:type="dxa"/>
          </w:tcPr>
          <w:p w14:paraId="28BC31D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4.7</w:t>
            </w:r>
          </w:p>
        </w:tc>
        <w:tc>
          <w:tcPr>
            <w:tcW w:w="1076" w:type="dxa"/>
          </w:tcPr>
          <w:p w14:paraId="56D1DC8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4.7</w:t>
            </w:r>
          </w:p>
        </w:tc>
        <w:tc>
          <w:tcPr>
            <w:tcW w:w="1072" w:type="dxa"/>
          </w:tcPr>
          <w:p w14:paraId="4C0505F2"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6.3</w:t>
            </w:r>
          </w:p>
        </w:tc>
        <w:tc>
          <w:tcPr>
            <w:tcW w:w="936" w:type="dxa"/>
          </w:tcPr>
          <w:p w14:paraId="77C200E2"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26.6</w:t>
            </w:r>
          </w:p>
        </w:tc>
        <w:tc>
          <w:tcPr>
            <w:tcW w:w="977" w:type="dxa"/>
          </w:tcPr>
          <w:p w14:paraId="68A8D47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21.9</w:t>
            </w:r>
          </w:p>
        </w:tc>
        <w:tc>
          <w:tcPr>
            <w:tcW w:w="926" w:type="dxa"/>
          </w:tcPr>
          <w:p w14:paraId="2FEC98F3"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28.1</w:t>
            </w:r>
          </w:p>
        </w:tc>
        <w:tc>
          <w:tcPr>
            <w:tcW w:w="1043" w:type="dxa"/>
          </w:tcPr>
          <w:p w14:paraId="22B47E7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7.8</w:t>
            </w:r>
          </w:p>
        </w:tc>
      </w:tr>
      <w:tr w:rsidR="000566CC" w14:paraId="5CE94BF6" w14:textId="77777777">
        <w:tc>
          <w:tcPr>
            <w:tcW w:w="2250" w:type="dxa"/>
          </w:tcPr>
          <w:p w14:paraId="6014F90A" w14:textId="77777777" w:rsidR="000566CC" w:rsidRDefault="00000000">
            <w:pPr>
              <w:ind w:left="345" w:hanging="345"/>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Engage.</w:t>
            </w:r>
          </w:p>
        </w:tc>
        <w:tc>
          <w:tcPr>
            <w:tcW w:w="1080" w:type="dxa"/>
          </w:tcPr>
          <w:p w14:paraId="1FA2CE7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w:t>
            </w:r>
          </w:p>
        </w:tc>
        <w:tc>
          <w:tcPr>
            <w:tcW w:w="1076" w:type="dxa"/>
          </w:tcPr>
          <w:p w14:paraId="43D7D51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1.5</w:t>
            </w:r>
          </w:p>
        </w:tc>
        <w:tc>
          <w:tcPr>
            <w:tcW w:w="1072" w:type="dxa"/>
          </w:tcPr>
          <w:p w14:paraId="4A16CB17"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6.1</w:t>
            </w:r>
          </w:p>
        </w:tc>
        <w:tc>
          <w:tcPr>
            <w:tcW w:w="936" w:type="dxa"/>
          </w:tcPr>
          <w:p w14:paraId="677A153C"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37.9</w:t>
            </w:r>
          </w:p>
        </w:tc>
        <w:tc>
          <w:tcPr>
            <w:tcW w:w="977" w:type="dxa"/>
          </w:tcPr>
          <w:p w14:paraId="518D7D8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21.2</w:t>
            </w:r>
          </w:p>
        </w:tc>
        <w:tc>
          <w:tcPr>
            <w:tcW w:w="926" w:type="dxa"/>
          </w:tcPr>
          <w:p w14:paraId="3C14AE7B"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22.7</w:t>
            </w:r>
          </w:p>
        </w:tc>
        <w:tc>
          <w:tcPr>
            <w:tcW w:w="1043" w:type="dxa"/>
          </w:tcPr>
          <w:p w14:paraId="00767EC0"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7.6</w:t>
            </w:r>
          </w:p>
        </w:tc>
      </w:tr>
      <w:tr w:rsidR="000566CC" w14:paraId="42DEC60D" w14:textId="77777777">
        <w:tc>
          <w:tcPr>
            <w:tcW w:w="2250" w:type="dxa"/>
          </w:tcPr>
          <w:p w14:paraId="7D140FC1" w14:textId="77777777" w:rsidR="000566CC" w:rsidRDefault="00000000">
            <w:pPr>
              <w:ind w:left="345" w:hanging="34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Affiliation vs. </w:t>
            </w:r>
            <w:proofErr w:type="gramStart"/>
            <w:r>
              <w:rPr>
                <w:rFonts w:ascii="Times New Roman" w:eastAsia="Times New Roman" w:hAnsi="Times New Roman" w:cs="Times New Roman"/>
                <w:sz w:val="24"/>
                <w:szCs w:val="24"/>
              </w:rPr>
              <w:t>Non-</w:t>
            </w:r>
            <w:proofErr w:type="spellStart"/>
            <w:r>
              <w:rPr>
                <w:rFonts w:ascii="Times New Roman" w:eastAsia="Times New Roman" w:hAnsi="Times New Roman" w:cs="Times New Roman"/>
                <w:sz w:val="24"/>
                <w:szCs w:val="24"/>
              </w:rPr>
              <w:t>Affil</w:t>
            </w:r>
            <w:proofErr w:type="spellEnd"/>
            <w:proofErr w:type="gramEnd"/>
            <w:r>
              <w:rPr>
                <w:rFonts w:ascii="Times New Roman" w:eastAsia="Times New Roman" w:hAnsi="Times New Roman" w:cs="Times New Roman"/>
                <w:sz w:val="24"/>
                <w:szCs w:val="24"/>
              </w:rPr>
              <w:t>. Engage.</w:t>
            </w:r>
          </w:p>
        </w:tc>
        <w:tc>
          <w:tcPr>
            <w:tcW w:w="1080" w:type="dxa"/>
          </w:tcPr>
          <w:p w14:paraId="05AD604B"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w:t>
            </w:r>
          </w:p>
        </w:tc>
        <w:tc>
          <w:tcPr>
            <w:tcW w:w="1076" w:type="dxa"/>
          </w:tcPr>
          <w:p w14:paraId="6753D66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5.6</w:t>
            </w:r>
          </w:p>
        </w:tc>
        <w:tc>
          <w:tcPr>
            <w:tcW w:w="1072" w:type="dxa"/>
          </w:tcPr>
          <w:p w14:paraId="1655910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13.9</w:t>
            </w:r>
          </w:p>
        </w:tc>
        <w:tc>
          <w:tcPr>
            <w:tcW w:w="936" w:type="dxa"/>
          </w:tcPr>
          <w:p w14:paraId="6BAA72D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20.8</w:t>
            </w:r>
          </w:p>
        </w:tc>
        <w:tc>
          <w:tcPr>
            <w:tcW w:w="977" w:type="dxa"/>
          </w:tcPr>
          <w:p w14:paraId="0503A6A1"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20.8</w:t>
            </w:r>
          </w:p>
        </w:tc>
        <w:tc>
          <w:tcPr>
            <w:tcW w:w="926" w:type="dxa"/>
          </w:tcPr>
          <w:p w14:paraId="781C14C6"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25.0</w:t>
            </w:r>
          </w:p>
        </w:tc>
        <w:tc>
          <w:tcPr>
            <w:tcW w:w="1043" w:type="dxa"/>
          </w:tcPr>
          <w:p w14:paraId="6855E929"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12.5</w:t>
            </w:r>
          </w:p>
        </w:tc>
      </w:tr>
      <w:tr w:rsidR="000566CC" w14:paraId="5A70795D" w14:textId="77777777">
        <w:tc>
          <w:tcPr>
            <w:tcW w:w="2250" w:type="dxa"/>
            <w:tcBorders>
              <w:bottom w:val="single" w:sz="4" w:space="0" w:color="000000"/>
            </w:tcBorders>
          </w:tcPr>
          <w:p w14:paraId="7760B9BC" w14:textId="77777777" w:rsidR="000566CC" w:rsidRDefault="00000000">
            <w:pPr>
              <w:ind w:left="345" w:hanging="345"/>
              <w:rPr>
                <w:rFonts w:ascii="Times New Roman" w:eastAsia="Times New Roman" w:hAnsi="Times New Roman" w:cs="Times New Roman"/>
                <w:sz w:val="24"/>
                <w:szCs w:val="24"/>
              </w:rPr>
            </w:pPr>
            <w:r>
              <w:rPr>
                <w:rFonts w:ascii="Times New Roman" w:eastAsia="Times New Roman" w:hAnsi="Times New Roman" w:cs="Times New Roman"/>
                <w:sz w:val="24"/>
                <w:szCs w:val="24"/>
              </w:rPr>
              <w:t>Program Efficiency</w:t>
            </w:r>
          </w:p>
        </w:tc>
        <w:tc>
          <w:tcPr>
            <w:tcW w:w="1080" w:type="dxa"/>
            <w:tcBorders>
              <w:bottom w:val="single" w:sz="4" w:space="0" w:color="000000"/>
            </w:tcBorders>
          </w:tcPr>
          <w:p w14:paraId="54C2596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1.6</w:t>
            </w:r>
          </w:p>
        </w:tc>
        <w:tc>
          <w:tcPr>
            <w:tcW w:w="1076" w:type="dxa"/>
            <w:tcBorders>
              <w:bottom w:val="single" w:sz="4" w:space="0" w:color="000000"/>
            </w:tcBorders>
          </w:tcPr>
          <w:p w14:paraId="3EECCB37"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6.3</w:t>
            </w:r>
          </w:p>
        </w:tc>
        <w:tc>
          <w:tcPr>
            <w:tcW w:w="1072" w:type="dxa"/>
            <w:tcBorders>
              <w:bottom w:val="single" w:sz="4" w:space="0" w:color="000000"/>
            </w:tcBorders>
          </w:tcPr>
          <w:p w14:paraId="1D3CCE0E"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9.4</w:t>
            </w:r>
          </w:p>
        </w:tc>
        <w:tc>
          <w:tcPr>
            <w:tcW w:w="936" w:type="dxa"/>
            <w:tcBorders>
              <w:bottom w:val="single" w:sz="4" w:space="0" w:color="000000"/>
            </w:tcBorders>
          </w:tcPr>
          <w:p w14:paraId="40B9B71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26.6</w:t>
            </w:r>
          </w:p>
        </w:tc>
        <w:tc>
          <w:tcPr>
            <w:tcW w:w="977" w:type="dxa"/>
            <w:tcBorders>
              <w:bottom w:val="single" w:sz="4" w:space="0" w:color="000000"/>
            </w:tcBorders>
          </w:tcPr>
          <w:p w14:paraId="2FB1DC8D"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26.6</w:t>
            </w:r>
          </w:p>
        </w:tc>
        <w:tc>
          <w:tcPr>
            <w:tcW w:w="926" w:type="dxa"/>
            <w:tcBorders>
              <w:bottom w:val="single" w:sz="4" w:space="0" w:color="000000"/>
            </w:tcBorders>
          </w:tcPr>
          <w:p w14:paraId="5566D5FA"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18.8</w:t>
            </w:r>
          </w:p>
        </w:tc>
        <w:tc>
          <w:tcPr>
            <w:tcW w:w="1043" w:type="dxa"/>
            <w:tcBorders>
              <w:bottom w:val="single" w:sz="4" w:space="0" w:color="000000"/>
            </w:tcBorders>
          </w:tcPr>
          <w:p w14:paraId="652BBFF8" w14:textId="77777777" w:rsidR="000566C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10.9</w:t>
            </w:r>
          </w:p>
        </w:tc>
      </w:tr>
      <w:tr w:rsidR="000566CC" w14:paraId="430E92A1" w14:textId="77777777">
        <w:tc>
          <w:tcPr>
            <w:tcW w:w="9360" w:type="dxa"/>
            <w:gridSpan w:val="8"/>
            <w:tcBorders>
              <w:top w:val="single" w:sz="4" w:space="0" w:color="000000"/>
            </w:tcBorders>
          </w:tcPr>
          <w:p w14:paraId="27ECD0AF" w14:textId="136BDEDD" w:rsidR="000566CC" w:rsidRDefault="003B0C9E">
            <w:pPr>
              <w:rPr>
                <w:rFonts w:ascii="Times New Roman" w:eastAsia="Times New Roman" w:hAnsi="Times New Roman" w:cs="Times New Roman"/>
                <w:sz w:val="24"/>
                <w:szCs w:val="24"/>
              </w:rPr>
            </w:pPr>
            <w:r>
              <w:rPr>
                <w:rFonts w:ascii="Times New Roman" w:eastAsia="Times New Roman" w:hAnsi="Times New Roman" w:cs="Times New Roman"/>
                <w:i/>
                <w:sz w:val="24"/>
                <w:szCs w:val="24"/>
              </w:rPr>
              <w:t>Note.</w:t>
            </w:r>
            <w:r>
              <w:rPr>
                <w:rFonts w:ascii="Times New Roman" w:eastAsia="Times New Roman" w:hAnsi="Times New Roman" w:cs="Times New Roman"/>
                <w:sz w:val="24"/>
                <w:szCs w:val="24"/>
              </w:rPr>
              <w:t xml:space="preserve"> Numbers are presented as percentages of total respondents per construct.</w:t>
            </w:r>
          </w:p>
        </w:tc>
      </w:tr>
    </w:tbl>
    <w:p w14:paraId="328C8607" w14:textId="77777777" w:rsidR="003B0C9E" w:rsidRDefault="003B0C9E">
      <w:pPr>
        <w:spacing w:line="240" w:lineRule="auto"/>
        <w:ind w:firstLine="720"/>
        <w:rPr>
          <w:rFonts w:ascii="Times New Roman" w:eastAsia="Times New Roman" w:hAnsi="Times New Roman" w:cs="Times New Roman"/>
          <w:sz w:val="24"/>
          <w:szCs w:val="24"/>
        </w:rPr>
      </w:pPr>
    </w:p>
    <w:p w14:paraId="211C0827" w14:textId="70CE39CE"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item was examined as a stand-alone question, but it is important to remember that this was not assessed for individual reliability, so it should not be generalized to the general population. The question, “The benefits outweigh the challenges of being an affiliated FFA chapter,” yielded a mean of 1.41, which falls into the “agree” category. This may be an interesting finding because teachers have the option to join the FFA affiliation model for their programs. </w:t>
      </w:r>
    </w:p>
    <w:p w14:paraId="4B717597" w14:textId="77777777" w:rsidR="000566CC" w:rsidRDefault="000566CC">
      <w:pPr>
        <w:spacing w:line="240" w:lineRule="auto"/>
        <w:rPr>
          <w:rFonts w:ascii="Times New Roman" w:eastAsia="Times New Roman" w:hAnsi="Times New Roman" w:cs="Times New Roman"/>
          <w:b/>
          <w:sz w:val="24"/>
          <w:szCs w:val="24"/>
        </w:rPr>
      </w:pPr>
    </w:p>
    <w:p w14:paraId="5AB90F40" w14:textId="77777777"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 Recommendations, and Implications</w:t>
      </w:r>
    </w:p>
    <w:p w14:paraId="088AEB96" w14:textId="77777777" w:rsidR="000566CC"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547C8B18" w14:textId="27836F5F"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teachers in </w:t>
      </w:r>
      <w:r w:rsidR="00FC0E62" w:rsidRPr="00FC0E62">
        <w:rPr>
          <w:rFonts w:ascii="Times New Roman" w:eastAsia="Times New Roman" w:hAnsi="Times New Roman" w:cs="Times New Roman"/>
          <w:sz w:val="24"/>
          <w:szCs w:val="24"/>
        </w:rPr>
        <w:t>North Carolina</w:t>
      </w:r>
      <w:r w:rsidR="00FC0E62" w:rsidRPr="001E26B7">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who had previously adopted the National FFA Organization’s affiliation model of membership were positive about the benefits of affiliation. Teachers perceived the highest benefits to be increased student engagement, enhanced teacher efficiency, and full integration of agricultural education’s three-circle model. Over 50% of respondents agreed or strongly agreed with enhanced student engagement as a benefit of affiliation. Over 40% of respondents agreed or strongly agreed that teacher efficiency and integration of the three-circle model of agricultural education were benefits. When analyzing the single question, “The benefits outweigh the challenges of being an affiliated FFA chapter, teachers were most affirmative. </w:t>
      </w:r>
    </w:p>
    <w:p w14:paraId="48F0FB00" w14:textId="77777777" w:rsidR="000566CC" w:rsidRDefault="000566CC">
      <w:pPr>
        <w:spacing w:line="240" w:lineRule="auto"/>
        <w:ind w:firstLine="720"/>
        <w:rPr>
          <w:rFonts w:ascii="Times New Roman" w:eastAsia="Times New Roman" w:hAnsi="Times New Roman" w:cs="Times New Roman"/>
          <w:sz w:val="24"/>
          <w:szCs w:val="24"/>
        </w:rPr>
      </w:pPr>
    </w:p>
    <w:p w14:paraId="5FD9FC53"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interesting to note that there were no significant differences in the summated means across any demographic groups or subgroups of teacher participants. This conclusion could indicate the overall acceptability of the affiliation model among all types of teachers. Alternatively, this conclusion could indicate that teachers with certain licensure types, years of experience, or gender tend to adopt affiliation earlier than others. While this study engaged teachers who had adopted affiliation, additional research should be conducted to analyze any differences in the demographics of teachers who are early adopters of affiliation. Also, due to no significant differences among demographic groups and constructs, it suggests that teachers are uniform overall in their perceptions. </w:t>
      </w:r>
    </w:p>
    <w:p w14:paraId="48B1E760" w14:textId="77777777" w:rsidR="000566CC" w:rsidRDefault="000566CC">
      <w:pPr>
        <w:spacing w:line="240" w:lineRule="auto"/>
        <w:ind w:firstLine="720"/>
        <w:rPr>
          <w:rFonts w:ascii="Times New Roman" w:eastAsia="Times New Roman" w:hAnsi="Times New Roman" w:cs="Times New Roman"/>
          <w:sz w:val="24"/>
          <w:szCs w:val="24"/>
        </w:rPr>
      </w:pPr>
    </w:p>
    <w:p w14:paraId="6C0624F0"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Clearly, the National FFA Board of Directors and leadership within the National FFA Organization believe a tipping point has been crossed for affiliation. Presenting the idea of nationwide affiliate membership to the 2025 National FFA Convention Delegates aims to accelerate the model’s adoption. If the constitutional and bylaws amendments pass to allow only chapter-based membership, the total affiliation model could be adopted more quickly through the delegate body and Board of Directors approval, rather than waiting for each state association to opt into the model. </w:t>
      </w:r>
    </w:p>
    <w:p w14:paraId="42C40DF0" w14:textId="77777777" w:rsidR="000566CC" w:rsidRDefault="000566CC">
      <w:pPr>
        <w:spacing w:line="240" w:lineRule="auto"/>
        <w:ind w:firstLine="720"/>
        <w:rPr>
          <w:rFonts w:ascii="Times New Roman" w:eastAsia="Times New Roman" w:hAnsi="Times New Roman" w:cs="Times New Roman"/>
          <w:sz w:val="24"/>
          <w:szCs w:val="24"/>
        </w:rPr>
      </w:pPr>
    </w:p>
    <w:p w14:paraId="765788AD" w14:textId="77777777" w:rsidR="000566C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Affiliate membership may be a powerful tool that seeks to provide FFA opportunities to all agricultural education students. Presently, 19 state associations have transitioned to 100% affiliate membership, while other states either prohibit affiliate membership or leave the decision up to individual FFA chapters. As the National FFA Organization moves towards a chapter-based, 100% affiliation membership model, concerns about the financial stability and participation levels of affiliate membership need to be addressed. By further studying affiliated associations and chapters, while evaluating the perceptions of affiliated teachers and students, the National FFA Organization will be better equipped to manage its student membership. </w:t>
      </w:r>
    </w:p>
    <w:p w14:paraId="1723428C" w14:textId="77777777" w:rsidR="000566CC" w:rsidRDefault="00000000">
      <w:pPr>
        <w:spacing w:line="240" w:lineRule="auto"/>
        <w:jc w:val="center"/>
        <w:rPr>
          <w:rFonts w:ascii="Times New Roman" w:eastAsia="Times New Roman" w:hAnsi="Times New Roman" w:cs="Times New Roman"/>
          <w:b/>
          <w:sz w:val="24"/>
          <w:szCs w:val="24"/>
        </w:rPr>
      </w:pPr>
      <w:r>
        <w:br w:type="page"/>
      </w:r>
    </w:p>
    <w:p w14:paraId="3EBCA557" w14:textId="77777777" w:rsidR="000566CC"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14:paraId="661FC216" w14:textId="77777777" w:rsidR="000566CC" w:rsidRDefault="000566CC">
      <w:pPr>
        <w:spacing w:line="240" w:lineRule="auto"/>
        <w:jc w:val="center"/>
        <w:rPr>
          <w:rFonts w:ascii="Times New Roman" w:eastAsia="Times New Roman" w:hAnsi="Times New Roman" w:cs="Times New Roman"/>
          <w:b/>
          <w:sz w:val="24"/>
          <w:szCs w:val="24"/>
        </w:rPr>
      </w:pPr>
    </w:p>
    <w:p w14:paraId="6B65AAC5" w14:textId="77777777" w:rsidR="000566CC" w:rsidRDefault="00000000" w:rsidP="001E26B7">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Currie, B. K. (2017). </w:t>
      </w:r>
      <w:r>
        <w:rPr>
          <w:rFonts w:ascii="Times New Roman" w:eastAsia="Times New Roman" w:hAnsi="Times New Roman" w:cs="Times New Roman"/>
          <w:i/>
          <w:sz w:val="24"/>
          <w:szCs w:val="24"/>
        </w:rPr>
        <w:t xml:space="preserve">FFA membership growth compared to a changing and growing student population. </w:t>
      </w:r>
      <w:r>
        <w:rPr>
          <w:rFonts w:ascii="Times New Roman" w:eastAsia="Times New Roman" w:hAnsi="Times New Roman" w:cs="Times New Roman"/>
          <w:sz w:val="24"/>
          <w:szCs w:val="24"/>
        </w:rPr>
        <w:t xml:space="preserve"> [Master’s Thesis, University of Illinois at Urbana-Champaign]. University of Illinois at Urbana-Champaign Library. https://hdl.handle.net/2142/97795</w:t>
      </w:r>
    </w:p>
    <w:p w14:paraId="36552D2C" w14:textId="77777777" w:rsidR="000566CC" w:rsidRDefault="000566CC" w:rsidP="001E26B7">
      <w:pPr>
        <w:widowControl w:val="0"/>
        <w:spacing w:line="240" w:lineRule="auto"/>
        <w:ind w:left="720" w:hanging="720"/>
        <w:rPr>
          <w:rFonts w:ascii="Times New Roman" w:eastAsia="Times New Roman" w:hAnsi="Times New Roman" w:cs="Times New Roman"/>
          <w:sz w:val="24"/>
          <w:szCs w:val="24"/>
        </w:rPr>
      </w:pPr>
    </w:p>
    <w:p w14:paraId="7CB2B025"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Dillman, D. A., Smyth, J. D., &amp; Christian, L. M. (2014). </w:t>
      </w:r>
      <w:r>
        <w:rPr>
          <w:rFonts w:ascii="Times New Roman" w:eastAsia="Times New Roman" w:hAnsi="Times New Roman" w:cs="Times New Roman"/>
          <w:i/>
          <w:sz w:val="24"/>
          <w:szCs w:val="24"/>
        </w:rPr>
        <w:t>Internet, phone, mail, and mixed-mode surveys: The tailored design method.</w:t>
      </w:r>
      <w:r>
        <w:rPr>
          <w:rFonts w:ascii="Times New Roman" w:eastAsia="Times New Roman" w:hAnsi="Times New Roman" w:cs="Times New Roman"/>
          <w:sz w:val="24"/>
          <w:szCs w:val="24"/>
        </w:rPr>
        <w:t xml:space="preserve"> John Wiley &amp; Sons, Inc.</w:t>
      </w:r>
    </w:p>
    <w:p w14:paraId="6E1C805D"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56755277" w14:textId="77777777" w:rsidR="000566CC" w:rsidRDefault="00000000" w:rsidP="001E26B7">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Elliott, K. M., &amp; Lambert, M. D. (2018). Urban and rural Latino students’ experiences in agricultural education: Toward defining rural privilege.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59</w:t>
      </w:r>
      <w:r>
        <w:rPr>
          <w:rFonts w:ascii="Times New Roman" w:eastAsia="Times New Roman" w:hAnsi="Times New Roman" w:cs="Times New Roman"/>
          <w:sz w:val="24"/>
          <w:szCs w:val="24"/>
        </w:rPr>
        <w:t>(3), 198–212. https://doi.org/10.5032/jae.2018.03198</w:t>
      </w:r>
    </w:p>
    <w:p w14:paraId="6DE9819C" w14:textId="77777777" w:rsidR="000566CC" w:rsidRDefault="000566CC" w:rsidP="001E26B7">
      <w:pPr>
        <w:spacing w:line="240" w:lineRule="auto"/>
        <w:ind w:left="720" w:hanging="720"/>
        <w:rPr>
          <w:rFonts w:ascii="Times New Roman" w:eastAsia="Times New Roman" w:hAnsi="Times New Roman" w:cs="Times New Roman"/>
          <w:b/>
          <w:sz w:val="24"/>
          <w:szCs w:val="24"/>
        </w:rPr>
      </w:pPr>
    </w:p>
    <w:p w14:paraId="321E2A78"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Falwell, J., &amp; Guffey, K. B. (2023). The role affiliation membership plays in an FFA chapter: A qualitative view from Kentucky. </w:t>
      </w:r>
      <w:r>
        <w:rPr>
          <w:rFonts w:ascii="Times New Roman" w:eastAsia="Times New Roman" w:hAnsi="Times New Roman" w:cs="Times New Roman"/>
          <w:i/>
          <w:sz w:val="24"/>
          <w:szCs w:val="24"/>
        </w:rPr>
        <w:t>Murray State Theses and Dissertations. 281.</w:t>
      </w:r>
      <w:r>
        <w:rPr>
          <w:rFonts w:ascii="Times New Roman" w:eastAsia="Times New Roman" w:hAnsi="Times New Roman" w:cs="Times New Roman"/>
          <w:sz w:val="24"/>
          <w:szCs w:val="24"/>
        </w:rPr>
        <w:t xml:space="preserve"> https://digitalcommons.murraystate.edu/etd/281</w:t>
      </w:r>
    </w:p>
    <w:p w14:paraId="4A500D8B" w14:textId="77777777" w:rsidR="000566CC" w:rsidRDefault="000566CC" w:rsidP="001E26B7">
      <w:pPr>
        <w:spacing w:line="240" w:lineRule="auto"/>
        <w:ind w:left="720" w:hanging="720"/>
        <w:rPr>
          <w:rFonts w:ascii="Times New Roman" w:eastAsia="Times New Roman" w:hAnsi="Times New Roman" w:cs="Times New Roman"/>
          <w:sz w:val="24"/>
          <w:szCs w:val="24"/>
          <w:highlight w:val="white"/>
        </w:rPr>
      </w:pPr>
    </w:p>
    <w:p w14:paraId="7C246010"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Field, A. (2018). </w:t>
      </w:r>
      <w:r>
        <w:rPr>
          <w:rFonts w:ascii="Times New Roman" w:eastAsia="Times New Roman" w:hAnsi="Times New Roman" w:cs="Times New Roman"/>
          <w:i/>
          <w:sz w:val="24"/>
          <w:szCs w:val="24"/>
        </w:rPr>
        <w:t>Discovering statistics using IBM SPSS statistics</w:t>
      </w:r>
      <w:r>
        <w:rPr>
          <w:rFonts w:ascii="Times New Roman" w:eastAsia="Times New Roman" w:hAnsi="Times New Roman" w:cs="Times New Roman"/>
          <w:sz w:val="24"/>
          <w:szCs w:val="24"/>
          <w:highlight w:val="white"/>
        </w:rPr>
        <w:t xml:space="preserve"> (5th ed.). SAGE Publications.</w:t>
      </w:r>
    </w:p>
    <w:p w14:paraId="1A864C76" w14:textId="77777777" w:rsidR="000566CC" w:rsidRDefault="00000000" w:rsidP="001E26B7">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Fraenkel, J. R., Wallen, N. E., &amp; Hyun, H. H. (2023). </w:t>
      </w:r>
      <w:r>
        <w:rPr>
          <w:rFonts w:ascii="Times New Roman" w:eastAsia="Times New Roman" w:hAnsi="Times New Roman" w:cs="Times New Roman"/>
          <w:i/>
          <w:sz w:val="24"/>
          <w:szCs w:val="24"/>
        </w:rPr>
        <w:t xml:space="preserve">How to design and evaluate research in education </w:t>
      </w:r>
      <w:r>
        <w:rPr>
          <w:rFonts w:ascii="Times New Roman" w:eastAsia="Times New Roman" w:hAnsi="Times New Roman" w:cs="Times New Roman"/>
          <w:sz w:val="24"/>
          <w:szCs w:val="24"/>
        </w:rPr>
        <w:t>(11th ed.). McGraw-Hill.</w:t>
      </w:r>
    </w:p>
    <w:p w14:paraId="2D300E14"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Linder, J. R., Murphy, T. H., &amp; Briers, G. E. (2001). Handling nonresponse in social science research. </w:t>
      </w:r>
      <w:r>
        <w:rPr>
          <w:rFonts w:ascii="Times New Roman" w:eastAsia="Times New Roman" w:hAnsi="Times New Roman" w:cs="Times New Roman"/>
          <w:i/>
          <w:sz w:val="24"/>
          <w:szCs w:val="24"/>
        </w:rPr>
        <w:t>Journal of Agricultural Education, 42</w:t>
      </w:r>
      <w:r>
        <w:rPr>
          <w:rFonts w:ascii="Times New Roman" w:eastAsia="Times New Roman" w:hAnsi="Times New Roman" w:cs="Times New Roman"/>
          <w:sz w:val="24"/>
          <w:szCs w:val="24"/>
        </w:rPr>
        <w:t>(4), 43-53. https://doi.org/10.5032/jae.2001.04043</w:t>
      </w:r>
    </w:p>
    <w:p w14:paraId="2798EC7C"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30B51502"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(2022). </w:t>
      </w:r>
      <w:r>
        <w:rPr>
          <w:rFonts w:ascii="Times New Roman" w:eastAsia="Times New Roman" w:hAnsi="Times New Roman" w:cs="Times New Roman"/>
          <w:i/>
          <w:sz w:val="24"/>
          <w:szCs w:val="24"/>
        </w:rPr>
        <w:t xml:space="preserve">Affiliation membership description, philosophy, benefits, policy, and procedures. </w:t>
      </w:r>
      <w:r>
        <w:rPr>
          <w:rFonts w:ascii="Times New Roman" w:eastAsia="Times New Roman" w:hAnsi="Times New Roman" w:cs="Times New Roman"/>
          <w:sz w:val="24"/>
          <w:szCs w:val="24"/>
        </w:rPr>
        <w:t>National FFA. https://ffa.app.box.com/v/Library/file/1324692786810</w:t>
      </w:r>
    </w:p>
    <w:p w14:paraId="2DF3BDE7"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7AC90807" w14:textId="77777777" w:rsidR="000566CC" w:rsidRDefault="00000000" w:rsidP="001E26B7">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(2025). </w:t>
      </w:r>
      <w:r>
        <w:rPr>
          <w:rFonts w:ascii="Times New Roman" w:eastAsia="Times New Roman" w:hAnsi="Times New Roman" w:cs="Times New Roman"/>
          <w:i/>
          <w:sz w:val="24"/>
          <w:szCs w:val="24"/>
        </w:rPr>
        <w:t>Removing barriers to FFA</w:t>
      </w:r>
      <w:r>
        <w:rPr>
          <w:rFonts w:ascii="Times New Roman" w:eastAsia="Times New Roman" w:hAnsi="Times New Roman" w:cs="Times New Roman"/>
          <w:sz w:val="24"/>
          <w:szCs w:val="24"/>
        </w:rPr>
        <w:t>. National FFA Organization. https://ffa.app.box.com/v/RemovingBarriersProposal</w:t>
      </w:r>
    </w:p>
    <w:p w14:paraId="0D45EED4"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Phelps, K., Henry, A. L., &amp; Bird, W. A. (2012). Factors influencing or discouraging secondary school students’ FFA participation. </w:t>
      </w:r>
      <w:r>
        <w:rPr>
          <w:rFonts w:ascii="Times New Roman" w:eastAsia="Times New Roman" w:hAnsi="Times New Roman" w:cs="Times New Roman"/>
          <w:i/>
          <w:sz w:val="24"/>
          <w:szCs w:val="24"/>
        </w:rPr>
        <w:t>Journal of Agricultural Education, 53</w:t>
      </w:r>
      <w:r>
        <w:rPr>
          <w:rFonts w:ascii="Times New Roman" w:eastAsia="Times New Roman" w:hAnsi="Times New Roman" w:cs="Times New Roman"/>
          <w:sz w:val="24"/>
          <w:szCs w:val="24"/>
        </w:rPr>
        <w:t>(2), 70–86. https://doi.org/10.5032/jae.2012.02070</w:t>
      </w:r>
    </w:p>
    <w:p w14:paraId="4EE7FF46"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35390C7A"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Rada, L. L., Sheehan, C. Z., Smith, A. R., &amp; </w:t>
      </w:r>
      <w:proofErr w:type="spellStart"/>
      <w:r>
        <w:rPr>
          <w:rFonts w:ascii="Times New Roman" w:eastAsia="Times New Roman" w:hAnsi="Times New Roman" w:cs="Times New Roman"/>
          <w:sz w:val="24"/>
          <w:szCs w:val="24"/>
        </w:rPr>
        <w:t>Livstrom</w:t>
      </w:r>
      <w:proofErr w:type="spellEnd"/>
      <w:r>
        <w:rPr>
          <w:rFonts w:ascii="Times New Roman" w:eastAsia="Times New Roman" w:hAnsi="Times New Roman" w:cs="Times New Roman"/>
          <w:sz w:val="24"/>
          <w:szCs w:val="24"/>
        </w:rPr>
        <w:t xml:space="preserve">, I. C. (2025). Benefits and challenges of SAE for All and FFA affiliation adoption.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66</w:t>
      </w:r>
      <w:r>
        <w:rPr>
          <w:rFonts w:ascii="Times New Roman" w:eastAsia="Times New Roman" w:hAnsi="Times New Roman" w:cs="Times New Roman"/>
          <w:sz w:val="24"/>
          <w:szCs w:val="24"/>
        </w:rPr>
        <w:t>(1), 1–19. https://doi.org/10.5032/jae.v66i1.2770</w:t>
      </w:r>
    </w:p>
    <w:p w14:paraId="68A07B4F"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6FA7817A"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Rogers, Everett M. (2003). </w:t>
      </w:r>
      <w:r>
        <w:rPr>
          <w:rFonts w:ascii="Times New Roman" w:eastAsia="Times New Roman" w:hAnsi="Times New Roman" w:cs="Times New Roman"/>
          <w:i/>
          <w:sz w:val="24"/>
          <w:szCs w:val="24"/>
        </w:rPr>
        <w:t>Diffusion of innovations, 5th Edition</w:t>
      </w:r>
      <w:r>
        <w:rPr>
          <w:rFonts w:ascii="Times New Roman" w:eastAsia="Times New Roman" w:hAnsi="Times New Roman" w:cs="Times New Roman"/>
          <w:sz w:val="24"/>
          <w:szCs w:val="24"/>
        </w:rPr>
        <w:t>. Free Press.</w:t>
      </w:r>
    </w:p>
    <w:p w14:paraId="081F2839"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2E56D2C6"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Sheehan, C. Z., &amp; Moore, L. L. (2019). Trends and impact of FFA affiliation on National FFA Organization student membership: A secondary analysis of existing data.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60</w:t>
      </w:r>
      <w:r>
        <w:rPr>
          <w:rFonts w:ascii="Times New Roman" w:eastAsia="Times New Roman" w:hAnsi="Times New Roman" w:cs="Times New Roman"/>
          <w:sz w:val="24"/>
          <w:szCs w:val="24"/>
        </w:rPr>
        <w:t>(2), 210–221. https://doi.org/10.5032/jae.2019.02210</w:t>
      </w:r>
    </w:p>
    <w:p w14:paraId="53E0B505" w14:textId="77777777" w:rsidR="000566CC" w:rsidRDefault="000566CC" w:rsidP="001E26B7">
      <w:pPr>
        <w:spacing w:line="240" w:lineRule="auto"/>
        <w:ind w:left="720" w:hanging="720"/>
        <w:rPr>
          <w:rFonts w:ascii="Times New Roman" w:eastAsia="Times New Roman" w:hAnsi="Times New Roman" w:cs="Times New Roman"/>
          <w:sz w:val="24"/>
          <w:szCs w:val="24"/>
          <w:highlight w:val="cyan"/>
        </w:rPr>
      </w:pPr>
    </w:p>
    <w:p w14:paraId="6E8D5868" w14:textId="77777777" w:rsidR="000566CC" w:rsidRDefault="00000000" w:rsidP="001E26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Sheehan, C. Z., Rada, L., Greiman, B., &amp; </w:t>
      </w:r>
      <w:proofErr w:type="spellStart"/>
      <w:r>
        <w:rPr>
          <w:rFonts w:ascii="Times New Roman" w:eastAsia="Times New Roman" w:hAnsi="Times New Roman" w:cs="Times New Roman"/>
          <w:sz w:val="24"/>
          <w:szCs w:val="24"/>
        </w:rPr>
        <w:t>Livstrom</w:t>
      </w:r>
      <w:proofErr w:type="spellEnd"/>
      <w:r>
        <w:rPr>
          <w:rFonts w:ascii="Times New Roman" w:eastAsia="Times New Roman" w:hAnsi="Times New Roman" w:cs="Times New Roman"/>
          <w:sz w:val="24"/>
          <w:szCs w:val="24"/>
        </w:rPr>
        <w:t xml:space="preserve">, I. C. (2023). Benefits, barriers, and implementation strategies experienced by teachers adopting FFA affiliation membership: A case study.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64</w:t>
      </w:r>
      <w:r>
        <w:rPr>
          <w:rFonts w:ascii="Times New Roman" w:eastAsia="Times New Roman" w:hAnsi="Times New Roman" w:cs="Times New Roman"/>
          <w:sz w:val="24"/>
          <w:szCs w:val="24"/>
        </w:rPr>
        <w:t>(4), 29–47. https://doi.org/10.5032/jae.v64i4.86</w:t>
      </w:r>
    </w:p>
    <w:p w14:paraId="3F857495"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7DD65A0F" w14:textId="77777777" w:rsidR="000566CC" w:rsidRDefault="00000000" w:rsidP="001E26B7">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Taherdoost</w:t>
      </w:r>
      <w:proofErr w:type="spellEnd"/>
      <w:r>
        <w:rPr>
          <w:rFonts w:ascii="Times New Roman" w:eastAsia="Times New Roman" w:hAnsi="Times New Roman" w:cs="Times New Roman"/>
          <w:sz w:val="24"/>
          <w:szCs w:val="24"/>
        </w:rPr>
        <w:t xml:space="preserve">, H. (2019). What is the best response scale for survey and questionnaire design: Review of different lengths of rating scale/attitude scale/Likert scale. </w:t>
      </w:r>
      <w:r>
        <w:rPr>
          <w:rFonts w:ascii="Times New Roman" w:eastAsia="Times New Roman" w:hAnsi="Times New Roman" w:cs="Times New Roman"/>
          <w:i/>
          <w:sz w:val="24"/>
          <w:szCs w:val="24"/>
        </w:rPr>
        <w:t>International Journal of Academic Research in Management, 8</w:t>
      </w:r>
      <w:r>
        <w:rPr>
          <w:rFonts w:ascii="Times New Roman" w:eastAsia="Times New Roman" w:hAnsi="Times New Roman" w:cs="Times New Roman"/>
          <w:sz w:val="24"/>
          <w:szCs w:val="24"/>
        </w:rPr>
        <w:t>(1), 1–10. https://bit.ly/3Be4KL7</w:t>
      </w:r>
    </w:p>
    <w:p w14:paraId="2349DACD" w14:textId="77777777" w:rsidR="000566CC" w:rsidRDefault="000566CC" w:rsidP="001E26B7">
      <w:pPr>
        <w:spacing w:line="240" w:lineRule="auto"/>
        <w:ind w:left="720" w:hanging="720"/>
        <w:rPr>
          <w:rFonts w:ascii="Times New Roman" w:eastAsia="Times New Roman" w:hAnsi="Times New Roman" w:cs="Times New Roman"/>
          <w:sz w:val="24"/>
          <w:szCs w:val="24"/>
        </w:rPr>
      </w:pPr>
    </w:p>
    <w:p w14:paraId="635BACC8" w14:textId="77777777" w:rsidR="000566CC" w:rsidRDefault="00000000" w:rsidP="001E26B7">
      <w:pPr>
        <w:spacing w:line="240" w:lineRule="auto"/>
        <w:ind w:left="720" w:hanging="720"/>
        <w:rPr>
          <w:rFonts w:ascii="Times New Roman" w:eastAsia="Times New Roman" w:hAnsi="Times New Roman" w:cs="Times New Roman"/>
          <w:b/>
          <w:sz w:val="26"/>
          <w:szCs w:val="26"/>
        </w:rPr>
      </w:pPr>
      <w:proofErr w:type="spellStart"/>
      <w:r>
        <w:rPr>
          <w:rFonts w:ascii="Times New Roman" w:eastAsia="Times New Roman" w:hAnsi="Times New Roman" w:cs="Times New Roman"/>
          <w:sz w:val="24"/>
          <w:szCs w:val="24"/>
        </w:rPr>
        <w:t>Tavakol</w:t>
      </w:r>
      <w:proofErr w:type="spellEnd"/>
      <w:r>
        <w:rPr>
          <w:rFonts w:ascii="Times New Roman" w:eastAsia="Times New Roman" w:hAnsi="Times New Roman" w:cs="Times New Roman"/>
          <w:sz w:val="24"/>
          <w:szCs w:val="24"/>
        </w:rPr>
        <w:t xml:space="preserve">, M., &amp; Dennick, R. (2011). Making sense of Cronbach’s alpha. </w:t>
      </w:r>
      <w:r>
        <w:rPr>
          <w:rFonts w:ascii="Times New Roman" w:eastAsia="Times New Roman" w:hAnsi="Times New Roman" w:cs="Times New Roman"/>
          <w:i/>
          <w:sz w:val="24"/>
          <w:szCs w:val="24"/>
        </w:rPr>
        <w:t>International Journal of Medical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 53–55. https://doi.org/10.5116/ijme.4dfb.8dfd</w:t>
      </w:r>
    </w:p>
    <w:sectPr w:rsidR="000566CC">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2EE1C" w14:textId="77777777" w:rsidR="00DE6CDE" w:rsidRDefault="00DE6CDE">
      <w:pPr>
        <w:spacing w:line="240" w:lineRule="auto"/>
      </w:pPr>
      <w:r>
        <w:separator/>
      </w:r>
    </w:p>
  </w:endnote>
  <w:endnote w:type="continuationSeparator" w:id="0">
    <w:p w14:paraId="2875C56B" w14:textId="77777777" w:rsidR="00DE6CDE" w:rsidRDefault="00DE6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D6A1" w14:textId="77777777" w:rsidR="000566CC" w:rsidRDefault="00000000">
    <w:pPr>
      <w:jc w:val="center"/>
      <w:rPr>
        <w:rFonts w:ascii="Times New Roman" w:eastAsia="Times New Roman" w:hAnsi="Times New Roman" w:cs="Times New Roman"/>
        <w:sz w:val="26"/>
        <w:szCs w:val="26"/>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1E26B7">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7ACCC" w14:textId="77777777" w:rsidR="00DE6CDE" w:rsidRDefault="00DE6CDE">
      <w:pPr>
        <w:spacing w:line="240" w:lineRule="auto"/>
      </w:pPr>
      <w:r>
        <w:separator/>
      </w:r>
    </w:p>
  </w:footnote>
  <w:footnote w:type="continuationSeparator" w:id="0">
    <w:p w14:paraId="6D79C69E" w14:textId="77777777" w:rsidR="00DE6CDE" w:rsidRDefault="00DE6C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5FCDA" w14:textId="6C2A79C7" w:rsidR="001E26B7" w:rsidRPr="001E26B7" w:rsidRDefault="001E26B7" w:rsidP="001E26B7">
    <w:pPr>
      <w:pStyle w:val="Header"/>
      <w:jc w:val="right"/>
      <w:rPr>
        <w:rFonts w:ascii="Times New Roman" w:hAnsi="Times New Roman" w:cs="Times New Roman"/>
        <w:sz w:val="24"/>
        <w:szCs w:val="24"/>
        <w:lang w:val="en-US"/>
      </w:rPr>
    </w:pPr>
    <w:r w:rsidRPr="001E26B7">
      <w:rPr>
        <w:rFonts w:ascii="Times New Roman" w:hAnsi="Times New Roman" w:cs="Times New Roman"/>
        <w:sz w:val="24"/>
        <w:szCs w:val="24"/>
        <w:lang w:val="en-US"/>
      </w:rPr>
      <w:t>Agricultural Education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6CC"/>
    <w:rsid w:val="000566CC"/>
    <w:rsid w:val="001E26B7"/>
    <w:rsid w:val="003B0C9E"/>
    <w:rsid w:val="003B5FB3"/>
    <w:rsid w:val="003D5663"/>
    <w:rsid w:val="00580508"/>
    <w:rsid w:val="008D457C"/>
    <w:rsid w:val="00A37786"/>
    <w:rsid w:val="00BF53D8"/>
    <w:rsid w:val="00D769BF"/>
    <w:rsid w:val="00DA6402"/>
    <w:rsid w:val="00DE6CDE"/>
    <w:rsid w:val="00E4338A"/>
    <w:rsid w:val="00E65672"/>
    <w:rsid w:val="00F0732B"/>
    <w:rsid w:val="00F17E27"/>
    <w:rsid w:val="00F4470C"/>
    <w:rsid w:val="00F5069A"/>
    <w:rsid w:val="00F87BA2"/>
    <w:rsid w:val="00FC0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68226"/>
  <w15:docId w15:val="{261C89B7-F28C-8545-A95D-01A1D9594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1"/>
    <w:pPr>
      <w:spacing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6B5A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1E26B7"/>
    <w:pPr>
      <w:tabs>
        <w:tab w:val="center" w:pos="4680"/>
        <w:tab w:val="right" w:pos="9360"/>
      </w:tabs>
      <w:spacing w:line="240" w:lineRule="auto"/>
    </w:pPr>
  </w:style>
  <w:style w:type="character" w:customStyle="1" w:styleId="HeaderChar">
    <w:name w:val="Header Char"/>
    <w:basedOn w:val="DefaultParagraphFont"/>
    <w:link w:val="Header"/>
    <w:uiPriority w:val="99"/>
    <w:rsid w:val="001E26B7"/>
  </w:style>
  <w:style w:type="paragraph" w:styleId="Footer">
    <w:name w:val="footer"/>
    <w:basedOn w:val="Normal"/>
    <w:link w:val="FooterChar"/>
    <w:uiPriority w:val="99"/>
    <w:unhideWhenUsed/>
    <w:rsid w:val="001E26B7"/>
    <w:pPr>
      <w:tabs>
        <w:tab w:val="center" w:pos="4680"/>
        <w:tab w:val="right" w:pos="9360"/>
      </w:tabs>
      <w:spacing w:line="240" w:lineRule="auto"/>
    </w:pPr>
  </w:style>
  <w:style w:type="character" w:customStyle="1" w:styleId="FooterChar">
    <w:name w:val="Footer Char"/>
    <w:basedOn w:val="DefaultParagraphFont"/>
    <w:link w:val="Footer"/>
    <w:uiPriority w:val="99"/>
    <w:rsid w:val="001E2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mluV6VaqBeOQ9oI4q8+g3heEsw==">CgMxLjA4AHIhMWtNNFJSUVVSZ1AyV1FPMkNxaHNHQlpvUGFtY0tKRzIy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2749</Words>
  <Characters>15987</Characters>
  <Application>Microsoft Office Word</Application>
  <DocSecurity>0</DocSecurity>
  <Lines>490</Lines>
  <Paragraphs>231</Paragraphs>
  <ScaleCrop>false</ScaleCrop>
  <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Kayla Leanne Paglia</cp:lastModifiedBy>
  <cp:revision>4</cp:revision>
  <dcterms:created xsi:type="dcterms:W3CDTF">2026-01-05T14:33:00Z</dcterms:created>
  <dcterms:modified xsi:type="dcterms:W3CDTF">2026-01-05T14:38:00Z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9c5d16c9-9a7c-478e-80b0-4ae5da487982</vt:lpwstr>
  </property>
</Properties>
</file>