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F08E9" w14:textId="4246967E" w:rsidR="00DF4075" w:rsidRDefault="00000000">
      <w:pPr>
        <w:pStyle w:val="Heading1"/>
      </w:pPr>
      <w:r>
        <w:t xml:space="preserve">Primary </w:t>
      </w:r>
      <w:r w:rsidR="00FE7CF4">
        <w:t xml:space="preserve">Perceptions of Agriculture: </w:t>
      </w:r>
      <w:r>
        <w:t xml:space="preserve">A </w:t>
      </w:r>
      <w:r w:rsidR="00FE7CF4">
        <w:t xml:space="preserve">Visual Content Analysis of Illustrated Depictions by Gifted and Advanced </w:t>
      </w:r>
      <w:r w:rsidR="00E948F2">
        <w:t>Virginia</w:t>
      </w:r>
      <w:r w:rsidR="00FE7CF4">
        <w:t xml:space="preserve"> High School Students</w:t>
      </w:r>
    </w:p>
    <w:p w14:paraId="24F585F9" w14:textId="77777777" w:rsidR="00DF4075" w:rsidRDefault="00000000">
      <w:pPr>
        <w:pStyle w:val="Heading1"/>
      </w:pPr>
      <w:bookmarkStart w:id="0" w:name="_f7yy0wonpwpu" w:colFirst="0" w:colLast="0"/>
      <w:bookmarkEnd w:id="0"/>
      <w:r>
        <w:t>Introduction</w:t>
      </w:r>
    </w:p>
    <w:p w14:paraId="7A216530" w14:textId="717A8160" w:rsidR="00DF4075" w:rsidRDefault="00000000">
      <w:pPr>
        <w:shd w:val="clear" w:color="auto" w:fill="FFFFFF"/>
        <w:spacing w:before="240" w:after="240" w:line="240" w:lineRule="auto"/>
        <w:ind w:firstLine="720"/>
      </w:pPr>
      <w:r>
        <w:rPr>
          <w:rFonts w:ascii="Times New Roman" w:eastAsia="Times New Roman" w:hAnsi="Times New Roman" w:cs="Times New Roman"/>
          <w:sz w:val="24"/>
          <w:szCs w:val="24"/>
        </w:rPr>
        <w:t>Researchers have long noted that United States citizens hold a variety of misconceptions regarding agriculture, many of which are grounded in stereotypes such as farmers wearing overalls and straw hats in barnyards full of peacefully coexisting animals (DeWerff, 1989; Frick et al., 1991; Leising et al., 1998; Trexler et al., 2000; Vallera &amp; Bozdin, 2016). These misconceptions and stereotypes are often driven by the media's representation of agriculture, including print media (Kohler, 2013; Wooton, 2016), to which young children are usually exposed at an early age. Several organizations, including the National Ag in the Classroom (NAITC), 4-H, the National FFA Association, and school-based agricultural education, have consistently worked to expand their reach and educate youth about the importance of agriculture. For example, in 2015, the National FFA Association (FFA), the career and technical student organization associated with school-based agricultural education, had just under 630,000 registered members across 7,757 individual chapters in the United States (Farmers’ Advance, 2015). In 2025, the FFA announced a membership of just over 1.04 million students, with more than 9,400 individual chapters (Meyer, 2025).</w:t>
      </w:r>
      <w:r w:rsidR="00E948F2">
        <w:rPr>
          <w:rFonts w:ascii="Times New Roman" w:eastAsia="Times New Roman" w:hAnsi="Times New Roman" w:cs="Times New Roman"/>
          <w:sz w:val="24"/>
          <w:szCs w:val="24"/>
        </w:rPr>
        <w:t xml:space="preserve"> </w:t>
      </w:r>
      <w:r w:rsidR="00E948F2" w:rsidRPr="00E948F2">
        <w:rPr>
          <w:rFonts w:ascii="Times New Roman" w:eastAsia="Times New Roman" w:hAnsi="Times New Roman" w:cs="Times New Roman"/>
          <w:sz w:val="24"/>
          <w:szCs w:val="24"/>
        </w:rPr>
        <w:t>Despite the growth of FFA, school-based agricultural education, and related programs such as 4-H and National Ag in the Classroom, many students remain uninformed about the complexities of agriculture.</w:t>
      </w:r>
      <w:r w:rsidR="000773F1">
        <w:rPr>
          <w:rFonts w:ascii="Times New Roman" w:eastAsia="Times New Roman" w:hAnsi="Times New Roman" w:cs="Times New Roman"/>
          <w:sz w:val="24"/>
          <w:szCs w:val="24"/>
        </w:rPr>
        <w:t xml:space="preserve"> </w:t>
      </w:r>
      <w:r w:rsidR="000773F1" w:rsidRPr="000773F1">
        <w:rPr>
          <w:rFonts w:ascii="Times New Roman" w:eastAsia="Times New Roman" w:hAnsi="Times New Roman" w:cs="Times New Roman"/>
          <w:sz w:val="24"/>
          <w:szCs w:val="24"/>
        </w:rPr>
        <w:t>This gap in understanding is concerning, given that agriculture underpins food, fiber, fuel, and natural resource systems and shapes outcomes at local, national, and global scales</w:t>
      </w:r>
      <w:r>
        <w:rPr>
          <w:rFonts w:ascii="Times New Roman" w:eastAsia="Times New Roman" w:hAnsi="Times New Roman" w:cs="Times New Roman"/>
          <w:sz w:val="24"/>
          <w:szCs w:val="24"/>
        </w:rPr>
        <w:t xml:space="preserve">. One approach to examining the persistent misconceptions—or the broader modern conception—of agriculture is </w:t>
      </w:r>
      <w:r w:rsidR="00E948F2">
        <w:rPr>
          <w:rFonts w:ascii="Times New Roman" w:eastAsia="Times New Roman" w:hAnsi="Times New Roman" w:cs="Times New Roman"/>
          <w:sz w:val="24"/>
          <w:szCs w:val="24"/>
        </w:rPr>
        <w:t>using</w:t>
      </w:r>
      <w:r>
        <w:rPr>
          <w:rFonts w:ascii="Times New Roman" w:eastAsia="Times New Roman" w:hAnsi="Times New Roman" w:cs="Times New Roman"/>
          <w:sz w:val="24"/>
          <w:szCs w:val="24"/>
        </w:rPr>
        <w:t xml:space="preserve"> visual research methods that allow individuals to communicate their perceptions of agriculture.</w:t>
      </w:r>
    </w:p>
    <w:p w14:paraId="6E33EA6E" w14:textId="77777777"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Draw-a-Scientist-Test (DAST) was conceived by Mead and Metraux (1957) to gain a better understanding of how children perceive scientists through imagery, accompanied by a corresponding short essay prompt. The study found that scientists were viewed as men who were essential to the world's progress and held the answers to all that might be desired and based on these findings, it was recommended that schools revise their course materials, in addition to the mass media changing the image of a scientist, to broaden children's views of scientists (Mead &amp; Metraux, 1957). Others have implemented DAST, each with variations and modifications. Chambers (1983) evaluated drawings with seven criteria in mind, including lab coats, eyeglasses, facial hair, symbols of research, such as laboratory equipment, symbols of knowledge, such as books, technology, and relevant captions (Chambers, 1983), while Finson et al. (1995) created the Draw-A-Scientist Checklist (DAST-C), a guide to make “the identification and recording of such components more efficient and more readily quantifiable for data analysis” (p. 196). Additional researchers have documented children’s perceptions of scientists by asking them to draw a scientist (Barman, 1997; Chiang &amp; Cuo, 1996; Fung, 2002; Finson, 2003; Ferguson &amp; Lezotte, 2020). Farland-Smith (2012) used a modified version that evaluates drawings based on appearance, location, and activity categories, scoring each category from 0 to 3.</w:t>
      </w:r>
    </w:p>
    <w:p w14:paraId="58B571E0" w14:textId="74BB8988"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recently, Baringer et al. (2021) used a modified version of Farland-Smith’s (2021) mDAST to investigate elementary school students’ perceptions of agriculture through their </w:t>
      </w:r>
      <w:r>
        <w:rPr>
          <w:rFonts w:ascii="Times New Roman" w:eastAsia="Times New Roman" w:hAnsi="Times New Roman" w:cs="Times New Roman"/>
          <w:sz w:val="24"/>
          <w:szCs w:val="24"/>
        </w:rPr>
        <w:lastRenderedPageBreak/>
        <w:t xml:space="preserve">participation in an </w:t>
      </w:r>
      <w:r w:rsidR="009C007F">
        <w:rPr>
          <w:rFonts w:ascii="Times New Roman" w:eastAsia="Times New Roman" w:hAnsi="Times New Roman" w:cs="Times New Roman"/>
          <w:sz w:val="24"/>
          <w:szCs w:val="24"/>
        </w:rPr>
        <w:t>N</w:t>
      </w:r>
      <w:r>
        <w:rPr>
          <w:rFonts w:ascii="Times New Roman" w:eastAsia="Times New Roman" w:hAnsi="Times New Roman" w:cs="Times New Roman"/>
          <w:sz w:val="24"/>
          <w:szCs w:val="24"/>
        </w:rPr>
        <w:t>AITC poster contest. Although the three main categories from Farland-Smith’s rubric remained the same, Baringer et al. (2021) adjusted the scoring descriptions to align with documented perceptions of agriculture. The Kellogg Foundation (2002) identified several common perceptions of agriculture, including the “pastoral fantasy,” which is often depicted as small family farms with “rolling hills, open space, abundant trees, ditch banks, and dirt roads” (p. 4). The category of “traditional” was adapted from Koeller (2013), which focuses on the stereotypical portrayals of farmers. These portrayals include but are not limited to “farmers wearing bib overalls, straw hats without a brim, and any other outdated portrayals of a farmer” (Koeller, 2012, p. 14). Baringer et al. (2021)</w:t>
      </w:r>
      <w:r w:rsidR="00E948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defined the third category, “broader than traditional” as “anything that includes multiple elements of agriculture, a scene that is not a stereotypical or traditional barnyard and includes technology while being unique and creative” (p. 106). The study conducted by Baringer et al. (2021) found that the majority of the third-grade students who participated perceived agriculture as the pastoral fantasy (67%), followed by traditional (27%), and then broader than traditional (7%). They recommended that </w:t>
      </w:r>
      <w:r w:rsidR="009C007F">
        <w:rPr>
          <w:rFonts w:ascii="Times New Roman" w:eastAsia="Times New Roman" w:hAnsi="Times New Roman" w:cs="Times New Roman"/>
          <w:sz w:val="24"/>
          <w:szCs w:val="24"/>
        </w:rPr>
        <w:t>N</w:t>
      </w:r>
      <w:r>
        <w:rPr>
          <w:rFonts w:ascii="Times New Roman" w:eastAsia="Times New Roman" w:hAnsi="Times New Roman" w:cs="Times New Roman"/>
          <w:sz w:val="24"/>
          <w:szCs w:val="24"/>
        </w:rPr>
        <w:t>AITC professionals incorporate modern agricultural practices and technologies into the classroom to change outdated perceptions of the field and improve agrarian literacy.</w:t>
      </w:r>
    </w:p>
    <w:p w14:paraId="43DE7837" w14:textId="01446F0D"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majority of DAST studies have focused on understanding how students of different ages perceive science and scientists (Chambers, 1983; Schibeci &amp; Sorensen, 1983; Ferguson &amp; Lezotte, 2020). Baringer et al. (2021) were the first to modify the DAST for use in an agricultural education context. There is an opportunity to build on their work to examine agricultural perceptions through visual methods among youths attending the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so that participants complete the program with a stronger understanding of the complex global nature of agriculture.</w:t>
      </w:r>
    </w:p>
    <w:p w14:paraId="48B6A7A7" w14:textId="77777777" w:rsidR="00DF4075" w:rsidRDefault="00000000">
      <w:pPr>
        <w:pStyle w:val="Heading1"/>
      </w:pPr>
      <w:bookmarkStart w:id="1" w:name="_ng9vkwscx2b8" w:colFirst="0" w:colLast="0"/>
      <w:bookmarkEnd w:id="1"/>
      <w:r>
        <w:t>Theoretical Framework</w:t>
      </w:r>
    </w:p>
    <w:p w14:paraId="224A8B0F" w14:textId="18873355"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is grounded in </w:t>
      </w:r>
      <w:r w:rsidR="00E948F2">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nowledge </w:t>
      </w:r>
      <w:r w:rsidR="00E948F2">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ap </w:t>
      </w:r>
      <w:r w:rsidR="00E948F2">
        <w:rPr>
          <w:rFonts w:ascii="Times New Roman" w:eastAsia="Times New Roman" w:hAnsi="Times New Roman" w:cs="Times New Roman"/>
          <w:sz w:val="24"/>
          <w:szCs w:val="24"/>
        </w:rPr>
        <w:t>t</w:t>
      </w:r>
      <w:r>
        <w:rPr>
          <w:rFonts w:ascii="Times New Roman" w:eastAsia="Times New Roman" w:hAnsi="Times New Roman" w:cs="Times New Roman"/>
          <w:sz w:val="24"/>
          <w:szCs w:val="24"/>
        </w:rPr>
        <w:t>heory (Tichenor et al., 1970), which provides a framework for examining how differences in access to information, education, and social experience contribute to disparities in knowledge and understanding. Knowledge Gap Theory posits that individuals with greater exposure, experience, and access to resources learn and integrate new information more quickly than those with limited access (Tichenor et al., 1970</w:t>
      </w:r>
      <w:r>
        <w:rPr>
          <w:sz w:val="24"/>
          <w:szCs w:val="24"/>
        </w:rPr>
        <w:t xml:space="preserve">; </w:t>
      </w:r>
      <w:r>
        <w:rPr>
          <w:rFonts w:ascii="Times New Roman" w:eastAsia="Times New Roman" w:hAnsi="Times New Roman" w:cs="Times New Roman"/>
          <w:sz w:val="24"/>
          <w:szCs w:val="24"/>
        </w:rPr>
        <w:t xml:space="preserve">Wirz et al., 2025). In the context of this study, the theory provides a lens for interpreting how the drawings of participants in the </w:t>
      </w:r>
      <w:r w:rsidR="00E948F2">
        <w:rPr>
          <w:rFonts w:ascii="Times New Roman" w:eastAsia="Times New Roman" w:hAnsi="Times New Roman" w:cs="Times New Roman"/>
          <w:sz w:val="24"/>
          <w:szCs w:val="24"/>
        </w:rPr>
        <w:t>Virginia Governor’s School for Agriculture</w:t>
      </w:r>
      <w:r>
        <w:rPr>
          <w:rFonts w:ascii="Times New Roman" w:eastAsia="Times New Roman" w:hAnsi="Times New Roman" w:cs="Times New Roman"/>
          <w:sz w:val="24"/>
          <w:szCs w:val="24"/>
        </w:rPr>
        <w:t xml:space="preserve">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reveal differences in their understanding of agriculture. These visual representations reflect varying degrees of prior knowledge, social contact with agricultural settings, and exposure to agricultural media. Interpreting the drawings through this framework enables a deeper understanding of how socio-cultural and educational experiences influence students' conceptions of agriculture (Falsafin, 2024).</w:t>
      </w:r>
    </w:p>
    <w:p w14:paraId="20C58CAD" w14:textId="77777777" w:rsidR="00DF4075" w:rsidRDefault="00000000">
      <w:pPr>
        <w:pStyle w:val="Heading1"/>
      </w:pPr>
      <w:bookmarkStart w:id="2" w:name="_8w0ow5qtktoy" w:colFirst="0" w:colLast="0"/>
      <w:bookmarkEnd w:id="2"/>
      <w:r>
        <w:t>Purpose and Objectives</w:t>
      </w:r>
    </w:p>
    <w:p w14:paraId="55B29499" w14:textId="0EB3DF40" w:rsidR="00DF407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purpose of this study was to uncover the </w:t>
      </w:r>
      <w:r w:rsidR="001A12DB">
        <w:rPr>
          <w:rFonts w:ascii="Times New Roman" w:eastAsia="Times New Roman" w:hAnsi="Times New Roman" w:cs="Times New Roman"/>
          <w:sz w:val="24"/>
          <w:szCs w:val="24"/>
        </w:rPr>
        <w:t xml:space="preserve">perceptions of agriculture held by VGSA participants before they participated in the 2024 VGSA program, as illustrated through </w:t>
      </w:r>
      <w:r>
        <w:rPr>
          <w:rFonts w:ascii="Times New Roman" w:eastAsia="Times New Roman" w:hAnsi="Times New Roman" w:cs="Times New Roman"/>
          <w:sz w:val="24"/>
          <w:szCs w:val="24"/>
        </w:rPr>
        <w:t xml:space="preserve">depictions of agriculture. Our objectives were to 1) identify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students’ perceptions of agriculture through the analysis of student-generated drawings, and 2) identify key images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students used to depict their perception of agriculture.</w:t>
      </w:r>
    </w:p>
    <w:p w14:paraId="3EFBA3EC" w14:textId="77777777" w:rsidR="00DF4075" w:rsidRDefault="00000000">
      <w:pPr>
        <w:pStyle w:val="Heading1"/>
      </w:pPr>
      <w:bookmarkStart w:id="3" w:name="_ic1mxax79j2v" w:colFirst="0" w:colLast="0"/>
      <w:bookmarkEnd w:id="3"/>
      <w:r>
        <w:lastRenderedPageBreak/>
        <w:t>Methods</w:t>
      </w:r>
    </w:p>
    <w:p w14:paraId="56CC759E" w14:textId="16DECE32"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is a month-long summer residential program for gifted and advanced high school students held annually on the campus of </w:t>
      </w:r>
      <w:r w:rsidR="00E948F2">
        <w:rPr>
          <w:rFonts w:ascii="Times New Roman" w:eastAsia="Times New Roman" w:hAnsi="Times New Roman" w:cs="Times New Roman"/>
          <w:sz w:val="24"/>
          <w:szCs w:val="24"/>
        </w:rPr>
        <w:t>Virginia Tech</w:t>
      </w:r>
      <w:r>
        <w:rPr>
          <w:rFonts w:ascii="Times New Roman" w:eastAsia="Times New Roman" w:hAnsi="Times New Roman" w:cs="Times New Roman"/>
          <w:sz w:val="24"/>
          <w:szCs w:val="24"/>
        </w:rPr>
        <w:t xml:space="preserve">. This intensive educational program emphasizes the transdisciplinary nature of agriculture by offering students opportunities to develop laboratory skills, engage in fieldwork, participate in social science research, and take part in scientifically rigorous courses led by faculty, researchers, and graduate students (Duncan &amp; Broyles, 2006). This structure fulfills the mission of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which is to provide a rigorous agricultural educational program designed to increase students’ ability to critically think, engage in meaningful dialogue, and solve problems, associated with providing safe, economical, and environmentally sustainable food, fiber, fuel, and shelter to the world’s population, while developing future leaders and scientists for careers in agriculture (</w:t>
      </w:r>
      <w:r w:rsidR="00E948F2">
        <w:rPr>
          <w:rFonts w:ascii="Times New Roman" w:eastAsia="Times New Roman" w:hAnsi="Times New Roman" w:cs="Times New Roman"/>
          <w:sz w:val="24"/>
          <w:szCs w:val="24"/>
        </w:rPr>
        <w:t>Virginia Tech</w:t>
      </w:r>
      <w:r>
        <w:rPr>
          <w:rFonts w:ascii="Times New Roman" w:eastAsia="Times New Roman" w:hAnsi="Times New Roman" w:cs="Times New Roman"/>
          <w:sz w:val="24"/>
          <w:szCs w:val="24"/>
        </w:rPr>
        <w:t>, 2025</w:t>
      </w:r>
      <w:r w:rsidR="00E948F2">
        <w:rPr>
          <w:rFonts w:ascii="Times New Roman" w:eastAsia="Times New Roman" w:hAnsi="Times New Roman" w:cs="Times New Roman"/>
          <w:sz w:val="24"/>
          <w:szCs w:val="24"/>
        </w:rPr>
        <w:t>b</w:t>
      </w:r>
      <w:r>
        <w:rPr>
          <w:rFonts w:ascii="Times New Roman" w:eastAsia="Times New Roman" w:hAnsi="Times New Roman" w:cs="Times New Roman"/>
          <w:sz w:val="24"/>
          <w:szCs w:val="24"/>
        </w:rPr>
        <w:t>) and agriculturally adjacent disciplines. Despite having more than 300 agricultural education teachers in nearly 240 middle and high schools (</w:t>
      </w:r>
      <w:r w:rsidR="00E948F2">
        <w:rPr>
          <w:rFonts w:ascii="Times New Roman" w:eastAsia="Times New Roman" w:hAnsi="Times New Roman" w:cs="Times New Roman"/>
          <w:sz w:val="24"/>
          <w:szCs w:val="24"/>
        </w:rPr>
        <w:t>Virginia Tech</w:t>
      </w:r>
      <w:r>
        <w:rPr>
          <w:rFonts w:ascii="Times New Roman" w:eastAsia="Times New Roman" w:hAnsi="Times New Roman" w:cs="Times New Roman"/>
          <w:sz w:val="24"/>
          <w:szCs w:val="24"/>
        </w:rPr>
        <w:t xml:space="preserve">, 2025a), approximately 85% of the students participating in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are from suburban, urban, or city areas. In contrast, the majority of ag programs in </w:t>
      </w:r>
      <w:r w:rsidR="00E948F2">
        <w:rPr>
          <w:rFonts w:ascii="Times New Roman" w:eastAsia="Times New Roman" w:hAnsi="Times New Roman" w:cs="Times New Roman"/>
          <w:sz w:val="24"/>
          <w:szCs w:val="24"/>
        </w:rPr>
        <w:t>Virginia</w:t>
      </w:r>
      <w:r>
        <w:rPr>
          <w:rFonts w:ascii="Times New Roman" w:eastAsia="Times New Roman" w:hAnsi="Times New Roman" w:cs="Times New Roman"/>
          <w:sz w:val="24"/>
          <w:szCs w:val="24"/>
        </w:rPr>
        <w:t xml:space="preserve"> are located in areas defined as rural or towns by the National Center for Education Statistics (NCES). In the summer of 2024,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conducted a modified DAST to assess the participants' perceptions of agriculture.</w:t>
      </w:r>
    </w:p>
    <w:p w14:paraId="7CC902EA" w14:textId="2611C2F1"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first day of the 2024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100 high school students from across the commonwealth were given art supplies (e.g., paper, pencils, markers). Participants were asked to draw a picture in response to the question, “What is agriculture?”</w:t>
      </w:r>
      <w:r w:rsidR="00E948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Ninety-seven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97) drawings were submitted and analyzed in the study. Based on program demographics, participants’ school divisions were identified as city/urban (15%), suburban (74%), town (2%), and rural (9%). These categorizations were based on the locale classifications and criteria from the NCES (NCES, n.d.).</w:t>
      </w:r>
    </w:p>
    <w:p w14:paraId="4681C704" w14:textId="700D58A3"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study, the researchers used the Baringer et al. (2021) agricultural DAST rubric, which was adapted from Farland-Smith’s (2012) DAST rubric. This rubric utilized three scoring categories: appearance, location, and activity, each graded on a scale from 0 to 3. Baringer et al. modified the scoring to classify agricultural DAST responses into four categories:</w:t>
      </w:r>
      <w:r w:rsidR="00E948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'cannot be categorized' (0 points), 'pastoral fantasy' (1 point), 'traditional' (2 points), and 'broader than traditional' (3 points). While Baringer et al. (2021) offered brief descriptions of these categories in their updated rubric, such as calling a storybook farm with rolling hills a ‘pastoral fantasy’ and describing technology and creativity as ‘broader than traditional,’ they did not provide a detailed rubric or explain how they determined a ‘traditional’ score, which made it challenging to replicate for this study. </w:t>
      </w:r>
    </w:p>
    <w:p w14:paraId="7BBCAF9A" w14:textId="77777777"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researchers first conducted a pilot study utilizing the rubric developed by Baringer et al. (2021). The preliminary analysis involved examining twenty internet-sourced illustrations of agriculture, including those drawn by K-12 students for various Agriculture in the Classroom drawing contests. Following the initial pilot, the researchers recognized the necessity for more detailed explanations within each category to ensure intercoder reliability. This recognition prompted the expansion of the rubric, allowing this study to move forward successfully and facilitating easier replication in future research efforts. A second pilot with twenty new illustrations confirmed the clarity of the rubric, leading to its final revision for this study. Following the development of the revised rubric, the researchers independently scored the </w:t>
      </w:r>
      <w:r>
        <w:rPr>
          <w:rFonts w:ascii="Times New Roman" w:eastAsia="Times New Roman" w:hAnsi="Times New Roman" w:cs="Times New Roman"/>
          <w:sz w:val="24"/>
          <w:szCs w:val="24"/>
        </w:rPr>
        <w:lastRenderedPageBreak/>
        <w:t>participants’ drawings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97) and then performed joint scoring to verify intercoder reliability. This process was accomplished through dialogue and reflexivity rather than solely emphasizing quantifying agreement, which is a well-established method in qualitative research (Cofie et al., 2022). For the content analysis, three researchers first individually reviewed and analyzed the drawings, then met to discuss and verify their analyses. The content analysis was conducted and organized according to the terms used in the rubric.</w:t>
      </w:r>
    </w:p>
    <w:p w14:paraId="10A9AE45" w14:textId="77777777" w:rsidR="00DF4075" w:rsidRDefault="00000000">
      <w:pPr>
        <w:pStyle w:val="Heading1"/>
      </w:pPr>
      <w:bookmarkStart w:id="4" w:name="_2nk3o918szim" w:colFirst="0" w:colLast="0"/>
      <w:bookmarkEnd w:id="4"/>
      <w:r>
        <w:t>Results</w:t>
      </w:r>
    </w:p>
    <w:p w14:paraId="588F4257" w14:textId="7DF763CA" w:rsidR="00DF4075" w:rsidRDefault="00000000">
      <w:pPr>
        <w:spacing w:before="240" w:after="240" w:line="240" w:lineRule="auto"/>
        <w:ind w:firstLine="20"/>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Objective 1: Identify </w:t>
      </w:r>
      <w:r w:rsidR="00E948F2">
        <w:rPr>
          <w:rFonts w:ascii="Times New Roman" w:eastAsia="Times New Roman" w:hAnsi="Times New Roman" w:cs="Times New Roman"/>
          <w:b/>
          <w:sz w:val="24"/>
          <w:szCs w:val="24"/>
        </w:rPr>
        <w:t>VGSA</w:t>
      </w:r>
      <w:r>
        <w:rPr>
          <w:rFonts w:ascii="Times New Roman" w:eastAsia="Times New Roman" w:hAnsi="Times New Roman" w:cs="Times New Roman"/>
          <w:b/>
          <w:sz w:val="24"/>
          <w:szCs w:val="24"/>
        </w:rPr>
        <w:t xml:space="preserve"> students’ perceptions of agriculture through the analysis of student-generated drawings</w:t>
      </w:r>
    </w:p>
    <w:p w14:paraId="0AF0E311" w14:textId="77777777"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views of agriculture were assessed using a rubric developed by the researchers, influenced by previous work from Baringer et al. (2021), which was scored from 0 to 3 across three categories: appearance, location, and activity. The average scores for each category ranged from 0.84 to 1.09, with an overall mean of 0.97, indicating that most student images fell within the "pastoral fantasy" category, which depicts agriculture in an idealized and nostalgic manner, rather than reflecting modern or broader agricultural perspectives. The lowest average score in the location category suggests that participants were less inclined to depict specific places or settings in their representations. When they did, it reflected a more idealized and nostalgic approach, similar to how agriculture is often depicted in storybooks, films, and other media.</w:t>
      </w:r>
    </w:p>
    <w:p w14:paraId="5643C663" w14:textId="77777777" w:rsidR="00DF4075"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w:t>
      </w:r>
    </w:p>
    <w:p w14:paraId="011E9B2F" w14:textId="501C44D7" w:rsidR="00DF4075" w:rsidRDefault="00000000">
      <w:pPr>
        <w:spacing w:before="240" w:after="2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Results of Scoring </w:t>
      </w:r>
      <w:r w:rsidR="00E948F2">
        <w:rPr>
          <w:rFonts w:ascii="Times New Roman" w:eastAsia="Times New Roman" w:hAnsi="Times New Roman" w:cs="Times New Roman"/>
          <w:i/>
          <w:sz w:val="24"/>
          <w:szCs w:val="24"/>
        </w:rPr>
        <w:t>VGSA</w:t>
      </w:r>
      <w:r>
        <w:rPr>
          <w:rFonts w:ascii="Times New Roman" w:eastAsia="Times New Roman" w:hAnsi="Times New Roman" w:cs="Times New Roman"/>
          <w:i/>
          <w:sz w:val="24"/>
          <w:szCs w:val="24"/>
        </w:rPr>
        <w:t xml:space="preserve"> Drawings</w:t>
      </w:r>
    </w:p>
    <w:tbl>
      <w:tblPr>
        <w:tblStyle w:val="a"/>
        <w:tblW w:w="91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60"/>
        <w:gridCol w:w="4725"/>
        <w:gridCol w:w="1320"/>
      </w:tblGrid>
      <w:tr w:rsidR="00DF4075" w14:paraId="664CD01C" w14:textId="77777777">
        <w:trPr>
          <w:trHeight w:val="330"/>
        </w:trPr>
        <w:tc>
          <w:tcPr>
            <w:tcW w:w="3060" w:type="dxa"/>
            <w:tcBorders>
              <w:top w:val="single" w:sz="6" w:space="0" w:color="000000"/>
              <w:left w:val="nil"/>
              <w:bottom w:val="single" w:sz="6" w:space="0" w:color="000000"/>
              <w:right w:val="nil"/>
            </w:tcBorders>
            <w:tcMar>
              <w:top w:w="0" w:type="dxa"/>
              <w:left w:w="100" w:type="dxa"/>
              <w:bottom w:w="0" w:type="dxa"/>
              <w:right w:w="100" w:type="dxa"/>
            </w:tcMar>
          </w:tcPr>
          <w:p w14:paraId="0E341E0A" w14:textId="77777777" w:rsidR="00DF407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Category</w:t>
            </w:r>
          </w:p>
        </w:tc>
        <w:tc>
          <w:tcPr>
            <w:tcW w:w="4725" w:type="dxa"/>
            <w:tcBorders>
              <w:top w:val="single" w:sz="6" w:space="0" w:color="000000"/>
              <w:left w:val="nil"/>
              <w:bottom w:val="single" w:sz="6" w:space="0" w:color="000000"/>
              <w:right w:val="nil"/>
            </w:tcBorders>
            <w:tcMar>
              <w:top w:w="0" w:type="dxa"/>
              <w:left w:w="100" w:type="dxa"/>
              <w:bottom w:w="0" w:type="dxa"/>
              <w:right w:w="100" w:type="dxa"/>
            </w:tcMar>
          </w:tcPr>
          <w:p w14:paraId="00710F73" w14:textId="77777777" w:rsidR="00DF4075" w:rsidRDefault="00DF4075">
            <w:pPr>
              <w:spacing w:line="240" w:lineRule="auto"/>
              <w:jc w:val="center"/>
              <w:rPr>
                <w:rFonts w:ascii="Times New Roman" w:eastAsia="Times New Roman" w:hAnsi="Times New Roman" w:cs="Times New Roman"/>
                <w:i/>
                <w:sz w:val="24"/>
                <w:szCs w:val="24"/>
              </w:rPr>
            </w:pPr>
          </w:p>
        </w:tc>
        <w:tc>
          <w:tcPr>
            <w:tcW w:w="1320" w:type="dxa"/>
            <w:tcBorders>
              <w:top w:val="single" w:sz="6" w:space="0" w:color="000000"/>
              <w:left w:val="nil"/>
              <w:bottom w:val="single" w:sz="6" w:space="0" w:color="000000"/>
              <w:right w:val="nil"/>
            </w:tcBorders>
            <w:tcMar>
              <w:top w:w="0" w:type="dxa"/>
              <w:left w:w="100" w:type="dxa"/>
              <w:bottom w:w="0" w:type="dxa"/>
              <w:right w:w="100" w:type="dxa"/>
            </w:tcMar>
          </w:tcPr>
          <w:p w14:paraId="0C6A5508" w14:textId="77777777" w:rsidR="00DF4075" w:rsidRDefault="00000000">
            <w:pPr>
              <w:spacing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Mean</w:t>
            </w:r>
          </w:p>
        </w:tc>
      </w:tr>
      <w:tr w:rsidR="00DF4075" w14:paraId="14EF9D52" w14:textId="77777777">
        <w:trPr>
          <w:trHeight w:val="425"/>
        </w:trPr>
        <w:tc>
          <w:tcPr>
            <w:tcW w:w="3060" w:type="dxa"/>
            <w:tcBorders>
              <w:top w:val="nil"/>
              <w:left w:val="nil"/>
              <w:bottom w:val="nil"/>
              <w:right w:val="nil"/>
            </w:tcBorders>
            <w:tcMar>
              <w:top w:w="0" w:type="dxa"/>
              <w:left w:w="100" w:type="dxa"/>
              <w:bottom w:w="0" w:type="dxa"/>
              <w:right w:w="100" w:type="dxa"/>
            </w:tcMar>
          </w:tcPr>
          <w:p w14:paraId="2BD8B8B6" w14:textId="77777777" w:rsidR="00DF407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Appearance</w:t>
            </w:r>
          </w:p>
        </w:tc>
        <w:tc>
          <w:tcPr>
            <w:tcW w:w="4725" w:type="dxa"/>
            <w:tcBorders>
              <w:top w:val="nil"/>
              <w:left w:val="nil"/>
              <w:bottom w:val="nil"/>
              <w:right w:val="nil"/>
            </w:tcBorders>
            <w:tcMar>
              <w:top w:w="0" w:type="dxa"/>
              <w:left w:w="100" w:type="dxa"/>
              <w:bottom w:w="0" w:type="dxa"/>
              <w:right w:w="100" w:type="dxa"/>
            </w:tcMar>
          </w:tcPr>
          <w:p w14:paraId="3432DF3B" w14:textId="77777777" w:rsidR="00DF4075" w:rsidRDefault="00DF4075">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tcPr>
          <w:p w14:paraId="1EAAAE5B" w14:textId="77777777" w:rsidR="00DF4075"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r>
      <w:tr w:rsidR="00DF4075" w14:paraId="13CD9C34" w14:textId="77777777">
        <w:trPr>
          <w:trHeight w:val="375"/>
        </w:trPr>
        <w:tc>
          <w:tcPr>
            <w:tcW w:w="3060" w:type="dxa"/>
            <w:tcBorders>
              <w:top w:val="nil"/>
              <w:left w:val="nil"/>
              <w:bottom w:val="nil"/>
              <w:right w:val="nil"/>
            </w:tcBorders>
            <w:tcMar>
              <w:top w:w="0" w:type="dxa"/>
              <w:left w:w="100" w:type="dxa"/>
              <w:bottom w:w="0" w:type="dxa"/>
              <w:right w:w="100" w:type="dxa"/>
            </w:tcMar>
          </w:tcPr>
          <w:p w14:paraId="47731879" w14:textId="77777777" w:rsidR="00DF407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Location</w:t>
            </w:r>
          </w:p>
        </w:tc>
        <w:tc>
          <w:tcPr>
            <w:tcW w:w="4725" w:type="dxa"/>
            <w:tcBorders>
              <w:top w:val="nil"/>
              <w:left w:val="nil"/>
              <w:bottom w:val="nil"/>
              <w:right w:val="nil"/>
            </w:tcBorders>
            <w:tcMar>
              <w:top w:w="0" w:type="dxa"/>
              <w:left w:w="100" w:type="dxa"/>
              <w:bottom w:w="0" w:type="dxa"/>
              <w:right w:w="100" w:type="dxa"/>
            </w:tcMar>
          </w:tcPr>
          <w:p w14:paraId="257EB0F3" w14:textId="77777777" w:rsidR="00DF4075" w:rsidRDefault="00DF4075">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tcPr>
          <w:p w14:paraId="08572FB3" w14:textId="77777777" w:rsidR="00DF4075"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.84</w:t>
            </w:r>
          </w:p>
        </w:tc>
      </w:tr>
      <w:tr w:rsidR="00DF4075" w14:paraId="7B2FD14B" w14:textId="77777777">
        <w:trPr>
          <w:trHeight w:val="452"/>
        </w:trPr>
        <w:tc>
          <w:tcPr>
            <w:tcW w:w="3060" w:type="dxa"/>
            <w:tcBorders>
              <w:top w:val="nil"/>
              <w:left w:val="nil"/>
              <w:bottom w:val="nil"/>
              <w:right w:val="nil"/>
            </w:tcBorders>
            <w:tcMar>
              <w:top w:w="0" w:type="dxa"/>
              <w:left w:w="100" w:type="dxa"/>
              <w:bottom w:w="0" w:type="dxa"/>
              <w:right w:w="100" w:type="dxa"/>
            </w:tcMar>
          </w:tcPr>
          <w:p w14:paraId="51EE36E1" w14:textId="77777777" w:rsidR="00DF407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Activity</w:t>
            </w:r>
          </w:p>
        </w:tc>
        <w:tc>
          <w:tcPr>
            <w:tcW w:w="4725" w:type="dxa"/>
            <w:tcBorders>
              <w:top w:val="nil"/>
              <w:left w:val="nil"/>
              <w:bottom w:val="nil"/>
              <w:right w:val="nil"/>
            </w:tcBorders>
            <w:tcMar>
              <w:top w:w="0" w:type="dxa"/>
              <w:left w:w="100" w:type="dxa"/>
              <w:bottom w:w="0" w:type="dxa"/>
              <w:right w:w="100" w:type="dxa"/>
            </w:tcMar>
          </w:tcPr>
          <w:p w14:paraId="3ABC3439" w14:textId="77777777" w:rsidR="00DF4075" w:rsidRDefault="00DF4075">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tcPr>
          <w:p w14:paraId="612C4A6B" w14:textId="77777777" w:rsidR="00DF4075"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1.09</w:t>
            </w:r>
          </w:p>
        </w:tc>
      </w:tr>
    </w:tbl>
    <w:p w14:paraId="747D360F" w14:textId="2BCF02D6" w:rsidR="00DF4075"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Objective 2: Identify key images </w:t>
      </w:r>
      <w:r w:rsidR="00E948F2">
        <w:rPr>
          <w:rFonts w:ascii="Times New Roman" w:eastAsia="Times New Roman" w:hAnsi="Times New Roman" w:cs="Times New Roman"/>
          <w:b/>
          <w:sz w:val="24"/>
          <w:szCs w:val="24"/>
        </w:rPr>
        <w:t>VGSA</w:t>
      </w:r>
      <w:r>
        <w:rPr>
          <w:rFonts w:ascii="Times New Roman" w:eastAsia="Times New Roman" w:hAnsi="Times New Roman" w:cs="Times New Roman"/>
          <w:b/>
          <w:sz w:val="24"/>
          <w:szCs w:val="24"/>
        </w:rPr>
        <w:t xml:space="preserve"> students used to depict their perception of agriculture</w:t>
      </w:r>
    </w:p>
    <w:p w14:paraId="028FDB8F" w14:textId="77777777" w:rsidR="00DF4075" w:rsidRDefault="00000000">
      <w:pPr>
        <w:spacing w:before="240" w:after="24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Appearance</w:t>
      </w:r>
    </w:p>
    <w:p w14:paraId="63E6A509" w14:textId="013058D0"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Accurate, yet simplistic representations of animals were the most commonly occurring image within the category of appearance, and the second most common across all three categories, with 29%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28) of the drawings containing representations of animals. 16%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16) of pictures included animals with anthropomorphic characteristics such as smiling or talking. 6%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6) of the drawings contained discernible depictions of white boys or men, while 9%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9) of the drawings contained discernible depictions of women. Additionally, depictions of apparel, including items such as overalls, straw hats, and pitchforks, were included in 20%</w:t>
      </w:r>
      <w:r w:rsidR="00E948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19) of the drawings, with straw hats being the most common at 13%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13). It is important to note that 42%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41) of the drawings contained indistinguishable illustrations related to appearance.</w:t>
      </w:r>
    </w:p>
    <w:p w14:paraId="22562AEE" w14:textId="77777777" w:rsidR="00DF407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Location</w:t>
      </w:r>
    </w:p>
    <w:p w14:paraId="5EB9C314" w14:textId="77777777"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common depiction of location, and across the three categories, was landscape depictions or scenes that included rolling green hills, open pastures, or generally unrealistic or fantastical agricultural landscapes, with 31%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30) of all drawings capturing these elements. Barns were depicted across 27%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26) of the drawings, the third most common feature across all three categories, with 8%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8) being depicted as red barns and 19%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18) of the barns being depicted in ways other than red. Likewise, 36%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35) of the drawings contained indistinguishable illustrations related to location.</w:t>
      </w:r>
    </w:p>
    <w:p w14:paraId="177DAF35" w14:textId="77777777" w:rsidR="00DF407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Activity</w:t>
      </w:r>
    </w:p>
    <w:p w14:paraId="4BB74F08" w14:textId="357E6830" w:rsidR="00DF4075" w:rsidRDefault="00000000">
      <w:pPr>
        <w:spacing w:before="240" w:after="240" w:line="240" w:lineRule="auto"/>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For this study, high-tech/complex agricultural processes included not only processes like animal processing, value-added goods, and farm-to-market representation, but this category also incorporated other complex ideas, such as scientific or economic processes. This category was the highest among those related to activity, with 21%</w:t>
      </w:r>
      <w:r w:rsidR="00E948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20) of drawings including a high-tech or complex agricultural process. Additionally, tractors were depicted in 12%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12) of the drawings, while precision agricultural equipment (e.g., solar panels, Wi-Fi/internet, satellites) was included in 6%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 of the pictures. Representations of drones were found in only 2%</w:t>
      </w:r>
      <w:r w:rsidR="00E948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2) of the drawings. 53%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51) of the drawings contained indistinguishable illustrations related to activity, the highest across all three categories.</w:t>
      </w:r>
    </w:p>
    <w:p w14:paraId="525FCA62" w14:textId="77777777" w:rsidR="00DF4075" w:rsidRDefault="00000000">
      <w:pPr>
        <w:pStyle w:val="Heading1"/>
      </w:pPr>
      <w:bookmarkStart w:id="5" w:name="_hkl2aqn2nect" w:colFirst="0" w:colLast="0"/>
      <w:bookmarkEnd w:id="5"/>
      <w:r>
        <w:t>Discussion, Implications, &amp; Conclusion</w:t>
      </w:r>
    </w:p>
    <w:p w14:paraId="3FE401B2" w14:textId="2F9680C4"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students acknowledged that animals are indeed a part of the agricultural systems. Many of the animals that were drawn were in scenes where horses, cows, pigs, and chickens all coexisted in the same space, similar to what would be seen in a children’s book. Additionally, a small number of students depicted animals with smiles, heart-shaped eyes, or exhibiting other human-like characteristics, again, reminiscent of storybooks. Likewise, many of the locations depicted by the participants were indicative of a bucolic countryscape often depicted in storybooks and children’s films set in the idyllic setting of rolling green hills and open pastures. The prevalence of storybook-style elements may be linked to the participants’ media exposure, which </w:t>
      </w:r>
      <w:r w:rsidR="009B2BB5">
        <w:rPr>
          <w:rFonts w:ascii="Times New Roman" w:eastAsia="Times New Roman" w:hAnsi="Times New Roman" w:cs="Times New Roman"/>
          <w:sz w:val="24"/>
          <w:szCs w:val="24"/>
        </w:rPr>
        <w:t>similarly portrayed agriculture</w:t>
      </w:r>
      <w:r>
        <w:rPr>
          <w:rFonts w:ascii="Times New Roman" w:eastAsia="Times New Roman" w:hAnsi="Times New Roman" w:cs="Times New Roman"/>
          <w:sz w:val="24"/>
          <w:szCs w:val="24"/>
        </w:rPr>
        <w:t xml:space="preserve"> to storybooks, and the selective retention of these ideas. </w:t>
      </w:r>
    </w:p>
    <w:p w14:paraId="2921D951" w14:textId="77777777"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we intended to evaluate the presence of white boys and men, along with people of color and women, we could not always conclude gender or race based on the students' depictions of people (e.g., stick figures). Although a slight difference, there were slightly more depictions of women and girls than of men and boys. This may be due to the participants seeing themselves in the agricultural system. In contrast, the lack of diversity could indicate that participants had limited social contact or interaction with diverse agricultural communities. </w:t>
      </w:r>
    </w:p>
    <w:p w14:paraId="129AAF20" w14:textId="77777777"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activity, participants illustrated items far beyond the stereotypical tractor. High-tech or complex agricultural processes were included in several drawings. These processes included animal production (pasture to slaughterhouse), farm-to-market processes, scientific processes, and other illustrations of economic systems. Additionally, precision agriculture, along with other technologies such as drones, solar panels, and satellites, was included. Perhaps participants were accessing their prior knowledge of general technological advancements or the </w:t>
      </w:r>
      <w:r>
        <w:rPr>
          <w:rFonts w:ascii="Times New Roman" w:eastAsia="Times New Roman" w:hAnsi="Times New Roman" w:cs="Times New Roman"/>
          <w:sz w:val="24"/>
          <w:szCs w:val="24"/>
        </w:rPr>
        <w:lastRenderedPageBreak/>
        <w:t>increased prevalence of technology in other sectors of society, or, through greater educational exposure, participants had an increased understanding of the systems involved in agricultural production.</w:t>
      </w:r>
    </w:p>
    <w:p w14:paraId="533D2907" w14:textId="5C9E3F35"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viewed through the lens of </w:t>
      </w:r>
      <w:r w:rsidR="00E948F2">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nowledge </w:t>
      </w:r>
      <w:r w:rsidR="00E948F2">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ap </w:t>
      </w:r>
      <w:r w:rsidR="00E948F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heory, these illustrations reveal how disparities in exposure and experience shape students’ agricultural perceptions. Similar to (Baringer et al., 2021), the illustrations largely represented pastoral fantasy and traditional signs of agriculture, indicating a cultural disconnect in how participants conceptualize agriculture. However, unlike Baringer et al. (2021), many participants represented elements of agriculture labeled as “beyond traditional”, indicating that not only should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continue to focus on high-tech and complex processes, but greater attention should be given to discussing accurate agricultural locations and exposing students to diverse agricultural producers.</w:t>
      </w:r>
    </w:p>
    <w:p w14:paraId="6C5BD98B" w14:textId="15578255" w:rsidR="00DF4075"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findings from this study are significant for the program and its direction, moving it closer to bridging the knowledge gap between pastoral fantasy agriculture and broader, more traditional agriculture, we recognize the limitations of this study. First, unlike Baringer et al. (2021), this was not a contest, and participants had less than 24 hours to complete their drawing. This short timeframe was intentional as we wanted to capture the participants’ perceptions without the interference from the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programming. However, the short time period between assigning the drawing and submitting it may not only have impacted the artistic quality, but it may also have affected the participants’ ability to reflect on the prompt and fully depict their perception of agriculture. Furthermore, the drawings were not evaluated based on artistic ability or quality; however, most did not use color, which made it difficult to assess certain elements, such as whether participants considered that agriculture has a diverse workforce, not just white boys and men. Additionally, the researchers struggled with whether they could assume the participants’ perceptions based solely on a drawing with no accompanying conversation or explanation of the </w:t>
      </w:r>
      <w:r w:rsidR="00C90F4A">
        <w:rPr>
          <w:rFonts w:ascii="Times New Roman" w:eastAsia="Times New Roman" w:hAnsi="Times New Roman" w:cs="Times New Roman"/>
          <w:sz w:val="24"/>
          <w:szCs w:val="24"/>
        </w:rPr>
        <w:t>scenes depicted</w:t>
      </w:r>
      <w:r>
        <w:rPr>
          <w:rFonts w:ascii="Times New Roman" w:eastAsia="Times New Roman" w:hAnsi="Times New Roman" w:cs="Times New Roman"/>
          <w:sz w:val="24"/>
          <w:szCs w:val="24"/>
        </w:rPr>
        <w:t>.</w:t>
      </w:r>
    </w:p>
    <w:p w14:paraId="1AB587D5" w14:textId="77777777" w:rsidR="00DF4075" w:rsidRDefault="00000000">
      <w:pPr>
        <w:pStyle w:val="Heading1"/>
      </w:pPr>
      <w:bookmarkStart w:id="6" w:name="_84l63y5urr6" w:colFirst="0" w:colLast="0"/>
      <w:bookmarkEnd w:id="6"/>
      <w:r>
        <w:t>Recommendations</w:t>
      </w:r>
    </w:p>
    <w:p w14:paraId="4128C43B" w14:textId="40D8D01A" w:rsidR="00DF4075" w:rsidRDefault="00000000">
      <w:pPr>
        <w:spacing w:before="240" w:after="240" w:line="240" w:lineRule="auto"/>
        <w:ind w:firstLine="720"/>
      </w:pPr>
      <w:r>
        <w:rPr>
          <w:rFonts w:ascii="Times New Roman" w:eastAsia="Times New Roman" w:hAnsi="Times New Roman" w:cs="Times New Roman"/>
          <w:sz w:val="24"/>
          <w:szCs w:val="24"/>
        </w:rPr>
        <w:t xml:space="preserve">The research team and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leadership intend to make adjustments and reassess in the future. Our recommendations from this study are fourfold:</w:t>
      </w:r>
      <w:r w:rsidR="00E948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reframe or redesign the DAST to focus on agriculture as a concept and discipline. The Draw-a-Scientist Test was intended for participants to create drawings of people, not concepts or ideas. We also recommend implementing a more detailed rubric to guide the evaluation and analysis of the drawings, with the understanding that all concepts, processes, and depictions of agriculture cannot be represented on a single rubric. To measure </w:t>
      </w:r>
      <w:r w:rsidR="00CB7A7B">
        <w:rPr>
          <w:rFonts w:ascii="Times New Roman" w:eastAsia="Times New Roman" w:hAnsi="Times New Roman" w:cs="Times New Roman"/>
          <w:sz w:val="24"/>
          <w:szCs w:val="24"/>
        </w:rPr>
        <w:t>changes</w:t>
      </w:r>
      <w:r>
        <w:rPr>
          <w:rFonts w:ascii="Times New Roman" w:eastAsia="Times New Roman" w:hAnsi="Times New Roman" w:cs="Times New Roman"/>
          <w:sz w:val="24"/>
          <w:szCs w:val="24"/>
        </w:rPr>
        <w:t xml:space="preserve"> in understanding or perception, a pre- and post-assessment could be conducted using the revised framework to capture how students’ perceptions of agriculture change </w:t>
      </w:r>
      <w:r w:rsidR="00E948F2">
        <w:rPr>
          <w:rFonts w:ascii="Times New Roman" w:eastAsia="Times New Roman" w:hAnsi="Times New Roman" w:cs="Times New Roman"/>
          <w:sz w:val="24"/>
          <w:szCs w:val="24"/>
        </w:rPr>
        <w:t>during</w:t>
      </w:r>
      <w:r>
        <w:rPr>
          <w:rFonts w:ascii="Times New Roman" w:eastAsia="Times New Roman" w:hAnsi="Times New Roman" w:cs="Times New Roman"/>
          <w:sz w:val="24"/>
          <w:szCs w:val="24"/>
        </w:rPr>
        <w:t xml:space="preserve"> the program. Lastly, in future studies, participants should submit a short essay along with their drawings, similar to the original DAST study (Mead &amp; Metraux, 1957). Alternatively, researchers or </w:t>
      </w:r>
      <w:r w:rsidR="00E948F2">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leadership could conduct brief interviews or focus groups, as drawings may not fully capture the students’ perceptions of agriculture.</w:t>
      </w:r>
    </w:p>
    <w:p w14:paraId="53FCDAB5" w14:textId="77777777" w:rsidR="00DF4075" w:rsidRDefault="00000000">
      <w:pPr>
        <w:pStyle w:val="Heading1"/>
      </w:pPr>
      <w:bookmarkStart w:id="7" w:name="_m1c4u6nutkio" w:colFirst="0" w:colLast="0"/>
      <w:bookmarkEnd w:id="7"/>
      <w:r>
        <w:lastRenderedPageBreak/>
        <w:t>References</w:t>
      </w:r>
    </w:p>
    <w:p w14:paraId="265F3257"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Baringer, S., Ramsey, J., Inman, R., &amp; Allen, K. (2021). Primary Student Perceptions of Agriculture: A Content Analysis of Oklahoma Ag in the Classroom Posters. </w:t>
      </w:r>
      <w:r>
        <w:rPr>
          <w:rFonts w:ascii="Times New Roman" w:eastAsia="Times New Roman" w:hAnsi="Times New Roman" w:cs="Times New Roman"/>
          <w:i/>
          <w:sz w:val="24"/>
          <w:szCs w:val="24"/>
          <w:highlight w:val="white"/>
        </w:rPr>
        <w:t>Proceedings of the 2021 Western Region AAAE Research Conference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40</w:t>
      </w:r>
      <w:r>
        <w:rPr>
          <w:rFonts w:ascii="Times New Roman" w:eastAsia="Times New Roman" w:hAnsi="Times New Roman" w:cs="Times New Roman"/>
          <w:sz w:val="24"/>
          <w:szCs w:val="24"/>
          <w:highlight w:val="white"/>
        </w:rPr>
        <w:t>, 104–110.</w:t>
      </w:r>
    </w:p>
    <w:p w14:paraId="2D1AEC41"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Barman, C. (1997). Students' views of scientists and science: Results from a national study. </w:t>
      </w:r>
      <w:r>
        <w:rPr>
          <w:rFonts w:ascii="Times New Roman" w:eastAsia="Times New Roman" w:hAnsi="Times New Roman" w:cs="Times New Roman"/>
          <w:i/>
          <w:sz w:val="24"/>
          <w:szCs w:val="24"/>
          <w:highlight w:val="white"/>
        </w:rPr>
        <w:t>Science and Children</w:t>
      </w:r>
      <w:r>
        <w:rPr>
          <w:rFonts w:ascii="Times New Roman" w:eastAsia="Times New Roman" w:hAnsi="Times New Roman" w:cs="Times New Roman"/>
          <w:sz w:val="24"/>
          <w:szCs w:val="24"/>
          <w:highlight w:val="white"/>
        </w:rPr>
        <w:t>, 35(1), 18–23.</w:t>
      </w:r>
    </w:p>
    <w:p w14:paraId="7CE63960"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Chambers, D. (1983). Stereotypic images of the scientist: The Draw-a-Scientist Test. </w:t>
      </w:r>
      <w:r>
        <w:rPr>
          <w:rFonts w:ascii="Times New Roman" w:eastAsia="Times New Roman" w:hAnsi="Times New Roman" w:cs="Times New Roman"/>
          <w:i/>
          <w:sz w:val="24"/>
          <w:szCs w:val="24"/>
          <w:highlight w:val="white"/>
        </w:rPr>
        <w:t>Science Education</w:t>
      </w:r>
      <w:r>
        <w:rPr>
          <w:rFonts w:ascii="Times New Roman" w:eastAsia="Times New Roman" w:hAnsi="Times New Roman" w:cs="Times New Roman"/>
          <w:sz w:val="24"/>
          <w:szCs w:val="24"/>
          <w:highlight w:val="white"/>
        </w:rPr>
        <w:t xml:space="preserve">, 67(2), 255–265. </w:t>
      </w:r>
      <w:hyperlink r:id="rId6">
        <w:r w:rsidR="00DF4075">
          <w:rPr>
            <w:rFonts w:ascii="Times New Roman" w:eastAsia="Times New Roman" w:hAnsi="Times New Roman" w:cs="Times New Roman"/>
            <w:sz w:val="24"/>
            <w:szCs w:val="24"/>
            <w:highlight w:val="white"/>
          </w:rPr>
          <w:t>https://doi.org/10.1002/sce.3730670213</w:t>
        </w:r>
      </w:hyperlink>
    </w:p>
    <w:p w14:paraId="273407D2"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Chiang, C., &amp; Guo, C. (1996). </w:t>
      </w:r>
      <w:r>
        <w:rPr>
          <w:rFonts w:ascii="Times New Roman" w:eastAsia="Times New Roman" w:hAnsi="Times New Roman" w:cs="Times New Roman"/>
          <w:i/>
          <w:sz w:val="24"/>
          <w:szCs w:val="24"/>
          <w:highlight w:val="white"/>
        </w:rPr>
        <w:t>A study of the images of the scientist for elementary school children.</w:t>
      </w:r>
      <w:r>
        <w:rPr>
          <w:rFonts w:ascii="Times New Roman" w:eastAsia="Times New Roman" w:hAnsi="Times New Roman" w:cs="Times New Roman"/>
          <w:sz w:val="24"/>
          <w:szCs w:val="24"/>
          <w:highlight w:val="white"/>
        </w:rPr>
        <w:t xml:space="preserve"> Paper presented at the National Association for Research in Science Teaching, St. Louis, MO.</w:t>
      </w:r>
    </w:p>
    <w:p w14:paraId="121CC527"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Cofie, N., Braund, H., &amp; Dalgarno, N. (2022). Eight ways to get a grip on intercoder reliability using qualitative-based measures. </w:t>
      </w:r>
      <w:r>
        <w:rPr>
          <w:rFonts w:ascii="Times New Roman" w:eastAsia="Times New Roman" w:hAnsi="Times New Roman" w:cs="Times New Roman"/>
          <w:i/>
          <w:sz w:val="24"/>
          <w:szCs w:val="24"/>
          <w:highlight w:val="white"/>
        </w:rPr>
        <w:t>Canadian Medical Education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(2), 73-76. https://doi.org/10.36834/cmej.72504</w:t>
      </w:r>
    </w:p>
    <w:p w14:paraId="74C4360B" w14:textId="77777777" w:rsidR="00DF4075" w:rsidRDefault="00000000">
      <w:pPr>
        <w:spacing w:before="120" w:after="120" w:line="240" w:lineRule="auto"/>
        <w:ind w:left="720" w:hanging="720"/>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DeWerff, W. (1989). Education in agriculture: Not just a high school matter. </w:t>
      </w:r>
      <w:r>
        <w:rPr>
          <w:rFonts w:ascii="Times New Roman" w:eastAsia="Times New Roman" w:hAnsi="Times New Roman" w:cs="Times New Roman"/>
          <w:i/>
          <w:sz w:val="24"/>
          <w:szCs w:val="24"/>
          <w:highlight w:val="white"/>
        </w:rPr>
        <w:t>The Agricultural Education Magazine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62</w:t>
      </w:r>
      <w:r>
        <w:rPr>
          <w:rFonts w:ascii="Times New Roman" w:eastAsia="Times New Roman" w:hAnsi="Times New Roman" w:cs="Times New Roman"/>
          <w:sz w:val="24"/>
          <w:szCs w:val="24"/>
          <w:highlight w:val="white"/>
        </w:rPr>
        <w:t>(1), 14-15.</w:t>
      </w:r>
    </w:p>
    <w:p w14:paraId="265A2BC6"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Duncan, D. W., &amp; Broyles, T. W. (2006). A comparison of student knowledge and perceptions toward agriculture before and after attending a Governor's School for Agriculture. </w:t>
      </w:r>
      <w:r>
        <w:rPr>
          <w:rFonts w:ascii="Times New Roman" w:eastAsia="Times New Roman" w:hAnsi="Times New Roman" w:cs="Times New Roman"/>
          <w:i/>
          <w:sz w:val="24"/>
          <w:szCs w:val="24"/>
          <w:highlight w:val="white"/>
        </w:rPr>
        <w:t>NACTA Journal</w:t>
      </w:r>
      <w:r>
        <w:rPr>
          <w:rFonts w:ascii="Times New Roman" w:eastAsia="Times New Roman" w:hAnsi="Times New Roman" w:cs="Times New Roman"/>
          <w:sz w:val="24"/>
          <w:szCs w:val="24"/>
          <w:highlight w:val="white"/>
        </w:rPr>
        <w:t>, 16-21.</w:t>
      </w:r>
    </w:p>
    <w:p w14:paraId="6C4E146F"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Falsafin, S., Matlabi, D., Khavidaki, S., &amp; Arabsheibani, Z. (2024). The role of socio-economic status in information seeking behavior based on the knowledge gap theory: A case study of Qom University, Iran. </w:t>
      </w:r>
      <w:r>
        <w:rPr>
          <w:rFonts w:ascii="Times New Roman" w:eastAsia="Times New Roman" w:hAnsi="Times New Roman" w:cs="Times New Roman"/>
          <w:i/>
          <w:sz w:val="24"/>
          <w:szCs w:val="24"/>
          <w:highlight w:val="white"/>
        </w:rPr>
        <w:t>International Journal of Digital Content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(8), 272-303. https://doi.org/10.22054/dcm.2023.73370.1199</w:t>
      </w:r>
    </w:p>
    <w:p w14:paraId="0A72C76F"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Farland-Smith, D. (2012). Development and field test of the modified Draw-A-Scientist test and the Draw-A-Scientist rubric. School Science and Mathematics, 112(2), 109–116.https://doi.org/10.1111/j.1949-8594.2011.00124.x</w:t>
      </w:r>
    </w:p>
    <w:p w14:paraId="7059B062" w14:textId="77777777" w:rsidR="00DF4075" w:rsidRDefault="00000000">
      <w:pPr>
        <w:spacing w:before="120" w:after="12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Farmers’ Advance. (2015). </w:t>
      </w:r>
      <w:r>
        <w:rPr>
          <w:rFonts w:ascii="Times New Roman" w:eastAsia="Times New Roman" w:hAnsi="Times New Roman" w:cs="Times New Roman"/>
          <w:i/>
          <w:sz w:val="24"/>
          <w:szCs w:val="24"/>
        </w:rPr>
        <w:t>National FFA Organization membership sets record</w:t>
      </w:r>
      <w:r>
        <w:rPr>
          <w:rFonts w:ascii="Times New Roman" w:eastAsia="Times New Roman" w:hAnsi="Times New Roman" w:cs="Times New Roman"/>
          <w:sz w:val="24"/>
          <w:szCs w:val="24"/>
        </w:rPr>
        <w:t>.https://www.farmersadvance.com/story/news/2015/10/07/national-ffa-organization-membership-sets-record/73459496/</w:t>
      </w:r>
    </w:p>
    <w:p w14:paraId="3BD08F3F" w14:textId="77777777" w:rsidR="00DF4075" w:rsidRDefault="00000000">
      <w:pPr>
        <w:spacing w:before="120" w:after="12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Ferguson, S. L., &amp; Lezotte, S. M. (2020). Exploring the state of science stereotypes: Systematic review and meta‐analysis of the Draw‐A‐Scientist Checklist. </w:t>
      </w:r>
      <w:r>
        <w:rPr>
          <w:rFonts w:ascii="Times New Roman" w:eastAsia="Times New Roman" w:hAnsi="Times New Roman" w:cs="Times New Roman"/>
          <w:i/>
          <w:sz w:val="24"/>
          <w:szCs w:val="24"/>
        </w:rPr>
        <w:t>School Science and Mathematics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120</w:t>
      </w:r>
      <w:r>
        <w:rPr>
          <w:rFonts w:ascii="Times New Roman" w:eastAsia="Times New Roman" w:hAnsi="Times New Roman" w:cs="Times New Roman"/>
          <w:sz w:val="24"/>
          <w:szCs w:val="24"/>
        </w:rPr>
        <w:t>(1), 55–65. https://doi.org/10.1111/ssm.12382</w:t>
      </w:r>
    </w:p>
    <w:p w14:paraId="4B14303D" w14:textId="77777777" w:rsidR="00DF4075" w:rsidRDefault="00000000">
      <w:pPr>
        <w:spacing w:before="120" w:after="12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Finson, K. D. (2003). Drawing a scientist: What we do and do not know after fifty years of drawings. </w:t>
      </w:r>
      <w:r>
        <w:rPr>
          <w:rFonts w:ascii="Times New Roman" w:eastAsia="Times New Roman" w:hAnsi="Times New Roman" w:cs="Times New Roman"/>
          <w:i/>
          <w:sz w:val="24"/>
          <w:szCs w:val="24"/>
          <w:highlight w:val="white"/>
        </w:rPr>
        <w:t>School Science and Mathematics</w:t>
      </w:r>
      <w:r>
        <w:rPr>
          <w:rFonts w:ascii="Times New Roman" w:eastAsia="Times New Roman" w:hAnsi="Times New Roman" w:cs="Times New Roman"/>
          <w:sz w:val="24"/>
          <w:szCs w:val="24"/>
          <w:highlight w:val="white"/>
        </w:rPr>
        <w:t>, 102(7), 335–346. https://doi.org/10.1111/j.1949-8594.2002.tb18217.x</w:t>
      </w:r>
    </w:p>
    <w:p w14:paraId="608B7185"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Finson, K. D., Beaver, J. B., &amp; Cramond, B. L. (1995). Development and field test of a checklist for the Draw-a-Scientist Test. </w:t>
      </w:r>
      <w:r>
        <w:rPr>
          <w:rFonts w:ascii="Times New Roman" w:eastAsia="Times New Roman" w:hAnsi="Times New Roman" w:cs="Times New Roman"/>
          <w:i/>
          <w:sz w:val="24"/>
          <w:szCs w:val="24"/>
          <w:highlight w:val="white"/>
        </w:rPr>
        <w:t>School Science and Mathematics</w:t>
      </w:r>
      <w:r>
        <w:rPr>
          <w:rFonts w:ascii="Times New Roman" w:eastAsia="Times New Roman" w:hAnsi="Times New Roman" w:cs="Times New Roman"/>
          <w:sz w:val="24"/>
          <w:szCs w:val="24"/>
          <w:highlight w:val="white"/>
        </w:rPr>
        <w:t>, 95(4), 195–205. https://doi.org/10.1111/j.1949-8594.1995.tb15762.x</w:t>
      </w:r>
    </w:p>
    <w:p w14:paraId="608EE198"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Frick, M. J., Kahler, A. A., &amp; Miller, W. W. (1991). A definition and concepts of agricultural literacy. </w:t>
      </w:r>
      <w:r>
        <w:rPr>
          <w:rFonts w:ascii="Times New Roman" w:eastAsia="Times New Roman" w:hAnsi="Times New Roman" w:cs="Times New Roman"/>
          <w:i/>
          <w:sz w:val="24"/>
          <w:szCs w:val="24"/>
          <w:highlight w:val="white"/>
        </w:rPr>
        <w:t>Journal of Agricultural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32</w:t>
      </w:r>
      <w:r>
        <w:rPr>
          <w:rFonts w:ascii="Times New Roman" w:eastAsia="Times New Roman" w:hAnsi="Times New Roman" w:cs="Times New Roman"/>
          <w:sz w:val="24"/>
          <w:szCs w:val="24"/>
          <w:highlight w:val="white"/>
        </w:rPr>
        <w:t>(2), 49-57. https://doi.org/10.5032/jae.1991.02049</w:t>
      </w:r>
    </w:p>
    <w:p w14:paraId="64715BBC" w14:textId="77777777" w:rsidR="00DF4075" w:rsidRDefault="00000000">
      <w:pPr>
        <w:spacing w:before="120" w:after="12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Fung, Y. (2002). A comparative study of primary and secondary school students' images of scientists. </w:t>
      </w:r>
      <w:r>
        <w:rPr>
          <w:rFonts w:ascii="Times New Roman" w:eastAsia="Times New Roman" w:hAnsi="Times New Roman" w:cs="Times New Roman"/>
          <w:i/>
          <w:sz w:val="24"/>
          <w:szCs w:val="24"/>
          <w:highlight w:val="white"/>
        </w:rPr>
        <w:t>Research in Science &amp; Technological Education</w:t>
      </w:r>
      <w:r>
        <w:rPr>
          <w:rFonts w:ascii="Times New Roman" w:eastAsia="Times New Roman" w:hAnsi="Times New Roman" w:cs="Times New Roman"/>
          <w:sz w:val="24"/>
          <w:szCs w:val="24"/>
          <w:highlight w:val="white"/>
        </w:rPr>
        <w:t>, 20(2), 199–213. https://doi.org10.1080/0263514022000030453</w:t>
      </w:r>
    </w:p>
    <w:p w14:paraId="6BD91B21" w14:textId="77777777" w:rsidR="00DF4075" w:rsidRDefault="00000000">
      <w:pPr>
        <w:spacing w:before="120" w:after="12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Kellogg Foundation. (2002). </w:t>
      </w:r>
      <w:r>
        <w:rPr>
          <w:rFonts w:ascii="Times New Roman" w:eastAsia="Times New Roman" w:hAnsi="Times New Roman" w:cs="Times New Roman"/>
          <w:i/>
          <w:sz w:val="24"/>
          <w:szCs w:val="24"/>
        </w:rPr>
        <w:t>Perceptions of rural America</w:t>
      </w:r>
      <w:r>
        <w:rPr>
          <w:rFonts w:ascii="Times New Roman" w:eastAsia="Times New Roman" w:hAnsi="Times New Roman" w:cs="Times New Roman"/>
          <w:sz w:val="24"/>
          <w:szCs w:val="24"/>
        </w:rPr>
        <w:t>. Kellogg Foundation.</w:t>
      </w:r>
    </w:p>
    <w:p w14:paraId="02F2A70B" w14:textId="77777777" w:rsidR="00DF4075" w:rsidRDefault="00000000">
      <w:pPr>
        <w:spacing w:line="240" w:lineRule="auto"/>
        <w:ind w:left="720" w:hanging="720"/>
        <w:rPr>
          <w:rFonts w:ascii="Times New Roman" w:eastAsia="Times New Roman" w:hAnsi="Times New Roman" w:cs="Times New Roman"/>
          <w:i/>
          <w:sz w:val="24"/>
          <w:szCs w:val="24"/>
          <w:highlight w:val="white"/>
        </w:rPr>
      </w:pPr>
      <w:r>
        <w:rPr>
          <w:rFonts w:ascii="Times New Roman" w:eastAsia="Times New Roman" w:hAnsi="Times New Roman" w:cs="Times New Roman"/>
          <w:sz w:val="24"/>
          <w:szCs w:val="24"/>
          <w:highlight w:val="white"/>
        </w:rPr>
        <w:t xml:space="preserve">Koller, K. S., (2013). </w:t>
      </w:r>
      <w:r>
        <w:rPr>
          <w:rFonts w:ascii="Times New Roman" w:eastAsia="Times New Roman" w:hAnsi="Times New Roman" w:cs="Times New Roman"/>
          <w:i/>
          <w:sz w:val="24"/>
          <w:szCs w:val="24"/>
          <w:highlight w:val="white"/>
        </w:rPr>
        <w:t>Portrayal of agriculture in children's literature: Contemporary stories</w:t>
      </w:r>
    </w:p>
    <w:p w14:paraId="31FF13C2" w14:textId="77777777" w:rsidR="00DF4075" w:rsidRDefault="00000000">
      <w:pPr>
        <w:spacing w:line="240" w:lineRule="auto"/>
        <w:ind w:left="1440" w:hanging="720"/>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in picture books, traditional tales, and nonfiction</w:t>
      </w:r>
      <w:r>
        <w:rPr>
          <w:rFonts w:ascii="Times New Roman" w:eastAsia="Times New Roman" w:hAnsi="Times New Roman" w:cs="Times New Roman"/>
          <w:sz w:val="24"/>
          <w:szCs w:val="24"/>
          <w:highlight w:val="white"/>
        </w:rPr>
        <w:t>. Graduate Research Papers, 18.</w:t>
      </w:r>
    </w:p>
    <w:p w14:paraId="21A5CD40" w14:textId="77777777" w:rsidR="00DF4075" w:rsidRDefault="00000000">
      <w:pPr>
        <w:spacing w:line="240" w:lineRule="auto"/>
        <w:ind w:left="144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https://scholarworks.uni.edu/grp/18</w:t>
      </w:r>
    </w:p>
    <w:p w14:paraId="70BFDD93"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Leising, J., Igo, C.G., Heald, A., Hubert, D. &amp; Yamamoto, J. (1998). </w:t>
      </w:r>
      <w:r>
        <w:rPr>
          <w:rFonts w:ascii="Times New Roman" w:eastAsia="Times New Roman" w:hAnsi="Times New Roman" w:cs="Times New Roman"/>
          <w:i/>
          <w:sz w:val="24"/>
          <w:szCs w:val="24"/>
          <w:highlight w:val="white"/>
        </w:rPr>
        <w:t>A guide to food &amp; fiber systems literacy: A compendium of standards, benchmarks, and instructional materials for grades K-12</w:t>
      </w:r>
      <w:r>
        <w:rPr>
          <w:rFonts w:ascii="Times New Roman" w:eastAsia="Times New Roman" w:hAnsi="Times New Roman" w:cs="Times New Roman"/>
          <w:sz w:val="24"/>
          <w:szCs w:val="24"/>
          <w:highlight w:val="white"/>
        </w:rPr>
        <w:t>. Oklahoma State University</w:t>
      </w:r>
    </w:p>
    <w:p w14:paraId="0BA43BA1"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Mead, M., &amp; Metraux, R. (1957). Image of the scientist among high school students. </w:t>
      </w:r>
      <w:r>
        <w:rPr>
          <w:rFonts w:ascii="Times New Roman" w:eastAsia="Times New Roman" w:hAnsi="Times New Roman" w:cs="Times New Roman"/>
          <w:i/>
          <w:sz w:val="24"/>
          <w:szCs w:val="24"/>
          <w:highlight w:val="white"/>
        </w:rPr>
        <w:t>Science</w:t>
      </w:r>
      <w:r>
        <w:rPr>
          <w:rFonts w:ascii="Times New Roman" w:eastAsia="Times New Roman" w:hAnsi="Times New Roman" w:cs="Times New Roman"/>
          <w:sz w:val="24"/>
          <w:szCs w:val="24"/>
          <w:highlight w:val="white"/>
        </w:rPr>
        <w:t>, 126, 384–390. https://doi.org/10.1126/science.126.3270.384</w:t>
      </w:r>
    </w:p>
    <w:p w14:paraId="36904044" w14:textId="77777777" w:rsidR="00DF4075" w:rsidRDefault="00000000">
      <w:pPr>
        <w:spacing w:before="120" w:after="120" w:line="240" w:lineRule="auto"/>
        <w:ind w:left="720" w:hanging="720"/>
        <w:rPr>
          <w:rFonts w:ascii="Times New Roman" w:eastAsia="Times New Roman" w:hAnsi="Times New Roman" w:cs="Times New Roman"/>
          <w:b/>
          <w:sz w:val="36"/>
          <w:szCs w:val="36"/>
          <w:highlight w:val="white"/>
        </w:rPr>
      </w:pPr>
      <w:r>
        <w:rPr>
          <w:rFonts w:ascii="Times New Roman" w:eastAsia="Times New Roman" w:hAnsi="Times New Roman" w:cs="Times New Roman"/>
          <w:sz w:val="24"/>
          <w:szCs w:val="24"/>
          <w:highlight w:val="white"/>
        </w:rPr>
        <w:t xml:space="preserve">Meyer, K. (2025). </w:t>
      </w:r>
      <w:r>
        <w:rPr>
          <w:rFonts w:ascii="Times New Roman" w:eastAsia="Times New Roman" w:hAnsi="Times New Roman" w:cs="Times New Roman"/>
          <w:i/>
          <w:sz w:val="24"/>
          <w:szCs w:val="24"/>
        </w:rPr>
        <w:t>National FFA Organization Announces New Membership Numbers</w:t>
      </w:r>
      <w:r>
        <w:rPr>
          <w:rFonts w:ascii="Times New Roman" w:eastAsia="Times New Roman" w:hAnsi="Times New Roman" w:cs="Times New Roman"/>
          <w:sz w:val="24"/>
          <w:szCs w:val="24"/>
        </w:rPr>
        <w:t>. The National FFA Organization. https://www.ffa.org/press-releases/national-ffa-announces-membership-numbers/</w:t>
      </w:r>
    </w:p>
    <w:p w14:paraId="56FE540F" w14:textId="77777777" w:rsidR="00DF4075" w:rsidRDefault="00000000" w:rsidP="00951F2D">
      <w:pPr>
        <w:spacing w:before="120" w:after="120" w:line="240" w:lineRule="auto"/>
        <w:ind w:left="720" w:hanging="720"/>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Schibeci, R. A., &amp; Sorensen, I. (1983). Elementary school children's perceptions of scientists. </w:t>
      </w:r>
      <w:r>
        <w:rPr>
          <w:rFonts w:ascii="Times New Roman" w:eastAsia="Times New Roman" w:hAnsi="Times New Roman" w:cs="Times New Roman"/>
          <w:i/>
          <w:sz w:val="24"/>
          <w:szCs w:val="24"/>
          <w:highlight w:val="white"/>
        </w:rPr>
        <w:t>School Science and Mathematics</w:t>
      </w:r>
      <w:r>
        <w:rPr>
          <w:rFonts w:ascii="Times New Roman" w:eastAsia="Times New Roman" w:hAnsi="Times New Roman" w:cs="Times New Roman"/>
          <w:sz w:val="24"/>
          <w:szCs w:val="24"/>
          <w:highlight w:val="white"/>
        </w:rPr>
        <w:t>, 83(1), 14–20. https://doi.org/10.1111/j.1949-8594.1983.tb10087.x</w:t>
      </w:r>
    </w:p>
    <w:p w14:paraId="75EB97BE" w14:textId="77777777" w:rsidR="00DF4075" w:rsidRDefault="00000000">
      <w:pPr>
        <w:spacing w:before="120" w:after="120" w:line="240" w:lineRule="auto"/>
        <w:ind w:left="720" w:hanging="720"/>
        <w:rPr>
          <w:rFonts w:ascii="Times New Roman" w:eastAsia="Times New Roman" w:hAnsi="Times New Roman" w:cs="Times New Roman"/>
          <w:sz w:val="26"/>
          <w:szCs w:val="26"/>
          <w:highlight w:val="white"/>
        </w:rPr>
      </w:pPr>
      <w:r>
        <w:rPr>
          <w:rFonts w:ascii="Times New Roman" w:eastAsia="Times New Roman" w:hAnsi="Times New Roman" w:cs="Times New Roman"/>
          <w:sz w:val="24"/>
          <w:szCs w:val="24"/>
          <w:highlight w:val="white"/>
        </w:rPr>
        <w:t xml:space="preserve">Tichenor, P. J., Donohue, G. A., &amp; Olien, C. N. (1970). Mass media flow and differential growth in knowledge. </w:t>
      </w:r>
      <w:r>
        <w:rPr>
          <w:rFonts w:ascii="Times New Roman" w:eastAsia="Times New Roman" w:hAnsi="Times New Roman" w:cs="Times New Roman"/>
          <w:i/>
          <w:sz w:val="24"/>
          <w:szCs w:val="24"/>
          <w:highlight w:val="white"/>
        </w:rPr>
        <w:t>Public Opinion Quarterly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34</w:t>
      </w:r>
      <w:r>
        <w:rPr>
          <w:rFonts w:ascii="Times New Roman" w:eastAsia="Times New Roman" w:hAnsi="Times New Roman" w:cs="Times New Roman"/>
          <w:sz w:val="24"/>
          <w:szCs w:val="24"/>
          <w:highlight w:val="white"/>
        </w:rPr>
        <w:t>(2), 159-170.</w:t>
      </w:r>
      <w:r>
        <w:rPr>
          <w:rFonts w:ascii="Times New Roman" w:eastAsia="Times New Roman" w:hAnsi="Times New Roman" w:cs="Times New Roman"/>
          <w:sz w:val="24"/>
          <w:szCs w:val="24"/>
        </w:rPr>
        <w:t xml:space="preserve"> https://doi.org/10.1086/267786</w:t>
      </w:r>
    </w:p>
    <w:p w14:paraId="6A293B1F"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Trexler, C. J., Johnson, T., &amp; Heinze, K. (2000). Elementary and middle school teacher ideas about the agri-food system and their evaluation of agri-system stakeholders’ suggestions for education. </w:t>
      </w:r>
      <w:r>
        <w:rPr>
          <w:rFonts w:ascii="Times New Roman" w:eastAsia="Times New Roman" w:hAnsi="Times New Roman" w:cs="Times New Roman"/>
          <w:i/>
          <w:sz w:val="24"/>
          <w:szCs w:val="24"/>
          <w:highlight w:val="white"/>
        </w:rPr>
        <w:t>Journal of Agricultural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41</w:t>
      </w:r>
      <w:r>
        <w:rPr>
          <w:rFonts w:ascii="Times New Roman" w:eastAsia="Times New Roman" w:hAnsi="Times New Roman" w:cs="Times New Roman"/>
          <w:sz w:val="24"/>
          <w:szCs w:val="24"/>
          <w:highlight w:val="white"/>
        </w:rPr>
        <w:t>(1), 30-38. https://doi.org/10.5032/jae.2000.01030</w:t>
      </w:r>
    </w:p>
    <w:p w14:paraId="4ACE1211" w14:textId="2985B8CF" w:rsidR="00DF4075" w:rsidRPr="00D34CD9" w:rsidRDefault="00E948F2" w:rsidP="00D34CD9">
      <w:pPr>
        <w:spacing w:before="120" w:after="120"/>
        <w:ind w:left="720" w:hanging="720"/>
        <w:rPr>
          <w:i/>
          <w:lang w:val="en-US"/>
        </w:rPr>
      </w:pPr>
      <w:r>
        <w:rPr>
          <w:rFonts w:ascii="Times New Roman" w:eastAsia="Times New Roman" w:hAnsi="Times New Roman" w:cs="Times New Roman"/>
          <w:sz w:val="24"/>
          <w:szCs w:val="24"/>
        </w:rPr>
        <w:t>Virginia Tech. (202</w:t>
      </w:r>
      <w:r w:rsidRPr="00D34CD9">
        <w:rPr>
          <w:rFonts w:ascii="Times New Roman" w:eastAsia="Times New Roman" w:hAnsi="Times New Roman" w:cs="Times New Roman"/>
          <w:sz w:val="24"/>
          <w:szCs w:val="24"/>
        </w:rPr>
        <w:t xml:space="preserve">5a). </w:t>
      </w:r>
      <w:r w:rsidR="00D34CD9" w:rsidRPr="00D34CD9">
        <w:rPr>
          <w:rFonts w:ascii="Times New Roman" w:hAnsi="Times New Roman" w:cs="Times New Roman"/>
          <w:i/>
          <w:sz w:val="24"/>
          <w:szCs w:val="24"/>
          <w:lang w:val="en-US"/>
        </w:rPr>
        <w:t>Agricultural Education Teacher Licensure</w:t>
      </w:r>
      <w:r w:rsidRPr="00D34CD9">
        <w:rPr>
          <w:rFonts w:ascii="Times New Roman" w:eastAsia="Times New Roman" w:hAnsi="Times New Roman" w:cs="Times New Roman"/>
          <w:sz w:val="24"/>
          <w:szCs w:val="24"/>
        </w:rPr>
        <w:t>.</w:t>
      </w:r>
      <w:r w:rsidR="00D34CD9">
        <w:rPr>
          <w:rFonts w:ascii="Times New Roman" w:eastAsia="Times New Roman" w:hAnsi="Times New Roman" w:cs="Times New Roman"/>
          <w:sz w:val="24"/>
          <w:szCs w:val="24"/>
        </w:rPr>
        <w:t xml:space="preserve"> </w:t>
      </w:r>
      <w:r w:rsidR="00D34CD9" w:rsidRPr="00D34CD9">
        <w:rPr>
          <w:rFonts w:ascii="Times New Roman" w:eastAsia="Times New Roman" w:hAnsi="Times New Roman" w:cs="Times New Roman"/>
          <w:sz w:val="24"/>
          <w:szCs w:val="24"/>
        </w:rPr>
        <w:t>https://www.alce.vt.edu/student-info/graduate/teacher-licensure.html</w:t>
      </w:r>
    </w:p>
    <w:p w14:paraId="5E97EF0A" w14:textId="594AE504" w:rsidR="00DF4075" w:rsidRDefault="00E948F2" w:rsidP="00E948F2">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Virginia Tech. (2025b). </w:t>
      </w:r>
      <w:r w:rsidR="00D34CD9">
        <w:rPr>
          <w:rFonts w:ascii="Times New Roman" w:eastAsia="Times New Roman" w:hAnsi="Times New Roman" w:cs="Times New Roman"/>
          <w:i/>
          <w:sz w:val="24"/>
          <w:szCs w:val="24"/>
        </w:rPr>
        <w:t>Governor’s School for Agriculture</w:t>
      </w:r>
      <w:r>
        <w:rPr>
          <w:rFonts w:ascii="Times New Roman" w:eastAsia="Times New Roman" w:hAnsi="Times New Roman" w:cs="Times New Roman"/>
          <w:sz w:val="24"/>
          <w:szCs w:val="24"/>
        </w:rPr>
        <w:t xml:space="preserve">. </w:t>
      </w:r>
      <w:r w:rsidRPr="00E948F2">
        <w:rPr>
          <w:rFonts w:ascii="Times New Roman" w:eastAsia="Times New Roman" w:hAnsi="Times New Roman" w:cs="Times New Roman"/>
          <w:sz w:val="24"/>
          <w:szCs w:val="24"/>
        </w:rPr>
        <w:t>https://www.alce.vt.edu/signature-programs/governors-ag-school.html</w:t>
      </w:r>
    </w:p>
    <w:p w14:paraId="05BA3CCF" w14:textId="77777777" w:rsidR="00DF4075" w:rsidRDefault="00000000">
      <w:pPr>
        <w:spacing w:before="120" w:after="12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Vallera, F. L., &amp; Bodzin, A. M. (2016). Knowledge, skills, or attitudes/beliefs: the contexts of agricultural literacy in upper-elementary science curricula. </w:t>
      </w:r>
      <w:r>
        <w:rPr>
          <w:rFonts w:ascii="Times New Roman" w:eastAsia="Times New Roman" w:hAnsi="Times New Roman" w:cs="Times New Roman"/>
          <w:i/>
          <w:sz w:val="24"/>
          <w:szCs w:val="24"/>
          <w:highlight w:val="white"/>
        </w:rPr>
        <w:t>Journal of Agricultural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57</w:t>
      </w:r>
      <w:r>
        <w:rPr>
          <w:rFonts w:ascii="Times New Roman" w:eastAsia="Times New Roman" w:hAnsi="Times New Roman" w:cs="Times New Roman"/>
          <w:sz w:val="24"/>
          <w:szCs w:val="24"/>
          <w:highlight w:val="white"/>
        </w:rPr>
        <w:t>(4), 101-117. https://doi.org/10.5032/jae.2016.04101</w:t>
      </w:r>
    </w:p>
    <w:p w14:paraId="54BB936F" w14:textId="77777777" w:rsidR="00DF4075" w:rsidRDefault="00000000">
      <w:pPr>
        <w:spacing w:before="120" w:after="120" w:line="240" w:lineRule="auto"/>
        <w:ind w:left="720" w:hanging="720"/>
        <w:rPr>
          <w:rFonts w:ascii="Times New Roman" w:eastAsia="Times New Roman" w:hAnsi="Times New Roman" w:cs="Times New Roman"/>
        </w:rPr>
      </w:pPr>
      <w:r>
        <w:rPr>
          <w:rFonts w:ascii="Times New Roman" w:eastAsia="Times New Roman" w:hAnsi="Times New Roman" w:cs="Times New Roman"/>
          <w:sz w:val="24"/>
          <w:szCs w:val="24"/>
          <w:highlight w:val="white"/>
        </w:rPr>
        <w:t xml:space="preserve">Wirz, D. S., de León, E., Adam, S., &amp; Makhortykh, M. (2025). Tracing knowledge gaps: Investigating the influence of education on news exposure and knowledge using digital trace data. </w:t>
      </w:r>
      <w:r>
        <w:rPr>
          <w:rFonts w:ascii="Times New Roman" w:eastAsia="Times New Roman" w:hAnsi="Times New Roman" w:cs="Times New Roman"/>
          <w:i/>
          <w:sz w:val="24"/>
          <w:szCs w:val="24"/>
          <w:highlight w:val="white"/>
        </w:rPr>
        <w:t>The International Journal of Press/Politics</w:t>
      </w:r>
      <w:r>
        <w:rPr>
          <w:rFonts w:ascii="Times New Roman" w:eastAsia="Times New Roman" w:hAnsi="Times New Roman" w:cs="Times New Roman"/>
          <w:sz w:val="24"/>
          <w:szCs w:val="24"/>
          <w:highlight w:val="white"/>
        </w:rPr>
        <w:t>, http://doi.org/19401612251335372</w:t>
      </w:r>
    </w:p>
    <w:sectPr w:rsidR="00DF4075">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54726" w14:textId="77777777" w:rsidR="00B165EF" w:rsidRDefault="00B165EF">
      <w:pPr>
        <w:spacing w:line="240" w:lineRule="auto"/>
      </w:pPr>
      <w:r>
        <w:separator/>
      </w:r>
    </w:p>
  </w:endnote>
  <w:endnote w:type="continuationSeparator" w:id="0">
    <w:p w14:paraId="53EBCBE3" w14:textId="77777777" w:rsidR="00B165EF" w:rsidRDefault="00B165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B757" w14:textId="77777777" w:rsidR="00DF407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FE7CF4">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7A2FA" w14:textId="77777777" w:rsidR="00B165EF" w:rsidRDefault="00B165EF">
      <w:pPr>
        <w:spacing w:line="240" w:lineRule="auto"/>
      </w:pPr>
      <w:r>
        <w:separator/>
      </w:r>
    </w:p>
  </w:footnote>
  <w:footnote w:type="continuationSeparator" w:id="0">
    <w:p w14:paraId="7137DF5C" w14:textId="77777777" w:rsidR="00B165EF" w:rsidRDefault="00B165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A87A7" w14:textId="6D3C3ABC" w:rsidR="00DF4075" w:rsidRDefault="00680854" w:rsidP="00680854">
    <w:pPr>
      <w:rPr>
        <w:rFonts w:ascii="Times New Roman" w:eastAsia="Times New Roman" w:hAnsi="Times New Roman" w:cs="Times New Roman"/>
        <w:sz w:val="24"/>
        <w:szCs w:val="24"/>
      </w:rPr>
    </w:pPr>
    <w:r w:rsidRPr="00680854">
      <w:rPr>
        <w:rFonts w:ascii="Times New Roman" w:eastAsia="Times New Roman" w:hAnsi="Times New Roman" w:cs="Times New Roman"/>
        <w:sz w:val="24"/>
        <w:szCs w:val="24"/>
      </w:rPr>
      <w:t>Extension Education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075"/>
    <w:rsid w:val="00062233"/>
    <w:rsid w:val="000773F1"/>
    <w:rsid w:val="001A12DB"/>
    <w:rsid w:val="00294CE5"/>
    <w:rsid w:val="00320B2F"/>
    <w:rsid w:val="004B5A9D"/>
    <w:rsid w:val="00680854"/>
    <w:rsid w:val="007D62BF"/>
    <w:rsid w:val="00951F2D"/>
    <w:rsid w:val="009B2BB5"/>
    <w:rsid w:val="009C007F"/>
    <w:rsid w:val="00B165EF"/>
    <w:rsid w:val="00C013A5"/>
    <w:rsid w:val="00C15F7F"/>
    <w:rsid w:val="00C90F4A"/>
    <w:rsid w:val="00CB7A7B"/>
    <w:rsid w:val="00D34CD9"/>
    <w:rsid w:val="00DF4075"/>
    <w:rsid w:val="00E948F2"/>
    <w:rsid w:val="00F24004"/>
    <w:rsid w:val="00F6492C"/>
    <w:rsid w:val="00FE7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2703D7"/>
  <w15:docId w15:val="{A8C10DCE-B68C-4021-90D8-51776B83C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240" w:lineRule="auto"/>
      <w:jc w:val="center"/>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240" w:after="240" w:line="240" w:lineRule="auto"/>
      <w:jc w:val="center"/>
    </w:pPr>
    <w:rPr>
      <w:rFonts w:ascii="Times New Roman" w:eastAsia="Times New Roman" w:hAnsi="Times New Roman" w:cs="Times New Roman"/>
      <w:b/>
      <w:sz w:val="24"/>
      <w:szCs w:val="24"/>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680854"/>
    <w:pPr>
      <w:tabs>
        <w:tab w:val="center" w:pos="4680"/>
        <w:tab w:val="right" w:pos="9360"/>
      </w:tabs>
      <w:spacing w:line="240" w:lineRule="auto"/>
    </w:pPr>
  </w:style>
  <w:style w:type="character" w:customStyle="1" w:styleId="HeaderChar">
    <w:name w:val="Header Char"/>
    <w:basedOn w:val="DefaultParagraphFont"/>
    <w:link w:val="Header"/>
    <w:uiPriority w:val="99"/>
    <w:rsid w:val="00680854"/>
  </w:style>
  <w:style w:type="paragraph" w:styleId="Footer">
    <w:name w:val="footer"/>
    <w:basedOn w:val="Normal"/>
    <w:link w:val="FooterChar"/>
    <w:uiPriority w:val="99"/>
    <w:unhideWhenUsed/>
    <w:rsid w:val="00680854"/>
    <w:pPr>
      <w:tabs>
        <w:tab w:val="center" w:pos="4680"/>
        <w:tab w:val="right" w:pos="9360"/>
      </w:tabs>
      <w:spacing w:line="240" w:lineRule="auto"/>
    </w:pPr>
  </w:style>
  <w:style w:type="character" w:customStyle="1" w:styleId="FooterChar">
    <w:name w:val="Footer Char"/>
    <w:basedOn w:val="DefaultParagraphFont"/>
    <w:link w:val="Footer"/>
    <w:uiPriority w:val="99"/>
    <w:rsid w:val="00680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sce.3730670213"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968</TotalTime>
  <Pages>8</Pages>
  <Words>3834</Words>
  <Characters>21857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Milliken, Brett</cp:lastModifiedBy>
  <cp:revision>13</cp:revision>
  <dcterms:created xsi:type="dcterms:W3CDTF">2025-10-14T02:11:00Z</dcterms:created>
  <dcterms:modified xsi:type="dcterms:W3CDTF">2026-01-08T17:14:00Z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f3544d60-7401-4691-b5c7-8a06564cd8f7</vt:lpwstr>
  </property>
</Properties>
</file>