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2B9EB729" w:rsidR="00F812F0" w:rsidRDefault="00000000">
      <w:pPr>
        <w:pStyle w:val="Heading1"/>
        <w:spacing w:before="240" w:after="240"/>
        <w:rPr>
          <w:shd w:val="clear" w:color="auto" w:fill="auto"/>
        </w:rPr>
      </w:pPr>
      <w:bookmarkStart w:id="0" w:name="_d25gvo230vad" w:colFirst="0" w:colLast="0"/>
      <w:bookmarkEnd w:id="0"/>
      <w:r>
        <w:rPr>
          <w:shd w:val="clear" w:color="auto" w:fill="auto"/>
        </w:rPr>
        <w:t xml:space="preserve">Developing Global Leaders: Exploring High School Students’ Attitudes and Beliefs Toward International Agricultural Concepts at </w:t>
      </w:r>
      <w:r w:rsidR="00671206">
        <w:rPr>
          <w:shd w:val="clear" w:color="auto" w:fill="auto"/>
        </w:rPr>
        <w:t>V</w:t>
      </w:r>
      <w:r w:rsidR="005C462D">
        <w:rPr>
          <w:shd w:val="clear" w:color="auto" w:fill="auto"/>
        </w:rPr>
        <w:t xml:space="preserve">irginia </w:t>
      </w:r>
      <w:r w:rsidR="00671206">
        <w:rPr>
          <w:shd w:val="clear" w:color="auto" w:fill="auto"/>
        </w:rPr>
        <w:t>G</w:t>
      </w:r>
      <w:r w:rsidR="005C462D">
        <w:rPr>
          <w:shd w:val="clear" w:color="auto" w:fill="auto"/>
        </w:rPr>
        <w:t xml:space="preserve">overnor’s </w:t>
      </w:r>
      <w:r w:rsidR="00671206">
        <w:rPr>
          <w:shd w:val="clear" w:color="auto" w:fill="auto"/>
        </w:rPr>
        <w:t>S</w:t>
      </w:r>
      <w:r w:rsidR="005C462D">
        <w:rPr>
          <w:shd w:val="clear" w:color="auto" w:fill="auto"/>
        </w:rPr>
        <w:t>chool for Agriculture</w:t>
      </w:r>
    </w:p>
    <w:p w14:paraId="1944537E" w14:textId="77777777" w:rsidR="001C182B" w:rsidRDefault="001C182B" w:rsidP="001C182B">
      <w:pPr>
        <w:jc w:val="center"/>
        <w:rPr>
          <w:rFonts w:ascii="Times New Roman" w:hAnsi="Times New Roman" w:cs="Times New Roman"/>
          <w:sz w:val="24"/>
          <w:szCs w:val="24"/>
        </w:rPr>
      </w:pPr>
      <w:bookmarkStart w:id="1" w:name="_gjdgxs" w:colFirst="0" w:colLast="0"/>
      <w:bookmarkEnd w:id="1"/>
      <w:r>
        <w:rPr>
          <w:rFonts w:ascii="Times New Roman" w:hAnsi="Times New Roman" w:cs="Times New Roman"/>
          <w:sz w:val="24"/>
          <w:szCs w:val="24"/>
        </w:rPr>
        <w:t>D. Brett Milliken, Virginia Tech</w:t>
      </w:r>
    </w:p>
    <w:p w14:paraId="6D43CD41" w14:textId="77777777" w:rsidR="001C182B" w:rsidRDefault="001C182B" w:rsidP="001C182B">
      <w:pPr>
        <w:jc w:val="center"/>
        <w:rPr>
          <w:rFonts w:ascii="Times New Roman" w:hAnsi="Times New Roman" w:cs="Times New Roman"/>
          <w:sz w:val="24"/>
          <w:szCs w:val="24"/>
        </w:rPr>
      </w:pPr>
      <w:r w:rsidRPr="00240F3C">
        <w:rPr>
          <w:rFonts w:ascii="Times New Roman" w:hAnsi="Times New Roman" w:cs="Times New Roman"/>
          <w:sz w:val="24"/>
          <w:szCs w:val="24"/>
        </w:rPr>
        <w:t xml:space="preserve">Israel </w:t>
      </w:r>
      <w:proofErr w:type="spellStart"/>
      <w:r w:rsidRPr="00240F3C">
        <w:rPr>
          <w:rFonts w:ascii="Times New Roman" w:hAnsi="Times New Roman" w:cs="Times New Roman"/>
          <w:sz w:val="24"/>
          <w:szCs w:val="24"/>
        </w:rPr>
        <w:t>Oyedare</w:t>
      </w:r>
      <w:proofErr w:type="spellEnd"/>
      <w:r>
        <w:rPr>
          <w:rFonts w:ascii="Times New Roman" w:hAnsi="Times New Roman" w:cs="Times New Roman"/>
          <w:sz w:val="24"/>
          <w:szCs w:val="24"/>
        </w:rPr>
        <w:t>, Virginia Tech</w:t>
      </w:r>
    </w:p>
    <w:p w14:paraId="130DF388" w14:textId="644E1422" w:rsidR="001C182B" w:rsidRPr="001C182B" w:rsidRDefault="001C182B" w:rsidP="001C182B">
      <w:pPr>
        <w:jc w:val="center"/>
        <w:rPr>
          <w:rFonts w:ascii="Times New Roman" w:hAnsi="Times New Roman" w:cs="Times New Roman"/>
          <w:sz w:val="24"/>
          <w:szCs w:val="24"/>
        </w:rPr>
      </w:pPr>
      <w:r w:rsidRPr="00240F3C">
        <w:rPr>
          <w:rFonts w:ascii="Times New Roman" w:hAnsi="Times New Roman" w:cs="Times New Roman"/>
          <w:sz w:val="24"/>
          <w:szCs w:val="24"/>
        </w:rPr>
        <w:t>Maggie Morris</w:t>
      </w:r>
      <w:r>
        <w:rPr>
          <w:rFonts w:ascii="Times New Roman" w:hAnsi="Times New Roman" w:cs="Times New Roman"/>
          <w:sz w:val="24"/>
          <w:szCs w:val="24"/>
        </w:rPr>
        <w:t>, Virginia Tech</w:t>
      </w:r>
    </w:p>
    <w:p w14:paraId="00000002" w14:textId="77777777" w:rsidR="00F812F0" w:rsidRDefault="00000000">
      <w:pPr>
        <w:pStyle w:val="Heading2"/>
        <w:spacing w:before="240" w:after="240"/>
      </w:pPr>
      <w:r>
        <w:t>Introduction</w:t>
      </w:r>
    </w:p>
    <w:p w14:paraId="00000003" w14:textId="77777777" w:rsidR="00F812F0" w:rsidRDefault="00000000">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is a need to feed an ever-growing global population, which faces challenges such as humanitarian crises, natural disasters (National Research Council, 2009), drought, displacement, and armed conflict (Brück &amp; </w:t>
      </w:r>
      <w:proofErr w:type="spellStart"/>
      <w:r>
        <w:rPr>
          <w:rFonts w:ascii="Times New Roman" w:eastAsia="Times New Roman" w:hAnsi="Times New Roman" w:cs="Times New Roman"/>
          <w:sz w:val="24"/>
          <w:szCs w:val="24"/>
        </w:rPr>
        <w:t>d’Errico</w:t>
      </w:r>
      <w:proofErr w:type="spellEnd"/>
      <w:r>
        <w:rPr>
          <w:rFonts w:ascii="Times New Roman" w:eastAsia="Times New Roman" w:hAnsi="Times New Roman" w:cs="Times New Roman"/>
          <w:sz w:val="24"/>
          <w:szCs w:val="24"/>
        </w:rPr>
        <w:t>, 2019). These challenges can lead to increased food insecurity, and the broader field of agriculture (and by extension, agricultural adjacent disciplines) finds itself poised to help solve complex and nuanced problems (Heinert et al., 2020). Institutions such as the Food and Agriculture Organization of the United Nations (FOA) and the United Nations Sustainable Development Goals (SDGs) call for “transformative shifts, integrated approaches and solutions to structural barriers to sustainable development and it recognizes the fundamental role played by sustainable agriculture in the connection between people, planet and prosperity” (FAO, 2021, p. 7).</w:t>
      </w:r>
    </w:p>
    <w:p w14:paraId="00000004" w14:textId="77777777" w:rsidR="00F812F0" w:rsidRDefault="00000000">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However, to achieve the SDGs and meet 21st-century global challenges, today’s students need to be equipped with skills and knowledge related to solving complex problems, both in teams and individually. They also require interpersonal and civic competencies, cultural awareness, global citizenship, and the ability to operate in a global context (Malik, 2018). Given the interconnectedness of such challenges, it is vital to prepare the next generation of citizens and leaders with the skills to address them, particularly as agriculture and its allied disciplines continue to serve as a central solution.</w:t>
      </w:r>
    </w:p>
    <w:p w14:paraId="00000005" w14:textId="73E6DCD0" w:rsidR="00F812F0" w:rsidRDefault="00000000">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succeed in addressing global agriculture challenges, one must identify the relationships of various systems, governments, cultures, and societies in which their agricultural </w:t>
      </w:r>
      <w:r w:rsidR="007463E3">
        <w:rPr>
          <w:rFonts w:ascii="Times New Roman" w:eastAsia="Times New Roman" w:hAnsi="Times New Roman" w:cs="Times New Roman"/>
          <w:sz w:val="24"/>
          <w:szCs w:val="24"/>
        </w:rPr>
        <w:t>systems function</w:t>
      </w:r>
      <w:r>
        <w:rPr>
          <w:rFonts w:ascii="Times New Roman" w:eastAsia="Times New Roman" w:hAnsi="Times New Roman" w:cs="Times New Roman"/>
          <w:sz w:val="24"/>
          <w:szCs w:val="24"/>
        </w:rPr>
        <w:t xml:space="preserve"> (Akpan &amp; Martin, 1996). This means teaching students to think globally and consider different cultural perspectives, which helps them succeed in today’s world (Crawford &amp; Kirby, 2008). While equipping students with global competencies is crucial, understanding how young people currently perceive agriculture, including in international contexts, provides critical insight into designing educational programs.</w:t>
      </w:r>
    </w:p>
    <w:p w14:paraId="303DA534" w14:textId="647CCED3" w:rsidR="00E80F7A" w:rsidRPr="00E80F7A" w:rsidRDefault="00E80F7A">
      <w:pPr>
        <w:spacing w:before="240" w:after="240" w:line="240" w:lineRule="auto"/>
        <w:ind w:firstLine="720"/>
        <w:rPr>
          <w:rFonts w:ascii="Times New Roman" w:eastAsia="Times New Roman" w:hAnsi="Times New Roman" w:cs="Times New Roman"/>
          <w:sz w:val="24"/>
          <w:szCs w:val="24"/>
        </w:rPr>
      </w:pPr>
      <w:r w:rsidRPr="00E80F7A">
        <w:rPr>
          <w:rFonts w:ascii="Times New Roman" w:eastAsia="Times New Roman" w:hAnsi="Times New Roman" w:cs="Times New Roman"/>
          <w:sz w:val="24"/>
          <w:szCs w:val="24"/>
        </w:rPr>
        <w:t xml:space="preserve">Many studies have explored youth attitudes toward international agriculture (Alabi et al., 2019; </w:t>
      </w:r>
      <w:proofErr w:type="spellStart"/>
      <w:r w:rsidRPr="00E80F7A">
        <w:rPr>
          <w:rFonts w:ascii="Times New Roman" w:eastAsia="Times New Roman" w:hAnsi="Times New Roman" w:cs="Times New Roman"/>
          <w:sz w:val="24"/>
          <w:szCs w:val="24"/>
        </w:rPr>
        <w:t>Chinchmalatpure</w:t>
      </w:r>
      <w:proofErr w:type="spellEnd"/>
      <w:r w:rsidRPr="00E80F7A">
        <w:rPr>
          <w:rFonts w:ascii="Times New Roman" w:eastAsia="Times New Roman" w:hAnsi="Times New Roman" w:cs="Times New Roman"/>
          <w:sz w:val="24"/>
          <w:szCs w:val="24"/>
        </w:rPr>
        <w:t xml:space="preserve"> &amp; </w:t>
      </w:r>
      <w:proofErr w:type="spellStart"/>
      <w:r w:rsidRPr="00E80F7A">
        <w:rPr>
          <w:rFonts w:ascii="Times New Roman" w:eastAsia="Times New Roman" w:hAnsi="Times New Roman" w:cs="Times New Roman"/>
          <w:sz w:val="24"/>
          <w:szCs w:val="24"/>
        </w:rPr>
        <w:t>Koshti</w:t>
      </w:r>
      <w:proofErr w:type="spellEnd"/>
      <w:r w:rsidRPr="00E80F7A">
        <w:rPr>
          <w:rFonts w:ascii="Times New Roman" w:eastAsia="Times New Roman" w:hAnsi="Times New Roman" w:cs="Times New Roman"/>
          <w:sz w:val="24"/>
          <w:szCs w:val="24"/>
        </w:rPr>
        <w:t>, 2021; Conner et al., 2017; Elliot &amp; Yannik, 2002; Radhakrishna et al., 2003; Wingenbach et al., 2003). More recently, research has emphasized youth in rural and underdeveloped areas, where structural challenges contribute to heightened vulnerability in attitudes and dispositions toward agriculture (</w:t>
      </w:r>
      <w:proofErr w:type="spellStart"/>
      <w:r w:rsidRPr="00E80F7A">
        <w:rPr>
          <w:rFonts w:ascii="Times New Roman" w:eastAsia="Times New Roman" w:hAnsi="Times New Roman" w:cs="Times New Roman"/>
          <w:sz w:val="24"/>
          <w:szCs w:val="24"/>
        </w:rPr>
        <w:t>Chinchmalatpure</w:t>
      </w:r>
      <w:proofErr w:type="spellEnd"/>
      <w:r w:rsidRPr="00E80F7A">
        <w:rPr>
          <w:rFonts w:ascii="Times New Roman" w:eastAsia="Times New Roman" w:hAnsi="Times New Roman" w:cs="Times New Roman"/>
          <w:sz w:val="24"/>
          <w:szCs w:val="24"/>
        </w:rPr>
        <w:t xml:space="preserve"> &amp; </w:t>
      </w:r>
      <w:proofErr w:type="spellStart"/>
      <w:r w:rsidRPr="00E80F7A">
        <w:rPr>
          <w:rFonts w:ascii="Times New Roman" w:eastAsia="Times New Roman" w:hAnsi="Times New Roman" w:cs="Times New Roman"/>
          <w:sz w:val="24"/>
          <w:szCs w:val="24"/>
        </w:rPr>
        <w:t>Koshti</w:t>
      </w:r>
      <w:proofErr w:type="spellEnd"/>
      <w:r w:rsidRPr="00E80F7A">
        <w:rPr>
          <w:rFonts w:ascii="Times New Roman" w:eastAsia="Times New Roman" w:hAnsi="Times New Roman" w:cs="Times New Roman"/>
          <w:sz w:val="24"/>
          <w:szCs w:val="24"/>
        </w:rPr>
        <w:t>, 2021). Broader contextual forces</w:t>
      </w:r>
      <w:r>
        <w:rPr>
          <w:rFonts w:ascii="Times New Roman" w:eastAsia="Times New Roman" w:hAnsi="Times New Roman" w:cs="Times New Roman"/>
          <w:sz w:val="24"/>
          <w:szCs w:val="24"/>
        </w:rPr>
        <w:t xml:space="preserve">, </w:t>
      </w:r>
      <w:r w:rsidRPr="00E80F7A">
        <w:rPr>
          <w:rFonts w:ascii="Times New Roman" w:eastAsia="Times New Roman" w:hAnsi="Times New Roman" w:cs="Times New Roman"/>
          <w:sz w:val="24"/>
          <w:szCs w:val="24"/>
        </w:rPr>
        <w:t>including globalization, the COVID-19 pandemic, educational systems, and social media</w:t>
      </w:r>
      <w:r>
        <w:rPr>
          <w:rFonts w:ascii="Times New Roman" w:eastAsia="Times New Roman" w:hAnsi="Times New Roman" w:cs="Times New Roman"/>
          <w:sz w:val="24"/>
          <w:szCs w:val="24"/>
        </w:rPr>
        <w:t xml:space="preserve">, </w:t>
      </w:r>
      <w:r w:rsidRPr="00E80F7A">
        <w:rPr>
          <w:rFonts w:ascii="Times New Roman" w:eastAsia="Times New Roman" w:hAnsi="Times New Roman" w:cs="Times New Roman"/>
          <w:sz w:val="24"/>
          <w:szCs w:val="24"/>
        </w:rPr>
        <w:t>have also been identified as influential determinants shaping youth perceptions of international agriculture (</w:t>
      </w:r>
      <w:proofErr w:type="spellStart"/>
      <w:r w:rsidRPr="00E80F7A">
        <w:rPr>
          <w:rFonts w:ascii="Times New Roman" w:eastAsia="Times New Roman" w:hAnsi="Times New Roman" w:cs="Times New Roman"/>
          <w:sz w:val="24"/>
          <w:szCs w:val="24"/>
        </w:rPr>
        <w:t>Adenubi</w:t>
      </w:r>
      <w:proofErr w:type="spellEnd"/>
      <w:r w:rsidRPr="00E80F7A">
        <w:rPr>
          <w:rFonts w:ascii="Times New Roman" w:eastAsia="Times New Roman" w:hAnsi="Times New Roman" w:cs="Times New Roman"/>
          <w:sz w:val="24"/>
          <w:szCs w:val="24"/>
        </w:rPr>
        <w:t xml:space="preserve"> et al., 2021). Collectively, these findings underscore the need to incorporate international agricultural education into youth programming in ways that promote resilience, knowledge development, and positive attitudes. </w:t>
      </w:r>
    </w:p>
    <w:p w14:paraId="00000007" w14:textId="12ADCA7C" w:rsidR="00F812F0" w:rsidRDefault="00000000">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increasing political unrest, international conflict, and climate change in the agricultural sector have resulted in an urgent need to provide youth with information on agricultural policies, processes, and programs across various cultures, as well as their impact on their home countries (Ortiz et al., 2021). Notably, young people at the forefront of transforming the agricultural sector are faced with the effects of these issues (</w:t>
      </w:r>
      <w:proofErr w:type="spellStart"/>
      <w:r>
        <w:rPr>
          <w:rFonts w:ascii="Times New Roman" w:eastAsia="Times New Roman" w:hAnsi="Times New Roman" w:cs="Times New Roman"/>
          <w:sz w:val="24"/>
          <w:szCs w:val="24"/>
        </w:rPr>
        <w:t>Huambachano</w:t>
      </w:r>
      <w:proofErr w:type="spellEnd"/>
      <w:r>
        <w:rPr>
          <w:rFonts w:ascii="Times New Roman" w:eastAsia="Times New Roman" w:hAnsi="Times New Roman" w:cs="Times New Roman"/>
          <w:sz w:val="24"/>
          <w:szCs w:val="24"/>
        </w:rPr>
        <w:t xml:space="preserve"> et al., 2022). Thus, schools and organizations have developed educational models and programs to foster the knowledge of youth in these critical areas, while simultaneously attempting to positively influence their attitudes towards international agriculture (Geza et al., 2021). One such program seeking to address these needs is the </w:t>
      </w:r>
      <w:r w:rsidR="007463E3">
        <w:rPr>
          <w:rFonts w:ascii="Times New Roman" w:eastAsia="Times New Roman" w:hAnsi="Times New Roman" w:cs="Times New Roman"/>
          <w:sz w:val="24"/>
          <w:szCs w:val="24"/>
        </w:rPr>
        <w:t>Virginia Governor’s School for Agriculture</w:t>
      </w:r>
      <w:r>
        <w:rPr>
          <w:rFonts w:ascii="Times New Roman" w:eastAsia="Times New Roman" w:hAnsi="Times New Roman" w:cs="Times New Roman"/>
          <w:sz w:val="24"/>
          <w:szCs w:val="24"/>
        </w:rPr>
        <w:t xml:space="preserve"> (</w:t>
      </w:r>
      <w:r w:rsidR="00671206">
        <w:rPr>
          <w:rFonts w:ascii="Times New Roman" w:eastAsia="Times New Roman" w:hAnsi="Times New Roman" w:cs="Times New Roman"/>
          <w:sz w:val="24"/>
          <w:szCs w:val="24"/>
        </w:rPr>
        <w:t>VGSA</w:t>
      </w:r>
      <w:r>
        <w:rPr>
          <w:rFonts w:ascii="Times New Roman" w:eastAsia="Times New Roman" w:hAnsi="Times New Roman" w:cs="Times New Roman"/>
          <w:sz w:val="24"/>
          <w:szCs w:val="24"/>
        </w:rPr>
        <w:t>), which demonstrates how a transdisciplinary global approach can be infused into youth agricultural education programming.</w:t>
      </w:r>
    </w:p>
    <w:p w14:paraId="00000008" w14:textId="3322D4F0" w:rsidR="00F812F0" w:rsidRDefault="00000000">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671206">
        <w:rPr>
          <w:rFonts w:ascii="Times New Roman" w:eastAsia="Times New Roman" w:hAnsi="Times New Roman" w:cs="Times New Roman"/>
          <w:sz w:val="24"/>
          <w:szCs w:val="24"/>
        </w:rPr>
        <w:t>VGSA</w:t>
      </w:r>
      <w:r>
        <w:rPr>
          <w:rFonts w:ascii="Times New Roman" w:eastAsia="Times New Roman" w:hAnsi="Times New Roman" w:cs="Times New Roman"/>
          <w:sz w:val="24"/>
          <w:szCs w:val="24"/>
        </w:rPr>
        <w:t xml:space="preserve"> is a month-long summer residential program for gifted and advanced high school students that focuses on the transdisciplinary nature of agriculture and on developing future leaders and scientists for careers in agriculture and agriculturally adjacent disciplines in a global society (</w:t>
      </w:r>
      <w:r w:rsidR="00671206">
        <w:rPr>
          <w:rFonts w:ascii="Times New Roman" w:eastAsia="Times New Roman" w:hAnsi="Times New Roman" w:cs="Times New Roman"/>
          <w:sz w:val="24"/>
          <w:szCs w:val="24"/>
        </w:rPr>
        <w:t>Virginia Tech</w:t>
      </w:r>
      <w:r>
        <w:rPr>
          <w:rFonts w:ascii="Times New Roman" w:eastAsia="Times New Roman" w:hAnsi="Times New Roman" w:cs="Times New Roman"/>
          <w:sz w:val="24"/>
          <w:szCs w:val="24"/>
        </w:rPr>
        <w:t xml:space="preserve">, 2025). Recently, the </w:t>
      </w:r>
      <w:r w:rsidR="00671206">
        <w:rPr>
          <w:rFonts w:ascii="Times New Roman" w:eastAsia="Times New Roman" w:hAnsi="Times New Roman" w:cs="Times New Roman"/>
          <w:sz w:val="24"/>
          <w:szCs w:val="24"/>
        </w:rPr>
        <w:t>VGSA</w:t>
      </w:r>
      <w:r>
        <w:rPr>
          <w:rFonts w:ascii="Times New Roman" w:eastAsia="Times New Roman" w:hAnsi="Times New Roman" w:cs="Times New Roman"/>
          <w:sz w:val="24"/>
          <w:szCs w:val="24"/>
        </w:rPr>
        <w:t xml:space="preserve"> leadership increased its programmatic focus on broadening students’ global perspectives and developing their understanding of international agriculture. The work of </w:t>
      </w:r>
      <w:r w:rsidR="00671206">
        <w:rPr>
          <w:rFonts w:ascii="Times New Roman" w:eastAsia="Times New Roman" w:hAnsi="Times New Roman" w:cs="Times New Roman"/>
          <w:sz w:val="24"/>
          <w:szCs w:val="24"/>
        </w:rPr>
        <w:t>VGSA</w:t>
      </w:r>
      <w:r>
        <w:rPr>
          <w:rFonts w:ascii="Times New Roman" w:eastAsia="Times New Roman" w:hAnsi="Times New Roman" w:cs="Times New Roman"/>
          <w:sz w:val="24"/>
          <w:szCs w:val="24"/>
        </w:rPr>
        <w:t xml:space="preserve"> aligns with numerous studies that have found sensitizing and educating youth on essential topics, such as international agriculture, to be critical for a positive change in attitude (Biancardi et al., 2023; Cohen et al., 2012; Holtz &amp; Twombly, 2007). In the summer of 2024, </w:t>
      </w:r>
      <w:r w:rsidR="00671206">
        <w:rPr>
          <w:rFonts w:ascii="Times New Roman" w:eastAsia="Times New Roman" w:hAnsi="Times New Roman" w:cs="Times New Roman"/>
          <w:sz w:val="24"/>
          <w:szCs w:val="24"/>
        </w:rPr>
        <w:t>VGSA</w:t>
      </w:r>
      <w:r>
        <w:rPr>
          <w:rFonts w:ascii="Times New Roman" w:eastAsia="Times New Roman" w:hAnsi="Times New Roman" w:cs="Times New Roman"/>
          <w:sz w:val="24"/>
          <w:szCs w:val="24"/>
        </w:rPr>
        <w:t xml:space="preserve"> assessed participants' attitudes toward international agriculture to understand what contexts and approaches are best suited for training youth in the field.</w:t>
      </w:r>
    </w:p>
    <w:p w14:paraId="00000009" w14:textId="77777777" w:rsidR="00F812F0" w:rsidRDefault="00000000">
      <w:pPr>
        <w:pStyle w:val="Heading2"/>
        <w:spacing w:before="240" w:after="240"/>
      </w:pPr>
      <w:bookmarkStart w:id="2" w:name="_xemruceilgu" w:colFirst="0" w:colLast="0"/>
      <w:bookmarkEnd w:id="2"/>
      <w:r>
        <w:t>Conceptual Framework</w:t>
      </w:r>
    </w:p>
    <w:p w14:paraId="0000000A" w14:textId="77777777" w:rsidR="00F812F0" w:rsidRDefault="00000000">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for Economic Co-operation and Development’s (OECD)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for International Student Assessment (PISA) created the global competence framework to guide educators and schools in promoting and assessing student knowledge and skills aligned with the SDGs (OECD, 2018). OECD (2018) defines </w:t>
      </w:r>
      <w:r>
        <w:rPr>
          <w:rFonts w:ascii="Times New Roman" w:eastAsia="Times New Roman" w:hAnsi="Times New Roman" w:cs="Times New Roman"/>
          <w:i/>
          <w:sz w:val="24"/>
          <w:szCs w:val="24"/>
        </w:rPr>
        <w:t xml:space="preserve">competence </w:t>
      </w:r>
      <w:r>
        <w:rPr>
          <w:rFonts w:ascii="Times New Roman" w:eastAsia="Times New Roman" w:hAnsi="Times New Roman" w:cs="Times New Roman"/>
          <w:sz w:val="24"/>
          <w:szCs w:val="24"/>
        </w:rPr>
        <w:t xml:space="preserve">as a combination of “knowledge, skills, attitudes, and values successfully applied to face-to-face, virtual, or mediated encounters with people who are perceived to be from a different cultural background, and to individuals’ experiences of global issues” (p. 7). Furthermore, </w:t>
      </w:r>
      <w:r>
        <w:rPr>
          <w:rFonts w:ascii="Times New Roman" w:eastAsia="Times New Roman" w:hAnsi="Times New Roman" w:cs="Times New Roman"/>
          <w:i/>
          <w:sz w:val="24"/>
          <w:szCs w:val="24"/>
        </w:rPr>
        <w:t>global competence</w:t>
      </w:r>
      <w:r>
        <w:rPr>
          <w:rFonts w:ascii="Times New Roman" w:eastAsia="Times New Roman" w:hAnsi="Times New Roman" w:cs="Times New Roman"/>
          <w:sz w:val="24"/>
          <w:szCs w:val="24"/>
        </w:rPr>
        <w:t xml:space="preserve"> refers to the ability to examine and analyze intercultural issues at both local and global levels in ways that enhance understanding and appreciation of others’ diverse worldviews (OECD, 2018). Furthermore, global competence enables students to engage in meaningful, open, and effective dialogue across cultures, thereby contributing to collective well-being and sustainable development.</w:t>
      </w:r>
    </w:p>
    <w:p w14:paraId="0000000B" w14:textId="63405504" w:rsidR="00F812F0" w:rsidRDefault="00000000">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this study, we utilized the Global Competence Framework (OECD, 2018) to explore </w:t>
      </w:r>
      <w:r w:rsidR="00671206">
        <w:rPr>
          <w:rFonts w:ascii="Times New Roman" w:eastAsia="Times New Roman" w:hAnsi="Times New Roman" w:cs="Times New Roman"/>
          <w:sz w:val="24"/>
          <w:szCs w:val="24"/>
        </w:rPr>
        <w:t>VGSA</w:t>
      </w:r>
      <w:r>
        <w:rPr>
          <w:rFonts w:ascii="Times New Roman" w:eastAsia="Times New Roman" w:hAnsi="Times New Roman" w:cs="Times New Roman"/>
          <w:sz w:val="24"/>
          <w:szCs w:val="24"/>
        </w:rPr>
        <w:t xml:space="preserve"> students’ attitudes, beliefs, understanding, and instruction of international agricultural concepts. Looking to the future, students will need to navigate a globally connected world with increasingly complex and transdisciplinary problems. These challenges require a greater capacity to examine issues, understand diverse world views, establish positive interactions with others, and take constructive action for sustainable development (OECD, 2018). </w:t>
      </w:r>
    </w:p>
    <w:p w14:paraId="0000000C" w14:textId="77777777" w:rsidR="00F812F0" w:rsidRDefault="00000000">
      <w:pPr>
        <w:pStyle w:val="Heading2"/>
        <w:spacing w:before="240" w:after="240"/>
      </w:pPr>
      <w:bookmarkStart w:id="3" w:name="_30j0zll" w:colFirst="0" w:colLast="0"/>
      <w:bookmarkEnd w:id="3"/>
      <w:r>
        <w:lastRenderedPageBreak/>
        <w:t>Purpose and Objectives</w:t>
      </w:r>
    </w:p>
    <w:p w14:paraId="0000000D" w14:textId="36B3C431" w:rsidR="00F812F0" w:rsidRDefault="00000000">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purpose of this evaluative study was to help </w:t>
      </w:r>
      <w:r w:rsidR="00671206">
        <w:rPr>
          <w:rFonts w:ascii="Times New Roman" w:eastAsia="Times New Roman" w:hAnsi="Times New Roman" w:cs="Times New Roman"/>
          <w:sz w:val="24"/>
          <w:szCs w:val="24"/>
        </w:rPr>
        <w:t>VGSA</w:t>
      </w:r>
      <w:r>
        <w:rPr>
          <w:rFonts w:ascii="Times New Roman" w:eastAsia="Times New Roman" w:hAnsi="Times New Roman" w:cs="Times New Roman"/>
          <w:sz w:val="24"/>
          <w:szCs w:val="24"/>
        </w:rPr>
        <w:t xml:space="preserve"> leadership gain a deeper understanding of the attitudes and beliefs of the 2024 </w:t>
      </w:r>
      <w:r w:rsidR="00671206">
        <w:rPr>
          <w:rFonts w:ascii="Times New Roman" w:eastAsia="Times New Roman" w:hAnsi="Times New Roman" w:cs="Times New Roman"/>
          <w:sz w:val="24"/>
          <w:szCs w:val="24"/>
        </w:rPr>
        <w:t>VGSA</w:t>
      </w:r>
      <w:r>
        <w:rPr>
          <w:rFonts w:ascii="Times New Roman" w:eastAsia="Times New Roman" w:hAnsi="Times New Roman" w:cs="Times New Roman"/>
          <w:sz w:val="24"/>
          <w:szCs w:val="24"/>
        </w:rPr>
        <w:t xml:space="preserve"> cohort regarding international agricultural concepts. The results from this study will inform program adjustments to align with participants' interests and strengthen efforts to expand global perspectives. Accordingly, the following objectives guided this study:</w:t>
      </w:r>
    </w:p>
    <w:p w14:paraId="0000000E" w14:textId="77777777" w:rsidR="00F812F0" w:rsidRDefault="00000000">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Identify </w:t>
      </w:r>
      <w:proofErr w:type="gramStart"/>
      <w:r>
        <w:rPr>
          <w:rFonts w:ascii="Times New Roman" w:eastAsia="Times New Roman" w:hAnsi="Times New Roman" w:cs="Times New Roman"/>
          <w:sz w:val="24"/>
          <w:szCs w:val="24"/>
        </w:rPr>
        <w:t>student</w:t>
      </w:r>
      <w:proofErr w:type="gramEnd"/>
      <w:r>
        <w:rPr>
          <w:rFonts w:ascii="Times New Roman" w:eastAsia="Times New Roman" w:hAnsi="Times New Roman" w:cs="Times New Roman"/>
          <w:sz w:val="24"/>
          <w:szCs w:val="24"/>
        </w:rPr>
        <w:t xml:space="preserve"> attitudes toward learning international agricultural concepts.</w:t>
      </w:r>
    </w:p>
    <w:p w14:paraId="0000000F" w14:textId="77777777" w:rsidR="00F812F0" w:rsidRDefault="00000000">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Identify student beliefs toward international agriculture concepts.</w:t>
      </w:r>
    </w:p>
    <w:p w14:paraId="00000010" w14:textId="77777777" w:rsidR="00F812F0" w:rsidRDefault="00000000">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Identify </w:t>
      </w:r>
      <w:proofErr w:type="gramStart"/>
      <w:r>
        <w:rPr>
          <w:rFonts w:ascii="Times New Roman" w:eastAsia="Times New Roman" w:hAnsi="Times New Roman" w:cs="Times New Roman"/>
          <w:sz w:val="24"/>
          <w:szCs w:val="24"/>
        </w:rPr>
        <w:t>student</w:t>
      </w:r>
      <w:proofErr w:type="gramEnd"/>
      <w:r>
        <w:rPr>
          <w:rFonts w:ascii="Times New Roman" w:eastAsia="Times New Roman" w:hAnsi="Times New Roman" w:cs="Times New Roman"/>
          <w:sz w:val="24"/>
          <w:szCs w:val="24"/>
        </w:rPr>
        <w:t xml:space="preserve"> understanding of geography in international agriculture concepts.</w:t>
      </w:r>
    </w:p>
    <w:p w14:paraId="00000011" w14:textId="77777777" w:rsidR="00F812F0" w:rsidRDefault="00000000">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Identify student attitudes towards instruction for understanding international agriculture concepts. </w:t>
      </w:r>
    </w:p>
    <w:p w14:paraId="00000012" w14:textId="77777777" w:rsidR="00F812F0" w:rsidRDefault="00000000">
      <w:pPr>
        <w:pStyle w:val="Heading2"/>
        <w:spacing w:before="240" w:after="240"/>
      </w:pPr>
      <w:bookmarkStart w:id="4" w:name="_1fob9te" w:colFirst="0" w:colLast="0"/>
      <w:bookmarkEnd w:id="4"/>
      <w:r>
        <w:t>Methods</w:t>
      </w:r>
    </w:p>
    <w:p w14:paraId="00000013" w14:textId="564125C5" w:rsidR="00F812F0" w:rsidRDefault="00000000">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population for this study was all 100 participants (</w:t>
      </w:r>
      <w:r>
        <w:rPr>
          <w:rFonts w:ascii="Times New Roman" w:eastAsia="Times New Roman" w:hAnsi="Times New Roman" w:cs="Times New Roman"/>
          <w:i/>
          <w:sz w:val="24"/>
          <w:szCs w:val="24"/>
        </w:rPr>
        <w:t xml:space="preserve">n </w:t>
      </w:r>
      <w:r>
        <w:rPr>
          <w:rFonts w:ascii="Times New Roman" w:eastAsia="Times New Roman" w:hAnsi="Times New Roman" w:cs="Times New Roman"/>
          <w:sz w:val="24"/>
          <w:szCs w:val="24"/>
        </w:rPr>
        <w:t xml:space="preserve">= 100) who were accepted into the 2024 </w:t>
      </w:r>
      <w:r w:rsidR="00671206">
        <w:rPr>
          <w:rFonts w:ascii="Times New Roman" w:eastAsia="Times New Roman" w:hAnsi="Times New Roman" w:cs="Times New Roman"/>
          <w:sz w:val="24"/>
          <w:szCs w:val="24"/>
        </w:rPr>
        <w:t>VGSA</w:t>
      </w:r>
      <w:r>
        <w:rPr>
          <w:rFonts w:ascii="Times New Roman" w:eastAsia="Times New Roman" w:hAnsi="Times New Roman" w:cs="Times New Roman"/>
          <w:sz w:val="24"/>
          <w:szCs w:val="24"/>
        </w:rPr>
        <w:t xml:space="preserve">. 71% of program participants identified as women and 29% as men. Participants identified as Asian (49%), White (32%), Black/African American (7%), more than one race (5%), and 5% preferred not to answer. Two percent of the participants identified as Hispanic/Latino. Using the National Center for Education Statistics locale classifications and criteria (NCES, n.d.), participants’ school divisions were identified as city/urban (15%), suburban (74%), town (2%), and rural (9%). Participants’ school standings included juniors (40%) and seniors (58%), with 2% abstaining. Only 5% of students participated in a school-based agricultural education program during the academic year. The demographic data of the participants was collected via student registration. </w:t>
      </w:r>
    </w:p>
    <w:p w14:paraId="00000014" w14:textId="47A12E85" w:rsidR="00F812F0" w:rsidRDefault="00000000">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99 of the 100 students completed an online survey </w:t>
      </w:r>
      <w:r w:rsidR="00AA45B5">
        <w:rPr>
          <w:rFonts w:ascii="Times New Roman" w:eastAsia="Times New Roman" w:hAnsi="Times New Roman" w:cs="Times New Roman"/>
          <w:sz w:val="24"/>
          <w:szCs w:val="24"/>
        </w:rPr>
        <w:t xml:space="preserve">using </w:t>
      </w:r>
      <w:proofErr w:type="spellStart"/>
      <w:r w:rsidR="00AA45B5">
        <w:rPr>
          <w:rFonts w:ascii="Times New Roman" w:eastAsia="Times New Roman" w:hAnsi="Times New Roman" w:cs="Times New Roman"/>
          <w:sz w:val="24"/>
          <w:szCs w:val="24"/>
        </w:rPr>
        <w:t>QuestionsPro</w:t>
      </w:r>
      <w:proofErr w:type="spellEnd"/>
      <w:r w:rsidR="00AA45B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about their attitudes, beliefs, understandings, and instruction of international agricultural concepts before the program began to avoid any influence from </w:t>
      </w:r>
      <w:r w:rsidR="00671206">
        <w:rPr>
          <w:rFonts w:ascii="Times New Roman" w:eastAsia="Times New Roman" w:hAnsi="Times New Roman" w:cs="Times New Roman"/>
          <w:sz w:val="24"/>
          <w:szCs w:val="24"/>
        </w:rPr>
        <w:t>VGSA</w:t>
      </w:r>
      <w:r>
        <w:rPr>
          <w:rFonts w:ascii="Times New Roman" w:eastAsia="Times New Roman" w:hAnsi="Times New Roman" w:cs="Times New Roman"/>
          <w:sz w:val="24"/>
          <w:szCs w:val="24"/>
        </w:rPr>
        <w:t xml:space="preserve"> programming. We utilized an instrument </w:t>
      </w:r>
      <w:r w:rsidR="00B85C3E">
        <w:rPr>
          <w:rFonts w:ascii="Times New Roman" w:eastAsia="Times New Roman" w:hAnsi="Times New Roman" w:cs="Times New Roman"/>
          <w:sz w:val="24"/>
          <w:szCs w:val="24"/>
        </w:rPr>
        <w:t>previously used by</w:t>
      </w:r>
      <w:r>
        <w:rPr>
          <w:rFonts w:ascii="Times New Roman" w:eastAsia="Times New Roman" w:hAnsi="Times New Roman" w:cs="Times New Roman"/>
          <w:sz w:val="24"/>
          <w:szCs w:val="24"/>
        </w:rPr>
        <w:t xml:space="preserve"> Conner et al. (2017)</w:t>
      </w:r>
      <w:r w:rsidR="00CC152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Others have previously </w:t>
      </w:r>
      <w:r w:rsidR="008B1144">
        <w:rPr>
          <w:rFonts w:ascii="Times New Roman" w:eastAsia="Times New Roman" w:hAnsi="Times New Roman" w:cs="Times New Roman"/>
          <w:sz w:val="24"/>
          <w:szCs w:val="24"/>
        </w:rPr>
        <w:t>utilized</w:t>
      </w:r>
      <w:r>
        <w:rPr>
          <w:rFonts w:ascii="Times New Roman" w:eastAsia="Times New Roman" w:hAnsi="Times New Roman" w:cs="Times New Roman"/>
          <w:sz w:val="24"/>
          <w:szCs w:val="24"/>
        </w:rPr>
        <w:t xml:space="preserve"> the same instrument</w:t>
      </w:r>
      <w:r w:rsidR="00CC152C">
        <w:rPr>
          <w:rFonts w:ascii="Times New Roman" w:eastAsia="Times New Roman" w:hAnsi="Times New Roman" w:cs="Times New Roman"/>
          <w:sz w:val="24"/>
          <w:szCs w:val="24"/>
        </w:rPr>
        <w:t xml:space="preserve"> developed by </w:t>
      </w:r>
      <w:r w:rsidR="00CC152C">
        <w:rPr>
          <w:rFonts w:ascii="Times New Roman" w:eastAsia="Times New Roman" w:hAnsi="Times New Roman" w:cs="Times New Roman"/>
          <w:sz w:val="24"/>
          <w:szCs w:val="24"/>
        </w:rPr>
        <w:t>Elliot and Yanik (2002</w:t>
      </w:r>
      <w:r w:rsidR="00CC152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to study international concepts among high school students (Heinert et al., 2020; Radhakrishna et al., 2003; Wingenbach et al., 2003), both in formal school-based agricultural education and non-formal settings. </w:t>
      </w:r>
      <w:r w:rsidR="001E3755">
        <w:rPr>
          <w:rFonts w:ascii="Times New Roman" w:eastAsia="Times New Roman" w:hAnsi="Times New Roman" w:cs="Times New Roman"/>
          <w:sz w:val="24"/>
          <w:szCs w:val="24"/>
        </w:rPr>
        <w:t xml:space="preserve">The instrument used in our study was previously </w:t>
      </w:r>
      <w:r w:rsidR="00064837">
        <w:rPr>
          <w:rFonts w:ascii="Times New Roman" w:eastAsia="Times New Roman" w:hAnsi="Times New Roman" w:cs="Times New Roman"/>
          <w:sz w:val="24"/>
          <w:szCs w:val="24"/>
        </w:rPr>
        <w:t>assessed</w:t>
      </w:r>
      <w:r w:rsidR="001E3755">
        <w:rPr>
          <w:rFonts w:ascii="Times New Roman" w:eastAsia="Times New Roman" w:hAnsi="Times New Roman" w:cs="Times New Roman"/>
          <w:sz w:val="24"/>
          <w:szCs w:val="24"/>
        </w:rPr>
        <w:t xml:space="preserve"> </w:t>
      </w:r>
      <w:r w:rsidR="00064837">
        <w:rPr>
          <w:rFonts w:ascii="Times New Roman" w:eastAsia="Times New Roman" w:hAnsi="Times New Roman" w:cs="Times New Roman"/>
          <w:sz w:val="24"/>
          <w:szCs w:val="24"/>
        </w:rPr>
        <w:t xml:space="preserve">for content and face validity </w:t>
      </w:r>
      <w:r w:rsidR="001E3755">
        <w:rPr>
          <w:rFonts w:ascii="Times New Roman" w:eastAsia="Times New Roman" w:hAnsi="Times New Roman" w:cs="Times New Roman"/>
          <w:sz w:val="24"/>
          <w:szCs w:val="24"/>
        </w:rPr>
        <w:t xml:space="preserve">by </w:t>
      </w:r>
      <w:r w:rsidR="00064837">
        <w:rPr>
          <w:rFonts w:ascii="Times New Roman" w:eastAsia="Times New Roman" w:hAnsi="Times New Roman" w:cs="Times New Roman"/>
          <w:sz w:val="24"/>
          <w:szCs w:val="24"/>
        </w:rPr>
        <w:t>a panel of experts (</w:t>
      </w:r>
      <w:r w:rsidR="001E3755">
        <w:rPr>
          <w:rFonts w:ascii="Times New Roman" w:eastAsia="Times New Roman" w:hAnsi="Times New Roman" w:cs="Times New Roman"/>
          <w:sz w:val="24"/>
          <w:szCs w:val="24"/>
        </w:rPr>
        <w:t>Radhakrishna et al., 2003</w:t>
      </w:r>
      <w:r w:rsidR="00064837">
        <w:rPr>
          <w:rFonts w:ascii="Times New Roman" w:eastAsia="Times New Roman" w:hAnsi="Times New Roman" w:cs="Times New Roman"/>
          <w:sz w:val="24"/>
          <w:szCs w:val="24"/>
        </w:rPr>
        <w:t>)</w:t>
      </w:r>
      <w:r w:rsidR="00D11E6D">
        <w:rPr>
          <w:rFonts w:ascii="Times New Roman" w:eastAsia="Times New Roman" w:hAnsi="Times New Roman" w:cs="Times New Roman"/>
          <w:sz w:val="24"/>
          <w:szCs w:val="24"/>
        </w:rPr>
        <w:t>, and no changes were made</w:t>
      </w:r>
      <w:r w:rsidR="00064837">
        <w:rPr>
          <w:rFonts w:ascii="Times New Roman" w:eastAsia="Times New Roman" w:hAnsi="Times New Roman" w:cs="Times New Roman"/>
          <w:sz w:val="24"/>
          <w:szCs w:val="24"/>
        </w:rPr>
        <w:t>.</w:t>
      </w:r>
      <w:r w:rsidR="001E375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instrument comprised 45 items and measured four constructs using a five-point Likert scale </w:t>
      </w:r>
      <w:r w:rsidR="00223FCD">
        <w:rPr>
          <w:rFonts w:ascii="Times New Roman" w:eastAsia="Times New Roman" w:hAnsi="Times New Roman" w:cs="Times New Roman"/>
          <w:sz w:val="24"/>
          <w:szCs w:val="24"/>
        </w:rPr>
        <w:t xml:space="preserve">that ranged from </w:t>
      </w:r>
      <w:r>
        <w:rPr>
          <w:rFonts w:ascii="Times New Roman" w:eastAsia="Times New Roman" w:hAnsi="Times New Roman" w:cs="Times New Roman"/>
          <w:sz w:val="24"/>
          <w:szCs w:val="24"/>
        </w:rPr>
        <w:t xml:space="preserve">1 </w:t>
      </w:r>
      <w:r w:rsidR="00223FCD" w:rsidRPr="00223FCD">
        <w:rPr>
          <w:rFonts w:ascii="Times New Roman" w:eastAsia="Times New Roman" w:hAnsi="Times New Roman" w:cs="Times New Roman"/>
          <w:i/>
          <w:iCs/>
          <w:sz w:val="24"/>
          <w:szCs w:val="24"/>
        </w:rPr>
        <w:t>(</w:t>
      </w:r>
      <w:r w:rsidRPr="00223FCD">
        <w:rPr>
          <w:rFonts w:ascii="Times New Roman" w:eastAsia="Times New Roman" w:hAnsi="Times New Roman" w:cs="Times New Roman"/>
          <w:i/>
          <w:iCs/>
          <w:sz w:val="24"/>
          <w:szCs w:val="24"/>
        </w:rPr>
        <w:t>strongly disagree</w:t>
      </w:r>
      <w:r w:rsidR="00223FC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to 5 </w:t>
      </w:r>
      <w:r w:rsidR="00223FCD">
        <w:rPr>
          <w:rFonts w:ascii="Times New Roman" w:eastAsia="Times New Roman" w:hAnsi="Times New Roman" w:cs="Times New Roman"/>
          <w:sz w:val="24"/>
          <w:szCs w:val="24"/>
        </w:rPr>
        <w:t>(</w:t>
      </w:r>
      <w:r w:rsidRPr="00223FCD">
        <w:rPr>
          <w:rFonts w:ascii="Times New Roman" w:eastAsia="Times New Roman" w:hAnsi="Times New Roman" w:cs="Times New Roman"/>
          <w:i/>
          <w:iCs/>
          <w:sz w:val="24"/>
          <w:szCs w:val="24"/>
        </w:rPr>
        <w:t>strongly agree</w:t>
      </w:r>
      <w:r>
        <w:rPr>
          <w:rFonts w:ascii="Times New Roman" w:eastAsia="Times New Roman" w:hAnsi="Times New Roman" w:cs="Times New Roman"/>
          <w:sz w:val="24"/>
          <w:szCs w:val="24"/>
        </w:rPr>
        <w:t xml:space="preserve">). The reliability of the </w:t>
      </w:r>
      <w:proofErr w:type="gramStart"/>
      <w:r>
        <w:rPr>
          <w:rFonts w:ascii="Times New Roman" w:eastAsia="Times New Roman" w:hAnsi="Times New Roman" w:cs="Times New Roman"/>
          <w:sz w:val="24"/>
          <w:szCs w:val="24"/>
        </w:rPr>
        <w:t>constructs</w:t>
      </w:r>
      <w:proofErr w:type="gramEnd"/>
      <w:r>
        <w:rPr>
          <w:rFonts w:ascii="Times New Roman" w:eastAsia="Times New Roman" w:hAnsi="Times New Roman" w:cs="Times New Roman"/>
          <w:sz w:val="24"/>
          <w:szCs w:val="24"/>
        </w:rPr>
        <w:t xml:space="preserve"> was as follows: attitudes (14 items, α = .83), understanding (6 items, α = .78), attitudes toward instruction (13 items, α = .86), and beliefs (13 items, α = .78). The reliability was previously determined post hoc by Conners et al. (2017). This study specifically focuses on participants’ understanding of geography in international agriculture and attitudes toward instruction for understanding international agriculture concepts. </w:t>
      </w:r>
      <w:r w:rsidR="00C3527E" w:rsidRPr="00C3527E">
        <w:rPr>
          <w:rFonts w:ascii="Times New Roman" w:eastAsia="Times New Roman" w:hAnsi="Times New Roman" w:cs="Times New Roman"/>
          <w:sz w:val="24"/>
          <w:szCs w:val="24"/>
        </w:rPr>
        <w:t>Descriptive statistics were calculated</w:t>
      </w:r>
      <w:r w:rsidR="00C3527E">
        <w:rPr>
          <w:rFonts w:ascii="Times New Roman" w:eastAsia="Times New Roman" w:hAnsi="Times New Roman" w:cs="Times New Roman"/>
          <w:sz w:val="24"/>
          <w:szCs w:val="24"/>
        </w:rPr>
        <w:t xml:space="preserve"> using Excel</w:t>
      </w:r>
      <w:r w:rsidR="00C3527E" w:rsidRPr="00C3527E">
        <w:rPr>
          <w:rFonts w:ascii="Times New Roman" w:eastAsia="Times New Roman" w:hAnsi="Times New Roman" w:cs="Times New Roman"/>
          <w:sz w:val="24"/>
          <w:szCs w:val="24"/>
        </w:rPr>
        <w:t xml:space="preserve"> and used to summarize participants’ responses for the selected constructs of understanding and attitudes toward instruction related to international agriculture.</w:t>
      </w:r>
    </w:p>
    <w:p w14:paraId="00000015" w14:textId="77777777" w:rsidR="00F812F0" w:rsidRDefault="00000000">
      <w:pPr>
        <w:pStyle w:val="Heading2"/>
        <w:spacing w:before="240" w:after="240"/>
      </w:pPr>
      <w:bookmarkStart w:id="5" w:name="_r6zdbjbujjtb" w:colFirst="0" w:colLast="0"/>
      <w:bookmarkEnd w:id="5"/>
      <w:r>
        <w:lastRenderedPageBreak/>
        <w:t>Results</w:t>
      </w:r>
    </w:p>
    <w:p w14:paraId="00000016" w14:textId="77777777" w:rsidR="00F812F0" w:rsidRDefault="00000000">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Objective 1. Identify student attitudes toward learning international agricultural concepts: </w:t>
      </w:r>
      <w:r>
        <w:rPr>
          <w:rFonts w:ascii="Times New Roman" w:eastAsia="Times New Roman" w:hAnsi="Times New Roman" w:cs="Times New Roman"/>
          <w:sz w:val="24"/>
          <w:szCs w:val="24"/>
        </w:rPr>
        <w:t>The means for questions related to attitude were 4.39 (</w:t>
      </w:r>
      <w:r>
        <w:rPr>
          <w:rFonts w:ascii="Times New Roman" w:eastAsia="Times New Roman" w:hAnsi="Times New Roman" w:cs="Times New Roman"/>
          <w:i/>
          <w:sz w:val="24"/>
          <w:szCs w:val="24"/>
        </w:rPr>
        <w:t>SD</w:t>
      </w:r>
      <w:r>
        <w:rPr>
          <w:rFonts w:ascii="Times New Roman" w:eastAsia="Times New Roman" w:hAnsi="Times New Roman" w:cs="Times New Roman"/>
          <w:sz w:val="24"/>
          <w:szCs w:val="24"/>
        </w:rPr>
        <w:t xml:space="preserve"> = 0.44). Key findings indicate a generally positive attitude toward international agricultural topics, with 51.52% (</w:t>
      </w:r>
      <w:r>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51) strongly agreeing and 46.46% (</w:t>
      </w:r>
      <w:r>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46) agreeing on their need to </w:t>
      </w:r>
      <w:r>
        <w:rPr>
          <w:rFonts w:ascii="Times New Roman" w:eastAsia="Times New Roman" w:hAnsi="Times New Roman" w:cs="Times New Roman"/>
          <w:i/>
          <w:sz w:val="24"/>
          <w:szCs w:val="24"/>
        </w:rPr>
        <w:t>understand agriculture and its importance to the world economy</w:t>
      </w:r>
      <w:r>
        <w:rPr>
          <w:rFonts w:ascii="Times New Roman" w:eastAsia="Times New Roman" w:hAnsi="Times New Roman" w:cs="Times New Roman"/>
          <w:sz w:val="24"/>
          <w:szCs w:val="24"/>
        </w:rPr>
        <w:t>. Furthermore, 52.04% (</w:t>
      </w:r>
      <w:r>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51) strongly agreed and 39.80% (</w:t>
      </w:r>
      <w:r>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39) agreed with the importance of learning about how world events affect local agriculture in their community.</w:t>
      </w:r>
    </w:p>
    <w:p w14:paraId="00000017" w14:textId="77777777" w:rsidR="00F812F0" w:rsidRDefault="00000000">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While many participants valued learning about international agriculture to gain a broader global perspective, others were motivated by the potential to prepare for future changes in agriculture. 35.71% (</w:t>
      </w:r>
      <w:r>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35) strongly agreed and 62.24% (</w:t>
      </w:r>
      <w:r>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61) agreed that their motivation for learning about international agricultural concepts was to </w:t>
      </w:r>
      <w:r>
        <w:rPr>
          <w:rFonts w:ascii="Times New Roman" w:eastAsia="Times New Roman" w:hAnsi="Times New Roman" w:cs="Times New Roman"/>
          <w:i/>
          <w:sz w:val="24"/>
          <w:szCs w:val="24"/>
        </w:rPr>
        <w:t>provide them with an appreciation of the interdependence of nations around the world</w:t>
      </w:r>
      <w:r>
        <w:rPr>
          <w:rFonts w:ascii="Times New Roman" w:eastAsia="Times New Roman" w:hAnsi="Times New Roman" w:cs="Times New Roman"/>
          <w:sz w:val="24"/>
          <w:szCs w:val="24"/>
        </w:rPr>
        <w:t>. In comparison, 54.08% (</w:t>
      </w:r>
      <w:r>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53) strongly agreed and 43.88% (</w:t>
      </w:r>
      <w:r>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43) agreed that their motivation was to help them prepare for future changes in the agricultural sector. </w:t>
      </w:r>
    </w:p>
    <w:p w14:paraId="00000018" w14:textId="77777777" w:rsidR="00F812F0" w:rsidRDefault="00000000">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Overall, participants indicated positive attitudes toward learning about international agricultural concepts. We identified several factors, including food security issues, climate change, technological advancements, and globalization, that influence youth attitudes toward international agriculture. Additionally, participants highlighted the importance of learning about these concepts to prepare for future changes in the agricultural sector. </w:t>
      </w:r>
    </w:p>
    <w:p w14:paraId="00000019" w14:textId="6FD9210F" w:rsidR="00F812F0" w:rsidRDefault="00000000">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Objective 2. Identify student beliefs toward international agriculture concepts: </w:t>
      </w:r>
      <w:r>
        <w:rPr>
          <w:rFonts w:ascii="Times New Roman" w:eastAsia="Times New Roman" w:hAnsi="Times New Roman" w:cs="Times New Roman"/>
          <w:sz w:val="24"/>
          <w:szCs w:val="24"/>
        </w:rPr>
        <w:t>The items related to beliefs resulted in a mean of 4.19 (</w:t>
      </w:r>
      <w:r>
        <w:rPr>
          <w:rFonts w:ascii="Times New Roman" w:eastAsia="Times New Roman" w:hAnsi="Times New Roman" w:cs="Times New Roman"/>
          <w:i/>
          <w:sz w:val="24"/>
          <w:szCs w:val="24"/>
        </w:rPr>
        <w:t>SD</w:t>
      </w:r>
      <w:r>
        <w:rPr>
          <w:rFonts w:ascii="Times New Roman" w:eastAsia="Times New Roman" w:hAnsi="Times New Roman" w:cs="Times New Roman"/>
          <w:sz w:val="24"/>
          <w:szCs w:val="24"/>
        </w:rPr>
        <w:t xml:space="preserve"> = 0.41). For the 2024 </w:t>
      </w:r>
      <w:r w:rsidR="00671206">
        <w:rPr>
          <w:rFonts w:ascii="Times New Roman" w:eastAsia="Times New Roman" w:hAnsi="Times New Roman" w:cs="Times New Roman"/>
          <w:sz w:val="24"/>
          <w:szCs w:val="24"/>
        </w:rPr>
        <w:t>VGSA</w:t>
      </w:r>
      <w:r>
        <w:rPr>
          <w:rFonts w:ascii="Times New Roman" w:eastAsia="Times New Roman" w:hAnsi="Times New Roman" w:cs="Times New Roman"/>
          <w:sz w:val="24"/>
          <w:szCs w:val="24"/>
        </w:rPr>
        <w:t xml:space="preserve">, a high majority of students provided positive feedback on statements regarding their beliefs in international agricultural concepts. When presented with the statement that </w:t>
      </w:r>
      <w:r>
        <w:rPr>
          <w:rFonts w:ascii="Times New Roman" w:eastAsia="Times New Roman" w:hAnsi="Times New Roman" w:cs="Times New Roman"/>
          <w:i/>
          <w:sz w:val="24"/>
          <w:szCs w:val="24"/>
        </w:rPr>
        <w:t xml:space="preserve">agriculture involves more than farming, </w:t>
      </w:r>
      <w:r>
        <w:rPr>
          <w:rFonts w:ascii="Times New Roman" w:eastAsia="Times New Roman" w:hAnsi="Times New Roman" w:cs="Times New Roman"/>
          <w:sz w:val="24"/>
          <w:szCs w:val="24"/>
        </w:rPr>
        <w:t>a total of 97.98% (</w:t>
      </w:r>
      <w:r>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97) of participants agreed or strongly agreed. This statement also has the highest percentage of strongly agreed responses (66.67%; </w:t>
      </w:r>
      <w:r>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66). The next highest strongly agreed statement was that </w:t>
      </w:r>
      <w:r>
        <w:rPr>
          <w:rFonts w:ascii="Times New Roman" w:eastAsia="Times New Roman" w:hAnsi="Times New Roman" w:cs="Times New Roman"/>
          <w:i/>
          <w:sz w:val="24"/>
          <w:szCs w:val="24"/>
        </w:rPr>
        <w:t xml:space="preserve">guest speakers who are knowledgeable regarding international events would help me learn more about world agriculture </w:t>
      </w:r>
      <w:r>
        <w:rPr>
          <w:rFonts w:ascii="Times New Roman" w:eastAsia="Times New Roman" w:hAnsi="Times New Roman" w:cs="Times New Roman"/>
          <w:sz w:val="24"/>
          <w:szCs w:val="24"/>
        </w:rPr>
        <w:t>at 49.49% (</w:t>
      </w:r>
      <w:r>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49). </w:t>
      </w:r>
    </w:p>
    <w:p w14:paraId="0000001A" w14:textId="77777777" w:rsidR="00F812F0" w:rsidRDefault="00000000">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One notable aspect was the method students identified as a source of global agricultural news. A total of 88.89% (</w:t>
      </w:r>
      <w:r>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88) of participants agreed or strongly agreed with the statement that </w:t>
      </w:r>
      <w:r>
        <w:rPr>
          <w:rFonts w:ascii="Times New Roman" w:eastAsia="Times New Roman" w:hAnsi="Times New Roman" w:cs="Times New Roman"/>
          <w:i/>
          <w:sz w:val="24"/>
          <w:szCs w:val="24"/>
        </w:rPr>
        <w:t xml:space="preserve">I can learn about world agriculture from attending events such as fairs or trade shows. </w:t>
      </w:r>
      <w:r>
        <w:rPr>
          <w:rFonts w:ascii="Times New Roman" w:eastAsia="Times New Roman" w:hAnsi="Times New Roman" w:cs="Times New Roman"/>
          <w:sz w:val="24"/>
          <w:szCs w:val="24"/>
        </w:rPr>
        <w:t xml:space="preserve">The number of respondents who agreed or strongly agreed decreased as the platform transitioned to selected television programs (81.82%; </w:t>
      </w:r>
      <w:r>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81) and selected radio programs (65.66%; </w:t>
      </w:r>
      <w:r>
        <w:rPr>
          <w:rFonts w:ascii="Times New Roman" w:eastAsia="Times New Roman" w:hAnsi="Times New Roman" w:cs="Times New Roman"/>
          <w:i/>
          <w:sz w:val="24"/>
          <w:szCs w:val="24"/>
        </w:rPr>
        <w:t xml:space="preserve">n </w:t>
      </w:r>
      <w:r>
        <w:rPr>
          <w:rFonts w:ascii="Times New Roman" w:eastAsia="Times New Roman" w:hAnsi="Times New Roman" w:cs="Times New Roman"/>
          <w:sz w:val="24"/>
          <w:szCs w:val="24"/>
        </w:rPr>
        <w:t xml:space="preserve">= 65). Radio programs had the lowest rate of agreement among all other statements regarding participants' beliefs about international agricultural concepts. </w:t>
      </w:r>
    </w:p>
    <w:p w14:paraId="0000001B" w14:textId="77777777" w:rsidR="00F812F0" w:rsidRDefault="00000000">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b/>
          <w:sz w:val="24"/>
          <w:szCs w:val="24"/>
        </w:rPr>
        <w:t>Objective 3. Identify student understanding of geography in international agriculture concepts:</w:t>
      </w:r>
      <w:r>
        <w:rPr>
          <w:rFonts w:ascii="Times New Roman" w:eastAsia="Times New Roman" w:hAnsi="Times New Roman" w:cs="Times New Roman"/>
          <w:sz w:val="24"/>
          <w:szCs w:val="24"/>
        </w:rPr>
        <w:t xml:space="preserve"> The mean for items addressing participants’ knowledge of geography was 4.45 (</w:t>
      </w:r>
      <w:r>
        <w:rPr>
          <w:rFonts w:ascii="Times New Roman" w:eastAsia="Times New Roman" w:hAnsi="Times New Roman" w:cs="Times New Roman"/>
          <w:i/>
          <w:sz w:val="24"/>
          <w:szCs w:val="24"/>
        </w:rPr>
        <w:t>SD</w:t>
      </w:r>
      <w:r>
        <w:rPr>
          <w:rFonts w:ascii="Times New Roman" w:eastAsia="Times New Roman" w:hAnsi="Times New Roman" w:cs="Times New Roman"/>
          <w:sz w:val="24"/>
          <w:szCs w:val="24"/>
        </w:rPr>
        <w:t xml:space="preserve"> = 0.48). Participants were asked to identify how knowledge of the United States and world geography helped them better understand international agriculture. This construct contained six items that focused on the locations of continents, countries, U.S. states, and </w:t>
      </w:r>
      <w:r>
        <w:rPr>
          <w:rFonts w:ascii="Times New Roman" w:eastAsia="Times New Roman" w:hAnsi="Times New Roman" w:cs="Times New Roman"/>
          <w:sz w:val="24"/>
          <w:szCs w:val="24"/>
        </w:rPr>
        <w:lastRenderedPageBreak/>
        <w:t>regions. The mean for understanding United States and international geography was 4.48 (</w:t>
      </w:r>
      <w:r>
        <w:rPr>
          <w:rFonts w:ascii="Times New Roman" w:eastAsia="Times New Roman" w:hAnsi="Times New Roman" w:cs="Times New Roman"/>
          <w:i/>
          <w:sz w:val="24"/>
          <w:szCs w:val="24"/>
        </w:rPr>
        <w:t xml:space="preserve">SD </w:t>
      </w:r>
      <w:r>
        <w:rPr>
          <w:rFonts w:ascii="Times New Roman" w:eastAsia="Times New Roman" w:hAnsi="Times New Roman" w:cs="Times New Roman"/>
          <w:sz w:val="24"/>
          <w:szCs w:val="24"/>
        </w:rPr>
        <w:t>= 0.59). When strongly agreed and agreed responses were combined, no single item scored below 90%. This indicates that participants generally agreed that an understanding of the United States and world geography contributed to their sense of international agriculture.</w:t>
      </w:r>
    </w:p>
    <w:p w14:paraId="0000001C" w14:textId="79B5EA20" w:rsidR="00F812F0" w:rsidRDefault="00000000">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b/>
          <w:sz w:val="24"/>
          <w:szCs w:val="24"/>
        </w:rPr>
        <w:t>Objective 4. Identify student attitudes towards instruction for understanding international agriculture concepts:</w:t>
      </w:r>
      <w:r>
        <w:rPr>
          <w:rFonts w:ascii="Times New Roman" w:eastAsia="Times New Roman" w:hAnsi="Times New Roman" w:cs="Times New Roman"/>
          <w:sz w:val="24"/>
          <w:szCs w:val="24"/>
        </w:rPr>
        <w:t xml:space="preserve"> When asked about their attitudes towards instruction, participants agreed with an average score of 4.26 (</w:t>
      </w:r>
      <w:r>
        <w:rPr>
          <w:rFonts w:ascii="Times New Roman" w:eastAsia="Times New Roman" w:hAnsi="Times New Roman" w:cs="Times New Roman"/>
          <w:i/>
          <w:sz w:val="24"/>
          <w:szCs w:val="24"/>
        </w:rPr>
        <w:t>SD</w:t>
      </w:r>
      <w:r>
        <w:rPr>
          <w:rFonts w:ascii="Times New Roman" w:eastAsia="Times New Roman" w:hAnsi="Times New Roman" w:cs="Times New Roman"/>
          <w:sz w:val="24"/>
          <w:szCs w:val="24"/>
        </w:rPr>
        <w:t xml:space="preserve"> = 0.58). Participants were then asked to identify topics of instruction that aided in their understanding of international agriculture concepts. This </w:t>
      </w:r>
      <w:proofErr w:type="gramStart"/>
      <w:r>
        <w:rPr>
          <w:rFonts w:ascii="Times New Roman" w:eastAsia="Times New Roman" w:hAnsi="Times New Roman" w:cs="Times New Roman"/>
          <w:sz w:val="24"/>
          <w:szCs w:val="24"/>
        </w:rPr>
        <w:t>construct</w:t>
      </w:r>
      <w:proofErr w:type="gramEnd"/>
      <w:r>
        <w:rPr>
          <w:rFonts w:ascii="Times New Roman" w:eastAsia="Times New Roman" w:hAnsi="Times New Roman" w:cs="Times New Roman"/>
          <w:sz w:val="24"/>
          <w:szCs w:val="24"/>
        </w:rPr>
        <w:t xml:space="preserve"> consisted of seven items focused on the desired characteristics of instruction related to international issues. The </w:t>
      </w:r>
      <w:r w:rsidR="00E4698D">
        <w:rPr>
          <w:rFonts w:ascii="Times New Roman" w:eastAsia="Times New Roman" w:hAnsi="Times New Roman" w:cs="Times New Roman"/>
          <w:sz w:val="24"/>
          <w:szCs w:val="24"/>
        </w:rPr>
        <w:t>means</w:t>
      </w:r>
      <w:r>
        <w:rPr>
          <w:rFonts w:ascii="Times New Roman" w:eastAsia="Times New Roman" w:hAnsi="Times New Roman" w:cs="Times New Roman"/>
          <w:sz w:val="24"/>
          <w:szCs w:val="24"/>
        </w:rPr>
        <w:t xml:space="preserve"> for instruction regarding international issues was 4.41 (</w:t>
      </w:r>
      <w:r>
        <w:rPr>
          <w:rFonts w:ascii="Times New Roman" w:eastAsia="Times New Roman" w:hAnsi="Times New Roman" w:cs="Times New Roman"/>
          <w:i/>
          <w:sz w:val="24"/>
          <w:szCs w:val="24"/>
        </w:rPr>
        <w:t>SD</w:t>
      </w:r>
      <w:r>
        <w:rPr>
          <w:rFonts w:ascii="Times New Roman" w:eastAsia="Times New Roman" w:hAnsi="Times New Roman" w:cs="Times New Roman"/>
          <w:sz w:val="24"/>
          <w:szCs w:val="24"/>
        </w:rPr>
        <w:t xml:space="preserve"> = 0.63). When agreed and strongly agreed were combined, all but two items achieved 90% or higher. 16.33% of students neither agreed nor disagreed that they were </w:t>
      </w:r>
      <w:r>
        <w:rPr>
          <w:rFonts w:ascii="Times New Roman" w:eastAsia="Times New Roman" w:hAnsi="Times New Roman" w:cs="Times New Roman"/>
          <w:i/>
          <w:sz w:val="24"/>
          <w:szCs w:val="24"/>
        </w:rPr>
        <w:t xml:space="preserve">likely to understand international agriculture when given instruction about how the U.S. works with other countries on political issues. </w:t>
      </w:r>
      <w:r>
        <w:rPr>
          <w:rFonts w:ascii="Times New Roman" w:eastAsia="Times New Roman" w:hAnsi="Times New Roman" w:cs="Times New Roman"/>
          <w:sz w:val="24"/>
          <w:szCs w:val="24"/>
        </w:rPr>
        <w:t xml:space="preserve">This indicates that knowledge of U.S. relationships with other countries is not likely to increase their understanding of political issues. Additionally, 25.51% of students neither agreed nor disagreed that </w:t>
      </w:r>
      <w:r>
        <w:rPr>
          <w:rFonts w:ascii="Times New Roman" w:eastAsia="Times New Roman" w:hAnsi="Times New Roman" w:cs="Times New Roman"/>
          <w:i/>
          <w:sz w:val="24"/>
          <w:szCs w:val="24"/>
        </w:rPr>
        <w:t>a proposed set of lessons on international issues should not be too complex,</w:t>
      </w:r>
      <w:r>
        <w:rPr>
          <w:rFonts w:ascii="Times New Roman" w:eastAsia="Times New Roman" w:hAnsi="Times New Roman" w:cs="Times New Roman"/>
          <w:sz w:val="24"/>
          <w:szCs w:val="24"/>
        </w:rPr>
        <w:t xml:space="preserve"> indicating that lesson complexity is likely not a significant challenge to learning about international issues.</w:t>
      </w:r>
    </w:p>
    <w:p w14:paraId="0000001D" w14:textId="77777777" w:rsidR="00F812F0" w:rsidRDefault="00000000">
      <w:pPr>
        <w:pStyle w:val="Heading2"/>
        <w:spacing w:before="240" w:after="240"/>
      </w:pPr>
      <w:bookmarkStart w:id="6" w:name="_ayb28crfk8r9" w:colFirst="0" w:colLast="0"/>
      <w:bookmarkEnd w:id="6"/>
      <w:r>
        <w:t>Discussion, Implications, Conclusion, &amp; Recommendations</w:t>
      </w:r>
    </w:p>
    <w:p w14:paraId="0000001E" w14:textId="6CFF1129" w:rsidR="00F812F0" w:rsidRDefault="00000000">
      <w:pPr>
        <w:spacing w:before="240" w:after="240" w:line="240" w:lineRule="auto"/>
        <w:ind w:firstLine="720"/>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results of this study cannot be generalized beyond the context of </w:t>
      </w:r>
      <w:r w:rsidR="00671206">
        <w:rPr>
          <w:rFonts w:ascii="Times New Roman" w:eastAsia="Times New Roman" w:hAnsi="Times New Roman" w:cs="Times New Roman"/>
          <w:sz w:val="24"/>
          <w:szCs w:val="24"/>
        </w:rPr>
        <w:t>VGSA</w:t>
      </w:r>
      <w:r>
        <w:rPr>
          <w:rFonts w:ascii="Times New Roman" w:eastAsia="Times New Roman" w:hAnsi="Times New Roman" w:cs="Times New Roman"/>
          <w:sz w:val="24"/>
          <w:szCs w:val="24"/>
        </w:rPr>
        <w:t>, though they may prove helpful for others seeking to understand how high school students are identifying and developing beliefs, attitudes, and understandings related to international agriculture concepts.</w:t>
      </w:r>
    </w:p>
    <w:p w14:paraId="0000001F" w14:textId="27FF3C11" w:rsidR="00F812F0" w:rsidRDefault="00000000">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Objective 1. </w:t>
      </w:r>
      <w:r>
        <w:rPr>
          <w:rFonts w:ascii="Times New Roman" w:eastAsia="Times New Roman" w:hAnsi="Times New Roman" w:cs="Times New Roman"/>
          <w:sz w:val="24"/>
          <w:szCs w:val="24"/>
        </w:rPr>
        <w:t xml:space="preserve">The results of this study underscore the importance of educating </w:t>
      </w:r>
      <w:r w:rsidR="00254EF9">
        <w:rPr>
          <w:rFonts w:ascii="Times New Roman" w:eastAsia="Times New Roman" w:hAnsi="Times New Roman" w:cs="Times New Roman"/>
          <w:sz w:val="24"/>
          <w:szCs w:val="24"/>
        </w:rPr>
        <w:t>young people</w:t>
      </w:r>
      <w:r>
        <w:rPr>
          <w:rFonts w:ascii="Times New Roman" w:eastAsia="Times New Roman" w:hAnsi="Times New Roman" w:cs="Times New Roman"/>
          <w:sz w:val="24"/>
          <w:szCs w:val="24"/>
        </w:rPr>
        <w:t xml:space="preserve"> about international agricultural concepts and incorporating these topics into both formal and informal school curricula. Moreover, the study emphasizes the value of providing hands-on learning opportunities, such as internships and field trips, to deepen students' understanding and engagement with agricultural issues. Findings from this study revealed that students demonstrated positive attitudes toward understanding agriculture and its importance to the global economy, as well as their local agrarian practices within their community. This aligns significantly with dimension one of the Global Competence Framework, which emphasizes the importance of young people engaging in critical thinking and utilizing modern technology to explore global developments and their impact on local contexts. The dimension further amplifies the development of good questioning skills, analysis, and evaluation of media content among youth (OECD, 2018, p. 5). Therefore, we recommend that school curricula and agricultural educational initiatives be designed to reflect the interconnectedness of agriculture and other sectors. This approach will foster students’ appreciation for agriculture’s role in both local communities and the global </w:t>
      </w:r>
      <w:proofErr w:type="gramStart"/>
      <w:r>
        <w:rPr>
          <w:rFonts w:ascii="Times New Roman" w:eastAsia="Times New Roman" w:hAnsi="Times New Roman" w:cs="Times New Roman"/>
          <w:sz w:val="24"/>
          <w:szCs w:val="24"/>
        </w:rPr>
        <w:t>economy, and</w:t>
      </w:r>
      <w:proofErr w:type="gramEnd"/>
      <w:r>
        <w:rPr>
          <w:rFonts w:ascii="Times New Roman" w:eastAsia="Times New Roman" w:hAnsi="Times New Roman" w:cs="Times New Roman"/>
          <w:sz w:val="24"/>
          <w:szCs w:val="24"/>
        </w:rPr>
        <w:t xml:space="preserve"> encourage broad thinking and critical analysis.</w:t>
      </w:r>
    </w:p>
    <w:p w14:paraId="00000020" w14:textId="77777777" w:rsidR="00F812F0" w:rsidRDefault="00000000">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Objective 2. </w:t>
      </w:r>
      <w:r>
        <w:rPr>
          <w:rFonts w:ascii="Times New Roman" w:eastAsia="Times New Roman" w:hAnsi="Times New Roman" w:cs="Times New Roman"/>
          <w:sz w:val="24"/>
          <w:szCs w:val="24"/>
        </w:rPr>
        <w:t>Only 65.66% (</w:t>
      </w:r>
      <w:r>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66) of students agreed or strongly agreed </w:t>
      </w:r>
      <w:r>
        <w:rPr>
          <w:rFonts w:ascii="Times New Roman" w:eastAsia="Times New Roman" w:hAnsi="Times New Roman" w:cs="Times New Roman"/>
          <w:i/>
          <w:sz w:val="24"/>
          <w:szCs w:val="24"/>
        </w:rPr>
        <w:t xml:space="preserve">that I can learn about world agriculture from listening to selected radio programs. </w:t>
      </w:r>
      <w:r>
        <w:rPr>
          <w:rFonts w:ascii="Times New Roman" w:eastAsia="Times New Roman" w:hAnsi="Times New Roman" w:cs="Times New Roman"/>
          <w:sz w:val="24"/>
          <w:szCs w:val="24"/>
        </w:rPr>
        <w:t xml:space="preserve">According to a study conducted by Reger (2023), only 22% of teens reported getting their weekly news from news podcasts or radio news programs. On the other hand, an astounding number of teens identified local TV (46%), National TV (42%), and Google or Yahoo (40%) as their primary sources for </w:t>
      </w:r>
      <w:r>
        <w:rPr>
          <w:rFonts w:ascii="Times New Roman" w:eastAsia="Times New Roman" w:hAnsi="Times New Roman" w:cs="Times New Roman"/>
          <w:sz w:val="24"/>
          <w:szCs w:val="24"/>
        </w:rPr>
        <w:lastRenderedPageBreak/>
        <w:t xml:space="preserve">world news (Reger, 2023). Anderson et. </w:t>
      </w:r>
      <w:proofErr w:type="gramStart"/>
      <w:r>
        <w:rPr>
          <w:rFonts w:ascii="Times New Roman" w:eastAsia="Times New Roman" w:hAnsi="Times New Roman" w:cs="Times New Roman"/>
          <w:sz w:val="24"/>
          <w:szCs w:val="24"/>
        </w:rPr>
        <w:t>al</w:t>
      </w:r>
      <w:proofErr w:type="gramEnd"/>
      <w:r>
        <w:rPr>
          <w:rFonts w:ascii="Times New Roman" w:eastAsia="Times New Roman" w:hAnsi="Times New Roman" w:cs="Times New Roman"/>
          <w:sz w:val="24"/>
          <w:szCs w:val="24"/>
        </w:rPr>
        <w:t xml:space="preserve"> (2023) showed that seven out of 10 teens visit YouTube daily and nearly six out of 10 teens visit TikTok daily. To reach younger populations, news sources should reconsider their focus, shifting more emphasis to digital screens and less to traditional radio and print sources. This supports one of the global competence goals of using media platforms more effectively and responsibly (OECD, 2018, p. 5).  We recommend reassessing current modes of communication used by high school-aged students and revising the survey to include more relevant forms of information gathering. Revising the survey to include updated questions about digital media can provide a better understanding of where students hear about global agriculture. It can also determine if they feel that these digital spaces help them better understand the world around them and use their online voice productively and responsibly (OECD, 2018). </w:t>
      </w:r>
    </w:p>
    <w:p w14:paraId="00000021" w14:textId="5788C68A" w:rsidR="00F812F0" w:rsidRDefault="00000000">
      <w:pPr>
        <w:spacing w:before="240" w:after="240" w:line="240" w:lineRule="auto"/>
        <w:ind w:firstLine="720"/>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In the broader context of the study, we recommend continuing efforts to further incorporate international agriculture into educational programs for students, enabling them to better understand and analyze complex global problems. This survey provides </w:t>
      </w:r>
      <w:r w:rsidR="00671206">
        <w:rPr>
          <w:rFonts w:ascii="Times New Roman" w:eastAsia="Times New Roman" w:hAnsi="Times New Roman" w:cs="Times New Roman"/>
          <w:sz w:val="24"/>
          <w:szCs w:val="24"/>
        </w:rPr>
        <w:t>VGSA</w:t>
      </w:r>
      <w:r>
        <w:rPr>
          <w:rFonts w:ascii="Times New Roman" w:eastAsia="Times New Roman" w:hAnsi="Times New Roman" w:cs="Times New Roman"/>
          <w:sz w:val="24"/>
          <w:szCs w:val="24"/>
        </w:rPr>
        <w:t xml:space="preserve"> leadership with information to improve the program, encouraging participants' ongoing curiosity and appreciation for international agriculture concepts. </w:t>
      </w:r>
    </w:p>
    <w:p w14:paraId="00000022" w14:textId="6A02B965" w:rsidR="00F812F0" w:rsidRDefault="00000000">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b/>
          <w:sz w:val="24"/>
          <w:szCs w:val="24"/>
        </w:rPr>
        <w:t>Objective 3.</w:t>
      </w:r>
      <w:r>
        <w:rPr>
          <w:rFonts w:ascii="Times New Roman" w:eastAsia="Times New Roman" w:hAnsi="Times New Roman" w:cs="Times New Roman"/>
          <w:sz w:val="24"/>
          <w:szCs w:val="24"/>
        </w:rPr>
        <w:t xml:space="preserve"> As global connectivity increases, a continued focus on geographic concepts is important to help students understand the global nature of agriculture. Students demonstrated a strong understanding of geographic concepts relevant to international agriculture. This aligns with </w:t>
      </w:r>
      <w:r w:rsidR="00254EF9">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OECD (2018) Global Competence Framework’s emphasis on analyzing global issues within context. This strong understanding of geographic concepts may be connected to prior coursework or exposure through travel. Overall, participants displayed high geographic literacy and positive attitudes toward instruction related to international agriculture, suggesting strong readiness for globally oriented learning.</w:t>
      </w:r>
    </w:p>
    <w:p w14:paraId="00000023" w14:textId="61BBE371" w:rsidR="00F812F0" w:rsidRDefault="00000000">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Objective 4. </w:t>
      </w:r>
      <w:r>
        <w:rPr>
          <w:rFonts w:ascii="Times New Roman" w:eastAsia="Times New Roman" w:hAnsi="Times New Roman" w:cs="Times New Roman"/>
          <w:sz w:val="24"/>
          <w:szCs w:val="24"/>
        </w:rPr>
        <w:t xml:space="preserve">Participants' attitudes toward instructional methods were more variable. This suggests a potential disconnect between teaching methods, content delivery, and the methods participants prefer to learn about global topics. However, some areas of neutrality may indicate a need to modernize instructional strategies and content. These findings suggest that youth programs like </w:t>
      </w:r>
      <w:r w:rsidR="00671206">
        <w:rPr>
          <w:rFonts w:ascii="Times New Roman" w:eastAsia="Times New Roman" w:hAnsi="Times New Roman" w:cs="Times New Roman"/>
          <w:sz w:val="24"/>
          <w:szCs w:val="24"/>
        </w:rPr>
        <w:t>VGSA</w:t>
      </w:r>
      <w:r>
        <w:rPr>
          <w:rFonts w:ascii="Times New Roman" w:eastAsia="Times New Roman" w:hAnsi="Times New Roman" w:cs="Times New Roman"/>
          <w:sz w:val="24"/>
          <w:szCs w:val="24"/>
        </w:rPr>
        <w:t xml:space="preserve"> can supplement and deepen students’ geographic and global awareness by utilizing teaching and learning strategies that connect agriculture systems to global patterns of culture, trade, and climate. Additionally, content should be regularly evaluated and revised to reflect changes in technology and access to global information, and student-centered, collaborative problem-based learning should be prioritized. </w:t>
      </w:r>
    </w:p>
    <w:p w14:paraId="00000024" w14:textId="6FB7E517" w:rsidR="00F812F0" w:rsidRDefault="00000000">
      <w:pPr>
        <w:spacing w:before="240"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Overall, findings from this study reveal that </w:t>
      </w:r>
      <w:r w:rsidR="00671206">
        <w:rPr>
          <w:rFonts w:ascii="Times New Roman" w:eastAsia="Times New Roman" w:hAnsi="Times New Roman" w:cs="Times New Roman"/>
          <w:sz w:val="24"/>
          <w:szCs w:val="24"/>
        </w:rPr>
        <w:t>VGSA</w:t>
      </w:r>
      <w:r>
        <w:rPr>
          <w:rFonts w:ascii="Times New Roman" w:eastAsia="Times New Roman" w:hAnsi="Times New Roman" w:cs="Times New Roman"/>
          <w:sz w:val="24"/>
          <w:szCs w:val="24"/>
        </w:rPr>
        <w:t xml:space="preserve"> participants hold positive attitudes and beliefs toward learning international agricultural concepts, demonstrate strong geographic understanding, and value instruction that connects global and local agricultural contexts. These results reaffirm the importance of incorporating global perspectives into youth agricultural education and tailoring instruction to the diverse learning needs of students. While the findings are limited to the </w:t>
      </w:r>
      <w:r w:rsidR="00671206">
        <w:rPr>
          <w:rFonts w:ascii="Times New Roman" w:eastAsia="Times New Roman" w:hAnsi="Times New Roman" w:cs="Times New Roman"/>
          <w:sz w:val="24"/>
          <w:szCs w:val="24"/>
        </w:rPr>
        <w:t>VGSA</w:t>
      </w:r>
      <w:r>
        <w:rPr>
          <w:rFonts w:ascii="Times New Roman" w:eastAsia="Times New Roman" w:hAnsi="Times New Roman" w:cs="Times New Roman"/>
          <w:sz w:val="24"/>
          <w:szCs w:val="24"/>
        </w:rPr>
        <w:t xml:space="preserve"> context, they highlight the importance of connecting international agriculture education with the evolving ways young people learn about the world. Given the diversity of participants, </w:t>
      </w:r>
      <w:r w:rsidR="00671206">
        <w:rPr>
          <w:rFonts w:ascii="Times New Roman" w:eastAsia="Times New Roman" w:hAnsi="Times New Roman" w:cs="Times New Roman"/>
          <w:sz w:val="24"/>
          <w:szCs w:val="24"/>
        </w:rPr>
        <w:t>VGSA</w:t>
      </w:r>
      <w:r>
        <w:rPr>
          <w:rFonts w:ascii="Times New Roman" w:eastAsia="Times New Roman" w:hAnsi="Times New Roman" w:cs="Times New Roman"/>
          <w:sz w:val="24"/>
          <w:szCs w:val="24"/>
        </w:rPr>
        <w:t xml:space="preserve"> program administration and instructors should provide differentiated entry points and appropriate complexity to engage all program participants. Finally, </w:t>
      </w:r>
      <w:r w:rsidR="00671206">
        <w:rPr>
          <w:rFonts w:ascii="Times New Roman" w:eastAsia="Times New Roman" w:hAnsi="Times New Roman" w:cs="Times New Roman"/>
          <w:sz w:val="24"/>
          <w:szCs w:val="24"/>
        </w:rPr>
        <w:t>VGSA</w:t>
      </w:r>
      <w:r>
        <w:rPr>
          <w:rFonts w:ascii="Times New Roman" w:eastAsia="Times New Roman" w:hAnsi="Times New Roman" w:cs="Times New Roman"/>
          <w:sz w:val="24"/>
          <w:szCs w:val="24"/>
        </w:rPr>
        <w:t xml:space="preserve"> staff and future researchers should evaluate and revise the current survey </w:t>
      </w:r>
      <w:r>
        <w:rPr>
          <w:rFonts w:ascii="Times New Roman" w:eastAsia="Times New Roman" w:hAnsi="Times New Roman" w:cs="Times New Roman"/>
          <w:sz w:val="24"/>
          <w:szCs w:val="24"/>
        </w:rPr>
        <w:lastRenderedPageBreak/>
        <w:t>instrument to remove outdated items, improve wording, reduce redundancy, and include questions that reflect how today’s youth access information and navigate global issues in digital environments.</w:t>
      </w:r>
    </w:p>
    <w:p w14:paraId="00000028" w14:textId="77777777" w:rsidR="00F812F0" w:rsidRDefault="00000000">
      <w:pPr>
        <w:spacing w:before="240" w:after="2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References</w:t>
      </w:r>
    </w:p>
    <w:p w14:paraId="00000029" w14:textId="4E33AE82" w:rsidR="00F812F0" w:rsidRDefault="00000000" w:rsidP="00F01FF8">
      <w:pPr>
        <w:spacing w:before="240" w:after="24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Adenubi, O. T., Adebowale, O. O., </w:t>
      </w:r>
      <w:proofErr w:type="spellStart"/>
      <w:r>
        <w:rPr>
          <w:rFonts w:ascii="Times New Roman" w:eastAsia="Times New Roman" w:hAnsi="Times New Roman" w:cs="Times New Roman"/>
          <w:color w:val="222222"/>
          <w:sz w:val="24"/>
          <w:szCs w:val="24"/>
        </w:rPr>
        <w:t>Oloye</w:t>
      </w:r>
      <w:proofErr w:type="spellEnd"/>
      <w:r>
        <w:rPr>
          <w:rFonts w:ascii="Times New Roman" w:eastAsia="Times New Roman" w:hAnsi="Times New Roman" w:cs="Times New Roman"/>
          <w:color w:val="222222"/>
          <w:sz w:val="24"/>
          <w:szCs w:val="24"/>
        </w:rPr>
        <w:t xml:space="preserve">, A. A., Bankole, N. O., Ayo-Ajayi, P. O., &amp; </w:t>
      </w:r>
      <w:proofErr w:type="spellStart"/>
      <w:r>
        <w:rPr>
          <w:rFonts w:ascii="Times New Roman" w:eastAsia="Times New Roman" w:hAnsi="Times New Roman" w:cs="Times New Roman"/>
          <w:color w:val="222222"/>
          <w:sz w:val="24"/>
          <w:szCs w:val="24"/>
        </w:rPr>
        <w:t>Akinloye</w:t>
      </w:r>
      <w:proofErr w:type="spellEnd"/>
      <w:r>
        <w:rPr>
          <w:rFonts w:ascii="Times New Roman" w:eastAsia="Times New Roman" w:hAnsi="Times New Roman" w:cs="Times New Roman"/>
          <w:color w:val="222222"/>
          <w:sz w:val="24"/>
          <w:szCs w:val="24"/>
        </w:rPr>
        <w:t xml:space="preserve">, A. K. (2021). University community-based survey on the knowledge, attitude and perception about COVID-19 pandemic: The Federal University of Agriculture, Abeokuta, Nigeria as a case study. </w:t>
      </w:r>
      <w:r>
        <w:rPr>
          <w:rFonts w:ascii="Times New Roman" w:eastAsia="Times New Roman" w:hAnsi="Times New Roman" w:cs="Times New Roman"/>
          <w:i/>
          <w:color w:val="222222"/>
          <w:sz w:val="24"/>
          <w:szCs w:val="24"/>
        </w:rPr>
        <w:t xml:space="preserve">Journal of </w:t>
      </w:r>
      <w:r w:rsidR="00BB6162">
        <w:rPr>
          <w:rFonts w:ascii="Times New Roman" w:eastAsia="Times New Roman" w:hAnsi="Times New Roman" w:cs="Times New Roman"/>
          <w:i/>
          <w:color w:val="222222"/>
          <w:sz w:val="24"/>
          <w:szCs w:val="24"/>
        </w:rPr>
        <w:t>P</w:t>
      </w:r>
      <w:r>
        <w:rPr>
          <w:rFonts w:ascii="Times New Roman" w:eastAsia="Times New Roman" w:hAnsi="Times New Roman" w:cs="Times New Roman"/>
          <w:i/>
          <w:color w:val="222222"/>
          <w:sz w:val="24"/>
          <w:szCs w:val="24"/>
        </w:rPr>
        <w:t xml:space="preserve">reventive </w:t>
      </w:r>
      <w:r w:rsidR="00BB6162">
        <w:rPr>
          <w:rFonts w:ascii="Times New Roman" w:eastAsia="Times New Roman" w:hAnsi="Times New Roman" w:cs="Times New Roman"/>
          <w:i/>
          <w:color w:val="222222"/>
          <w:sz w:val="24"/>
          <w:szCs w:val="24"/>
        </w:rPr>
        <w:t>M</w:t>
      </w:r>
      <w:r>
        <w:rPr>
          <w:rFonts w:ascii="Times New Roman" w:eastAsia="Times New Roman" w:hAnsi="Times New Roman" w:cs="Times New Roman"/>
          <w:i/>
          <w:color w:val="222222"/>
          <w:sz w:val="24"/>
          <w:szCs w:val="24"/>
        </w:rPr>
        <w:t xml:space="preserve">edicine and </w:t>
      </w:r>
      <w:r w:rsidR="00BB6162">
        <w:rPr>
          <w:rFonts w:ascii="Times New Roman" w:eastAsia="Times New Roman" w:hAnsi="Times New Roman" w:cs="Times New Roman"/>
          <w:i/>
          <w:color w:val="222222"/>
          <w:sz w:val="24"/>
          <w:szCs w:val="24"/>
        </w:rPr>
        <w:t>H</w:t>
      </w:r>
      <w:r>
        <w:rPr>
          <w:rFonts w:ascii="Times New Roman" w:eastAsia="Times New Roman" w:hAnsi="Times New Roman" w:cs="Times New Roman"/>
          <w:i/>
          <w:color w:val="222222"/>
          <w:sz w:val="24"/>
          <w:szCs w:val="24"/>
        </w:rPr>
        <w:t>ygiene</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62</w:t>
      </w:r>
      <w:r>
        <w:rPr>
          <w:rFonts w:ascii="Times New Roman" w:eastAsia="Times New Roman" w:hAnsi="Times New Roman" w:cs="Times New Roman"/>
          <w:color w:val="222222"/>
          <w:sz w:val="24"/>
          <w:szCs w:val="24"/>
        </w:rPr>
        <w:t>(3), E575. https://doi.org/10.15167/2421-4248/jpmh2021.62.3.1663</w:t>
      </w:r>
    </w:p>
    <w:p w14:paraId="0000002A" w14:textId="77777777" w:rsidR="00F812F0" w:rsidRDefault="00000000" w:rsidP="00F01FF8">
      <w:pPr>
        <w:spacing w:before="240" w:after="24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Akpan, M., &amp; Martin, R. A. (Fall 1996). Perceptions and activities of agricultural education professors in U.S. institutions of higher education regarding internationalization of the agricultural education curriculum. </w:t>
      </w:r>
      <w:r>
        <w:rPr>
          <w:rFonts w:ascii="Times New Roman" w:eastAsia="Times New Roman" w:hAnsi="Times New Roman" w:cs="Times New Roman"/>
          <w:i/>
          <w:sz w:val="24"/>
          <w:szCs w:val="24"/>
        </w:rPr>
        <w:t>Journal of International Agricultural and Extension Education</w:t>
      </w:r>
      <w:r>
        <w:rPr>
          <w:rFonts w:ascii="Times New Roman" w:eastAsia="Times New Roman" w:hAnsi="Times New Roman" w:cs="Times New Roman"/>
          <w:sz w:val="24"/>
          <w:szCs w:val="24"/>
        </w:rPr>
        <w:t xml:space="preserve">, 63-71. </w:t>
      </w:r>
    </w:p>
    <w:p w14:paraId="0000002B" w14:textId="77777777" w:rsidR="00F812F0" w:rsidRDefault="00000000" w:rsidP="00F01FF8">
      <w:pPr>
        <w:spacing w:before="240" w:after="24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Alabi, O. S., </w:t>
      </w:r>
      <w:proofErr w:type="spellStart"/>
      <w:r>
        <w:rPr>
          <w:rFonts w:ascii="Times New Roman" w:eastAsia="Times New Roman" w:hAnsi="Times New Roman" w:cs="Times New Roman"/>
          <w:color w:val="222222"/>
          <w:sz w:val="24"/>
          <w:szCs w:val="24"/>
        </w:rPr>
        <w:t>Fapojuwo</w:t>
      </w:r>
      <w:proofErr w:type="spellEnd"/>
      <w:r>
        <w:rPr>
          <w:rFonts w:ascii="Times New Roman" w:eastAsia="Times New Roman" w:hAnsi="Times New Roman" w:cs="Times New Roman"/>
          <w:color w:val="222222"/>
          <w:sz w:val="24"/>
          <w:szCs w:val="24"/>
        </w:rPr>
        <w:t xml:space="preserve">, O. E., &amp; Alabi, T. (2019). Urban area, youth </w:t>
      </w:r>
      <w:proofErr w:type="spellStart"/>
      <w:r>
        <w:rPr>
          <w:rFonts w:ascii="Times New Roman" w:eastAsia="Times New Roman" w:hAnsi="Times New Roman" w:cs="Times New Roman"/>
          <w:color w:val="222222"/>
          <w:sz w:val="24"/>
          <w:szCs w:val="24"/>
        </w:rPr>
        <w:t>agripreneurs</w:t>
      </w:r>
      <w:proofErr w:type="spellEnd"/>
      <w:r>
        <w:rPr>
          <w:rFonts w:ascii="Times New Roman" w:eastAsia="Times New Roman" w:hAnsi="Times New Roman" w:cs="Times New Roman"/>
          <w:color w:val="222222"/>
          <w:sz w:val="24"/>
          <w:szCs w:val="24"/>
        </w:rPr>
        <w:t xml:space="preserve"> and agribusinesses: signatures of attitude change towards agriculture in Ogun state, Nigeria. </w:t>
      </w:r>
      <w:r>
        <w:rPr>
          <w:rFonts w:ascii="Times New Roman" w:eastAsia="Times New Roman" w:hAnsi="Times New Roman" w:cs="Times New Roman"/>
          <w:i/>
          <w:color w:val="222222"/>
          <w:sz w:val="24"/>
          <w:szCs w:val="24"/>
        </w:rPr>
        <w:t>African Renaissance</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 xml:space="preserve">16 </w:t>
      </w:r>
      <w:r>
        <w:rPr>
          <w:rFonts w:ascii="Times New Roman" w:eastAsia="Times New Roman" w:hAnsi="Times New Roman" w:cs="Times New Roman"/>
          <w:color w:val="222222"/>
          <w:sz w:val="24"/>
          <w:szCs w:val="24"/>
        </w:rPr>
        <w:t>(Special 2), 127. https://www.proquest.com/docview/2328300199?pq-origsite=gscholar&amp;fromopenview=true&amp;sourcetype=Scholarly%20Journals</w:t>
      </w:r>
    </w:p>
    <w:p w14:paraId="0000002C" w14:textId="77777777" w:rsidR="00F812F0" w:rsidRDefault="00000000" w:rsidP="00F01FF8">
      <w:pPr>
        <w:spacing w:before="240" w:after="24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Anderson, M., </w:t>
      </w:r>
      <w:proofErr w:type="spellStart"/>
      <w:r>
        <w:rPr>
          <w:rFonts w:ascii="Times New Roman" w:eastAsia="Times New Roman" w:hAnsi="Times New Roman" w:cs="Times New Roman"/>
          <w:sz w:val="24"/>
          <w:szCs w:val="24"/>
        </w:rPr>
        <w:t>Faverio</w:t>
      </w:r>
      <w:proofErr w:type="spellEnd"/>
      <w:r>
        <w:rPr>
          <w:rFonts w:ascii="Times New Roman" w:eastAsia="Times New Roman" w:hAnsi="Times New Roman" w:cs="Times New Roman"/>
          <w:sz w:val="24"/>
          <w:szCs w:val="24"/>
        </w:rPr>
        <w:t xml:space="preserve">, M., &amp; Gottfried, J. (2023, December 11). </w:t>
      </w:r>
      <w:r>
        <w:rPr>
          <w:rFonts w:ascii="Times New Roman" w:eastAsia="Times New Roman" w:hAnsi="Times New Roman" w:cs="Times New Roman"/>
          <w:i/>
          <w:sz w:val="24"/>
          <w:szCs w:val="24"/>
        </w:rPr>
        <w:t>Teens, social media and technology 2023</w:t>
      </w:r>
      <w:r>
        <w:rPr>
          <w:rFonts w:ascii="Times New Roman" w:eastAsia="Times New Roman" w:hAnsi="Times New Roman" w:cs="Times New Roman"/>
          <w:sz w:val="24"/>
          <w:szCs w:val="24"/>
        </w:rPr>
        <w:t xml:space="preserve">. </w:t>
      </w:r>
      <w:r w:rsidRPr="00F9606C">
        <w:rPr>
          <w:rFonts w:ascii="Times New Roman" w:eastAsia="Times New Roman" w:hAnsi="Times New Roman" w:cs="Times New Roman"/>
          <w:iCs/>
          <w:sz w:val="24"/>
          <w:szCs w:val="24"/>
        </w:rPr>
        <w:t>Pew Research Center</w:t>
      </w:r>
      <w:r>
        <w:rPr>
          <w:rFonts w:ascii="Times New Roman" w:eastAsia="Times New Roman" w:hAnsi="Times New Roman" w:cs="Times New Roman"/>
          <w:sz w:val="24"/>
          <w:szCs w:val="24"/>
        </w:rPr>
        <w:t>.</w:t>
      </w:r>
    </w:p>
    <w:p w14:paraId="0000002D" w14:textId="77777777" w:rsidR="00F812F0" w:rsidRDefault="00000000" w:rsidP="00F01FF8">
      <w:pPr>
        <w:spacing w:before="240" w:after="24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Biancardi, A., Colasante, A., &amp; D’Adamo, I. (2023). Sustainable education and youth confidence as pillars of future civil society. </w:t>
      </w:r>
      <w:r>
        <w:rPr>
          <w:rFonts w:ascii="Times New Roman" w:eastAsia="Times New Roman" w:hAnsi="Times New Roman" w:cs="Times New Roman"/>
          <w:i/>
          <w:color w:val="222222"/>
          <w:sz w:val="24"/>
          <w:szCs w:val="24"/>
        </w:rPr>
        <w:t>Scientific Reports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13</w:t>
      </w:r>
      <w:r>
        <w:rPr>
          <w:rFonts w:ascii="Times New Roman" w:eastAsia="Times New Roman" w:hAnsi="Times New Roman" w:cs="Times New Roman"/>
          <w:color w:val="222222"/>
          <w:sz w:val="24"/>
          <w:szCs w:val="24"/>
        </w:rPr>
        <w:t>(1), 955. https://doi.org/10.1038/s41598-023-28143-9</w:t>
      </w:r>
    </w:p>
    <w:p w14:paraId="0000002E" w14:textId="77777777" w:rsidR="00F812F0" w:rsidRDefault="00000000" w:rsidP="00F01FF8">
      <w:pPr>
        <w:spacing w:before="240" w:after="24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Brück, T., &amp; </w:t>
      </w:r>
      <w:proofErr w:type="spellStart"/>
      <w:r>
        <w:rPr>
          <w:rFonts w:ascii="Times New Roman" w:eastAsia="Times New Roman" w:hAnsi="Times New Roman" w:cs="Times New Roman"/>
          <w:sz w:val="24"/>
          <w:szCs w:val="24"/>
        </w:rPr>
        <w:t>d'Errico</w:t>
      </w:r>
      <w:proofErr w:type="spellEnd"/>
      <w:r>
        <w:rPr>
          <w:rFonts w:ascii="Times New Roman" w:eastAsia="Times New Roman" w:hAnsi="Times New Roman" w:cs="Times New Roman"/>
          <w:sz w:val="24"/>
          <w:szCs w:val="24"/>
        </w:rPr>
        <w:t xml:space="preserve">, M. (2019). Reprint of: Food security and violent conflict: Introduction to the special issue. </w:t>
      </w:r>
      <w:r>
        <w:rPr>
          <w:rFonts w:ascii="Times New Roman" w:eastAsia="Times New Roman" w:hAnsi="Times New Roman" w:cs="Times New Roman"/>
          <w:i/>
          <w:sz w:val="24"/>
          <w:szCs w:val="24"/>
        </w:rPr>
        <w:t>World Development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119</w:t>
      </w:r>
      <w:r>
        <w:rPr>
          <w:rFonts w:ascii="Times New Roman" w:eastAsia="Times New Roman" w:hAnsi="Times New Roman" w:cs="Times New Roman"/>
          <w:sz w:val="24"/>
          <w:szCs w:val="24"/>
        </w:rPr>
        <w:t>, 145-149. https://doi.org/10.1016/j.worlddev.2019.04.006</w:t>
      </w:r>
    </w:p>
    <w:p w14:paraId="0000002F" w14:textId="77777777" w:rsidR="00F812F0" w:rsidRDefault="00000000" w:rsidP="00F01FF8">
      <w:pPr>
        <w:spacing w:before="240" w:after="240" w:line="24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rPr>
        <w:t>Chinchmalatpure</w:t>
      </w:r>
      <w:proofErr w:type="spellEnd"/>
      <w:r>
        <w:rPr>
          <w:rFonts w:ascii="Times New Roman" w:eastAsia="Times New Roman" w:hAnsi="Times New Roman" w:cs="Times New Roman"/>
          <w:color w:val="222222"/>
          <w:sz w:val="24"/>
          <w:szCs w:val="24"/>
        </w:rPr>
        <w:t xml:space="preserve">, U. R., &amp; </w:t>
      </w:r>
      <w:proofErr w:type="spellStart"/>
      <w:r>
        <w:rPr>
          <w:rFonts w:ascii="Times New Roman" w:eastAsia="Times New Roman" w:hAnsi="Times New Roman" w:cs="Times New Roman"/>
          <w:color w:val="222222"/>
          <w:sz w:val="24"/>
          <w:szCs w:val="24"/>
        </w:rPr>
        <w:t>Koshti</w:t>
      </w:r>
      <w:proofErr w:type="spellEnd"/>
      <w:r>
        <w:rPr>
          <w:rFonts w:ascii="Times New Roman" w:eastAsia="Times New Roman" w:hAnsi="Times New Roman" w:cs="Times New Roman"/>
          <w:color w:val="222222"/>
          <w:sz w:val="24"/>
          <w:szCs w:val="24"/>
        </w:rPr>
        <w:t xml:space="preserve">, N. R. (2021). Determinants of attitude of rural youth towards agriculture. </w:t>
      </w:r>
      <w:r>
        <w:rPr>
          <w:rFonts w:ascii="Times New Roman" w:eastAsia="Times New Roman" w:hAnsi="Times New Roman" w:cs="Times New Roman"/>
          <w:i/>
          <w:color w:val="222222"/>
          <w:sz w:val="24"/>
          <w:szCs w:val="24"/>
        </w:rPr>
        <w:t>Journal of Extension Education</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39</w:t>
      </w:r>
      <w:r>
        <w:rPr>
          <w:rFonts w:ascii="Times New Roman" w:eastAsia="Times New Roman" w:hAnsi="Times New Roman" w:cs="Times New Roman"/>
          <w:color w:val="222222"/>
          <w:sz w:val="24"/>
          <w:szCs w:val="24"/>
        </w:rPr>
        <w:t>, 15.</w:t>
      </w:r>
      <w:r>
        <w:rPr>
          <w:rFonts w:ascii="Times New Roman" w:eastAsia="Times New Roman" w:hAnsi="Times New Roman" w:cs="Times New Roman"/>
          <w:sz w:val="24"/>
          <w:szCs w:val="24"/>
        </w:rPr>
        <w:t xml:space="preserve"> </w:t>
      </w:r>
    </w:p>
    <w:p w14:paraId="00000030" w14:textId="77777777" w:rsidR="00F812F0" w:rsidRDefault="00000000" w:rsidP="00F01FF8">
      <w:pPr>
        <w:spacing w:before="240" w:after="24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Cohen, R., Roth, D., York, A., &amp; Neikrug, S. (2012). Youth leadership program for changing self-image and attitude toward people with disabilities. </w:t>
      </w:r>
      <w:r>
        <w:rPr>
          <w:rFonts w:ascii="Times New Roman" w:eastAsia="Times New Roman" w:hAnsi="Times New Roman" w:cs="Times New Roman"/>
          <w:i/>
          <w:color w:val="222222"/>
          <w:sz w:val="24"/>
          <w:szCs w:val="24"/>
        </w:rPr>
        <w:t>Journal of social work in disability &amp; rehabilitation</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11</w:t>
      </w:r>
      <w:r>
        <w:rPr>
          <w:rFonts w:ascii="Times New Roman" w:eastAsia="Times New Roman" w:hAnsi="Times New Roman" w:cs="Times New Roman"/>
          <w:color w:val="222222"/>
          <w:sz w:val="24"/>
          <w:szCs w:val="24"/>
        </w:rPr>
        <w:t>(3), 197-218. https://doi.org/10.1080/1536710X.2012.704215</w:t>
      </w:r>
    </w:p>
    <w:p w14:paraId="00000031" w14:textId="77777777" w:rsidR="00F812F0" w:rsidRDefault="00000000" w:rsidP="00F01FF8">
      <w:pPr>
        <w:spacing w:before="240" w:after="24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Conner, N. W., Greer, S., &amp; Stripling, C. T. (2017). International agricultural concepts through the eyes of school-based agriculture education students. </w:t>
      </w:r>
      <w:r>
        <w:rPr>
          <w:rFonts w:ascii="Times New Roman" w:eastAsia="Times New Roman" w:hAnsi="Times New Roman" w:cs="Times New Roman"/>
          <w:i/>
          <w:sz w:val="24"/>
          <w:szCs w:val="24"/>
        </w:rPr>
        <w:t>Journal of International Agricultural and Extension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24</w:t>
      </w:r>
      <w:r>
        <w:rPr>
          <w:rFonts w:ascii="Times New Roman" w:eastAsia="Times New Roman" w:hAnsi="Times New Roman" w:cs="Times New Roman"/>
          <w:sz w:val="24"/>
          <w:szCs w:val="24"/>
        </w:rPr>
        <w:t>(2), 65-77. https://doi.org/10.5191/jiaee.2017.24205</w:t>
      </w:r>
    </w:p>
    <w:p w14:paraId="00000032" w14:textId="77777777" w:rsidR="00F812F0" w:rsidRDefault="00000000" w:rsidP="00F01FF8">
      <w:pPr>
        <w:spacing w:before="240" w:after="24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Crawford, E. O., &amp; Kirby, M. M. (2008). Fostering students’ global awareness: Technology applications in social studies teaching and learning. </w:t>
      </w:r>
      <w:r>
        <w:rPr>
          <w:rFonts w:ascii="Times New Roman" w:eastAsia="Times New Roman" w:hAnsi="Times New Roman" w:cs="Times New Roman"/>
          <w:i/>
          <w:sz w:val="24"/>
          <w:szCs w:val="24"/>
        </w:rPr>
        <w:t>Journal of Curriculum and Instruction</w:t>
      </w:r>
      <w:r>
        <w:rPr>
          <w:rFonts w:ascii="Times New Roman" w:eastAsia="Times New Roman" w:hAnsi="Times New Roman" w:cs="Times New Roman"/>
          <w:sz w:val="24"/>
          <w:szCs w:val="24"/>
        </w:rPr>
        <w:t>, 2(1), 56–73. doi:10.3776/</w:t>
      </w:r>
      <w:proofErr w:type="gramStart"/>
      <w:r>
        <w:rPr>
          <w:rFonts w:ascii="Times New Roman" w:eastAsia="Times New Roman" w:hAnsi="Times New Roman" w:cs="Times New Roman"/>
          <w:sz w:val="24"/>
          <w:szCs w:val="24"/>
        </w:rPr>
        <w:t>joci.2008.v</w:t>
      </w:r>
      <w:proofErr w:type="gramEnd"/>
      <w:r>
        <w:rPr>
          <w:rFonts w:ascii="Times New Roman" w:eastAsia="Times New Roman" w:hAnsi="Times New Roman" w:cs="Times New Roman"/>
          <w:sz w:val="24"/>
          <w:szCs w:val="24"/>
        </w:rPr>
        <w:t>2n1p56-73</w:t>
      </w:r>
    </w:p>
    <w:p w14:paraId="00000033" w14:textId="38BF09A0" w:rsidR="00F812F0" w:rsidRDefault="00000000">
      <w:pPr>
        <w:spacing w:before="240" w:after="240" w:line="240" w:lineRule="auto"/>
        <w:ind w:left="720" w:hanging="7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Elliot, J., &amp; Yanik, R. (2004). </w:t>
      </w:r>
      <w:r w:rsidRPr="005B004B">
        <w:rPr>
          <w:rFonts w:ascii="Times New Roman" w:eastAsia="Times New Roman" w:hAnsi="Times New Roman" w:cs="Times New Roman"/>
          <w:i/>
          <w:iCs/>
          <w:sz w:val="24"/>
          <w:szCs w:val="24"/>
        </w:rPr>
        <w:t xml:space="preserve">A </w:t>
      </w:r>
      <w:r w:rsidR="004F1EB0" w:rsidRPr="005B004B">
        <w:rPr>
          <w:rFonts w:ascii="Times New Roman" w:eastAsia="Times New Roman" w:hAnsi="Times New Roman" w:cs="Times New Roman"/>
          <w:i/>
          <w:iCs/>
          <w:sz w:val="24"/>
          <w:szCs w:val="24"/>
        </w:rPr>
        <w:t>longitudinal study of secondary student attitudes and beliefs relative to international agricultural issues</w:t>
      </w:r>
      <w:r w:rsidRPr="005B004B">
        <w:rPr>
          <w:rFonts w:ascii="Times New Roman" w:eastAsia="Times New Roman" w:hAnsi="Times New Roman" w:cs="Times New Roman"/>
          <w:i/>
          <w:iCs/>
          <w:sz w:val="24"/>
          <w:szCs w:val="24"/>
        </w:rPr>
        <w:t>.</w:t>
      </w:r>
      <w:r>
        <w:rPr>
          <w:rFonts w:ascii="Times New Roman" w:eastAsia="Times New Roman" w:hAnsi="Times New Roman" w:cs="Times New Roman"/>
          <w:sz w:val="24"/>
          <w:szCs w:val="24"/>
        </w:rPr>
        <w:t xml:space="preserve"> </w:t>
      </w:r>
      <w:r w:rsidR="005B004B">
        <w:rPr>
          <w:rFonts w:ascii="Times New Roman" w:eastAsia="Times New Roman" w:hAnsi="Times New Roman" w:cs="Times New Roman"/>
          <w:sz w:val="24"/>
          <w:szCs w:val="24"/>
        </w:rPr>
        <w:t xml:space="preserve">[Conference presentation]. </w:t>
      </w:r>
      <w:r>
        <w:rPr>
          <w:rFonts w:ascii="Times New Roman" w:eastAsia="Times New Roman" w:hAnsi="Times New Roman" w:cs="Times New Roman"/>
          <w:sz w:val="24"/>
          <w:szCs w:val="24"/>
        </w:rPr>
        <w:t>20th Annual Conference of the Association for International and Agricultural and Extension Education, Dublin, Ireland.</w:t>
      </w:r>
    </w:p>
    <w:p w14:paraId="00000034" w14:textId="77777777" w:rsidR="00F812F0" w:rsidRDefault="00000000">
      <w:pPr>
        <w:spacing w:before="240" w:after="240" w:line="240" w:lineRule="auto"/>
        <w:ind w:left="720" w:hanging="7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Food and Agriculture Organization of the United Nations. (2021). Strategic framework 2022-2031. https://openknowledge.fao.org/server/api/core/bitstreams/29404c26-c71d-4982-a899-77bdb2937eef/content </w:t>
      </w:r>
    </w:p>
    <w:p w14:paraId="00000035" w14:textId="77777777" w:rsidR="00F812F0" w:rsidRDefault="00000000" w:rsidP="00F01FF8">
      <w:pPr>
        <w:spacing w:before="240" w:after="24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Geza, W., Ngidi, M., Ojo, T., </w:t>
      </w:r>
      <w:proofErr w:type="spellStart"/>
      <w:r>
        <w:rPr>
          <w:rFonts w:ascii="Times New Roman" w:eastAsia="Times New Roman" w:hAnsi="Times New Roman" w:cs="Times New Roman"/>
          <w:color w:val="222222"/>
          <w:sz w:val="24"/>
          <w:szCs w:val="24"/>
        </w:rPr>
        <w:t>Adetoro</w:t>
      </w:r>
      <w:proofErr w:type="spellEnd"/>
      <w:r>
        <w:rPr>
          <w:rFonts w:ascii="Times New Roman" w:eastAsia="Times New Roman" w:hAnsi="Times New Roman" w:cs="Times New Roman"/>
          <w:color w:val="222222"/>
          <w:sz w:val="24"/>
          <w:szCs w:val="24"/>
        </w:rPr>
        <w:t xml:space="preserve">, A. A., </w:t>
      </w:r>
      <w:proofErr w:type="spellStart"/>
      <w:r>
        <w:rPr>
          <w:rFonts w:ascii="Times New Roman" w:eastAsia="Times New Roman" w:hAnsi="Times New Roman" w:cs="Times New Roman"/>
          <w:color w:val="222222"/>
          <w:sz w:val="24"/>
          <w:szCs w:val="24"/>
        </w:rPr>
        <w:t>Slotow</w:t>
      </w:r>
      <w:proofErr w:type="spellEnd"/>
      <w:r>
        <w:rPr>
          <w:rFonts w:ascii="Times New Roman" w:eastAsia="Times New Roman" w:hAnsi="Times New Roman" w:cs="Times New Roman"/>
          <w:color w:val="222222"/>
          <w:sz w:val="24"/>
          <w:szCs w:val="24"/>
        </w:rPr>
        <w:t xml:space="preserve">, R., &amp; </w:t>
      </w:r>
      <w:proofErr w:type="spellStart"/>
      <w:r>
        <w:rPr>
          <w:rFonts w:ascii="Times New Roman" w:eastAsia="Times New Roman" w:hAnsi="Times New Roman" w:cs="Times New Roman"/>
          <w:color w:val="222222"/>
          <w:sz w:val="24"/>
          <w:szCs w:val="24"/>
        </w:rPr>
        <w:t>Mabhaudhi</w:t>
      </w:r>
      <w:proofErr w:type="spellEnd"/>
      <w:r>
        <w:rPr>
          <w:rFonts w:ascii="Times New Roman" w:eastAsia="Times New Roman" w:hAnsi="Times New Roman" w:cs="Times New Roman"/>
          <w:color w:val="222222"/>
          <w:sz w:val="24"/>
          <w:szCs w:val="24"/>
        </w:rPr>
        <w:t xml:space="preserve">, T. (2021). Youth participation in agriculture: A scoping review. </w:t>
      </w:r>
      <w:r>
        <w:rPr>
          <w:rFonts w:ascii="Times New Roman" w:eastAsia="Times New Roman" w:hAnsi="Times New Roman" w:cs="Times New Roman"/>
          <w:i/>
          <w:color w:val="222222"/>
          <w:sz w:val="24"/>
          <w:szCs w:val="24"/>
        </w:rPr>
        <w:t>Sustainability</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13</w:t>
      </w:r>
      <w:r>
        <w:rPr>
          <w:rFonts w:ascii="Times New Roman" w:eastAsia="Times New Roman" w:hAnsi="Times New Roman" w:cs="Times New Roman"/>
          <w:color w:val="222222"/>
          <w:sz w:val="24"/>
          <w:szCs w:val="24"/>
        </w:rPr>
        <w:t>(16), 9120. https://doi.org/10.3390/su13169120</w:t>
      </w:r>
    </w:p>
    <w:p w14:paraId="00000036" w14:textId="77777777" w:rsidR="00F812F0" w:rsidRDefault="00000000">
      <w:pPr>
        <w:spacing w:before="240" w:after="240" w:line="240" w:lineRule="auto"/>
        <w:ind w:left="720" w:hanging="7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Heinert, S. B., Conner, N. W., &amp; Roberts, T. G. (2020). School-based agricultural education students’ attitudes and beliefs toward international agricultural concepts. </w:t>
      </w:r>
      <w:r>
        <w:rPr>
          <w:rFonts w:ascii="Times New Roman" w:eastAsia="Times New Roman" w:hAnsi="Times New Roman" w:cs="Times New Roman"/>
          <w:i/>
          <w:sz w:val="24"/>
          <w:szCs w:val="24"/>
        </w:rPr>
        <w:t>Journal of Human Sciences and Extension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8</w:t>
      </w:r>
      <w:r>
        <w:rPr>
          <w:rFonts w:ascii="Times New Roman" w:eastAsia="Times New Roman" w:hAnsi="Times New Roman" w:cs="Times New Roman"/>
          <w:sz w:val="24"/>
          <w:szCs w:val="24"/>
        </w:rPr>
        <w:t>(1), 6. https://doi.org/10.54718/KEWP8168</w:t>
      </w:r>
    </w:p>
    <w:p w14:paraId="00000037" w14:textId="77777777" w:rsidR="00F812F0" w:rsidRDefault="00000000" w:rsidP="00F01FF8">
      <w:pPr>
        <w:spacing w:before="240" w:after="24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Holtz, K. D., &amp; Twombly, E. C. (2007). A preliminary evaluation of the effects of a science education curriculum on changes in knowledge of drugs in youth. </w:t>
      </w:r>
      <w:r>
        <w:rPr>
          <w:rFonts w:ascii="Times New Roman" w:eastAsia="Times New Roman" w:hAnsi="Times New Roman" w:cs="Times New Roman"/>
          <w:i/>
          <w:color w:val="222222"/>
          <w:sz w:val="24"/>
          <w:szCs w:val="24"/>
        </w:rPr>
        <w:t>Journal of Drug Education</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37</w:t>
      </w:r>
      <w:r>
        <w:rPr>
          <w:rFonts w:ascii="Times New Roman" w:eastAsia="Times New Roman" w:hAnsi="Times New Roman" w:cs="Times New Roman"/>
          <w:color w:val="222222"/>
          <w:sz w:val="24"/>
          <w:szCs w:val="24"/>
        </w:rPr>
        <w:t>(3), 317-333. https://doi.org/10.2190/DE.37.3.f</w:t>
      </w:r>
    </w:p>
    <w:p w14:paraId="00000038" w14:textId="77777777" w:rsidR="00F812F0" w:rsidRDefault="00000000" w:rsidP="00F01FF8">
      <w:pPr>
        <w:spacing w:before="240" w:after="240" w:line="24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rPr>
        <w:t>Huambachano</w:t>
      </w:r>
      <w:proofErr w:type="spellEnd"/>
      <w:r>
        <w:rPr>
          <w:rFonts w:ascii="Times New Roman" w:eastAsia="Times New Roman" w:hAnsi="Times New Roman" w:cs="Times New Roman"/>
          <w:color w:val="222222"/>
          <w:sz w:val="24"/>
          <w:szCs w:val="24"/>
        </w:rPr>
        <w:t xml:space="preserve">, M., </w:t>
      </w:r>
      <w:proofErr w:type="spellStart"/>
      <w:r>
        <w:rPr>
          <w:rFonts w:ascii="Times New Roman" w:eastAsia="Times New Roman" w:hAnsi="Times New Roman" w:cs="Times New Roman"/>
          <w:color w:val="222222"/>
          <w:sz w:val="24"/>
          <w:szCs w:val="24"/>
        </w:rPr>
        <w:t>Arulingam</w:t>
      </w:r>
      <w:proofErr w:type="spellEnd"/>
      <w:r>
        <w:rPr>
          <w:rFonts w:ascii="Times New Roman" w:eastAsia="Times New Roman" w:hAnsi="Times New Roman" w:cs="Times New Roman"/>
          <w:color w:val="222222"/>
          <w:sz w:val="24"/>
          <w:szCs w:val="24"/>
        </w:rPr>
        <w:t xml:space="preserve">, I., Bowness, E., </w:t>
      </w:r>
      <w:proofErr w:type="spellStart"/>
      <w:r>
        <w:rPr>
          <w:rFonts w:ascii="Times New Roman" w:eastAsia="Times New Roman" w:hAnsi="Times New Roman" w:cs="Times New Roman"/>
          <w:color w:val="222222"/>
          <w:sz w:val="24"/>
          <w:szCs w:val="24"/>
        </w:rPr>
        <w:t>Korzenszky</w:t>
      </w:r>
      <w:proofErr w:type="spellEnd"/>
      <w:r>
        <w:rPr>
          <w:rFonts w:ascii="Times New Roman" w:eastAsia="Times New Roman" w:hAnsi="Times New Roman" w:cs="Times New Roman"/>
          <w:color w:val="222222"/>
          <w:sz w:val="24"/>
          <w:szCs w:val="24"/>
        </w:rPr>
        <w:t xml:space="preserve">, A., Mungai, C., Termine, P., &amp; Wittman, H. (2022). Knowledge networks to support youth engagement in sustainable food systems. </w:t>
      </w:r>
      <w:r>
        <w:rPr>
          <w:rFonts w:ascii="Times New Roman" w:eastAsia="Times New Roman" w:hAnsi="Times New Roman" w:cs="Times New Roman"/>
          <w:i/>
          <w:color w:val="222222"/>
          <w:sz w:val="24"/>
          <w:szCs w:val="24"/>
        </w:rPr>
        <w:t>Frontiers in Sustainable Food Systems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6</w:t>
      </w:r>
      <w:r>
        <w:rPr>
          <w:rFonts w:ascii="Times New Roman" w:eastAsia="Times New Roman" w:hAnsi="Times New Roman" w:cs="Times New Roman"/>
          <w:color w:val="222222"/>
          <w:sz w:val="24"/>
          <w:szCs w:val="24"/>
        </w:rPr>
        <w:t>, 867344. https://doi.org/10.3389/fsufs.2022.867344</w:t>
      </w:r>
    </w:p>
    <w:p w14:paraId="00000039" w14:textId="77777777" w:rsidR="00F812F0" w:rsidRDefault="00000000" w:rsidP="00F01FF8">
      <w:pPr>
        <w:spacing w:before="240" w:after="24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Malik, R. S. (2018). Educational challenges in 21st century and sustainable development. </w:t>
      </w:r>
      <w:r>
        <w:rPr>
          <w:rFonts w:ascii="Times New Roman" w:eastAsia="Times New Roman" w:hAnsi="Times New Roman" w:cs="Times New Roman"/>
          <w:i/>
          <w:sz w:val="24"/>
          <w:szCs w:val="24"/>
        </w:rPr>
        <w:t>Journal of Sustainable Development Education and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w:t>
      </w:r>
      <w:r>
        <w:rPr>
          <w:rFonts w:ascii="Times New Roman" w:eastAsia="Times New Roman" w:hAnsi="Times New Roman" w:cs="Times New Roman"/>
          <w:sz w:val="24"/>
          <w:szCs w:val="24"/>
        </w:rPr>
        <w:t>(1), 9-20. https://doi.org/10.17509/jsder.v2i1.12266</w:t>
      </w:r>
    </w:p>
    <w:p w14:paraId="0000003A" w14:textId="40885312" w:rsidR="00F812F0" w:rsidRDefault="00000000" w:rsidP="00F01FF8">
      <w:pPr>
        <w:spacing w:before="240" w:after="24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National Center for Education Statistics. (n.d.). </w:t>
      </w:r>
      <w:r>
        <w:rPr>
          <w:rFonts w:ascii="Times New Roman" w:eastAsia="Times New Roman" w:hAnsi="Times New Roman" w:cs="Times New Roman"/>
          <w:i/>
          <w:sz w:val="24"/>
          <w:szCs w:val="24"/>
        </w:rPr>
        <w:t xml:space="preserve">NCES </w:t>
      </w:r>
      <w:r w:rsidR="00B25DCA">
        <w:rPr>
          <w:rFonts w:ascii="Times New Roman" w:eastAsia="Times New Roman" w:hAnsi="Times New Roman" w:cs="Times New Roman"/>
          <w:i/>
          <w:sz w:val="24"/>
          <w:szCs w:val="24"/>
        </w:rPr>
        <w:t>l</w:t>
      </w:r>
      <w:r>
        <w:rPr>
          <w:rFonts w:ascii="Times New Roman" w:eastAsia="Times New Roman" w:hAnsi="Times New Roman" w:cs="Times New Roman"/>
          <w:i/>
          <w:sz w:val="24"/>
          <w:szCs w:val="24"/>
        </w:rPr>
        <w:t xml:space="preserve">ocale </w:t>
      </w:r>
      <w:r w:rsidR="00B25DCA">
        <w:rPr>
          <w:rFonts w:ascii="Times New Roman" w:eastAsia="Times New Roman" w:hAnsi="Times New Roman" w:cs="Times New Roman"/>
          <w:i/>
          <w:sz w:val="24"/>
          <w:szCs w:val="24"/>
        </w:rPr>
        <w:t>c</w:t>
      </w:r>
      <w:r>
        <w:rPr>
          <w:rFonts w:ascii="Times New Roman" w:eastAsia="Times New Roman" w:hAnsi="Times New Roman" w:cs="Times New Roman"/>
          <w:i/>
          <w:sz w:val="24"/>
          <w:szCs w:val="24"/>
        </w:rPr>
        <w:t xml:space="preserve">lassifications and </w:t>
      </w:r>
      <w:r w:rsidR="00B25DCA">
        <w:rPr>
          <w:rFonts w:ascii="Times New Roman" w:eastAsia="Times New Roman" w:hAnsi="Times New Roman" w:cs="Times New Roman"/>
          <w:i/>
          <w:sz w:val="24"/>
          <w:szCs w:val="24"/>
        </w:rPr>
        <w:t>c</w:t>
      </w:r>
      <w:r>
        <w:rPr>
          <w:rFonts w:ascii="Times New Roman" w:eastAsia="Times New Roman" w:hAnsi="Times New Roman" w:cs="Times New Roman"/>
          <w:i/>
          <w:sz w:val="24"/>
          <w:szCs w:val="24"/>
        </w:rPr>
        <w:t>riteria</w:t>
      </w:r>
      <w:r>
        <w:rPr>
          <w:rFonts w:ascii="Times New Roman" w:eastAsia="Times New Roman" w:hAnsi="Times New Roman" w:cs="Times New Roman"/>
          <w:sz w:val="24"/>
          <w:szCs w:val="24"/>
        </w:rPr>
        <w:t>. https://nces.ed.gov/programs/edge/docs/locale_classifications.pdf</w:t>
      </w:r>
    </w:p>
    <w:p w14:paraId="0000003B" w14:textId="77777777" w:rsidR="00F812F0" w:rsidRDefault="00000000">
      <w:pPr>
        <w:spacing w:before="240" w:after="240" w:line="240" w:lineRule="auto"/>
        <w:ind w:left="720" w:hanging="7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National Research Council, Division on Earth, Life Studies, Board on Life Sciences, Committee on a Leadership Summit to Effect Change in Teaching, &amp; Learning. (2009). </w:t>
      </w:r>
      <w:r>
        <w:rPr>
          <w:rFonts w:ascii="Times New Roman" w:eastAsia="Times New Roman" w:hAnsi="Times New Roman" w:cs="Times New Roman"/>
          <w:i/>
          <w:sz w:val="24"/>
          <w:szCs w:val="24"/>
        </w:rPr>
        <w:t xml:space="preserve">Transforming agricultural education </w:t>
      </w:r>
      <w:proofErr w:type="gramStart"/>
      <w:r>
        <w:rPr>
          <w:rFonts w:ascii="Times New Roman" w:eastAsia="Times New Roman" w:hAnsi="Times New Roman" w:cs="Times New Roman"/>
          <w:i/>
          <w:sz w:val="24"/>
          <w:szCs w:val="24"/>
        </w:rPr>
        <w:t>for</w:t>
      </w:r>
      <w:proofErr w:type="gramEnd"/>
      <w:r>
        <w:rPr>
          <w:rFonts w:ascii="Times New Roman" w:eastAsia="Times New Roman" w:hAnsi="Times New Roman" w:cs="Times New Roman"/>
          <w:i/>
          <w:sz w:val="24"/>
          <w:szCs w:val="24"/>
        </w:rPr>
        <w:t xml:space="preserve"> a changing world</w:t>
      </w:r>
      <w:r>
        <w:rPr>
          <w:rFonts w:ascii="Times New Roman" w:eastAsia="Times New Roman" w:hAnsi="Times New Roman" w:cs="Times New Roman"/>
          <w:sz w:val="24"/>
          <w:szCs w:val="24"/>
        </w:rPr>
        <w:t>. National Academies Press.</w:t>
      </w:r>
    </w:p>
    <w:p w14:paraId="0000003C" w14:textId="77777777" w:rsidR="00F812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OECD. (2018). </w:t>
      </w:r>
      <w:r w:rsidRPr="00B25DCA">
        <w:rPr>
          <w:rFonts w:ascii="Times New Roman" w:eastAsia="Times New Roman" w:hAnsi="Times New Roman" w:cs="Times New Roman"/>
          <w:i/>
          <w:iCs/>
          <w:sz w:val="24"/>
          <w:szCs w:val="24"/>
        </w:rPr>
        <w:t>Preparing our youth for an inclusive and sustainable world</w:t>
      </w:r>
      <w:r>
        <w:rPr>
          <w:rFonts w:ascii="Times New Roman" w:eastAsia="Times New Roman" w:hAnsi="Times New Roman" w:cs="Times New Roman"/>
          <w:sz w:val="24"/>
          <w:szCs w:val="24"/>
        </w:rPr>
        <w:t xml:space="preserve">. </w:t>
      </w:r>
    </w:p>
    <w:p w14:paraId="0000003D" w14:textId="77777777" w:rsidR="00F812F0" w:rsidRDefault="00000000">
      <w:pPr>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https://www.oecd.org/content/dam/oecd/en/topics/policy-sub-issues/global-competence/Handbook-PISA-2018-Global-Competence.pdf</w:t>
      </w:r>
    </w:p>
    <w:p w14:paraId="0000003E" w14:textId="77777777" w:rsidR="00F812F0" w:rsidRDefault="00000000" w:rsidP="00F01FF8">
      <w:pPr>
        <w:spacing w:before="240" w:after="24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Ortiz, A. M. D., Outhwaite, C. L., Dalin, C., &amp; Newbold, T. (2021). A review of the interactions between biodiversity, agriculture, climate change, and international trade: research and </w:t>
      </w:r>
      <w:r>
        <w:rPr>
          <w:rFonts w:ascii="Times New Roman" w:eastAsia="Times New Roman" w:hAnsi="Times New Roman" w:cs="Times New Roman"/>
          <w:color w:val="222222"/>
          <w:sz w:val="24"/>
          <w:szCs w:val="24"/>
        </w:rPr>
        <w:lastRenderedPageBreak/>
        <w:t xml:space="preserve">policy priorities. </w:t>
      </w:r>
      <w:r>
        <w:rPr>
          <w:rFonts w:ascii="Times New Roman" w:eastAsia="Times New Roman" w:hAnsi="Times New Roman" w:cs="Times New Roman"/>
          <w:i/>
          <w:color w:val="222222"/>
          <w:sz w:val="24"/>
          <w:szCs w:val="24"/>
        </w:rPr>
        <w:t>One Earth</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4</w:t>
      </w:r>
      <w:r>
        <w:rPr>
          <w:rFonts w:ascii="Times New Roman" w:eastAsia="Times New Roman" w:hAnsi="Times New Roman" w:cs="Times New Roman"/>
          <w:color w:val="222222"/>
          <w:sz w:val="24"/>
          <w:szCs w:val="24"/>
        </w:rPr>
        <w:t>(1), 88-101. https://www.cell.com/one-earth/fulltext/S2590-3322(20)30654-0</w:t>
      </w:r>
    </w:p>
    <w:p w14:paraId="0000003F" w14:textId="7DBD4976" w:rsidR="00F812F0" w:rsidRDefault="00000000">
      <w:pPr>
        <w:spacing w:before="240" w:after="240" w:line="240" w:lineRule="auto"/>
        <w:ind w:left="720" w:hanging="700"/>
        <w:rPr>
          <w:rFonts w:ascii="Times New Roman" w:eastAsia="Times New Roman" w:hAnsi="Times New Roman" w:cs="Times New Roman"/>
          <w:sz w:val="24"/>
          <w:szCs w:val="24"/>
        </w:rPr>
      </w:pPr>
      <w:r>
        <w:rPr>
          <w:rFonts w:ascii="Times New Roman" w:eastAsia="Times New Roman" w:hAnsi="Times New Roman" w:cs="Times New Roman"/>
          <w:sz w:val="24"/>
          <w:szCs w:val="24"/>
        </w:rPr>
        <w:t>Radhakrishna, R. B., Leite, F. C., &amp; Domer</w:t>
      </w:r>
      <w:r w:rsidR="00B25DC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 L. (2003). </w:t>
      </w:r>
      <w:r w:rsidRPr="000B2B05">
        <w:rPr>
          <w:rFonts w:ascii="Times New Roman" w:eastAsia="Times New Roman" w:hAnsi="Times New Roman" w:cs="Times New Roman"/>
          <w:i/>
          <w:iCs/>
          <w:sz w:val="24"/>
          <w:szCs w:val="24"/>
        </w:rPr>
        <w:t xml:space="preserve">An analysis of high school students’ attitudes and beliefs toward international agricultural concepts. </w:t>
      </w:r>
      <w:r w:rsidR="005B004B">
        <w:rPr>
          <w:rFonts w:ascii="Times New Roman" w:eastAsia="Times New Roman" w:hAnsi="Times New Roman" w:cs="Times New Roman"/>
          <w:sz w:val="24"/>
          <w:szCs w:val="24"/>
        </w:rPr>
        <w:t xml:space="preserve">[Conference presentation]. </w:t>
      </w:r>
      <w:r>
        <w:rPr>
          <w:rFonts w:ascii="Times New Roman" w:eastAsia="Times New Roman" w:hAnsi="Times New Roman" w:cs="Times New Roman"/>
          <w:sz w:val="24"/>
          <w:szCs w:val="24"/>
        </w:rPr>
        <w:t>19th Annual Conference of the Association for International and Agricultural and Extension Education, 19, 540-549.</w:t>
      </w:r>
    </w:p>
    <w:p w14:paraId="00000040" w14:textId="024781AA" w:rsidR="00F812F0" w:rsidRDefault="00000000" w:rsidP="00F01FF8">
      <w:pPr>
        <w:spacing w:before="240" w:after="240" w:line="240" w:lineRule="auto"/>
        <w:ind w:left="720" w:hanging="63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Reger, R. (2023, September 6). </w:t>
      </w:r>
      <w:r>
        <w:rPr>
          <w:rFonts w:ascii="Times New Roman" w:eastAsia="Times New Roman" w:hAnsi="Times New Roman" w:cs="Times New Roman"/>
          <w:i/>
          <w:sz w:val="24"/>
          <w:szCs w:val="24"/>
        </w:rPr>
        <w:t>Teens tuning in</w:t>
      </w:r>
      <w:r>
        <w:rPr>
          <w:rFonts w:ascii="Times New Roman" w:eastAsia="Times New Roman" w:hAnsi="Times New Roman" w:cs="Times New Roman"/>
          <w:sz w:val="24"/>
          <w:szCs w:val="24"/>
        </w:rPr>
        <w:t>. Local News Initiative. https://localnewsinitiative.northwestern.edu/posts/2023/09/06/medill-teen-news-engagement-survey/#:~:text=Roughly%20a%20quarter%20of%20all</w:t>
      </w:r>
    </w:p>
    <w:p w14:paraId="00000041" w14:textId="3EC03828" w:rsidR="00F812F0" w:rsidRDefault="000924C0">
      <w:pPr>
        <w:spacing w:before="240" w:after="240" w:line="240" w:lineRule="auto"/>
        <w:ind w:left="720" w:hanging="700"/>
        <w:rPr>
          <w:rFonts w:ascii="Times New Roman" w:eastAsia="Times New Roman" w:hAnsi="Times New Roman" w:cs="Times New Roman"/>
          <w:sz w:val="24"/>
          <w:szCs w:val="24"/>
        </w:rPr>
      </w:pPr>
      <w:r>
        <w:rPr>
          <w:rFonts w:ascii="Times New Roman" w:eastAsia="Times New Roman" w:hAnsi="Times New Roman" w:cs="Times New Roman"/>
          <w:sz w:val="24"/>
          <w:szCs w:val="24"/>
        </w:rPr>
        <w:t>Virginia Tech</w:t>
      </w:r>
      <w:r w:rsidR="00000000">
        <w:rPr>
          <w:rFonts w:ascii="Times New Roman" w:eastAsia="Times New Roman" w:hAnsi="Times New Roman" w:cs="Times New Roman"/>
          <w:sz w:val="24"/>
          <w:szCs w:val="24"/>
        </w:rPr>
        <w:t xml:space="preserve">. (2025). </w:t>
      </w:r>
      <w:r>
        <w:rPr>
          <w:rFonts w:ascii="Times New Roman" w:eastAsia="Times New Roman" w:hAnsi="Times New Roman" w:cs="Times New Roman"/>
          <w:i/>
          <w:sz w:val="24"/>
          <w:szCs w:val="24"/>
        </w:rPr>
        <w:t>Governor’s School for Agriculture</w:t>
      </w:r>
      <w:r w:rsidR="00000000">
        <w:rPr>
          <w:rFonts w:ascii="Times New Roman" w:eastAsia="Times New Roman" w:hAnsi="Times New Roman" w:cs="Times New Roman"/>
          <w:i/>
          <w:sz w:val="24"/>
          <w:szCs w:val="24"/>
        </w:rPr>
        <w:t>.</w:t>
      </w:r>
      <w:r w:rsidR="00000000" w:rsidRPr="007D2DA2">
        <w:rPr>
          <w:rFonts w:ascii="Times New Roman" w:eastAsia="Times New Roman" w:hAnsi="Times New Roman" w:cs="Times New Roman"/>
          <w:iCs/>
          <w:sz w:val="24"/>
          <w:szCs w:val="24"/>
        </w:rPr>
        <w:t xml:space="preserve"> </w:t>
      </w:r>
      <w:r w:rsidR="007D2DA2" w:rsidRPr="007D2DA2">
        <w:rPr>
          <w:rFonts w:ascii="Times New Roman" w:eastAsia="Times New Roman" w:hAnsi="Times New Roman" w:cs="Times New Roman"/>
          <w:iCs/>
          <w:sz w:val="24"/>
          <w:szCs w:val="24"/>
        </w:rPr>
        <w:t>https://www.alce.vt.edu/signature-programs/governors-ag-school.html</w:t>
      </w:r>
    </w:p>
    <w:p w14:paraId="00000042" w14:textId="3553ADED" w:rsidR="00F812F0" w:rsidRDefault="00000000" w:rsidP="00F01FF8">
      <w:pPr>
        <w:spacing w:before="240" w:after="240" w:line="240" w:lineRule="auto"/>
        <w:ind w:left="720" w:hanging="700"/>
        <w:rPr>
          <w:rFonts w:ascii="Times New Roman" w:eastAsia="Times New Roman" w:hAnsi="Times New Roman" w:cs="Times New Roman"/>
          <w:sz w:val="24"/>
          <w:szCs w:val="24"/>
        </w:rPr>
      </w:pPr>
      <w:r>
        <w:rPr>
          <w:rFonts w:ascii="Times New Roman" w:eastAsia="Times New Roman" w:hAnsi="Times New Roman" w:cs="Times New Roman"/>
          <w:sz w:val="24"/>
          <w:szCs w:val="24"/>
        </w:rPr>
        <w:t>Wi</w:t>
      </w:r>
      <w:r w:rsidRPr="007D2DA2">
        <w:rPr>
          <w:rFonts w:ascii="Times New Roman" w:eastAsia="Times New Roman" w:hAnsi="Times New Roman" w:cs="Times New Roman"/>
          <w:sz w:val="24"/>
          <w:szCs w:val="24"/>
        </w:rPr>
        <w:t>ngenbach, G. J., Boyd, B. L., Lindner, J. R., Dick, S., Arispe, S., &amp; Haba, S. (2003).</w:t>
      </w:r>
      <w:r w:rsidR="00F01FF8" w:rsidRPr="007D2DA2">
        <w:rPr>
          <w:rFonts w:ascii="Times New Roman" w:eastAsia="Times New Roman" w:hAnsi="Times New Roman" w:cs="Times New Roman"/>
          <w:sz w:val="24"/>
          <w:szCs w:val="24"/>
        </w:rPr>
        <w:t xml:space="preserve"> </w:t>
      </w:r>
      <w:r w:rsidRPr="007D2DA2">
        <w:rPr>
          <w:rFonts w:ascii="Times New Roman" w:eastAsia="Times New Roman" w:hAnsi="Times New Roman" w:cs="Times New Roman"/>
          <w:sz w:val="24"/>
          <w:szCs w:val="24"/>
        </w:rPr>
        <w:t xml:space="preserve">Students’ knowledge and attitudes about international agricultural issues. </w:t>
      </w:r>
      <w:r w:rsidRPr="007D2DA2">
        <w:rPr>
          <w:rFonts w:ascii="Times New Roman" w:eastAsia="Times New Roman" w:hAnsi="Times New Roman" w:cs="Times New Roman"/>
          <w:i/>
          <w:sz w:val="24"/>
          <w:szCs w:val="24"/>
        </w:rPr>
        <w:t>Journal of International Agricultural and Extension Education</w:t>
      </w:r>
      <w:r w:rsidRPr="007D2DA2">
        <w:rPr>
          <w:rFonts w:ascii="Times New Roman" w:eastAsia="Times New Roman" w:hAnsi="Times New Roman" w:cs="Times New Roman"/>
          <w:sz w:val="24"/>
          <w:szCs w:val="24"/>
        </w:rPr>
        <w:t xml:space="preserve">, </w:t>
      </w:r>
      <w:r w:rsidRPr="007D2DA2">
        <w:rPr>
          <w:rFonts w:ascii="Times New Roman" w:eastAsia="Times New Roman" w:hAnsi="Times New Roman" w:cs="Times New Roman"/>
          <w:i/>
          <w:sz w:val="24"/>
          <w:szCs w:val="24"/>
        </w:rPr>
        <w:t>10</w:t>
      </w:r>
      <w:r w:rsidRPr="007D2DA2">
        <w:rPr>
          <w:rFonts w:ascii="Times New Roman" w:eastAsia="Times New Roman" w:hAnsi="Times New Roman" w:cs="Times New Roman"/>
          <w:sz w:val="24"/>
          <w:szCs w:val="24"/>
        </w:rPr>
        <w:t>(3), 25-35.</w:t>
      </w:r>
    </w:p>
    <w:p w14:paraId="00000043" w14:textId="77777777" w:rsidR="00F812F0" w:rsidRDefault="00F812F0">
      <w:pPr>
        <w:spacing w:before="240" w:after="240" w:line="240" w:lineRule="auto"/>
        <w:ind w:left="720"/>
        <w:rPr>
          <w:rFonts w:ascii="Times New Roman" w:eastAsia="Times New Roman" w:hAnsi="Times New Roman" w:cs="Times New Roman"/>
          <w:color w:val="222222"/>
          <w:sz w:val="24"/>
          <w:szCs w:val="24"/>
        </w:rPr>
      </w:pPr>
    </w:p>
    <w:p w14:paraId="00000044" w14:textId="77777777" w:rsidR="00F812F0" w:rsidRDefault="00F812F0">
      <w:pPr>
        <w:spacing w:before="240" w:after="240" w:line="240" w:lineRule="auto"/>
        <w:ind w:left="720"/>
        <w:rPr>
          <w:rFonts w:ascii="Times New Roman" w:eastAsia="Times New Roman" w:hAnsi="Times New Roman" w:cs="Times New Roman"/>
          <w:sz w:val="24"/>
          <w:szCs w:val="24"/>
        </w:rPr>
      </w:pPr>
    </w:p>
    <w:p w14:paraId="00000045" w14:textId="77777777" w:rsidR="00F812F0" w:rsidRDefault="00F812F0">
      <w:pPr>
        <w:spacing w:before="240" w:after="240" w:line="240" w:lineRule="auto"/>
        <w:ind w:left="720"/>
        <w:rPr>
          <w:rFonts w:ascii="Times New Roman" w:eastAsia="Times New Roman" w:hAnsi="Times New Roman" w:cs="Times New Roman"/>
          <w:sz w:val="24"/>
          <w:szCs w:val="24"/>
        </w:rPr>
      </w:pPr>
    </w:p>
    <w:sectPr w:rsidR="00F812F0">
      <w:headerReference w:type="default" r:id="rId7"/>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46501" w14:textId="77777777" w:rsidR="0021064F" w:rsidRDefault="0021064F">
      <w:pPr>
        <w:spacing w:line="240" w:lineRule="auto"/>
      </w:pPr>
      <w:r>
        <w:separator/>
      </w:r>
    </w:p>
  </w:endnote>
  <w:endnote w:type="continuationSeparator" w:id="0">
    <w:p w14:paraId="05EEBD14" w14:textId="77777777" w:rsidR="0021064F" w:rsidRDefault="002106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46" w14:textId="30230559" w:rsidR="00F812F0" w:rsidRDefault="00000000">
    <w:pPr>
      <w:jc w:val="cente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F01FF8">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F85EA9" w14:textId="77777777" w:rsidR="0021064F" w:rsidRDefault="0021064F">
      <w:pPr>
        <w:spacing w:line="240" w:lineRule="auto"/>
      </w:pPr>
      <w:r>
        <w:separator/>
      </w:r>
    </w:p>
  </w:footnote>
  <w:footnote w:type="continuationSeparator" w:id="0">
    <w:p w14:paraId="6C1EC39A" w14:textId="77777777" w:rsidR="0021064F" w:rsidRDefault="0021064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47" w14:textId="77777777" w:rsidR="00F812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Extension Education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1D6608"/>
    <w:multiLevelType w:val="multilevel"/>
    <w:tmpl w:val="04884C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8714566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12F0"/>
    <w:rsid w:val="00064837"/>
    <w:rsid w:val="000924C0"/>
    <w:rsid w:val="000B2B05"/>
    <w:rsid w:val="00172332"/>
    <w:rsid w:val="001C182B"/>
    <w:rsid w:val="001E3755"/>
    <w:rsid w:val="0021064F"/>
    <w:rsid w:val="00223FCD"/>
    <w:rsid w:val="00240F3C"/>
    <w:rsid w:val="00254EF9"/>
    <w:rsid w:val="00320B2F"/>
    <w:rsid w:val="003F2FF2"/>
    <w:rsid w:val="004F1EB0"/>
    <w:rsid w:val="00594D8A"/>
    <w:rsid w:val="005B004B"/>
    <w:rsid w:val="005C462D"/>
    <w:rsid w:val="00671206"/>
    <w:rsid w:val="006979B6"/>
    <w:rsid w:val="00697C8A"/>
    <w:rsid w:val="006C07FA"/>
    <w:rsid w:val="006E13DC"/>
    <w:rsid w:val="007463E3"/>
    <w:rsid w:val="007D2DA2"/>
    <w:rsid w:val="008B1144"/>
    <w:rsid w:val="00915F0D"/>
    <w:rsid w:val="00A11754"/>
    <w:rsid w:val="00AA45B5"/>
    <w:rsid w:val="00B25DCA"/>
    <w:rsid w:val="00B275E2"/>
    <w:rsid w:val="00B85C3E"/>
    <w:rsid w:val="00BB6162"/>
    <w:rsid w:val="00C3527E"/>
    <w:rsid w:val="00CC152C"/>
    <w:rsid w:val="00D11E6D"/>
    <w:rsid w:val="00D53B3D"/>
    <w:rsid w:val="00D9731B"/>
    <w:rsid w:val="00DB24AC"/>
    <w:rsid w:val="00DE7CA4"/>
    <w:rsid w:val="00DF1D16"/>
    <w:rsid w:val="00E4698D"/>
    <w:rsid w:val="00E70D90"/>
    <w:rsid w:val="00E80F7A"/>
    <w:rsid w:val="00F01FF8"/>
    <w:rsid w:val="00F6492C"/>
    <w:rsid w:val="00F812F0"/>
    <w:rsid w:val="00F960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C1371D"/>
  <w15:docId w15:val="{A8C10DCE-B68C-4021-90D8-51776B83C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120" w:after="120" w:line="240" w:lineRule="auto"/>
      <w:jc w:val="center"/>
      <w:outlineLvl w:val="0"/>
    </w:pPr>
    <w:rPr>
      <w:rFonts w:ascii="Times New Roman" w:eastAsia="Times New Roman" w:hAnsi="Times New Roman" w:cs="Times New Roman"/>
      <w:b/>
      <w:sz w:val="24"/>
      <w:szCs w:val="24"/>
      <w:shd w:val="clear" w:color="auto" w:fill="FFF2CC"/>
    </w:rPr>
  </w:style>
  <w:style w:type="paragraph" w:styleId="Heading2">
    <w:name w:val="heading 2"/>
    <w:basedOn w:val="Normal"/>
    <w:next w:val="Normal"/>
    <w:uiPriority w:val="9"/>
    <w:unhideWhenUsed/>
    <w:qFormat/>
    <w:pPr>
      <w:keepNext/>
      <w:keepLines/>
      <w:spacing w:before="100" w:after="100" w:line="240" w:lineRule="auto"/>
      <w:ind w:firstLine="20"/>
      <w:jc w:val="center"/>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1283</TotalTime>
  <Pages>9</Pages>
  <Words>4038</Words>
  <Characters>23019</Characters>
  <Application>Microsoft Office Word</Application>
  <DocSecurity>0</DocSecurity>
  <Lines>191</Lines>
  <Paragraphs>54</Paragraphs>
  <ScaleCrop>false</ScaleCrop>
  <Company/>
  <LinksUpToDate>false</LinksUpToDate>
  <CharactersWithSpaces>27003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Milliken, Brett</cp:lastModifiedBy>
  <cp:revision>44</cp:revision>
  <dcterms:created xsi:type="dcterms:W3CDTF">2025-10-14T17:41:00Z</dcterms:created>
  <dcterms:modified xsi:type="dcterms:W3CDTF">2026-01-08T17:09:00Z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c410e2ac-a9a0-4bdc-bc3d-90757697268c</vt:lpwstr>
  </property>
</Properties>
</file>