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9366F89" w:rsidR="001B763A" w:rsidRDefault="00733456" w:rsidP="00C62E98">
      <w:pPr>
        <w:pStyle w:val="Heading1"/>
        <w:keepNext w:val="0"/>
        <w:keepLines w:val="0"/>
      </w:pPr>
      <w:bookmarkStart w:id="0" w:name="_erv73t9kw569" w:colFirst="0" w:colLast="0"/>
      <w:bookmarkEnd w:id="0"/>
      <w:r w:rsidRPr="00A2597C">
        <w:t xml:space="preserve">Amplifying or </w:t>
      </w:r>
      <w:r>
        <w:t>F</w:t>
      </w:r>
      <w:r w:rsidRPr="00A2597C">
        <w:t xml:space="preserve">iltering: The </w:t>
      </w:r>
      <w:r>
        <w:t>P</w:t>
      </w:r>
      <w:r w:rsidRPr="00A2597C">
        <w:t xml:space="preserve">ower of </w:t>
      </w:r>
      <w:r>
        <w:t>C</w:t>
      </w:r>
      <w:r w:rsidRPr="00A2597C">
        <w:t xml:space="preserve">ontext in SBAE </w:t>
      </w:r>
      <w:r>
        <w:t>B</w:t>
      </w:r>
      <w:r w:rsidRPr="00A2597C">
        <w:t xml:space="preserve">lended </w:t>
      </w:r>
      <w:r>
        <w:t>T</w:t>
      </w:r>
      <w:r w:rsidRPr="00A2597C">
        <w:t>eaching</w:t>
      </w:r>
    </w:p>
    <w:p w14:paraId="704C823A" w14:textId="6AC944B8" w:rsidR="00682124" w:rsidRDefault="00682124" w:rsidP="00FA1C22">
      <w:pPr>
        <w:jc w:val="center"/>
        <w:rPr>
          <w:rFonts w:ascii="Times New Roman" w:hAnsi="Times New Roman" w:cs="Times New Roman"/>
          <w:sz w:val="24"/>
          <w:szCs w:val="24"/>
        </w:rPr>
      </w:pPr>
      <w:r>
        <w:rPr>
          <w:rFonts w:ascii="Times New Roman" w:hAnsi="Times New Roman" w:cs="Times New Roman"/>
          <w:sz w:val="24"/>
          <w:szCs w:val="24"/>
        </w:rPr>
        <w:t>D. Brett Milliken</w:t>
      </w:r>
      <w:r w:rsidR="00FA1C22">
        <w:rPr>
          <w:rFonts w:ascii="Times New Roman" w:hAnsi="Times New Roman" w:cs="Times New Roman"/>
          <w:sz w:val="24"/>
          <w:szCs w:val="24"/>
        </w:rPr>
        <w:t xml:space="preserve">, </w:t>
      </w:r>
      <w:r>
        <w:rPr>
          <w:rFonts w:ascii="Times New Roman" w:hAnsi="Times New Roman" w:cs="Times New Roman"/>
          <w:sz w:val="24"/>
          <w:szCs w:val="24"/>
        </w:rPr>
        <w:t>Virginia Tech</w:t>
      </w:r>
    </w:p>
    <w:p w14:paraId="250334EB" w14:textId="5F0DF0A7" w:rsidR="00682124" w:rsidRDefault="00682124" w:rsidP="00FA1C22">
      <w:pPr>
        <w:jc w:val="center"/>
        <w:rPr>
          <w:rFonts w:ascii="Times New Roman" w:hAnsi="Times New Roman" w:cs="Times New Roman"/>
          <w:sz w:val="24"/>
          <w:szCs w:val="24"/>
        </w:rPr>
      </w:pPr>
      <w:r>
        <w:rPr>
          <w:rFonts w:ascii="Times New Roman" w:hAnsi="Times New Roman" w:cs="Times New Roman"/>
          <w:sz w:val="24"/>
          <w:szCs w:val="24"/>
        </w:rPr>
        <w:t>Josh Stewart</w:t>
      </w:r>
      <w:r w:rsidR="00FA1C22">
        <w:rPr>
          <w:rFonts w:ascii="Times New Roman" w:hAnsi="Times New Roman" w:cs="Times New Roman"/>
          <w:sz w:val="24"/>
          <w:szCs w:val="24"/>
        </w:rPr>
        <w:t xml:space="preserve">, </w:t>
      </w:r>
      <w:r>
        <w:rPr>
          <w:rFonts w:ascii="Times New Roman" w:hAnsi="Times New Roman" w:cs="Times New Roman"/>
          <w:sz w:val="24"/>
          <w:szCs w:val="24"/>
        </w:rPr>
        <w:t>Oregon State University</w:t>
      </w:r>
    </w:p>
    <w:p w14:paraId="5D7B6433" w14:textId="330AEBB1" w:rsidR="00682124" w:rsidRPr="00682124" w:rsidRDefault="00682124" w:rsidP="00FA1C22">
      <w:pPr>
        <w:jc w:val="center"/>
        <w:rPr>
          <w:rFonts w:ascii="Times New Roman" w:hAnsi="Times New Roman" w:cs="Times New Roman"/>
          <w:sz w:val="24"/>
          <w:szCs w:val="24"/>
        </w:rPr>
      </w:pPr>
      <w:r>
        <w:rPr>
          <w:rFonts w:ascii="Times New Roman" w:hAnsi="Times New Roman" w:cs="Times New Roman"/>
          <w:sz w:val="24"/>
          <w:szCs w:val="24"/>
        </w:rPr>
        <w:t>Haley Q. Traini</w:t>
      </w:r>
      <w:r w:rsidR="00FA1C22">
        <w:rPr>
          <w:rFonts w:ascii="Times New Roman" w:hAnsi="Times New Roman" w:cs="Times New Roman"/>
          <w:sz w:val="24"/>
          <w:szCs w:val="24"/>
        </w:rPr>
        <w:t xml:space="preserve">, </w:t>
      </w:r>
      <w:r>
        <w:rPr>
          <w:rFonts w:ascii="Times New Roman" w:hAnsi="Times New Roman" w:cs="Times New Roman"/>
          <w:sz w:val="24"/>
          <w:szCs w:val="24"/>
        </w:rPr>
        <w:t>Oregon State University</w:t>
      </w:r>
    </w:p>
    <w:p w14:paraId="00000002" w14:textId="77777777" w:rsidR="001B763A" w:rsidRPr="00A2597C" w:rsidRDefault="00733456" w:rsidP="00C62E98">
      <w:pPr>
        <w:pStyle w:val="Heading2"/>
        <w:spacing w:before="240" w:after="240"/>
      </w:pPr>
      <w:bookmarkStart w:id="1" w:name="_f7tglzqqsew4" w:colFirst="0" w:colLast="0"/>
      <w:bookmarkEnd w:id="1"/>
      <w:r w:rsidRPr="00A2597C">
        <w:t>Introduction</w:t>
      </w:r>
    </w:p>
    <w:p w14:paraId="00000003" w14:textId="2DC40FD8" w:rsidR="001B763A" w:rsidRPr="00A2597C" w:rsidRDefault="00733456" w:rsidP="00C62E98">
      <w:pPr>
        <w:pStyle w:val="Heading2"/>
        <w:keepNext w:val="0"/>
        <w:keepLines w:val="0"/>
        <w:spacing w:before="240" w:after="240"/>
        <w:ind w:firstLine="720"/>
        <w:jc w:val="left"/>
        <w:rPr>
          <w:b w:val="0"/>
        </w:rPr>
      </w:pPr>
      <w:bookmarkStart w:id="2" w:name="_fped3ax302ae" w:colFirst="0" w:colLast="0"/>
      <w:bookmarkEnd w:id="2"/>
      <w:r w:rsidRPr="00A2597C">
        <w:rPr>
          <w:b w:val="0"/>
        </w:rPr>
        <w:t xml:space="preserve">Context is a driving force for how and what an educator chooses to teach and has a significant influence on teacher practice. Context may include the school community and their needs (Delaney &amp; Neuman, 2016; Hamilton et al., 2016), administrative support, access to professional development (Dennis &amp; O’Conner, 2012; Hamilton et al., 2016), and technology infrastructure (Hamilton et al., 2016; Inan &amp; Lowther, 2010). Gess-Newsome (2015) identified teachers as free agents with the ability to “embrace, reject, or modify new knowledge, skills, and practices” (p. 34). A teacher’s beliefs, orientations, prior knowledge, and context all act as amplifiers or filters when a teacher is presented with new knowledge or skills (Gess-Newsome, 2015). For example, as teachers encounter contextual variables such as infrastructure, administration, and school community, among others, these can act as amplifiers or filters as teachers seek to transfer their knowledge into practice. Overall, the contexts in which teaching </w:t>
      </w:r>
      <w:r w:rsidR="00263EFD" w:rsidRPr="00A2597C">
        <w:rPr>
          <w:b w:val="0"/>
        </w:rPr>
        <w:t xml:space="preserve">occurs must be considered when exploring new or different approaches to teaching </w:t>
      </w:r>
      <w:r w:rsidRPr="00A2597C">
        <w:rPr>
          <w:b w:val="0"/>
        </w:rPr>
        <w:t>(Delaney &amp; Neuman, 2016). One such approach is blended learning and teaching</w:t>
      </w:r>
      <w:r w:rsidR="007A7807" w:rsidRPr="00A2597C">
        <w:rPr>
          <w:b w:val="0"/>
        </w:rPr>
        <w:t>.</w:t>
      </w:r>
    </w:p>
    <w:p w14:paraId="00000004" w14:textId="50A22762" w:rsidR="001B763A" w:rsidRPr="00A2597C" w:rsidRDefault="00733456" w:rsidP="005D7434">
      <w:pPr>
        <w:pStyle w:val="Heading2"/>
        <w:keepNext w:val="0"/>
        <w:keepLines w:val="0"/>
        <w:spacing w:before="240" w:after="240"/>
        <w:ind w:firstLine="720"/>
        <w:jc w:val="left"/>
        <w:rPr>
          <w:b w:val="0"/>
        </w:rPr>
      </w:pPr>
      <w:bookmarkStart w:id="3" w:name="_qnfm7ugx3bvw" w:colFirst="0" w:colLast="0"/>
      <w:bookmarkEnd w:id="3"/>
      <w:r w:rsidRPr="00A2597C">
        <w:rPr>
          <w:b w:val="0"/>
        </w:rPr>
        <w:t>Blended learning, and by extension</w:t>
      </w:r>
      <w:r w:rsidR="00263EFD" w:rsidRPr="00A2597C">
        <w:rPr>
          <w:b w:val="0"/>
        </w:rPr>
        <w:t>, blended teaching, are not new and have remained a significant part of education (Masie, 2006), although their</w:t>
      </w:r>
      <w:r w:rsidRPr="00A2597C">
        <w:rPr>
          <w:b w:val="0"/>
        </w:rPr>
        <w:t xml:space="preserve"> implementation has varied and evolved. </w:t>
      </w:r>
      <w:r w:rsidR="00FD189D" w:rsidRPr="00A2597C">
        <w:rPr>
          <w:b w:val="0"/>
        </w:rPr>
        <w:t>Blended</w:t>
      </w:r>
      <w:r w:rsidRPr="00A2597C">
        <w:rPr>
          <w:b w:val="0"/>
        </w:rPr>
        <w:t xml:space="preserve"> learning </w:t>
      </w:r>
      <w:r w:rsidR="00263EFD" w:rsidRPr="00A2597C">
        <w:rPr>
          <w:b w:val="0"/>
        </w:rPr>
        <w:t>refers to the student's experience within the blended learning environment, while blended teaching refers to the teaching practices that facilitate this</w:t>
      </w:r>
      <w:r w:rsidRPr="00A2597C">
        <w:rPr>
          <w:b w:val="0"/>
        </w:rPr>
        <w:t xml:space="preserve"> environment. Milliken et al. (2024) defined blended teaching as “the purposeful integration of a formalized online and face-to-face instructional program that incorporates student choice and personalization. Student choice and personalization are achieved through an awareness of how time, place, pace, and path impact student learning” (p.307). This evolution of blended teaching was brought into sharp focus during the COVID-19 pandemic.</w:t>
      </w:r>
    </w:p>
    <w:p w14:paraId="00000005" w14:textId="0D659A1E" w:rsidR="001B763A" w:rsidRPr="00A2597C" w:rsidRDefault="00733456" w:rsidP="005D7434">
      <w:pPr>
        <w:pStyle w:val="Heading2"/>
        <w:keepNext w:val="0"/>
        <w:keepLines w:val="0"/>
        <w:spacing w:before="240" w:after="240"/>
        <w:ind w:firstLine="720"/>
        <w:jc w:val="left"/>
        <w:rPr>
          <w:b w:val="0"/>
        </w:rPr>
      </w:pPr>
      <w:bookmarkStart w:id="4" w:name="_ixwnvdfx0h00" w:colFirst="0" w:colLast="0"/>
      <w:bookmarkEnd w:id="4"/>
      <w:r w:rsidRPr="00A2597C">
        <w:rPr>
          <w:b w:val="0"/>
        </w:rPr>
        <w:t xml:space="preserve">During </w:t>
      </w:r>
      <w:r w:rsidR="00263EFD" w:rsidRPr="00A2597C">
        <w:rPr>
          <w:b w:val="0"/>
        </w:rPr>
        <w:t xml:space="preserve">the </w:t>
      </w:r>
      <w:r w:rsidRPr="00A2597C">
        <w:rPr>
          <w:b w:val="0"/>
        </w:rPr>
        <w:t>2020 and 2021 academic years, teachers and students relied heavily on technology to facilitate learning in remote settings through a variety of asynchronous and synchronous methods, mediated by online learning management systems (Cahapay, 2020). Many K-12 educators were forced to learn new skills</w:t>
      </w:r>
      <w:r w:rsidR="00263EFD" w:rsidRPr="00A2597C">
        <w:rPr>
          <w:b w:val="0"/>
        </w:rPr>
        <w:t>, akin to those needed for blended teaching and learning, to</w:t>
      </w:r>
      <w:r w:rsidRPr="00A2597C">
        <w:rPr>
          <w:b w:val="0"/>
        </w:rPr>
        <w:t xml:space="preserve"> administer online teaching for the first time in their careers. School-based agricultural education (SBAE) was not immune to these impacts (McKim &amp; Sorensen, 2020). Although teachers did not necessarily fully enact blended teaching during the pandemic, contextual factors impacted the knowledge and skills that they </w:t>
      </w:r>
      <w:r w:rsidR="00263EFD" w:rsidRPr="00A2597C">
        <w:rPr>
          <w:b w:val="0"/>
        </w:rPr>
        <w:t xml:space="preserve">chose </w:t>
      </w:r>
      <w:r w:rsidRPr="00A2597C">
        <w:rPr>
          <w:b w:val="0"/>
        </w:rPr>
        <w:t xml:space="preserve">to embrace, reject, or modify. </w:t>
      </w:r>
    </w:p>
    <w:p w14:paraId="00000006" w14:textId="77777777" w:rsidR="001B763A" w:rsidRPr="00A2597C" w:rsidRDefault="00733456">
      <w:pPr>
        <w:pStyle w:val="Heading2"/>
        <w:keepNext w:val="0"/>
        <w:keepLines w:val="0"/>
        <w:spacing w:before="240" w:after="240"/>
      </w:pPr>
      <w:bookmarkStart w:id="5" w:name="_la85o9bl6pnq" w:colFirst="0" w:colLast="0"/>
      <w:bookmarkEnd w:id="5"/>
      <w:r w:rsidRPr="00A2597C">
        <w:t>Purpose</w:t>
      </w:r>
    </w:p>
    <w:p w14:paraId="00000007" w14:textId="73A19CCA" w:rsidR="001B763A" w:rsidRPr="00A2597C" w:rsidRDefault="00733456" w:rsidP="00BE7023">
      <w:pPr>
        <w:spacing w:before="120" w:after="12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The purpose of this qualitative study was to explore </w:t>
      </w:r>
      <w:r w:rsidR="002C15F7" w:rsidRPr="00A2597C">
        <w:rPr>
          <w:rFonts w:ascii="Times New Roman" w:eastAsia="Times New Roman" w:hAnsi="Times New Roman" w:cs="Times New Roman"/>
          <w:sz w:val="24"/>
          <w:szCs w:val="24"/>
        </w:rPr>
        <w:t>the ways in which</w:t>
      </w:r>
      <w:r w:rsidRPr="00A2597C">
        <w:rPr>
          <w:rFonts w:ascii="Times New Roman" w:eastAsia="Times New Roman" w:hAnsi="Times New Roman" w:cs="Times New Roman"/>
          <w:sz w:val="24"/>
          <w:szCs w:val="24"/>
        </w:rPr>
        <w:t xml:space="preserve"> SBAE teachers discussed their blended teaching practice </w:t>
      </w:r>
      <w:r w:rsidR="0054411E" w:rsidRPr="00A2597C">
        <w:rPr>
          <w:rFonts w:ascii="Times New Roman" w:eastAsia="Times New Roman" w:hAnsi="Times New Roman" w:cs="Times New Roman"/>
          <w:sz w:val="24"/>
          <w:szCs w:val="24"/>
        </w:rPr>
        <w:t>as being</w:t>
      </w:r>
      <w:r w:rsidRPr="00A2597C">
        <w:rPr>
          <w:rFonts w:ascii="Times New Roman" w:eastAsia="Times New Roman" w:hAnsi="Times New Roman" w:cs="Times New Roman"/>
          <w:sz w:val="24"/>
          <w:szCs w:val="24"/>
        </w:rPr>
        <w:t xml:space="preserve"> amplified or filtered by contextual factors</w:t>
      </w:r>
      <w:r w:rsidR="00715405"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 xml:space="preserve"> </w:t>
      </w:r>
      <w:r w:rsidR="00715405" w:rsidRPr="00A2597C">
        <w:rPr>
          <w:rFonts w:ascii="Times New Roman" w:eastAsia="Times New Roman" w:hAnsi="Times New Roman" w:cs="Times New Roman"/>
          <w:sz w:val="24"/>
          <w:szCs w:val="24"/>
        </w:rPr>
        <w:lastRenderedPageBreak/>
        <w:t>particularly</w:t>
      </w:r>
      <w:r w:rsidR="00FC19A2" w:rsidRPr="00A2597C">
        <w:rPr>
          <w:rFonts w:ascii="Times New Roman" w:eastAsia="Times New Roman" w:hAnsi="Times New Roman" w:cs="Times New Roman"/>
          <w:sz w:val="24"/>
          <w:szCs w:val="24"/>
        </w:rPr>
        <w:t xml:space="preserve"> the role of</w:t>
      </w:r>
      <w:r w:rsidRPr="00A2597C">
        <w:rPr>
          <w:rFonts w:ascii="Times New Roman" w:eastAsia="Times New Roman" w:hAnsi="Times New Roman" w:cs="Times New Roman"/>
          <w:sz w:val="24"/>
          <w:szCs w:val="24"/>
        </w:rPr>
        <w:t xml:space="preserve"> </w:t>
      </w:r>
      <w:r w:rsidR="00A934DE" w:rsidRPr="00A2597C">
        <w:rPr>
          <w:rFonts w:ascii="Times New Roman" w:eastAsia="Times New Roman" w:hAnsi="Times New Roman" w:cs="Times New Roman"/>
          <w:sz w:val="24"/>
          <w:szCs w:val="24"/>
        </w:rPr>
        <w:t xml:space="preserve">school infrastructure, </w:t>
      </w:r>
      <w:r w:rsidRPr="00A2597C">
        <w:rPr>
          <w:rFonts w:ascii="Times New Roman" w:eastAsia="Times New Roman" w:hAnsi="Times New Roman" w:cs="Times New Roman"/>
          <w:sz w:val="24"/>
          <w:szCs w:val="24"/>
        </w:rPr>
        <w:t>school administration</w:t>
      </w:r>
      <w:r w:rsidR="00A934DE" w:rsidRPr="00A2597C">
        <w:rPr>
          <w:rFonts w:ascii="Times New Roman" w:eastAsia="Times New Roman" w:hAnsi="Times New Roman" w:cs="Times New Roman"/>
          <w:sz w:val="24"/>
          <w:szCs w:val="24"/>
        </w:rPr>
        <w:t>, and the</w:t>
      </w:r>
      <w:r w:rsidR="000D0D23" w:rsidRPr="00A2597C">
        <w:rPr>
          <w:rFonts w:ascii="Times New Roman" w:eastAsia="Times New Roman" w:hAnsi="Times New Roman" w:cs="Times New Roman"/>
          <w:sz w:val="24"/>
          <w:szCs w:val="24"/>
        </w:rPr>
        <w:t xml:space="preserve"> broader</w:t>
      </w:r>
      <w:r w:rsidR="00A934DE" w:rsidRPr="00A2597C">
        <w:rPr>
          <w:rFonts w:ascii="Times New Roman" w:eastAsia="Times New Roman" w:hAnsi="Times New Roman" w:cs="Times New Roman"/>
          <w:sz w:val="24"/>
          <w:szCs w:val="24"/>
        </w:rPr>
        <w:t xml:space="preserve"> nature of </w:t>
      </w:r>
      <w:r w:rsidR="000D0D23" w:rsidRPr="00A2597C">
        <w:rPr>
          <w:rFonts w:ascii="Times New Roman" w:eastAsia="Times New Roman" w:hAnsi="Times New Roman" w:cs="Times New Roman"/>
          <w:sz w:val="24"/>
          <w:szCs w:val="24"/>
        </w:rPr>
        <w:t>SBAE</w:t>
      </w:r>
      <w:r w:rsidRPr="00A2597C">
        <w:rPr>
          <w:rFonts w:ascii="Times New Roman" w:eastAsia="Times New Roman" w:hAnsi="Times New Roman" w:cs="Times New Roman"/>
          <w:sz w:val="24"/>
          <w:szCs w:val="24"/>
        </w:rPr>
        <w:t xml:space="preserve"> </w:t>
      </w:r>
      <w:r w:rsidR="00715405" w:rsidRPr="00A2597C">
        <w:rPr>
          <w:rFonts w:ascii="Times New Roman" w:eastAsia="Times New Roman" w:hAnsi="Times New Roman" w:cs="Times New Roman"/>
          <w:sz w:val="24"/>
          <w:szCs w:val="24"/>
        </w:rPr>
        <w:t xml:space="preserve">in </w:t>
      </w:r>
      <w:r w:rsidR="00321ED8" w:rsidRPr="00A2597C">
        <w:rPr>
          <w:rFonts w:ascii="Times New Roman" w:eastAsia="Times New Roman" w:hAnsi="Times New Roman" w:cs="Times New Roman"/>
          <w:sz w:val="24"/>
          <w:szCs w:val="24"/>
        </w:rPr>
        <w:t>influencing</w:t>
      </w:r>
      <w:r w:rsidRPr="00A2597C">
        <w:rPr>
          <w:rFonts w:ascii="Times New Roman" w:eastAsia="Times New Roman" w:hAnsi="Times New Roman" w:cs="Times New Roman"/>
          <w:sz w:val="24"/>
          <w:szCs w:val="24"/>
        </w:rPr>
        <w:t xml:space="preserve"> the adoption and implementation of blended teaching and learning.</w:t>
      </w:r>
    </w:p>
    <w:p w14:paraId="0000000B" w14:textId="5E2DD967" w:rsidR="001B763A" w:rsidRPr="00A2597C" w:rsidRDefault="00733456">
      <w:pPr>
        <w:pStyle w:val="Heading2"/>
        <w:keepNext w:val="0"/>
        <w:keepLines w:val="0"/>
        <w:spacing w:before="240" w:after="240"/>
      </w:pPr>
      <w:bookmarkStart w:id="6" w:name="_10f3m6b9vott" w:colFirst="0" w:colLast="0"/>
      <w:bookmarkEnd w:id="6"/>
      <w:r w:rsidRPr="00A2597C">
        <w:t>Theoretical Framework</w:t>
      </w:r>
    </w:p>
    <w:p w14:paraId="0000000C" w14:textId="13306568" w:rsidR="001B763A" w:rsidRPr="00A2597C" w:rsidRDefault="00733456" w:rsidP="00BE7023">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The consensus model of teacher professional knowledge and skill (TPKS; Gess-Newsome, 2015) was derived from Shulman’s (1986) original Pedagogical Content Knowledge (PCK) framework</w:t>
      </w:r>
      <w:r w:rsidR="00406AAF"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 xml:space="preserve"> which sought to identify the relationship between the content to be taught and the process or techniques that are best suited to teach it. Subsequent researchers have also emphasized this relationship (Ertmer &amp; Ottenbreit-Leftwich, 2010; Koehler &amp; Mishra, 2007; Mishra &amp; Koehler, 2006). TPKS is built on teacher professional knowledge bases (TPKB), </w:t>
      </w:r>
      <w:r w:rsidR="00406AAF" w:rsidRPr="00A2597C">
        <w:rPr>
          <w:rFonts w:ascii="Times New Roman" w:eastAsia="Times New Roman" w:hAnsi="Times New Roman" w:cs="Times New Roman"/>
          <w:sz w:val="24"/>
          <w:szCs w:val="24"/>
        </w:rPr>
        <w:t xml:space="preserve">which refers to the formal, generalized knowledge that educators need </w:t>
      </w:r>
      <w:r w:rsidRPr="00A2597C">
        <w:rPr>
          <w:rFonts w:ascii="Times New Roman" w:eastAsia="Times New Roman" w:hAnsi="Times New Roman" w:cs="Times New Roman"/>
          <w:sz w:val="24"/>
          <w:szCs w:val="24"/>
        </w:rPr>
        <w:t xml:space="preserve">to teach (Doyle et al., 2019; Gess-Newsome, 2015). This includes, but is not limited to, knowledge related to assessment, pedagogy, content, students, and curriculum (Gess-Newsome, 2015). An exhaustive list of TPKB is not necessary; </w:t>
      </w:r>
      <w:r w:rsidR="00406AAF" w:rsidRPr="00A2597C">
        <w:rPr>
          <w:rFonts w:ascii="Times New Roman" w:eastAsia="Times New Roman" w:hAnsi="Times New Roman" w:cs="Times New Roman"/>
          <w:sz w:val="24"/>
          <w:szCs w:val="24"/>
        </w:rPr>
        <w:t>instead</w:t>
      </w:r>
      <w:r w:rsidRPr="00A2597C">
        <w:rPr>
          <w:rFonts w:ascii="Times New Roman" w:eastAsia="Times New Roman" w:hAnsi="Times New Roman" w:cs="Times New Roman"/>
          <w:sz w:val="24"/>
          <w:szCs w:val="24"/>
        </w:rPr>
        <w:t xml:space="preserve">, it recognizes that the knowledge and skills that fall into this category are generic, not </w:t>
      </w:r>
      <w:r w:rsidR="00406AAF" w:rsidRPr="00A2597C">
        <w:rPr>
          <w:rFonts w:ascii="Times New Roman" w:eastAsia="Times New Roman" w:hAnsi="Times New Roman" w:cs="Times New Roman"/>
          <w:sz w:val="24"/>
          <w:szCs w:val="24"/>
        </w:rPr>
        <w:t>content-specific, and established by experts. These</w:t>
      </w:r>
      <w:r w:rsidRPr="00A2597C">
        <w:rPr>
          <w:rFonts w:ascii="Times New Roman" w:eastAsia="Times New Roman" w:hAnsi="Times New Roman" w:cs="Times New Roman"/>
          <w:sz w:val="24"/>
          <w:szCs w:val="24"/>
        </w:rPr>
        <w:t xml:space="preserve"> can include additional knowledge beyond the aforementioned categories (Gess-Newsone, 2005). Building on TPKB, topic-specific professional knowledge (TSPK) is not generalized knowledge. It is content-specific and is shared between the same field or disciplinary community (Doyle et al., 2019; Gess-Newsome, 2015). When an educator encounters new TSPK, the knowledge or ideas must be funneled through amplifiers and filters before the ideas can be embraced, rejected, or modified by the educator. Teacher beliefs, orientations, prior knowledge, and specific school or other professional contexts act as amplifiers or filters, impacting what knowledge, skills, or actions are adopted into practice (Gess-Newsome, 2015). Therefore, knowledge such as subject matter knowledge, pedagogical knowledge, pedagogical content knowledge, curriculum use, and contextual and social factors are all linked to teacher practices (Speer, 2005), first passing through amplifiers and filters. It is in the space of amplifiers and filters that we explore contextual factors that influence </w:t>
      </w:r>
      <w:r w:rsidR="00D1529E" w:rsidRPr="00A2597C">
        <w:rPr>
          <w:rFonts w:ascii="Times New Roman" w:eastAsia="Times New Roman" w:hAnsi="Times New Roman" w:cs="Times New Roman"/>
          <w:sz w:val="24"/>
          <w:szCs w:val="24"/>
        </w:rPr>
        <w:t>SBAE</w:t>
      </w:r>
      <w:r w:rsidRPr="00A2597C">
        <w:rPr>
          <w:rFonts w:ascii="Times New Roman" w:eastAsia="Times New Roman" w:hAnsi="Times New Roman" w:cs="Times New Roman"/>
          <w:sz w:val="24"/>
          <w:szCs w:val="24"/>
        </w:rPr>
        <w:t xml:space="preserve"> teachers’ acceptance, rejection, or modification of blended teaching.</w:t>
      </w:r>
    </w:p>
    <w:p w14:paraId="0000000D" w14:textId="77777777" w:rsidR="001B763A" w:rsidRPr="00A2597C" w:rsidRDefault="00733456">
      <w:pPr>
        <w:pStyle w:val="Heading2"/>
        <w:keepNext w:val="0"/>
        <w:keepLines w:val="0"/>
        <w:spacing w:before="240" w:after="240"/>
      </w:pPr>
      <w:bookmarkStart w:id="7" w:name="_m0yq53vucblg" w:colFirst="0" w:colLast="0"/>
      <w:bookmarkEnd w:id="7"/>
      <w:r w:rsidRPr="00A2597C">
        <w:t>Methodology</w:t>
      </w:r>
    </w:p>
    <w:p w14:paraId="0000000E" w14:textId="5A94DDB9" w:rsidR="001B763A" w:rsidRPr="00A2597C" w:rsidRDefault="00733456" w:rsidP="00C62E98">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This study was part of a larger </w:t>
      </w:r>
      <w:r w:rsidR="00406AAF" w:rsidRPr="00A2597C">
        <w:rPr>
          <w:rFonts w:ascii="Times New Roman" w:eastAsia="Times New Roman" w:hAnsi="Times New Roman" w:cs="Times New Roman"/>
          <w:sz w:val="24"/>
          <w:szCs w:val="24"/>
        </w:rPr>
        <w:t>investigation that employed a hermeneutic (inductive) phenomenological approach, aiming to explore, analyze</w:t>
      </w:r>
      <w:r w:rsidR="009255DE" w:rsidRPr="00A2597C">
        <w:rPr>
          <w:rFonts w:ascii="Times New Roman" w:eastAsia="Times New Roman" w:hAnsi="Times New Roman" w:cs="Times New Roman"/>
          <w:sz w:val="24"/>
          <w:szCs w:val="24"/>
        </w:rPr>
        <w:t>, and interpret</w:t>
      </w:r>
      <w:r w:rsidR="00406AAF" w:rsidRPr="00A2597C">
        <w:rPr>
          <w:rFonts w:ascii="Times New Roman" w:eastAsia="Times New Roman" w:hAnsi="Times New Roman" w:cs="Times New Roman"/>
          <w:sz w:val="24"/>
          <w:szCs w:val="24"/>
        </w:rPr>
        <w:t xml:space="preserve"> the meaning of a shared experience or phenomenon as perceived </w:t>
      </w:r>
      <w:r w:rsidRPr="00A2597C">
        <w:rPr>
          <w:rFonts w:ascii="Times New Roman" w:eastAsia="Times New Roman" w:hAnsi="Times New Roman" w:cs="Times New Roman"/>
          <w:sz w:val="24"/>
          <w:szCs w:val="24"/>
        </w:rPr>
        <w:t xml:space="preserve">by several individuals (Creswell &amp; Poth, 2018; Marshall &amp; Rossman, 2016). Unlike descriptive phenomenology, which only allows for the phenomena under investigation to be described, hermeneutic phenomenology </w:t>
      </w:r>
      <w:r w:rsidR="00406AAF" w:rsidRPr="00A2597C">
        <w:rPr>
          <w:rFonts w:ascii="Times New Roman" w:eastAsia="Times New Roman" w:hAnsi="Times New Roman" w:cs="Times New Roman"/>
          <w:sz w:val="24"/>
          <w:szCs w:val="24"/>
        </w:rPr>
        <w:t>enables the interpretation of the phenomena (Reiners, 2012). Experiences are viewed from the perspective of the individual’s reality, rather than</w:t>
      </w:r>
      <w:r w:rsidRPr="00A2597C">
        <w:rPr>
          <w:rFonts w:ascii="Times New Roman" w:eastAsia="Times New Roman" w:hAnsi="Times New Roman" w:cs="Times New Roman"/>
          <w:sz w:val="24"/>
          <w:szCs w:val="24"/>
        </w:rPr>
        <w:t xml:space="preserve"> what they consciously know (Lopez &amp; Willis, 2004). Arguably, the hermeneutic phenomenological researcher cannot remain neutral in their investigation; instead, the researcher exists within the phenomena (Sloan &amp; Bowe, 2014) and therefore, the researcher is required to “show or disclose the object in its full richness and in its greatest depth” (van Manen, 1990, p. 20). This subjectivity acknowledges the strength in the researcher’s position to the phenomena while recognizing their unique connection to the focus of the study. Using the TSPK framework and relying specifically on the concept of amplifiers and filters (Gess-Newsome, 2015), this hermeneutic phenomenological study explored how five SBAE teachers </w:t>
      </w:r>
      <w:r w:rsidRPr="00A2597C">
        <w:rPr>
          <w:rFonts w:ascii="Times New Roman" w:eastAsia="Times New Roman" w:hAnsi="Times New Roman" w:cs="Times New Roman"/>
          <w:sz w:val="24"/>
          <w:szCs w:val="24"/>
        </w:rPr>
        <w:lastRenderedPageBreak/>
        <w:t xml:space="preserve">who self-identified as blended educators discussed the impact context had on their blended teaching practice. </w:t>
      </w:r>
    </w:p>
    <w:p w14:paraId="0000000F" w14:textId="77777777" w:rsidR="001B763A" w:rsidRPr="00A2597C" w:rsidRDefault="00733456">
      <w:pPr>
        <w:pStyle w:val="Heading3"/>
        <w:keepNext w:val="0"/>
        <w:keepLines w:val="0"/>
        <w:spacing w:before="240" w:after="240"/>
      </w:pPr>
      <w:bookmarkStart w:id="8" w:name="_r8up9w6okgfs" w:colFirst="0" w:colLast="0"/>
      <w:bookmarkEnd w:id="8"/>
      <w:r w:rsidRPr="00A2597C">
        <w:t>Participant Selection and Recruitment</w:t>
      </w:r>
    </w:p>
    <w:p w14:paraId="00000010" w14:textId="449AF38E" w:rsidR="001B763A" w:rsidRPr="00A2597C" w:rsidRDefault="00733456" w:rsidP="00441593">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The identified population for this study was SBAE teachers in the United States. Participants self-identified as teachers who were actively implementing blended teaching in their SBAE classrooms during the 2021-2022 school year. Due to a lack of previous research on blended teaching and learning in SBAE, we chose to purposefully sample participants through teacher educator recommendations from the American Association of Agricultural Education, and additionally from the National Association of Agricultural Educators, the</w:t>
      </w:r>
      <w:r w:rsidR="003050CC">
        <w:rPr>
          <w:rFonts w:ascii="Times New Roman" w:eastAsia="Times New Roman" w:hAnsi="Times New Roman" w:cs="Times New Roman"/>
          <w:sz w:val="24"/>
          <w:szCs w:val="24"/>
        </w:rPr>
        <w:t xml:space="preserve"> Oregon</w:t>
      </w:r>
      <w:r w:rsidRPr="00A2597C">
        <w:rPr>
          <w:rFonts w:ascii="Times New Roman" w:eastAsia="Times New Roman" w:hAnsi="Times New Roman" w:cs="Times New Roman"/>
          <w:sz w:val="24"/>
          <w:szCs w:val="24"/>
        </w:rPr>
        <w:t xml:space="preserve"> Agriculture Teachers' Association listservs, and the publicly available North Carolina Ag Ed Teacher directory.  In total, five SBAE teachers from California (Kathy), Delaware (Jill), North Carolina (Jeremy and Julianne), and Ohio (Nancy</w:t>
      </w:r>
      <w:r w:rsidR="00637001"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 xml:space="preserve"> participated in this study.</w:t>
      </w:r>
    </w:p>
    <w:p w14:paraId="00000011" w14:textId="77777777" w:rsidR="001B763A" w:rsidRPr="00A2597C" w:rsidRDefault="00733456">
      <w:pPr>
        <w:pStyle w:val="Heading3"/>
        <w:keepNext w:val="0"/>
        <w:keepLines w:val="0"/>
        <w:spacing w:before="240" w:after="240"/>
      </w:pPr>
      <w:bookmarkStart w:id="9" w:name="_2cenm18uxwnv" w:colFirst="0" w:colLast="0"/>
      <w:bookmarkEnd w:id="9"/>
      <w:r w:rsidRPr="00A2597C">
        <w:t>Data Collection and Analysis</w:t>
      </w:r>
    </w:p>
    <w:p w14:paraId="00000012" w14:textId="058146B3" w:rsidR="001B763A" w:rsidRPr="00A2597C" w:rsidRDefault="00733456" w:rsidP="00441593">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We acknowledge that the COVID-19 pandemic potentially impacted data collection for this study. The data collected for this study occurred after many of the widespread shutdowns had ended and the public school system had </w:t>
      </w:r>
      <w:r w:rsidR="00406AAF" w:rsidRPr="00A2597C">
        <w:rPr>
          <w:rFonts w:ascii="Times New Roman" w:eastAsia="Times New Roman" w:hAnsi="Times New Roman" w:cs="Times New Roman"/>
          <w:sz w:val="24"/>
          <w:szCs w:val="24"/>
        </w:rPr>
        <w:t>returned mainly</w:t>
      </w:r>
      <w:r w:rsidRPr="00A2597C">
        <w:rPr>
          <w:rFonts w:ascii="Times New Roman" w:eastAsia="Times New Roman" w:hAnsi="Times New Roman" w:cs="Times New Roman"/>
          <w:sz w:val="24"/>
          <w:szCs w:val="24"/>
        </w:rPr>
        <w:t xml:space="preserve"> to in-person instruction. It is in this post-pandemic context that the participants discussed their beliefs and blended teaching practice.</w:t>
      </w:r>
    </w:p>
    <w:p w14:paraId="00000013" w14:textId="23F0283A" w:rsidR="001B763A" w:rsidRPr="00A2597C" w:rsidRDefault="00733456" w:rsidP="001F3CB1">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We conducted 60-minute semi-structured, in-depth interviews via Zoom, a video conferencing software. The semi-structured interview format </w:t>
      </w:r>
      <w:r w:rsidR="00406AAF" w:rsidRPr="00A2597C">
        <w:rPr>
          <w:rFonts w:ascii="Times New Roman" w:eastAsia="Times New Roman" w:hAnsi="Times New Roman" w:cs="Times New Roman"/>
          <w:sz w:val="24"/>
          <w:szCs w:val="24"/>
        </w:rPr>
        <w:t>enabled us to remain focused on the interview's intent</w:t>
      </w:r>
      <w:r w:rsidRPr="00A2597C">
        <w:rPr>
          <w:rFonts w:ascii="Times New Roman" w:eastAsia="Times New Roman" w:hAnsi="Times New Roman" w:cs="Times New Roman"/>
          <w:sz w:val="24"/>
          <w:szCs w:val="24"/>
        </w:rPr>
        <w:t xml:space="preserve"> while providing flexibility to ask follow-up questions (van Manen, 1990). The interview protocol was centered on the participants’ beliefs and experiences with blended teaching in the context of SBAE. We </w:t>
      </w:r>
      <w:r w:rsidR="00406AAF" w:rsidRPr="00A2597C">
        <w:rPr>
          <w:rFonts w:ascii="Times New Roman" w:eastAsia="Times New Roman" w:hAnsi="Times New Roman" w:cs="Times New Roman"/>
          <w:sz w:val="24"/>
          <w:szCs w:val="24"/>
        </w:rPr>
        <w:t xml:space="preserve">utilized Otter.ai, a web-based voice-to-text transcription service, to transcribe each of the five interviews. DeDoose, an online data analysis program, was then employed to code and analyze the </w:t>
      </w:r>
      <w:r w:rsidRPr="00A2597C">
        <w:rPr>
          <w:rFonts w:ascii="Times New Roman" w:eastAsia="Times New Roman" w:hAnsi="Times New Roman" w:cs="Times New Roman"/>
          <w:sz w:val="24"/>
          <w:szCs w:val="24"/>
        </w:rPr>
        <w:t xml:space="preserve">transcripts. All participants voluntarily provided verbal consent for both audio and video recording, and </w:t>
      </w:r>
      <w:r w:rsidR="003050CC">
        <w:rPr>
          <w:rFonts w:ascii="Times New Roman" w:eastAsia="Times New Roman" w:hAnsi="Times New Roman" w:cs="Times New Roman"/>
          <w:sz w:val="24"/>
          <w:szCs w:val="24"/>
        </w:rPr>
        <w:t>Oregon State University</w:t>
      </w:r>
      <w:r w:rsidRPr="00A2597C">
        <w:rPr>
          <w:rFonts w:ascii="Times New Roman" w:eastAsia="Times New Roman" w:hAnsi="Times New Roman" w:cs="Times New Roman"/>
          <w:sz w:val="24"/>
          <w:szCs w:val="24"/>
        </w:rPr>
        <w:t xml:space="preserve"> Institutional Review Board guidelines were followed during data collection. </w:t>
      </w:r>
    </w:p>
    <w:p w14:paraId="00000014" w14:textId="2521CCFE" w:rsidR="001B763A" w:rsidRPr="00A2597C" w:rsidRDefault="00733456" w:rsidP="001F3CB1">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In hermeneutic phenomenology, the </w:t>
      </w:r>
      <w:r w:rsidR="00406AAF" w:rsidRPr="00A2597C">
        <w:rPr>
          <w:rFonts w:ascii="Times New Roman" w:eastAsia="Times New Roman" w:hAnsi="Times New Roman" w:cs="Times New Roman"/>
          <w:sz w:val="24"/>
          <w:szCs w:val="24"/>
        </w:rPr>
        <w:t>researcher's goal</w:t>
      </w:r>
      <w:r w:rsidRPr="00A2597C">
        <w:rPr>
          <w:rFonts w:ascii="Times New Roman" w:eastAsia="Times New Roman" w:hAnsi="Times New Roman" w:cs="Times New Roman"/>
          <w:sz w:val="24"/>
          <w:szCs w:val="24"/>
        </w:rPr>
        <w:t xml:space="preserve"> is to interpret the meanings as they relate to the phenomenon under investigation. We utilized the hermeneutic circle, a general methodology established by Lindseth and Norberg (2024)</w:t>
      </w:r>
      <w:r w:rsidR="00406AAF"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 xml:space="preserve"> to analyze and interpret the hermeneutical interview text. This allowed us to move between the parts and the whole of the texts </w:t>
      </w:r>
      <w:r w:rsidR="005A7181" w:rsidRPr="00A2597C">
        <w:rPr>
          <w:rFonts w:ascii="Times New Roman" w:eastAsia="Times New Roman" w:hAnsi="Times New Roman" w:cs="Times New Roman"/>
          <w:sz w:val="24"/>
          <w:szCs w:val="24"/>
        </w:rPr>
        <w:t>to</w:t>
      </w:r>
      <w:r w:rsidRPr="00A2597C">
        <w:rPr>
          <w:rFonts w:ascii="Times New Roman" w:eastAsia="Times New Roman" w:hAnsi="Times New Roman" w:cs="Times New Roman"/>
          <w:sz w:val="24"/>
          <w:szCs w:val="24"/>
        </w:rPr>
        <w:t xml:space="preserve"> better understand the individual parts and their meaning in the context of the whole document (Sloan &amp; Bowe, 2014). This </w:t>
      </w:r>
      <w:r w:rsidR="00406AAF" w:rsidRPr="00A2597C">
        <w:rPr>
          <w:rFonts w:ascii="Times New Roman" w:eastAsia="Times New Roman" w:hAnsi="Times New Roman" w:cs="Times New Roman"/>
          <w:sz w:val="24"/>
          <w:szCs w:val="24"/>
        </w:rPr>
        <w:t>phase initially consisted of the naive reading phase, where each transcript was read multiple times to gain a deeper understanding of the text and its</w:t>
      </w:r>
      <w:r w:rsidRPr="00A2597C">
        <w:rPr>
          <w:rFonts w:ascii="Times New Roman" w:eastAsia="Times New Roman" w:hAnsi="Times New Roman" w:cs="Times New Roman"/>
          <w:sz w:val="24"/>
          <w:szCs w:val="24"/>
        </w:rPr>
        <w:t xml:space="preserve"> ideas (Lindseth &amp; Norberg, 2004). We then began the thematic analysis, adhering to guidelines established by Saldaña (2009). We engaged in initial coding, memoing, and focused coding to establish preliminary core themes and subthemes. Once themes and sub-themes were established, we revisited the naive understandings and reflected upon them to determine if the naive understandings were validated or invalidated (Lindseth &amp; Norberg, 2004). Lastly, the transcripts were read in their entirety</w:t>
      </w:r>
      <w:r w:rsidR="00406AAF" w:rsidRPr="00A2597C">
        <w:rPr>
          <w:rFonts w:ascii="Times New Roman" w:eastAsia="Times New Roman" w:hAnsi="Times New Roman" w:cs="Times New Roman"/>
          <w:sz w:val="24"/>
          <w:szCs w:val="24"/>
        </w:rPr>
        <w:t>, along with a naive understanding, to gain a comprehensive understanding of the data and validate the</w:t>
      </w:r>
      <w:r w:rsidRPr="00A2597C">
        <w:rPr>
          <w:rFonts w:ascii="Times New Roman" w:eastAsia="Times New Roman" w:hAnsi="Times New Roman" w:cs="Times New Roman"/>
          <w:sz w:val="24"/>
          <w:szCs w:val="24"/>
        </w:rPr>
        <w:t xml:space="preserve"> themes. During this process, we strived to be mindful </w:t>
      </w:r>
      <w:r w:rsidRPr="00A2597C">
        <w:rPr>
          <w:rFonts w:ascii="Times New Roman" w:eastAsia="Times New Roman" w:hAnsi="Times New Roman" w:cs="Times New Roman"/>
          <w:sz w:val="24"/>
          <w:szCs w:val="24"/>
        </w:rPr>
        <w:lastRenderedPageBreak/>
        <w:t>of alternative meanings and interpretations while taking steps to be aware of our pre-existing understandings.</w:t>
      </w:r>
    </w:p>
    <w:p w14:paraId="00000015" w14:textId="77777777" w:rsidR="001B763A" w:rsidRPr="00A2597C" w:rsidRDefault="00733456">
      <w:pPr>
        <w:pStyle w:val="Heading3"/>
        <w:keepNext w:val="0"/>
        <w:keepLines w:val="0"/>
        <w:spacing w:before="240" w:after="240"/>
      </w:pPr>
      <w:bookmarkStart w:id="10" w:name="_6q5muq7y84vn" w:colFirst="0" w:colLast="0"/>
      <w:bookmarkEnd w:id="10"/>
      <w:r w:rsidRPr="00A2597C">
        <w:t>Study Quality</w:t>
      </w:r>
    </w:p>
    <w:p w14:paraId="00000016" w14:textId="0BC83631" w:rsidR="001B763A" w:rsidRPr="00A2597C" w:rsidRDefault="00733456" w:rsidP="00EF0CBB">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To validate our study, we drew on Lincoln and Guba’s (1986) criteria for credibility, transferability, and dependability, while Berger (2015) and Malterud (2001) influenced our conception of reflexivity. We addressed </w:t>
      </w:r>
      <w:r w:rsidRPr="00A2597C">
        <w:rPr>
          <w:rFonts w:ascii="Times New Roman" w:eastAsia="Times New Roman" w:hAnsi="Times New Roman" w:cs="Times New Roman"/>
          <w:i/>
          <w:sz w:val="24"/>
          <w:szCs w:val="24"/>
        </w:rPr>
        <w:t xml:space="preserve">credibility </w:t>
      </w:r>
      <w:r w:rsidRPr="00A2597C">
        <w:rPr>
          <w:rFonts w:ascii="Times New Roman" w:eastAsia="Times New Roman" w:hAnsi="Times New Roman" w:cs="Times New Roman"/>
          <w:sz w:val="24"/>
          <w:szCs w:val="24"/>
        </w:rPr>
        <w:t>through member checks and participant feedback on data, preliminary analysis, interpretations, and conclusions (Creswell &amp; Poth, 2018; Lincoln &amp; Guba, 1986). We generated rich, thick descriptions of conversations, settings, and the participants as advised by Merriam and Tisdell (2015</w:t>
      </w:r>
      <w:r w:rsidR="005A7181" w:rsidRPr="00A2597C">
        <w:rPr>
          <w:rFonts w:ascii="Times New Roman" w:eastAsia="Times New Roman" w:hAnsi="Times New Roman" w:cs="Times New Roman"/>
          <w:sz w:val="24"/>
          <w:szCs w:val="24"/>
        </w:rPr>
        <w:t>) and</w:t>
      </w:r>
      <w:r w:rsidRPr="00A2597C">
        <w:rPr>
          <w:rFonts w:ascii="Times New Roman" w:eastAsia="Times New Roman" w:hAnsi="Times New Roman" w:cs="Times New Roman"/>
          <w:sz w:val="24"/>
          <w:szCs w:val="24"/>
        </w:rPr>
        <w:t xml:space="preserve"> used verbatim transcriptions of the interviews as recommended by Maxwell (2013) to address </w:t>
      </w:r>
      <w:r w:rsidRPr="00A2597C">
        <w:rPr>
          <w:rFonts w:ascii="Times New Roman" w:eastAsia="Times New Roman" w:hAnsi="Times New Roman" w:cs="Times New Roman"/>
          <w:i/>
          <w:sz w:val="24"/>
          <w:szCs w:val="24"/>
        </w:rPr>
        <w:t>transferability</w:t>
      </w:r>
      <w:r w:rsidRPr="00A2597C">
        <w:rPr>
          <w:rFonts w:ascii="Times New Roman" w:eastAsia="Times New Roman" w:hAnsi="Times New Roman" w:cs="Times New Roman"/>
          <w:sz w:val="24"/>
          <w:szCs w:val="24"/>
        </w:rPr>
        <w:t xml:space="preserve">. To increase </w:t>
      </w:r>
      <w:r w:rsidRPr="00A2597C">
        <w:rPr>
          <w:rFonts w:ascii="Times New Roman" w:eastAsia="Times New Roman" w:hAnsi="Times New Roman" w:cs="Times New Roman"/>
          <w:i/>
          <w:sz w:val="24"/>
          <w:szCs w:val="24"/>
        </w:rPr>
        <w:t>dependability</w:t>
      </w:r>
      <w:r w:rsidRPr="00A2597C">
        <w:rPr>
          <w:rFonts w:ascii="Times New Roman" w:eastAsia="Times New Roman" w:hAnsi="Times New Roman" w:cs="Times New Roman"/>
          <w:sz w:val="24"/>
          <w:szCs w:val="24"/>
        </w:rPr>
        <w:t xml:space="preserve">, we implemented the use of audit trails to provide transparency to data collection and management (Marshall &amp; Rossman, 2016). </w:t>
      </w:r>
      <w:r w:rsidRPr="00A2597C">
        <w:rPr>
          <w:rFonts w:ascii="Times New Roman" w:eastAsia="Times New Roman" w:hAnsi="Times New Roman" w:cs="Times New Roman"/>
          <w:i/>
          <w:sz w:val="24"/>
          <w:szCs w:val="24"/>
        </w:rPr>
        <w:t xml:space="preserve">Reflexivity </w:t>
      </w:r>
      <w:r w:rsidR="00406AAF" w:rsidRPr="00A2597C">
        <w:rPr>
          <w:rFonts w:ascii="Times New Roman" w:eastAsia="Times New Roman" w:hAnsi="Times New Roman" w:cs="Times New Roman"/>
          <w:iCs/>
          <w:sz w:val="24"/>
          <w:szCs w:val="24"/>
        </w:rPr>
        <w:t>was practiced</w:t>
      </w:r>
      <w:r w:rsidR="00406AAF" w:rsidRPr="00A2597C">
        <w:rPr>
          <w:rFonts w:ascii="Times New Roman" w:eastAsia="Times New Roman" w:hAnsi="Times New Roman" w:cs="Times New Roman"/>
          <w:i/>
          <w:sz w:val="24"/>
          <w:szCs w:val="24"/>
        </w:rPr>
        <w:t xml:space="preserve"> </w:t>
      </w:r>
      <w:r w:rsidRPr="00A2597C">
        <w:rPr>
          <w:rFonts w:ascii="Times New Roman" w:eastAsia="Times New Roman" w:hAnsi="Times New Roman" w:cs="Times New Roman"/>
          <w:sz w:val="24"/>
          <w:szCs w:val="24"/>
        </w:rPr>
        <w:t>by acknowledging my bias</w:t>
      </w:r>
      <w:r w:rsidR="00406AAF" w:rsidRPr="00A2597C">
        <w:rPr>
          <w:rFonts w:ascii="Times New Roman" w:eastAsia="Times New Roman" w:hAnsi="Times New Roman" w:cs="Times New Roman"/>
          <w:sz w:val="24"/>
          <w:szCs w:val="24"/>
        </w:rPr>
        <w:t>es</w:t>
      </w:r>
      <w:r w:rsidRPr="00A2597C">
        <w:rPr>
          <w:rFonts w:ascii="Times New Roman" w:eastAsia="Times New Roman" w:hAnsi="Times New Roman" w:cs="Times New Roman"/>
          <w:sz w:val="24"/>
          <w:szCs w:val="24"/>
        </w:rPr>
        <w:t xml:space="preserve">, values, and experiences with blended learning and teaching, and how that informed data interpretation (Berger, 2015; Creswell &amp; Poth, 2018; Maxwell, 2013) </w:t>
      </w:r>
    </w:p>
    <w:p w14:paraId="00000017" w14:textId="77777777" w:rsidR="001B763A" w:rsidRPr="00A2597C" w:rsidRDefault="00733456">
      <w:pPr>
        <w:pStyle w:val="Heading2"/>
        <w:spacing w:before="240" w:after="240"/>
      </w:pPr>
      <w:bookmarkStart w:id="11" w:name="_v6pf0de1enl1" w:colFirst="0" w:colLast="0"/>
      <w:bookmarkEnd w:id="11"/>
      <w:r w:rsidRPr="00A2597C">
        <w:t>Findings</w:t>
      </w:r>
    </w:p>
    <w:p w14:paraId="00000018" w14:textId="464B3A44" w:rsidR="001B763A" w:rsidRPr="00A2597C" w:rsidRDefault="00733456" w:rsidP="00EF0CBB">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The SBAE teachers who participated in this study identified important contextual factors that amplified </w:t>
      </w:r>
      <w:r w:rsidR="00164F19" w:rsidRPr="00A2597C">
        <w:rPr>
          <w:rFonts w:ascii="Times New Roman" w:eastAsia="Times New Roman" w:hAnsi="Times New Roman" w:cs="Times New Roman"/>
          <w:sz w:val="24"/>
          <w:szCs w:val="24"/>
        </w:rPr>
        <w:t xml:space="preserve">and filtered </w:t>
      </w:r>
      <w:r w:rsidRPr="00A2597C">
        <w:rPr>
          <w:rFonts w:ascii="Times New Roman" w:eastAsia="Times New Roman" w:hAnsi="Times New Roman" w:cs="Times New Roman"/>
          <w:sz w:val="24"/>
          <w:szCs w:val="24"/>
        </w:rPr>
        <w:t>their blended teaching</w:t>
      </w:r>
      <w:r w:rsidR="00163BBE" w:rsidRPr="00A2597C">
        <w:rPr>
          <w:rFonts w:ascii="Times New Roman" w:eastAsia="Times New Roman" w:hAnsi="Times New Roman" w:cs="Times New Roman"/>
          <w:sz w:val="24"/>
          <w:szCs w:val="24"/>
        </w:rPr>
        <w:t xml:space="preserve"> knowledge</w:t>
      </w:r>
      <w:r w:rsidRPr="00A2597C">
        <w:rPr>
          <w:rFonts w:ascii="Times New Roman" w:eastAsia="Times New Roman" w:hAnsi="Times New Roman" w:cs="Times New Roman"/>
          <w:sz w:val="24"/>
          <w:szCs w:val="24"/>
        </w:rPr>
        <w:t xml:space="preserve">. The contextual factors frequently discussed are described in two themes: </w:t>
      </w:r>
      <w:r w:rsidRPr="00A2597C">
        <w:rPr>
          <w:rFonts w:ascii="Times New Roman" w:eastAsia="Times New Roman" w:hAnsi="Times New Roman" w:cs="Times New Roman"/>
          <w:i/>
          <w:sz w:val="24"/>
          <w:szCs w:val="24"/>
        </w:rPr>
        <w:t>The Support</w:t>
      </w:r>
      <w:r w:rsidRPr="00A2597C">
        <w:rPr>
          <w:rFonts w:ascii="Times New Roman" w:eastAsia="Times New Roman" w:hAnsi="Times New Roman" w:cs="Times New Roman"/>
          <w:sz w:val="24"/>
          <w:szCs w:val="24"/>
        </w:rPr>
        <w:t xml:space="preserve"> and </w:t>
      </w:r>
      <w:r w:rsidRPr="00A2597C">
        <w:rPr>
          <w:rFonts w:ascii="Times New Roman" w:eastAsia="Times New Roman" w:hAnsi="Times New Roman" w:cs="Times New Roman"/>
          <w:i/>
          <w:sz w:val="24"/>
          <w:szCs w:val="24"/>
        </w:rPr>
        <w:t>The Nature of Agricultural Education</w:t>
      </w:r>
      <w:r w:rsidRPr="00A2597C">
        <w:rPr>
          <w:rFonts w:ascii="Times New Roman" w:eastAsia="Times New Roman" w:hAnsi="Times New Roman" w:cs="Times New Roman"/>
          <w:sz w:val="24"/>
          <w:szCs w:val="24"/>
        </w:rPr>
        <w:t>.</w:t>
      </w:r>
    </w:p>
    <w:p w14:paraId="00000019" w14:textId="77777777" w:rsidR="001B763A" w:rsidRPr="00A2597C" w:rsidRDefault="00733456">
      <w:pPr>
        <w:pStyle w:val="Heading3"/>
        <w:spacing w:before="240" w:after="240"/>
      </w:pPr>
      <w:bookmarkStart w:id="12" w:name="_5n6290umc47r" w:colFirst="0" w:colLast="0"/>
      <w:bookmarkEnd w:id="12"/>
      <w:r w:rsidRPr="00A2597C">
        <w:t>The Support</w:t>
      </w:r>
    </w:p>
    <w:p w14:paraId="0000001A" w14:textId="4C3C8BA1" w:rsidR="001B763A" w:rsidRPr="00A2597C" w:rsidRDefault="00733456" w:rsidP="00E220BC">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This theme included infrastructural support and support from administration and school districts. The infrastructural support the agricultural teachers referenced most frequently was access to computers in their classrooms. Each of the SBAE teachers in this study used one-to-one computing in their classrooms. Blended teaching occurs when teaching and learning happen in part, in an online setting. Student access to computers, particularly one-to-one computing, becomes a critical infrastructural and supportive component of blended teaching. </w:t>
      </w:r>
    </w:p>
    <w:p w14:paraId="0000001B" w14:textId="77777777" w:rsidR="001B763A" w:rsidRPr="00A2597C" w:rsidRDefault="00733456" w:rsidP="00E220BC">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The participants also identified instances where support from their school administration and school districts amplified their ability to practice blended teaching. Nancy discussed how her school district was in the process of implementing blended learning when she was hired:</w:t>
      </w:r>
    </w:p>
    <w:p w14:paraId="0000001C" w14:textId="77777777"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When I was hired, I had a principal who was very supportive and said, ‘We really want some change in the program, and we want you.’ At my last school, I had dabbled in blended learning, but it was a much larger district. And so, when I came here, we journeyed into blended learning together.</w:t>
      </w:r>
    </w:p>
    <w:p w14:paraId="0000001D" w14:textId="4CDEAA68" w:rsidR="001B763A" w:rsidRPr="00A2597C" w:rsidRDefault="00733456">
      <w:pPr>
        <w:spacing w:before="240" w:after="240"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Similarly, Jill recounted how the </w:t>
      </w:r>
      <w:r w:rsidR="006D2AFB" w:rsidRPr="00A2597C">
        <w:rPr>
          <w:rFonts w:ascii="Times New Roman" w:eastAsia="Times New Roman" w:hAnsi="Times New Roman" w:cs="Times New Roman"/>
          <w:sz w:val="24"/>
          <w:szCs w:val="24"/>
        </w:rPr>
        <w:t>environment</w:t>
      </w:r>
      <w:r w:rsidRPr="00A2597C">
        <w:rPr>
          <w:rFonts w:ascii="Times New Roman" w:eastAsia="Times New Roman" w:hAnsi="Times New Roman" w:cs="Times New Roman"/>
          <w:sz w:val="24"/>
          <w:szCs w:val="24"/>
        </w:rPr>
        <w:t xml:space="preserve"> between her first and second schools impacted her ability to explore and try new things in her teaching practice, such as blended teaching:</w:t>
      </w:r>
    </w:p>
    <w:p w14:paraId="0000001E" w14:textId="7EDBA1A0"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So</w:t>
      </w:r>
      <w:r w:rsidR="006D2AFB"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 xml:space="preserve"> the first six years of teaching, I was in a newer building in an up-and-coming district, and they were very into performance, which puts a lot of pressure on a new teacher who's just trying to learn how to manage a kid that doesn't want to do work, or learn how to </w:t>
      </w:r>
      <w:r w:rsidRPr="00A2597C">
        <w:rPr>
          <w:rFonts w:ascii="Times New Roman" w:eastAsia="Times New Roman" w:hAnsi="Times New Roman" w:cs="Times New Roman"/>
          <w:sz w:val="24"/>
          <w:szCs w:val="24"/>
        </w:rPr>
        <w:lastRenderedPageBreak/>
        <w:t xml:space="preserve">plan a good lesson. A job opened up that was closer to home, and that district </w:t>
      </w:r>
      <w:r w:rsidR="006D2AFB" w:rsidRPr="00A2597C">
        <w:rPr>
          <w:rFonts w:ascii="Times New Roman" w:eastAsia="Times New Roman" w:hAnsi="Times New Roman" w:cs="Times New Roman"/>
          <w:sz w:val="24"/>
          <w:szCs w:val="24"/>
        </w:rPr>
        <w:t xml:space="preserve">was </w:t>
      </w:r>
      <w:r w:rsidRPr="00A2597C">
        <w:rPr>
          <w:rFonts w:ascii="Times New Roman" w:eastAsia="Times New Roman" w:hAnsi="Times New Roman" w:cs="Times New Roman"/>
          <w:sz w:val="24"/>
          <w:szCs w:val="24"/>
        </w:rPr>
        <w:t xml:space="preserve">very much focused on the opportunities for kids. </w:t>
      </w:r>
    </w:p>
    <w:p w14:paraId="0000001F" w14:textId="77777777" w:rsidR="001B763A" w:rsidRPr="00A2597C" w:rsidRDefault="00733456">
      <w:pPr>
        <w:spacing w:before="240" w:after="240"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Jill’s new administration provided her the flexibility and freedom to create learning opportunities for her students through blended teaching. She mentioned that “it took a couple of years for me to be okay with that flexibility and freedom”.</w:t>
      </w:r>
    </w:p>
    <w:p w14:paraId="00000020" w14:textId="77777777" w:rsidR="001B763A" w:rsidRPr="00A2597C" w:rsidRDefault="00733456" w:rsidP="00E220BC">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When Jeremy’s school district started talking about moving to one-to-one computing, he decided that he wanted to be a part of the conversation. He wanted to be one of the decision-makers, and his administration supported him in that:</w:t>
      </w:r>
    </w:p>
    <w:p w14:paraId="00000021" w14:textId="2D8B79F5"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When it became apparent to me that computers were going to be the way we started teaching, and I started seeing districts around us go one-to-one, I started hearing those conversations here in our school district…if we're gonna do it, I want to be one of the people that decides how we do it. I don’t want to be told how to do it. I want to figure it out and be part of the group that says, </w:t>
      </w:r>
      <w:r w:rsidR="006D2AFB" w:rsidRPr="00A2597C">
        <w:rPr>
          <w:rFonts w:ascii="Times New Roman" w:eastAsia="Times New Roman" w:hAnsi="Times New Roman" w:cs="Times New Roman"/>
          <w:sz w:val="24"/>
          <w:szCs w:val="24"/>
        </w:rPr>
        <w:t>hey</w:t>
      </w:r>
      <w:r w:rsidRPr="00A2597C">
        <w:rPr>
          <w:rFonts w:ascii="Times New Roman" w:eastAsia="Times New Roman" w:hAnsi="Times New Roman" w:cs="Times New Roman"/>
          <w:sz w:val="24"/>
          <w:szCs w:val="24"/>
        </w:rPr>
        <w:t xml:space="preserve">, here's the best way to do it. </w:t>
      </w:r>
    </w:p>
    <w:p w14:paraId="00000022" w14:textId="77777777" w:rsidR="001B763A" w:rsidRPr="00A2597C" w:rsidRDefault="00733456">
      <w:pPr>
        <w:pStyle w:val="Heading3"/>
        <w:spacing w:before="240" w:after="240"/>
      </w:pPr>
      <w:bookmarkStart w:id="13" w:name="_ei98yd55m47f" w:colFirst="0" w:colLast="0"/>
      <w:bookmarkEnd w:id="13"/>
      <w:r w:rsidRPr="00A2597C">
        <w:t>The Nature of Agricultural Education</w:t>
      </w:r>
    </w:p>
    <w:p w14:paraId="00000023" w14:textId="0896CE69" w:rsidR="001B763A" w:rsidRPr="00A2597C" w:rsidRDefault="006D2AFB" w:rsidP="00E220BC">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Many of the participants believed that the nature of </w:t>
      </w:r>
      <w:r w:rsidR="00321ED8" w:rsidRPr="00A2597C">
        <w:rPr>
          <w:rFonts w:ascii="Times New Roman" w:eastAsia="Times New Roman" w:hAnsi="Times New Roman" w:cs="Times New Roman"/>
          <w:sz w:val="24"/>
          <w:szCs w:val="24"/>
        </w:rPr>
        <w:t>SBAE</w:t>
      </w:r>
      <w:r w:rsidRPr="00A2597C">
        <w:rPr>
          <w:rFonts w:ascii="Times New Roman" w:eastAsia="Times New Roman" w:hAnsi="Times New Roman" w:cs="Times New Roman"/>
          <w:sz w:val="24"/>
          <w:szCs w:val="24"/>
        </w:rPr>
        <w:t xml:space="preserve">, </w:t>
      </w:r>
      <w:r w:rsidR="00E220BC" w:rsidRPr="00A2597C">
        <w:rPr>
          <w:rFonts w:ascii="Times New Roman" w:eastAsia="Times New Roman" w:hAnsi="Times New Roman" w:cs="Times New Roman"/>
          <w:sz w:val="24"/>
          <w:szCs w:val="24"/>
        </w:rPr>
        <w:t>grounded in</w:t>
      </w:r>
      <w:r w:rsidRPr="00A2597C">
        <w:rPr>
          <w:rFonts w:ascii="Times New Roman" w:eastAsia="Times New Roman" w:hAnsi="Times New Roman" w:cs="Times New Roman"/>
          <w:sz w:val="24"/>
          <w:szCs w:val="24"/>
        </w:rPr>
        <w:t xml:space="preserve"> their education and the conventions of the profession, should provide ‘hands-on’, experiential learning opportunities. </w:t>
      </w:r>
      <w:r w:rsidR="00637001" w:rsidRPr="00A2597C">
        <w:rPr>
          <w:rFonts w:ascii="Times New Roman" w:eastAsia="Times New Roman" w:hAnsi="Times New Roman" w:cs="Times New Roman"/>
          <w:sz w:val="24"/>
          <w:szCs w:val="24"/>
        </w:rPr>
        <w:t>Participants</w:t>
      </w:r>
      <w:r w:rsidRPr="00A2597C">
        <w:rPr>
          <w:rFonts w:ascii="Times New Roman" w:eastAsia="Times New Roman" w:hAnsi="Times New Roman" w:cs="Times New Roman"/>
          <w:sz w:val="24"/>
          <w:szCs w:val="24"/>
        </w:rPr>
        <w:t xml:space="preserve"> expressed some sentiment that </w:t>
      </w:r>
      <w:r w:rsidR="00321ED8" w:rsidRPr="00A2597C">
        <w:rPr>
          <w:rFonts w:ascii="Times New Roman" w:eastAsia="Times New Roman" w:hAnsi="Times New Roman" w:cs="Times New Roman"/>
          <w:sz w:val="24"/>
          <w:szCs w:val="24"/>
        </w:rPr>
        <w:t>SBAE</w:t>
      </w:r>
      <w:r w:rsidRPr="00A2597C">
        <w:rPr>
          <w:rFonts w:ascii="Times New Roman" w:eastAsia="Times New Roman" w:hAnsi="Times New Roman" w:cs="Times New Roman"/>
          <w:sz w:val="24"/>
          <w:szCs w:val="24"/>
        </w:rPr>
        <w:t xml:space="preserve"> should include ‘hands-on’, experiential learning opportunities. In some ways, this is what makes agricultural education “unique”. Jill positioned blended teaching and agricultural education in conflict with each other at first, but discovered a way that blended teaching and the ‘hands-on’ component of agricultural education could coexist:</w:t>
      </w:r>
    </w:p>
    <w:p w14:paraId="00000024" w14:textId="4E285AD1"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I was super against it when I first started teaching because I thought agriculture was hands-on. I need to teach these kids skills. But when I found a tool that paralleled what I was already teaching, it allowed me to be more flexible, so now I can have more of a blended learning environment.</w:t>
      </w:r>
    </w:p>
    <w:p w14:paraId="00000025" w14:textId="77777777" w:rsidR="001B763A" w:rsidRPr="00A2597C" w:rsidRDefault="00733456">
      <w:pPr>
        <w:spacing w:before="240" w:after="240"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Kathy said that blended teaching provides students with opportunities that they would otherwise not receive. She recognized that the ‘hands-on’ activities are just part of the blended process:</w:t>
      </w:r>
    </w:p>
    <w:p w14:paraId="00000026" w14:textId="77777777"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I guess when I think of blended learning, there's the tech side of things, of bringing in those experiences that they're not going to get, like AI-ing (artificially inseminating) a real cow. But then there's also that blended learning of getting to do the hands-on stuff. </w:t>
      </w:r>
    </w:p>
    <w:p w14:paraId="00000027" w14:textId="15CD9890" w:rsidR="001B763A" w:rsidRPr="00A2597C" w:rsidRDefault="00733456">
      <w:pPr>
        <w:spacing w:before="240" w:after="240"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Although not all of the</w:t>
      </w:r>
      <w:r w:rsidR="00D276E6" w:rsidRPr="00A2597C">
        <w:rPr>
          <w:rFonts w:ascii="Times New Roman" w:eastAsia="Times New Roman" w:hAnsi="Times New Roman" w:cs="Times New Roman"/>
          <w:sz w:val="24"/>
          <w:szCs w:val="24"/>
        </w:rPr>
        <w:t xml:space="preserve"> participants</w:t>
      </w:r>
      <w:r w:rsidRPr="00A2597C">
        <w:rPr>
          <w:rFonts w:ascii="Times New Roman" w:eastAsia="Times New Roman" w:hAnsi="Times New Roman" w:cs="Times New Roman"/>
          <w:sz w:val="24"/>
          <w:szCs w:val="24"/>
        </w:rPr>
        <w:t xml:space="preserve"> in this study positioned ‘hands-on’, experiential learning within the context of the pandemic, Jeremy and Julianne </w:t>
      </w:r>
      <w:r w:rsidR="00637001" w:rsidRPr="00A2597C">
        <w:rPr>
          <w:rFonts w:ascii="Times New Roman" w:eastAsia="Times New Roman" w:hAnsi="Times New Roman" w:cs="Times New Roman"/>
          <w:sz w:val="24"/>
          <w:szCs w:val="24"/>
        </w:rPr>
        <w:t xml:space="preserve">specifically </w:t>
      </w:r>
      <w:r w:rsidRPr="00A2597C">
        <w:rPr>
          <w:rFonts w:ascii="Times New Roman" w:eastAsia="Times New Roman" w:hAnsi="Times New Roman" w:cs="Times New Roman"/>
          <w:sz w:val="24"/>
          <w:szCs w:val="24"/>
        </w:rPr>
        <w:t xml:space="preserve">expressed the desire to return to in-person, hands-on learning. </w:t>
      </w:r>
      <w:r w:rsidR="00406AAF" w:rsidRPr="00A2597C">
        <w:rPr>
          <w:rFonts w:ascii="Times New Roman" w:eastAsia="Times New Roman" w:hAnsi="Times New Roman" w:cs="Times New Roman"/>
          <w:sz w:val="24"/>
          <w:szCs w:val="24"/>
        </w:rPr>
        <w:t>Jeremy’s</w:t>
      </w:r>
      <w:r w:rsidRPr="00A2597C">
        <w:rPr>
          <w:rFonts w:ascii="Times New Roman" w:eastAsia="Times New Roman" w:hAnsi="Times New Roman" w:cs="Times New Roman"/>
          <w:sz w:val="24"/>
          <w:szCs w:val="24"/>
        </w:rPr>
        <w:t xml:space="preserve"> comments about agricultural education and hands-on learning are heavily influenced by the restrictions placed on teachers and schools as a result of the pandemic: </w:t>
      </w:r>
    </w:p>
    <w:p w14:paraId="00000028" w14:textId="0D71DCDC"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I think this </w:t>
      </w:r>
      <w:r w:rsidR="00D276E6"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the pandemic</w:t>
      </w:r>
      <w:r w:rsidR="00D276E6" w:rsidRPr="00A2597C">
        <w:rPr>
          <w:rFonts w:ascii="Times New Roman" w:eastAsia="Times New Roman" w:hAnsi="Times New Roman" w:cs="Times New Roman"/>
          <w:sz w:val="24"/>
          <w:szCs w:val="24"/>
        </w:rPr>
        <w:t>]</w:t>
      </w:r>
      <w:r w:rsidRPr="00A2597C">
        <w:rPr>
          <w:rFonts w:ascii="Times New Roman" w:eastAsia="Times New Roman" w:hAnsi="Times New Roman" w:cs="Times New Roman"/>
          <w:sz w:val="24"/>
          <w:szCs w:val="24"/>
        </w:rPr>
        <w:t xml:space="preserve"> has driven me to get more hands-on, just get back to being more experiential, because of spending so much time on the computer, I really wanted the kids to get the time to not be on the computer. I don't do as many hands-on activities as I </w:t>
      </w:r>
      <w:r w:rsidRPr="00A2597C">
        <w:rPr>
          <w:rFonts w:ascii="Times New Roman" w:eastAsia="Times New Roman" w:hAnsi="Times New Roman" w:cs="Times New Roman"/>
          <w:sz w:val="24"/>
          <w:szCs w:val="24"/>
        </w:rPr>
        <w:lastRenderedPageBreak/>
        <w:t>would like. But I know when I do, the kids really enjoy it. They really like to close their computers.</w:t>
      </w:r>
    </w:p>
    <w:p w14:paraId="00000029" w14:textId="77777777" w:rsidR="001B763A" w:rsidRPr="00A2597C" w:rsidRDefault="00733456">
      <w:pPr>
        <w:spacing w:before="240" w:after="240"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Towards the end of our conversation, I asked Jeremy what advice he might give to other agriculture teachers who might be interested in blended teaching. His response was strongly rooted in the historical context of agricultural education as well as his own experiences as a product of middle and high school agriculture education programs and FFA:</w:t>
      </w:r>
    </w:p>
    <w:p w14:paraId="0000002A" w14:textId="77777777" w:rsidR="001B763A" w:rsidRPr="00A2597C" w:rsidRDefault="00733456">
      <w:pPr>
        <w:spacing w:before="240" w:after="240"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And then I think the last thing I'll say is don't forget, as an ag teacher, who we are. We are experiential learning. We’re the original experiential learning. That's what, for 100 years, set us apart, because it is important. What kids remember is going outside and playing in the dirt. That's what they remember. That's what I remember. I don't remember much about being in the classroom, but I remember lots of stuff we did in the greenhouse, lots of stuff that was hands-on. And so, just don't forget that we're not computer teachers.</w:t>
      </w:r>
    </w:p>
    <w:p w14:paraId="0000002B" w14:textId="053D45C1" w:rsidR="001B763A" w:rsidRPr="00A2597C" w:rsidRDefault="00C918DD">
      <w:pPr>
        <w:pStyle w:val="Heading2"/>
        <w:spacing w:before="240" w:after="240"/>
      </w:pPr>
      <w:bookmarkStart w:id="14" w:name="_n48j8ctqwvou" w:colFirst="0" w:colLast="0"/>
      <w:bookmarkEnd w:id="14"/>
      <w:r w:rsidRPr="00A2597C">
        <w:t>Discussion, Conclusion, and Recommendations</w:t>
      </w:r>
    </w:p>
    <w:p w14:paraId="0000002C" w14:textId="786F6342" w:rsidR="001B763A" w:rsidRPr="00A2597C" w:rsidRDefault="00733456" w:rsidP="00D46A90">
      <w:pPr>
        <w:spacing w:before="240" w:after="240"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In the TPKS model, Gess-Newsome (2015) identified context as one of the potential amplifiers and filters that lead to decisions influencing classroom practice. The SBAE teachers in this study spoke to the importance of context throughout our conversations. They highlighted the support they received and how it amplified their ability to adopt and implement blended teaching in their classrooms. This type of support included one-to-one computing, which has been widely adopted at a variety of levels </w:t>
      </w:r>
      <w:r w:rsidR="00CC378C" w:rsidRPr="00A2597C">
        <w:rPr>
          <w:rFonts w:ascii="Times New Roman" w:eastAsia="Times New Roman" w:hAnsi="Times New Roman" w:cs="Times New Roman"/>
          <w:sz w:val="24"/>
          <w:szCs w:val="24"/>
        </w:rPr>
        <w:t>because of</w:t>
      </w:r>
      <w:r w:rsidRPr="00A2597C">
        <w:rPr>
          <w:rFonts w:ascii="Times New Roman" w:eastAsia="Times New Roman" w:hAnsi="Times New Roman" w:cs="Times New Roman"/>
          <w:sz w:val="24"/>
          <w:szCs w:val="24"/>
        </w:rPr>
        <w:t xml:space="preserve"> the pandemic</w:t>
      </w:r>
      <w:r w:rsidR="00637001" w:rsidRPr="00A2597C">
        <w:rPr>
          <w:rFonts w:ascii="Times New Roman" w:eastAsia="Times New Roman" w:hAnsi="Times New Roman" w:cs="Times New Roman"/>
          <w:sz w:val="24"/>
          <w:szCs w:val="24"/>
        </w:rPr>
        <w:t>. Also important was</w:t>
      </w:r>
      <w:r w:rsidRPr="00A2597C">
        <w:rPr>
          <w:rFonts w:ascii="Times New Roman" w:eastAsia="Times New Roman" w:hAnsi="Times New Roman" w:cs="Times New Roman"/>
          <w:sz w:val="24"/>
          <w:szCs w:val="24"/>
        </w:rPr>
        <w:t xml:space="preserve"> support from </w:t>
      </w:r>
      <w:r w:rsidR="00CC378C" w:rsidRPr="00A2597C">
        <w:rPr>
          <w:rFonts w:ascii="Times New Roman" w:eastAsia="Times New Roman" w:hAnsi="Times New Roman" w:cs="Times New Roman"/>
          <w:sz w:val="24"/>
          <w:szCs w:val="24"/>
        </w:rPr>
        <w:t xml:space="preserve">the </w:t>
      </w:r>
      <w:r w:rsidRPr="00A2597C">
        <w:rPr>
          <w:rFonts w:ascii="Times New Roman" w:eastAsia="Times New Roman" w:hAnsi="Times New Roman" w:cs="Times New Roman"/>
          <w:sz w:val="24"/>
          <w:szCs w:val="24"/>
        </w:rPr>
        <w:t xml:space="preserve">administration in creating an environment that allowed teachers the ability to be flexible in their course delivery, as well as </w:t>
      </w:r>
      <w:r w:rsidR="00D276E6" w:rsidRPr="00A2597C">
        <w:rPr>
          <w:rFonts w:ascii="Times New Roman" w:eastAsia="Times New Roman" w:hAnsi="Times New Roman" w:cs="Times New Roman"/>
          <w:sz w:val="24"/>
          <w:szCs w:val="24"/>
        </w:rPr>
        <w:t>seeking</w:t>
      </w:r>
      <w:r w:rsidRPr="00A2597C">
        <w:rPr>
          <w:rFonts w:ascii="Times New Roman" w:eastAsia="Times New Roman" w:hAnsi="Times New Roman" w:cs="Times New Roman"/>
          <w:sz w:val="24"/>
          <w:szCs w:val="24"/>
        </w:rPr>
        <w:t xml:space="preserve"> teaching and learning opportunities that benefited students. Conversely, the participants spoke </w:t>
      </w:r>
      <w:r w:rsidR="00D276E6" w:rsidRPr="00A2597C">
        <w:rPr>
          <w:rFonts w:ascii="Times New Roman" w:eastAsia="Times New Roman" w:hAnsi="Times New Roman" w:cs="Times New Roman"/>
          <w:sz w:val="24"/>
          <w:szCs w:val="24"/>
        </w:rPr>
        <w:t>about</w:t>
      </w:r>
      <w:r w:rsidRPr="00A2597C">
        <w:rPr>
          <w:rFonts w:ascii="Times New Roman" w:eastAsia="Times New Roman" w:hAnsi="Times New Roman" w:cs="Times New Roman"/>
          <w:sz w:val="24"/>
          <w:szCs w:val="24"/>
        </w:rPr>
        <w:t xml:space="preserve"> the assumed nature of SBAE, what it should entail, and what it has traditionally looked like. The way </w:t>
      </w:r>
      <w:r w:rsidR="00CC378C" w:rsidRPr="00A2597C">
        <w:rPr>
          <w:rFonts w:ascii="Times New Roman" w:eastAsia="Times New Roman" w:hAnsi="Times New Roman" w:cs="Times New Roman"/>
          <w:sz w:val="24"/>
          <w:szCs w:val="24"/>
        </w:rPr>
        <w:t xml:space="preserve">SBAE is often discussed and depicted suggests that SBAE must be hands-on to be considered proper </w:t>
      </w:r>
      <w:r w:rsidRPr="00A2597C">
        <w:rPr>
          <w:rFonts w:ascii="Times New Roman" w:eastAsia="Times New Roman" w:hAnsi="Times New Roman" w:cs="Times New Roman"/>
          <w:sz w:val="24"/>
          <w:szCs w:val="24"/>
        </w:rPr>
        <w:t xml:space="preserve">agricultural education. This construct of SBAE acted as a filter to their blended teaching practice as they struggled to reconcile the presence of online or blended learning with the experiential nature of agricultural education. </w:t>
      </w:r>
      <w:r w:rsidR="004E6111" w:rsidRPr="00A2597C">
        <w:rPr>
          <w:rFonts w:ascii="Times New Roman" w:eastAsia="Times New Roman" w:hAnsi="Times New Roman" w:cs="Times New Roman"/>
          <w:sz w:val="24"/>
          <w:szCs w:val="24"/>
        </w:rPr>
        <w:t>Although</w:t>
      </w:r>
      <w:r w:rsidRPr="00A2597C">
        <w:rPr>
          <w:rFonts w:ascii="Times New Roman" w:eastAsia="Times New Roman" w:hAnsi="Times New Roman" w:cs="Times New Roman"/>
          <w:sz w:val="24"/>
          <w:szCs w:val="24"/>
        </w:rPr>
        <w:t xml:space="preserve"> they believed that there was space for blended teaching in SBAE</w:t>
      </w:r>
      <w:r w:rsidR="00AC60A4" w:rsidRPr="00A2597C">
        <w:rPr>
          <w:rFonts w:ascii="Times New Roman" w:eastAsia="Times New Roman" w:hAnsi="Times New Roman" w:cs="Times New Roman"/>
          <w:sz w:val="24"/>
          <w:szCs w:val="24"/>
        </w:rPr>
        <w:t>, they emphasized</w:t>
      </w:r>
      <w:r w:rsidR="00CC378C" w:rsidRPr="00A2597C">
        <w:rPr>
          <w:rFonts w:ascii="Times New Roman" w:eastAsia="Times New Roman" w:hAnsi="Times New Roman" w:cs="Times New Roman"/>
          <w:sz w:val="24"/>
          <w:szCs w:val="24"/>
        </w:rPr>
        <w:t xml:space="preserve"> whether</w:t>
      </w:r>
      <w:r w:rsidRPr="00A2597C">
        <w:rPr>
          <w:rFonts w:ascii="Times New Roman" w:eastAsia="Times New Roman" w:hAnsi="Times New Roman" w:cs="Times New Roman"/>
          <w:sz w:val="24"/>
          <w:szCs w:val="24"/>
        </w:rPr>
        <w:t xml:space="preserve"> hindered by the pandemic, tradition, or expectation, </w:t>
      </w:r>
      <w:r w:rsidR="00CC378C" w:rsidRPr="00A2597C">
        <w:rPr>
          <w:rFonts w:ascii="Times New Roman" w:eastAsia="Times New Roman" w:hAnsi="Times New Roman" w:cs="Times New Roman"/>
          <w:sz w:val="24"/>
          <w:szCs w:val="24"/>
        </w:rPr>
        <w:t>it was essential to prioritize</w:t>
      </w:r>
      <w:r w:rsidRPr="00A2597C">
        <w:rPr>
          <w:rFonts w:ascii="Times New Roman" w:eastAsia="Times New Roman" w:hAnsi="Times New Roman" w:cs="Times New Roman"/>
          <w:sz w:val="24"/>
          <w:szCs w:val="24"/>
        </w:rPr>
        <w:t xml:space="preserve"> hands-on, experiential learning </w:t>
      </w:r>
      <w:r w:rsidR="002F1A60">
        <w:rPr>
          <w:rFonts w:ascii="Times New Roman" w:eastAsia="Times New Roman" w:hAnsi="Times New Roman" w:cs="Times New Roman"/>
          <w:sz w:val="24"/>
          <w:szCs w:val="24"/>
        </w:rPr>
        <w:t xml:space="preserve">that </w:t>
      </w:r>
      <w:r w:rsidR="00C62E98" w:rsidRPr="00A2597C">
        <w:rPr>
          <w:rFonts w:ascii="Times New Roman" w:eastAsia="Times New Roman" w:hAnsi="Times New Roman" w:cs="Times New Roman"/>
          <w:sz w:val="24"/>
          <w:szCs w:val="24"/>
        </w:rPr>
        <w:t>should remain central to their instruction</w:t>
      </w:r>
      <w:r w:rsidRPr="00A2597C">
        <w:rPr>
          <w:rFonts w:ascii="Times New Roman" w:eastAsia="Times New Roman" w:hAnsi="Times New Roman" w:cs="Times New Roman"/>
          <w:sz w:val="24"/>
          <w:szCs w:val="24"/>
        </w:rPr>
        <w:t>.</w:t>
      </w:r>
    </w:p>
    <w:p w14:paraId="0000002E" w14:textId="1CB96EA4" w:rsidR="001B763A" w:rsidRPr="00A2597C" w:rsidRDefault="00516518" w:rsidP="00A2597C">
      <w:pPr>
        <w:spacing w:before="240" w:after="240" w:line="240" w:lineRule="auto"/>
        <w:ind w:firstLine="720"/>
        <w:rPr>
          <w:rFonts w:ascii="Times New Roman" w:eastAsia="Times New Roman" w:hAnsi="Times New Roman" w:cs="Times New Roman"/>
          <w:sz w:val="24"/>
          <w:szCs w:val="24"/>
        </w:rPr>
      </w:pPr>
      <w:r w:rsidRPr="00516518">
        <w:rPr>
          <w:rFonts w:ascii="Times New Roman" w:eastAsia="Times New Roman" w:hAnsi="Times New Roman" w:cs="Times New Roman"/>
          <w:sz w:val="24"/>
          <w:szCs w:val="24"/>
        </w:rPr>
        <w:t xml:space="preserve">The findings </w:t>
      </w:r>
      <w:r w:rsidR="002F1A60">
        <w:rPr>
          <w:rFonts w:ascii="Times New Roman" w:eastAsia="Times New Roman" w:hAnsi="Times New Roman" w:cs="Times New Roman"/>
          <w:sz w:val="24"/>
          <w:szCs w:val="24"/>
        </w:rPr>
        <w:t xml:space="preserve">from this study </w:t>
      </w:r>
      <w:r w:rsidRPr="00516518">
        <w:rPr>
          <w:rFonts w:ascii="Times New Roman" w:eastAsia="Times New Roman" w:hAnsi="Times New Roman" w:cs="Times New Roman"/>
          <w:sz w:val="24"/>
          <w:szCs w:val="24"/>
        </w:rPr>
        <w:t xml:space="preserve">should be interpreted </w:t>
      </w:r>
      <w:r w:rsidRPr="00516518">
        <w:rPr>
          <w:rFonts w:ascii="Times New Roman" w:eastAsia="Times New Roman" w:hAnsi="Times New Roman" w:cs="Times New Roman"/>
          <w:sz w:val="24"/>
          <w:szCs w:val="24"/>
        </w:rPr>
        <w:t>considering</w:t>
      </w:r>
      <w:r w:rsidRPr="00516518">
        <w:rPr>
          <w:rFonts w:ascii="Times New Roman" w:eastAsia="Times New Roman" w:hAnsi="Times New Roman" w:cs="Times New Roman"/>
          <w:sz w:val="24"/>
          <w:szCs w:val="24"/>
        </w:rPr>
        <w:t xml:space="preserve"> the study’s qualitative design, the limited number of SBAE teacher participants, and the contextual influences of the COVID-19 pandemic, which may constrain the </w:t>
      </w:r>
      <w:r w:rsidR="002F1A60">
        <w:rPr>
          <w:rFonts w:ascii="Times New Roman" w:eastAsia="Times New Roman" w:hAnsi="Times New Roman" w:cs="Times New Roman"/>
          <w:sz w:val="24"/>
          <w:szCs w:val="24"/>
        </w:rPr>
        <w:t>generalizability</w:t>
      </w:r>
      <w:r w:rsidRPr="00516518">
        <w:rPr>
          <w:rFonts w:ascii="Times New Roman" w:eastAsia="Times New Roman" w:hAnsi="Times New Roman" w:cs="Times New Roman"/>
          <w:sz w:val="24"/>
          <w:szCs w:val="24"/>
        </w:rPr>
        <w:t xml:space="preserve"> of results beyond similar settings.</w:t>
      </w:r>
      <w:r>
        <w:rPr>
          <w:rFonts w:ascii="Times New Roman" w:eastAsia="Times New Roman" w:hAnsi="Times New Roman" w:cs="Times New Roman"/>
          <w:sz w:val="24"/>
          <w:szCs w:val="24"/>
        </w:rPr>
        <w:t xml:space="preserve"> </w:t>
      </w:r>
      <w:r w:rsidR="00733456" w:rsidRPr="00A2597C">
        <w:rPr>
          <w:rFonts w:ascii="Times New Roman" w:eastAsia="Times New Roman" w:hAnsi="Times New Roman" w:cs="Times New Roman"/>
          <w:sz w:val="24"/>
          <w:szCs w:val="24"/>
        </w:rPr>
        <w:t xml:space="preserve">The contextual amplifiers and filters SBAE teachers use to accept, reject, or modify knowledge of blended teaching merit additional investigation of how support (e.g., infrastructural, administrative, community) received or denied could potentially be a gatekeeper for further adoption and implementation of blended teaching in SBAE. With technology being ever-present in classrooms, it becomes increasingly important to determine the processes or techniques that are best suited to teach the content (Ertmer &amp; Ottenbreit-Leftwich, 2010; Koehler &amp; Mishra, 2007; Mishra &amp; Koehler, 2006) of SBAE. Additionally, an investigation into the nature of agricultural education, the associated pedagogical practices, and how that nature may or may not need to evolve in the 21st century becomes critical in teacher preparation and SBAE classroom instruction alike. We recommend that further research is needed to better understand </w:t>
      </w:r>
      <w:r w:rsidR="00733456" w:rsidRPr="00A2597C">
        <w:rPr>
          <w:rFonts w:ascii="Times New Roman" w:eastAsia="Times New Roman" w:hAnsi="Times New Roman" w:cs="Times New Roman"/>
          <w:sz w:val="24"/>
          <w:szCs w:val="24"/>
        </w:rPr>
        <w:lastRenderedPageBreak/>
        <w:t xml:space="preserve">the contextual factors that impact how SBAE teachers can either amplify their knowledge and skills related to blended teaching and learning, or how context acts as a filter of their blended teaching and learning knowledge and skills. Additional qualitative research could illuminate the nuances of context related to the adoption of blended teaching in SBAE, while quantitative research methods could be used to potentially increase </w:t>
      </w:r>
      <w:r w:rsidR="00637001" w:rsidRPr="00A2597C">
        <w:rPr>
          <w:rFonts w:ascii="Times New Roman" w:eastAsia="Times New Roman" w:hAnsi="Times New Roman" w:cs="Times New Roman"/>
          <w:sz w:val="24"/>
          <w:szCs w:val="24"/>
        </w:rPr>
        <w:t xml:space="preserve">study </w:t>
      </w:r>
      <w:r w:rsidR="00733456" w:rsidRPr="00A2597C">
        <w:rPr>
          <w:rFonts w:ascii="Times New Roman" w:eastAsia="Times New Roman" w:hAnsi="Times New Roman" w:cs="Times New Roman"/>
          <w:sz w:val="24"/>
          <w:szCs w:val="24"/>
        </w:rPr>
        <w:t xml:space="preserve">participation </w:t>
      </w:r>
      <w:r w:rsidR="00637001" w:rsidRPr="00A2597C">
        <w:rPr>
          <w:rFonts w:ascii="Times New Roman" w:eastAsia="Times New Roman" w:hAnsi="Times New Roman" w:cs="Times New Roman"/>
          <w:sz w:val="24"/>
          <w:szCs w:val="24"/>
        </w:rPr>
        <w:t xml:space="preserve">to include </w:t>
      </w:r>
      <w:r w:rsidR="00733456" w:rsidRPr="00A2597C">
        <w:rPr>
          <w:rFonts w:ascii="Times New Roman" w:eastAsia="Times New Roman" w:hAnsi="Times New Roman" w:cs="Times New Roman"/>
          <w:sz w:val="24"/>
          <w:szCs w:val="24"/>
        </w:rPr>
        <w:t>SBAE teachers who represent a wider range of career stages, geographic locations, and program sizes to examine blended teaching amplifiers and filters at the profession-wide level.</w:t>
      </w:r>
      <w:bookmarkStart w:id="15" w:name="_2u10lajlna5r" w:colFirst="0" w:colLast="0"/>
      <w:bookmarkEnd w:id="15"/>
    </w:p>
    <w:p w14:paraId="0000002F" w14:textId="77777777" w:rsidR="001B763A" w:rsidRPr="00A2597C" w:rsidRDefault="00733456">
      <w:pPr>
        <w:pStyle w:val="Heading2"/>
        <w:spacing w:before="240" w:after="240"/>
      </w:pPr>
      <w:bookmarkStart w:id="16" w:name="_lio7zerw5up7" w:colFirst="0" w:colLast="0"/>
      <w:bookmarkEnd w:id="16"/>
      <w:r w:rsidRPr="00A2597C">
        <w:t>References</w:t>
      </w:r>
    </w:p>
    <w:p w14:paraId="00000030"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Berger, R. (2015). Now I see it, now I don’t: Researcher’s position and reflexivity in qualitative</w:t>
      </w:r>
    </w:p>
    <w:p w14:paraId="00000031" w14:textId="604654C4" w:rsidR="001B763A" w:rsidRPr="00A2597C" w:rsidRDefault="00733456" w:rsidP="00A2597C">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research. </w:t>
      </w:r>
      <w:r w:rsidRPr="00A2597C">
        <w:rPr>
          <w:rFonts w:ascii="Times New Roman" w:eastAsia="Times New Roman" w:hAnsi="Times New Roman" w:cs="Times New Roman"/>
          <w:i/>
          <w:sz w:val="24"/>
          <w:szCs w:val="24"/>
        </w:rPr>
        <w:t>Qualitative Research</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15</w:t>
      </w:r>
      <w:r w:rsidRPr="00A2597C">
        <w:rPr>
          <w:rFonts w:ascii="Times New Roman" w:eastAsia="Times New Roman" w:hAnsi="Times New Roman" w:cs="Times New Roman"/>
          <w:sz w:val="24"/>
          <w:szCs w:val="24"/>
        </w:rPr>
        <w:t>(2), 219-234.</w:t>
      </w:r>
      <w:r w:rsidR="00A2597C" w:rsidRPr="00A2597C">
        <w:rPr>
          <w:rFonts w:ascii="Times New Roman" w:eastAsia="Times New Roman" w:hAnsi="Times New Roman" w:cs="Times New Roman"/>
          <w:sz w:val="24"/>
          <w:szCs w:val="24"/>
        </w:rPr>
        <w:t xml:space="preserve"> https://doi.org/10.1177/1468794112468475</w:t>
      </w:r>
    </w:p>
    <w:p w14:paraId="00000032"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 </w:t>
      </w:r>
    </w:p>
    <w:p w14:paraId="00000033" w14:textId="77777777" w:rsidR="001B763A" w:rsidRPr="00A2597C" w:rsidRDefault="00733456">
      <w:pPr>
        <w:spacing w:line="240" w:lineRule="auto"/>
        <w:rPr>
          <w:rFonts w:ascii="Times New Roman" w:eastAsia="Times New Roman" w:hAnsi="Times New Roman" w:cs="Times New Roman"/>
          <w:i/>
          <w:sz w:val="24"/>
          <w:szCs w:val="24"/>
        </w:rPr>
      </w:pPr>
      <w:r w:rsidRPr="00A2597C">
        <w:rPr>
          <w:rFonts w:ascii="Times New Roman" w:eastAsia="Times New Roman" w:hAnsi="Times New Roman" w:cs="Times New Roman"/>
          <w:sz w:val="24"/>
          <w:szCs w:val="24"/>
        </w:rPr>
        <w:t xml:space="preserve">Creswell, J. W., &amp; Poth, C. N. (2018). </w:t>
      </w:r>
      <w:r w:rsidRPr="00A2597C">
        <w:rPr>
          <w:rFonts w:ascii="Times New Roman" w:eastAsia="Times New Roman" w:hAnsi="Times New Roman" w:cs="Times New Roman"/>
          <w:i/>
          <w:sz w:val="24"/>
          <w:szCs w:val="24"/>
        </w:rPr>
        <w:t>Qualitative inquiry and research design: Choosing</w:t>
      </w:r>
    </w:p>
    <w:p w14:paraId="00000034" w14:textId="77777777" w:rsidR="001B763A" w:rsidRPr="00A2597C" w:rsidRDefault="00733456">
      <w:pPr>
        <w:spacing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i/>
          <w:sz w:val="24"/>
          <w:szCs w:val="24"/>
        </w:rPr>
        <w:t>among five approaches</w:t>
      </w:r>
      <w:r w:rsidRPr="00A2597C">
        <w:rPr>
          <w:rFonts w:ascii="Times New Roman" w:eastAsia="Times New Roman" w:hAnsi="Times New Roman" w:cs="Times New Roman"/>
          <w:sz w:val="24"/>
          <w:szCs w:val="24"/>
        </w:rPr>
        <w:t>. Sage.</w:t>
      </w:r>
    </w:p>
    <w:p w14:paraId="00000035"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 </w:t>
      </w:r>
    </w:p>
    <w:p w14:paraId="00000036"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Delaney, K. K., &amp; Neuman, S. B. (2016). Contexts for teacher practice:(Re) Considering the </w:t>
      </w:r>
    </w:p>
    <w:p w14:paraId="00000037"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role of context in interventions in early childhood teacher engagement with new approaches to shared book reading. </w:t>
      </w:r>
      <w:r w:rsidRPr="00A2597C">
        <w:rPr>
          <w:rFonts w:ascii="Times New Roman" w:eastAsia="Times New Roman" w:hAnsi="Times New Roman" w:cs="Times New Roman"/>
          <w:i/>
          <w:sz w:val="24"/>
          <w:szCs w:val="24"/>
        </w:rPr>
        <w:t>Education Policy Analysis Archives</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24</w:t>
      </w:r>
      <w:r w:rsidRPr="00A2597C">
        <w:rPr>
          <w:rFonts w:ascii="Times New Roman" w:eastAsia="Times New Roman" w:hAnsi="Times New Roman" w:cs="Times New Roman"/>
          <w:sz w:val="24"/>
          <w:szCs w:val="24"/>
        </w:rPr>
        <w:t>(89). https://doi.org/10.14507/epaa.24.2166</w:t>
      </w:r>
    </w:p>
    <w:p w14:paraId="00000038" w14:textId="77777777" w:rsidR="001B763A" w:rsidRPr="00A2597C" w:rsidRDefault="001B763A">
      <w:pPr>
        <w:spacing w:line="240" w:lineRule="auto"/>
        <w:rPr>
          <w:rFonts w:ascii="Times New Roman" w:eastAsia="Times New Roman" w:hAnsi="Times New Roman" w:cs="Times New Roman"/>
          <w:sz w:val="24"/>
          <w:szCs w:val="24"/>
        </w:rPr>
      </w:pPr>
    </w:p>
    <w:p w14:paraId="00000039"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Dennis, S. E., &amp; O'Connor, E. (2013). Reexamining quality in early childhood education: </w:t>
      </w:r>
    </w:p>
    <w:p w14:paraId="0000003A"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Exploring the relationship between the organizational climate and the classroom. </w:t>
      </w:r>
      <w:r w:rsidRPr="00A2597C">
        <w:rPr>
          <w:rFonts w:ascii="Times New Roman" w:eastAsia="Times New Roman" w:hAnsi="Times New Roman" w:cs="Times New Roman"/>
          <w:i/>
          <w:sz w:val="24"/>
          <w:szCs w:val="24"/>
        </w:rPr>
        <w:t>Journal of Research in Childhood Education</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27</w:t>
      </w:r>
      <w:r w:rsidRPr="00A2597C">
        <w:rPr>
          <w:rFonts w:ascii="Times New Roman" w:eastAsia="Times New Roman" w:hAnsi="Times New Roman" w:cs="Times New Roman"/>
          <w:sz w:val="24"/>
          <w:szCs w:val="24"/>
        </w:rPr>
        <w:t>(1), 74-92. https://doi.org/10.14507/epaa.24.2166</w:t>
      </w:r>
    </w:p>
    <w:p w14:paraId="0000003B" w14:textId="77777777" w:rsidR="001B763A" w:rsidRPr="00A2597C" w:rsidRDefault="001B763A">
      <w:pPr>
        <w:spacing w:line="240" w:lineRule="auto"/>
        <w:ind w:left="720"/>
        <w:rPr>
          <w:rFonts w:ascii="Times New Roman" w:eastAsia="Times New Roman" w:hAnsi="Times New Roman" w:cs="Times New Roman"/>
          <w:sz w:val="24"/>
          <w:szCs w:val="24"/>
        </w:rPr>
      </w:pPr>
    </w:p>
    <w:p w14:paraId="0000003C"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Doyle, A., Seery, N., &amp; Gumaelius, L. (2019). Operationalising pedagogical content knowledge </w:t>
      </w:r>
    </w:p>
    <w:p w14:paraId="0000003D"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research in technology education: Considerations for methodological approaches to exploring enacted practice. </w:t>
      </w:r>
      <w:r w:rsidRPr="00A2597C">
        <w:rPr>
          <w:rFonts w:ascii="Times New Roman" w:eastAsia="Times New Roman" w:hAnsi="Times New Roman" w:cs="Times New Roman"/>
          <w:i/>
          <w:sz w:val="24"/>
          <w:szCs w:val="24"/>
        </w:rPr>
        <w:t>British Educational Research Journal</w:t>
      </w:r>
      <w:r w:rsidRPr="00A2597C">
        <w:rPr>
          <w:rFonts w:ascii="Times New Roman" w:eastAsia="Times New Roman" w:hAnsi="Times New Roman" w:cs="Times New Roman"/>
          <w:sz w:val="24"/>
          <w:szCs w:val="24"/>
        </w:rPr>
        <w:t>, </w:t>
      </w:r>
      <w:r w:rsidRPr="00A2597C">
        <w:rPr>
          <w:rFonts w:ascii="Times New Roman" w:eastAsia="Times New Roman" w:hAnsi="Times New Roman" w:cs="Times New Roman"/>
          <w:i/>
          <w:sz w:val="24"/>
          <w:szCs w:val="24"/>
        </w:rPr>
        <w:t>45</w:t>
      </w:r>
      <w:r w:rsidRPr="00A2597C">
        <w:rPr>
          <w:rFonts w:ascii="Times New Roman" w:eastAsia="Times New Roman" w:hAnsi="Times New Roman" w:cs="Times New Roman"/>
          <w:sz w:val="24"/>
          <w:szCs w:val="24"/>
        </w:rPr>
        <w:t>(4), 755-769. https://doi.org/10.1002/berj.3524</w:t>
      </w:r>
    </w:p>
    <w:p w14:paraId="0000003E" w14:textId="77777777" w:rsidR="001B763A" w:rsidRPr="00A2597C" w:rsidRDefault="001B763A">
      <w:pPr>
        <w:spacing w:line="240" w:lineRule="auto"/>
        <w:rPr>
          <w:rFonts w:ascii="Times New Roman" w:eastAsia="Times New Roman" w:hAnsi="Times New Roman" w:cs="Times New Roman"/>
          <w:sz w:val="24"/>
          <w:szCs w:val="24"/>
        </w:rPr>
      </w:pPr>
    </w:p>
    <w:p w14:paraId="0000003F"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Ertmer, P. A., &amp; Ottenbreit-Leftwich, A. T. (2010). Teacher technology change: How </w:t>
      </w:r>
    </w:p>
    <w:p w14:paraId="00000040"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knowledge, confidence, beliefs, and culture intersect. </w:t>
      </w:r>
      <w:r w:rsidRPr="00A2597C">
        <w:rPr>
          <w:rFonts w:ascii="Times New Roman" w:eastAsia="Times New Roman" w:hAnsi="Times New Roman" w:cs="Times New Roman"/>
          <w:i/>
          <w:sz w:val="24"/>
          <w:szCs w:val="24"/>
        </w:rPr>
        <w:t>Journal of Research on Technology in Education,</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42</w:t>
      </w:r>
      <w:r w:rsidRPr="00A2597C">
        <w:rPr>
          <w:rFonts w:ascii="Times New Roman" w:eastAsia="Times New Roman" w:hAnsi="Times New Roman" w:cs="Times New Roman"/>
          <w:sz w:val="24"/>
          <w:szCs w:val="24"/>
        </w:rPr>
        <w:t>(3), 255-284. https://doi.org/10.1080/15391523.2010.10782551</w:t>
      </w:r>
    </w:p>
    <w:p w14:paraId="00000041" w14:textId="77777777" w:rsidR="001B763A" w:rsidRPr="00A2597C" w:rsidRDefault="001B763A">
      <w:pPr>
        <w:spacing w:line="240" w:lineRule="auto"/>
        <w:rPr>
          <w:rFonts w:ascii="Times New Roman" w:eastAsia="Times New Roman" w:hAnsi="Times New Roman" w:cs="Times New Roman"/>
          <w:sz w:val="24"/>
          <w:szCs w:val="24"/>
        </w:rPr>
      </w:pPr>
    </w:p>
    <w:p w14:paraId="00000042"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Gess-Newsome, J. (2015). A model of teacher professional knowledge and skill including</w:t>
      </w:r>
    </w:p>
    <w:p w14:paraId="00000043" w14:textId="77777777" w:rsidR="001B763A" w:rsidRPr="00A2597C" w:rsidRDefault="00733456">
      <w:pPr>
        <w:spacing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PCK. </w:t>
      </w:r>
      <w:r w:rsidRPr="00A2597C">
        <w:rPr>
          <w:rFonts w:ascii="Times New Roman" w:eastAsia="Times New Roman" w:hAnsi="Times New Roman" w:cs="Times New Roman"/>
          <w:i/>
          <w:sz w:val="24"/>
          <w:szCs w:val="24"/>
        </w:rPr>
        <w:t>Re-examining pedagogical content knowledge in science education</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41</w:t>
      </w:r>
      <w:r w:rsidRPr="00A2597C">
        <w:rPr>
          <w:rFonts w:ascii="Times New Roman" w:eastAsia="Times New Roman" w:hAnsi="Times New Roman" w:cs="Times New Roman"/>
          <w:sz w:val="24"/>
          <w:szCs w:val="24"/>
        </w:rPr>
        <w:t>(7), 28-42.</w:t>
      </w:r>
    </w:p>
    <w:p w14:paraId="00000044"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 </w:t>
      </w:r>
    </w:p>
    <w:p w14:paraId="00000046"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Koehler, M., &amp; Mishra, P. (2009). What is technological pedagogical content knowledge </w:t>
      </w:r>
    </w:p>
    <w:p w14:paraId="00000047"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(TPACK)?. </w:t>
      </w:r>
      <w:r w:rsidRPr="00A2597C">
        <w:rPr>
          <w:rFonts w:ascii="Times New Roman" w:eastAsia="Times New Roman" w:hAnsi="Times New Roman" w:cs="Times New Roman"/>
          <w:i/>
          <w:sz w:val="24"/>
          <w:szCs w:val="24"/>
        </w:rPr>
        <w:t>Contemporary Issues in Technology and Teacher Education</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9</w:t>
      </w:r>
      <w:r w:rsidRPr="00A2597C">
        <w:rPr>
          <w:rFonts w:ascii="Times New Roman" w:eastAsia="Times New Roman" w:hAnsi="Times New Roman" w:cs="Times New Roman"/>
          <w:sz w:val="24"/>
          <w:szCs w:val="24"/>
        </w:rPr>
        <w:t>(1), 60-70. https://doi.org/10.1177/002205741319300303</w:t>
      </w:r>
    </w:p>
    <w:p w14:paraId="00000048" w14:textId="77777777" w:rsidR="001B763A" w:rsidRPr="00A2597C" w:rsidRDefault="001B763A">
      <w:pPr>
        <w:spacing w:line="240" w:lineRule="auto"/>
        <w:rPr>
          <w:rFonts w:ascii="Times New Roman" w:eastAsia="Times New Roman" w:hAnsi="Times New Roman" w:cs="Times New Roman"/>
          <w:sz w:val="24"/>
          <w:szCs w:val="24"/>
        </w:rPr>
      </w:pPr>
    </w:p>
    <w:p w14:paraId="00000049"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Lincoln, Y. S., &amp; Guba, E. G. (1986). But is it rigorous? Trustworthiness and authenticity in</w:t>
      </w:r>
    </w:p>
    <w:p w14:paraId="0000004A" w14:textId="2C82D88C" w:rsidR="001B763A" w:rsidRPr="00A2597C" w:rsidRDefault="00733456" w:rsidP="00F75738">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naturalistic evaluation. </w:t>
      </w:r>
      <w:r w:rsidRPr="00A2597C">
        <w:rPr>
          <w:rFonts w:ascii="Times New Roman" w:eastAsia="Times New Roman" w:hAnsi="Times New Roman" w:cs="Times New Roman"/>
          <w:i/>
          <w:sz w:val="24"/>
          <w:szCs w:val="24"/>
        </w:rPr>
        <w:t>New Directions for Program Evaluation</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1986</w:t>
      </w:r>
      <w:r w:rsidRPr="00A2597C">
        <w:rPr>
          <w:rFonts w:ascii="Times New Roman" w:eastAsia="Times New Roman" w:hAnsi="Times New Roman" w:cs="Times New Roman"/>
          <w:sz w:val="24"/>
          <w:szCs w:val="24"/>
        </w:rPr>
        <w:t>(30), 73-84.</w:t>
      </w:r>
      <w:r w:rsidR="00F75738" w:rsidRPr="00A2597C">
        <w:rPr>
          <w:rFonts w:ascii="Times New Roman" w:eastAsia="Times New Roman" w:hAnsi="Times New Roman" w:cs="Times New Roman"/>
          <w:sz w:val="24"/>
          <w:szCs w:val="24"/>
        </w:rPr>
        <w:t xml:space="preserve"> https://doi.org/10.1002/ev.1427</w:t>
      </w:r>
    </w:p>
    <w:p w14:paraId="0000004B"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 </w:t>
      </w:r>
    </w:p>
    <w:p w14:paraId="0000004C"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Lindseth, A., &amp; Norberg, A. (2004). A phenomenological hermeneutical method for researching </w:t>
      </w:r>
    </w:p>
    <w:p w14:paraId="0000004E" w14:textId="14A2BED2" w:rsidR="001B763A" w:rsidRPr="00A2597C" w:rsidRDefault="00733456" w:rsidP="00623FFE">
      <w:pPr>
        <w:spacing w:line="240" w:lineRule="auto"/>
        <w:ind w:left="720"/>
        <w:rPr>
          <w:rFonts w:ascii="Times New Roman" w:eastAsia="Times New Roman" w:hAnsi="Times New Roman" w:cs="Times New Roman"/>
          <w:sz w:val="24"/>
          <w:szCs w:val="24"/>
          <w:lang w:val="en-US"/>
        </w:rPr>
      </w:pPr>
      <w:r w:rsidRPr="00A2597C">
        <w:rPr>
          <w:rFonts w:ascii="Times New Roman" w:eastAsia="Times New Roman" w:hAnsi="Times New Roman" w:cs="Times New Roman"/>
          <w:sz w:val="24"/>
          <w:szCs w:val="24"/>
        </w:rPr>
        <w:lastRenderedPageBreak/>
        <w:t>lived experience. </w:t>
      </w:r>
      <w:r w:rsidRPr="00A2597C">
        <w:rPr>
          <w:rFonts w:ascii="Times New Roman" w:eastAsia="Times New Roman" w:hAnsi="Times New Roman" w:cs="Times New Roman"/>
          <w:i/>
          <w:sz w:val="24"/>
          <w:szCs w:val="24"/>
        </w:rPr>
        <w:t>Scandinavian Journal of Caring Sciences</w:t>
      </w:r>
      <w:r w:rsidRPr="00A2597C">
        <w:rPr>
          <w:rFonts w:ascii="Times New Roman" w:eastAsia="Times New Roman" w:hAnsi="Times New Roman" w:cs="Times New Roman"/>
          <w:sz w:val="24"/>
          <w:szCs w:val="24"/>
        </w:rPr>
        <w:t>, </w:t>
      </w:r>
      <w:r w:rsidRPr="00A2597C">
        <w:rPr>
          <w:rFonts w:ascii="Times New Roman" w:eastAsia="Times New Roman" w:hAnsi="Times New Roman" w:cs="Times New Roman"/>
          <w:i/>
          <w:sz w:val="24"/>
          <w:szCs w:val="24"/>
        </w:rPr>
        <w:t>18</w:t>
      </w:r>
      <w:r w:rsidRPr="00A2597C">
        <w:rPr>
          <w:rFonts w:ascii="Times New Roman" w:eastAsia="Times New Roman" w:hAnsi="Times New Roman" w:cs="Times New Roman"/>
          <w:sz w:val="24"/>
          <w:szCs w:val="24"/>
        </w:rPr>
        <w:t>(2), 145-153.</w:t>
      </w:r>
      <w:r w:rsidR="00623FFE" w:rsidRPr="00A2597C">
        <w:rPr>
          <w:rFonts w:ascii="Times New Roman" w:eastAsia="Times New Roman" w:hAnsi="Times New Roman" w:cs="Times New Roman"/>
          <w:sz w:val="24"/>
          <w:szCs w:val="24"/>
        </w:rPr>
        <w:t xml:space="preserve"> https://doio.org/</w:t>
      </w:r>
      <w:r w:rsidR="00623FFE" w:rsidRPr="00A2597C">
        <w:rPr>
          <w:rFonts w:ascii="Times New Roman" w:eastAsia="Times New Roman" w:hAnsi="Times New Roman" w:cs="Times New Roman"/>
          <w:sz w:val="24"/>
          <w:szCs w:val="24"/>
          <w:lang w:val="en-US"/>
        </w:rPr>
        <w:t>10.1111/j.1471-6712.2004.00258.x</w:t>
      </w:r>
    </w:p>
    <w:p w14:paraId="2728E0E8" w14:textId="77777777" w:rsidR="00623FFE" w:rsidRPr="00A2597C" w:rsidRDefault="00623FFE" w:rsidP="00623FFE">
      <w:pPr>
        <w:spacing w:line="240" w:lineRule="auto"/>
        <w:ind w:left="720"/>
        <w:rPr>
          <w:rFonts w:ascii="Times New Roman" w:eastAsia="Times New Roman" w:hAnsi="Times New Roman" w:cs="Times New Roman"/>
          <w:sz w:val="24"/>
          <w:szCs w:val="24"/>
          <w:lang w:val="en-US"/>
        </w:rPr>
      </w:pPr>
    </w:p>
    <w:p w14:paraId="0000004F"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Lopez, K. A., &amp; Willis, D. G. (2004). Descriptive versus interpretive phenomenology: Their </w:t>
      </w:r>
    </w:p>
    <w:p w14:paraId="00000050"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contributions to nursing knowledge. </w:t>
      </w:r>
      <w:r w:rsidRPr="00A2597C">
        <w:rPr>
          <w:rFonts w:ascii="Times New Roman" w:eastAsia="Times New Roman" w:hAnsi="Times New Roman" w:cs="Times New Roman"/>
          <w:i/>
          <w:sz w:val="24"/>
          <w:szCs w:val="24"/>
        </w:rPr>
        <w:t>Qualitative Health Research</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14</w:t>
      </w:r>
      <w:r w:rsidRPr="00A2597C">
        <w:rPr>
          <w:rFonts w:ascii="Times New Roman" w:eastAsia="Times New Roman" w:hAnsi="Times New Roman" w:cs="Times New Roman"/>
          <w:sz w:val="24"/>
          <w:szCs w:val="24"/>
        </w:rPr>
        <w:t>(5), 726–735. https://doi.org/10.1177/1049732304263638</w:t>
      </w:r>
    </w:p>
    <w:p w14:paraId="00000051" w14:textId="77777777" w:rsidR="001B763A" w:rsidRPr="00A2597C" w:rsidRDefault="001B763A">
      <w:pPr>
        <w:spacing w:line="240" w:lineRule="auto"/>
        <w:rPr>
          <w:rFonts w:ascii="Times New Roman" w:eastAsia="Times New Roman" w:hAnsi="Times New Roman" w:cs="Times New Roman"/>
          <w:sz w:val="24"/>
          <w:szCs w:val="24"/>
        </w:rPr>
      </w:pPr>
    </w:p>
    <w:p w14:paraId="00000052"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Malterud, K. (2001). Qualitative research: standards, challenges, and guidelines. </w:t>
      </w:r>
      <w:r w:rsidRPr="00A2597C">
        <w:rPr>
          <w:rFonts w:ascii="Times New Roman" w:eastAsia="Times New Roman" w:hAnsi="Times New Roman" w:cs="Times New Roman"/>
          <w:i/>
          <w:sz w:val="24"/>
          <w:szCs w:val="24"/>
        </w:rPr>
        <w:t>The Lancet</w:t>
      </w:r>
      <w:r w:rsidRPr="00A2597C">
        <w:rPr>
          <w:rFonts w:ascii="Times New Roman" w:eastAsia="Times New Roman" w:hAnsi="Times New Roman" w:cs="Times New Roman"/>
          <w:sz w:val="24"/>
          <w:szCs w:val="24"/>
        </w:rPr>
        <w:t>,</w:t>
      </w:r>
    </w:p>
    <w:p w14:paraId="5BAE2085" w14:textId="15A71501" w:rsidR="00E61FAC" w:rsidRPr="00A2597C" w:rsidRDefault="00733456" w:rsidP="00A2597C">
      <w:pPr>
        <w:spacing w:line="240" w:lineRule="auto"/>
        <w:ind w:firstLine="720"/>
        <w:rPr>
          <w:rFonts w:ascii="Times New Roman" w:eastAsia="Times New Roman" w:hAnsi="Times New Roman" w:cs="Times New Roman"/>
          <w:sz w:val="24"/>
          <w:szCs w:val="24"/>
          <w:lang w:val="en-US"/>
        </w:rPr>
      </w:pPr>
      <w:r w:rsidRPr="00A2597C">
        <w:rPr>
          <w:rFonts w:ascii="Times New Roman" w:eastAsia="Times New Roman" w:hAnsi="Times New Roman" w:cs="Times New Roman"/>
          <w:i/>
          <w:sz w:val="24"/>
          <w:szCs w:val="24"/>
        </w:rPr>
        <w:t>358</w:t>
      </w:r>
      <w:r w:rsidRPr="00A2597C">
        <w:rPr>
          <w:rFonts w:ascii="Times New Roman" w:eastAsia="Times New Roman" w:hAnsi="Times New Roman" w:cs="Times New Roman"/>
          <w:sz w:val="24"/>
          <w:szCs w:val="24"/>
        </w:rPr>
        <w:t>(9280), 483-488.</w:t>
      </w:r>
      <w:r w:rsidR="00E61FAC" w:rsidRPr="00A2597C">
        <w:rPr>
          <w:rFonts w:ascii="Times New Roman" w:eastAsia="Times New Roman" w:hAnsi="Times New Roman" w:cs="Times New Roman"/>
          <w:sz w:val="24"/>
          <w:szCs w:val="24"/>
        </w:rPr>
        <w:t xml:space="preserve"> https://doi.org/</w:t>
      </w:r>
      <w:r w:rsidR="00E61FAC" w:rsidRPr="00A2597C">
        <w:rPr>
          <w:rFonts w:ascii="Times New Roman" w:eastAsia="Times New Roman" w:hAnsi="Times New Roman" w:cs="Times New Roman"/>
          <w:sz w:val="24"/>
          <w:szCs w:val="24"/>
          <w:lang w:val="en-US"/>
        </w:rPr>
        <w:t>10.1016/S0140-6736(01)05627-6</w:t>
      </w:r>
    </w:p>
    <w:p w14:paraId="00000054" w14:textId="675D9738" w:rsidR="001B763A" w:rsidRPr="00A2597C" w:rsidRDefault="001B763A">
      <w:pPr>
        <w:spacing w:line="240" w:lineRule="auto"/>
        <w:rPr>
          <w:rFonts w:ascii="Times New Roman" w:eastAsia="Times New Roman" w:hAnsi="Times New Roman" w:cs="Times New Roman"/>
          <w:sz w:val="24"/>
          <w:szCs w:val="24"/>
        </w:rPr>
      </w:pPr>
    </w:p>
    <w:p w14:paraId="00000055"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Marshall, C., &amp; Rossman, G. B. (2014). </w:t>
      </w:r>
      <w:r w:rsidRPr="00A2597C">
        <w:rPr>
          <w:rFonts w:ascii="Times New Roman" w:eastAsia="Times New Roman" w:hAnsi="Times New Roman" w:cs="Times New Roman"/>
          <w:i/>
          <w:sz w:val="24"/>
          <w:szCs w:val="24"/>
        </w:rPr>
        <w:t>Designing qualitative research</w:t>
      </w:r>
      <w:r w:rsidRPr="00A2597C">
        <w:rPr>
          <w:rFonts w:ascii="Times New Roman" w:eastAsia="Times New Roman" w:hAnsi="Times New Roman" w:cs="Times New Roman"/>
          <w:sz w:val="24"/>
          <w:szCs w:val="24"/>
        </w:rPr>
        <w:t>. Sage.</w:t>
      </w:r>
    </w:p>
    <w:p w14:paraId="00000056"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 </w:t>
      </w:r>
    </w:p>
    <w:p w14:paraId="0880375E" w14:textId="518A3AEB" w:rsidR="00DA3274" w:rsidRDefault="00DA3274">
      <w:pPr>
        <w:spacing w:line="240" w:lineRule="auto"/>
        <w:rPr>
          <w:rFonts w:ascii="Times New Roman" w:eastAsia="Times New Roman" w:hAnsi="Times New Roman" w:cs="Times New Roman"/>
          <w:sz w:val="24"/>
          <w:szCs w:val="24"/>
        </w:rPr>
      </w:pPr>
      <w:r w:rsidRPr="00DA3274">
        <w:rPr>
          <w:rFonts w:ascii="Times New Roman" w:eastAsia="Times New Roman" w:hAnsi="Times New Roman" w:cs="Times New Roman"/>
          <w:sz w:val="24"/>
          <w:szCs w:val="24"/>
        </w:rPr>
        <w:t xml:space="preserve">Milliken, B., Traini, H., &amp; Stewart, J. (2024). </w:t>
      </w:r>
      <w:r>
        <w:rPr>
          <w:rFonts w:ascii="Times New Roman" w:eastAsia="Times New Roman" w:hAnsi="Times New Roman" w:cs="Times New Roman"/>
          <w:sz w:val="24"/>
          <w:szCs w:val="24"/>
        </w:rPr>
        <w:t>A</w:t>
      </w:r>
      <w:r w:rsidRPr="00DA3274">
        <w:rPr>
          <w:rFonts w:ascii="Times New Roman" w:eastAsia="Times New Roman" w:hAnsi="Times New Roman" w:cs="Times New Roman"/>
          <w:sz w:val="24"/>
          <w:szCs w:val="24"/>
        </w:rPr>
        <w:t xml:space="preserve">ttempts toward blended teaching and </w:t>
      </w:r>
    </w:p>
    <w:p w14:paraId="23E6A26F" w14:textId="37FA6C97" w:rsidR="00AF5FA3" w:rsidRDefault="00DA3274" w:rsidP="00DA3274">
      <w:pPr>
        <w:spacing w:line="240" w:lineRule="auto"/>
        <w:ind w:left="720"/>
        <w:rPr>
          <w:rFonts w:ascii="Times New Roman" w:eastAsia="Times New Roman" w:hAnsi="Times New Roman" w:cs="Times New Roman"/>
          <w:sz w:val="24"/>
          <w:szCs w:val="24"/>
        </w:rPr>
      </w:pPr>
      <w:r w:rsidRPr="00DA3274">
        <w:rPr>
          <w:rFonts w:ascii="Times New Roman" w:eastAsia="Times New Roman" w:hAnsi="Times New Roman" w:cs="Times New Roman"/>
          <w:sz w:val="24"/>
          <w:szCs w:val="24"/>
        </w:rPr>
        <w:t>personalized learning in school-based agricultural education. </w:t>
      </w:r>
      <w:r w:rsidRPr="00DA3274">
        <w:rPr>
          <w:rFonts w:ascii="Times New Roman" w:eastAsia="Times New Roman" w:hAnsi="Times New Roman" w:cs="Times New Roman"/>
          <w:i/>
          <w:iCs/>
          <w:sz w:val="24"/>
          <w:szCs w:val="24"/>
        </w:rPr>
        <w:t>Journal of Agricultural Education</w:t>
      </w:r>
      <w:r w:rsidRPr="00DA3274">
        <w:rPr>
          <w:rFonts w:ascii="Times New Roman" w:eastAsia="Times New Roman" w:hAnsi="Times New Roman" w:cs="Times New Roman"/>
          <w:sz w:val="24"/>
          <w:szCs w:val="24"/>
        </w:rPr>
        <w:t>, </w:t>
      </w:r>
      <w:r w:rsidRPr="00DA3274">
        <w:rPr>
          <w:rFonts w:ascii="Times New Roman" w:eastAsia="Times New Roman" w:hAnsi="Times New Roman" w:cs="Times New Roman"/>
          <w:i/>
          <w:iCs/>
          <w:sz w:val="24"/>
          <w:szCs w:val="24"/>
        </w:rPr>
        <w:t>65</w:t>
      </w:r>
      <w:r w:rsidRPr="00DA3274">
        <w:rPr>
          <w:rFonts w:ascii="Times New Roman" w:eastAsia="Times New Roman" w:hAnsi="Times New Roman" w:cs="Times New Roman"/>
          <w:sz w:val="24"/>
          <w:szCs w:val="24"/>
        </w:rPr>
        <w:t>(3), 304-321.</w:t>
      </w:r>
      <w:r w:rsidR="00622C40">
        <w:rPr>
          <w:rFonts w:ascii="Times New Roman" w:eastAsia="Times New Roman" w:hAnsi="Times New Roman" w:cs="Times New Roman"/>
          <w:sz w:val="24"/>
          <w:szCs w:val="24"/>
        </w:rPr>
        <w:t xml:space="preserve"> </w:t>
      </w:r>
      <w:r w:rsidR="00622C40" w:rsidRPr="00622C40">
        <w:rPr>
          <w:rFonts w:ascii="Times New Roman" w:eastAsia="Times New Roman" w:hAnsi="Times New Roman" w:cs="Times New Roman"/>
          <w:sz w:val="24"/>
          <w:szCs w:val="24"/>
        </w:rPr>
        <w:t>https://doi.org/10.5032/jae.v65i3.2570</w:t>
      </w:r>
    </w:p>
    <w:p w14:paraId="38E353A8" w14:textId="77777777" w:rsidR="00DA3274" w:rsidRDefault="00DA3274">
      <w:pPr>
        <w:spacing w:line="240" w:lineRule="auto"/>
        <w:rPr>
          <w:rFonts w:ascii="Times New Roman" w:eastAsia="Times New Roman" w:hAnsi="Times New Roman" w:cs="Times New Roman"/>
          <w:sz w:val="24"/>
          <w:szCs w:val="24"/>
        </w:rPr>
      </w:pPr>
    </w:p>
    <w:p w14:paraId="00000057" w14:textId="61FF8D8F"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Mishra, P., &amp; Koehler, M. J. (2006). Technological pedagogical content knowledge: A </w:t>
      </w:r>
    </w:p>
    <w:p w14:paraId="00000058" w14:textId="48AC1100" w:rsidR="001B763A" w:rsidRPr="00A2597C" w:rsidRDefault="00733456" w:rsidP="003A09E2">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framework for teacher knowledge. </w:t>
      </w:r>
      <w:r w:rsidRPr="00A2597C">
        <w:rPr>
          <w:rFonts w:ascii="Times New Roman" w:eastAsia="Times New Roman" w:hAnsi="Times New Roman" w:cs="Times New Roman"/>
          <w:i/>
          <w:sz w:val="24"/>
          <w:szCs w:val="24"/>
        </w:rPr>
        <w:t>Teachers College Record</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108</w:t>
      </w:r>
      <w:r w:rsidRPr="00A2597C">
        <w:rPr>
          <w:rFonts w:ascii="Times New Roman" w:eastAsia="Times New Roman" w:hAnsi="Times New Roman" w:cs="Times New Roman"/>
          <w:sz w:val="24"/>
          <w:szCs w:val="24"/>
        </w:rPr>
        <w:t>(6), 1017-1054.</w:t>
      </w:r>
      <w:r w:rsidR="003A09E2" w:rsidRPr="00A2597C">
        <w:rPr>
          <w:rFonts w:ascii="Times New Roman" w:eastAsia="Times New Roman" w:hAnsi="Times New Roman" w:cs="Times New Roman"/>
          <w:sz w:val="24"/>
          <w:szCs w:val="24"/>
        </w:rPr>
        <w:t xml:space="preserve"> https://doi.org/10.1111/j.1467-9620.2006.00684.x</w:t>
      </w:r>
    </w:p>
    <w:p w14:paraId="00000059" w14:textId="77777777" w:rsidR="001B763A" w:rsidRPr="00A2597C" w:rsidRDefault="001B763A">
      <w:pPr>
        <w:spacing w:line="240" w:lineRule="auto"/>
        <w:rPr>
          <w:rFonts w:ascii="Times New Roman" w:eastAsia="Times New Roman" w:hAnsi="Times New Roman" w:cs="Times New Roman"/>
          <w:sz w:val="24"/>
          <w:szCs w:val="24"/>
        </w:rPr>
      </w:pPr>
    </w:p>
    <w:p w14:paraId="0000005A"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Reiners, G. M. (2012). Understanding the differences between Husserl’s (descriptive) and </w:t>
      </w:r>
    </w:p>
    <w:p w14:paraId="0000005B" w14:textId="77CC433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Heidegger’s (interpretive) phenomenological research. </w:t>
      </w:r>
      <w:r w:rsidRPr="00A2597C">
        <w:rPr>
          <w:rFonts w:ascii="Times New Roman" w:eastAsia="Times New Roman" w:hAnsi="Times New Roman" w:cs="Times New Roman"/>
          <w:i/>
          <w:sz w:val="24"/>
          <w:szCs w:val="24"/>
        </w:rPr>
        <w:t>Journal of Nursing &amp; Care</w:t>
      </w:r>
      <w:r w:rsidRPr="00A2597C">
        <w:rPr>
          <w:rFonts w:ascii="Times New Roman" w:eastAsia="Times New Roman" w:hAnsi="Times New Roman" w:cs="Times New Roman"/>
          <w:sz w:val="24"/>
          <w:szCs w:val="24"/>
        </w:rPr>
        <w:t>, </w:t>
      </w:r>
      <w:r w:rsidRPr="00A2597C">
        <w:rPr>
          <w:rFonts w:ascii="Times New Roman" w:eastAsia="Times New Roman" w:hAnsi="Times New Roman" w:cs="Times New Roman"/>
          <w:i/>
          <w:sz w:val="24"/>
          <w:szCs w:val="24"/>
        </w:rPr>
        <w:t>1</w:t>
      </w:r>
      <w:r w:rsidRPr="00A2597C">
        <w:rPr>
          <w:rFonts w:ascii="Times New Roman" w:eastAsia="Times New Roman" w:hAnsi="Times New Roman" w:cs="Times New Roman"/>
          <w:sz w:val="24"/>
          <w:szCs w:val="24"/>
        </w:rPr>
        <w:t>(5), 1-3.</w:t>
      </w:r>
      <w:r w:rsidR="00C2712A" w:rsidRPr="00A2597C">
        <w:rPr>
          <w:rFonts w:ascii="Times New Roman" w:eastAsia="Times New Roman" w:hAnsi="Times New Roman" w:cs="Times New Roman"/>
          <w:sz w:val="24"/>
          <w:szCs w:val="24"/>
        </w:rPr>
        <w:t xml:space="preserve"> https://doi.org/0.4172/2167-1168.1000119 </w:t>
      </w:r>
    </w:p>
    <w:p w14:paraId="5C9439AC" w14:textId="77777777" w:rsidR="003A09E2" w:rsidRPr="00A2597C" w:rsidRDefault="003A09E2">
      <w:pPr>
        <w:spacing w:line="240" w:lineRule="auto"/>
        <w:rPr>
          <w:rFonts w:ascii="Times New Roman" w:eastAsia="Times New Roman" w:hAnsi="Times New Roman" w:cs="Times New Roman"/>
          <w:sz w:val="24"/>
          <w:szCs w:val="24"/>
        </w:rPr>
      </w:pPr>
    </w:p>
    <w:p w14:paraId="0000005C" w14:textId="7C22C2B3"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Saldaña, J. (2009). </w:t>
      </w:r>
      <w:r w:rsidRPr="00A2597C">
        <w:rPr>
          <w:rFonts w:ascii="Times New Roman" w:eastAsia="Times New Roman" w:hAnsi="Times New Roman" w:cs="Times New Roman"/>
          <w:i/>
          <w:sz w:val="24"/>
          <w:szCs w:val="24"/>
        </w:rPr>
        <w:t>The coding manual for qualitative researchers</w:t>
      </w:r>
      <w:r w:rsidRPr="00A2597C">
        <w:rPr>
          <w:rFonts w:ascii="Times New Roman" w:eastAsia="Times New Roman" w:hAnsi="Times New Roman" w:cs="Times New Roman"/>
          <w:sz w:val="24"/>
          <w:szCs w:val="24"/>
        </w:rPr>
        <w:t>. Sage.</w:t>
      </w:r>
    </w:p>
    <w:p w14:paraId="0000005D" w14:textId="77777777" w:rsidR="001B763A" w:rsidRPr="00A2597C" w:rsidRDefault="001B763A">
      <w:pPr>
        <w:spacing w:line="240" w:lineRule="auto"/>
        <w:rPr>
          <w:rFonts w:ascii="Times New Roman" w:eastAsia="Times New Roman" w:hAnsi="Times New Roman" w:cs="Times New Roman"/>
          <w:sz w:val="24"/>
          <w:szCs w:val="24"/>
        </w:rPr>
      </w:pPr>
    </w:p>
    <w:p w14:paraId="0000005E"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Shulman, L. S. (1986). Those who understand: Knowledge growth in teaching. </w:t>
      </w:r>
      <w:r w:rsidRPr="00A2597C">
        <w:rPr>
          <w:rFonts w:ascii="Times New Roman" w:eastAsia="Times New Roman" w:hAnsi="Times New Roman" w:cs="Times New Roman"/>
          <w:i/>
          <w:sz w:val="24"/>
          <w:szCs w:val="24"/>
        </w:rPr>
        <w:t>Educational </w:t>
      </w:r>
    </w:p>
    <w:p w14:paraId="0000005F" w14:textId="1F398BAE" w:rsidR="001B763A" w:rsidRPr="00A2597C" w:rsidRDefault="00733456">
      <w:pPr>
        <w:spacing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i/>
          <w:sz w:val="24"/>
          <w:szCs w:val="24"/>
        </w:rPr>
        <w:t>Researcher</w:t>
      </w:r>
      <w:r w:rsidRPr="00A2597C">
        <w:rPr>
          <w:rFonts w:ascii="Times New Roman" w:eastAsia="Times New Roman" w:hAnsi="Times New Roman" w:cs="Times New Roman"/>
          <w:sz w:val="24"/>
          <w:szCs w:val="24"/>
        </w:rPr>
        <w:t xml:space="preserve">, </w:t>
      </w:r>
      <w:r w:rsidRPr="00A2597C">
        <w:rPr>
          <w:rFonts w:ascii="Times New Roman" w:eastAsia="Times New Roman" w:hAnsi="Times New Roman" w:cs="Times New Roman"/>
          <w:i/>
          <w:sz w:val="24"/>
          <w:szCs w:val="24"/>
        </w:rPr>
        <w:t>15</w:t>
      </w:r>
      <w:r w:rsidRPr="00A2597C">
        <w:rPr>
          <w:rFonts w:ascii="Times New Roman" w:eastAsia="Times New Roman" w:hAnsi="Times New Roman" w:cs="Times New Roman"/>
          <w:sz w:val="24"/>
          <w:szCs w:val="24"/>
        </w:rPr>
        <w:t>(2), 4-14.</w:t>
      </w:r>
      <w:r w:rsidR="006A34E0" w:rsidRPr="00A2597C">
        <w:rPr>
          <w:rFonts w:ascii="Times New Roman" w:eastAsia="Times New Roman" w:hAnsi="Times New Roman" w:cs="Times New Roman"/>
          <w:sz w:val="24"/>
          <w:szCs w:val="24"/>
        </w:rPr>
        <w:t xml:space="preserve"> https://doi.org/10.3102/0013189X015002004</w:t>
      </w:r>
    </w:p>
    <w:p w14:paraId="00000060" w14:textId="77777777" w:rsidR="001B763A" w:rsidRPr="00A2597C" w:rsidRDefault="001B763A">
      <w:pPr>
        <w:spacing w:line="240" w:lineRule="auto"/>
        <w:ind w:firstLine="720"/>
        <w:rPr>
          <w:rFonts w:ascii="Times New Roman" w:eastAsia="Times New Roman" w:hAnsi="Times New Roman" w:cs="Times New Roman"/>
          <w:sz w:val="24"/>
          <w:szCs w:val="24"/>
        </w:rPr>
      </w:pPr>
    </w:p>
    <w:p w14:paraId="00000061"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Sloan, A., &amp; Bowe, B. (2014). Phenomenology and hermeneutic phenomenology: The </w:t>
      </w:r>
    </w:p>
    <w:p w14:paraId="00000062" w14:textId="077C1E91"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philosophy, the methodologies, and using hermeneutic phenomenology to investigate lecturers’ experiences of curriculum design. </w:t>
      </w:r>
      <w:r w:rsidRPr="00A2597C">
        <w:rPr>
          <w:rFonts w:ascii="Times New Roman" w:eastAsia="Times New Roman" w:hAnsi="Times New Roman" w:cs="Times New Roman"/>
          <w:i/>
          <w:sz w:val="24"/>
          <w:szCs w:val="24"/>
        </w:rPr>
        <w:t>Quality &amp; Quantity</w:t>
      </w:r>
      <w:r w:rsidRPr="00A2597C">
        <w:rPr>
          <w:rFonts w:ascii="Times New Roman" w:eastAsia="Times New Roman" w:hAnsi="Times New Roman" w:cs="Times New Roman"/>
          <w:sz w:val="24"/>
          <w:szCs w:val="24"/>
        </w:rPr>
        <w:t>, </w:t>
      </w:r>
      <w:r w:rsidRPr="00A2597C">
        <w:rPr>
          <w:rFonts w:ascii="Times New Roman" w:eastAsia="Times New Roman" w:hAnsi="Times New Roman" w:cs="Times New Roman"/>
          <w:i/>
          <w:sz w:val="24"/>
          <w:szCs w:val="24"/>
        </w:rPr>
        <w:t>48</w:t>
      </w:r>
      <w:r w:rsidRPr="00A2597C">
        <w:rPr>
          <w:rFonts w:ascii="Times New Roman" w:eastAsia="Times New Roman" w:hAnsi="Times New Roman" w:cs="Times New Roman"/>
          <w:sz w:val="24"/>
          <w:szCs w:val="24"/>
        </w:rPr>
        <w:t>(3), 1291-1303.</w:t>
      </w:r>
      <w:r w:rsidR="003522FB" w:rsidRPr="00A2597C">
        <w:rPr>
          <w:rFonts w:ascii="Times New Roman" w:eastAsia="Times New Roman" w:hAnsi="Times New Roman" w:cs="Times New Roman"/>
          <w:sz w:val="24"/>
          <w:szCs w:val="24"/>
        </w:rPr>
        <w:t xml:space="preserve"> https://doi.org/10.1007/s11135-013-9835-3</w:t>
      </w:r>
    </w:p>
    <w:p w14:paraId="00000063" w14:textId="77777777" w:rsidR="001B763A" w:rsidRPr="00A2597C" w:rsidRDefault="001B763A">
      <w:pPr>
        <w:spacing w:line="240" w:lineRule="auto"/>
        <w:ind w:left="720"/>
        <w:rPr>
          <w:rFonts w:ascii="Times New Roman" w:eastAsia="Times New Roman" w:hAnsi="Times New Roman" w:cs="Times New Roman"/>
          <w:sz w:val="24"/>
          <w:szCs w:val="24"/>
        </w:rPr>
      </w:pPr>
    </w:p>
    <w:p w14:paraId="00000064" w14:textId="77777777" w:rsidR="001B763A" w:rsidRPr="00A2597C" w:rsidRDefault="00733456">
      <w:pPr>
        <w:spacing w:line="240" w:lineRule="auto"/>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 xml:space="preserve">Speer, N. M. (2005). Issues of methods and theory in the study of mathematics teachers’ </w:t>
      </w:r>
    </w:p>
    <w:p w14:paraId="00000065" w14:textId="77777777" w:rsidR="001B763A" w:rsidRPr="00A2597C" w:rsidRDefault="00733456">
      <w:pPr>
        <w:spacing w:line="240" w:lineRule="auto"/>
        <w:ind w:left="720"/>
        <w:rPr>
          <w:rFonts w:ascii="Times New Roman" w:eastAsia="Times New Roman" w:hAnsi="Times New Roman" w:cs="Times New Roman"/>
          <w:sz w:val="24"/>
          <w:szCs w:val="24"/>
        </w:rPr>
      </w:pPr>
      <w:r w:rsidRPr="00A2597C">
        <w:rPr>
          <w:rFonts w:ascii="Times New Roman" w:eastAsia="Times New Roman" w:hAnsi="Times New Roman" w:cs="Times New Roman"/>
          <w:sz w:val="24"/>
          <w:szCs w:val="24"/>
        </w:rPr>
        <w:t>professed and attributed beliefs. </w:t>
      </w:r>
      <w:r w:rsidRPr="00A2597C">
        <w:rPr>
          <w:rFonts w:ascii="Times New Roman" w:eastAsia="Times New Roman" w:hAnsi="Times New Roman" w:cs="Times New Roman"/>
          <w:i/>
          <w:sz w:val="24"/>
          <w:szCs w:val="24"/>
        </w:rPr>
        <w:t>Educational Studies in Mathematics</w:t>
      </w:r>
      <w:r w:rsidRPr="00A2597C">
        <w:rPr>
          <w:rFonts w:ascii="Times New Roman" w:eastAsia="Times New Roman" w:hAnsi="Times New Roman" w:cs="Times New Roman"/>
          <w:sz w:val="24"/>
          <w:szCs w:val="24"/>
        </w:rPr>
        <w:t>, </w:t>
      </w:r>
      <w:r w:rsidRPr="00A2597C">
        <w:rPr>
          <w:rFonts w:ascii="Times New Roman" w:eastAsia="Times New Roman" w:hAnsi="Times New Roman" w:cs="Times New Roman"/>
          <w:i/>
          <w:sz w:val="24"/>
          <w:szCs w:val="24"/>
        </w:rPr>
        <w:t>58</w:t>
      </w:r>
      <w:r w:rsidRPr="00A2597C">
        <w:rPr>
          <w:rFonts w:ascii="Times New Roman" w:eastAsia="Times New Roman" w:hAnsi="Times New Roman" w:cs="Times New Roman"/>
          <w:sz w:val="24"/>
          <w:szCs w:val="24"/>
        </w:rPr>
        <w:t>(3), 361-391. https://doi.org/10.1007/s10649-005-2745-0</w:t>
      </w:r>
    </w:p>
    <w:p w14:paraId="00000066" w14:textId="77777777" w:rsidR="001B763A" w:rsidRPr="00A2597C" w:rsidRDefault="001B763A">
      <w:pPr>
        <w:spacing w:line="240" w:lineRule="auto"/>
        <w:rPr>
          <w:rFonts w:ascii="Times New Roman" w:eastAsia="Times New Roman" w:hAnsi="Times New Roman" w:cs="Times New Roman"/>
          <w:sz w:val="24"/>
          <w:szCs w:val="24"/>
        </w:rPr>
      </w:pPr>
    </w:p>
    <w:p w14:paraId="00000067" w14:textId="77777777" w:rsidR="001B763A" w:rsidRPr="00A2597C" w:rsidRDefault="00733456">
      <w:pPr>
        <w:spacing w:line="240" w:lineRule="auto"/>
        <w:rPr>
          <w:rFonts w:ascii="Times New Roman" w:eastAsia="Times New Roman" w:hAnsi="Times New Roman" w:cs="Times New Roman"/>
          <w:i/>
          <w:sz w:val="24"/>
          <w:szCs w:val="24"/>
        </w:rPr>
      </w:pPr>
      <w:r w:rsidRPr="00A2597C">
        <w:rPr>
          <w:rFonts w:ascii="Times New Roman" w:eastAsia="Times New Roman" w:hAnsi="Times New Roman" w:cs="Times New Roman"/>
          <w:sz w:val="24"/>
          <w:szCs w:val="24"/>
        </w:rPr>
        <w:t xml:space="preserve">van Manen, M. (1990). </w:t>
      </w:r>
      <w:r w:rsidRPr="00A2597C">
        <w:rPr>
          <w:rFonts w:ascii="Times New Roman" w:eastAsia="Times New Roman" w:hAnsi="Times New Roman" w:cs="Times New Roman"/>
          <w:i/>
          <w:sz w:val="24"/>
          <w:szCs w:val="24"/>
        </w:rPr>
        <w:t xml:space="preserve">Researching lived experience: Human science for an action sensitive </w:t>
      </w:r>
    </w:p>
    <w:p w14:paraId="00000068" w14:textId="77777777" w:rsidR="001B763A" w:rsidRPr="00A2597C" w:rsidRDefault="00733456">
      <w:pPr>
        <w:spacing w:line="240" w:lineRule="auto"/>
        <w:ind w:firstLine="720"/>
        <w:rPr>
          <w:rFonts w:ascii="Times New Roman" w:eastAsia="Times New Roman" w:hAnsi="Times New Roman" w:cs="Times New Roman"/>
          <w:sz w:val="24"/>
          <w:szCs w:val="24"/>
        </w:rPr>
      </w:pPr>
      <w:r w:rsidRPr="00A2597C">
        <w:rPr>
          <w:rFonts w:ascii="Times New Roman" w:eastAsia="Times New Roman" w:hAnsi="Times New Roman" w:cs="Times New Roman"/>
          <w:i/>
          <w:sz w:val="24"/>
          <w:szCs w:val="24"/>
        </w:rPr>
        <w:t>pedagogy</w:t>
      </w:r>
      <w:r w:rsidRPr="00A2597C">
        <w:rPr>
          <w:rFonts w:ascii="Times New Roman" w:eastAsia="Times New Roman" w:hAnsi="Times New Roman" w:cs="Times New Roman"/>
          <w:sz w:val="24"/>
          <w:szCs w:val="24"/>
        </w:rPr>
        <w:t>. Taylor &amp; Francis Group.</w:t>
      </w:r>
    </w:p>
    <w:sectPr w:rsidR="001B763A" w:rsidRPr="00A2597C">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BB82B" w14:textId="77777777" w:rsidR="005A5D31" w:rsidRDefault="005A5D31">
      <w:pPr>
        <w:spacing w:line="240" w:lineRule="auto"/>
      </w:pPr>
      <w:r>
        <w:separator/>
      </w:r>
    </w:p>
  </w:endnote>
  <w:endnote w:type="continuationSeparator" w:id="0">
    <w:p w14:paraId="2AFBCFCC" w14:textId="77777777" w:rsidR="005A5D31" w:rsidRDefault="005A5D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9" w14:textId="17E80694" w:rsidR="001B763A" w:rsidRDefault="00733456" w:rsidP="009D4279">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26EA9">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FA774" w14:textId="77777777" w:rsidR="005A5D31" w:rsidRDefault="005A5D31">
      <w:pPr>
        <w:spacing w:line="240" w:lineRule="auto"/>
      </w:pPr>
      <w:r>
        <w:separator/>
      </w:r>
    </w:p>
  </w:footnote>
  <w:footnote w:type="continuationSeparator" w:id="0">
    <w:p w14:paraId="1A47E121" w14:textId="77777777" w:rsidR="005A5D31" w:rsidRDefault="005A5D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2A253" w14:textId="05C52B0F" w:rsidR="00733456" w:rsidRPr="00733456" w:rsidRDefault="00733456">
    <w:pPr>
      <w:pStyle w:val="Header"/>
      <w:rPr>
        <w:rFonts w:ascii="Times New Roman" w:hAnsi="Times New Roman" w:cs="Times New Roman"/>
        <w:sz w:val="24"/>
        <w:szCs w:val="24"/>
      </w:rPr>
    </w:pPr>
    <w:r w:rsidRPr="00733456">
      <w:rPr>
        <w:rFonts w:ascii="Times New Roman" w:hAnsi="Times New Roman" w:cs="Times New Roman"/>
        <w:sz w:val="24"/>
        <w:szCs w:val="24"/>
      </w:rPr>
      <w:t>Agricultural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751EB"/>
    <w:multiLevelType w:val="multilevel"/>
    <w:tmpl w:val="BC7C8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0D2C9F"/>
    <w:multiLevelType w:val="multilevel"/>
    <w:tmpl w:val="0324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676493">
    <w:abstractNumId w:val="1"/>
  </w:num>
  <w:num w:numId="2" w16cid:durableId="75833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3A"/>
    <w:rsid w:val="0008358E"/>
    <w:rsid w:val="000D0D23"/>
    <w:rsid w:val="00163BBE"/>
    <w:rsid w:val="00164F19"/>
    <w:rsid w:val="001B763A"/>
    <w:rsid w:val="001F3CB1"/>
    <w:rsid w:val="00263EFD"/>
    <w:rsid w:val="002C15F7"/>
    <w:rsid w:val="002F1A60"/>
    <w:rsid w:val="003050CC"/>
    <w:rsid w:val="00320B2F"/>
    <w:rsid w:val="00321ED8"/>
    <w:rsid w:val="003522FB"/>
    <w:rsid w:val="00385331"/>
    <w:rsid w:val="003A09E2"/>
    <w:rsid w:val="00406AAF"/>
    <w:rsid w:val="00431696"/>
    <w:rsid w:val="00441593"/>
    <w:rsid w:val="00445068"/>
    <w:rsid w:val="004E6111"/>
    <w:rsid w:val="004F6BB8"/>
    <w:rsid w:val="00516518"/>
    <w:rsid w:val="0054411E"/>
    <w:rsid w:val="005549FA"/>
    <w:rsid w:val="0057410F"/>
    <w:rsid w:val="005A5D31"/>
    <w:rsid w:val="005A7181"/>
    <w:rsid w:val="005D7434"/>
    <w:rsid w:val="00622C40"/>
    <w:rsid w:val="00623FFE"/>
    <w:rsid w:val="00637001"/>
    <w:rsid w:val="00682124"/>
    <w:rsid w:val="006A0D01"/>
    <w:rsid w:val="006A34E0"/>
    <w:rsid w:val="006B061F"/>
    <w:rsid w:val="006D2AFB"/>
    <w:rsid w:val="00714443"/>
    <w:rsid w:val="00715405"/>
    <w:rsid w:val="00733456"/>
    <w:rsid w:val="007A7807"/>
    <w:rsid w:val="007B7F19"/>
    <w:rsid w:val="008D725D"/>
    <w:rsid w:val="009255DE"/>
    <w:rsid w:val="00926EA9"/>
    <w:rsid w:val="009D4279"/>
    <w:rsid w:val="00A2597C"/>
    <w:rsid w:val="00A934DE"/>
    <w:rsid w:val="00AC60A4"/>
    <w:rsid w:val="00AF5FA3"/>
    <w:rsid w:val="00B34434"/>
    <w:rsid w:val="00B62843"/>
    <w:rsid w:val="00BD52D3"/>
    <w:rsid w:val="00BE1D19"/>
    <w:rsid w:val="00BE7023"/>
    <w:rsid w:val="00C2712A"/>
    <w:rsid w:val="00C62E98"/>
    <w:rsid w:val="00C918DD"/>
    <w:rsid w:val="00CC378C"/>
    <w:rsid w:val="00D1529E"/>
    <w:rsid w:val="00D276E6"/>
    <w:rsid w:val="00D46A90"/>
    <w:rsid w:val="00DA3274"/>
    <w:rsid w:val="00E021E0"/>
    <w:rsid w:val="00E220BC"/>
    <w:rsid w:val="00E61FAC"/>
    <w:rsid w:val="00E84648"/>
    <w:rsid w:val="00EF0CBB"/>
    <w:rsid w:val="00F00111"/>
    <w:rsid w:val="00F6492C"/>
    <w:rsid w:val="00F75738"/>
    <w:rsid w:val="00FA1C22"/>
    <w:rsid w:val="00FC19A2"/>
    <w:rsid w:val="00FD189D"/>
    <w:rsid w:val="00FE2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6877"/>
  <w15:docId w15:val="{AC00630D-89C0-4443-860D-CCA53BA70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24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480" w:line="240" w:lineRule="auto"/>
      <w:jc w:val="center"/>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480" w:after="80" w:line="240" w:lineRule="auto"/>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637001"/>
    <w:pPr>
      <w:spacing w:line="240" w:lineRule="auto"/>
    </w:pPr>
  </w:style>
  <w:style w:type="character" w:styleId="CommentReference">
    <w:name w:val="annotation reference"/>
    <w:basedOn w:val="DefaultParagraphFont"/>
    <w:uiPriority w:val="99"/>
    <w:semiHidden/>
    <w:unhideWhenUsed/>
    <w:rsid w:val="00637001"/>
    <w:rPr>
      <w:sz w:val="16"/>
      <w:szCs w:val="16"/>
    </w:rPr>
  </w:style>
  <w:style w:type="paragraph" w:styleId="CommentText">
    <w:name w:val="annotation text"/>
    <w:basedOn w:val="Normal"/>
    <w:link w:val="CommentTextChar"/>
    <w:uiPriority w:val="99"/>
    <w:unhideWhenUsed/>
    <w:rsid w:val="00637001"/>
    <w:pPr>
      <w:spacing w:line="240" w:lineRule="auto"/>
    </w:pPr>
    <w:rPr>
      <w:sz w:val="20"/>
      <w:szCs w:val="20"/>
    </w:rPr>
  </w:style>
  <w:style w:type="character" w:customStyle="1" w:styleId="CommentTextChar">
    <w:name w:val="Comment Text Char"/>
    <w:basedOn w:val="DefaultParagraphFont"/>
    <w:link w:val="CommentText"/>
    <w:uiPriority w:val="99"/>
    <w:rsid w:val="00637001"/>
    <w:rPr>
      <w:sz w:val="20"/>
      <w:szCs w:val="20"/>
    </w:rPr>
  </w:style>
  <w:style w:type="paragraph" w:styleId="CommentSubject">
    <w:name w:val="annotation subject"/>
    <w:basedOn w:val="CommentText"/>
    <w:next w:val="CommentText"/>
    <w:link w:val="CommentSubjectChar"/>
    <w:uiPriority w:val="99"/>
    <w:semiHidden/>
    <w:unhideWhenUsed/>
    <w:rsid w:val="00637001"/>
    <w:rPr>
      <w:b/>
      <w:bCs/>
    </w:rPr>
  </w:style>
  <w:style w:type="character" w:customStyle="1" w:styleId="CommentSubjectChar">
    <w:name w:val="Comment Subject Char"/>
    <w:basedOn w:val="CommentTextChar"/>
    <w:link w:val="CommentSubject"/>
    <w:uiPriority w:val="99"/>
    <w:semiHidden/>
    <w:rsid w:val="00637001"/>
    <w:rPr>
      <w:b/>
      <w:bCs/>
      <w:sz w:val="20"/>
      <w:szCs w:val="20"/>
    </w:rPr>
  </w:style>
  <w:style w:type="paragraph" w:styleId="Header">
    <w:name w:val="header"/>
    <w:basedOn w:val="Normal"/>
    <w:link w:val="HeaderChar"/>
    <w:uiPriority w:val="99"/>
    <w:unhideWhenUsed/>
    <w:rsid w:val="009D4279"/>
    <w:pPr>
      <w:tabs>
        <w:tab w:val="center" w:pos="4680"/>
        <w:tab w:val="right" w:pos="9360"/>
      </w:tabs>
      <w:spacing w:line="240" w:lineRule="auto"/>
    </w:pPr>
  </w:style>
  <w:style w:type="character" w:customStyle="1" w:styleId="HeaderChar">
    <w:name w:val="Header Char"/>
    <w:basedOn w:val="DefaultParagraphFont"/>
    <w:link w:val="Header"/>
    <w:uiPriority w:val="99"/>
    <w:rsid w:val="009D4279"/>
  </w:style>
  <w:style w:type="paragraph" w:styleId="Footer">
    <w:name w:val="footer"/>
    <w:basedOn w:val="Normal"/>
    <w:link w:val="FooterChar"/>
    <w:uiPriority w:val="99"/>
    <w:unhideWhenUsed/>
    <w:rsid w:val="009D4279"/>
    <w:pPr>
      <w:tabs>
        <w:tab w:val="center" w:pos="4680"/>
        <w:tab w:val="right" w:pos="9360"/>
      </w:tabs>
      <w:spacing w:line="240" w:lineRule="auto"/>
    </w:pPr>
  </w:style>
  <w:style w:type="character" w:customStyle="1" w:styleId="FooterChar">
    <w:name w:val="Footer Char"/>
    <w:basedOn w:val="DefaultParagraphFont"/>
    <w:link w:val="Footer"/>
    <w:uiPriority w:val="99"/>
    <w:rsid w:val="009D4279"/>
  </w:style>
  <w:style w:type="character" w:styleId="Hyperlink">
    <w:name w:val="Hyperlink"/>
    <w:basedOn w:val="DefaultParagraphFont"/>
    <w:uiPriority w:val="99"/>
    <w:unhideWhenUsed/>
    <w:rsid w:val="003A09E2"/>
    <w:rPr>
      <w:color w:val="0000FF" w:themeColor="hyperlink"/>
      <w:u w:val="single"/>
    </w:rPr>
  </w:style>
  <w:style w:type="character" w:styleId="UnresolvedMention">
    <w:name w:val="Unresolved Mention"/>
    <w:basedOn w:val="DefaultParagraphFont"/>
    <w:uiPriority w:val="99"/>
    <w:semiHidden/>
    <w:unhideWhenUsed/>
    <w:rsid w:val="003A0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4926</TotalTime>
  <Pages>8</Pages>
  <Words>3702</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Traini, Haley Quade</dc:creator>
  <cp:lastModifiedBy>Milliken, Brett</cp:lastModifiedBy>
  <cp:revision>58</cp:revision>
  <cp:lastPrinted>2025-10-10T16:54:00Z</cp:lastPrinted>
  <dcterms:created xsi:type="dcterms:W3CDTF">2025-10-02T16:48:00Z</dcterms:created>
  <dcterms:modified xsi:type="dcterms:W3CDTF">2026-01-06T20:31:00Z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ab2bcbfe-4d3a-4955-b50d-50ddd4224bd6</vt:lpwstr>
  </property>
</Properties>
</file>