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624F4" w14:textId="3BEDE98A" w:rsidR="00603878" w:rsidRDefault="00603878" w:rsidP="6FDD329B">
      <w:pPr>
        <w:spacing w:after="240" w:line="240" w:lineRule="auto"/>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Teaching Science Through Agriculture: Examining Presage and Contextual Influences in a Multi-Case Study of SBAE</w:t>
      </w:r>
    </w:p>
    <w:p w14:paraId="642631A7" w14:textId="0156FD0A" w:rsidR="00F27FFC" w:rsidRPr="00F27FFC" w:rsidRDefault="00F27FFC" w:rsidP="009E168A">
      <w:pPr>
        <w:spacing w:line="240" w:lineRule="auto"/>
        <w:jc w:val="center"/>
        <w:rPr>
          <w:rFonts w:ascii="Times New Roman" w:eastAsia="Times New Roman" w:hAnsi="Times New Roman" w:cs="Times New Roman"/>
          <w:b/>
          <w:bCs/>
          <w:kern w:val="0"/>
          <w14:ligatures w14:val="none"/>
        </w:rPr>
      </w:pPr>
      <w:r w:rsidRPr="00F27FFC">
        <w:rPr>
          <w:rFonts w:ascii="Times New Roman" w:eastAsia="Times New Roman" w:hAnsi="Times New Roman" w:cs="Times New Roman"/>
          <w:b/>
          <w:bCs/>
          <w:kern w:val="0"/>
          <w14:ligatures w14:val="none"/>
        </w:rPr>
        <w:t>Introduction and Literature Review</w:t>
      </w:r>
    </w:p>
    <w:p w14:paraId="7E039B17" w14:textId="0885B550" w:rsidR="00F27FFC" w:rsidRPr="00F27FFC" w:rsidRDefault="00F27FFC" w:rsidP="009E168A">
      <w:pPr>
        <w:spacing w:line="240" w:lineRule="auto"/>
        <w:ind w:firstLine="720"/>
        <w:rPr>
          <w:rFonts w:ascii="Times New Roman" w:eastAsia="Times New Roman" w:hAnsi="Times New Roman" w:cs="Times New Roman"/>
          <w:color w:val="000000"/>
          <w:kern w:val="0"/>
          <w14:ligatures w14:val="none"/>
        </w:rPr>
      </w:pPr>
      <w:r w:rsidRPr="00F27FFC">
        <w:rPr>
          <w:rFonts w:ascii="Times New Roman" w:eastAsia="Times New Roman" w:hAnsi="Times New Roman" w:cs="Times New Roman"/>
          <w:color w:val="000000"/>
          <w:kern w:val="0"/>
          <w14:ligatures w14:val="none"/>
        </w:rPr>
        <w:t xml:space="preserve">Following the 1988 National Research Council (NRC) report, </w:t>
      </w:r>
      <w:r w:rsidRPr="6FDD329B">
        <w:rPr>
          <w:rFonts w:ascii="Times New Roman" w:eastAsia="Times New Roman" w:hAnsi="Times New Roman" w:cs="Times New Roman"/>
          <w:i/>
          <w:iCs/>
          <w:color w:val="000000"/>
          <w:kern w:val="0"/>
          <w14:ligatures w14:val="none"/>
        </w:rPr>
        <w:t>Understanding Agriculture: New Directions for Education</w:t>
      </w:r>
      <w:r w:rsidRPr="00F27FFC">
        <w:rPr>
          <w:rFonts w:ascii="Times New Roman" w:eastAsia="Times New Roman" w:hAnsi="Times New Roman" w:cs="Times New Roman"/>
          <w:color w:val="000000"/>
          <w:kern w:val="0"/>
          <w14:ligatures w14:val="none"/>
        </w:rPr>
        <w:t xml:space="preserve">, a call to move school-based agricultural education (SBAE) beyond traditional production agriculture prompted renewed emphasis on science and inquiry within agricultural instruction was prompted (Parr et al., 2006; Wells et al., 2015; Young et al., 2009). </w:t>
      </w:r>
      <w:r w:rsidR="0119FF0B" w:rsidRPr="00F27FFC">
        <w:rPr>
          <w:rFonts w:ascii="Times New Roman" w:eastAsia="Times New Roman" w:hAnsi="Times New Roman" w:cs="Times New Roman"/>
          <w:color w:val="000000"/>
          <w:kern w:val="0"/>
          <w14:ligatures w14:val="none"/>
        </w:rPr>
        <w:t>C</w:t>
      </w:r>
      <w:r w:rsidRPr="00F27FFC">
        <w:rPr>
          <w:rFonts w:ascii="Times New Roman" w:eastAsia="Times New Roman" w:hAnsi="Times New Roman" w:cs="Times New Roman"/>
          <w:color w:val="000000"/>
          <w:kern w:val="0"/>
          <w14:ligatures w14:val="none"/>
        </w:rPr>
        <w:t>areers in agriculture, food, and natural resources (AFNR) have expanded</w:t>
      </w:r>
      <w:r w:rsidR="004B6DE3">
        <w:rPr>
          <w:rFonts w:ascii="Times New Roman" w:eastAsia="Times New Roman" w:hAnsi="Times New Roman" w:cs="Times New Roman"/>
          <w:color w:val="000000"/>
          <w:kern w:val="0"/>
          <w14:ligatures w14:val="none"/>
        </w:rPr>
        <w:t xml:space="preserve"> </w:t>
      </w:r>
      <w:r w:rsidR="004B6DE3" w:rsidRPr="00F27FFC">
        <w:rPr>
          <w:rFonts w:ascii="Times New Roman" w:eastAsia="Times New Roman" w:hAnsi="Times New Roman" w:cs="Times New Roman"/>
          <w:color w:val="000000"/>
          <w:kern w:val="0"/>
          <w14:ligatures w14:val="none"/>
        </w:rPr>
        <w:t>rapidly</w:t>
      </w:r>
      <w:r w:rsidRPr="00F27FFC">
        <w:rPr>
          <w:rFonts w:ascii="Times New Roman" w:eastAsia="Times New Roman" w:hAnsi="Times New Roman" w:cs="Times New Roman"/>
          <w:color w:val="000000"/>
          <w:kern w:val="0"/>
          <w14:ligatures w14:val="none"/>
        </w:rPr>
        <w:t xml:space="preserve">, offering numerous </w:t>
      </w:r>
      <w:r w:rsidR="004B6DE3">
        <w:rPr>
          <w:rFonts w:ascii="Times New Roman" w:eastAsia="Times New Roman" w:hAnsi="Times New Roman" w:cs="Times New Roman"/>
          <w:color w:val="000000"/>
          <w:kern w:val="0"/>
          <w14:ligatures w14:val="none"/>
        </w:rPr>
        <w:t xml:space="preserve">opportunities in </w:t>
      </w:r>
      <w:r w:rsidRPr="00F27FFC">
        <w:rPr>
          <w:rFonts w:ascii="Times New Roman" w:eastAsia="Times New Roman" w:hAnsi="Times New Roman" w:cs="Times New Roman"/>
          <w:color w:val="000000"/>
          <w:kern w:val="0"/>
          <w14:ligatures w14:val="none"/>
        </w:rPr>
        <w:t>science, technology, engineering, and mathematic</w:t>
      </w:r>
      <w:r w:rsidR="00313A48">
        <w:rPr>
          <w:rFonts w:ascii="Times New Roman" w:eastAsia="Times New Roman" w:hAnsi="Times New Roman" w:cs="Times New Roman"/>
          <w:color w:val="000000"/>
          <w:kern w:val="0"/>
          <w14:ligatures w14:val="none"/>
        </w:rPr>
        <w:t>s</w:t>
      </w:r>
      <w:r w:rsidRPr="00F27FFC">
        <w:rPr>
          <w:rFonts w:ascii="Times New Roman" w:eastAsia="Times New Roman" w:hAnsi="Times New Roman" w:cs="Times New Roman"/>
          <w:color w:val="000000"/>
          <w:kern w:val="0"/>
          <w14:ligatures w14:val="none"/>
        </w:rPr>
        <w:t xml:space="preserve"> (STEM) </w:t>
      </w:r>
      <w:r w:rsidR="004B6DE3">
        <w:rPr>
          <w:rFonts w:ascii="Times New Roman" w:eastAsia="Times New Roman" w:hAnsi="Times New Roman" w:cs="Times New Roman"/>
          <w:color w:val="000000"/>
          <w:kern w:val="0"/>
          <w14:ligatures w14:val="none"/>
        </w:rPr>
        <w:t>field</w:t>
      </w:r>
      <w:r w:rsidRPr="00F27FFC">
        <w:rPr>
          <w:rFonts w:ascii="Times New Roman" w:eastAsia="Times New Roman" w:hAnsi="Times New Roman" w:cs="Times New Roman"/>
          <w:color w:val="000000"/>
          <w:kern w:val="0"/>
          <w14:ligatures w14:val="none"/>
        </w:rPr>
        <w:t>s (United States Department of Agriculture</w:t>
      </w:r>
      <w:r w:rsidR="00093715">
        <w:rPr>
          <w:rFonts w:ascii="Times New Roman" w:eastAsia="Times New Roman" w:hAnsi="Times New Roman" w:cs="Times New Roman"/>
          <w:color w:val="000000"/>
          <w:kern w:val="0"/>
          <w14:ligatures w14:val="none"/>
        </w:rPr>
        <w:t>,</w:t>
      </w:r>
      <w:r w:rsidRPr="00F27FFC">
        <w:rPr>
          <w:rFonts w:ascii="Times New Roman" w:eastAsia="Times New Roman" w:hAnsi="Times New Roman" w:cs="Times New Roman"/>
          <w:color w:val="000000"/>
          <w:kern w:val="0"/>
          <w14:ligatures w14:val="none"/>
        </w:rPr>
        <w:t xml:space="preserve"> 2015). </w:t>
      </w:r>
      <w:bookmarkStart w:id="0" w:name="_Int_ZRY4uwT9"/>
      <w:r w:rsidRPr="00F27FFC">
        <w:rPr>
          <w:rFonts w:ascii="Times New Roman" w:eastAsia="Times New Roman" w:hAnsi="Times New Roman" w:cs="Times New Roman"/>
          <w:color w:val="000000"/>
          <w:kern w:val="0"/>
          <w14:ligatures w14:val="none"/>
        </w:rPr>
        <w:t>SBAE teachers</w:t>
      </w:r>
      <w:bookmarkEnd w:id="0"/>
      <w:r w:rsidRPr="00F27FFC">
        <w:rPr>
          <w:rFonts w:ascii="Times New Roman" w:eastAsia="Times New Roman" w:hAnsi="Times New Roman" w:cs="Times New Roman"/>
          <w:color w:val="000000"/>
          <w:kern w:val="0"/>
          <w14:ligatures w14:val="none"/>
        </w:rPr>
        <w:t xml:space="preserve"> are responsible for developing curricula that integrate technical agricultural skills with STEM concepts (Wang &amp; Knoblock, 2018</w:t>
      </w:r>
      <w:r w:rsidR="004B6DE3" w:rsidRPr="00F27FFC">
        <w:rPr>
          <w:rFonts w:ascii="Times New Roman" w:eastAsia="Times New Roman" w:hAnsi="Times New Roman" w:cs="Times New Roman"/>
          <w:color w:val="000000"/>
          <w:kern w:val="0"/>
          <w14:ligatures w14:val="none"/>
        </w:rPr>
        <w:t>)</w:t>
      </w:r>
      <w:r w:rsidR="004B6DE3">
        <w:rPr>
          <w:rFonts w:ascii="Times New Roman" w:eastAsia="Times New Roman" w:hAnsi="Times New Roman" w:cs="Times New Roman"/>
          <w:color w:val="000000"/>
          <w:kern w:val="0"/>
          <w14:ligatures w14:val="none"/>
        </w:rPr>
        <w:t>;</w:t>
      </w:r>
      <w:r w:rsidR="004B6DE3" w:rsidRPr="00F27FFC">
        <w:rPr>
          <w:rFonts w:ascii="Times New Roman" w:eastAsia="Times New Roman" w:hAnsi="Times New Roman" w:cs="Times New Roman"/>
          <w:color w:val="000000"/>
          <w:kern w:val="0"/>
          <w14:ligatures w14:val="none"/>
        </w:rPr>
        <w:t xml:space="preserve"> </w:t>
      </w:r>
      <w:r w:rsidR="4B8E500A" w:rsidRPr="00F27FFC">
        <w:rPr>
          <w:rFonts w:ascii="Times New Roman" w:eastAsia="Times New Roman" w:hAnsi="Times New Roman" w:cs="Times New Roman"/>
          <w:color w:val="000000"/>
          <w:kern w:val="0"/>
          <w14:ligatures w14:val="none"/>
        </w:rPr>
        <w:t>yet</w:t>
      </w:r>
      <w:r w:rsidR="004B6DE3">
        <w:rPr>
          <w:rFonts w:ascii="Times New Roman" w:eastAsia="Times New Roman" w:hAnsi="Times New Roman" w:cs="Times New Roman"/>
          <w:color w:val="000000"/>
          <w:kern w:val="0"/>
          <w14:ligatures w14:val="none"/>
        </w:rPr>
        <w:t>,</w:t>
      </w:r>
      <w:r w:rsidRPr="00F27FFC">
        <w:rPr>
          <w:rFonts w:ascii="Times New Roman" w:eastAsia="Times New Roman" w:hAnsi="Times New Roman" w:cs="Times New Roman"/>
          <w:color w:val="000000"/>
          <w:kern w:val="0"/>
          <w14:ligatures w14:val="none"/>
        </w:rPr>
        <w:t xml:space="preserve"> many face challenges due to insufficient science content knowledge</w:t>
      </w:r>
      <w:r w:rsidR="00BB3697">
        <w:rPr>
          <w:rFonts w:ascii="Times New Roman" w:eastAsia="Times New Roman" w:hAnsi="Times New Roman" w:cs="Times New Roman"/>
          <w:color w:val="000000"/>
          <w:kern w:val="0"/>
          <w14:ligatures w14:val="none"/>
        </w:rPr>
        <w:t xml:space="preserve"> and low </w:t>
      </w:r>
      <w:r w:rsidR="001F77C7">
        <w:rPr>
          <w:rFonts w:ascii="Times New Roman" w:eastAsia="Times New Roman" w:hAnsi="Times New Roman" w:cs="Times New Roman"/>
          <w:color w:val="000000"/>
          <w:kern w:val="0"/>
          <w14:ligatures w14:val="none"/>
        </w:rPr>
        <w:t>self-efficacy</w:t>
      </w:r>
      <w:r w:rsidR="00BB3697">
        <w:rPr>
          <w:rFonts w:ascii="Times New Roman" w:eastAsia="Times New Roman" w:hAnsi="Times New Roman" w:cs="Times New Roman"/>
          <w:color w:val="000000"/>
          <w:kern w:val="0"/>
          <w14:ligatures w14:val="none"/>
        </w:rPr>
        <w:t xml:space="preserve"> to integrate science </w:t>
      </w:r>
      <w:r w:rsidRPr="00F27FFC">
        <w:rPr>
          <w:rFonts w:ascii="Times New Roman" w:eastAsia="Times New Roman" w:hAnsi="Times New Roman" w:cs="Times New Roman"/>
          <w:color w:val="000000"/>
          <w:kern w:val="0"/>
          <w14:ligatures w14:val="none"/>
        </w:rPr>
        <w:t>despite its</w:t>
      </w:r>
      <w:r w:rsidR="00BB3697">
        <w:rPr>
          <w:rFonts w:ascii="Times New Roman" w:eastAsia="Times New Roman" w:hAnsi="Times New Roman" w:cs="Times New Roman"/>
          <w:color w:val="000000"/>
          <w:kern w:val="0"/>
          <w14:ligatures w14:val="none"/>
        </w:rPr>
        <w:t xml:space="preserve"> </w:t>
      </w:r>
      <w:r w:rsidRPr="00F27FFC">
        <w:rPr>
          <w:rFonts w:ascii="Times New Roman" w:eastAsia="Times New Roman" w:hAnsi="Times New Roman" w:cs="Times New Roman"/>
          <w:color w:val="000000"/>
          <w:kern w:val="0"/>
          <w14:ligatures w14:val="none"/>
        </w:rPr>
        <w:t xml:space="preserve">importance in SBAE (Baker et al., 2015; </w:t>
      </w:r>
      <w:r w:rsidR="003F3011">
        <w:rPr>
          <w:rFonts w:ascii="Times New Roman" w:eastAsia="Times New Roman" w:hAnsi="Times New Roman" w:cs="Times New Roman"/>
          <w:color w:val="000000"/>
          <w:kern w:val="0"/>
          <w14:ligatures w14:val="none"/>
        </w:rPr>
        <w:t xml:space="preserve">Branscum et al., 2025; </w:t>
      </w:r>
      <w:r w:rsidR="00134C4D">
        <w:rPr>
          <w:rFonts w:ascii="Times New Roman" w:eastAsia="Times New Roman" w:hAnsi="Times New Roman" w:cs="Times New Roman"/>
          <w:color w:val="000000"/>
          <w:kern w:val="0"/>
          <w14:ligatures w14:val="none"/>
        </w:rPr>
        <w:t>Hone</w:t>
      </w:r>
      <w:r w:rsidR="00070CC5">
        <w:rPr>
          <w:rFonts w:ascii="Times New Roman" w:eastAsia="Times New Roman" w:hAnsi="Times New Roman" w:cs="Times New Roman"/>
          <w:color w:val="000000"/>
          <w:kern w:val="0"/>
          <w14:ligatures w14:val="none"/>
        </w:rPr>
        <w:t>y</w:t>
      </w:r>
      <w:r w:rsidR="00134C4D">
        <w:rPr>
          <w:rFonts w:ascii="Times New Roman" w:eastAsia="Times New Roman" w:hAnsi="Times New Roman" w:cs="Times New Roman"/>
          <w:color w:val="000000"/>
          <w:kern w:val="0"/>
          <w14:ligatures w14:val="none"/>
        </w:rPr>
        <w:t xml:space="preserve">man &amp; Eck, 2025; </w:t>
      </w:r>
      <w:r w:rsidRPr="00F27FFC">
        <w:rPr>
          <w:rFonts w:ascii="Times New Roman" w:eastAsia="Times New Roman" w:hAnsi="Times New Roman" w:cs="Times New Roman"/>
          <w:color w:val="000000"/>
          <w:kern w:val="0"/>
          <w14:ligatures w14:val="none"/>
        </w:rPr>
        <w:t xml:space="preserve">Thoron &amp; Myers, 2010; Washburn &amp; Myers, 2010). </w:t>
      </w:r>
    </w:p>
    <w:p w14:paraId="4B6E7042" w14:textId="33451BCA" w:rsidR="00F27FFC" w:rsidRPr="00F27FFC" w:rsidRDefault="00F27FFC" w:rsidP="009E168A">
      <w:pPr>
        <w:spacing w:line="240" w:lineRule="auto"/>
        <w:ind w:firstLine="720"/>
        <w:rPr>
          <w:rFonts w:ascii="Times New Roman" w:eastAsia="Times New Roman" w:hAnsi="Times New Roman" w:cs="Times New Roman"/>
          <w:color w:val="000000"/>
          <w:kern w:val="0"/>
          <w14:ligatures w14:val="none"/>
        </w:rPr>
      </w:pPr>
      <w:r w:rsidRPr="00F27FFC">
        <w:rPr>
          <w:rFonts w:ascii="Times New Roman" w:eastAsia="Times New Roman" w:hAnsi="Times New Roman" w:cs="Times New Roman"/>
          <w:color w:val="000000"/>
          <w:kern w:val="0"/>
          <w14:ligatures w14:val="none"/>
        </w:rPr>
        <w:t xml:space="preserve">A common </w:t>
      </w:r>
      <w:r w:rsidR="1714B838" w:rsidRPr="00F27FFC">
        <w:rPr>
          <w:rFonts w:ascii="Times New Roman" w:eastAsia="Times New Roman" w:hAnsi="Times New Roman" w:cs="Times New Roman"/>
          <w:color w:val="000000"/>
          <w:kern w:val="0"/>
          <w14:ligatures w14:val="none"/>
        </w:rPr>
        <w:t>method of science integration</w:t>
      </w:r>
      <w:r w:rsidRPr="00F27FFC">
        <w:rPr>
          <w:rFonts w:ascii="Times New Roman" w:eastAsia="Times New Roman" w:hAnsi="Times New Roman" w:cs="Times New Roman"/>
          <w:color w:val="000000"/>
          <w:kern w:val="0"/>
          <w14:ligatures w14:val="none"/>
        </w:rPr>
        <w:t xml:space="preserve"> is student participation in the Agriscience Fair, an </w:t>
      </w:r>
      <w:r w:rsidR="362DD6BD" w:rsidRPr="00F27FFC">
        <w:rPr>
          <w:rFonts w:ascii="Times New Roman" w:eastAsia="Times New Roman" w:hAnsi="Times New Roman" w:cs="Times New Roman"/>
          <w:color w:val="000000"/>
          <w:kern w:val="0"/>
          <w14:ligatures w14:val="none"/>
        </w:rPr>
        <w:t>FFA program recognizing students who apply scientific principles of AFNR (National FFA Organization, 2025).</w:t>
      </w:r>
      <w:r w:rsidRPr="00F27FFC">
        <w:rPr>
          <w:rFonts w:ascii="Times New Roman" w:eastAsia="Times New Roman" w:hAnsi="Times New Roman" w:cs="Times New Roman"/>
          <w:color w:val="000000"/>
          <w:kern w:val="0"/>
          <w14:ligatures w14:val="none"/>
        </w:rPr>
        <w:t xml:space="preserve"> Ford et al. (2025) </w:t>
      </w:r>
      <w:r w:rsidR="3B19245F" w:rsidRPr="00F27FFC">
        <w:rPr>
          <w:rFonts w:ascii="Times New Roman" w:eastAsia="Times New Roman" w:hAnsi="Times New Roman" w:cs="Times New Roman"/>
          <w:color w:val="000000"/>
          <w:kern w:val="0"/>
          <w14:ligatures w14:val="none"/>
        </w:rPr>
        <w:t xml:space="preserve">noted that </w:t>
      </w:r>
      <w:r w:rsidR="003232A0">
        <w:rPr>
          <w:rFonts w:ascii="Times New Roman" w:eastAsia="Times New Roman" w:hAnsi="Times New Roman" w:cs="Times New Roman"/>
          <w:color w:val="000000"/>
          <w:kern w:val="0"/>
          <w14:ligatures w14:val="none"/>
        </w:rPr>
        <w:t xml:space="preserve">the </w:t>
      </w:r>
      <w:r w:rsidR="3B19245F" w:rsidRPr="00F27FFC">
        <w:rPr>
          <w:rFonts w:ascii="Times New Roman" w:eastAsia="Times New Roman" w:hAnsi="Times New Roman" w:cs="Times New Roman"/>
          <w:color w:val="000000"/>
          <w:kern w:val="0"/>
          <w14:ligatures w14:val="none"/>
        </w:rPr>
        <w:t xml:space="preserve">Agriscience Fair strengthens SBAE programs but often leads teachers to “play the game” for recognition. Still, it fosters inquiry-based instruction linked to AFNR. </w:t>
      </w:r>
      <w:r w:rsidRPr="00F27FFC">
        <w:rPr>
          <w:rFonts w:ascii="Times New Roman" w:eastAsia="Times New Roman" w:hAnsi="Times New Roman" w:cs="Times New Roman"/>
          <w:kern w:val="0"/>
          <w14:ligatures w14:val="none"/>
        </w:rPr>
        <w:t>Inquiry-based approaches encourage students to ask questions, explore concepts, and develop explanations through investigation and drawing on their natural inquisitive state (Bybee, 2014).</w:t>
      </w:r>
      <w:r w:rsidRPr="00F27FFC">
        <w:rPr>
          <w:rFonts w:ascii="Times New Roman" w:eastAsia="Times New Roman" w:hAnsi="Times New Roman" w:cs="Times New Roman"/>
          <w:color w:val="000000"/>
          <w:kern w:val="0"/>
          <w14:ligatures w14:val="none"/>
        </w:rPr>
        <w:t xml:space="preserve"> </w:t>
      </w:r>
      <w:r w:rsidRPr="00F27FFC">
        <w:rPr>
          <w:rFonts w:ascii="Times New Roman" w:eastAsia="Times New Roman" w:hAnsi="Times New Roman" w:cs="Times New Roman"/>
          <w:kern w:val="0"/>
          <w14:ligatures w14:val="none"/>
        </w:rPr>
        <w:t xml:space="preserve">While </w:t>
      </w:r>
      <w:r w:rsidR="1B156FFB" w:rsidRPr="00F27FFC">
        <w:rPr>
          <w:rFonts w:ascii="Times New Roman" w:eastAsia="Times New Roman" w:hAnsi="Times New Roman" w:cs="Times New Roman"/>
          <w:kern w:val="0"/>
          <w14:ligatures w14:val="none"/>
        </w:rPr>
        <w:t xml:space="preserve">science education has often been taught through the linear “scientific method,” this </w:t>
      </w:r>
      <w:r w:rsidR="001B4CCF">
        <w:rPr>
          <w:rFonts w:ascii="Times New Roman" w:eastAsia="Times New Roman" w:hAnsi="Times New Roman" w:cs="Times New Roman"/>
          <w:kern w:val="0"/>
          <w14:ligatures w14:val="none"/>
        </w:rPr>
        <w:t xml:space="preserve">approach </w:t>
      </w:r>
      <w:r w:rsidR="1B156FFB" w:rsidRPr="00F27FFC">
        <w:rPr>
          <w:rFonts w:ascii="Times New Roman" w:eastAsia="Times New Roman" w:hAnsi="Times New Roman" w:cs="Times New Roman"/>
          <w:kern w:val="0"/>
          <w14:ligatures w14:val="none"/>
        </w:rPr>
        <w:t xml:space="preserve">oversimplifies inquiry and can </w:t>
      </w:r>
      <w:r w:rsidR="001B4CCF">
        <w:rPr>
          <w:rFonts w:ascii="Times New Roman" w:eastAsia="Times New Roman" w:hAnsi="Times New Roman" w:cs="Times New Roman"/>
          <w:kern w:val="0"/>
          <w14:ligatures w14:val="none"/>
        </w:rPr>
        <w:t>lead to</w:t>
      </w:r>
      <w:r w:rsidR="1B156FFB" w:rsidRPr="00F27FFC">
        <w:rPr>
          <w:rFonts w:ascii="Times New Roman" w:eastAsia="Times New Roman" w:hAnsi="Times New Roman" w:cs="Times New Roman"/>
          <w:kern w:val="0"/>
          <w14:ligatures w14:val="none"/>
        </w:rPr>
        <w:t xml:space="preserve"> misconceptions</w:t>
      </w:r>
      <w:r w:rsidRPr="00F27FFC">
        <w:rPr>
          <w:rFonts w:ascii="Times New Roman" w:eastAsia="Times New Roman" w:hAnsi="Times New Roman" w:cs="Times New Roman"/>
          <w:kern w:val="0"/>
          <w14:ligatures w14:val="none"/>
        </w:rPr>
        <w:t xml:space="preserve"> (Lederman et al., 2014; McComas, 2020). </w:t>
      </w:r>
      <w:r w:rsidR="007F612B">
        <w:rPr>
          <w:rFonts w:ascii="Times New Roman" w:eastAsia="Times New Roman" w:hAnsi="Times New Roman" w:cs="Times New Roman"/>
          <w:kern w:val="0"/>
          <w14:ligatures w14:val="none"/>
        </w:rPr>
        <w:t>Science knowledge should be taught as tentative, empirical, and socially embedded</w:t>
      </w:r>
      <w:r w:rsidRPr="00F27FFC">
        <w:rPr>
          <w:rFonts w:ascii="Times New Roman" w:eastAsia="Times New Roman" w:hAnsi="Times New Roman" w:cs="Times New Roman"/>
          <w:kern w:val="0"/>
          <w14:ligatures w14:val="none"/>
        </w:rPr>
        <w:t xml:space="preserve"> (Bierema, 2021; NGSS Lead States, 2013). </w:t>
      </w:r>
      <w:r w:rsidR="0021071D">
        <w:rPr>
          <w:rFonts w:ascii="Times New Roman" w:eastAsia="Times New Roman" w:hAnsi="Times New Roman" w:cs="Times New Roman"/>
          <w:kern w:val="0"/>
          <w14:ligatures w14:val="none"/>
        </w:rPr>
        <w:t>Authentic learning experiences, modeling, data analysis, and problem-solving</w:t>
      </w:r>
      <w:r w:rsidR="007346ED">
        <w:rPr>
          <w:rFonts w:ascii="Times New Roman" w:eastAsia="Times New Roman" w:hAnsi="Times New Roman" w:cs="Times New Roman"/>
          <w:kern w:val="0"/>
          <w14:ligatures w14:val="none"/>
        </w:rPr>
        <w:t xml:space="preserve"> reflect how science operates in real contexts</w:t>
      </w:r>
      <w:r w:rsidRPr="00F27FFC">
        <w:rPr>
          <w:rFonts w:ascii="Times New Roman" w:eastAsia="Times New Roman" w:hAnsi="Times New Roman" w:cs="Times New Roman"/>
          <w:kern w:val="0"/>
          <w14:ligatures w14:val="none"/>
        </w:rPr>
        <w:t xml:space="preserve"> (Duran &amp; Duran, 2004</w:t>
      </w:r>
      <w:r w:rsidR="007346ED">
        <w:rPr>
          <w:rFonts w:ascii="Times New Roman" w:eastAsia="Times New Roman" w:hAnsi="Times New Roman" w:cs="Times New Roman"/>
          <w:kern w:val="0"/>
          <w14:ligatures w14:val="none"/>
        </w:rPr>
        <w:t>;</w:t>
      </w:r>
      <w:r w:rsidR="007346ED" w:rsidRPr="007346ED">
        <w:rPr>
          <w:rFonts w:ascii="Times New Roman" w:eastAsia="Times New Roman" w:hAnsi="Times New Roman" w:cs="Times New Roman"/>
          <w:kern w:val="0"/>
          <w14:ligatures w14:val="none"/>
        </w:rPr>
        <w:t xml:space="preserve"> </w:t>
      </w:r>
      <w:proofErr w:type="spellStart"/>
      <w:r w:rsidR="007346ED" w:rsidRPr="00F27FFC">
        <w:rPr>
          <w:rFonts w:ascii="Times New Roman" w:eastAsia="Times New Roman" w:hAnsi="Times New Roman" w:cs="Times New Roman"/>
          <w:kern w:val="0"/>
          <w14:ligatures w14:val="none"/>
        </w:rPr>
        <w:t>Tsivitanidou</w:t>
      </w:r>
      <w:proofErr w:type="spellEnd"/>
      <w:r w:rsidR="007346ED" w:rsidRPr="00F27FFC">
        <w:rPr>
          <w:rFonts w:ascii="Times New Roman" w:eastAsia="Times New Roman" w:hAnsi="Times New Roman" w:cs="Times New Roman"/>
          <w:kern w:val="0"/>
          <w14:ligatures w14:val="none"/>
        </w:rPr>
        <w:t xml:space="preserve"> et al., 2018</w:t>
      </w:r>
      <w:r w:rsidRPr="00F27FFC">
        <w:rPr>
          <w:rFonts w:ascii="Times New Roman" w:eastAsia="Times New Roman" w:hAnsi="Times New Roman" w:cs="Times New Roman"/>
          <w:kern w:val="0"/>
          <w14:ligatures w14:val="none"/>
        </w:rPr>
        <w:t xml:space="preserve">). </w:t>
      </w:r>
      <w:r w:rsidR="00155FFB">
        <w:rPr>
          <w:rFonts w:ascii="Times New Roman" w:eastAsia="Times New Roman" w:hAnsi="Times New Roman" w:cs="Times New Roman"/>
          <w:kern w:val="0"/>
          <w14:ligatures w14:val="none"/>
        </w:rPr>
        <w:t xml:space="preserve">A study by McKim et al. (2025) examined </w:t>
      </w:r>
      <w:r w:rsidR="00F6459E">
        <w:rPr>
          <w:rFonts w:ascii="Times New Roman" w:eastAsia="Times New Roman" w:hAnsi="Times New Roman" w:cs="Times New Roman"/>
          <w:kern w:val="0"/>
          <w14:ligatures w14:val="none"/>
        </w:rPr>
        <w:t xml:space="preserve">exemplary STEM lessons </w:t>
      </w:r>
      <w:r w:rsidR="00D7686B">
        <w:rPr>
          <w:rFonts w:ascii="Times New Roman" w:eastAsia="Times New Roman" w:hAnsi="Times New Roman" w:cs="Times New Roman"/>
          <w:kern w:val="0"/>
          <w14:ligatures w14:val="none"/>
        </w:rPr>
        <w:t xml:space="preserve">self-identified by agriculture teachers; however, there remains a gap in literature </w:t>
      </w:r>
      <w:r w:rsidR="00A72A80">
        <w:rPr>
          <w:rFonts w:ascii="Times New Roman" w:eastAsia="Times New Roman" w:hAnsi="Times New Roman" w:cs="Times New Roman"/>
          <w:kern w:val="0"/>
          <w14:ligatures w14:val="none"/>
        </w:rPr>
        <w:t>if lessons like these meet the rigor and relevance</w:t>
      </w:r>
      <w:r w:rsidR="00CF124A">
        <w:rPr>
          <w:rFonts w:ascii="Times New Roman" w:eastAsia="Times New Roman" w:hAnsi="Times New Roman" w:cs="Times New Roman"/>
          <w:kern w:val="0"/>
          <w14:ligatures w14:val="none"/>
        </w:rPr>
        <w:t xml:space="preserve"> needs</w:t>
      </w:r>
      <w:r w:rsidR="00A72A80">
        <w:rPr>
          <w:rFonts w:ascii="Times New Roman" w:eastAsia="Times New Roman" w:hAnsi="Times New Roman" w:cs="Times New Roman"/>
          <w:kern w:val="0"/>
          <w14:ligatures w14:val="none"/>
        </w:rPr>
        <w:t xml:space="preserve"> of current </w:t>
      </w:r>
      <w:r w:rsidR="00CF124A">
        <w:rPr>
          <w:rFonts w:ascii="Times New Roman" w:eastAsia="Times New Roman" w:hAnsi="Times New Roman" w:cs="Times New Roman"/>
          <w:kern w:val="0"/>
          <w14:ligatures w14:val="none"/>
        </w:rPr>
        <w:t>science learning practices.</w:t>
      </w:r>
    </w:p>
    <w:p w14:paraId="36F889A2" w14:textId="05BF3EAE" w:rsidR="00F27FFC" w:rsidRPr="00F27FFC" w:rsidRDefault="007346ED" w:rsidP="0E321D46">
      <w:pPr>
        <w:spacing w:line="240" w:lineRule="auto"/>
        <w:ind w:firstLine="72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SBAE </w:t>
      </w:r>
      <w:r w:rsidR="00000265">
        <w:rPr>
          <w:rFonts w:ascii="Times New Roman" w:eastAsia="Times New Roman" w:hAnsi="Times New Roman" w:cs="Times New Roman"/>
          <w:color w:val="000000"/>
          <w:kern w:val="0"/>
          <w14:ligatures w14:val="none"/>
        </w:rPr>
        <w:t xml:space="preserve">combines </w:t>
      </w:r>
      <w:r>
        <w:rPr>
          <w:rFonts w:ascii="Times New Roman" w:eastAsia="Times New Roman" w:hAnsi="Times New Roman" w:cs="Times New Roman"/>
          <w:color w:val="000000"/>
          <w:kern w:val="0"/>
          <w14:ligatures w14:val="none"/>
        </w:rPr>
        <w:t>technical agriculture and STEM to provide authentic learning that builds agricultural literacy and wor</w:t>
      </w:r>
      <w:r w:rsidR="00000265">
        <w:rPr>
          <w:rFonts w:ascii="Times New Roman" w:eastAsia="Times New Roman" w:hAnsi="Times New Roman" w:cs="Times New Roman"/>
          <w:color w:val="000000"/>
          <w:kern w:val="0"/>
          <w14:ligatures w14:val="none"/>
        </w:rPr>
        <w:t>k</w:t>
      </w:r>
      <w:r>
        <w:rPr>
          <w:rFonts w:ascii="Times New Roman" w:eastAsia="Times New Roman" w:hAnsi="Times New Roman" w:cs="Times New Roman"/>
          <w:color w:val="000000"/>
          <w:kern w:val="0"/>
          <w14:ligatures w14:val="none"/>
        </w:rPr>
        <w:t>force readiness</w:t>
      </w:r>
      <w:r w:rsidR="00F27FFC" w:rsidRPr="00F27FFC">
        <w:rPr>
          <w:rFonts w:ascii="Times New Roman" w:eastAsia="Times New Roman" w:hAnsi="Times New Roman" w:cs="Times New Roman"/>
          <w:color w:val="000000"/>
          <w:kern w:val="0"/>
          <w14:ligatures w14:val="none"/>
        </w:rPr>
        <w:t xml:space="preserve"> (</w:t>
      </w:r>
      <w:proofErr w:type="spellStart"/>
      <w:r w:rsidR="0E7D563F" w:rsidRPr="0E321D46">
        <w:rPr>
          <w:rFonts w:ascii="Times New Roman" w:eastAsia="Times New Roman" w:hAnsi="Times New Roman" w:cs="Times New Roman"/>
          <w:color w:val="000000" w:themeColor="text1"/>
        </w:rPr>
        <w:t>Perwaiz</w:t>
      </w:r>
      <w:proofErr w:type="spellEnd"/>
      <w:r w:rsidR="0E7D563F" w:rsidRPr="0E321D46">
        <w:rPr>
          <w:rFonts w:ascii="Times New Roman" w:eastAsia="Times New Roman" w:hAnsi="Times New Roman" w:cs="Times New Roman"/>
          <w:color w:val="000000" w:themeColor="text1"/>
        </w:rPr>
        <w:t xml:space="preserve"> &amp; </w:t>
      </w:r>
      <w:proofErr w:type="spellStart"/>
      <w:r w:rsidR="0E7D563F" w:rsidRPr="0E321D46">
        <w:rPr>
          <w:rFonts w:ascii="Times New Roman" w:eastAsia="Times New Roman" w:hAnsi="Times New Roman" w:cs="Times New Roman"/>
          <w:color w:val="000000" w:themeColor="text1"/>
        </w:rPr>
        <w:t>Asunda</w:t>
      </w:r>
      <w:proofErr w:type="spellEnd"/>
      <w:r w:rsidR="0E7D563F" w:rsidRPr="0E321D46">
        <w:rPr>
          <w:rFonts w:ascii="Times New Roman" w:eastAsia="Times New Roman" w:hAnsi="Times New Roman" w:cs="Times New Roman"/>
          <w:color w:val="000000" w:themeColor="text1"/>
        </w:rPr>
        <w:t xml:space="preserve">, 2025; </w:t>
      </w:r>
      <w:r w:rsidR="00F27FFC">
        <w:rPr>
          <w:rFonts w:ascii="Times New Roman" w:eastAsia="Times New Roman" w:hAnsi="Times New Roman" w:cs="Times New Roman"/>
          <w:color w:val="000000"/>
          <w:kern w:val="0"/>
          <w14:ligatures w14:val="none"/>
        </w:rPr>
        <w:t xml:space="preserve">Stubbs &amp; Myers, 2016). </w:t>
      </w:r>
      <w:r w:rsidR="009E0269">
        <w:rPr>
          <w:rFonts w:ascii="Times New Roman" w:eastAsia="Times New Roman" w:hAnsi="Times New Roman" w:cs="Times New Roman"/>
          <w:color w:val="000000"/>
          <w:kern w:val="0"/>
          <w14:ligatures w14:val="none"/>
        </w:rPr>
        <w:t xml:space="preserve">One method is cross-curricular learning, </w:t>
      </w:r>
      <w:r w:rsidR="00000265">
        <w:rPr>
          <w:rFonts w:ascii="Times New Roman" w:eastAsia="Times New Roman" w:hAnsi="Times New Roman" w:cs="Times New Roman"/>
          <w:color w:val="000000"/>
          <w:kern w:val="0"/>
          <w14:ligatures w14:val="none"/>
        </w:rPr>
        <w:t>which links</w:t>
      </w:r>
      <w:r w:rsidR="009E0269">
        <w:rPr>
          <w:rFonts w:ascii="Times New Roman" w:eastAsia="Times New Roman" w:hAnsi="Times New Roman" w:cs="Times New Roman"/>
          <w:color w:val="000000"/>
          <w:kern w:val="0"/>
          <w14:ligatures w14:val="none"/>
        </w:rPr>
        <w:t xml:space="preserve"> subjects around a theme while </w:t>
      </w:r>
      <w:r w:rsidR="00000265">
        <w:rPr>
          <w:rFonts w:ascii="Times New Roman" w:eastAsia="Times New Roman" w:hAnsi="Times New Roman" w:cs="Times New Roman"/>
          <w:color w:val="000000"/>
          <w:kern w:val="0"/>
          <w14:ligatures w14:val="none"/>
        </w:rPr>
        <w:t>maintain</w:t>
      </w:r>
      <w:r w:rsidR="009E0269">
        <w:rPr>
          <w:rFonts w:ascii="Times New Roman" w:eastAsia="Times New Roman" w:hAnsi="Times New Roman" w:cs="Times New Roman"/>
          <w:color w:val="000000"/>
          <w:kern w:val="0"/>
          <w14:ligatures w14:val="none"/>
        </w:rPr>
        <w:t xml:space="preserve">ing </w:t>
      </w:r>
      <w:r w:rsidR="00000265">
        <w:rPr>
          <w:rFonts w:ascii="Times New Roman" w:eastAsia="Times New Roman" w:hAnsi="Times New Roman" w:cs="Times New Roman"/>
          <w:color w:val="000000"/>
          <w:kern w:val="0"/>
          <w14:ligatures w14:val="none"/>
        </w:rPr>
        <w:t>the</w:t>
      </w:r>
      <w:r w:rsidR="009E0269">
        <w:rPr>
          <w:rFonts w:ascii="Times New Roman" w:eastAsia="Times New Roman" w:hAnsi="Times New Roman" w:cs="Times New Roman"/>
          <w:color w:val="000000"/>
          <w:kern w:val="0"/>
          <w14:ligatures w14:val="none"/>
        </w:rPr>
        <w:t xml:space="preserve"> distinct</w:t>
      </w:r>
      <w:r w:rsidR="00000265" w:rsidRPr="00F27FFC">
        <w:rPr>
          <w:rFonts w:ascii="Times New Roman" w:eastAsia="Times New Roman" w:hAnsi="Times New Roman" w:cs="Times New Roman"/>
          <w:color w:val="000000"/>
          <w:kern w:val="0"/>
          <w14:ligatures w14:val="none"/>
        </w:rPr>
        <w:t>iveness of each discipline</w:t>
      </w:r>
      <w:r w:rsidR="00F27FFC">
        <w:rPr>
          <w:rFonts w:ascii="Times New Roman" w:eastAsia="Times New Roman" w:hAnsi="Times New Roman" w:cs="Times New Roman"/>
          <w:color w:val="000000"/>
          <w:kern w:val="0"/>
          <w14:ligatures w14:val="none"/>
        </w:rPr>
        <w:t xml:space="preserve"> (Early, 2019; Jeya Harish et al., 2012). For example, </w:t>
      </w:r>
      <w:r w:rsidR="0031752B">
        <w:rPr>
          <w:rFonts w:ascii="Times New Roman" w:eastAsia="Times New Roman" w:hAnsi="Times New Roman" w:cs="Times New Roman"/>
          <w:color w:val="000000"/>
          <w:kern w:val="0"/>
          <w14:ligatures w14:val="none"/>
        </w:rPr>
        <w:t>a pollinator decline theme may lead to biology lessons on bee anatomy and math lessons on population trends</w:t>
      </w:r>
      <w:r w:rsidR="00741F6E">
        <w:rPr>
          <w:rFonts w:ascii="Times New Roman" w:eastAsia="Times New Roman" w:hAnsi="Times New Roman" w:cs="Times New Roman"/>
          <w:color w:val="000000"/>
          <w:kern w:val="0"/>
          <w14:ligatures w14:val="none"/>
        </w:rPr>
        <w:t xml:space="preserve">. Interdisciplinary </w:t>
      </w:r>
      <w:r w:rsidR="005E385B">
        <w:rPr>
          <w:rFonts w:ascii="Times New Roman" w:eastAsia="Times New Roman" w:hAnsi="Times New Roman" w:cs="Times New Roman"/>
          <w:color w:val="000000"/>
          <w:kern w:val="0"/>
          <w14:ligatures w14:val="none"/>
        </w:rPr>
        <w:t xml:space="preserve">learning </w:t>
      </w:r>
      <w:r w:rsidR="00000265">
        <w:rPr>
          <w:rFonts w:ascii="Times New Roman" w:eastAsia="Times New Roman" w:hAnsi="Times New Roman" w:cs="Times New Roman"/>
          <w:color w:val="000000"/>
          <w:kern w:val="0"/>
          <w14:ligatures w14:val="none"/>
        </w:rPr>
        <w:t>extend</w:t>
      </w:r>
      <w:r w:rsidR="005E385B">
        <w:rPr>
          <w:rFonts w:ascii="Times New Roman" w:eastAsia="Times New Roman" w:hAnsi="Times New Roman" w:cs="Times New Roman"/>
          <w:color w:val="000000"/>
          <w:kern w:val="0"/>
          <w14:ligatures w14:val="none"/>
        </w:rPr>
        <w:t xml:space="preserve">s </w:t>
      </w:r>
      <w:r w:rsidR="00000265">
        <w:rPr>
          <w:rFonts w:ascii="Times New Roman" w:eastAsia="Times New Roman" w:hAnsi="Times New Roman" w:cs="Times New Roman"/>
          <w:color w:val="000000"/>
          <w:kern w:val="0"/>
          <w14:ligatures w14:val="none"/>
        </w:rPr>
        <w:t>beyond this</w:t>
      </w:r>
      <w:r w:rsidR="005E385B">
        <w:rPr>
          <w:rFonts w:ascii="Times New Roman" w:eastAsia="Times New Roman" w:hAnsi="Times New Roman" w:cs="Times New Roman"/>
          <w:color w:val="000000"/>
          <w:kern w:val="0"/>
          <w14:ligatures w14:val="none"/>
        </w:rPr>
        <w:t xml:space="preserve">, integrating knowledge, methods, and perspectives across disciplines into </w:t>
      </w:r>
      <w:r w:rsidR="00000265">
        <w:rPr>
          <w:rFonts w:ascii="Times New Roman" w:eastAsia="Times New Roman" w:hAnsi="Times New Roman" w:cs="Times New Roman"/>
          <w:color w:val="000000"/>
          <w:kern w:val="0"/>
          <w14:ligatures w14:val="none"/>
        </w:rPr>
        <w:t xml:space="preserve">a </w:t>
      </w:r>
      <w:r w:rsidR="005E385B" w:rsidRPr="00F27FFC">
        <w:rPr>
          <w:rFonts w:ascii="Times New Roman" w:eastAsia="Times New Roman" w:hAnsi="Times New Roman" w:cs="Times New Roman"/>
          <w:color w:val="000000"/>
          <w:kern w:val="0"/>
          <w14:ligatures w14:val="none"/>
        </w:rPr>
        <w:t>unified experience</w:t>
      </w:r>
      <w:r w:rsidR="00F27FFC" w:rsidRPr="00F27FFC">
        <w:rPr>
          <w:rFonts w:ascii="Times New Roman" w:eastAsia="Times New Roman" w:hAnsi="Times New Roman" w:cs="Times New Roman"/>
          <w:color w:val="000000"/>
          <w:kern w:val="0"/>
          <w14:ligatures w14:val="none"/>
        </w:rPr>
        <w:t xml:space="preserve"> (Holley, 2017; </w:t>
      </w:r>
      <w:proofErr w:type="spellStart"/>
      <w:r w:rsidR="00F27FFC" w:rsidRPr="00F27FFC">
        <w:rPr>
          <w:rFonts w:ascii="Times New Roman" w:eastAsia="Times New Roman" w:hAnsi="Times New Roman" w:cs="Times New Roman"/>
          <w:color w:val="000000"/>
          <w:kern w:val="0"/>
          <w14:ligatures w14:val="none"/>
        </w:rPr>
        <w:t>Oudenampsen</w:t>
      </w:r>
      <w:proofErr w:type="spellEnd"/>
      <w:r w:rsidR="00F27FFC">
        <w:rPr>
          <w:rFonts w:ascii="Times New Roman" w:eastAsia="Times New Roman" w:hAnsi="Times New Roman" w:cs="Times New Roman"/>
          <w:color w:val="000000"/>
          <w:kern w:val="0"/>
          <w14:ligatures w14:val="none"/>
        </w:rPr>
        <w:t xml:space="preserve"> et al., 2023). </w:t>
      </w:r>
      <w:r w:rsidR="00000265" w:rsidRPr="00F27FFC">
        <w:rPr>
          <w:rFonts w:ascii="Times New Roman" w:eastAsia="Times New Roman" w:hAnsi="Times New Roman" w:cs="Times New Roman"/>
          <w:color w:val="000000"/>
          <w:kern w:val="0"/>
          <w14:ligatures w14:val="none"/>
        </w:rPr>
        <w:t>Using</w:t>
      </w:r>
      <w:r w:rsidR="00F27FFC" w:rsidRPr="00F27FFC">
        <w:rPr>
          <w:rFonts w:ascii="Times New Roman" w:eastAsia="Times New Roman" w:hAnsi="Times New Roman" w:cs="Times New Roman"/>
          <w:color w:val="000000"/>
          <w:kern w:val="0"/>
          <w14:ligatures w14:val="none"/>
        </w:rPr>
        <w:t xml:space="preserve"> the same </w:t>
      </w:r>
      <w:bookmarkStart w:id="1" w:name="_Int_wyQvqqUe"/>
      <w:r w:rsidR="00F27FFC" w:rsidRPr="00F27FFC">
        <w:rPr>
          <w:rFonts w:ascii="Times New Roman" w:eastAsia="Times New Roman" w:hAnsi="Times New Roman" w:cs="Times New Roman"/>
          <w:color w:val="000000"/>
          <w:kern w:val="0"/>
          <w14:ligatures w14:val="none"/>
        </w:rPr>
        <w:t>pollinator</w:t>
      </w:r>
      <w:bookmarkEnd w:id="1"/>
      <w:r w:rsidR="00F27FFC" w:rsidRPr="00F27FFC">
        <w:rPr>
          <w:rFonts w:ascii="Times New Roman" w:eastAsia="Times New Roman" w:hAnsi="Times New Roman" w:cs="Times New Roman"/>
          <w:color w:val="000000"/>
          <w:kern w:val="0"/>
          <w14:ligatures w14:val="none"/>
        </w:rPr>
        <w:t xml:space="preserve"> </w:t>
      </w:r>
      <w:r w:rsidR="005E385B">
        <w:rPr>
          <w:rFonts w:ascii="Times New Roman" w:eastAsia="Times New Roman" w:hAnsi="Times New Roman" w:cs="Times New Roman"/>
          <w:color w:val="000000"/>
          <w:kern w:val="0"/>
          <w14:ligatures w14:val="none"/>
        </w:rPr>
        <w:t xml:space="preserve">example, students might collect field data, </w:t>
      </w:r>
      <w:r w:rsidR="00000265">
        <w:rPr>
          <w:rFonts w:ascii="Times New Roman" w:eastAsia="Times New Roman" w:hAnsi="Times New Roman" w:cs="Times New Roman"/>
          <w:color w:val="000000"/>
          <w:kern w:val="0"/>
          <w14:ligatures w14:val="none"/>
        </w:rPr>
        <w:t>apply</w:t>
      </w:r>
      <w:r w:rsidR="005E385B">
        <w:rPr>
          <w:rFonts w:ascii="Times New Roman" w:eastAsia="Times New Roman" w:hAnsi="Times New Roman" w:cs="Times New Roman"/>
          <w:color w:val="000000"/>
          <w:kern w:val="0"/>
          <w14:ligatures w14:val="none"/>
        </w:rPr>
        <w:t xml:space="preserve"> math to interpret statistics, and analyze policy in </w:t>
      </w:r>
      <w:r w:rsidR="00000265">
        <w:rPr>
          <w:rFonts w:ascii="Times New Roman" w:eastAsia="Times New Roman" w:hAnsi="Times New Roman" w:cs="Times New Roman"/>
          <w:color w:val="000000"/>
          <w:kern w:val="0"/>
          <w14:ligatures w14:val="none"/>
        </w:rPr>
        <w:t>a singl</w:t>
      </w:r>
      <w:r w:rsidR="005E385B" w:rsidRPr="0E321D46">
        <w:rPr>
          <w:rFonts w:ascii="Times New Roman" w:eastAsia="Times New Roman" w:hAnsi="Times New Roman" w:cs="Times New Roman"/>
          <w:color w:val="000000" w:themeColor="text1"/>
        </w:rPr>
        <w:t xml:space="preserve">e collaborative project. </w:t>
      </w:r>
    </w:p>
    <w:p w14:paraId="77C4E16B" w14:textId="0A76DD73" w:rsidR="00F27FFC" w:rsidRPr="00F27FFC" w:rsidRDefault="00F27FFC" w:rsidP="009E168A">
      <w:pPr>
        <w:spacing w:line="240" w:lineRule="auto"/>
        <w:ind w:firstLine="720"/>
        <w:rPr>
          <w:rFonts w:ascii="Times New Roman" w:eastAsia="Times New Roman" w:hAnsi="Times New Roman" w:cs="Times New Roman"/>
          <w:color w:val="000000"/>
          <w:kern w:val="0"/>
          <w14:ligatures w14:val="none"/>
        </w:rPr>
      </w:pPr>
      <w:r w:rsidRPr="00F27FFC">
        <w:rPr>
          <w:rFonts w:ascii="Times New Roman" w:eastAsia="Times New Roman" w:hAnsi="Times New Roman" w:cs="Times New Roman"/>
          <w:color w:val="000000"/>
          <w:kern w:val="0"/>
          <w14:ligatures w14:val="none"/>
        </w:rPr>
        <w:t xml:space="preserve">Scherer et al. (2019), through a systematic review of “STEM” in AFNR education, recommended a more collaborative and interdisciplinary approach by clarifying what STEM means in applied, real-world contexts rather than treating it as a generic buzzword. Despite national calls for STEM alignment, there remains limited research on how SBAE teachers </w:t>
      </w:r>
      <w:r w:rsidRPr="00F27FFC">
        <w:rPr>
          <w:rFonts w:ascii="Times New Roman" w:eastAsia="Times New Roman" w:hAnsi="Times New Roman" w:cs="Times New Roman"/>
          <w:color w:val="000000"/>
          <w:kern w:val="0"/>
          <w14:ligatures w14:val="none"/>
        </w:rPr>
        <w:lastRenderedPageBreak/>
        <w:t>interpret and implement scientific content in practice. As a result, the field lacks a clear understanding of the instructional strategies, content depth, and contextual factors that shape science integration in SBAE classrooms.</w:t>
      </w:r>
    </w:p>
    <w:p w14:paraId="5708B058" w14:textId="5549840F" w:rsidR="00F27FFC" w:rsidRPr="00F27FFC" w:rsidRDefault="00F27FFC" w:rsidP="009E168A">
      <w:pPr>
        <w:spacing w:line="240" w:lineRule="auto"/>
        <w:jc w:val="center"/>
        <w:rPr>
          <w:rFonts w:ascii="Times New Roman" w:eastAsia="Times New Roman" w:hAnsi="Times New Roman" w:cs="Times New Roman"/>
          <w:b/>
          <w:bCs/>
          <w:kern w:val="0"/>
          <w14:ligatures w14:val="none"/>
        </w:rPr>
      </w:pPr>
      <w:r w:rsidRPr="00F27FFC">
        <w:rPr>
          <w:rFonts w:ascii="Times New Roman" w:eastAsia="Times New Roman" w:hAnsi="Times New Roman" w:cs="Times New Roman"/>
          <w:b/>
          <w:bCs/>
          <w:kern w:val="0"/>
          <w14:ligatures w14:val="none"/>
        </w:rPr>
        <w:t xml:space="preserve">Theoretical Framework </w:t>
      </w:r>
    </w:p>
    <w:p w14:paraId="6D1DB9ED" w14:textId="6895FA2F" w:rsidR="00F27FFC" w:rsidRPr="00F27FFC" w:rsidRDefault="00F27FFC" w:rsidP="00207BC0">
      <w:pPr>
        <w:spacing w:line="240" w:lineRule="auto"/>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ab/>
        <w:t xml:space="preserve">This study </w:t>
      </w:r>
      <w:r w:rsidR="00E72986">
        <w:rPr>
          <w:rFonts w:ascii="Times New Roman" w:eastAsia="Times New Roman" w:hAnsi="Times New Roman" w:cs="Times New Roman"/>
          <w:kern w:val="0"/>
          <w14:ligatures w14:val="none"/>
        </w:rPr>
        <w:t>was</w:t>
      </w:r>
      <w:r w:rsidRPr="00F27FFC">
        <w:rPr>
          <w:rFonts w:ascii="Times New Roman" w:eastAsia="Times New Roman" w:hAnsi="Times New Roman" w:cs="Times New Roman"/>
          <w:kern w:val="0"/>
          <w14:ligatures w14:val="none"/>
        </w:rPr>
        <w:t xml:space="preserve"> grounded in Dunkin and Biddle’s (1974) Model of Teaching and Learning</w:t>
      </w:r>
      <w:r w:rsidR="003936CD">
        <w:rPr>
          <w:rFonts w:ascii="Times New Roman" w:eastAsia="Times New Roman" w:hAnsi="Times New Roman" w:cs="Times New Roman"/>
          <w:kern w:val="0"/>
          <w14:ligatures w14:val="none"/>
        </w:rPr>
        <w:t xml:space="preserve">. </w:t>
      </w:r>
      <w:r w:rsidRPr="00F27FFC">
        <w:rPr>
          <w:rFonts w:ascii="Times New Roman" w:eastAsia="Times New Roman" w:hAnsi="Times New Roman" w:cs="Times New Roman"/>
          <w:kern w:val="0"/>
          <w14:ligatures w14:val="none"/>
        </w:rPr>
        <w:t>This model provide</w:t>
      </w:r>
      <w:r w:rsidR="00E72986">
        <w:rPr>
          <w:rFonts w:ascii="Times New Roman" w:eastAsia="Times New Roman" w:hAnsi="Times New Roman" w:cs="Times New Roman"/>
          <w:kern w:val="0"/>
          <w14:ligatures w14:val="none"/>
        </w:rPr>
        <w:t>d</w:t>
      </w:r>
      <w:r w:rsidRPr="00F27FFC">
        <w:rPr>
          <w:rFonts w:ascii="Times New Roman" w:eastAsia="Times New Roman" w:hAnsi="Times New Roman" w:cs="Times New Roman"/>
          <w:kern w:val="0"/>
          <w14:ligatures w14:val="none"/>
        </w:rPr>
        <w:t xml:space="preserve"> a comprehensive framework for understanding the complex effect</w:t>
      </w:r>
      <w:r w:rsidR="0063422A">
        <w:rPr>
          <w:rFonts w:ascii="Times New Roman" w:eastAsia="Times New Roman" w:hAnsi="Times New Roman" w:cs="Times New Roman"/>
          <w:kern w:val="0"/>
          <w14:ligatures w14:val="none"/>
        </w:rPr>
        <w:t>s</w:t>
      </w:r>
      <w:r w:rsidRPr="00F27FFC">
        <w:rPr>
          <w:rFonts w:ascii="Times New Roman" w:eastAsia="Times New Roman" w:hAnsi="Times New Roman" w:cs="Times New Roman"/>
          <w:kern w:val="0"/>
          <w14:ligatures w14:val="none"/>
        </w:rPr>
        <w:t xml:space="preserve"> of variables that influence classroom instruction and student outcomes by identifying four types of variables representing </w:t>
      </w:r>
      <w:r w:rsidR="0063422A">
        <w:rPr>
          <w:rFonts w:ascii="Times New Roman" w:eastAsia="Times New Roman" w:hAnsi="Times New Roman" w:cs="Times New Roman"/>
          <w:kern w:val="0"/>
          <w14:ligatures w14:val="none"/>
        </w:rPr>
        <w:t>components</w:t>
      </w:r>
      <w:r w:rsidRPr="00F27FFC">
        <w:rPr>
          <w:rFonts w:ascii="Times New Roman" w:eastAsia="Times New Roman" w:hAnsi="Times New Roman" w:cs="Times New Roman"/>
          <w:kern w:val="0"/>
          <w14:ligatures w14:val="none"/>
        </w:rPr>
        <w:t xml:space="preserve"> of the teaching and learning environment: presage, context, process, and product variables. This study was part of a larger research project </w:t>
      </w:r>
      <w:r w:rsidR="00B44A05">
        <w:rPr>
          <w:rFonts w:ascii="Times New Roman" w:eastAsia="Times New Roman" w:hAnsi="Times New Roman" w:cs="Times New Roman"/>
          <w:kern w:val="0"/>
          <w14:ligatures w14:val="none"/>
        </w:rPr>
        <w:t>that investigated</w:t>
      </w:r>
      <w:r w:rsidRPr="00F27FFC">
        <w:rPr>
          <w:rFonts w:ascii="Times New Roman" w:eastAsia="Times New Roman" w:hAnsi="Times New Roman" w:cs="Times New Roman"/>
          <w:kern w:val="0"/>
          <w14:ligatures w14:val="none"/>
        </w:rPr>
        <w:t xml:space="preserve"> the full scope of this model </w:t>
      </w:r>
      <w:r w:rsidR="00B44A05">
        <w:rPr>
          <w:rFonts w:ascii="Times New Roman" w:eastAsia="Times New Roman" w:hAnsi="Times New Roman" w:cs="Times New Roman"/>
          <w:kern w:val="0"/>
          <w14:ligatures w14:val="none"/>
        </w:rPr>
        <w:t>in relation</w:t>
      </w:r>
      <w:r w:rsidRPr="00F27FFC">
        <w:rPr>
          <w:rFonts w:ascii="Times New Roman" w:eastAsia="Times New Roman" w:hAnsi="Times New Roman" w:cs="Times New Roman"/>
          <w:kern w:val="0"/>
          <w14:ligatures w14:val="none"/>
        </w:rPr>
        <w:t xml:space="preserve"> to curricular impacts on the teaching and learning environment when integrating science into SBAE classrooms. The study focuse</w:t>
      </w:r>
      <w:r w:rsidR="00E72986">
        <w:rPr>
          <w:rFonts w:ascii="Times New Roman" w:eastAsia="Times New Roman" w:hAnsi="Times New Roman" w:cs="Times New Roman"/>
          <w:kern w:val="0"/>
          <w14:ligatures w14:val="none"/>
        </w:rPr>
        <w:t xml:space="preserve">d </w:t>
      </w:r>
      <w:r w:rsidRPr="00F27FFC">
        <w:rPr>
          <w:rFonts w:ascii="Times New Roman" w:eastAsia="Times New Roman" w:hAnsi="Times New Roman" w:cs="Times New Roman"/>
          <w:kern w:val="0"/>
          <w14:ligatures w14:val="none"/>
        </w:rPr>
        <w:t>specifically on the presage and context variables to better comprehend the foundations that shape how SBAE teachers integrate science into their classrooms. Presage variables refer to the characteristics that teachers bring to the classroom prior to instruction. In this study, key presage variables include</w:t>
      </w:r>
      <w:r w:rsidR="00FD50A9">
        <w:rPr>
          <w:rFonts w:ascii="Times New Roman" w:eastAsia="Times New Roman" w:hAnsi="Times New Roman" w:cs="Times New Roman"/>
          <w:kern w:val="0"/>
          <w14:ligatures w14:val="none"/>
        </w:rPr>
        <w:t>d</w:t>
      </w:r>
      <w:r w:rsidRPr="00F27FFC">
        <w:rPr>
          <w:rFonts w:ascii="Times New Roman" w:eastAsia="Times New Roman" w:hAnsi="Times New Roman" w:cs="Times New Roman"/>
          <w:kern w:val="0"/>
          <w14:ligatures w14:val="none"/>
        </w:rPr>
        <w:t xml:space="preserve"> teachers’ preparation, certification pathways, professional development experiences, science content knowledge, and perceptions of science integration in SBAE. These factors influence</w:t>
      </w:r>
      <w:r w:rsidR="00FD50A9">
        <w:rPr>
          <w:rFonts w:ascii="Times New Roman" w:eastAsia="Times New Roman" w:hAnsi="Times New Roman" w:cs="Times New Roman"/>
          <w:kern w:val="0"/>
          <w14:ligatures w14:val="none"/>
        </w:rPr>
        <w:t>d</w:t>
      </w:r>
      <w:r w:rsidRPr="00F27FFC">
        <w:rPr>
          <w:rFonts w:ascii="Times New Roman" w:eastAsia="Times New Roman" w:hAnsi="Times New Roman" w:cs="Times New Roman"/>
          <w:kern w:val="0"/>
          <w14:ligatures w14:val="none"/>
        </w:rPr>
        <w:t xml:space="preserve"> instructional decision-making in teachers’ ability to effectively </w:t>
      </w:r>
      <w:r w:rsidR="0063422A">
        <w:rPr>
          <w:rFonts w:ascii="Times New Roman" w:eastAsia="Times New Roman" w:hAnsi="Times New Roman" w:cs="Times New Roman"/>
          <w:kern w:val="0"/>
          <w14:ligatures w14:val="none"/>
        </w:rPr>
        <w:t>highlight</w:t>
      </w:r>
      <w:r w:rsidR="0063422A" w:rsidRPr="00F27FFC">
        <w:rPr>
          <w:rFonts w:ascii="Times New Roman" w:eastAsia="Times New Roman" w:hAnsi="Times New Roman" w:cs="Times New Roman"/>
          <w:kern w:val="0"/>
          <w14:ligatures w14:val="none"/>
        </w:rPr>
        <w:t xml:space="preserve"> </w:t>
      </w:r>
      <w:r w:rsidRPr="00F27FFC">
        <w:rPr>
          <w:rFonts w:ascii="Times New Roman" w:eastAsia="Times New Roman" w:hAnsi="Times New Roman" w:cs="Times New Roman"/>
          <w:kern w:val="0"/>
          <w14:ligatures w14:val="none"/>
        </w:rPr>
        <w:t xml:space="preserve">science content within agricultural concepts. </w:t>
      </w:r>
      <w:r w:rsidR="007A5609">
        <w:rPr>
          <w:rFonts w:ascii="Times New Roman" w:eastAsia="Times New Roman" w:hAnsi="Times New Roman" w:cs="Times New Roman"/>
          <w:kern w:val="0"/>
          <w14:ligatures w14:val="none"/>
        </w:rPr>
        <w:t>Swafford (2018) concluded that t</w:t>
      </w:r>
      <w:r w:rsidRPr="00F27FFC">
        <w:rPr>
          <w:rFonts w:ascii="Times New Roman" w:eastAsia="Times New Roman" w:hAnsi="Times New Roman" w:cs="Times New Roman"/>
          <w:kern w:val="0"/>
          <w14:ligatures w14:val="none"/>
        </w:rPr>
        <w:t>eachers who receive</w:t>
      </w:r>
      <w:r w:rsidR="00207BC0">
        <w:rPr>
          <w:rFonts w:ascii="Times New Roman" w:eastAsia="Times New Roman" w:hAnsi="Times New Roman" w:cs="Times New Roman"/>
          <w:kern w:val="0"/>
          <w14:ligatures w14:val="none"/>
        </w:rPr>
        <w:t>d</w:t>
      </w:r>
      <w:r w:rsidRPr="00F27FFC">
        <w:rPr>
          <w:rFonts w:ascii="Times New Roman" w:eastAsia="Times New Roman" w:hAnsi="Times New Roman" w:cs="Times New Roman"/>
          <w:kern w:val="0"/>
          <w14:ligatures w14:val="none"/>
        </w:rPr>
        <w:t xml:space="preserve"> targeted preparation in scientific inquiry </w:t>
      </w:r>
      <w:r w:rsidR="00093715">
        <w:rPr>
          <w:rFonts w:ascii="Times New Roman" w:eastAsia="Times New Roman" w:hAnsi="Times New Roman" w:cs="Times New Roman"/>
          <w:kern w:val="0"/>
          <w14:ligatures w14:val="none"/>
        </w:rPr>
        <w:t xml:space="preserve">demonstrated </w:t>
      </w:r>
      <w:r w:rsidR="00093715" w:rsidRPr="00F27FFC">
        <w:rPr>
          <w:rFonts w:ascii="Times New Roman" w:eastAsia="Times New Roman" w:hAnsi="Times New Roman" w:cs="Times New Roman"/>
          <w:kern w:val="0"/>
          <w14:ligatures w14:val="none"/>
        </w:rPr>
        <w:t>greater</w:t>
      </w:r>
      <w:r w:rsidRPr="00F27FFC">
        <w:rPr>
          <w:rFonts w:ascii="Times New Roman" w:eastAsia="Times New Roman" w:hAnsi="Times New Roman" w:cs="Times New Roman"/>
          <w:kern w:val="0"/>
          <w14:ligatures w14:val="none"/>
        </w:rPr>
        <w:t xml:space="preserve"> confidence and competence when embedding science within SBAE instruction</w:t>
      </w:r>
      <w:r w:rsidR="007A5609">
        <w:rPr>
          <w:rFonts w:ascii="Times New Roman" w:eastAsia="Times New Roman" w:hAnsi="Times New Roman" w:cs="Times New Roman"/>
          <w:kern w:val="0"/>
          <w14:ligatures w14:val="none"/>
        </w:rPr>
        <w:t xml:space="preserve">. </w:t>
      </w:r>
    </w:p>
    <w:p w14:paraId="4F398A66" w14:textId="4AFA0F80" w:rsidR="00F27FFC" w:rsidRPr="00F27FFC" w:rsidRDefault="00F27FFC" w:rsidP="009E168A">
      <w:pPr>
        <w:spacing w:line="240" w:lineRule="auto"/>
        <w:ind w:firstLine="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Context variables represent the external conditions that shape the teaching environment</w:t>
      </w:r>
      <w:r w:rsidR="003D4C5D">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w:t>
      </w:r>
      <w:r w:rsidR="003D4C5D">
        <w:rPr>
          <w:rFonts w:ascii="Times New Roman" w:eastAsia="Times New Roman" w:hAnsi="Times New Roman" w:cs="Times New Roman"/>
          <w:kern w:val="0"/>
          <w14:ligatures w14:val="none"/>
        </w:rPr>
        <w:t>which</w:t>
      </w:r>
      <w:r w:rsidRPr="00F27FFC">
        <w:rPr>
          <w:rFonts w:ascii="Times New Roman" w:eastAsia="Times New Roman" w:hAnsi="Times New Roman" w:cs="Times New Roman"/>
          <w:kern w:val="0"/>
          <w14:ligatures w14:val="none"/>
        </w:rPr>
        <w:t xml:space="preserve"> influence both instructional practices and student engagement. In this study, context variables include</w:t>
      </w:r>
      <w:r w:rsidR="00FD50A9">
        <w:rPr>
          <w:rFonts w:ascii="Times New Roman" w:eastAsia="Times New Roman" w:hAnsi="Times New Roman" w:cs="Times New Roman"/>
          <w:kern w:val="0"/>
          <w14:ligatures w14:val="none"/>
        </w:rPr>
        <w:t>d</w:t>
      </w:r>
      <w:r w:rsidRPr="00F27FFC">
        <w:rPr>
          <w:rFonts w:ascii="Times New Roman" w:eastAsia="Times New Roman" w:hAnsi="Times New Roman" w:cs="Times New Roman"/>
          <w:kern w:val="0"/>
          <w14:ligatures w14:val="none"/>
        </w:rPr>
        <w:t xml:space="preserve"> student perceptions of agriculture and science education, socioeconomic status, career goals, community norms, and school or district support. These elements provide</w:t>
      </w:r>
      <w:r w:rsidR="00FD50A9">
        <w:rPr>
          <w:rFonts w:ascii="Times New Roman" w:eastAsia="Times New Roman" w:hAnsi="Times New Roman" w:cs="Times New Roman"/>
          <w:kern w:val="0"/>
          <w14:ligatures w14:val="none"/>
        </w:rPr>
        <w:t>d</w:t>
      </w:r>
      <w:r w:rsidRPr="00F27FFC">
        <w:rPr>
          <w:rFonts w:ascii="Times New Roman" w:eastAsia="Times New Roman" w:hAnsi="Times New Roman" w:cs="Times New Roman"/>
          <w:kern w:val="0"/>
          <w14:ligatures w14:val="none"/>
        </w:rPr>
        <w:t xml:space="preserve"> important background information that informs how and why science integration may differ across SBAE programs. For example, a student’s interest in science careers or the level of support provided by the school district for STEM-related initiatives may affect a teacher’s ability to prioritize integrated science instruction. Community norms also shape expectations for SBAE programs</w:t>
      </w:r>
      <w:r w:rsidR="004D2B88">
        <w:rPr>
          <w:rFonts w:ascii="Times New Roman" w:eastAsia="Times New Roman" w:hAnsi="Times New Roman" w:cs="Times New Roman"/>
          <w:kern w:val="0"/>
          <w14:ligatures w14:val="none"/>
        </w:rPr>
        <w:t>; for example</w:t>
      </w:r>
      <w:r w:rsidRPr="00F27FFC">
        <w:rPr>
          <w:rFonts w:ascii="Times New Roman" w:eastAsia="Times New Roman" w:hAnsi="Times New Roman" w:cs="Times New Roman"/>
          <w:kern w:val="0"/>
          <w14:ligatures w14:val="none"/>
        </w:rPr>
        <w:t>, agriculture is often viewed through a production-oriented lens, whereas suburban or urban programs may emphasize STEM-focused applications (Zachery et al., 2025). By focusing on these two types of variables, this study aim</w:t>
      </w:r>
      <w:r w:rsidR="003E5BF5">
        <w:rPr>
          <w:rFonts w:ascii="Times New Roman" w:eastAsia="Times New Roman" w:hAnsi="Times New Roman" w:cs="Times New Roman"/>
          <w:kern w:val="0"/>
          <w14:ligatures w14:val="none"/>
        </w:rPr>
        <w:t>ed</w:t>
      </w:r>
      <w:r w:rsidRPr="00F27FFC">
        <w:rPr>
          <w:rFonts w:ascii="Times New Roman" w:eastAsia="Times New Roman" w:hAnsi="Times New Roman" w:cs="Times New Roman"/>
          <w:kern w:val="0"/>
          <w14:ligatures w14:val="none"/>
        </w:rPr>
        <w:t xml:space="preserve"> to better understand the teacher- and environment-related factors that set the stage for science integration in SBAE. </w:t>
      </w:r>
    </w:p>
    <w:p w14:paraId="6D7F47F7" w14:textId="77777777" w:rsidR="00F27FFC" w:rsidRPr="00F27FFC" w:rsidRDefault="00F27FFC" w:rsidP="6FDD329B">
      <w:pPr>
        <w:spacing w:after="240" w:line="240" w:lineRule="auto"/>
        <w:jc w:val="center"/>
        <w:rPr>
          <w:rFonts w:ascii="Times New Roman" w:eastAsia="Times New Roman" w:hAnsi="Times New Roman" w:cs="Times New Roman"/>
          <w:b/>
          <w:bCs/>
          <w:kern w:val="0"/>
          <w14:ligatures w14:val="none"/>
        </w:rPr>
      </w:pPr>
      <w:r w:rsidRPr="00F27FFC">
        <w:rPr>
          <w:rFonts w:ascii="Times New Roman" w:eastAsia="Times New Roman" w:hAnsi="Times New Roman" w:cs="Times New Roman"/>
          <w:b/>
          <w:bCs/>
          <w:kern w:val="0"/>
          <w14:ligatures w14:val="none"/>
        </w:rPr>
        <w:t>Purpose and Research Questions</w:t>
      </w:r>
    </w:p>
    <w:p w14:paraId="46F8B190" w14:textId="63279509" w:rsidR="00F27FFC" w:rsidRPr="00F27FFC" w:rsidRDefault="00F27FFC" w:rsidP="6FDD329B">
      <w:pPr>
        <w:spacing w:after="240" w:line="240" w:lineRule="auto"/>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ab/>
        <w:t xml:space="preserve">The purpose of this study </w:t>
      </w:r>
      <w:r w:rsidR="00D52464">
        <w:rPr>
          <w:rFonts w:ascii="Times New Roman" w:eastAsia="Times New Roman" w:hAnsi="Times New Roman" w:cs="Times New Roman"/>
          <w:kern w:val="0"/>
          <w14:ligatures w14:val="none"/>
        </w:rPr>
        <w:t>was</w:t>
      </w:r>
      <w:r w:rsidRPr="00F27FFC">
        <w:rPr>
          <w:rFonts w:ascii="Times New Roman" w:eastAsia="Times New Roman" w:hAnsi="Times New Roman" w:cs="Times New Roman"/>
          <w:kern w:val="0"/>
          <w14:ligatures w14:val="none"/>
        </w:rPr>
        <w:t xml:space="preserve"> to explore how secondary SBAE educators </w:t>
      </w:r>
      <w:r w:rsidR="00CB3374">
        <w:rPr>
          <w:rFonts w:ascii="Times New Roman" w:eastAsia="Times New Roman" w:hAnsi="Times New Roman" w:cs="Times New Roman"/>
          <w:kern w:val="0"/>
          <w14:ligatures w14:val="none"/>
        </w:rPr>
        <w:t>incorporate</w:t>
      </w:r>
      <w:r w:rsidRPr="00F27FFC">
        <w:rPr>
          <w:rFonts w:ascii="Times New Roman" w:eastAsia="Times New Roman" w:hAnsi="Times New Roman" w:cs="Times New Roman"/>
          <w:kern w:val="0"/>
          <w14:ligatures w14:val="none"/>
        </w:rPr>
        <w:t xml:space="preserve"> scientific concepts into their classrooms, examining </w:t>
      </w:r>
      <w:r w:rsidR="00CB3374">
        <w:rPr>
          <w:rFonts w:ascii="Times New Roman" w:eastAsia="Times New Roman" w:hAnsi="Times New Roman" w:cs="Times New Roman"/>
          <w:kern w:val="0"/>
          <w14:ligatures w14:val="none"/>
        </w:rPr>
        <w:t xml:space="preserve">their </w:t>
      </w:r>
      <w:r w:rsidRPr="00F27FFC">
        <w:rPr>
          <w:rFonts w:ascii="Times New Roman" w:eastAsia="Times New Roman" w:hAnsi="Times New Roman" w:cs="Times New Roman"/>
          <w:kern w:val="0"/>
          <w14:ligatures w14:val="none"/>
        </w:rPr>
        <w:t xml:space="preserve">philosophical approaches, pedagogical strategies, instructional practices, and language used to convey science-related content in the context of agriculture. The research questions for this study </w:t>
      </w:r>
      <w:r w:rsidR="00D52464">
        <w:rPr>
          <w:rFonts w:ascii="Times New Roman" w:eastAsia="Times New Roman" w:hAnsi="Times New Roman" w:cs="Times New Roman"/>
          <w:kern w:val="0"/>
          <w14:ligatures w14:val="none"/>
        </w:rPr>
        <w:t>included</w:t>
      </w:r>
      <w:r w:rsidRPr="00F27FFC">
        <w:rPr>
          <w:rFonts w:ascii="Times New Roman" w:eastAsia="Times New Roman" w:hAnsi="Times New Roman" w:cs="Times New Roman"/>
          <w:kern w:val="0"/>
          <w14:ligatures w14:val="none"/>
        </w:rPr>
        <w:t xml:space="preserve">: </w:t>
      </w:r>
    </w:p>
    <w:p w14:paraId="4DC0AB44" w14:textId="77777777" w:rsidR="00F27FFC" w:rsidRPr="00F27FFC" w:rsidRDefault="00F27FFC" w:rsidP="6FDD329B">
      <w:pPr>
        <w:numPr>
          <w:ilvl w:val="0"/>
          <w:numId w:val="1"/>
        </w:numPr>
        <w:spacing w:after="240" w:line="240" w:lineRule="auto"/>
        <w:contextualSpacing/>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How do agriculture teachers incorporate scientific concepts into instruction?</w:t>
      </w:r>
    </w:p>
    <w:p w14:paraId="73773441" w14:textId="77777777" w:rsidR="00F27FFC" w:rsidRPr="00F27FFC" w:rsidRDefault="00F27FFC" w:rsidP="6FDD329B">
      <w:pPr>
        <w:numPr>
          <w:ilvl w:val="0"/>
          <w:numId w:val="1"/>
        </w:numPr>
        <w:spacing w:after="240" w:line="240" w:lineRule="auto"/>
        <w:contextualSpacing/>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What levels of scientific content are agriculture teachers integrating?</w:t>
      </w:r>
    </w:p>
    <w:p w14:paraId="3F1C98AD" w14:textId="77777777" w:rsidR="00F27FFC" w:rsidRPr="00F27FFC" w:rsidRDefault="00F27FFC" w:rsidP="6FDD329B">
      <w:pPr>
        <w:numPr>
          <w:ilvl w:val="0"/>
          <w:numId w:val="1"/>
        </w:numPr>
        <w:spacing w:after="240" w:line="240" w:lineRule="auto"/>
        <w:contextualSpacing/>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What presage and contextual variables influence how agriculture teachers integrate science? </w:t>
      </w:r>
    </w:p>
    <w:p w14:paraId="4719F073" w14:textId="77777777" w:rsidR="00F27FFC" w:rsidRPr="00F27FFC" w:rsidRDefault="00F27FFC" w:rsidP="6FDD329B">
      <w:pPr>
        <w:spacing w:after="240" w:line="240" w:lineRule="auto"/>
        <w:jc w:val="center"/>
        <w:rPr>
          <w:rFonts w:ascii="Times New Roman" w:eastAsia="Times New Roman" w:hAnsi="Times New Roman" w:cs="Times New Roman"/>
          <w:b/>
          <w:bCs/>
          <w:kern w:val="0"/>
          <w14:ligatures w14:val="none"/>
        </w:rPr>
      </w:pPr>
      <w:r w:rsidRPr="00F27FFC">
        <w:rPr>
          <w:rFonts w:ascii="Times New Roman" w:eastAsia="Times New Roman" w:hAnsi="Times New Roman" w:cs="Times New Roman"/>
          <w:b/>
          <w:bCs/>
          <w:kern w:val="0"/>
          <w14:ligatures w14:val="none"/>
        </w:rPr>
        <w:t>Methods</w:t>
      </w:r>
    </w:p>
    <w:p w14:paraId="41152E83" w14:textId="34AE53E7" w:rsidR="00F27FFC" w:rsidRPr="00F27FFC" w:rsidRDefault="00F27FFC" w:rsidP="00B27F57">
      <w:pPr>
        <w:spacing w:after="240" w:line="240" w:lineRule="auto"/>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lastRenderedPageBreak/>
        <w:tab/>
      </w:r>
      <w:r w:rsidR="00B27F57">
        <w:rPr>
          <w:rFonts w:ascii="Times New Roman" w:eastAsia="Times New Roman" w:hAnsi="Times New Roman" w:cs="Times New Roman"/>
          <w:kern w:val="0"/>
          <w14:ligatures w14:val="none"/>
        </w:rPr>
        <w:t>A qualitative</w:t>
      </w:r>
      <w:r w:rsidR="00CB3374">
        <w:rPr>
          <w:rFonts w:ascii="Times New Roman" w:eastAsia="Times New Roman" w:hAnsi="Times New Roman" w:cs="Times New Roman"/>
          <w:kern w:val="0"/>
          <w14:ligatures w14:val="none"/>
        </w:rPr>
        <w:t>,</w:t>
      </w:r>
      <w:r w:rsidR="00B27F57">
        <w:rPr>
          <w:rFonts w:ascii="Times New Roman" w:eastAsia="Times New Roman" w:hAnsi="Times New Roman" w:cs="Times New Roman"/>
          <w:kern w:val="0"/>
          <w14:ligatures w14:val="none"/>
        </w:rPr>
        <w:t xml:space="preserve"> multi-case study design was </w:t>
      </w:r>
      <w:r w:rsidR="00CB3374">
        <w:rPr>
          <w:rFonts w:ascii="Times New Roman" w:eastAsia="Times New Roman" w:hAnsi="Times New Roman" w:cs="Times New Roman"/>
          <w:kern w:val="0"/>
          <w14:ligatures w14:val="none"/>
        </w:rPr>
        <w:t>employ</w:t>
      </w:r>
      <w:r w:rsidR="00B27F57">
        <w:rPr>
          <w:rFonts w:ascii="Times New Roman" w:eastAsia="Times New Roman" w:hAnsi="Times New Roman" w:cs="Times New Roman"/>
          <w:kern w:val="0"/>
          <w14:ligatures w14:val="none"/>
        </w:rPr>
        <w:t xml:space="preserve">ed (Yin, 2014), guided by </w:t>
      </w:r>
      <w:r w:rsidR="00CB3374">
        <w:rPr>
          <w:rFonts w:ascii="Times New Roman" w:eastAsia="Times New Roman" w:hAnsi="Times New Roman" w:cs="Times New Roman"/>
          <w:kern w:val="0"/>
          <w14:ligatures w14:val="none"/>
        </w:rPr>
        <w:t xml:space="preserve">a </w:t>
      </w:r>
      <w:r w:rsidR="00B27F57">
        <w:rPr>
          <w:rFonts w:ascii="Times New Roman" w:eastAsia="Times New Roman" w:hAnsi="Times New Roman" w:cs="Times New Roman"/>
          <w:kern w:val="0"/>
          <w14:ligatures w14:val="none"/>
        </w:rPr>
        <w:t>pragmatic perspective (Crotty, 2012)</w:t>
      </w:r>
      <w:r w:rsidR="00CD34DB">
        <w:rPr>
          <w:rFonts w:ascii="Times New Roman" w:eastAsia="Times New Roman" w:hAnsi="Times New Roman" w:cs="Times New Roman"/>
          <w:kern w:val="0"/>
          <w14:ligatures w14:val="none"/>
        </w:rPr>
        <w:t xml:space="preserve">, where each participant </w:t>
      </w:r>
      <w:r w:rsidR="00CB3374">
        <w:rPr>
          <w:rFonts w:ascii="Times New Roman" w:eastAsia="Times New Roman" w:hAnsi="Times New Roman" w:cs="Times New Roman"/>
          <w:kern w:val="0"/>
          <w14:ligatures w14:val="none"/>
        </w:rPr>
        <w:t>serv</w:t>
      </w:r>
      <w:r w:rsidR="00CD34DB">
        <w:rPr>
          <w:rFonts w:ascii="Times New Roman" w:eastAsia="Times New Roman" w:hAnsi="Times New Roman" w:cs="Times New Roman"/>
          <w:kern w:val="0"/>
          <w14:ligatures w14:val="none"/>
        </w:rPr>
        <w:t xml:space="preserve">ed as an individual case. </w:t>
      </w:r>
      <w:r w:rsidRPr="00F27FFC">
        <w:rPr>
          <w:rFonts w:ascii="Times New Roman" w:eastAsia="Times New Roman" w:hAnsi="Times New Roman" w:cs="Times New Roman"/>
          <w:kern w:val="0"/>
          <w14:ligatures w14:val="none"/>
        </w:rPr>
        <w:t xml:space="preserve">Participants included ten secondary SBAE teachers </w:t>
      </w:r>
      <w:r w:rsidR="00FA13FC" w:rsidRPr="00F27FFC">
        <w:rPr>
          <w:rFonts w:ascii="Times New Roman" w:eastAsia="Times New Roman" w:hAnsi="Times New Roman" w:cs="Times New Roman"/>
          <w:kern w:val="0"/>
          <w14:ligatures w14:val="none"/>
        </w:rPr>
        <w:t xml:space="preserve">in </w:t>
      </w:r>
      <w:r w:rsidR="00FA13FC">
        <w:rPr>
          <w:rFonts w:ascii="Times New Roman" w:eastAsia="Times New Roman" w:hAnsi="Times New Roman" w:cs="Times New Roman"/>
          <w:kern w:val="0"/>
          <w14:ligatures w14:val="none"/>
        </w:rPr>
        <w:t xml:space="preserve">Georgia </w:t>
      </w:r>
      <w:r w:rsidRPr="00F27FFC">
        <w:rPr>
          <w:rFonts w:ascii="Times New Roman" w:eastAsia="Times New Roman" w:hAnsi="Times New Roman" w:cs="Times New Roman"/>
          <w:kern w:val="0"/>
          <w14:ligatures w14:val="none"/>
        </w:rPr>
        <w:t>(see Table 1)</w:t>
      </w:r>
      <w:r w:rsidR="00D35629">
        <w:rPr>
          <w:rFonts w:ascii="Times New Roman" w:eastAsia="Times New Roman" w:hAnsi="Times New Roman" w:cs="Times New Roman"/>
          <w:kern w:val="0"/>
          <w14:ligatures w14:val="none"/>
        </w:rPr>
        <w:t xml:space="preserve"> representing</w:t>
      </w:r>
      <w:r w:rsidR="003C096E">
        <w:rPr>
          <w:rFonts w:ascii="Times New Roman" w:eastAsia="Times New Roman" w:hAnsi="Times New Roman" w:cs="Times New Roman"/>
          <w:kern w:val="0"/>
          <w14:ligatures w14:val="none"/>
        </w:rPr>
        <w:t xml:space="preserve"> a </w:t>
      </w:r>
      <w:r w:rsidR="00D35629">
        <w:rPr>
          <w:rFonts w:ascii="Times New Roman" w:eastAsia="Times New Roman" w:hAnsi="Times New Roman" w:cs="Times New Roman"/>
          <w:kern w:val="0"/>
          <w14:ligatures w14:val="none"/>
        </w:rPr>
        <w:t xml:space="preserve">range </w:t>
      </w:r>
      <w:r w:rsidR="003C096E">
        <w:rPr>
          <w:rFonts w:ascii="Times New Roman" w:eastAsia="Times New Roman" w:hAnsi="Times New Roman" w:cs="Times New Roman"/>
          <w:kern w:val="0"/>
          <w14:ligatures w14:val="none"/>
        </w:rPr>
        <w:t xml:space="preserve">of rural and urban program </w:t>
      </w:r>
      <w:r w:rsidR="00D35629">
        <w:rPr>
          <w:rFonts w:ascii="Times New Roman" w:eastAsia="Times New Roman" w:hAnsi="Times New Roman" w:cs="Times New Roman"/>
          <w:kern w:val="0"/>
          <w14:ligatures w14:val="none"/>
        </w:rPr>
        <w:t xml:space="preserve">contexts, which served </w:t>
      </w:r>
      <w:r w:rsidR="000148D5">
        <w:rPr>
          <w:rFonts w:ascii="Times New Roman" w:eastAsia="Times New Roman" w:hAnsi="Times New Roman" w:cs="Times New Roman"/>
          <w:kern w:val="0"/>
          <w14:ligatures w14:val="none"/>
        </w:rPr>
        <w:t>as a context</w:t>
      </w:r>
      <w:r w:rsidR="00D35629">
        <w:rPr>
          <w:rFonts w:ascii="Times New Roman" w:eastAsia="Times New Roman" w:hAnsi="Times New Roman" w:cs="Times New Roman"/>
          <w:kern w:val="0"/>
          <w14:ligatures w14:val="none"/>
        </w:rPr>
        <w:t>ual</w:t>
      </w:r>
      <w:r w:rsidR="000148D5">
        <w:rPr>
          <w:rFonts w:ascii="Times New Roman" w:eastAsia="Times New Roman" w:hAnsi="Times New Roman" w:cs="Times New Roman"/>
          <w:kern w:val="0"/>
          <w14:ligatures w14:val="none"/>
        </w:rPr>
        <w:t xml:space="preserve"> variable </w:t>
      </w:r>
      <w:r w:rsidR="00D35629">
        <w:rPr>
          <w:rFonts w:ascii="Times New Roman" w:eastAsia="Times New Roman" w:hAnsi="Times New Roman" w:cs="Times New Roman"/>
          <w:kern w:val="0"/>
          <w14:ligatures w14:val="none"/>
        </w:rPr>
        <w:t>within</w:t>
      </w:r>
      <w:r w:rsidR="000148D5">
        <w:rPr>
          <w:rFonts w:ascii="Times New Roman" w:eastAsia="Times New Roman" w:hAnsi="Times New Roman" w:cs="Times New Roman"/>
          <w:kern w:val="0"/>
          <w14:ligatures w14:val="none"/>
        </w:rPr>
        <w:t xml:space="preserve"> the theoretical framework.</w:t>
      </w:r>
    </w:p>
    <w:p w14:paraId="64A6346D" w14:textId="77777777" w:rsidR="00F27FFC" w:rsidRPr="00F27FFC" w:rsidRDefault="00F27FFC" w:rsidP="00E11174">
      <w:pPr>
        <w:spacing w:after="0" w:line="240" w:lineRule="auto"/>
        <w:jc w:val="both"/>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b/>
          <w:bCs/>
          <w:kern w:val="0"/>
          <w14:ligatures w14:val="none"/>
        </w:rPr>
        <w:t>Table 1</w:t>
      </w:r>
    </w:p>
    <w:p w14:paraId="57361575" w14:textId="77777777" w:rsidR="00F27FFC" w:rsidRPr="00F27FFC" w:rsidRDefault="00F27FFC" w:rsidP="00E11174">
      <w:pPr>
        <w:spacing w:after="0" w:line="240" w:lineRule="auto"/>
        <w:jc w:val="both"/>
        <w:textAlignment w:val="baseline"/>
        <w:rPr>
          <w:rFonts w:ascii="Times New Roman" w:eastAsia="Times New Roman" w:hAnsi="Times New Roman" w:cs="Times New Roman"/>
          <w:kern w:val="0"/>
          <w14:ligatures w14:val="none"/>
        </w:rPr>
      </w:pPr>
      <w:r w:rsidRPr="6FDD329B">
        <w:rPr>
          <w:rFonts w:ascii="Times New Roman" w:eastAsia="Times New Roman" w:hAnsi="Times New Roman" w:cs="Times New Roman"/>
          <w:b/>
          <w:bCs/>
          <w:i/>
          <w:iCs/>
          <w:kern w:val="0"/>
          <w14:ligatures w14:val="none"/>
        </w:rPr>
        <w:t>Participant Demographics </w:t>
      </w:r>
      <w:r w:rsidRPr="00F27FFC">
        <w:rPr>
          <w:rFonts w:ascii="Times New Roman" w:eastAsia="Times New Roman" w:hAnsi="Times New Roman" w:cs="Times New Roman"/>
          <w:kern w:val="0"/>
          <w14:ligatures w14:val="none"/>
        </w:rPr>
        <w:t> </w:t>
      </w:r>
    </w:p>
    <w:tbl>
      <w:tblPr>
        <w:tblW w:w="950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5"/>
        <w:gridCol w:w="1738"/>
        <w:gridCol w:w="1854"/>
        <w:gridCol w:w="1779"/>
        <w:gridCol w:w="1903"/>
      </w:tblGrid>
      <w:tr w:rsidR="00740D37" w:rsidRPr="00F27FFC" w14:paraId="318DA403" w14:textId="77777777" w:rsidTr="6FDD329B">
        <w:trPr>
          <w:trHeight w:val="300"/>
          <w:tblHeader/>
        </w:trPr>
        <w:tc>
          <w:tcPr>
            <w:tcW w:w="2235" w:type="dxa"/>
            <w:tcBorders>
              <w:top w:val="single" w:sz="6" w:space="0" w:color="000000" w:themeColor="text1"/>
              <w:left w:val="nil"/>
              <w:bottom w:val="nil"/>
              <w:right w:val="nil"/>
            </w:tcBorders>
            <w:hideMark/>
          </w:tcPr>
          <w:p w14:paraId="1C14F685" w14:textId="77777777" w:rsidR="00740D37" w:rsidRPr="00F27FFC" w:rsidRDefault="00740D37"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Pseudonym</w:t>
            </w:r>
          </w:p>
        </w:tc>
        <w:tc>
          <w:tcPr>
            <w:tcW w:w="3592" w:type="dxa"/>
            <w:gridSpan w:val="2"/>
            <w:tcBorders>
              <w:top w:val="single" w:sz="6" w:space="0" w:color="000000" w:themeColor="text1"/>
              <w:left w:val="nil"/>
              <w:bottom w:val="single" w:sz="6" w:space="0" w:color="000000" w:themeColor="text1"/>
              <w:right w:val="nil"/>
            </w:tcBorders>
            <w:hideMark/>
          </w:tcPr>
          <w:p w14:paraId="6B41FE97" w14:textId="77777777" w:rsidR="00740D37" w:rsidRPr="00F27FFC" w:rsidRDefault="00740D37"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Participant Information</w:t>
            </w:r>
          </w:p>
        </w:tc>
        <w:tc>
          <w:tcPr>
            <w:tcW w:w="3682" w:type="dxa"/>
            <w:gridSpan w:val="2"/>
            <w:tcBorders>
              <w:top w:val="single" w:sz="6" w:space="0" w:color="000000" w:themeColor="text1"/>
              <w:left w:val="nil"/>
              <w:bottom w:val="single" w:sz="6" w:space="0" w:color="000000" w:themeColor="text1"/>
              <w:right w:val="nil"/>
            </w:tcBorders>
            <w:hideMark/>
          </w:tcPr>
          <w:p w14:paraId="5DD0E27C" w14:textId="77777777" w:rsidR="00740D37" w:rsidRPr="00F27FFC" w:rsidRDefault="00740D37"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Program Information</w:t>
            </w:r>
          </w:p>
        </w:tc>
      </w:tr>
      <w:tr w:rsidR="00740D37" w:rsidRPr="00F27FFC" w14:paraId="0F24A555" w14:textId="77777777" w:rsidTr="6FDD329B">
        <w:trPr>
          <w:trHeight w:val="300"/>
          <w:tblHeader/>
        </w:trPr>
        <w:tc>
          <w:tcPr>
            <w:tcW w:w="2235" w:type="dxa"/>
            <w:tcBorders>
              <w:top w:val="nil"/>
              <w:left w:val="nil"/>
              <w:bottom w:val="single" w:sz="6" w:space="0" w:color="000000" w:themeColor="text1"/>
              <w:right w:val="nil"/>
            </w:tcBorders>
            <w:hideMark/>
          </w:tcPr>
          <w:p w14:paraId="21D9CF53" w14:textId="77777777" w:rsidR="00740D37" w:rsidRPr="00F27FFC" w:rsidRDefault="00740D37" w:rsidP="6FDD329B">
            <w:pPr>
              <w:spacing w:after="0" w:line="240" w:lineRule="auto"/>
              <w:jc w:val="both"/>
              <w:textAlignment w:val="baseline"/>
              <w:rPr>
                <w:rFonts w:ascii="Times New Roman" w:eastAsia="Times New Roman" w:hAnsi="Times New Roman" w:cs="Times New Roman"/>
                <w:kern w:val="0"/>
                <w14:ligatures w14:val="none"/>
              </w:rPr>
            </w:pPr>
          </w:p>
        </w:tc>
        <w:tc>
          <w:tcPr>
            <w:tcW w:w="1738" w:type="dxa"/>
            <w:tcBorders>
              <w:top w:val="single" w:sz="6" w:space="0" w:color="000000" w:themeColor="text1"/>
              <w:left w:val="nil"/>
              <w:bottom w:val="single" w:sz="6" w:space="0" w:color="000000" w:themeColor="text1"/>
              <w:right w:val="nil"/>
            </w:tcBorders>
            <w:hideMark/>
          </w:tcPr>
          <w:p w14:paraId="3BF35A86" w14:textId="77777777" w:rsidR="00740D37" w:rsidRPr="00F27FFC" w:rsidRDefault="00740D37"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Years Taught</w:t>
            </w:r>
          </w:p>
        </w:tc>
        <w:tc>
          <w:tcPr>
            <w:tcW w:w="1854" w:type="dxa"/>
            <w:tcBorders>
              <w:top w:val="single" w:sz="6" w:space="0" w:color="000000" w:themeColor="text1"/>
              <w:left w:val="nil"/>
              <w:bottom w:val="single" w:sz="6" w:space="0" w:color="000000" w:themeColor="text1"/>
              <w:right w:val="nil"/>
            </w:tcBorders>
            <w:hideMark/>
          </w:tcPr>
          <w:p w14:paraId="01E4A970" w14:textId="77777777" w:rsidR="00740D37" w:rsidRPr="00F27FFC" w:rsidRDefault="00740D37"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Highest Degree</w:t>
            </w:r>
          </w:p>
        </w:tc>
        <w:tc>
          <w:tcPr>
            <w:tcW w:w="1779" w:type="dxa"/>
            <w:tcBorders>
              <w:top w:val="single" w:sz="6" w:space="0" w:color="000000" w:themeColor="text1"/>
              <w:left w:val="nil"/>
              <w:bottom w:val="single" w:sz="6" w:space="0" w:color="000000" w:themeColor="text1"/>
              <w:right w:val="nil"/>
            </w:tcBorders>
            <w:hideMark/>
          </w:tcPr>
          <w:p w14:paraId="3C44F099" w14:textId="77777777" w:rsidR="00740D37" w:rsidRPr="00F27FFC" w:rsidRDefault="00740D37"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Program Type</w:t>
            </w:r>
          </w:p>
        </w:tc>
        <w:tc>
          <w:tcPr>
            <w:tcW w:w="1903" w:type="dxa"/>
            <w:tcBorders>
              <w:top w:val="single" w:sz="6" w:space="0" w:color="000000" w:themeColor="text1"/>
              <w:left w:val="nil"/>
              <w:bottom w:val="single" w:sz="6" w:space="0" w:color="000000" w:themeColor="text1"/>
              <w:right w:val="nil"/>
            </w:tcBorders>
            <w:hideMark/>
          </w:tcPr>
          <w:p w14:paraId="3BCEFF4B" w14:textId="77777777" w:rsidR="00740D37" w:rsidRPr="00F27FFC" w:rsidRDefault="00740D37"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Program Area</w:t>
            </w:r>
          </w:p>
        </w:tc>
      </w:tr>
      <w:tr w:rsidR="00127135" w:rsidRPr="00F27FFC" w14:paraId="19F622A2" w14:textId="77777777" w:rsidTr="6FDD329B">
        <w:trPr>
          <w:trHeight w:val="300"/>
        </w:trPr>
        <w:tc>
          <w:tcPr>
            <w:tcW w:w="2235" w:type="dxa"/>
            <w:tcBorders>
              <w:top w:val="nil"/>
              <w:left w:val="nil"/>
              <w:bottom w:val="nil"/>
              <w:right w:val="nil"/>
            </w:tcBorders>
            <w:hideMark/>
          </w:tcPr>
          <w:p w14:paraId="4A2B9EB2" w14:textId="77777777" w:rsidR="00127135" w:rsidRPr="00F27FFC" w:rsidRDefault="00127135" w:rsidP="6FDD329B">
            <w:pPr>
              <w:spacing w:after="0" w:line="240" w:lineRule="auto"/>
              <w:jc w:val="both"/>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color w:val="000000"/>
                <w:kern w:val="0"/>
                <w14:ligatures w14:val="none"/>
              </w:rPr>
              <w:t>Hannah </w:t>
            </w:r>
          </w:p>
        </w:tc>
        <w:tc>
          <w:tcPr>
            <w:tcW w:w="1738" w:type="dxa"/>
            <w:tcBorders>
              <w:top w:val="nil"/>
              <w:left w:val="nil"/>
              <w:bottom w:val="nil"/>
              <w:right w:val="nil"/>
            </w:tcBorders>
            <w:hideMark/>
          </w:tcPr>
          <w:p w14:paraId="0673F14D"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5</w:t>
            </w:r>
          </w:p>
        </w:tc>
        <w:tc>
          <w:tcPr>
            <w:tcW w:w="1854" w:type="dxa"/>
            <w:tcBorders>
              <w:top w:val="nil"/>
              <w:left w:val="nil"/>
              <w:bottom w:val="nil"/>
              <w:right w:val="nil"/>
            </w:tcBorders>
            <w:hideMark/>
          </w:tcPr>
          <w:p w14:paraId="28FCDA43"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Bachelor’s</w:t>
            </w:r>
          </w:p>
        </w:tc>
        <w:tc>
          <w:tcPr>
            <w:tcW w:w="1779" w:type="dxa"/>
            <w:tcBorders>
              <w:top w:val="nil"/>
              <w:left w:val="nil"/>
              <w:bottom w:val="nil"/>
              <w:right w:val="nil"/>
            </w:tcBorders>
            <w:hideMark/>
          </w:tcPr>
          <w:p w14:paraId="074DF42A"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High School</w:t>
            </w:r>
          </w:p>
        </w:tc>
        <w:tc>
          <w:tcPr>
            <w:tcW w:w="1903" w:type="dxa"/>
            <w:tcBorders>
              <w:top w:val="nil"/>
              <w:left w:val="nil"/>
              <w:bottom w:val="nil"/>
              <w:right w:val="nil"/>
            </w:tcBorders>
            <w:hideMark/>
          </w:tcPr>
          <w:p w14:paraId="549CAF19"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Rural</w:t>
            </w:r>
          </w:p>
        </w:tc>
      </w:tr>
      <w:tr w:rsidR="00127135" w:rsidRPr="00F27FFC" w14:paraId="7C1BFF23" w14:textId="77777777" w:rsidTr="6FDD329B">
        <w:trPr>
          <w:trHeight w:val="300"/>
        </w:trPr>
        <w:tc>
          <w:tcPr>
            <w:tcW w:w="2235" w:type="dxa"/>
            <w:tcBorders>
              <w:top w:val="nil"/>
              <w:left w:val="nil"/>
              <w:bottom w:val="nil"/>
              <w:right w:val="nil"/>
            </w:tcBorders>
            <w:hideMark/>
          </w:tcPr>
          <w:p w14:paraId="129B5E72" w14:textId="77777777" w:rsidR="00127135" w:rsidRPr="00F27FFC" w:rsidRDefault="00127135" w:rsidP="6FDD329B">
            <w:pPr>
              <w:spacing w:after="0" w:line="240" w:lineRule="auto"/>
              <w:jc w:val="both"/>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color w:val="000000"/>
                <w:kern w:val="0"/>
                <w14:ligatures w14:val="none"/>
              </w:rPr>
              <w:t>Jake </w:t>
            </w:r>
          </w:p>
        </w:tc>
        <w:tc>
          <w:tcPr>
            <w:tcW w:w="1738" w:type="dxa"/>
            <w:tcBorders>
              <w:top w:val="nil"/>
              <w:left w:val="nil"/>
              <w:bottom w:val="nil"/>
              <w:right w:val="nil"/>
            </w:tcBorders>
            <w:hideMark/>
          </w:tcPr>
          <w:p w14:paraId="6D82FABA"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10</w:t>
            </w:r>
          </w:p>
        </w:tc>
        <w:tc>
          <w:tcPr>
            <w:tcW w:w="1854" w:type="dxa"/>
            <w:tcBorders>
              <w:top w:val="nil"/>
              <w:left w:val="nil"/>
              <w:bottom w:val="nil"/>
              <w:right w:val="nil"/>
            </w:tcBorders>
            <w:hideMark/>
          </w:tcPr>
          <w:p w14:paraId="54D99E11"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Bachelor’s</w:t>
            </w:r>
          </w:p>
        </w:tc>
        <w:tc>
          <w:tcPr>
            <w:tcW w:w="1779" w:type="dxa"/>
            <w:tcBorders>
              <w:top w:val="nil"/>
              <w:left w:val="nil"/>
              <w:bottom w:val="nil"/>
              <w:right w:val="nil"/>
            </w:tcBorders>
            <w:hideMark/>
          </w:tcPr>
          <w:p w14:paraId="3B91CC9D"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High School</w:t>
            </w:r>
          </w:p>
        </w:tc>
        <w:tc>
          <w:tcPr>
            <w:tcW w:w="1903" w:type="dxa"/>
            <w:tcBorders>
              <w:top w:val="nil"/>
              <w:left w:val="nil"/>
              <w:bottom w:val="nil"/>
              <w:right w:val="nil"/>
            </w:tcBorders>
            <w:hideMark/>
          </w:tcPr>
          <w:p w14:paraId="63638617"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Rural</w:t>
            </w:r>
          </w:p>
        </w:tc>
      </w:tr>
      <w:tr w:rsidR="00127135" w:rsidRPr="00F27FFC" w14:paraId="189CBDAF" w14:textId="77777777" w:rsidTr="6FDD329B">
        <w:trPr>
          <w:trHeight w:val="300"/>
        </w:trPr>
        <w:tc>
          <w:tcPr>
            <w:tcW w:w="2235" w:type="dxa"/>
            <w:tcBorders>
              <w:top w:val="nil"/>
              <w:left w:val="nil"/>
              <w:bottom w:val="nil"/>
              <w:right w:val="nil"/>
            </w:tcBorders>
            <w:hideMark/>
          </w:tcPr>
          <w:p w14:paraId="5917D94D" w14:textId="77777777" w:rsidR="00127135" w:rsidRPr="00F27FFC" w:rsidRDefault="00127135" w:rsidP="6FDD329B">
            <w:pPr>
              <w:spacing w:after="0" w:line="240" w:lineRule="auto"/>
              <w:jc w:val="both"/>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color w:val="000000"/>
                <w:kern w:val="0"/>
                <w14:ligatures w14:val="none"/>
              </w:rPr>
              <w:t>Lily </w:t>
            </w:r>
          </w:p>
        </w:tc>
        <w:tc>
          <w:tcPr>
            <w:tcW w:w="1738" w:type="dxa"/>
            <w:tcBorders>
              <w:top w:val="nil"/>
              <w:left w:val="nil"/>
              <w:bottom w:val="nil"/>
              <w:right w:val="nil"/>
            </w:tcBorders>
            <w:hideMark/>
          </w:tcPr>
          <w:p w14:paraId="02F834EB"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8</w:t>
            </w:r>
          </w:p>
        </w:tc>
        <w:tc>
          <w:tcPr>
            <w:tcW w:w="1854" w:type="dxa"/>
            <w:tcBorders>
              <w:top w:val="nil"/>
              <w:left w:val="nil"/>
              <w:bottom w:val="nil"/>
              <w:right w:val="nil"/>
            </w:tcBorders>
            <w:hideMark/>
          </w:tcPr>
          <w:p w14:paraId="0712DBF7"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Specialist’s</w:t>
            </w:r>
          </w:p>
        </w:tc>
        <w:tc>
          <w:tcPr>
            <w:tcW w:w="1779" w:type="dxa"/>
            <w:tcBorders>
              <w:top w:val="nil"/>
              <w:left w:val="nil"/>
              <w:bottom w:val="nil"/>
              <w:right w:val="nil"/>
            </w:tcBorders>
            <w:hideMark/>
          </w:tcPr>
          <w:p w14:paraId="798D35DF"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High School</w:t>
            </w:r>
          </w:p>
        </w:tc>
        <w:tc>
          <w:tcPr>
            <w:tcW w:w="1903" w:type="dxa"/>
            <w:tcBorders>
              <w:top w:val="nil"/>
              <w:left w:val="nil"/>
              <w:bottom w:val="nil"/>
              <w:right w:val="nil"/>
            </w:tcBorders>
            <w:hideMark/>
          </w:tcPr>
          <w:p w14:paraId="3958A41D"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Rural</w:t>
            </w:r>
          </w:p>
        </w:tc>
      </w:tr>
      <w:tr w:rsidR="00127135" w:rsidRPr="00F27FFC" w14:paraId="3EC955B4" w14:textId="77777777" w:rsidTr="6FDD329B">
        <w:trPr>
          <w:trHeight w:val="300"/>
        </w:trPr>
        <w:tc>
          <w:tcPr>
            <w:tcW w:w="2235" w:type="dxa"/>
            <w:tcBorders>
              <w:top w:val="nil"/>
              <w:left w:val="nil"/>
              <w:bottom w:val="nil"/>
              <w:right w:val="nil"/>
            </w:tcBorders>
            <w:hideMark/>
          </w:tcPr>
          <w:p w14:paraId="5025B18C" w14:textId="77777777" w:rsidR="00127135" w:rsidRPr="00F27FFC" w:rsidRDefault="00127135" w:rsidP="6FDD329B">
            <w:pPr>
              <w:spacing w:after="0" w:line="240" w:lineRule="auto"/>
              <w:jc w:val="both"/>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color w:val="000000"/>
                <w:kern w:val="0"/>
                <w14:ligatures w14:val="none"/>
              </w:rPr>
              <w:t>Sophia </w:t>
            </w:r>
          </w:p>
        </w:tc>
        <w:tc>
          <w:tcPr>
            <w:tcW w:w="1738" w:type="dxa"/>
            <w:tcBorders>
              <w:top w:val="nil"/>
              <w:left w:val="nil"/>
              <w:bottom w:val="nil"/>
              <w:right w:val="nil"/>
            </w:tcBorders>
            <w:hideMark/>
          </w:tcPr>
          <w:p w14:paraId="511932EE"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5</w:t>
            </w:r>
          </w:p>
        </w:tc>
        <w:tc>
          <w:tcPr>
            <w:tcW w:w="1854" w:type="dxa"/>
            <w:tcBorders>
              <w:top w:val="nil"/>
              <w:left w:val="nil"/>
              <w:bottom w:val="nil"/>
              <w:right w:val="nil"/>
            </w:tcBorders>
            <w:hideMark/>
          </w:tcPr>
          <w:p w14:paraId="4EC3C3F4"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Specialist’s</w:t>
            </w:r>
          </w:p>
        </w:tc>
        <w:tc>
          <w:tcPr>
            <w:tcW w:w="1779" w:type="dxa"/>
            <w:tcBorders>
              <w:top w:val="nil"/>
              <w:left w:val="nil"/>
              <w:bottom w:val="nil"/>
              <w:right w:val="nil"/>
            </w:tcBorders>
            <w:hideMark/>
          </w:tcPr>
          <w:p w14:paraId="47414C45"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High School</w:t>
            </w:r>
          </w:p>
        </w:tc>
        <w:tc>
          <w:tcPr>
            <w:tcW w:w="1903" w:type="dxa"/>
            <w:tcBorders>
              <w:top w:val="nil"/>
              <w:left w:val="nil"/>
              <w:bottom w:val="nil"/>
              <w:right w:val="nil"/>
            </w:tcBorders>
            <w:hideMark/>
          </w:tcPr>
          <w:p w14:paraId="2F17CABC"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Rural</w:t>
            </w:r>
          </w:p>
        </w:tc>
      </w:tr>
      <w:tr w:rsidR="00127135" w:rsidRPr="00F27FFC" w14:paraId="2A58FDAB" w14:textId="77777777" w:rsidTr="6FDD329B">
        <w:trPr>
          <w:trHeight w:val="300"/>
        </w:trPr>
        <w:tc>
          <w:tcPr>
            <w:tcW w:w="2235" w:type="dxa"/>
            <w:tcBorders>
              <w:top w:val="nil"/>
              <w:left w:val="nil"/>
              <w:bottom w:val="nil"/>
              <w:right w:val="nil"/>
            </w:tcBorders>
            <w:hideMark/>
          </w:tcPr>
          <w:p w14:paraId="4CE9B833" w14:textId="77777777" w:rsidR="00127135" w:rsidRPr="00F27FFC" w:rsidRDefault="00127135" w:rsidP="6FDD329B">
            <w:pPr>
              <w:spacing w:after="0" w:line="240" w:lineRule="auto"/>
              <w:jc w:val="both"/>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color w:val="000000"/>
                <w:kern w:val="0"/>
                <w14:ligatures w14:val="none"/>
              </w:rPr>
              <w:t>Chloe </w:t>
            </w:r>
          </w:p>
        </w:tc>
        <w:tc>
          <w:tcPr>
            <w:tcW w:w="1738" w:type="dxa"/>
            <w:tcBorders>
              <w:top w:val="nil"/>
              <w:left w:val="nil"/>
              <w:bottom w:val="nil"/>
              <w:right w:val="nil"/>
            </w:tcBorders>
            <w:hideMark/>
          </w:tcPr>
          <w:p w14:paraId="3D4C6640"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9</w:t>
            </w:r>
          </w:p>
        </w:tc>
        <w:tc>
          <w:tcPr>
            <w:tcW w:w="1854" w:type="dxa"/>
            <w:tcBorders>
              <w:top w:val="nil"/>
              <w:left w:val="nil"/>
              <w:bottom w:val="nil"/>
              <w:right w:val="nil"/>
            </w:tcBorders>
            <w:hideMark/>
          </w:tcPr>
          <w:p w14:paraId="36FB8A67"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Specialist’s</w:t>
            </w:r>
          </w:p>
        </w:tc>
        <w:tc>
          <w:tcPr>
            <w:tcW w:w="1779" w:type="dxa"/>
            <w:tcBorders>
              <w:top w:val="nil"/>
              <w:left w:val="nil"/>
              <w:bottom w:val="nil"/>
              <w:right w:val="nil"/>
            </w:tcBorders>
            <w:hideMark/>
          </w:tcPr>
          <w:p w14:paraId="6AF9737F"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Middle School</w:t>
            </w:r>
          </w:p>
        </w:tc>
        <w:tc>
          <w:tcPr>
            <w:tcW w:w="1903" w:type="dxa"/>
            <w:tcBorders>
              <w:top w:val="nil"/>
              <w:left w:val="nil"/>
              <w:bottom w:val="nil"/>
              <w:right w:val="nil"/>
            </w:tcBorders>
            <w:hideMark/>
          </w:tcPr>
          <w:p w14:paraId="7ED0C66B"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Rural</w:t>
            </w:r>
          </w:p>
        </w:tc>
      </w:tr>
      <w:tr w:rsidR="00127135" w:rsidRPr="00F27FFC" w14:paraId="2FA9E9AD" w14:textId="77777777" w:rsidTr="6FDD329B">
        <w:trPr>
          <w:trHeight w:val="300"/>
        </w:trPr>
        <w:tc>
          <w:tcPr>
            <w:tcW w:w="2235" w:type="dxa"/>
            <w:tcBorders>
              <w:top w:val="nil"/>
              <w:left w:val="nil"/>
              <w:bottom w:val="nil"/>
              <w:right w:val="nil"/>
            </w:tcBorders>
            <w:hideMark/>
          </w:tcPr>
          <w:p w14:paraId="33085A45" w14:textId="77777777" w:rsidR="00127135" w:rsidRPr="00F27FFC" w:rsidRDefault="00127135" w:rsidP="6FDD329B">
            <w:pPr>
              <w:spacing w:after="0" w:line="240" w:lineRule="auto"/>
              <w:jc w:val="both"/>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color w:val="000000"/>
                <w:kern w:val="0"/>
                <w14:ligatures w14:val="none"/>
              </w:rPr>
              <w:t>Natalie </w:t>
            </w:r>
          </w:p>
        </w:tc>
        <w:tc>
          <w:tcPr>
            <w:tcW w:w="1738" w:type="dxa"/>
            <w:tcBorders>
              <w:top w:val="nil"/>
              <w:left w:val="nil"/>
              <w:bottom w:val="nil"/>
              <w:right w:val="nil"/>
            </w:tcBorders>
            <w:hideMark/>
          </w:tcPr>
          <w:p w14:paraId="627BD80A"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17</w:t>
            </w:r>
          </w:p>
        </w:tc>
        <w:tc>
          <w:tcPr>
            <w:tcW w:w="1854" w:type="dxa"/>
            <w:tcBorders>
              <w:top w:val="nil"/>
              <w:left w:val="nil"/>
              <w:bottom w:val="nil"/>
              <w:right w:val="nil"/>
            </w:tcBorders>
            <w:hideMark/>
          </w:tcPr>
          <w:p w14:paraId="441BE2B5"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Specialist’s</w:t>
            </w:r>
          </w:p>
        </w:tc>
        <w:tc>
          <w:tcPr>
            <w:tcW w:w="1779" w:type="dxa"/>
            <w:tcBorders>
              <w:top w:val="nil"/>
              <w:left w:val="nil"/>
              <w:bottom w:val="nil"/>
              <w:right w:val="nil"/>
            </w:tcBorders>
            <w:hideMark/>
          </w:tcPr>
          <w:p w14:paraId="7CD502E1"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Middle School</w:t>
            </w:r>
          </w:p>
        </w:tc>
        <w:tc>
          <w:tcPr>
            <w:tcW w:w="1903" w:type="dxa"/>
            <w:tcBorders>
              <w:top w:val="nil"/>
              <w:left w:val="nil"/>
              <w:bottom w:val="nil"/>
              <w:right w:val="nil"/>
            </w:tcBorders>
            <w:hideMark/>
          </w:tcPr>
          <w:p w14:paraId="12DC7CBC"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Rural</w:t>
            </w:r>
          </w:p>
        </w:tc>
      </w:tr>
      <w:tr w:rsidR="00127135" w:rsidRPr="00F27FFC" w14:paraId="3294EA42" w14:textId="77777777" w:rsidTr="6FDD329B">
        <w:trPr>
          <w:trHeight w:val="300"/>
        </w:trPr>
        <w:tc>
          <w:tcPr>
            <w:tcW w:w="2235" w:type="dxa"/>
            <w:tcBorders>
              <w:top w:val="nil"/>
              <w:left w:val="nil"/>
              <w:bottom w:val="nil"/>
              <w:right w:val="nil"/>
            </w:tcBorders>
            <w:hideMark/>
          </w:tcPr>
          <w:p w14:paraId="2476603A" w14:textId="77777777" w:rsidR="00127135" w:rsidRPr="00F27FFC" w:rsidRDefault="00127135" w:rsidP="6FDD329B">
            <w:pPr>
              <w:spacing w:after="0" w:line="240" w:lineRule="auto"/>
              <w:jc w:val="both"/>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color w:val="000000"/>
                <w:kern w:val="0"/>
                <w14:ligatures w14:val="none"/>
              </w:rPr>
              <w:t>Caleb </w:t>
            </w:r>
          </w:p>
        </w:tc>
        <w:tc>
          <w:tcPr>
            <w:tcW w:w="1738" w:type="dxa"/>
            <w:tcBorders>
              <w:top w:val="nil"/>
              <w:left w:val="nil"/>
              <w:bottom w:val="nil"/>
              <w:right w:val="nil"/>
            </w:tcBorders>
            <w:hideMark/>
          </w:tcPr>
          <w:p w14:paraId="6C564465"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8</w:t>
            </w:r>
          </w:p>
        </w:tc>
        <w:tc>
          <w:tcPr>
            <w:tcW w:w="1854" w:type="dxa"/>
            <w:tcBorders>
              <w:top w:val="nil"/>
              <w:left w:val="nil"/>
              <w:bottom w:val="nil"/>
              <w:right w:val="nil"/>
            </w:tcBorders>
            <w:hideMark/>
          </w:tcPr>
          <w:p w14:paraId="448AC0CA"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Master’s</w:t>
            </w:r>
          </w:p>
        </w:tc>
        <w:tc>
          <w:tcPr>
            <w:tcW w:w="1779" w:type="dxa"/>
            <w:tcBorders>
              <w:top w:val="nil"/>
              <w:left w:val="nil"/>
              <w:bottom w:val="nil"/>
              <w:right w:val="nil"/>
            </w:tcBorders>
            <w:hideMark/>
          </w:tcPr>
          <w:p w14:paraId="1A12E704"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High School</w:t>
            </w:r>
          </w:p>
        </w:tc>
        <w:tc>
          <w:tcPr>
            <w:tcW w:w="1903" w:type="dxa"/>
            <w:tcBorders>
              <w:top w:val="nil"/>
              <w:left w:val="nil"/>
              <w:bottom w:val="nil"/>
              <w:right w:val="nil"/>
            </w:tcBorders>
            <w:hideMark/>
          </w:tcPr>
          <w:p w14:paraId="623551ED"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Urban</w:t>
            </w:r>
          </w:p>
        </w:tc>
      </w:tr>
      <w:tr w:rsidR="00127135" w:rsidRPr="00F27FFC" w14:paraId="27D27A32" w14:textId="77777777" w:rsidTr="6FDD329B">
        <w:trPr>
          <w:trHeight w:val="300"/>
        </w:trPr>
        <w:tc>
          <w:tcPr>
            <w:tcW w:w="2235" w:type="dxa"/>
            <w:tcBorders>
              <w:top w:val="nil"/>
              <w:left w:val="nil"/>
              <w:bottom w:val="nil"/>
              <w:right w:val="nil"/>
            </w:tcBorders>
            <w:hideMark/>
          </w:tcPr>
          <w:p w14:paraId="15EBB4CE" w14:textId="77777777" w:rsidR="00127135" w:rsidRPr="00F27FFC" w:rsidRDefault="00127135" w:rsidP="6FDD329B">
            <w:pPr>
              <w:spacing w:after="0" w:line="240" w:lineRule="auto"/>
              <w:jc w:val="both"/>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color w:val="000000"/>
                <w:kern w:val="0"/>
                <w14:ligatures w14:val="none"/>
              </w:rPr>
              <w:t>Noah </w:t>
            </w:r>
          </w:p>
        </w:tc>
        <w:tc>
          <w:tcPr>
            <w:tcW w:w="1738" w:type="dxa"/>
            <w:tcBorders>
              <w:top w:val="nil"/>
              <w:left w:val="nil"/>
              <w:bottom w:val="nil"/>
              <w:right w:val="nil"/>
            </w:tcBorders>
            <w:hideMark/>
          </w:tcPr>
          <w:p w14:paraId="0E83F99D"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10</w:t>
            </w:r>
          </w:p>
        </w:tc>
        <w:tc>
          <w:tcPr>
            <w:tcW w:w="1854" w:type="dxa"/>
            <w:tcBorders>
              <w:top w:val="nil"/>
              <w:left w:val="nil"/>
              <w:bottom w:val="nil"/>
              <w:right w:val="nil"/>
            </w:tcBorders>
            <w:hideMark/>
          </w:tcPr>
          <w:p w14:paraId="780BA70A"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Master’s</w:t>
            </w:r>
          </w:p>
        </w:tc>
        <w:tc>
          <w:tcPr>
            <w:tcW w:w="1779" w:type="dxa"/>
            <w:tcBorders>
              <w:top w:val="nil"/>
              <w:left w:val="nil"/>
              <w:bottom w:val="nil"/>
              <w:right w:val="nil"/>
            </w:tcBorders>
            <w:hideMark/>
          </w:tcPr>
          <w:p w14:paraId="721434DF"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High School</w:t>
            </w:r>
          </w:p>
        </w:tc>
        <w:tc>
          <w:tcPr>
            <w:tcW w:w="1903" w:type="dxa"/>
            <w:tcBorders>
              <w:top w:val="nil"/>
              <w:left w:val="nil"/>
              <w:bottom w:val="nil"/>
              <w:right w:val="nil"/>
            </w:tcBorders>
            <w:hideMark/>
          </w:tcPr>
          <w:p w14:paraId="0C3D542A"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Urban</w:t>
            </w:r>
          </w:p>
        </w:tc>
      </w:tr>
      <w:tr w:rsidR="00127135" w:rsidRPr="00F27FFC" w14:paraId="0608FB00" w14:textId="77777777" w:rsidTr="6FDD329B">
        <w:trPr>
          <w:trHeight w:val="300"/>
        </w:trPr>
        <w:tc>
          <w:tcPr>
            <w:tcW w:w="2235" w:type="dxa"/>
            <w:tcBorders>
              <w:top w:val="nil"/>
              <w:left w:val="nil"/>
              <w:bottom w:val="nil"/>
              <w:right w:val="nil"/>
            </w:tcBorders>
            <w:hideMark/>
          </w:tcPr>
          <w:p w14:paraId="50A686B6" w14:textId="77777777" w:rsidR="00127135" w:rsidRPr="00F27FFC" w:rsidRDefault="00127135" w:rsidP="6FDD329B">
            <w:pPr>
              <w:spacing w:after="0" w:line="240" w:lineRule="auto"/>
              <w:jc w:val="both"/>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color w:val="000000"/>
                <w:kern w:val="0"/>
                <w14:ligatures w14:val="none"/>
              </w:rPr>
              <w:t>Ethan </w:t>
            </w:r>
          </w:p>
        </w:tc>
        <w:tc>
          <w:tcPr>
            <w:tcW w:w="1738" w:type="dxa"/>
            <w:tcBorders>
              <w:top w:val="nil"/>
              <w:left w:val="nil"/>
              <w:bottom w:val="nil"/>
              <w:right w:val="nil"/>
            </w:tcBorders>
            <w:hideMark/>
          </w:tcPr>
          <w:p w14:paraId="1F8AD6F3"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24</w:t>
            </w:r>
          </w:p>
        </w:tc>
        <w:tc>
          <w:tcPr>
            <w:tcW w:w="1854" w:type="dxa"/>
            <w:tcBorders>
              <w:top w:val="nil"/>
              <w:left w:val="nil"/>
              <w:bottom w:val="nil"/>
              <w:right w:val="nil"/>
            </w:tcBorders>
            <w:hideMark/>
          </w:tcPr>
          <w:p w14:paraId="2C64F228"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Specialist’s</w:t>
            </w:r>
          </w:p>
        </w:tc>
        <w:tc>
          <w:tcPr>
            <w:tcW w:w="1779" w:type="dxa"/>
            <w:tcBorders>
              <w:top w:val="nil"/>
              <w:left w:val="nil"/>
              <w:bottom w:val="nil"/>
              <w:right w:val="nil"/>
            </w:tcBorders>
            <w:hideMark/>
          </w:tcPr>
          <w:p w14:paraId="37AAC61E"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High School</w:t>
            </w:r>
          </w:p>
        </w:tc>
        <w:tc>
          <w:tcPr>
            <w:tcW w:w="1903" w:type="dxa"/>
            <w:tcBorders>
              <w:top w:val="nil"/>
              <w:left w:val="nil"/>
              <w:bottom w:val="nil"/>
              <w:right w:val="nil"/>
            </w:tcBorders>
            <w:hideMark/>
          </w:tcPr>
          <w:p w14:paraId="2D7F41B8"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Urban</w:t>
            </w:r>
          </w:p>
        </w:tc>
      </w:tr>
      <w:tr w:rsidR="00127135" w:rsidRPr="00F27FFC" w14:paraId="5A9B0C0F" w14:textId="77777777" w:rsidTr="6FDD329B">
        <w:trPr>
          <w:trHeight w:val="300"/>
        </w:trPr>
        <w:tc>
          <w:tcPr>
            <w:tcW w:w="2235" w:type="dxa"/>
            <w:tcBorders>
              <w:top w:val="nil"/>
              <w:left w:val="nil"/>
              <w:bottom w:val="single" w:sz="6" w:space="0" w:color="auto"/>
              <w:right w:val="nil"/>
            </w:tcBorders>
            <w:hideMark/>
          </w:tcPr>
          <w:p w14:paraId="2191E999" w14:textId="77777777" w:rsidR="00127135" w:rsidRPr="00F27FFC" w:rsidRDefault="00127135" w:rsidP="6FDD329B">
            <w:pPr>
              <w:spacing w:after="0" w:line="240" w:lineRule="auto"/>
              <w:jc w:val="both"/>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color w:val="000000"/>
                <w:kern w:val="0"/>
                <w14:ligatures w14:val="none"/>
              </w:rPr>
              <w:t>Ari </w:t>
            </w:r>
          </w:p>
        </w:tc>
        <w:tc>
          <w:tcPr>
            <w:tcW w:w="1738" w:type="dxa"/>
            <w:tcBorders>
              <w:top w:val="nil"/>
              <w:left w:val="nil"/>
              <w:bottom w:val="single" w:sz="6" w:space="0" w:color="auto"/>
              <w:right w:val="nil"/>
            </w:tcBorders>
            <w:hideMark/>
          </w:tcPr>
          <w:p w14:paraId="75BB47B4"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5</w:t>
            </w:r>
          </w:p>
        </w:tc>
        <w:tc>
          <w:tcPr>
            <w:tcW w:w="1854" w:type="dxa"/>
            <w:tcBorders>
              <w:top w:val="nil"/>
              <w:left w:val="nil"/>
              <w:bottom w:val="single" w:sz="6" w:space="0" w:color="auto"/>
              <w:right w:val="nil"/>
            </w:tcBorders>
            <w:hideMark/>
          </w:tcPr>
          <w:p w14:paraId="2CBABC47"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Specialist’s</w:t>
            </w:r>
          </w:p>
        </w:tc>
        <w:tc>
          <w:tcPr>
            <w:tcW w:w="1779" w:type="dxa"/>
            <w:tcBorders>
              <w:top w:val="nil"/>
              <w:left w:val="nil"/>
              <w:bottom w:val="single" w:sz="6" w:space="0" w:color="auto"/>
              <w:right w:val="nil"/>
            </w:tcBorders>
            <w:hideMark/>
          </w:tcPr>
          <w:p w14:paraId="12D5BB40"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Middle School</w:t>
            </w:r>
          </w:p>
        </w:tc>
        <w:tc>
          <w:tcPr>
            <w:tcW w:w="1903" w:type="dxa"/>
            <w:tcBorders>
              <w:top w:val="nil"/>
              <w:left w:val="nil"/>
              <w:bottom w:val="single" w:sz="6" w:space="0" w:color="auto"/>
              <w:right w:val="nil"/>
            </w:tcBorders>
            <w:hideMark/>
          </w:tcPr>
          <w:p w14:paraId="2C7D365B" w14:textId="77777777" w:rsidR="00127135" w:rsidRPr="00F27FFC" w:rsidRDefault="00127135" w:rsidP="6FDD329B">
            <w:pPr>
              <w:spacing w:after="0" w:line="240" w:lineRule="auto"/>
              <w:jc w:val="center"/>
              <w:textAlignment w:val="baseline"/>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Urban</w:t>
            </w:r>
          </w:p>
        </w:tc>
      </w:tr>
    </w:tbl>
    <w:p w14:paraId="49A69DD1" w14:textId="71D5CC36" w:rsidR="00F27FFC" w:rsidRPr="00F27FFC" w:rsidRDefault="00CD34DB" w:rsidP="009E168A">
      <w:pPr>
        <w:spacing w:before="240" w:after="240" w:line="240" w:lineRule="auto"/>
        <w:ind w:firstLine="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Data sources included</w:t>
      </w:r>
      <w:r w:rsidR="00F27FFC" w:rsidRPr="00F27FFC">
        <w:rPr>
          <w:rFonts w:ascii="Times New Roman" w:eastAsia="Times New Roman" w:hAnsi="Times New Roman" w:cs="Times New Roman"/>
          <w:kern w:val="0"/>
          <w14:ligatures w14:val="none"/>
        </w:rPr>
        <w:t xml:space="preserve"> classroom observations</w:t>
      </w:r>
      <w:r w:rsidR="00D02C99">
        <w:rPr>
          <w:rFonts w:ascii="Times New Roman" w:eastAsia="Times New Roman" w:hAnsi="Times New Roman" w:cs="Times New Roman"/>
          <w:kern w:val="0"/>
          <w14:ligatures w14:val="none"/>
        </w:rPr>
        <w:t xml:space="preserve"> of lessons with science content</w:t>
      </w:r>
      <w:r w:rsidR="00F27FFC" w:rsidRPr="00F27FFC">
        <w:rPr>
          <w:rFonts w:ascii="Times New Roman" w:eastAsia="Times New Roman" w:hAnsi="Times New Roman" w:cs="Times New Roman"/>
          <w:kern w:val="0"/>
          <w14:ligatures w14:val="none"/>
        </w:rPr>
        <w:t>, semi-structured one-on-one interviews, and a document analysis</w:t>
      </w:r>
      <w:r w:rsidR="00F47503">
        <w:rPr>
          <w:rFonts w:ascii="Times New Roman" w:eastAsia="Times New Roman" w:hAnsi="Times New Roman" w:cs="Times New Roman"/>
          <w:kern w:val="0"/>
          <w14:ligatures w14:val="none"/>
        </w:rPr>
        <w:t xml:space="preserve"> of teacher-submitted lesson resources to exemplify </w:t>
      </w:r>
      <w:r w:rsidR="003A3479">
        <w:rPr>
          <w:rFonts w:ascii="Times New Roman" w:eastAsia="Times New Roman" w:hAnsi="Times New Roman" w:cs="Times New Roman"/>
          <w:kern w:val="0"/>
          <w14:ligatures w14:val="none"/>
        </w:rPr>
        <w:t xml:space="preserve">perceived </w:t>
      </w:r>
      <w:r w:rsidR="00B25E83">
        <w:rPr>
          <w:rFonts w:ascii="Times New Roman" w:eastAsia="Times New Roman" w:hAnsi="Times New Roman" w:cs="Times New Roman"/>
          <w:kern w:val="0"/>
          <w14:ligatures w14:val="none"/>
        </w:rPr>
        <w:t>high-</w:t>
      </w:r>
      <w:r w:rsidR="003A3479">
        <w:rPr>
          <w:rFonts w:ascii="Times New Roman" w:eastAsia="Times New Roman" w:hAnsi="Times New Roman" w:cs="Times New Roman"/>
          <w:kern w:val="0"/>
          <w14:ligatures w14:val="none"/>
        </w:rPr>
        <w:t>quality science integration</w:t>
      </w:r>
      <w:r w:rsidR="00F27FFC" w:rsidRPr="00F27FFC">
        <w:rPr>
          <w:rFonts w:ascii="Times New Roman" w:eastAsia="Times New Roman" w:hAnsi="Times New Roman" w:cs="Times New Roman"/>
          <w:kern w:val="0"/>
          <w14:ligatures w14:val="none"/>
        </w:rPr>
        <w:t>. Data were analyzed utilizing the constant comparative method</w:t>
      </w:r>
      <w:r w:rsidR="00331C89">
        <w:rPr>
          <w:rFonts w:ascii="Times New Roman" w:eastAsia="Times New Roman" w:hAnsi="Times New Roman" w:cs="Times New Roman"/>
          <w:kern w:val="0"/>
          <w14:ligatures w14:val="none"/>
        </w:rPr>
        <w:t>, both</w:t>
      </w:r>
      <w:r w:rsidR="00F27FFC" w:rsidRPr="00F27FFC">
        <w:rPr>
          <w:rFonts w:ascii="Times New Roman" w:eastAsia="Times New Roman" w:hAnsi="Times New Roman" w:cs="Times New Roman"/>
          <w:kern w:val="0"/>
          <w14:ligatures w14:val="none"/>
        </w:rPr>
        <w:t xml:space="preserve"> within and across</w:t>
      </w:r>
      <w:r w:rsidR="00331C89">
        <w:rPr>
          <w:rFonts w:ascii="Times New Roman" w:eastAsia="Times New Roman" w:hAnsi="Times New Roman" w:cs="Times New Roman"/>
          <w:kern w:val="0"/>
          <w14:ligatures w14:val="none"/>
        </w:rPr>
        <w:t xml:space="preserve"> </w:t>
      </w:r>
      <w:r w:rsidR="00F27FFC" w:rsidRPr="00F27FFC">
        <w:rPr>
          <w:rFonts w:ascii="Times New Roman" w:eastAsia="Times New Roman" w:hAnsi="Times New Roman" w:cs="Times New Roman"/>
          <w:kern w:val="0"/>
          <w14:ligatures w14:val="none"/>
        </w:rPr>
        <w:t>cases (Creswell &amp; Creswell, 2023). All data were coded using both deductive and inductive approaches, allowing for comparison to the theoretical framework while also permitting themes to emerge directly from the data (Creswell &amp; Creswell, 2023). Open codes were grouped into cross-compared categories</w:t>
      </w:r>
      <w:r w:rsidR="00EA1068">
        <w:rPr>
          <w:rFonts w:ascii="Times New Roman" w:eastAsia="Times New Roman" w:hAnsi="Times New Roman" w:cs="Times New Roman"/>
          <w:kern w:val="0"/>
          <w14:ligatures w14:val="none"/>
        </w:rPr>
        <w:t xml:space="preserve"> and</w:t>
      </w:r>
      <w:r w:rsidR="00F27FFC" w:rsidRPr="00F27FFC">
        <w:rPr>
          <w:rFonts w:ascii="Times New Roman" w:eastAsia="Times New Roman" w:hAnsi="Times New Roman" w:cs="Times New Roman"/>
          <w:kern w:val="0"/>
          <w14:ligatures w14:val="none"/>
        </w:rPr>
        <w:t xml:space="preserve"> then condensed further into three overarching themes, </w:t>
      </w:r>
      <w:r w:rsidR="00EA1068">
        <w:rPr>
          <w:rFonts w:ascii="Times New Roman" w:eastAsia="Times New Roman" w:hAnsi="Times New Roman" w:cs="Times New Roman"/>
          <w:kern w:val="0"/>
          <w14:ligatures w14:val="none"/>
        </w:rPr>
        <w:t>which served</w:t>
      </w:r>
      <w:r w:rsidR="00F27FFC" w:rsidRPr="00F27FFC">
        <w:rPr>
          <w:rFonts w:ascii="Times New Roman" w:eastAsia="Times New Roman" w:hAnsi="Times New Roman" w:cs="Times New Roman"/>
          <w:kern w:val="0"/>
          <w14:ligatures w14:val="none"/>
        </w:rPr>
        <w:t xml:space="preserve"> as the findings for this study.  </w:t>
      </w:r>
    </w:p>
    <w:p w14:paraId="0351BDDC" w14:textId="32D3E410" w:rsidR="00F27FFC" w:rsidRPr="00F27FFC" w:rsidRDefault="00F27FFC" w:rsidP="00C53DEA">
      <w:pPr>
        <w:spacing w:after="240" w:line="240" w:lineRule="auto"/>
        <w:ind w:firstLine="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To uphold the trustworthiness and rigor of the study, several strategies were implemented </w:t>
      </w:r>
      <w:r w:rsidR="00EA1068">
        <w:rPr>
          <w:rFonts w:ascii="Times New Roman" w:eastAsia="Times New Roman" w:hAnsi="Times New Roman" w:cs="Times New Roman"/>
          <w:kern w:val="0"/>
          <w14:ligatures w14:val="none"/>
        </w:rPr>
        <w:t>in accordance with</w:t>
      </w:r>
      <w:r w:rsidRPr="00F27FFC">
        <w:rPr>
          <w:rFonts w:ascii="Times New Roman" w:eastAsia="Times New Roman" w:hAnsi="Times New Roman" w:cs="Times New Roman"/>
          <w:kern w:val="0"/>
          <w14:ligatures w14:val="none"/>
        </w:rPr>
        <w:t xml:space="preserve"> qualitative research best practices. Triangulation was achieved </w:t>
      </w:r>
      <w:proofErr w:type="gramStart"/>
      <w:r w:rsidRPr="00F27FFC">
        <w:rPr>
          <w:rFonts w:ascii="Times New Roman" w:eastAsia="Times New Roman" w:hAnsi="Times New Roman" w:cs="Times New Roman"/>
          <w:kern w:val="0"/>
          <w14:ligatures w14:val="none"/>
        </w:rPr>
        <w:t>through the use of</w:t>
      </w:r>
      <w:proofErr w:type="gramEnd"/>
      <w:r w:rsidRPr="00F27FFC">
        <w:rPr>
          <w:rFonts w:ascii="Times New Roman" w:eastAsia="Times New Roman" w:hAnsi="Times New Roman" w:cs="Times New Roman"/>
          <w:kern w:val="0"/>
          <w14:ligatures w14:val="none"/>
        </w:rPr>
        <w:t xml:space="preserve"> multiple data sources, which strengthened the credibility of the findings by allowing themes to emerge across different perspectives and contexts (Lincoln &amp; Guba, 1985). Additionally, member checking was conducted with participants to confirm the accuracy and resonance of the interpretations, while peer debriefing sessions with colleagues provided opportunities to critically examine the coding process and ensure alignment with the data (Creswell &amp; Creswell, 2023). Finally, rich, thick description</w:t>
      </w:r>
      <w:r w:rsidR="00AD2732">
        <w:rPr>
          <w:rFonts w:ascii="Times New Roman" w:eastAsia="Times New Roman" w:hAnsi="Times New Roman" w:cs="Times New Roman"/>
          <w:kern w:val="0"/>
          <w14:ligatures w14:val="none"/>
        </w:rPr>
        <w:t>s were</w:t>
      </w:r>
      <w:r w:rsidRPr="00F27FFC">
        <w:rPr>
          <w:rFonts w:ascii="Times New Roman" w:eastAsia="Times New Roman" w:hAnsi="Times New Roman" w:cs="Times New Roman"/>
          <w:kern w:val="0"/>
          <w14:ligatures w14:val="none"/>
        </w:rPr>
        <w:t xml:space="preserve"> employed throughout the reporting of findings to support transferability, offering sufficient context for readers to determine the applicability of the results to other settings (Lincoln &amp; Guba, 1985). </w:t>
      </w:r>
    </w:p>
    <w:p w14:paraId="71ED4F4D" w14:textId="77777777" w:rsidR="00F27FFC" w:rsidRPr="00F27FFC" w:rsidRDefault="00F27FFC" w:rsidP="6FDD329B">
      <w:pPr>
        <w:spacing w:after="240" w:line="240" w:lineRule="auto"/>
        <w:jc w:val="center"/>
        <w:rPr>
          <w:rFonts w:ascii="Times New Roman" w:eastAsia="Times New Roman" w:hAnsi="Times New Roman" w:cs="Times New Roman"/>
          <w:b/>
          <w:bCs/>
          <w:kern w:val="0"/>
          <w14:ligatures w14:val="none"/>
        </w:rPr>
      </w:pPr>
      <w:r w:rsidRPr="00F27FFC">
        <w:rPr>
          <w:rFonts w:ascii="Times New Roman" w:eastAsia="Times New Roman" w:hAnsi="Times New Roman" w:cs="Times New Roman"/>
          <w:b/>
          <w:bCs/>
          <w:kern w:val="0"/>
          <w14:ligatures w14:val="none"/>
        </w:rPr>
        <w:t>Findings</w:t>
      </w:r>
    </w:p>
    <w:p w14:paraId="38082786" w14:textId="77777777" w:rsidR="00F27FFC" w:rsidRPr="00F27FFC" w:rsidRDefault="00F27FFC" w:rsidP="6FDD329B">
      <w:pPr>
        <w:spacing w:after="240" w:line="240" w:lineRule="auto"/>
        <w:rPr>
          <w:rFonts w:ascii="Times New Roman" w:eastAsia="Times New Roman" w:hAnsi="Times New Roman" w:cs="Times New Roman"/>
          <w:b/>
          <w:bCs/>
          <w:kern w:val="0"/>
          <w14:ligatures w14:val="none"/>
        </w:rPr>
      </w:pPr>
      <w:r w:rsidRPr="00F27FFC">
        <w:rPr>
          <w:rFonts w:ascii="Times New Roman" w:eastAsia="Times New Roman" w:hAnsi="Times New Roman" w:cs="Times New Roman"/>
          <w:b/>
          <w:bCs/>
          <w:kern w:val="0"/>
          <w14:ligatures w14:val="none"/>
        </w:rPr>
        <w:t>Approaches to Integrating Science in SBAE Classrooms</w:t>
      </w:r>
    </w:p>
    <w:p w14:paraId="75019BF8" w14:textId="6E3161EF" w:rsidR="00F27FFC" w:rsidRPr="00E9072A" w:rsidRDefault="00F27FFC" w:rsidP="00E9072A">
      <w:pPr>
        <w:spacing w:after="240" w:line="240" w:lineRule="auto"/>
        <w:ind w:firstLine="720"/>
        <w:rPr>
          <w:rFonts w:ascii="Times New Roman" w:eastAsia="Times New Roman" w:hAnsi="Times New Roman" w:cs="Times New Roman"/>
          <w:color w:val="000000"/>
          <w:kern w:val="0"/>
          <w14:ligatures w14:val="none"/>
        </w:rPr>
      </w:pPr>
      <w:r w:rsidRPr="00F27FFC">
        <w:rPr>
          <w:rFonts w:ascii="Times New Roman" w:eastAsia="Times New Roman" w:hAnsi="Times New Roman" w:cs="Times New Roman"/>
          <w:kern w:val="0"/>
          <w14:ligatures w14:val="none"/>
        </w:rPr>
        <w:t xml:space="preserve">Participants in the study described </w:t>
      </w:r>
      <w:r w:rsidR="00CE7AC6">
        <w:rPr>
          <w:rFonts w:ascii="Times New Roman" w:eastAsia="Times New Roman" w:hAnsi="Times New Roman" w:cs="Times New Roman"/>
          <w:kern w:val="0"/>
          <w14:ligatures w14:val="none"/>
        </w:rPr>
        <w:t>various</w:t>
      </w:r>
      <w:r w:rsidRPr="00F27FFC">
        <w:rPr>
          <w:rFonts w:ascii="Times New Roman" w:eastAsia="Times New Roman" w:hAnsi="Times New Roman" w:cs="Times New Roman"/>
          <w:kern w:val="0"/>
          <w14:ligatures w14:val="none"/>
        </w:rPr>
        <w:t xml:space="preserve"> ways they incorporate science into their classrooms, with many emphasizing the value of inquiry-based and hands-on </w:t>
      </w:r>
      <w:r w:rsidR="00CE7AC6">
        <w:rPr>
          <w:rFonts w:ascii="Times New Roman" w:eastAsia="Times New Roman" w:hAnsi="Times New Roman" w:cs="Times New Roman"/>
          <w:kern w:val="0"/>
          <w14:ligatures w14:val="none"/>
        </w:rPr>
        <w:t xml:space="preserve">learning </w:t>
      </w:r>
      <w:r w:rsidRPr="00F27FFC">
        <w:rPr>
          <w:rFonts w:ascii="Times New Roman" w:eastAsia="Times New Roman" w:hAnsi="Times New Roman" w:cs="Times New Roman"/>
          <w:kern w:val="0"/>
          <w14:ligatures w14:val="none"/>
        </w:rPr>
        <w:t xml:space="preserve">strategies. </w:t>
      </w:r>
      <w:r w:rsidRPr="00F27FFC">
        <w:rPr>
          <w:rFonts w:ascii="Times New Roman" w:eastAsia="Times New Roman" w:hAnsi="Times New Roman" w:cs="Times New Roman"/>
          <w:kern w:val="0"/>
          <w14:ligatures w14:val="none"/>
        </w:rPr>
        <w:lastRenderedPageBreak/>
        <w:t xml:space="preserve">Ari explained teaching about the scientific method through fun experiment designs, “I also do a bubble gum lab…They make up hypothesis, questions, and all kinds of things for absolute ridiculous stuff like hair, makeup, and stuff… and it's so that they can learn… how to word a hypothesis and follow instructions.” Sophia shared an activity she loves doing with students, explaining “on the back of Wandering Jew leaves and looking at the stomata, if you put sugar water on it, it'll open and close and so you can see it opening and closing.” Although she could describe what was happening in the activity, she admitted struggling to fully explain the underlying scientific processes of osmosis and water potential in plant cells. </w:t>
      </w:r>
    </w:p>
    <w:p w14:paraId="2008B853" w14:textId="3C1D5C9A" w:rsidR="00F27FFC" w:rsidRPr="00F27FFC" w:rsidRDefault="00F27FFC" w:rsidP="000C34E9">
      <w:pPr>
        <w:spacing w:after="240" w:line="240" w:lineRule="auto"/>
        <w:ind w:firstLine="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In contrast, not all participants emphasized inquiry or application in their science integration</w:t>
      </w:r>
      <w:r w:rsidR="00CE7AC6">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w:t>
      </w:r>
      <w:r w:rsidR="00CE7AC6">
        <w:rPr>
          <w:rFonts w:ascii="Times New Roman" w:eastAsia="Times New Roman" w:hAnsi="Times New Roman" w:cs="Times New Roman"/>
          <w:kern w:val="0"/>
          <w14:ligatures w14:val="none"/>
        </w:rPr>
        <w:t>and some</w:t>
      </w:r>
      <w:r w:rsidRPr="00F27FFC">
        <w:rPr>
          <w:rFonts w:ascii="Times New Roman" w:eastAsia="Times New Roman" w:hAnsi="Times New Roman" w:cs="Times New Roman"/>
          <w:kern w:val="0"/>
          <w14:ligatures w14:val="none"/>
        </w:rPr>
        <w:t xml:space="preserve"> had a difficult time explaining how they integrate science into their class</w:t>
      </w:r>
      <w:r w:rsidR="00CE7AC6">
        <w:rPr>
          <w:rFonts w:ascii="Times New Roman" w:eastAsia="Times New Roman" w:hAnsi="Times New Roman" w:cs="Times New Roman"/>
          <w:kern w:val="0"/>
          <w14:ligatures w14:val="none"/>
        </w:rPr>
        <w:t>es</w:t>
      </w:r>
      <w:r w:rsidRPr="00F27FFC">
        <w:rPr>
          <w:rFonts w:ascii="Times New Roman" w:eastAsia="Times New Roman" w:hAnsi="Times New Roman" w:cs="Times New Roman"/>
          <w:kern w:val="0"/>
          <w14:ligatures w14:val="none"/>
        </w:rPr>
        <w:t>. For example, during his classroom observation, Caleb told the research team that he was taking an inquiry approach with his students that day in learning nutrient deficiencies in plants; however, the primary classroom learning activity that day involved students taking self-paced notes from a PowerPoint on Canvas, showing a misalignment in the teacher’s knowledge of inquiry-based learning.</w:t>
      </w:r>
      <w:r w:rsidR="000C34E9">
        <w:rPr>
          <w:rFonts w:ascii="Times New Roman" w:eastAsia="Times New Roman" w:hAnsi="Times New Roman" w:cs="Times New Roman"/>
          <w:kern w:val="0"/>
          <w14:ligatures w14:val="none"/>
        </w:rPr>
        <w:t xml:space="preserve"> </w:t>
      </w:r>
      <w:r w:rsidRPr="00F27FFC">
        <w:rPr>
          <w:rFonts w:ascii="Times New Roman" w:eastAsia="Times New Roman" w:hAnsi="Times New Roman" w:cs="Times New Roman"/>
          <w:kern w:val="0"/>
          <w14:ligatures w14:val="none"/>
        </w:rPr>
        <w:t xml:space="preserve">When asked about incorporating science, one teacher explained that he sometimes </w:t>
      </w:r>
      <w:r w:rsidR="001F5362">
        <w:rPr>
          <w:rFonts w:ascii="Times New Roman" w:eastAsia="Times New Roman" w:hAnsi="Times New Roman" w:cs="Times New Roman"/>
          <w:kern w:val="0"/>
          <w14:ligatures w14:val="none"/>
        </w:rPr>
        <w:t xml:space="preserve">conducts </w:t>
      </w:r>
      <w:r w:rsidRPr="00F27FFC">
        <w:rPr>
          <w:rFonts w:ascii="Times New Roman" w:eastAsia="Times New Roman" w:hAnsi="Times New Roman" w:cs="Times New Roman"/>
          <w:kern w:val="0"/>
          <w14:ligatures w14:val="none"/>
        </w:rPr>
        <w:t>laboratory activities</w:t>
      </w:r>
      <w:r w:rsidR="001F5362">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graded on completion</w:t>
      </w:r>
      <w:r w:rsidR="001F5362">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to highlight a </w:t>
      </w:r>
      <w:r w:rsidR="001F5362">
        <w:rPr>
          <w:rFonts w:ascii="Times New Roman" w:eastAsia="Times New Roman" w:hAnsi="Times New Roman" w:cs="Times New Roman"/>
          <w:kern w:val="0"/>
          <w14:ligatures w14:val="none"/>
        </w:rPr>
        <w:t xml:space="preserve">particular </w:t>
      </w:r>
      <w:r w:rsidRPr="00F27FFC">
        <w:rPr>
          <w:rFonts w:ascii="Times New Roman" w:eastAsia="Times New Roman" w:hAnsi="Times New Roman" w:cs="Times New Roman"/>
          <w:kern w:val="0"/>
          <w14:ligatures w14:val="none"/>
        </w:rPr>
        <w:t>topic. Ethan described a different approach</w:t>
      </w:r>
      <w:r w:rsidR="001F5362">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noting, “</w:t>
      </w:r>
      <w:r w:rsidRPr="00F27FFC">
        <w:rPr>
          <w:rFonts w:ascii="Times New Roman" w:eastAsia="Times New Roman" w:hAnsi="Times New Roman" w:cs="Times New Roman"/>
          <w:color w:val="000000"/>
          <w:kern w:val="0"/>
          <w14:ligatures w14:val="none"/>
        </w:rPr>
        <w:t>honestly, I design my agricultural lessons first and then I</w:t>
      </w:r>
      <w:r w:rsidR="001F5362">
        <w:rPr>
          <w:rFonts w:ascii="Times New Roman" w:eastAsia="Times New Roman" w:hAnsi="Times New Roman" w:cs="Times New Roman"/>
          <w:color w:val="000000"/>
          <w:kern w:val="0"/>
          <w14:ligatures w14:val="none"/>
        </w:rPr>
        <w:t>,</w:t>
      </w:r>
      <w:r w:rsidRPr="00F27FFC">
        <w:rPr>
          <w:rFonts w:ascii="Times New Roman" w:eastAsia="Times New Roman" w:hAnsi="Times New Roman" w:cs="Times New Roman"/>
          <w:color w:val="000000"/>
          <w:kern w:val="0"/>
          <w14:ligatures w14:val="none"/>
        </w:rPr>
        <w:t xml:space="preserve"> as I see opportunities to incorporate the science part</w:t>
      </w:r>
      <w:r w:rsidR="001F5362">
        <w:rPr>
          <w:rFonts w:ascii="Times New Roman" w:eastAsia="Times New Roman" w:hAnsi="Times New Roman" w:cs="Times New Roman"/>
          <w:color w:val="000000"/>
          <w:kern w:val="0"/>
          <w14:ligatures w14:val="none"/>
        </w:rPr>
        <w:t>,</w:t>
      </w:r>
      <w:r w:rsidRPr="00F27FFC">
        <w:rPr>
          <w:rFonts w:ascii="Times New Roman" w:eastAsia="Times New Roman" w:hAnsi="Times New Roman" w:cs="Times New Roman"/>
          <w:color w:val="000000"/>
          <w:kern w:val="0"/>
          <w14:ligatures w14:val="none"/>
        </w:rPr>
        <w:t xml:space="preserve"> then I will [integrate]” He later explained a belief that students were more receptive when science connections were introduced secondarily, suggesting science </w:t>
      </w:r>
      <w:r w:rsidR="00EB4482">
        <w:rPr>
          <w:rFonts w:ascii="Times New Roman" w:eastAsia="Times New Roman" w:hAnsi="Times New Roman" w:cs="Times New Roman"/>
          <w:color w:val="000000"/>
          <w:kern w:val="0"/>
          <w14:ligatures w14:val="none"/>
        </w:rPr>
        <w:t xml:space="preserve">sometimes </w:t>
      </w:r>
      <w:r w:rsidRPr="00F27FFC">
        <w:rPr>
          <w:rFonts w:ascii="Times New Roman" w:eastAsia="Times New Roman" w:hAnsi="Times New Roman" w:cs="Times New Roman"/>
          <w:color w:val="000000"/>
          <w:kern w:val="0"/>
          <w14:ligatures w14:val="none"/>
        </w:rPr>
        <w:t xml:space="preserve">remains an afterthought rather than a central component of lesson planning. </w:t>
      </w:r>
    </w:p>
    <w:p w14:paraId="248F5E19" w14:textId="27A3A39E" w:rsidR="00F27FFC" w:rsidRPr="00F27FFC" w:rsidRDefault="00F27FFC" w:rsidP="000C124D">
      <w:pPr>
        <w:spacing w:after="240" w:line="240" w:lineRule="auto"/>
        <w:ind w:firstLine="720"/>
        <w:rPr>
          <w:rFonts w:ascii="Times New Roman" w:eastAsia="Times New Roman" w:hAnsi="Times New Roman" w:cs="Times New Roman"/>
          <w:color w:val="000000"/>
          <w:kern w:val="0"/>
          <w14:ligatures w14:val="none"/>
        </w:rPr>
      </w:pPr>
      <w:r w:rsidRPr="00F27FFC">
        <w:rPr>
          <w:rFonts w:ascii="Times New Roman" w:eastAsia="Times New Roman" w:hAnsi="Times New Roman" w:cs="Times New Roman"/>
          <w:kern w:val="0"/>
          <w14:ligatures w14:val="none"/>
        </w:rPr>
        <w:t xml:space="preserve">Participants reported a </w:t>
      </w:r>
      <w:r w:rsidR="00056C40">
        <w:rPr>
          <w:rFonts w:ascii="Times New Roman" w:eastAsia="Times New Roman" w:hAnsi="Times New Roman" w:cs="Times New Roman"/>
          <w:kern w:val="0"/>
          <w14:ligatures w14:val="none"/>
        </w:rPr>
        <w:t>range</w:t>
      </w:r>
      <w:r w:rsidRPr="00F27FFC">
        <w:rPr>
          <w:rFonts w:ascii="Times New Roman" w:eastAsia="Times New Roman" w:hAnsi="Times New Roman" w:cs="Times New Roman"/>
          <w:kern w:val="0"/>
          <w14:ligatures w14:val="none"/>
        </w:rPr>
        <w:t xml:space="preserve"> of reactions to science integration in SBAE</w:t>
      </w:r>
      <w:r w:rsidR="00056C40">
        <w:rPr>
          <w:rFonts w:ascii="Times New Roman" w:eastAsia="Times New Roman" w:hAnsi="Times New Roman" w:cs="Times New Roman"/>
          <w:kern w:val="0"/>
          <w14:ligatures w14:val="none"/>
        </w:rPr>
        <w:t xml:space="preserve"> among students</w:t>
      </w:r>
      <w:r w:rsidRPr="00F27FFC">
        <w:rPr>
          <w:rFonts w:ascii="Times New Roman" w:eastAsia="Times New Roman" w:hAnsi="Times New Roman" w:cs="Times New Roman"/>
          <w:kern w:val="0"/>
          <w14:ligatures w14:val="none"/>
        </w:rPr>
        <w:t xml:space="preserve">. Some noted resistance or hesitation, but numerous emphasized </w:t>
      </w:r>
      <w:r w:rsidR="00056C40">
        <w:rPr>
          <w:rFonts w:ascii="Times New Roman" w:eastAsia="Times New Roman" w:hAnsi="Times New Roman" w:cs="Times New Roman"/>
          <w:kern w:val="0"/>
          <w14:ligatures w14:val="none"/>
        </w:rPr>
        <w:t xml:space="preserve">that </w:t>
      </w:r>
      <w:r w:rsidRPr="00F27FFC">
        <w:rPr>
          <w:rFonts w:ascii="Times New Roman" w:eastAsia="Times New Roman" w:hAnsi="Times New Roman" w:cs="Times New Roman"/>
          <w:kern w:val="0"/>
          <w14:ligatures w14:val="none"/>
        </w:rPr>
        <w:t>positive engagement was connected to hands-on or relevant activities. Ethan explained how students approached science with preconceived “roadblocks” that affected confidence. He explained his approach to teaching agriculture content and then connecting back to science</w:t>
      </w:r>
      <w:r w:rsidR="00056C40">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saying, “</w:t>
      </w:r>
      <w:r w:rsidR="00056C40">
        <w:rPr>
          <w:rFonts w:ascii="Times New Roman" w:eastAsia="Times New Roman" w:hAnsi="Times New Roman" w:cs="Times New Roman"/>
          <w:color w:val="000000"/>
          <w:kern w:val="0"/>
          <w14:ligatures w14:val="none"/>
        </w:rPr>
        <w:t>S</w:t>
      </w:r>
      <w:r w:rsidRPr="00F27FFC">
        <w:rPr>
          <w:rFonts w:ascii="Times New Roman" w:eastAsia="Times New Roman" w:hAnsi="Times New Roman" w:cs="Times New Roman"/>
          <w:color w:val="000000"/>
          <w:kern w:val="0"/>
          <w14:ligatures w14:val="none"/>
        </w:rPr>
        <w:t>ometimes I'll teach a concept and then I'll be like, by the way, this was this [science] concept.” For him, positioning science as a secondary element helped reduce barriers and allowed students to recognize connections without intimidation. Lily echoes this saying</w:t>
      </w:r>
      <w:r w:rsidR="00056C40">
        <w:rPr>
          <w:rFonts w:ascii="Times New Roman" w:eastAsia="Times New Roman" w:hAnsi="Times New Roman" w:cs="Times New Roman"/>
          <w:color w:val="000000"/>
          <w:kern w:val="0"/>
          <w14:ligatures w14:val="none"/>
        </w:rPr>
        <w:t>,</w:t>
      </w:r>
      <w:r w:rsidRPr="00F27FFC">
        <w:rPr>
          <w:rFonts w:ascii="Times New Roman" w:eastAsia="Times New Roman" w:hAnsi="Times New Roman" w:cs="Times New Roman"/>
          <w:color w:val="000000"/>
          <w:kern w:val="0"/>
          <w14:ligatures w14:val="none"/>
        </w:rPr>
        <w:t xml:space="preserve"> </w:t>
      </w:r>
      <w:r w:rsidRPr="00F27FFC">
        <w:rPr>
          <w:rFonts w:ascii="Times New Roman" w:eastAsia="Times New Roman" w:hAnsi="Times New Roman" w:cs="Times New Roman"/>
          <w:kern w:val="0"/>
          <w14:ligatures w14:val="none"/>
        </w:rPr>
        <w:t>“I have found that [students] are more receptive when they realize it's science later.”</w:t>
      </w:r>
      <w:r w:rsidR="000C124D">
        <w:rPr>
          <w:rFonts w:ascii="Times New Roman" w:eastAsia="Times New Roman" w:hAnsi="Times New Roman" w:cs="Times New Roman"/>
          <w:color w:val="000000"/>
          <w:kern w:val="0"/>
          <w14:ligatures w14:val="none"/>
        </w:rPr>
        <w:t xml:space="preserve"> </w:t>
      </w:r>
      <w:r w:rsidRPr="00F27FFC">
        <w:rPr>
          <w:rFonts w:ascii="Times New Roman" w:eastAsia="Times New Roman" w:hAnsi="Times New Roman" w:cs="Times New Roman"/>
          <w:color w:val="000000"/>
          <w:kern w:val="0"/>
          <w14:ligatures w14:val="none"/>
        </w:rPr>
        <w:t xml:space="preserve">Similarly, Chloe also observed that students respond positively when science is emphasized through engaging activities. She explained, “I've had really good feedback from kids when you make that shift. Since making that shift [to more scientific </w:t>
      </w:r>
      <w:proofErr w:type="gramStart"/>
      <w:r w:rsidRPr="00F27FFC">
        <w:rPr>
          <w:rFonts w:ascii="Times New Roman" w:eastAsia="Times New Roman" w:hAnsi="Times New Roman" w:cs="Times New Roman"/>
          <w:color w:val="000000"/>
          <w:kern w:val="0"/>
          <w14:ligatures w14:val="none"/>
        </w:rPr>
        <w:t>labs]…</w:t>
      </w:r>
      <w:proofErr w:type="gramEnd"/>
      <w:r w:rsidRPr="00F27FFC">
        <w:rPr>
          <w:rFonts w:ascii="Times New Roman" w:eastAsia="Times New Roman" w:hAnsi="Times New Roman" w:cs="Times New Roman"/>
          <w:color w:val="000000"/>
          <w:kern w:val="0"/>
          <w14:ligatures w14:val="none"/>
        </w:rPr>
        <w:t xml:space="preserve"> I think kids really do get into them.” </w:t>
      </w:r>
    </w:p>
    <w:p w14:paraId="2B19ADD7" w14:textId="77777777" w:rsidR="00F27FFC" w:rsidRPr="00F27FFC" w:rsidRDefault="00F27FFC" w:rsidP="6FDD329B">
      <w:pPr>
        <w:spacing w:after="240" w:line="240" w:lineRule="auto"/>
        <w:rPr>
          <w:rFonts w:ascii="Times New Roman" w:eastAsia="Times New Roman" w:hAnsi="Times New Roman" w:cs="Times New Roman"/>
          <w:b/>
          <w:bCs/>
          <w:kern w:val="0"/>
          <w14:ligatures w14:val="none"/>
        </w:rPr>
      </w:pPr>
      <w:r w:rsidRPr="00F27FFC">
        <w:rPr>
          <w:rFonts w:ascii="Times New Roman" w:eastAsia="Times New Roman" w:hAnsi="Times New Roman" w:cs="Times New Roman"/>
          <w:b/>
          <w:bCs/>
          <w:kern w:val="0"/>
          <w14:ligatures w14:val="none"/>
        </w:rPr>
        <w:t xml:space="preserve">How Much Science Makes it into the </w:t>
      </w:r>
      <w:proofErr w:type="gramStart"/>
      <w:r w:rsidRPr="00F27FFC">
        <w:rPr>
          <w:rFonts w:ascii="Times New Roman" w:eastAsia="Times New Roman" w:hAnsi="Times New Roman" w:cs="Times New Roman"/>
          <w:b/>
          <w:bCs/>
          <w:kern w:val="0"/>
          <w14:ligatures w14:val="none"/>
        </w:rPr>
        <w:t>Classroom</w:t>
      </w:r>
      <w:proofErr w:type="gramEnd"/>
    </w:p>
    <w:p w14:paraId="065D611A" w14:textId="6E7762A7" w:rsidR="00F27FFC" w:rsidRPr="00F27FFC" w:rsidRDefault="00F27FFC" w:rsidP="00E10D2F">
      <w:pPr>
        <w:spacing w:after="240" w:line="240" w:lineRule="auto"/>
        <w:ind w:firstLine="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Teachers varied in </w:t>
      </w:r>
      <w:r w:rsidR="00056C40">
        <w:rPr>
          <w:rFonts w:ascii="Times New Roman" w:eastAsia="Times New Roman" w:hAnsi="Times New Roman" w:cs="Times New Roman"/>
          <w:kern w:val="0"/>
          <w14:ligatures w14:val="none"/>
        </w:rPr>
        <w:t>the</w:t>
      </w:r>
      <w:r w:rsidRPr="00F27FFC">
        <w:rPr>
          <w:rFonts w:ascii="Times New Roman" w:eastAsia="Times New Roman" w:hAnsi="Times New Roman" w:cs="Times New Roman"/>
          <w:kern w:val="0"/>
          <w14:ligatures w14:val="none"/>
        </w:rPr>
        <w:t xml:space="preserve"> </w:t>
      </w:r>
      <w:r w:rsidR="00056C40">
        <w:rPr>
          <w:rFonts w:ascii="Times New Roman" w:eastAsia="Times New Roman" w:hAnsi="Times New Roman" w:cs="Times New Roman"/>
          <w:kern w:val="0"/>
          <w14:ligatures w14:val="none"/>
        </w:rPr>
        <w:t>extent</w:t>
      </w:r>
      <w:r w:rsidRPr="00F27FFC">
        <w:rPr>
          <w:rFonts w:ascii="Times New Roman" w:eastAsia="Times New Roman" w:hAnsi="Times New Roman" w:cs="Times New Roman"/>
          <w:kern w:val="0"/>
          <w14:ligatures w14:val="none"/>
        </w:rPr>
        <w:t xml:space="preserve"> </w:t>
      </w:r>
      <w:r w:rsidR="00056C40">
        <w:rPr>
          <w:rFonts w:ascii="Times New Roman" w:eastAsia="Times New Roman" w:hAnsi="Times New Roman" w:cs="Times New Roman"/>
          <w:kern w:val="0"/>
          <w14:ligatures w14:val="none"/>
        </w:rPr>
        <w:t>to which</w:t>
      </w:r>
      <w:r w:rsidRPr="00F27FFC">
        <w:rPr>
          <w:rFonts w:ascii="Times New Roman" w:eastAsia="Times New Roman" w:hAnsi="Times New Roman" w:cs="Times New Roman"/>
          <w:kern w:val="0"/>
          <w14:ligatures w14:val="none"/>
        </w:rPr>
        <w:t xml:space="preserve"> they reported integrating </w:t>
      </w:r>
      <w:r w:rsidR="00056C40">
        <w:rPr>
          <w:rFonts w:ascii="Times New Roman" w:eastAsia="Times New Roman" w:hAnsi="Times New Roman" w:cs="Times New Roman"/>
          <w:kern w:val="0"/>
          <w14:ligatures w14:val="none"/>
        </w:rPr>
        <w:t xml:space="preserve">science </w:t>
      </w:r>
      <w:r w:rsidRPr="00F27FFC">
        <w:rPr>
          <w:rFonts w:ascii="Times New Roman" w:eastAsia="Times New Roman" w:hAnsi="Times New Roman" w:cs="Times New Roman"/>
          <w:kern w:val="0"/>
          <w14:ligatures w14:val="none"/>
        </w:rPr>
        <w:t xml:space="preserve">into their agriculture courses, with some emphasizing scaffolding, others </w:t>
      </w:r>
      <w:r w:rsidR="00056C40">
        <w:rPr>
          <w:rFonts w:ascii="Times New Roman" w:eastAsia="Times New Roman" w:hAnsi="Times New Roman" w:cs="Times New Roman"/>
          <w:kern w:val="0"/>
          <w14:ligatures w14:val="none"/>
        </w:rPr>
        <w:t>highlighting</w:t>
      </w:r>
      <w:r w:rsidRPr="00F27FFC">
        <w:rPr>
          <w:rFonts w:ascii="Times New Roman" w:eastAsia="Times New Roman" w:hAnsi="Times New Roman" w:cs="Times New Roman"/>
          <w:kern w:val="0"/>
          <w14:ligatures w14:val="none"/>
        </w:rPr>
        <w:t xml:space="preserve"> specific content areas, and several tying integrations solely to </w:t>
      </w:r>
      <w:r w:rsidR="00056C40">
        <w:rPr>
          <w:rFonts w:ascii="Times New Roman" w:eastAsia="Times New Roman" w:hAnsi="Times New Roman" w:cs="Times New Roman"/>
          <w:kern w:val="0"/>
          <w14:ligatures w14:val="none"/>
        </w:rPr>
        <w:t xml:space="preserve">the </w:t>
      </w:r>
      <w:r w:rsidRPr="00F27FFC">
        <w:rPr>
          <w:rFonts w:ascii="Times New Roman" w:eastAsia="Times New Roman" w:hAnsi="Times New Roman" w:cs="Times New Roman"/>
          <w:kern w:val="0"/>
          <w14:ligatures w14:val="none"/>
        </w:rPr>
        <w:t>Agriscience Fair. Hannah talked about how she scaffolds instruction within a class during a unit</w:t>
      </w:r>
      <w:r w:rsidR="00056C40">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saying, “So I kind of build base knowledge</w:t>
      </w:r>
      <w:r w:rsidR="00056C40">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do something to, you know, make them learn that base knowledge or apply</w:t>
      </w:r>
      <w:r w:rsidR="00056C40">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not apply quite yet, but like for it to stick and then apply.”</w:t>
      </w:r>
    </w:p>
    <w:p w14:paraId="6E974A13" w14:textId="71D420C9" w:rsidR="00F27FFC" w:rsidRPr="00F27FFC" w:rsidRDefault="00F27FFC" w:rsidP="000F0A62">
      <w:pPr>
        <w:spacing w:after="240" w:line="240" w:lineRule="auto"/>
        <w:ind w:firstLine="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For some participants, science integration was tied almost exclusively to the Agriscience Fair. Natalie described building an entire class around it</w:t>
      </w:r>
      <w:r w:rsidR="00F53B6E">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saying, </w:t>
      </w:r>
      <w:r w:rsidR="009629CE">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It incorporates a tremendous </w:t>
      </w:r>
      <w:r w:rsidRPr="00F27FFC">
        <w:rPr>
          <w:rFonts w:ascii="Times New Roman" w:eastAsia="Times New Roman" w:hAnsi="Times New Roman" w:cs="Times New Roman"/>
          <w:kern w:val="0"/>
          <w14:ligatures w14:val="none"/>
        </w:rPr>
        <w:lastRenderedPageBreak/>
        <w:t>amount of science and math</w:t>
      </w:r>
      <w:r w:rsidR="00F53B6E">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of course, and makes it very </w:t>
      </w:r>
      <w:r w:rsidR="00F53B6E" w:rsidRPr="00F27FFC">
        <w:rPr>
          <w:rFonts w:ascii="Times New Roman" w:eastAsia="Times New Roman" w:hAnsi="Times New Roman" w:cs="Times New Roman"/>
          <w:kern w:val="0"/>
          <w14:ligatures w14:val="none"/>
        </w:rPr>
        <w:t>hands</w:t>
      </w:r>
      <w:r w:rsidR="00F53B6E">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on for them</w:t>
      </w:r>
      <w:r w:rsidR="009629CE">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one of the very few opportunities that middle schoolers at least have to compete at the national level.</w:t>
      </w:r>
      <w:r w:rsidR="000F0A62">
        <w:rPr>
          <w:rFonts w:ascii="Times New Roman" w:eastAsia="Times New Roman" w:hAnsi="Times New Roman" w:cs="Times New Roman"/>
          <w:kern w:val="0"/>
          <w14:ligatures w14:val="none"/>
        </w:rPr>
        <w:t xml:space="preserve">” </w:t>
      </w:r>
      <w:r w:rsidRPr="00F27FFC">
        <w:rPr>
          <w:rFonts w:ascii="Times New Roman" w:eastAsia="Times New Roman" w:hAnsi="Times New Roman" w:cs="Times New Roman"/>
          <w:kern w:val="0"/>
          <w14:ligatures w14:val="none"/>
        </w:rPr>
        <w:t xml:space="preserve">Ari also tied her use of the scientific method to the </w:t>
      </w:r>
      <w:proofErr w:type="spellStart"/>
      <w:r w:rsidRPr="00F27FFC">
        <w:rPr>
          <w:rFonts w:ascii="Times New Roman" w:eastAsia="Times New Roman" w:hAnsi="Times New Roman" w:cs="Times New Roman"/>
          <w:kern w:val="0"/>
          <w14:ligatures w14:val="none"/>
        </w:rPr>
        <w:t>Agr</w:t>
      </w:r>
      <w:r w:rsidR="00A177FA">
        <w:rPr>
          <w:rFonts w:ascii="Times New Roman" w:eastAsia="Times New Roman" w:hAnsi="Times New Roman" w:cs="Times New Roman"/>
          <w:kern w:val="0"/>
          <w14:ligatures w14:val="none"/>
        </w:rPr>
        <w:t>i</w:t>
      </w:r>
      <w:r w:rsidRPr="00F27FFC">
        <w:rPr>
          <w:rFonts w:ascii="Times New Roman" w:eastAsia="Times New Roman" w:hAnsi="Times New Roman" w:cs="Times New Roman"/>
          <w:kern w:val="0"/>
          <w14:ligatures w14:val="none"/>
        </w:rPr>
        <w:t>sicience</w:t>
      </w:r>
      <w:proofErr w:type="spellEnd"/>
      <w:r w:rsidRPr="00F27FFC">
        <w:rPr>
          <w:rFonts w:ascii="Times New Roman" w:eastAsia="Times New Roman" w:hAnsi="Times New Roman" w:cs="Times New Roman"/>
          <w:kern w:val="0"/>
          <w14:ligatures w14:val="none"/>
        </w:rPr>
        <w:t xml:space="preserve"> Fair, explaining, “But I do teach scientific method and my kids in 7th grade</w:t>
      </w:r>
      <w:r w:rsidR="00907C6F">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for their as a project</w:t>
      </w:r>
      <w:r w:rsidR="00907C6F">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 they have to do an actual science fair just because we don't do a school one.” </w:t>
      </w:r>
    </w:p>
    <w:p w14:paraId="03A24CF2" w14:textId="6B8C7743" w:rsidR="00F27FFC" w:rsidRPr="00F27FFC" w:rsidRDefault="00F27FFC" w:rsidP="00683E7F">
      <w:pPr>
        <w:spacing w:after="240" w:line="240" w:lineRule="auto"/>
        <w:ind w:firstLine="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Over half of the participants </w:t>
      </w:r>
      <w:r w:rsidR="00A177FA">
        <w:rPr>
          <w:rFonts w:ascii="Times New Roman" w:eastAsia="Times New Roman" w:hAnsi="Times New Roman" w:cs="Times New Roman"/>
          <w:kern w:val="0"/>
          <w14:ligatures w14:val="none"/>
        </w:rPr>
        <w:t>reported</w:t>
      </w:r>
      <w:r w:rsidR="00A177FA" w:rsidRPr="00F27FFC">
        <w:rPr>
          <w:rFonts w:ascii="Times New Roman" w:eastAsia="Times New Roman" w:hAnsi="Times New Roman" w:cs="Times New Roman"/>
          <w:kern w:val="0"/>
          <w14:ligatures w14:val="none"/>
        </w:rPr>
        <w:t xml:space="preserve"> </w:t>
      </w:r>
      <w:r w:rsidRPr="00F27FFC">
        <w:rPr>
          <w:rFonts w:ascii="Times New Roman" w:eastAsia="Times New Roman" w:hAnsi="Times New Roman" w:cs="Times New Roman"/>
          <w:kern w:val="0"/>
          <w14:ligatures w14:val="none"/>
        </w:rPr>
        <w:t xml:space="preserve">that their schools offer some agriculture courses as a science credit for students. Ethan, however, explained why he intentionally avoided promoting his class for a science credit, </w:t>
      </w:r>
      <w:r w:rsidR="00683E7F">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I don't advertise it… We don't advertise that basic ag counts as a 4th science credit</w:t>
      </w:r>
      <w:r w:rsidR="00683E7F">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because I'm going to get a class full of kids that can't pass a 4th science class, and I don't want [that]</w:t>
      </w:r>
      <w:r w:rsidR="00925EA2">
        <w:rPr>
          <w:rFonts w:ascii="Times New Roman" w:eastAsia="Times New Roman" w:hAnsi="Times New Roman" w:cs="Times New Roman"/>
          <w:kern w:val="0"/>
          <w14:ligatures w14:val="none"/>
        </w:rPr>
        <w:t>.”</w:t>
      </w:r>
    </w:p>
    <w:p w14:paraId="046E9185" w14:textId="77777777" w:rsidR="00F27FFC" w:rsidRPr="00F27FFC" w:rsidRDefault="00F27FFC" w:rsidP="6FDD329B">
      <w:pPr>
        <w:spacing w:after="240" w:line="240" w:lineRule="auto"/>
        <w:rPr>
          <w:rFonts w:ascii="Times New Roman" w:eastAsia="Times New Roman" w:hAnsi="Times New Roman" w:cs="Times New Roman"/>
          <w:b/>
          <w:bCs/>
          <w:kern w:val="0"/>
          <w14:ligatures w14:val="none"/>
        </w:rPr>
      </w:pPr>
      <w:r w:rsidRPr="00F27FFC">
        <w:rPr>
          <w:rFonts w:ascii="Times New Roman" w:eastAsia="Times New Roman" w:hAnsi="Times New Roman" w:cs="Times New Roman"/>
          <w:b/>
          <w:bCs/>
          <w:kern w:val="0"/>
          <w14:ligatures w14:val="none"/>
        </w:rPr>
        <w:t>Factors Influencing Teachers’ Science Integration Practices</w:t>
      </w:r>
    </w:p>
    <w:p w14:paraId="2874677C" w14:textId="57B837DF" w:rsidR="00F27FFC" w:rsidRPr="00F27FFC" w:rsidRDefault="00F27FFC" w:rsidP="003C7AFC">
      <w:pPr>
        <w:spacing w:after="240" w:line="240" w:lineRule="auto"/>
        <w:ind w:firstLine="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Teachers consistently described their preparation programs as offering limited exposure to science integration. For many, undergraduate coursework emphasized pedagogy and general teaching methods but did not explicitly address how to incorporate scientific content into agricultural education. Noah reflected, “I wasn't well prepared to integrate science because… I don't ever remember covering that in my bachelor</w:t>
      </w:r>
      <w:r w:rsidR="00907C6F">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s degree…I mean, I'm sure that we talked about it, but you know, it's a lot of pedagogical type things about how to teach.” Similarly, Ari shared that science integration was not framed as a core expectation during their college preparation, explaining, “But I don't think that it was ever like shoved down my throat in college, like you have to teach </w:t>
      </w:r>
      <w:proofErr w:type="gramStart"/>
      <w:r w:rsidRPr="00F27FFC">
        <w:rPr>
          <w:rFonts w:ascii="Times New Roman" w:eastAsia="Times New Roman" w:hAnsi="Times New Roman" w:cs="Times New Roman"/>
          <w:kern w:val="0"/>
          <w14:ligatures w14:val="none"/>
        </w:rPr>
        <w:t>science</w:t>
      </w:r>
      <w:proofErr w:type="gramEnd"/>
      <w:r w:rsidRPr="00F27FFC">
        <w:rPr>
          <w:rFonts w:ascii="Times New Roman" w:eastAsia="Times New Roman" w:hAnsi="Times New Roman" w:cs="Times New Roman"/>
          <w:kern w:val="0"/>
          <w14:ligatures w14:val="none"/>
        </w:rPr>
        <w:t xml:space="preserve"> or you need to teach it this way.”</w:t>
      </w:r>
      <w:r w:rsidR="003C7AFC">
        <w:rPr>
          <w:rFonts w:ascii="Times New Roman" w:eastAsia="Times New Roman" w:hAnsi="Times New Roman" w:cs="Times New Roman"/>
          <w:kern w:val="0"/>
          <w14:ligatures w14:val="none"/>
        </w:rPr>
        <w:t xml:space="preserve"> </w:t>
      </w:r>
      <w:r w:rsidRPr="00F27FFC">
        <w:rPr>
          <w:rFonts w:ascii="Times New Roman" w:eastAsia="Times New Roman" w:hAnsi="Times New Roman" w:cs="Times New Roman"/>
          <w:kern w:val="0"/>
          <w14:ligatures w14:val="none"/>
        </w:rPr>
        <w:t xml:space="preserve">In contrast, participants highlighted professional development as a powerful influence on their ability to integrate science into SBAE. Chloe emphasized the importance of targeted opportunities that directly connect science content to classroom practice, “I think there should be more that are </w:t>
      </w:r>
      <w:r w:rsidR="00735E07" w:rsidRPr="00F27FFC">
        <w:rPr>
          <w:rFonts w:ascii="Times New Roman" w:eastAsia="Times New Roman" w:hAnsi="Times New Roman" w:cs="Times New Roman"/>
          <w:kern w:val="0"/>
          <w14:ligatures w14:val="none"/>
        </w:rPr>
        <w:t>science</w:t>
      </w:r>
      <w:r w:rsidR="00735E07">
        <w:rPr>
          <w:rFonts w:ascii="Times New Roman" w:eastAsia="Times New Roman" w:hAnsi="Times New Roman" w:cs="Times New Roman"/>
          <w:kern w:val="0"/>
          <w14:ligatures w14:val="none"/>
        </w:rPr>
        <w:t>-</w:t>
      </w:r>
      <w:r w:rsidRPr="00F27FFC">
        <w:rPr>
          <w:rFonts w:ascii="Times New Roman" w:eastAsia="Times New Roman" w:hAnsi="Times New Roman" w:cs="Times New Roman"/>
          <w:kern w:val="0"/>
          <w14:ligatures w14:val="none"/>
        </w:rPr>
        <w:t xml:space="preserve">based…Here are some plant science labs that you can put into your middle school or high school classroom tomorrow, and you can feel confident implementing.” </w:t>
      </w:r>
    </w:p>
    <w:p w14:paraId="2BF34FEC" w14:textId="5F304C6A" w:rsidR="00F27FFC" w:rsidRPr="00F27FFC" w:rsidRDefault="006973E2" w:rsidP="6FDD329B">
      <w:pPr>
        <w:spacing w:after="240" w:line="240" w:lineRule="auto"/>
        <w:ind w:firstLine="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Many</w:t>
      </w:r>
      <w:r w:rsidR="00F27FFC" w:rsidRPr="00F27FFC">
        <w:rPr>
          <w:rFonts w:ascii="Times New Roman" w:eastAsia="Times New Roman" w:hAnsi="Times New Roman" w:cs="Times New Roman"/>
          <w:kern w:val="0"/>
          <w14:ligatures w14:val="none"/>
        </w:rPr>
        <w:t xml:space="preserve"> of the teachers </w:t>
      </w:r>
      <w:r>
        <w:rPr>
          <w:rFonts w:ascii="Times New Roman" w:eastAsia="Times New Roman" w:hAnsi="Times New Roman" w:cs="Times New Roman"/>
          <w:kern w:val="0"/>
          <w14:ligatures w14:val="none"/>
        </w:rPr>
        <w:t>discussed</w:t>
      </w:r>
      <w:r w:rsidR="00F27FFC" w:rsidRPr="00F27FF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 xml:space="preserve">how </w:t>
      </w:r>
      <w:r w:rsidR="00F27FFC" w:rsidRPr="00F27FFC">
        <w:rPr>
          <w:rFonts w:ascii="Times New Roman" w:eastAsia="Times New Roman" w:hAnsi="Times New Roman" w:cs="Times New Roman"/>
          <w:kern w:val="0"/>
          <w14:ligatures w14:val="none"/>
        </w:rPr>
        <w:t xml:space="preserve">the Georgia Performance Standards </w:t>
      </w:r>
      <w:r>
        <w:rPr>
          <w:rFonts w:ascii="Times New Roman" w:eastAsia="Times New Roman" w:hAnsi="Times New Roman" w:cs="Times New Roman"/>
          <w:kern w:val="0"/>
          <w14:ligatures w14:val="none"/>
        </w:rPr>
        <w:t>for</w:t>
      </w:r>
      <w:r w:rsidR="00F27FFC" w:rsidRPr="00F27FFC">
        <w:rPr>
          <w:rFonts w:ascii="Times New Roman" w:eastAsia="Times New Roman" w:hAnsi="Times New Roman" w:cs="Times New Roman"/>
          <w:kern w:val="0"/>
          <w14:ligatures w14:val="none"/>
        </w:rPr>
        <w:t xml:space="preserve"> each course within the AFNR cluster </w:t>
      </w:r>
      <w:r>
        <w:rPr>
          <w:rFonts w:ascii="Times New Roman" w:eastAsia="Times New Roman" w:hAnsi="Times New Roman" w:cs="Times New Roman"/>
          <w:kern w:val="0"/>
          <w14:ligatures w14:val="none"/>
        </w:rPr>
        <w:t>determine</w:t>
      </w:r>
      <w:r w:rsidR="00F27FFC" w:rsidRPr="00F27FF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the</w:t>
      </w:r>
      <w:r w:rsidR="00F27FFC" w:rsidRPr="00F27FF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extent of</w:t>
      </w:r>
      <w:r w:rsidR="00F27FFC" w:rsidRPr="00F27FFC">
        <w:rPr>
          <w:rFonts w:ascii="Times New Roman" w:eastAsia="Times New Roman" w:hAnsi="Times New Roman" w:cs="Times New Roman"/>
          <w:kern w:val="0"/>
          <w14:ligatures w14:val="none"/>
        </w:rPr>
        <w:t xml:space="preserve"> science integration </w:t>
      </w:r>
      <w:r>
        <w:rPr>
          <w:rFonts w:ascii="Times New Roman" w:eastAsia="Times New Roman" w:hAnsi="Times New Roman" w:cs="Times New Roman"/>
          <w:kern w:val="0"/>
          <w14:ligatures w14:val="none"/>
        </w:rPr>
        <w:t xml:space="preserve">that </w:t>
      </w:r>
      <w:r w:rsidR="00F27FFC" w:rsidRPr="00F27FFC">
        <w:rPr>
          <w:rFonts w:ascii="Times New Roman" w:eastAsia="Times New Roman" w:hAnsi="Times New Roman" w:cs="Times New Roman"/>
          <w:kern w:val="0"/>
          <w14:ligatures w14:val="none"/>
        </w:rPr>
        <w:t xml:space="preserve">can be achieved. When asked if the course standards allow for adequate science integration, Caleb responded, “Yes and no. I'm </w:t>
      </w:r>
      <w:proofErr w:type="spellStart"/>
      <w:r w:rsidR="00F27FFC" w:rsidRPr="00F27FFC">
        <w:rPr>
          <w:rFonts w:ascii="Times New Roman" w:eastAsia="Times New Roman" w:hAnsi="Times New Roman" w:cs="Times New Roman"/>
          <w:kern w:val="0"/>
          <w14:ligatures w14:val="none"/>
        </w:rPr>
        <w:t>gonna</w:t>
      </w:r>
      <w:proofErr w:type="spellEnd"/>
      <w:r w:rsidR="00F27FFC" w:rsidRPr="00F27FFC">
        <w:rPr>
          <w:rFonts w:ascii="Times New Roman" w:eastAsia="Times New Roman" w:hAnsi="Times New Roman" w:cs="Times New Roman"/>
          <w:kern w:val="0"/>
          <w14:ligatures w14:val="none"/>
        </w:rPr>
        <w:t xml:space="preserve"> say, some of them </w:t>
      </w:r>
      <w:proofErr w:type="gramStart"/>
      <w:r w:rsidR="00F27FFC" w:rsidRPr="00F27FFC">
        <w:rPr>
          <w:rFonts w:ascii="Times New Roman" w:eastAsia="Times New Roman" w:hAnsi="Times New Roman" w:cs="Times New Roman"/>
          <w:kern w:val="0"/>
          <w14:ligatures w14:val="none"/>
        </w:rPr>
        <w:t>definitely do</w:t>
      </w:r>
      <w:proofErr w:type="gramEnd"/>
      <w:r w:rsidR="00F27FFC" w:rsidRPr="00F27FFC">
        <w:rPr>
          <w:rFonts w:ascii="Times New Roman" w:eastAsia="Times New Roman" w:hAnsi="Times New Roman" w:cs="Times New Roman"/>
          <w:kern w:val="0"/>
          <w14:ligatures w14:val="none"/>
        </w:rPr>
        <w:t xml:space="preserve"> not. I think some of them are…like a course like floral design, is much less </w:t>
      </w:r>
      <w:r w:rsidR="00DD4609" w:rsidRPr="00F27FFC">
        <w:rPr>
          <w:rFonts w:ascii="Times New Roman" w:eastAsia="Times New Roman" w:hAnsi="Times New Roman" w:cs="Times New Roman"/>
          <w:kern w:val="0"/>
          <w14:ligatures w14:val="none"/>
        </w:rPr>
        <w:t>science</w:t>
      </w:r>
      <w:r w:rsidR="00DD4609">
        <w:rPr>
          <w:rFonts w:ascii="Times New Roman" w:eastAsia="Times New Roman" w:hAnsi="Times New Roman" w:cs="Times New Roman"/>
          <w:kern w:val="0"/>
          <w14:ligatures w14:val="none"/>
        </w:rPr>
        <w:t>-</w:t>
      </w:r>
      <w:r w:rsidR="00F27FFC" w:rsidRPr="00F27FFC">
        <w:rPr>
          <w:rFonts w:ascii="Times New Roman" w:eastAsia="Times New Roman" w:hAnsi="Times New Roman" w:cs="Times New Roman"/>
          <w:kern w:val="0"/>
          <w14:ligatures w14:val="none"/>
        </w:rPr>
        <w:t>based than a course like horticulture.” Lily supported this idea by adding, “I think that for some classes it's really it leaves it a lot of open-endedness about it like you could go a lot of different ways and a different routes about teaching some aspects [of science],” but elaborated on the rigidity of some courses saying, “There are some [courses], where it's very specific, you can only teach them the standard about animal bioterrorism. It's very nitpicky about what you can teach…less opportunities you have to incorporate some of the science principles that would be connected.”</w:t>
      </w:r>
    </w:p>
    <w:p w14:paraId="7CA3655E" w14:textId="5AF076EB" w:rsidR="00F27FFC" w:rsidRPr="00F27FFC" w:rsidRDefault="00F27FFC" w:rsidP="00E10D2F">
      <w:pPr>
        <w:spacing w:after="240" w:line="240" w:lineRule="auto"/>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ab/>
        <w:t>Participants emphasized how local contexts, such as community industries and student backgrounds, influenced the way science integration occurred in their classrooms. Chloe explained how connecting agricultural content to the dominant industry in her area made learning more relevant</w:t>
      </w:r>
      <w:r w:rsidR="00DD4609">
        <w:rPr>
          <w:rFonts w:ascii="Times New Roman" w:eastAsia="Times New Roman" w:hAnsi="Times New Roman" w:cs="Times New Roman"/>
          <w:kern w:val="0"/>
          <w14:ligatures w14:val="none"/>
        </w:rPr>
        <w:t>,</w:t>
      </w:r>
      <w:r w:rsidR="00E841D4">
        <w:rPr>
          <w:rFonts w:ascii="Times New Roman" w:eastAsia="Times New Roman" w:hAnsi="Times New Roman" w:cs="Times New Roman"/>
          <w:kern w:val="0"/>
          <w14:ligatures w14:val="none"/>
        </w:rPr>
        <w:t xml:space="preserve"> saying</w:t>
      </w:r>
      <w:r w:rsidRPr="00F27FFC">
        <w:rPr>
          <w:rFonts w:ascii="Times New Roman" w:eastAsia="Times New Roman" w:hAnsi="Times New Roman" w:cs="Times New Roman"/>
          <w:kern w:val="0"/>
          <w14:ligatures w14:val="none"/>
        </w:rPr>
        <w:t xml:space="preserve">, “That helps me, because poultry is so important in our area… That way I can then tell students, ‘Agriscience is one thing, but then you have poultry science included in that.’” Similarly, Caleb described how aligning instruction to community interests </w:t>
      </w:r>
      <w:r w:rsidRPr="00F27FFC">
        <w:rPr>
          <w:rFonts w:ascii="Times New Roman" w:eastAsia="Times New Roman" w:hAnsi="Times New Roman" w:cs="Times New Roman"/>
          <w:kern w:val="0"/>
          <w14:ligatures w14:val="none"/>
        </w:rPr>
        <w:lastRenderedPageBreak/>
        <w:t>and identities sparked student engagement. He said, “</w:t>
      </w:r>
      <w:r w:rsidR="00DD4609">
        <w:rPr>
          <w:rFonts w:ascii="Times New Roman" w:eastAsia="Times New Roman" w:hAnsi="Times New Roman" w:cs="Times New Roman"/>
          <w:kern w:val="0"/>
          <w14:ligatures w14:val="none"/>
        </w:rPr>
        <w:t>T</w:t>
      </w:r>
      <w:r w:rsidR="00DD4609" w:rsidRPr="00F27FFC">
        <w:rPr>
          <w:rFonts w:ascii="Times New Roman" w:eastAsia="Times New Roman" w:hAnsi="Times New Roman" w:cs="Times New Roman"/>
          <w:kern w:val="0"/>
          <w14:ligatures w14:val="none"/>
        </w:rPr>
        <w:t xml:space="preserve">hat's </w:t>
      </w:r>
      <w:r w:rsidRPr="00F27FFC">
        <w:rPr>
          <w:rFonts w:ascii="Times New Roman" w:eastAsia="Times New Roman" w:hAnsi="Times New Roman" w:cs="Times New Roman"/>
          <w:kern w:val="0"/>
          <w14:ligatures w14:val="none"/>
        </w:rPr>
        <w:t xml:space="preserve">opened a lot of students’ eyes with starting the nursery landscape pathway…because we live here in [city] and taking turf type stuff and applying it to sports. Because just living in [city], it’s a big sports town.” </w:t>
      </w:r>
    </w:p>
    <w:p w14:paraId="3117FBBE" w14:textId="77777777" w:rsidR="00F27FFC" w:rsidRPr="00F27FFC" w:rsidRDefault="00F27FFC" w:rsidP="6FDD329B">
      <w:pPr>
        <w:spacing w:after="240" w:line="240" w:lineRule="auto"/>
        <w:jc w:val="center"/>
        <w:rPr>
          <w:rFonts w:ascii="Times New Roman" w:eastAsia="Times New Roman" w:hAnsi="Times New Roman" w:cs="Times New Roman"/>
          <w:b/>
          <w:bCs/>
          <w:kern w:val="0"/>
          <w14:ligatures w14:val="none"/>
        </w:rPr>
      </w:pPr>
      <w:bookmarkStart w:id="2" w:name="OLE_LINK2"/>
      <w:r w:rsidRPr="00F27FFC">
        <w:rPr>
          <w:rFonts w:ascii="Times New Roman" w:eastAsia="Times New Roman" w:hAnsi="Times New Roman" w:cs="Times New Roman"/>
          <w:b/>
          <w:bCs/>
          <w:kern w:val="0"/>
          <w14:ligatures w14:val="none"/>
        </w:rPr>
        <w:t xml:space="preserve">Conclusions, Discussions, and Recommendations </w:t>
      </w:r>
    </w:p>
    <w:bookmarkEnd w:id="2"/>
    <w:p w14:paraId="55069594" w14:textId="027C4A5A" w:rsidR="00803751" w:rsidRDefault="00803751" w:rsidP="00803751">
      <w:pPr>
        <w:pStyle w:val="NormalWeb"/>
        <w:ind w:firstLine="720"/>
      </w:pPr>
      <w:r>
        <w:t xml:space="preserve">The findings of this study revealed </w:t>
      </w:r>
      <w:r w:rsidR="00DD4609">
        <w:t xml:space="preserve">that </w:t>
      </w:r>
      <w:r>
        <w:t xml:space="preserve">the amount of science and approaches to integrating science in SBAE classrooms varied significantly from case to case. Supporting previous research </w:t>
      </w:r>
      <w:r w:rsidR="00DD4609">
        <w:t xml:space="preserve">on </w:t>
      </w:r>
      <w:r>
        <w:t xml:space="preserve">effective STEM education (Bybee, 2014), some participants emphasized science through hands-on, inquiry-based approaches. Others were significantly less intentional or considered it as cross-curricular connections (Early, 2019; Jeya Harish et al., 2012), rather than interdisciplinary learning. Numerous teachers achieved integration through Agriscience Fair projects, where the structure inherently requires </w:t>
      </w:r>
      <w:r w:rsidR="00DD4609">
        <w:t xml:space="preserve">the </w:t>
      </w:r>
      <w:r>
        <w:t xml:space="preserve">scientific method and experimentation, </w:t>
      </w:r>
      <w:r w:rsidR="00DD4609">
        <w:t>as emphasized by</w:t>
      </w:r>
      <w:r>
        <w:t xml:space="preserve"> Ford et al. (2025) </w:t>
      </w:r>
      <w:r w:rsidR="00DD4609">
        <w:t xml:space="preserve">in </w:t>
      </w:r>
      <w:r>
        <w:t>its usefulness when incorporated.</w:t>
      </w:r>
    </w:p>
    <w:p w14:paraId="78A53258" w14:textId="1B7B0CE8" w:rsidR="00803751" w:rsidRDefault="00803751" w:rsidP="00803751">
      <w:pPr>
        <w:pStyle w:val="NormalWeb"/>
        <w:ind w:firstLine="720"/>
      </w:pPr>
      <w:r>
        <w:t>Levels of science concepts varied from basic introductions to advanced applications of biology, chemistry, physics, and environmental science. All teachers who discussed the scientific method described it using an oversimplified, linear model, an outdated representation (Lederman et al., 2014; McComas, 2020) that can create misconceptions. For others, integration remained surface-level without deeper exploration. Supporting prior studies (Baker et al., 2015;</w:t>
      </w:r>
      <w:r w:rsidR="008B5717">
        <w:t xml:space="preserve"> Branscum et al., 2025; </w:t>
      </w:r>
      <w:r w:rsidR="005F2F08">
        <w:t>Honeman &amp; Eck, 2025;</w:t>
      </w:r>
      <w:r>
        <w:t xml:space="preserve"> Thoron &amp; Myers, 2010; Washburn &amp; Myers, 2010), many noted content knowledge deficiencies. Consequently, some classrooms embedded science comprehensively, while others limited it to isolated lessons or projects.</w:t>
      </w:r>
    </w:p>
    <w:p w14:paraId="50E2A35C" w14:textId="29501C50" w:rsidR="00803751" w:rsidRDefault="00803751" w:rsidP="00D501D7">
      <w:pPr>
        <w:pStyle w:val="NormalWeb"/>
        <w:ind w:firstLine="720"/>
      </w:pPr>
      <w:r>
        <w:t xml:space="preserve">Participants reported </w:t>
      </w:r>
      <w:r w:rsidR="00DD4609">
        <w:t xml:space="preserve">that </w:t>
      </w:r>
      <w:r>
        <w:t xml:space="preserve">teacher preparation often left them unprepared for science integration, </w:t>
      </w:r>
      <w:r w:rsidR="00DD4609">
        <w:t>a skill that is</w:t>
      </w:r>
      <w:r>
        <w:t xml:space="preserve"> developed through practice. This </w:t>
      </w:r>
      <w:r w:rsidR="00DD4609">
        <w:t>highlight</w:t>
      </w:r>
      <w:r>
        <w:t xml:space="preserve">s a contrast with science teachers, </w:t>
      </w:r>
      <w:r w:rsidR="00DD4609">
        <w:t xml:space="preserve">who are typically </w:t>
      </w:r>
      <w:r>
        <w:t>prepared through lab-based activities and hands-on learning (Leong &amp; Smetana, 2025; Azra Ates et al., 2025). Professional development was a stronger influence (Swafford, 2018), with resource-driven training supporting classroom implementation. Participants wanted PD explicitly connected to course standards, shaping integration as a context variable (Dunkin &amp; Biddle, 1978). Local contexts, including industries, cultural values, and student backgrounds, heavily influenced how teachers framed science</w:t>
      </w:r>
      <w:r w:rsidR="00081F68">
        <w:t xml:space="preserve">, supporting previous literature </w:t>
      </w:r>
      <w:r>
        <w:t xml:space="preserve">(Duran &amp; Duran, 2004; </w:t>
      </w:r>
      <w:proofErr w:type="spellStart"/>
      <w:r>
        <w:t>Perwaiz</w:t>
      </w:r>
      <w:proofErr w:type="spellEnd"/>
      <w:r>
        <w:t xml:space="preserve"> &amp; </w:t>
      </w:r>
      <w:proofErr w:type="spellStart"/>
      <w:r>
        <w:t>Asunda</w:t>
      </w:r>
      <w:proofErr w:type="spellEnd"/>
      <w:r>
        <w:t xml:space="preserve">, 2025). </w:t>
      </w:r>
    </w:p>
    <w:p w14:paraId="5AE55437" w14:textId="332DDB3A" w:rsidR="008E1006" w:rsidRPr="008C7E00" w:rsidRDefault="00803751" w:rsidP="001F77C7">
      <w:pPr>
        <w:pStyle w:val="NormalWeb"/>
        <w:ind w:firstLine="720"/>
      </w:pPr>
      <w:r>
        <w:t>Recommendations for practice include SBAE teachers expanding resource-driven strategies to foster inquiry, being intentional with integration, and leveraging community connections to increase engagement and real-world application. Agriculture teacher educators should embed explicit coursework and structured experiences on science integration, with cross-disciplinary collaboration</w:t>
      </w:r>
      <w:r w:rsidR="008E1006">
        <w:t>,</w:t>
      </w:r>
      <w:r>
        <w:t xml:space="preserve"> preparing preservice teachers with stronger content knowledge. Professional development should promote scientific literacy by modeling the iterative, complex nature of inquiry through applied science in agriculture.</w:t>
      </w:r>
      <w:r w:rsidR="00D501D7">
        <w:t xml:space="preserve"> </w:t>
      </w:r>
      <w:r>
        <w:t xml:space="preserve">Future research should include qualitative and quantitative approaches. Comparative analysis across states and standards is encouraged. To assess </w:t>
      </w:r>
      <w:r w:rsidR="008E1006">
        <w:t xml:space="preserve">the </w:t>
      </w:r>
      <w:r>
        <w:t>impacts of science integration in SBAE, research should focus on student outcomes from different approaches. Future studies should also examine the role of teacher beliefs, professional identity, and community influences in shaping science integration.</w:t>
      </w:r>
    </w:p>
    <w:p w14:paraId="4CE77C0D" w14:textId="77777777" w:rsidR="00093715" w:rsidRDefault="00093715" w:rsidP="6FDD329B">
      <w:pPr>
        <w:spacing w:after="240" w:line="240" w:lineRule="auto"/>
        <w:jc w:val="center"/>
        <w:rPr>
          <w:rFonts w:ascii="Times New Roman" w:eastAsia="Times New Roman" w:hAnsi="Times New Roman" w:cs="Times New Roman"/>
          <w:b/>
          <w:bCs/>
          <w:kern w:val="0"/>
          <w14:ligatures w14:val="none"/>
        </w:rPr>
      </w:pPr>
    </w:p>
    <w:p w14:paraId="3DDE732F" w14:textId="4C8607D6" w:rsidR="00F27FFC" w:rsidRPr="00F27FFC" w:rsidRDefault="00F27FFC" w:rsidP="6FDD329B">
      <w:pPr>
        <w:spacing w:after="240" w:line="240" w:lineRule="auto"/>
        <w:jc w:val="center"/>
        <w:rPr>
          <w:rFonts w:ascii="Times New Roman" w:eastAsia="Times New Roman" w:hAnsi="Times New Roman" w:cs="Times New Roman"/>
          <w:b/>
          <w:bCs/>
          <w:kern w:val="0"/>
          <w14:ligatures w14:val="none"/>
        </w:rPr>
      </w:pPr>
      <w:r w:rsidRPr="00F27FFC">
        <w:rPr>
          <w:rFonts w:ascii="Times New Roman" w:eastAsia="Times New Roman" w:hAnsi="Times New Roman" w:cs="Times New Roman"/>
          <w:b/>
          <w:bCs/>
          <w:kern w:val="0"/>
          <w14:ligatures w14:val="none"/>
        </w:rPr>
        <w:lastRenderedPageBreak/>
        <w:t>References</w:t>
      </w:r>
    </w:p>
    <w:p w14:paraId="19F5AC97" w14:textId="09139B06" w:rsidR="00F27FFC" w:rsidRPr="00F27FFC" w:rsidRDefault="00F27FFC" w:rsidP="6FDD329B">
      <w:pPr>
        <w:spacing w:after="240" w:line="240" w:lineRule="auto"/>
        <w:ind w:left="720" w:hanging="720"/>
        <w:rPr>
          <w:rFonts w:ascii="Times New Roman" w:eastAsia="Times New Roman" w:hAnsi="Times New Roman" w:cs="Times New Roman"/>
          <w:color w:val="000000"/>
          <w:kern w:val="0"/>
          <w:shd w:val="clear" w:color="auto" w:fill="FFFFFF"/>
          <w14:ligatures w14:val="none"/>
        </w:rPr>
      </w:pPr>
      <w:r w:rsidRPr="00F27FFC">
        <w:rPr>
          <w:rFonts w:ascii="Times New Roman" w:eastAsia="Times New Roman" w:hAnsi="Times New Roman" w:cs="Times New Roman"/>
          <w:color w:val="000000"/>
          <w:kern w:val="0"/>
          <w:shd w:val="clear" w:color="auto" w:fill="FFFFFF"/>
          <w14:ligatures w14:val="none"/>
        </w:rPr>
        <w:t xml:space="preserve">Azra Ates, K., Lundqvist, E., &amp; Almqvist, J. (2025). “Why am I going to teach science?”: Pre-service science teachers’ perspectives on science education. </w:t>
      </w:r>
      <w:r w:rsidRPr="6FDD329B">
        <w:rPr>
          <w:rFonts w:ascii="Times New Roman" w:eastAsia="Times New Roman" w:hAnsi="Times New Roman" w:cs="Times New Roman"/>
          <w:i/>
          <w:iCs/>
          <w:color w:val="000000"/>
          <w:kern w:val="0"/>
          <w:shd w:val="clear" w:color="auto" w:fill="FFFFFF"/>
          <w14:ligatures w14:val="none"/>
        </w:rPr>
        <w:t>Journal of Science Teacher Education, 36</w:t>
      </w:r>
      <w:r w:rsidRPr="00F27FFC">
        <w:rPr>
          <w:rFonts w:ascii="Times New Roman" w:eastAsia="Times New Roman" w:hAnsi="Times New Roman" w:cs="Times New Roman"/>
          <w:color w:val="000000"/>
          <w:kern w:val="0"/>
          <w:shd w:val="clear" w:color="auto" w:fill="FFFFFF"/>
          <w14:ligatures w14:val="none"/>
        </w:rPr>
        <w:t xml:space="preserve">(6), 781–802. </w:t>
      </w:r>
      <w:hyperlink r:id="rId7" w:history="1">
        <w:r w:rsidR="00980946" w:rsidRPr="00980946">
          <w:rPr>
            <w:rStyle w:val="Hyperlink"/>
            <w:rFonts w:ascii="Times New Roman" w:eastAsia="Times New Roman" w:hAnsi="Times New Roman" w:cs="Times New Roman"/>
            <w:color w:val="000000" w:themeColor="text1"/>
            <w:kern w:val="0"/>
            <w:u w:val="none"/>
            <w:shd w:val="clear" w:color="auto" w:fill="FFFFFF"/>
            <w14:ligatures w14:val="none"/>
          </w:rPr>
          <w:t>https://doi.org/10.1080/1046560X.2025.2452070</w:t>
        </w:r>
      </w:hyperlink>
      <w:r w:rsidR="00980946" w:rsidRPr="00980946">
        <w:rPr>
          <w:rFonts w:ascii="Times New Roman" w:eastAsia="Times New Roman" w:hAnsi="Times New Roman" w:cs="Times New Roman"/>
          <w:color w:val="000000" w:themeColor="text1"/>
          <w:kern w:val="0"/>
          <w:shd w:val="clear" w:color="auto" w:fill="FFFFFF"/>
          <w14:ligatures w14:val="none"/>
        </w:rPr>
        <w:t xml:space="preserve"> </w:t>
      </w:r>
    </w:p>
    <w:p w14:paraId="00EAE085" w14:textId="12566497" w:rsidR="00F27FFC" w:rsidRPr="00F27FFC" w:rsidRDefault="00F27FFC" w:rsidP="6FDD329B">
      <w:pPr>
        <w:spacing w:after="240" w:line="240" w:lineRule="auto"/>
        <w:ind w:left="720" w:hanging="720"/>
        <w:rPr>
          <w:rFonts w:ascii="Times New Roman" w:eastAsia="Times New Roman" w:hAnsi="Times New Roman" w:cs="Times New Roman"/>
          <w:color w:val="000000"/>
          <w:kern w:val="0"/>
          <w:shd w:val="clear" w:color="auto" w:fill="FFFFFF"/>
          <w14:ligatures w14:val="none"/>
        </w:rPr>
      </w:pPr>
      <w:r w:rsidRPr="00F27FFC">
        <w:rPr>
          <w:rFonts w:ascii="Times New Roman" w:eastAsia="Times New Roman" w:hAnsi="Times New Roman" w:cs="Times New Roman"/>
          <w:color w:val="000000"/>
          <w:kern w:val="0"/>
          <w:shd w:val="clear" w:color="auto" w:fill="FFFFFF"/>
          <w14:ligatures w14:val="none"/>
        </w:rPr>
        <w:t xml:space="preserve">Baker, M. A., Bunch, J., &amp; Kelsey, K. D. (2015). An instrumental case study of effective science integration in a traditional agricultural education program. </w:t>
      </w:r>
      <w:r w:rsidRPr="6FDD329B">
        <w:rPr>
          <w:rFonts w:ascii="Times New Roman" w:eastAsia="Times New Roman" w:hAnsi="Times New Roman" w:cs="Times New Roman"/>
          <w:i/>
          <w:iCs/>
          <w:color w:val="000000"/>
          <w:kern w:val="0"/>
          <w:shd w:val="clear" w:color="auto" w:fill="FFFFFF"/>
          <w14:ligatures w14:val="none"/>
        </w:rPr>
        <w:t>Journal of Agricultural Education, 56</w:t>
      </w:r>
      <w:r w:rsidRPr="00F27FFC">
        <w:rPr>
          <w:rFonts w:ascii="Times New Roman" w:eastAsia="Times New Roman" w:hAnsi="Times New Roman" w:cs="Times New Roman"/>
          <w:color w:val="000000"/>
          <w:kern w:val="0"/>
          <w:shd w:val="clear" w:color="auto" w:fill="FFFFFF"/>
          <w14:ligatures w14:val="none"/>
        </w:rPr>
        <w:t xml:space="preserve">(1), 221–236. </w:t>
      </w:r>
      <w:hyperlink r:id="rId8" w:history="1">
        <w:r w:rsidR="00980946" w:rsidRPr="00980946">
          <w:rPr>
            <w:rStyle w:val="Hyperlink"/>
            <w:rFonts w:ascii="Times New Roman" w:eastAsia="Times New Roman" w:hAnsi="Times New Roman" w:cs="Times New Roman"/>
            <w:color w:val="000000" w:themeColor="text1"/>
            <w:kern w:val="0"/>
            <w:u w:val="none"/>
            <w:shd w:val="clear" w:color="auto" w:fill="FFFFFF"/>
            <w14:ligatures w14:val="none"/>
          </w:rPr>
          <w:t>https://doi.org/10.5032/jae.2015.01221</w:t>
        </w:r>
      </w:hyperlink>
      <w:r w:rsidR="00980946" w:rsidRPr="00980946">
        <w:rPr>
          <w:rFonts w:ascii="Times New Roman" w:eastAsia="Times New Roman" w:hAnsi="Times New Roman" w:cs="Times New Roman"/>
          <w:color w:val="000000" w:themeColor="text1"/>
          <w:kern w:val="0"/>
          <w:shd w:val="clear" w:color="auto" w:fill="FFFFFF"/>
          <w14:ligatures w14:val="none"/>
        </w:rPr>
        <w:t xml:space="preserve"> </w:t>
      </w:r>
    </w:p>
    <w:p w14:paraId="4DB4029E" w14:textId="09D9DEF0" w:rsidR="00F27FFC" w:rsidRPr="00F27FFC" w:rsidRDefault="00F27FFC" w:rsidP="6FDD329B">
      <w:pPr>
        <w:spacing w:after="240" w:line="240" w:lineRule="auto"/>
        <w:ind w:left="720" w:hanging="720"/>
        <w:rPr>
          <w:rFonts w:ascii="Times New Roman" w:eastAsia="Times New Roman" w:hAnsi="Times New Roman" w:cs="Times New Roman"/>
          <w:color w:val="000000"/>
          <w:kern w:val="0"/>
          <w:shd w:val="clear" w:color="auto" w:fill="FFFFFF"/>
          <w14:ligatures w14:val="none"/>
        </w:rPr>
      </w:pPr>
      <w:r w:rsidRPr="00F27FFC">
        <w:rPr>
          <w:rFonts w:ascii="Times New Roman" w:eastAsia="Times New Roman" w:hAnsi="Times New Roman" w:cs="Times New Roman"/>
          <w:color w:val="000000"/>
          <w:kern w:val="0"/>
          <w:shd w:val="clear" w:color="auto" w:fill="FFFFFF"/>
          <w14:ligatures w14:val="none"/>
        </w:rPr>
        <w:t xml:space="preserve">Bierema, A. (2021). Nature of </w:t>
      </w:r>
      <w:r w:rsidR="00980946">
        <w:rPr>
          <w:rFonts w:ascii="Times New Roman" w:eastAsia="Times New Roman" w:hAnsi="Times New Roman" w:cs="Times New Roman"/>
          <w:color w:val="000000"/>
          <w:kern w:val="0"/>
          <w:shd w:val="clear" w:color="auto" w:fill="FFFFFF"/>
          <w14:ligatures w14:val="none"/>
        </w:rPr>
        <w:t>s</w:t>
      </w:r>
      <w:r w:rsidRPr="00F27FFC">
        <w:rPr>
          <w:rFonts w:ascii="Times New Roman" w:eastAsia="Times New Roman" w:hAnsi="Times New Roman" w:cs="Times New Roman"/>
          <w:color w:val="000000"/>
          <w:kern w:val="0"/>
          <w:shd w:val="clear" w:color="auto" w:fill="FFFFFF"/>
          <w14:ligatures w14:val="none"/>
        </w:rPr>
        <w:t xml:space="preserve">cience. In A. Bierema (Ed.), </w:t>
      </w:r>
      <w:r w:rsidRPr="6FDD329B">
        <w:rPr>
          <w:rFonts w:ascii="Times New Roman" w:eastAsia="Times New Roman" w:hAnsi="Times New Roman" w:cs="Times New Roman"/>
          <w:i/>
          <w:iCs/>
          <w:color w:val="000000"/>
          <w:kern w:val="0"/>
          <w:shd w:val="clear" w:color="auto" w:fill="FFFFFF"/>
          <w14:ligatures w14:val="none"/>
        </w:rPr>
        <w:t xml:space="preserve">An </w:t>
      </w:r>
      <w:r w:rsidR="00980946">
        <w:rPr>
          <w:rFonts w:ascii="Times New Roman" w:eastAsia="Times New Roman" w:hAnsi="Times New Roman" w:cs="Times New Roman"/>
          <w:i/>
          <w:iCs/>
          <w:color w:val="000000"/>
          <w:kern w:val="0"/>
          <w:shd w:val="clear" w:color="auto" w:fill="FFFFFF"/>
          <w14:ligatures w14:val="none"/>
        </w:rPr>
        <w:t>i</w:t>
      </w:r>
      <w:r w:rsidRPr="6FDD329B">
        <w:rPr>
          <w:rFonts w:ascii="Times New Roman" w:eastAsia="Times New Roman" w:hAnsi="Times New Roman" w:cs="Times New Roman"/>
          <w:i/>
          <w:iCs/>
          <w:color w:val="000000"/>
          <w:kern w:val="0"/>
          <w:shd w:val="clear" w:color="auto" w:fill="FFFFFF"/>
          <w14:ligatures w14:val="none"/>
        </w:rPr>
        <w:t xml:space="preserve">nteractive </w:t>
      </w:r>
      <w:r w:rsidR="00980946">
        <w:rPr>
          <w:rFonts w:ascii="Times New Roman" w:eastAsia="Times New Roman" w:hAnsi="Times New Roman" w:cs="Times New Roman"/>
          <w:i/>
          <w:iCs/>
          <w:color w:val="000000"/>
          <w:kern w:val="0"/>
          <w:shd w:val="clear" w:color="auto" w:fill="FFFFFF"/>
          <w14:ligatures w14:val="none"/>
        </w:rPr>
        <w:t>i</w:t>
      </w:r>
      <w:r w:rsidRPr="6FDD329B">
        <w:rPr>
          <w:rFonts w:ascii="Times New Roman" w:eastAsia="Times New Roman" w:hAnsi="Times New Roman" w:cs="Times New Roman"/>
          <w:i/>
          <w:iCs/>
          <w:color w:val="000000"/>
          <w:kern w:val="0"/>
          <w:shd w:val="clear" w:color="auto" w:fill="FFFFFF"/>
          <w14:ligatures w14:val="none"/>
        </w:rPr>
        <w:t xml:space="preserve">ntroduction to </w:t>
      </w:r>
      <w:r w:rsidR="00980946">
        <w:rPr>
          <w:rFonts w:ascii="Times New Roman" w:eastAsia="Times New Roman" w:hAnsi="Times New Roman" w:cs="Times New Roman"/>
          <w:i/>
          <w:iCs/>
          <w:color w:val="000000"/>
          <w:kern w:val="0"/>
          <w:shd w:val="clear" w:color="auto" w:fill="FFFFFF"/>
          <w14:ligatures w14:val="none"/>
        </w:rPr>
        <w:t>o</w:t>
      </w:r>
      <w:r w:rsidRPr="6FDD329B">
        <w:rPr>
          <w:rFonts w:ascii="Times New Roman" w:eastAsia="Times New Roman" w:hAnsi="Times New Roman" w:cs="Times New Roman"/>
          <w:i/>
          <w:iCs/>
          <w:color w:val="000000"/>
          <w:kern w:val="0"/>
          <w:shd w:val="clear" w:color="auto" w:fill="FFFFFF"/>
          <w14:ligatures w14:val="none"/>
        </w:rPr>
        <w:t xml:space="preserve">rganismal and </w:t>
      </w:r>
      <w:r w:rsidR="00980946">
        <w:rPr>
          <w:rFonts w:ascii="Times New Roman" w:eastAsia="Times New Roman" w:hAnsi="Times New Roman" w:cs="Times New Roman"/>
          <w:i/>
          <w:iCs/>
          <w:color w:val="000000"/>
          <w:kern w:val="0"/>
          <w:shd w:val="clear" w:color="auto" w:fill="FFFFFF"/>
          <w14:ligatures w14:val="none"/>
        </w:rPr>
        <w:t>m</w:t>
      </w:r>
      <w:r w:rsidRPr="6FDD329B">
        <w:rPr>
          <w:rFonts w:ascii="Times New Roman" w:eastAsia="Times New Roman" w:hAnsi="Times New Roman" w:cs="Times New Roman"/>
          <w:i/>
          <w:iCs/>
          <w:color w:val="000000"/>
          <w:kern w:val="0"/>
          <w:shd w:val="clear" w:color="auto" w:fill="FFFFFF"/>
          <w14:ligatures w14:val="none"/>
        </w:rPr>
        <w:t xml:space="preserve">olecular </w:t>
      </w:r>
      <w:r w:rsidR="00980946">
        <w:rPr>
          <w:rFonts w:ascii="Times New Roman" w:eastAsia="Times New Roman" w:hAnsi="Times New Roman" w:cs="Times New Roman"/>
          <w:i/>
          <w:iCs/>
          <w:color w:val="000000"/>
          <w:kern w:val="0"/>
          <w:shd w:val="clear" w:color="auto" w:fill="FFFFFF"/>
          <w14:ligatures w14:val="none"/>
        </w:rPr>
        <w:t>b</w:t>
      </w:r>
      <w:r w:rsidRPr="6FDD329B">
        <w:rPr>
          <w:rFonts w:ascii="Times New Roman" w:eastAsia="Times New Roman" w:hAnsi="Times New Roman" w:cs="Times New Roman"/>
          <w:i/>
          <w:iCs/>
          <w:color w:val="000000"/>
          <w:kern w:val="0"/>
          <w:shd w:val="clear" w:color="auto" w:fill="FFFFFF"/>
          <w14:ligatures w14:val="none"/>
        </w:rPr>
        <w:t>iology</w:t>
      </w:r>
      <w:r w:rsidRPr="00F27FFC">
        <w:rPr>
          <w:rFonts w:ascii="Times New Roman" w:eastAsia="Times New Roman" w:hAnsi="Times New Roman" w:cs="Times New Roman"/>
          <w:color w:val="000000"/>
          <w:kern w:val="0"/>
          <w:shd w:val="clear" w:color="auto" w:fill="FFFFFF"/>
          <w14:ligatures w14:val="none"/>
        </w:rPr>
        <w:t xml:space="preserve"> (2</w:t>
      </w:r>
      <w:r w:rsidRPr="00F27FFC">
        <w:rPr>
          <w:rFonts w:ascii="Times New Roman" w:eastAsia="Times New Roman" w:hAnsi="Times New Roman" w:cs="Times New Roman"/>
          <w:color w:val="000000"/>
          <w:kern w:val="0"/>
          <w:shd w:val="clear" w:color="auto" w:fill="FFFFFF"/>
          <w:vertAlign w:val="superscript"/>
          <w14:ligatures w14:val="none"/>
        </w:rPr>
        <w:t>nd</w:t>
      </w:r>
      <w:r w:rsidRPr="00F27FFC">
        <w:rPr>
          <w:rFonts w:ascii="Times New Roman" w:eastAsia="Times New Roman" w:hAnsi="Times New Roman" w:cs="Times New Roman"/>
          <w:color w:val="000000"/>
          <w:kern w:val="0"/>
          <w:shd w:val="clear" w:color="auto" w:fill="FFFFFF"/>
          <w14:ligatures w14:val="none"/>
        </w:rPr>
        <w:t xml:space="preserve"> ed.). Pressbooks. </w:t>
      </w:r>
      <w:hyperlink r:id="rId9" w:history="1">
        <w:r w:rsidR="00980946" w:rsidRPr="00980946">
          <w:rPr>
            <w:rStyle w:val="Hyperlink"/>
            <w:rFonts w:ascii="Times New Roman" w:eastAsia="Times New Roman" w:hAnsi="Times New Roman" w:cs="Times New Roman"/>
            <w:color w:val="000000" w:themeColor="text1"/>
            <w:kern w:val="0"/>
            <w:u w:val="none"/>
            <w:shd w:val="clear" w:color="auto" w:fill="FFFFFF"/>
            <w14:ligatures w14:val="none"/>
          </w:rPr>
          <w:t>https://openbooks.lib.msu.edu/isb202/chapter/nature-of-science-draft/</w:t>
        </w:r>
      </w:hyperlink>
      <w:r w:rsidR="00980946" w:rsidRPr="00980946">
        <w:rPr>
          <w:rFonts w:ascii="Times New Roman" w:eastAsia="Times New Roman" w:hAnsi="Times New Roman" w:cs="Times New Roman"/>
          <w:color w:val="000000" w:themeColor="text1"/>
          <w:kern w:val="0"/>
          <w:shd w:val="clear" w:color="auto" w:fill="FFFFFF"/>
          <w14:ligatures w14:val="none"/>
        </w:rPr>
        <w:t xml:space="preserve"> </w:t>
      </w:r>
    </w:p>
    <w:p w14:paraId="2C7788D1" w14:textId="1E048083" w:rsidR="00626EF0" w:rsidRPr="008C7E00" w:rsidRDefault="00626EF0" w:rsidP="6FDD329B">
      <w:pPr>
        <w:spacing w:after="240" w:line="240" w:lineRule="auto"/>
        <w:ind w:left="720" w:hanging="720"/>
        <w:rPr>
          <w:rFonts w:ascii="Times New Roman" w:eastAsia="Times New Roman" w:hAnsi="Times New Roman" w:cs="Times New Roman"/>
          <w:color w:val="000000"/>
          <w:kern w:val="0"/>
          <w:shd w:val="clear" w:color="auto" w:fill="FFFFFF"/>
          <w14:ligatures w14:val="none"/>
        </w:rPr>
      </w:pPr>
      <w:r>
        <w:rPr>
          <w:rFonts w:ascii="Times New Roman" w:eastAsia="Times New Roman" w:hAnsi="Times New Roman" w:cs="Times New Roman"/>
          <w:color w:val="000000"/>
          <w:kern w:val="0"/>
          <w:shd w:val="clear" w:color="auto" w:fill="FFFFFF"/>
          <w14:ligatures w14:val="none"/>
        </w:rPr>
        <w:t xml:space="preserve">Branscum, R., Eck, C. J., Marsh, K. N., &amp; Coleman, B. M. (2025). Instructional practice needs of Oklahoma agricultural educators by career phase. </w:t>
      </w:r>
      <w:r>
        <w:rPr>
          <w:rFonts w:ascii="Times New Roman" w:eastAsia="Times New Roman" w:hAnsi="Times New Roman" w:cs="Times New Roman"/>
          <w:i/>
          <w:iCs/>
          <w:color w:val="000000"/>
          <w:kern w:val="0"/>
          <w:shd w:val="clear" w:color="auto" w:fill="FFFFFF"/>
          <w14:ligatures w14:val="none"/>
        </w:rPr>
        <w:t xml:space="preserve">Journal of Agricultural Education, </w:t>
      </w:r>
      <w:r w:rsidR="008C7E00">
        <w:rPr>
          <w:rFonts w:ascii="Times New Roman" w:eastAsia="Times New Roman" w:hAnsi="Times New Roman" w:cs="Times New Roman"/>
          <w:i/>
          <w:iCs/>
          <w:color w:val="000000"/>
          <w:kern w:val="0"/>
          <w:shd w:val="clear" w:color="auto" w:fill="FFFFFF"/>
          <w14:ligatures w14:val="none"/>
        </w:rPr>
        <w:t>66</w:t>
      </w:r>
      <w:r w:rsidR="008C7E00">
        <w:rPr>
          <w:rFonts w:ascii="Times New Roman" w:eastAsia="Times New Roman" w:hAnsi="Times New Roman" w:cs="Times New Roman"/>
          <w:color w:val="000000"/>
          <w:kern w:val="0"/>
          <w:shd w:val="clear" w:color="auto" w:fill="FFFFFF"/>
          <w14:ligatures w14:val="none"/>
        </w:rPr>
        <w:t xml:space="preserve">(3), Article 8. </w:t>
      </w:r>
      <w:hyperlink r:id="rId10" w:history="1">
        <w:r w:rsidR="008C7E00" w:rsidRPr="008C7E00">
          <w:rPr>
            <w:rStyle w:val="Hyperlink"/>
            <w:rFonts w:ascii="Times New Roman" w:eastAsia="Times New Roman" w:hAnsi="Times New Roman" w:cs="Times New Roman"/>
            <w:color w:val="000000" w:themeColor="text1"/>
            <w:kern w:val="0"/>
            <w:u w:val="none"/>
            <w:shd w:val="clear" w:color="auto" w:fill="FFFFFF"/>
            <w14:ligatures w14:val="none"/>
          </w:rPr>
          <w:t>https://doi.org/10.5032/jae.v66i3.3024</w:t>
        </w:r>
      </w:hyperlink>
      <w:r w:rsidR="008C7E00" w:rsidRPr="008C7E00">
        <w:rPr>
          <w:rFonts w:ascii="Times New Roman" w:eastAsia="Times New Roman" w:hAnsi="Times New Roman" w:cs="Times New Roman"/>
          <w:color w:val="000000" w:themeColor="text1"/>
          <w:kern w:val="0"/>
          <w:shd w:val="clear" w:color="auto" w:fill="FFFFFF"/>
          <w14:ligatures w14:val="none"/>
        </w:rPr>
        <w:t xml:space="preserve"> </w:t>
      </w:r>
    </w:p>
    <w:p w14:paraId="0DD53900" w14:textId="6AE34915"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color w:val="000000"/>
          <w:kern w:val="0"/>
          <w:shd w:val="clear" w:color="auto" w:fill="FFFFFF"/>
          <w14:ligatures w14:val="none"/>
        </w:rPr>
        <w:t xml:space="preserve">Creswell, J. W., &amp; Creswell, J. D. (2023). </w:t>
      </w:r>
      <w:r w:rsidRPr="6FDD329B">
        <w:rPr>
          <w:rFonts w:ascii="Times New Roman" w:eastAsia="Times New Roman" w:hAnsi="Times New Roman" w:cs="Times New Roman"/>
          <w:i/>
          <w:iCs/>
          <w:color w:val="000000"/>
          <w:kern w:val="0"/>
          <w:shd w:val="clear" w:color="auto" w:fill="FFFFFF"/>
          <w14:ligatures w14:val="none"/>
        </w:rPr>
        <w:t xml:space="preserve">Research </w:t>
      </w:r>
      <w:r w:rsidR="00980946">
        <w:rPr>
          <w:rFonts w:ascii="Times New Roman" w:eastAsia="Times New Roman" w:hAnsi="Times New Roman" w:cs="Times New Roman"/>
          <w:i/>
          <w:iCs/>
          <w:color w:val="000000"/>
          <w:kern w:val="0"/>
          <w:shd w:val="clear" w:color="auto" w:fill="FFFFFF"/>
          <w14:ligatures w14:val="none"/>
        </w:rPr>
        <w:t>d</w:t>
      </w:r>
      <w:r w:rsidRPr="6FDD329B">
        <w:rPr>
          <w:rFonts w:ascii="Times New Roman" w:eastAsia="Times New Roman" w:hAnsi="Times New Roman" w:cs="Times New Roman"/>
          <w:i/>
          <w:iCs/>
          <w:color w:val="000000"/>
          <w:kern w:val="0"/>
          <w:shd w:val="clear" w:color="auto" w:fill="FFFFFF"/>
          <w14:ligatures w14:val="none"/>
        </w:rPr>
        <w:t xml:space="preserve">esign: Qualitative, </w:t>
      </w:r>
      <w:r w:rsidR="00980946">
        <w:rPr>
          <w:rFonts w:ascii="Times New Roman" w:eastAsia="Times New Roman" w:hAnsi="Times New Roman" w:cs="Times New Roman"/>
          <w:i/>
          <w:iCs/>
          <w:color w:val="000000"/>
          <w:kern w:val="0"/>
          <w:shd w:val="clear" w:color="auto" w:fill="FFFFFF"/>
          <w14:ligatures w14:val="none"/>
        </w:rPr>
        <w:t>q</w:t>
      </w:r>
      <w:r w:rsidRPr="6FDD329B">
        <w:rPr>
          <w:rFonts w:ascii="Times New Roman" w:eastAsia="Times New Roman" w:hAnsi="Times New Roman" w:cs="Times New Roman"/>
          <w:i/>
          <w:iCs/>
          <w:color w:val="000000"/>
          <w:kern w:val="0"/>
          <w:shd w:val="clear" w:color="auto" w:fill="FFFFFF"/>
          <w14:ligatures w14:val="none"/>
        </w:rPr>
        <w:t xml:space="preserve">uantitative, and </w:t>
      </w:r>
      <w:r w:rsidR="00980946">
        <w:rPr>
          <w:rFonts w:ascii="Times New Roman" w:eastAsia="Times New Roman" w:hAnsi="Times New Roman" w:cs="Times New Roman"/>
          <w:i/>
          <w:iCs/>
          <w:color w:val="000000"/>
          <w:kern w:val="0"/>
          <w:shd w:val="clear" w:color="auto" w:fill="FFFFFF"/>
          <w14:ligatures w14:val="none"/>
        </w:rPr>
        <w:t>m</w:t>
      </w:r>
      <w:r w:rsidRPr="6FDD329B">
        <w:rPr>
          <w:rFonts w:ascii="Times New Roman" w:eastAsia="Times New Roman" w:hAnsi="Times New Roman" w:cs="Times New Roman"/>
          <w:i/>
          <w:iCs/>
          <w:color w:val="000000"/>
          <w:kern w:val="0"/>
          <w:shd w:val="clear" w:color="auto" w:fill="FFFFFF"/>
          <w14:ligatures w14:val="none"/>
        </w:rPr>
        <w:t xml:space="preserve">ixed </w:t>
      </w:r>
      <w:r w:rsidR="00980946">
        <w:rPr>
          <w:rFonts w:ascii="Times New Roman" w:eastAsia="Times New Roman" w:hAnsi="Times New Roman" w:cs="Times New Roman"/>
          <w:i/>
          <w:iCs/>
          <w:color w:val="000000"/>
          <w:kern w:val="0"/>
          <w:shd w:val="clear" w:color="auto" w:fill="FFFFFF"/>
          <w14:ligatures w14:val="none"/>
        </w:rPr>
        <w:t>m</w:t>
      </w:r>
      <w:r w:rsidRPr="6FDD329B">
        <w:rPr>
          <w:rFonts w:ascii="Times New Roman" w:eastAsia="Times New Roman" w:hAnsi="Times New Roman" w:cs="Times New Roman"/>
          <w:i/>
          <w:iCs/>
          <w:color w:val="000000"/>
          <w:kern w:val="0"/>
          <w:shd w:val="clear" w:color="auto" w:fill="FFFFFF"/>
          <w14:ligatures w14:val="none"/>
        </w:rPr>
        <w:t xml:space="preserve">ethods </w:t>
      </w:r>
      <w:proofErr w:type="gramStart"/>
      <w:r w:rsidR="00980946">
        <w:rPr>
          <w:rFonts w:ascii="Times New Roman" w:eastAsia="Times New Roman" w:hAnsi="Times New Roman" w:cs="Times New Roman"/>
          <w:i/>
          <w:iCs/>
          <w:color w:val="000000"/>
          <w:kern w:val="0"/>
          <w:shd w:val="clear" w:color="auto" w:fill="FFFFFF"/>
          <w14:ligatures w14:val="none"/>
        </w:rPr>
        <w:t>a</w:t>
      </w:r>
      <w:r w:rsidRPr="6FDD329B">
        <w:rPr>
          <w:rFonts w:ascii="Times New Roman" w:eastAsia="Times New Roman" w:hAnsi="Times New Roman" w:cs="Times New Roman"/>
          <w:i/>
          <w:iCs/>
          <w:color w:val="000000"/>
          <w:kern w:val="0"/>
          <w:shd w:val="clear" w:color="auto" w:fill="FFFFFF"/>
          <w14:ligatures w14:val="none"/>
        </w:rPr>
        <w:t>pproaches</w:t>
      </w:r>
      <w:proofErr w:type="gramEnd"/>
      <w:r w:rsidRPr="6FDD329B">
        <w:rPr>
          <w:rFonts w:ascii="Times New Roman" w:eastAsia="Times New Roman" w:hAnsi="Times New Roman" w:cs="Times New Roman"/>
          <w:i/>
          <w:iCs/>
          <w:color w:val="000000"/>
          <w:kern w:val="0"/>
          <w:shd w:val="clear" w:color="auto" w:fill="FFFFFF"/>
          <w14:ligatures w14:val="none"/>
        </w:rPr>
        <w:t xml:space="preserve"> </w:t>
      </w:r>
      <w:r w:rsidRPr="00F27FFC">
        <w:rPr>
          <w:rFonts w:ascii="Times New Roman" w:eastAsia="Times New Roman" w:hAnsi="Times New Roman" w:cs="Times New Roman"/>
          <w:color w:val="000000"/>
          <w:kern w:val="0"/>
          <w:shd w:val="clear" w:color="auto" w:fill="FFFFFF"/>
          <w14:ligatures w14:val="none"/>
        </w:rPr>
        <w:t>(6</w:t>
      </w:r>
      <w:r w:rsidRPr="00F27FFC">
        <w:rPr>
          <w:rFonts w:ascii="Times New Roman" w:eastAsia="Times New Roman" w:hAnsi="Times New Roman" w:cs="Times New Roman"/>
          <w:color w:val="000000"/>
          <w:kern w:val="0"/>
          <w:shd w:val="clear" w:color="auto" w:fill="FFFFFF"/>
          <w:vertAlign w:val="superscript"/>
          <w14:ligatures w14:val="none"/>
        </w:rPr>
        <w:t>th</w:t>
      </w:r>
      <w:r w:rsidRPr="00F27FFC">
        <w:rPr>
          <w:rFonts w:ascii="Times New Roman" w:eastAsia="Times New Roman" w:hAnsi="Times New Roman" w:cs="Times New Roman"/>
          <w:color w:val="000000"/>
          <w:kern w:val="0"/>
          <w:shd w:val="clear" w:color="auto" w:fill="FFFFFF"/>
          <w14:ligatures w14:val="none"/>
        </w:rPr>
        <w:t xml:space="preserve"> ed.). SAGE Publications. </w:t>
      </w:r>
    </w:p>
    <w:p w14:paraId="47F86C86" w14:textId="77777777"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Crotty, M. (2012). </w:t>
      </w:r>
      <w:r w:rsidRPr="6FDD329B">
        <w:rPr>
          <w:rFonts w:ascii="Times New Roman" w:eastAsia="Times New Roman" w:hAnsi="Times New Roman" w:cs="Times New Roman"/>
          <w:i/>
          <w:iCs/>
          <w:kern w:val="0"/>
          <w14:ligatures w14:val="none"/>
        </w:rPr>
        <w:t>The foundations of social research: Meaning and perspective in the research process.</w:t>
      </w:r>
      <w:r w:rsidRPr="00F27FFC">
        <w:rPr>
          <w:rFonts w:ascii="Times New Roman" w:eastAsia="Times New Roman" w:hAnsi="Times New Roman" w:cs="Times New Roman"/>
          <w:kern w:val="0"/>
          <w14:ligatures w14:val="none"/>
        </w:rPr>
        <w:t xml:space="preserve"> SAGE Publications.</w:t>
      </w:r>
    </w:p>
    <w:p w14:paraId="20681B03" w14:textId="77777777"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Dunkin, M. J., &amp; Biddle, B. J. (1978). </w:t>
      </w:r>
      <w:r w:rsidRPr="6FDD329B">
        <w:rPr>
          <w:rFonts w:ascii="Times New Roman" w:eastAsia="Times New Roman" w:hAnsi="Times New Roman" w:cs="Times New Roman"/>
          <w:i/>
          <w:iCs/>
          <w:kern w:val="0"/>
          <w14:ligatures w14:val="none"/>
        </w:rPr>
        <w:t>The study of teaching</w:t>
      </w:r>
      <w:r w:rsidRPr="00F27FFC">
        <w:rPr>
          <w:rFonts w:ascii="Times New Roman" w:eastAsia="Times New Roman" w:hAnsi="Times New Roman" w:cs="Times New Roman"/>
          <w:kern w:val="0"/>
          <w14:ligatures w14:val="none"/>
        </w:rPr>
        <w:t xml:space="preserve"> (2</w:t>
      </w:r>
      <w:r w:rsidRPr="00F27FFC">
        <w:rPr>
          <w:rFonts w:ascii="Times New Roman" w:eastAsia="Times New Roman" w:hAnsi="Times New Roman" w:cs="Times New Roman"/>
          <w:kern w:val="0"/>
          <w:vertAlign w:val="superscript"/>
          <w14:ligatures w14:val="none"/>
        </w:rPr>
        <w:t>nd</w:t>
      </w:r>
      <w:r w:rsidRPr="00F27FFC">
        <w:rPr>
          <w:rFonts w:ascii="Times New Roman" w:eastAsia="Times New Roman" w:hAnsi="Times New Roman" w:cs="Times New Roman"/>
          <w:kern w:val="0"/>
          <w14:ligatures w14:val="none"/>
        </w:rPr>
        <w:t xml:space="preserve"> ed.). Holt, Rinehart and Winston. </w:t>
      </w:r>
    </w:p>
    <w:p w14:paraId="54E0FCC2" w14:textId="53CD72E9"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Duran, L. B., &amp; Duran, E. (2004). The 5E instructional model: A learning cycle approach for inquiry-based science teaching.</w:t>
      </w:r>
      <w:r w:rsidRPr="6FDD329B">
        <w:rPr>
          <w:rFonts w:ascii="Times New Roman" w:eastAsia="Times New Roman" w:hAnsi="Times New Roman" w:cs="Times New Roman"/>
          <w:i/>
          <w:iCs/>
          <w:kern w:val="0"/>
          <w14:ligatures w14:val="none"/>
        </w:rPr>
        <w:t xml:space="preserve"> The Science Education Review, 3</w:t>
      </w:r>
      <w:r w:rsidRPr="00F27FFC">
        <w:rPr>
          <w:rFonts w:ascii="Times New Roman" w:eastAsia="Times New Roman" w:hAnsi="Times New Roman" w:cs="Times New Roman"/>
          <w:kern w:val="0"/>
          <w14:ligatures w14:val="none"/>
        </w:rPr>
        <w:t xml:space="preserve">(2), 49–58. </w:t>
      </w:r>
      <w:hyperlink r:id="rId11" w:history="1">
        <w:r w:rsidR="00980946" w:rsidRPr="00980946">
          <w:rPr>
            <w:rStyle w:val="Hyperlink"/>
            <w:rFonts w:ascii="Times New Roman" w:eastAsia="Times New Roman" w:hAnsi="Times New Roman" w:cs="Times New Roman"/>
            <w:color w:val="000000" w:themeColor="text1"/>
            <w:kern w:val="0"/>
            <w:u w:val="none"/>
            <w14:ligatures w14:val="none"/>
          </w:rPr>
          <w:t>https://files.eric.ed.gov/fulltext/EJ1058007.pdf</w:t>
        </w:r>
      </w:hyperlink>
      <w:r w:rsidR="00980946" w:rsidRPr="00980946">
        <w:rPr>
          <w:rFonts w:ascii="Times New Roman" w:eastAsia="Times New Roman" w:hAnsi="Times New Roman" w:cs="Times New Roman"/>
          <w:color w:val="000000" w:themeColor="text1"/>
          <w:kern w:val="0"/>
          <w14:ligatures w14:val="none"/>
        </w:rPr>
        <w:t xml:space="preserve"> </w:t>
      </w:r>
    </w:p>
    <w:p w14:paraId="564D80EE" w14:textId="450927C2"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Ford, J., Dossett, J., Lambert, M., &amp; Easterly III, R. (2025). Implementation of </w:t>
      </w:r>
      <w:r w:rsidR="00980946">
        <w:rPr>
          <w:rFonts w:ascii="Times New Roman" w:eastAsia="Times New Roman" w:hAnsi="Times New Roman" w:cs="Times New Roman"/>
          <w:kern w:val="0"/>
          <w14:ligatures w14:val="none"/>
        </w:rPr>
        <w:t>a</w:t>
      </w:r>
      <w:r w:rsidRPr="00F27FFC">
        <w:rPr>
          <w:rFonts w:ascii="Times New Roman" w:eastAsia="Times New Roman" w:hAnsi="Times New Roman" w:cs="Times New Roman"/>
          <w:kern w:val="0"/>
          <w14:ligatures w14:val="none"/>
        </w:rPr>
        <w:t xml:space="preserve">griscience </w:t>
      </w:r>
      <w:r w:rsidR="00980946">
        <w:rPr>
          <w:rFonts w:ascii="Times New Roman" w:eastAsia="Times New Roman" w:hAnsi="Times New Roman" w:cs="Times New Roman"/>
          <w:kern w:val="0"/>
          <w14:ligatures w14:val="none"/>
        </w:rPr>
        <w:t>f</w:t>
      </w:r>
      <w:r w:rsidRPr="00F27FFC">
        <w:rPr>
          <w:rFonts w:ascii="Times New Roman" w:eastAsia="Times New Roman" w:hAnsi="Times New Roman" w:cs="Times New Roman"/>
          <w:kern w:val="0"/>
          <w14:ligatures w14:val="none"/>
        </w:rPr>
        <w:t xml:space="preserve">air by </w:t>
      </w:r>
      <w:r w:rsidR="00980946">
        <w:rPr>
          <w:rFonts w:ascii="Times New Roman" w:eastAsia="Times New Roman" w:hAnsi="Times New Roman" w:cs="Times New Roman"/>
          <w:kern w:val="0"/>
          <w14:ligatures w14:val="none"/>
        </w:rPr>
        <w:t>m</w:t>
      </w:r>
      <w:r w:rsidRPr="00F27FFC">
        <w:rPr>
          <w:rFonts w:ascii="Times New Roman" w:eastAsia="Times New Roman" w:hAnsi="Times New Roman" w:cs="Times New Roman"/>
          <w:kern w:val="0"/>
          <w14:ligatures w14:val="none"/>
        </w:rPr>
        <w:t xml:space="preserve">iddle </w:t>
      </w:r>
      <w:r w:rsidR="00980946">
        <w:rPr>
          <w:rFonts w:ascii="Times New Roman" w:eastAsia="Times New Roman" w:hAnsi="Times New Roman" w:cs="Times New Roman"/>
          <w:kern w:val="0"/>
          <w14:ligatures w14:val="none"/>
        </w:rPr>
        <w:t>s</w:t>
      </w:r>
      <w:r w:rsidRPr="00F27FFC">
        <w:rPr>
          <w:rFonts w:ascii="Times New Roman" w:eastAsia="Times New Roman" w:hAnsi="Times New Roman" w:cs="Times New Roman"/>
          <w:kern w:val="0"/>
          <w14:ligatures w14:val="none"/>
        </w:rPr>
        <w:t xml:space="preserve">chool </w:t>
      </w:r>
      <w:r w:rsidR="00980946">
        <w:rPr>
          <w:rFonts w:ascii="Times New Roman" w:eastAsia="Times New Roman" w:hAnsi="Times New Roman" w:cs="Times New Roman"/>
          <w:kern w:val="0"/>
          <w14:ligatures w14:val="none"/>
        </w:rPr>
        <w:t>a</w:t>
      </w:r>
      <w:r w:rsidRPr="00F27FFC">
        <w:rPr>
          <w:rFonts w:ascii="Times New Roman" w:eastAsia="Times New Roman" w:hAnsi="Times New Roman" w:cs="Times New Roman"/>
          <w:kern w:val="0"/>
          <w14:ligatures w14:val="none"/>
        </w:rPr>
        <w:t xml:space="preserve">gricultural </w:t>
      </w:r>
      <w:r w:rsidR="00980946">
        <w:rPr>
          <w:rFonts w:ascii="Times New Roman" w:eastAsia="Times New Roman" w:hAnsi="Times New Roman" w:cs="Times New Roman"/>
          <w:kern w:val="0"/>
          <w14:ligatures w14:val="none"/>
        </w:rPr>
        <w:t>e</w:t>
      </w:r>
      <w:r w:rsidRPr="00F27FFC">
        <w:rPr>
          <w:rFonts w:ascii="Times New Roman" w:eastAsia="Times New Roman" w:hAnsi="Times New Roman" w:cs="Times New Roman"/>
          <w:kern w:val="0"/>
          <w14:ligatures w14:val="none"/>
        </w:rPr>
        <w:t xml:space="preserve">ducation </w:t>
      </w:r>
      <w:r w:rsidR="00980946">
        <w:rPr>
          <w:rFonts w:ascii="Times New Roman" w:eastAsia="Times New Roman" w:hAnsi="Times New Roman" w:cs="Times New Roman"/>
          <w:kern w:val="0"/>
          <w14:ligatures w14:val="none"/>
        </w:rPr>
        <w:t>t</w:t>
      </w:r>
      <w:r w:rsidRPr="00F27FFC">
        <w:rPr>
          <w:rFonts w:ascii="Times New Roman" w:eastAsia="Times New Roman" w:hAnsi="Times New Roman" w:cs="Times New Roman"/>
          <w:kern w:val="0"/>
          <w14:ligatures w14:val="none"/>
        </w:rPr>
        <w:t>eachers. </w:t>
      </w:r>
      <w:r w:rsidRPr="6FDD329B">
        <w:rPr>
          <w:rFonts w:ascii="Times New Roman" w:eastAsia="Times New Roman" w:hAnsi="Times New Roman" w:cs="Times New Roman"/>
          <w:i/>
          <w:iCs/>
          <w:kern w:val="0"/>
          <w14:ligatures w14:val="none"/>
        </w:rPr>
        <w:t>Journal of Agricultural Education</w:t>
      </w:r>
      <w:r w:rsidRPr="00F27FFC">
        <w:rPr>
          <w:rFonts w:ascii="Times New Roman" w:eastAsia="Times New Roman" w:hAnsi="Times New Roman" w:cs="Times New Roman"/>
          <w:kern w:val="0"/>
          <w14:ligatures w14:val="none"/>
        </w:rPr>
        <w:t>, </w:t>
      </w:r>
      <w:r w:rsidRPr="6FDD329B">
        <w:rPr>
          <w:rFonts w:ascii="Times New Roman" w:eastAsia="Times New Roman" w:hAnsi="Times New Roman" w:cs="Times New Roman"/>
          <w:i/>
          <w:iCs/>
          <w:kern w:val="0"/>
          <w14:ligatures w14:val="none"/>
        </w:rPr>
        <w:t>66</w:t>
      </w:r>
      <w:r w:rsidRPr="00F27FFC">
        <w:rPr>
          <w:rFonts w:ascii="Times New Roman" w:eastAsia="Times New Roman" w:hAnsi="Times New Roman" w:cs="Times New Roman"/>
          <w:kern w:val="0"/>
          <w14:ligatures w14:val="none"/>
        </w:rPr>
        <w:t xml:space="preserve">(1), Article 3. </w:t>
      </w:r>
      <w:hyperlink r:id="rId12" w:history="1">
        <w:r w:rsidR="00980946" w:rsidRPr="00980946">
          <w:rPr>
            <w:rStyle w:val="Hyperlink"/>
            <w:rFonts w:ascii="Times New Roman" w:eastAsia="Times New Roman" w:hAnsi="Times New Roman" w:cs="Times New Roman"/>
            <w:color w:val="000000" w:themeColor="text1"/>
            <w:kern w:val="0"/>
            <w:u w:val="none"/>
            <w14:ligatures w14:val="none"/>
          </w:rPr>
          <w:t>https://doi.org/10.5032/jae.v66i1.2920</w:t>
        </w:r>
      </w:hyperlink>
      <w:r w:rsidR="00980946" w:rsidRPr="00980946">
        <w:rPr>
          <w:rFonts w:ascii="Times New Roman" w:eastAsia="Times New Roman" w:hAnsi="Times New Roman" w:cs="Times New Roman"/>
          <w:color w:val="000000" w:themeColor="text1"/>
          <w:kern w:val="0"/>
          <w14:ligatures w14:val="none"/>
        </w:rPr>
        <w:t xml:space="preserve"> </w:t>
      </w:r>
    </w:p>
    <w:p w14:paraId="76581E39" w14:textId="64EB784E"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Holley, K. (2017). Interdisciplinary curriculum and learning in higher education. </w:t>
      </w:r>
      <w:r w:rsidRPr="6FDD329B">
        <w:rPr>
          <w:rFonts w:ascii="Times New Roman" w:eastAsia="Times New Roman" w:hAnsi="Times New Roman" w:cs="Times New Roman"/>
          <w:i/>
          <w:iCs/>
          <w:kern w:val="0"/>
          <w14:ligatures w14:val="none"/>
        </w:rPr>
        <w:t xml:space="preserve">Oxford Research Encyclopedia of Education. </w:t>
      </w:r>
      <w:hyperlink r:id="rId13" w:history="1">
        <w:r w:rsidR="00980946" w:rsidRPr="00980946">
          <w:rPr>
            <w:rStyle w:val="Hyperlink"/>
            <w:rFonts w:ascii="Times New Roman" w:eastAsia="Times New Roman" w:hAnsi="Times New Roman" w:cs="Times New Roman"/>
            <w:color w:val="000000" w:themeColor="text1"/>
            <w:kern w:val="0"/>
            <w:u w:val="none"/>
            <w14:ligatures w14:val="none"/>
          </w:rPr>
          <w:t>https://doi.org/10.1093/acrefore/9780190264093.013.138</w:t>
        </w:r>
      </w:hyperlink>
      <w:r w:rsidR="00980946" w:rsidRPr="00980946">
        <w:rPr>
          <w:rFonts w:ascii="Times New Roman" w:eastAsia="Times New Roman" w:hAnsi="Times New Roman" w:cs="Times New Roman"/>
          <w:color w:val="000000" w:themeColor="text1"/>
          <w:kern w:val="0"/>
          <w14:ligatures w14:val="none"/>
        </w:rPr>
        <w:t xml:space="preserve"> </w:t>
      </w:r>
    </w:p>
    <w:p w14:paraId="639102BE" w14:textId="26B39803" w:rsidR="00626EF0" w:rsidRPr="00626EF0" w:rsidRDefault="00626EF0" w:rsidP="6FDD329B">
      <w:pPr>
        <w:spacing w:after="240" w:line="240" w:lineRule="auto"/>
        <w:ind w:left="720" w:hanging="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Honeyman, K., &amp; Eck, C. J. (2025). Beyond content knowledge: Inquiry-based learning and preservice </w:t>
      </w:r>
      <w:proofErr w:type="gramStart"/>
      <w:r>
        <w:rPr>
          <w:rFonts w:ascii="Times New Roman" w:eastAsia="Times New Roman" w:hAnsi="Times New Roman" w:cs="Times New Roman"/>
          <w:kern w:val="0"/>
          <w14:ligatures w14:val="none"/>
        </w:rPr>
        <w:t>teachers’</w:t>
      </w:r>
      <w:proofErr w:type="gramEnd"/>
      <w:r>
        <w:rPr>
          <w:rFonts w:ascii="Times New Roman" w:eastAsia="Times New Roman" w:hAnsi="Times New Roman" w:cs="Times New Roman"/>
          <w:kern w:val="0"/>
          <w14:ligatures w14:val="none"/>
        </w:rPr>
        <w:t xml:space="preserve"> perceived ability to incorporate STEM and AFNR concepts. </w:t>
      </w:r>
      <w:r>
        <w:rPr>
          <w:rFonts w:ascii="Times New Roman" w:eastAsia="Times New Roman" w:hAnsi="Times New Roman" w:cs="Times New Roman"/>
          <w:i/>
          <w:iCs/>
          <w:kern w:val="0"/>
          <w14:ligatures w14:val="none"/>
        </w:rPr>
        <w:t>Journal of Agricultural Education, 66</w:t>
      </w:r>
      <w:r>
        <w:rPr>
          <w:rFonts w:ascii="Times New Roman" w:eastAsia="Times New Roman" w:hAnsi="Times New Roman" w:cs="Times New Roman"/>
          <w:kern w:val="0"/>
          <w14:ligatures w14:val="none"/>
        </w:rPr>
        <w:t xml:space="preserve">(3), Article 19. </w:t>
      </w:r>
      <w:hyperlink r:id="rId14" w:history="1">
        <w:r w:rsidRPr="00626EF0">
          <w:rPr>
            <w:rStyle w:val="Hyperlink"/>
            <w:rFonts w:ascii="Times New Roman" w:eastAsia="Times New Roman" w:hAnsi="Times New Roman" w:cs="Times New Roman"/>
            <w:color w:val="000000" w:themeColor="text1"/>
            <w:kern w:val="0"/>
            <w:u w:val="none"/>
            <w14:ligatures w14:val="none"/>
          </w:rPr>
          <w:t>https://doi.org/10.5032/jae.v66i3.3232</w:t>
        </w:r>
      </w:hyperlink>
      <w:r w:rsidRPr="00626EF0">
        <w:rPr>
          <w:rFonts w:ascii="Times New Roman" w:eastAsia="Times New Roman" w:hAnsi="Times New Roman" w:cs="Times New Roman"/>
          <w:color w:val="000000" w:themeColor="text1"/>
          <w:kern w:val="0"/>
          <w14:ligatures w14:val="none"/>
        </w:rPr>
        <w:t xml:space="preserve"> </w:t>
      </w:r>
    </w:p>
    <w:p w14:paraId="2D8C62E6" w14:textId="33767C72"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Jeya Harish, H. G., Krishnakumar, R., &amp; William Dharma Raja, B. (2012). Cross curricular connections: An innovative model for curriculum transaction. </w:t>
      </w:r>
      <w:r w:rsidRPr="6FDD329B">
        <w:rPr>
          <w:rFonts w:ascii="Times New Roman" w:eastAsia="Times New Roman" w:hAnsi="Times New Roman" w:cs="Times New Roman"/>
          <w:i/>
          <w:iCs/>
          <w:kern w:val="0"/>
          <w14:ligatures w14:val="none"/>
        </w:rPr>
        <w:t>I-manager’s Journal on School Educational Technology, 7</w:t>
      </w:r>
      <w:r w:rsidRPr="00F27FFC">
        <w:rPr>
          <w:rFonts w:ascii="Times New Roman" w:eastAsia="Times New Roman" w:hAnsi="Times New Roman" w:cs="Times New Roman"/>
          <w:kern w:val="0"/>
          <w14:ligatures w14:val="none"/>
        </w:rPr>
        <w:t xml:space="preserve">(3), 1–9. </w:t>
      </w:r>
      <w:hyperlink r:id="rId15" w:history="1">
        <w:r w:rsidR="00980946" w:rsidRPr="00980946">
          <w:rPr>
            <w:rStyle w:val="Hyperlink"/>
            <w:rFonts w:ascii="Times New Roman" w:eastAsia="Times New Roman" w:hAnsi="Times New Roman" w:cs="Times New Roman"/>
            <w:color w:val="000000" w:themeColor="text1"/>
            <w:kern w:val="0"/>
            <w:u w:val="none"/>
            <w14:ligatures w14:val="none"/>
          </w:rPr>
          <w:t>https://doi.org/10.26634/jsch.7.3.1668</w:t>
        </w:r>
      </w:hyperlink>
      <w:r w:rsidR="00980946" w:rsidRPr="00980946">
        <w:rPr>
          <w:rFonts w:ascii="Times New Roman" w:eastAsia="Times New Roman" w:hAnsi="Times New Roman" w:cs="Times New Roman"/>
          <w:color w:val="000000" w:themeColor="text1"/>
          <w:kern w:val="0"/>
          <w14:ligatures w14:val="none"/>
        </w:rPr>
        <w:t xml:space="preserve"> </w:t>
      </w:r>
    </w:p>
    <w:p w14:paraId="7DBAE47F" w14:textId="79322481"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lastRenderedPageBreak/>
        <w:t xml:space="preserve">Leong, B. A., &amp; Smetana, L. K. (2025). Exploring the longitudinal value of a research experience for preservice secondary science teachers. </w:t>
      </w:r>
      <w:r w:rsidRPr="6FDD329B">
        <w:rPr>
          <w:rFonts w:ascii="Times New Roman" w:eastAsia="Times New Roman" w:hAnsi="Times New Roman" w:cs="Times New Roman"/>
          <w:i/>
          <w:iCs/>
          <w:kern w:val="0"/>
          <w14:ligatures w14:val="none"/>
        </w:rPr>
        <w:t xml:space="preserve">Journal of Science Teacher Education. </w:t>
      </w:r>
      <w:hyperlink r:id="rId16" w:history="1">
        <w:r w:rsidR="00980946" w:rsidRPr="00980946">
          <w:rPr>
            <w:rStyle w:val="Hyperlink"/>
            <w:rFonts w:ascii="Times New Roman" w:eastAsia="Times New Roman" w:hAnsi="Times New Roman" w:cs="Times New Roman"/>
            <w:color w:val="000000" w:themeColor="text1"/>
            <w:kern w:val="0"/>
            <w:u w:val="none"/>
            <w14:ligatures w14:val="none"/>
          </w:rPr>
          <w:t>https://doi.org/10.1080/1046560X.2025.2531312</w:t>
        </w:r>
      </w:hyperlink>
      <w:r w:rsidR="00980946" w:rsidRPr="00980946">
        <w:rPr>
          <w:rFonts w:ascii="Times New Roman" w:eastAsia="Times New Roman" w:hAnsi="Times New Roman" w:cs="Times New Roman"/>
          <w:color w:val="000000" w:themeColor="text1"/>
          <w:kern w:val="0"/>
          <w14:ligatures w14:val="none"/>
        </w:rPr>
        <w:t xml:space="preserve"> </w:t>
      </w:r>
    </w:p>
    <w:p w14:paraId="05DCDF44" w14:textId="77777777"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Lincoln, Y. S., &amp; Guba, E. G. (1985). </w:t>
      </w:r>
      <w:r w:rsidRPr="6FDD329B">
        <w:rPr>
          <w:rFonts w:ascii="Times New Roman" w:eastAsia="Times New Roman" w:hAnsi="Times New Roman" w:cs="Times New Roman"/>
          <w:i/>
          <w:iCs/>
          <w:kern w:val="0"/>
          <w14:ligatures w14:val="none"/>
        </w:rPr>
        <w:t>Naturalistic inquiry</w:t>
      </w:r>
      <w:r w:rsidRPr="00F27FFC">
        <w:rPr>
          <w:rFonts w:ascii="Times New Roman" w:eastAsia="Times New Roman" w:hAnsi="Times New Roman" w:cs="Times New Roman"/>
          <w:kern w:val="0"/>
          <w14:ligatures w14:val="none"/>
        </w:rPr>
        <w:t>. SAGE Publications.</w:t>
      </w:r>
    </w:p>
    <w:p w14:paraId="52ED8F04" w14:textId="3835B19D" w:rsidR="00EB5700" w:rsidRPr="00EB5700" w:rsidRDefault="00EB5700" w:rsidP="6FDD329B">
      <w:pPr>
        <w:spacing w:after="240" w:line="240" w:lineRule="auto"/>
        <w:ind w:left="720" w:hanging="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McKim, A. J., Sorensen, T. J., Goodwin, C. M., &amp; Wilkinson, S. W. (2025). Exploring exemplary STEM lessons in agricultural education. </w:t>
      </w:r>
      <w:r>
        <w:rPr>
          <w:rFonts w:ascii="Times New Roman" w:eastAsia="Times New Roman" w:hAnsi="Times New Roman" w:cs="Times New Roman"/>
          <w:i/>
          <w:iCs/>
          <w:kern w:val="0"/>
          <w14:ligatures w14:val="none"/>
        </w:rPr>
        <w:t>Journal of Agricultural Education, 66</w:t>
      </w:r>
      <w:r>
        <w:rPr>
          <w:rFonts w:ascii="Times New Roman" w:eastAsia="Times New Roman" w:hAnsi="Times New Roman" w:cs="Times New Roman"/>
          <w:kern w:val="0"/>
          <w14:ligatures w14:val="none"/>
        </w:rPr>
        <w:t xml:space="preserve">(2), Article 4. </w:t>
      </w:r>
      <w:hyperlink r:id="rId17" w:history="1">
        <w:r w:rsidR="00E7495E" w:rsidRPr="00E7495E">
          <w:rPr>
            <w:rStyle w:val="Hyperlink"/>
            <w:rFonts w:ascii="Times New Roman" w:eastAsia="Times New Roman" w:hAnsi="Times New Roman" w:cs="Times New Roman"/>
            <w:color w:val="000000" w:themeColor="text1"/>
            <w:kern w:val="0"/>
            <w:u w:val="none"/>
            <w14:ligatures w14:val="none"/>
          </w:rPr>
          <w:t>https://doi.org/10.5032/jae.v66i2.2906</w:t>
        </w:r>
      </w:hyperlink>
      <w:r w:rsidR="00E7495E" w:rsidRPr="00E7495E">
        <w:rPr>
          <w:rFonts w:ascii="Times New Roman" w:eastAsia="Times New Roman" w:hAnsi="Times New Roman" w:cs="Times New Roman"/>
          <w:color w:val="000000" w:themeColor="text1"/>
          <w:kern w:val="0"/>
          <w14:ligatures w14:val="none"/>
        </w:rPr>
        <w:t xml:space="preserve"> </w:t>
      </w:r>
    </w:p>
    <w:p w14:paraId="6392A9A8" w14:textId="61DF69E0" w:rsidR="00F27FFC" w:rsidRPr="00F27FFC" w:rsidRDefault="00F27FFC" w:rsidP="6FDD329B">
      <w:pPr>
        <w:spacing w:after="240" w:line="240" w:lineRule="auto"/>
        <w:ind w:left="720" w:hanging="720"/>
        <w:rPr>
          <w:rFonts w:ascii="Times New Roman" w:eastAsia="Times New Roman" w:hAnsi="Times New Roman" w:cs="Times New Roman"/>
          <w:i/>
          <w:iCs/>
          <w:kern w:val="0"/>
          <w14:ligatures w14:val="none"/>
        </w:rPr>
      </w:pPr>
      <w:r w:rsidRPr="00F27FFC">
        <w:rPr>
          <w:rFonts w:ascii="Times New Roman" w:eastAsia="Times New Roman" w:hAnsi="Times New Roman" w:cs="Times New Roman"/>
          <w:kern w:val="0"/>
          <w14:ligatures w14:val="none"/>
        </w:rPr>
        <w:t xml:space="preserve">National FFA Organization. (2025). </w:t>
      </w:r>
      <w:r w:rsidRPr="6FDD329B">
        <w:rPr>
          <w:rFonts w:ascii="Times New Roman" w:eastAsia="Times New Roman" w:hAnsi="Times New Roman" w:cs="Times New Roman"/>
          <w:i/>
          <w:iCs/>
          <w:kern w:val="0"/>
          <w14:ligatures w14:val="none"/>
        </w:rPr>
        <w:t xml:space="preserve">2025 Agriscience </w:t>
      </w:r>
      <w:r w:rsidR="00980946">
        <w:rPr>
          <w:rFonts w:ascii="Times New Roman" w:eastAsia="Times New Roman" w:hAnsi="Times New Roman" w:cs="Times New Roman"/>
          <w:i/>
          <w:iCs/>
          <w:kern w:val="0"/>
          <w14:ligatures w14:val="none"/>
        </w:rPr>
        <w:t>f</w:t>
      </w:r>
      <w:r w:rsidRPr="6FDD329B">
        <w:rPr>
          <w:rFonts w:ascii="Times New Roman" w:eastAsia="Times New Roman" w:hAnsi="Times New Roman" w:cs="Times New Roman"/>
          <w:i/>
          <w:iCs/>
          <w:kern w:val="0"/>
          <w14:ligatures w14:val="none"/>
        </w:rPr>
        <w:t xml:space="preserve">air </w:t>
      </w:r>
      <w:r w:rsidR="00980946">
        <w:rPr>
          <w:rFonts w:ascii="Times New Roman" w:eastAsia="Times New Roman" w:hAnsi="Times New Roman" w:cs="Times New Roman"/>
          <w:i/>
          <w:iCs/>
          <w:kern w:val="0"/>
          <w14:ligatures w14:val="none"/>
        </w:rPr>
        <w:t>a</w:t>
      </w:r>
      <w:r w:rsidRPr="6FDD329B">
        <w:rPr>
          <w:rFonts w:ascii="Times New Roman" w:eastAsia="Times New Roman" w:hAnsi="Times New Roman" w:cs="Times New Roman"/>
          <w:i/>
          <w:iCs/>
          <w:kern w:val="0"/>
          <w14:ligatures w14:val="none"/>
        </w:rPr>
        <w:t xml:space="preserve">ward </w:t>
      </w:r>
      <w:r w:rsidR="00980946">
        <w:rPr>
          <w:rFonts w:ascii="Times New Roman" w:eastAsia="Times New Roman" w:hAnsi="Times New Roman" w:cs="Times New Roman"/>
          <w:i/>
          <w:iCs/>
          <w:kern w:val="0"/>
          <w14:ligatures w14:val="none"/>
        </w:rPr>
        <w:t>p</w:t>
      </w:r>
      <w:r w:rsidRPr="6FDD329B">
        <w:rPr>
          <w:rFonts w:ascii="Times New Roman" w:eastAsia="Times New Roman" w:hAnsi="Times New Roman" w:cs="Times New Roman"/>
          <w:i/>
          <w:iCs/>
          <w:kern w:val="0"/>
          <w14:ligatures w14:val="none"/>
        </w:rPr>
        <w:t xml:space="preserve">rogram. </w:t>
      </w:r>
      <w:hyperlink r:id="rId18" w:history="1">
        <w:r w:rsidR="00980946" w:rsidRPr="00980946">
          <w:rPr>
            <w:rStyle w:val="Hyperlink"/>
            <w:rFonts w:ascii="Times New Roman" w:eastAsia="Times New Roman" w:hAnsi="Times New Roman" w:cs="Times New Roman"/>
            <w:color w:val="000000" w:themeColor="text1"/>
            <w:kern w:val="0"/>
            <w:u w:val="none"/>
            <w14:ligatures w14:val="none"/>
          </w:rPr>
          <w:t>https://ffa.app.box.com/s/x4rd2h4a6fvwkrf5yogk9jbwwxouehnr/file/1621703913393</w:t>
        </w:r>
      </w:hyperlink>
      <w:r w:rsidR="00980946" w:rsidRPr="00980946">
        <w:rPr>
          <w:rFonts w:ascii="Times New Roman" w:eastAsia="Times New Roman" w:hAnsi="Times New Roman" w:cs="Times New Roman"/>
          <w:color w:val="000000" w:themeColor="text1"/>
          <w:kern w:val="0"/>
          <w14:ligatures w14:val="none"/>
        </w:rPr>
        <w:t xml:space="preserve"> </w:t>
      </w:r>
    </w:p>
    <w:p w14:paraId="0C838CFE" w14:textId="43E0B364" w:rsidR="00F27FFC" w:rsidRPr="00FE64CE" w:rsidRDefault="00F27FFC" w:rsidP="6FDD329B">
      <w:pPr>
        <w:spacing w:after="240" w:line="240" w:lineRule="auto"/>
        <w:ind w:left="720" w:hanging="720"/>
        <w:rPr>
          <w:rFonts w:ascii="Times New Roman" w:eastAsia="Times New Roman" w:hAnsi="Times New Roman" w:cs="Times New Roman"/>
          <w:color w:val="000000" w:themeColor="text1"/>
          <w:kern w:val="0"/>
          <w14:ligatures w14:val="none"/>
        </w:rPr>
      </w:pPr>
      <w:proofErr w:type="spellStart"/>
      <w:r w:rsidRPr="00F27FFC">
        <w:rPr>
          <w:rFonts w:ascii="Times New Roman" w:eastAsia="Times New Roman" w:hAnsi="Times New Roman" w:cs="Times New Roman"/>
          <w:kern w:val="0"/>
          <w14:ligatures w14:val="none"/>
        </w:rPr>
        <w:t>Oudenampsen</w:t>
      </w:r>
      <w:proofErr w:type="spellEnd"/>
      <w:r w:rsidRPr="00F27FFC">
        <w:rPr>
          <w:rFonts w:ascii="Times New Roman" w:eastAsia="Times New Roman" w:hAnsi="Times New Roman" w:cs="Times New Roman"/>
          <w:kern w:val="0"/>
          <w14:ligatures w14:val="none"/>
        </w:rPr>
        <w:t xml:space="preserve">, J., van de Pol, M., </w:t>
      </w:r>
      <w:proofErr w:type="spellStart"/>
      <w:r w:rsidRPr="00F27FFC">
        <w:rPr>
          <w:rFonts w:ascii="Times New Roman" w:eastAsia="Times New Roman" w:hAnsi="Times New Roman" w:cs="Times New Roman"/>
          <w:kern w:val="0"/>
          <w14:ligatures w14:val="none"/>
        </w:rPr>
        <w:t>Blijlevens</w:t>
      </w:r>
      <w:proofErr w:type="spellEnd"/>
      <w:r w:rsidRPr="00F27FFC">
        <w:rPr>
          <w:rFonts w:ascii="Times New Roman" w:eastAsia="Times New Roman" w:hAnsi="Times New Roman" w:cs="Times New Roman"/>
          <w:kern w:val="0"/>
          <w14:ligatures w14:val="none"/>
        </w:rPr>
        <w:t xml:space="preserve">, N., &amp; Das, E. (2023). Interdisciplinary education affects student learning: a focus group study. </w:t>
      </w:r>
      <w:r w:rsidRPr="6FDD329B">
        <w:rPr>
          <w:rFonts w:ascii="Times New Roman" w:eastAsia="Times New Roman" w:hAnsi="Times New Roman" w:cs="Times New Roman"/>
          <w:i/>
          <w:iCs/>
          <w:kern w:val="0"/>
          <w14:ligatures w14:val="none"/>
        </w:rPr>
        <w:t>BMC Medical Education, 23</w:t>
      </w:r>
      <w:r w:rsidRPr="00F27FFC">
        <w:rPr>
          <w:rFonts w:ascii="Times New Roman" w:eastAsia="Times New Roman" w:hAnsi="Times New Roman" w:cs="Times New Roman"/>
          <w:kern w:val="0"/>
          <w14:ligatures w14:val="none"/>
        </w:rPr>
        <w:t xml:space="preserve">, 169. </w:t>
      </w:r>
      <w:hyperlink r:id="rId19" w:history="1">
        <w:r w:rsidR="00FE64CE" w:rsidRPr="00FE64CE">
          <w:rPr>
            <w:rStyle w:val="Hyperlink"/>
            <w:rFonts w:ascii="Times New Roman" w:eastAsia="Times New Roman" w:hAnsi="Times New Roman" w:cs="Times New Roman"/>
            <w:color w:val="000000" w:themeColor="text1"/>
            <w:kern w:val="0"/>
            <w:u w:val="none"/>
            <w14:ligatures w14:val="none"/>
          </w:rPr>
          <w:t>https://doi.org/10.1186/s12909-023-014103-9</w:t>
        </w:r>
      </w:hyperlink>
      <w:r w:rsidR="00FE64CE" w:rsidRPr="00FE64CE">
        <w:rPr>
          <w:rFonts w:ascii="Times New Roman" w:eastAsia="Times New Roman" w:hAnsi="Times New Roman" w:cs="Times New Roman"/>
          <w:color w:val="000000" w:themeColor="text1"/>
          <w:kern w:val="0"/>
          <w14:ligatures w14:val="none"/>
        </w:rPr>
        <w:t xml:space="preserve"> </w:t>
      </w:r>
    </w:p>
    <w:p w14:paraId="2DC4A286" w14:textId="373E1DD5"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Parr, B. A., Edwards, M. C., &amp; Leising, J. G. (2006). Effects of a math-enhanced curriculum and instructional approach on the mathematics achievement of agricultural power and technology students: An experimental study. </w:t>
      </w:r>
      <w:r w:rsidRPr="6FDD329B">
        <w:rPr>
          <w:rFonts w:ascii="Times New Roman" w:eastAsia="Times New Roman" w:hAnsi="Times New Roman" w:cs="Times New Roman"/>
          <w:i/>
          <w:iCs/>
          <w:kern w:val="0"/>
          <w14:ligatures w14:val="none"/>
        </w:rPr>
        <w:t>Journal of Agricultural Education</w:t>
      </w:r>
      <w:r w:rsidRPr="00F27FFC">
        <w:rPr>
          <w:rFonts w:ascii="Times New Roman" w:eastAsia="Times New Roman" w:hAnsi="Times New Roman" w:cs="Times New Roman"/>
          <w:kern w:val="0"/>
          <w14:ligatures w14:val="none"/>
        </w:rPr>
        <w:t>, </w:t>
      </w:r>
      <w:r w:rsidRPr="6FDD329B">
        <w:rPr>
          <w:rFonts w:ascii="Times New Roman" w:eastAsia="Times New Roman" w:hAnsi="Times New Roman" w:cs="Times New Roman"/>
          <w:i/>
          <w:iCs/>
          <w:kern w:val="0"/>
          <w14:ligatures w14:val="none"/>
        </w:rPr>
        <w:t>47</w:t>
      </w:r>
      <w:r w:rsidRPr="00F27FFC">
        <w:rPr>
          <w:rFonts w:ascii="Times New Roman" w:eastAsia="Times New Roman" w:hAnsi="Times New Roman" w:cs="Times New Roman"/>
          <w:kern w:val="0"/>
          <w14:ligatures w14:val="none"/>
        </w:rPr>
        <w:t xml:space="preserve">(3), 81–93. </w:t>
      </w:r>
      <w:hyperlink r:id="rId20" w:history="1">
        <w:r w:rsidR="00FE64CE" w:rsidRPr="00FE64CE">
          <w:rPr>
            <w:rStyle w:val="Hyperlink"/>
            <w:rFonts w:ascii="Times New Roman" w:eastAsia="Times New Roman" w:hAnsi="Times New Roman" w:cs="Times New Roman"/>
            <w:color w:val="000000" w:themeColor="text1"/>
            <w:kern w:val="0"/>
            <w:u w:val="none"/>
            <w14:ligatures w14:val="none"/>
          </w:rPr>
          <w:t>https://doi.org/10.5032/jae.2006.03081</w:t>
        </w:r>
      </w:hyperlink>
      <w:r w:rsidR="00FE64CE" w:rsidRPr="00FE64CE">
        <w:rPr>
          <w:rFonts w:ascii="Times New Roman" w:eastAsia="Times New Roman" w:hAnsi="Times New Roman" w:cs="Times New Roman"/>
          <w:color w:val="000000" w:themeColor="text1"/>
          <w:kern w:val="0"/>
          <w14:ligatures w14:val="none"/>
        </w:rPr>
        <w:t xml:space="preserve"> </w:t>
      </w:r>
    </w:p>
    <w:p w14:paraId="6B9BB5A2" w14:textId="26F7384B"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Perwaiz, F., &amp; </w:t>
      </w:r>
      <w:proofErr w:type="spellStart"/>
      <w:r w:rsidRPr="00F27FFC">
        <w:rPr>
          <w:rFonts w:ascii="Times New Roman" w:eastAsia="Times New Roman" w:hAnsi="Times New Roman" w:cs="Times New Roman"/>
          <w:kern w:val="0"/>
          <w14:ligatures w14:val="none"/>
        </w:rPr>
        <w:t>Asunda</w:t>
      </w:r>
      <w:proofErr w:type="spellEnd"/>
      <w:r w:rsidRPr="00F27FFC">
        <w:rPr>
          <w:rFonts w:ascii="Times New Roman" w:eastAsia="Times New Roman" w:hAnsi="Times New Roman" w:cs="Times New Roman"/>
          <w:kern w:val="0"/>
          <w14:ligatures w14:val="none"/>
        </w:rPr>
        <w:t xml:space="preserve">, P. (2025). Teachers’ instructional practices and students’ responses in middle school integrated STEM learning environments. </w:t>
      </w:r>
      <w:r w:rsidRPr="6FDD329B">
        <w:rPr>
          <w:rFonts w:ascii="Times New Roman" w:eastAsia="Times New Roman" w:hAnsi="Times New Roman" w:cs="Times New Roman"/>
          <w:i/>
          <w:iCs/>
          <w:kern w:val="0"/>
          <w14:ligatures w14:val="none"/>
        </w:rPr>
        <w:t>Journal of STEM Education: Innovations and Research, 26</w:t>
      </w:r>
      <w:r w:rsidRPr="00F27FFC">
        <w:rPr>
          <w:rFonts w:ascii="Times New Roman" w:eastAsia="Times New Roman" w:hAnsi="Times New Roman" w:cs="Times New Roman"/>
          <w:kern w:val="0"/>
          <w14:ligatures w14:val="none"/>
        </w:rPr>
        <w:t xml:space="preserve">(2), 19–25. </w:t>
      </w:r>
      <w:hyperlink r:id="rId21" w:history="1">
        <w:r w:rsidR="00FE64CE" w:rsidRPr="00FE64CE">
          <w:rPr>
            <w:rStyle w:val="Hyperlink"/>
            <w:rFonts w:ascii="Times New Roman" w:eastAsia="Times New Roman" w:hAnsi="Times New Roman" w:cs="Times New Roman"/>
            <w:color w:val="000000" w:themeColor="text1"/>
            <w:kern w:val="0"/>
            <w:u w:val="none"/>
            <w14:ligatures w14:val="none"/>
          </w:rPr>
          <w:t>https://doi.org/10.63504/jstem.v26i2.2682</w:t>
        </w:r>
      </w:hyperlink>
      <w:r w:rsidR="00FE64CE" w:rsidRPr="00FE64CE">
        <w:rPr>
          <w:rFonts w:ascii="Times New Roman" w:eastAsia="Times New Roman" w:hAnsi="Times New Roman" w:cs="Times New Roman"/>
          <w:color w:val="000000" w:themeColor="text1"/>
          <w:kern w:val="0"/>
          <w14:ligatures w14:val="none"/>
        </w:rPr>
        <w:t xml:space="preserve"> </w:t>
      </w:r>
    </w:p>
    <w:p w14:paraId="4F940894" w14:textId="54906EEE"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Scherer, H. H., McKim, A. J., Wang, H.-H., DiBenedetto, C. A., &amp; Robinson, K. (2019). Making </w:t>
      </w:r>
      <w:r w:rsidR="00D667D8">
        <w:rPr>
          <w:rFonts w:ascii="Times New Roman" w:eastAsia="Times New Roman" w:hAnsi="Times New Roman" w:cs="Times New Roman"/>
          <w:kern w:val="0"/>
          <w14:ligatures w14:val="none"/>
        </w:rPr>
        <w:t>s</w:t>
      </w:r>
      <w:r w:rsidRPr="00F27FFC">
        <w:rPr>
          <w:rFonts w:ascii="Times New Roman" w:eastAsia="Times New Roman" w:hAnsi="Times New Roman" w:cs="Times New Roman"/>
          <w:kern w:val="0"/>
          <w14:ligatures w14:val="none"/>
        </w:rPr>
        <w:t xml:space="preserve">ense of the </w:t>
      </w:r>
      <w:r w:rsidR="00D667D8">
        <w:rPr>
          <w:rFonts w:ascii="Times New Roman" w:eastAsia="Times New Roman" w:hAnsi="Times New Roman" w:cs="Times New Roman"/>
          <w:kern w:val="0"/>
          <w14:ligatures w14:val="none"/>
        </w:rPr>
        <w:t>b</w:t>
      </w:r>
      <w:r w:rsidRPr="00F27FFC">
        <w:rPr>
          <w:rFonts w:ascii="Times New Roman" w:eastAsia="Times New Roman" w:hAnsi="Times New Roman" w:cs="Times New Roman"/>
          <w:kern w:val="0"/>
          <w14:ligatures w14:val="none"/>
        </w:rPr>
        <w:t xml:space="preserve">uzz: A </w:t>
      </w:r>
      <w:r w:rsidR="00D667D8">
        <w:rPr>
          <w:rFonts w:ascii="Times New Roman" w:eastAsia="Times New Roman" w:hAnsi="Times New Roman" w:cs="Times New Roman"/>
          <w:kern w:val="0"/>
          <w14:ligatures w14:val="none"/>
        </w:rPr>
        <w:t>s</w:t>
      </w:r>
      <w:r w:rsidRPr="00F27FFC">
        <w:rPr>
          <w:rFonts w:ascii="Times New Roman" w:eastAsia="Times New Roman" w:hAnsi="Times New Roman" w:cs="Times New Roman"/>
          <w:kern w:val="0"/>
          <w14:ligatures w14:val="none"/>
        </w:rPr>
        <w:t xml:space="preserve">ystematic </w:t>
      </w:r>
      <w:r w:rsidR="00D667D8">
        <w:rPr>
          <w:rFonts w:ascii="Times New Roman" w:eastAsia="Times New Roman" w:hAnsi="Times New Roman" w:cs="Times New Roman"/>
          <w:kern w:val="0"/>
          <w14:ligatures w14:val="none"/>
        </w:rPr>
        <w:t>r</w:t>
      </w:r>
      <w:r w:rsidRPr="00F27FFC">
        <w:rPr>
          <w:rFonts w:ascii="Times New Roman" w:eastAsia="Times New Roman" w:hAnsi="Times New Roman" w:cs="Times New Roman"/>
          <w:kern w:val="0"/>
          <w14:ligatures w14:val="none"/>
        </w:rPr>
        <w:t xml:space="preserve">eview of "STEM" in </w:t>
      </w:r>
      <w:r w:rsidR="00D667D8">
        <w:rPr>
          <w:rFonts w:ascii="Times New Roman" w:eastAsia="Times New Roman" w:hAnsi="Times New Roman" w:cs="Times New Roman"/>
          <w:kern w:val="0"/>
          <w14:ligatures w14:val="none"/>
        </w:rPr>
        <w:t>a</w:t>
      </w:r>
      <w:r w:rsidRPr="00F27FFC">
        <w:rPr>
          <w:rFonts w:ascii="Times New Roman" w:eastAsia="Times New Roman" w:hAnsi="Times New Roman" w:cs="Times New Roman"/>
          <w:kern w:val="0"/>
          <w14:ligatures w14:val="none"/>
        </w:rPr>
        <w:t xml:space="preserve">griculture, </w:t>
      </w:r>
      <w:r w:rsidR="00D667D8">
        <w:rPr>
          <w:rFonts w:ascii="Times New Roman" w:eastAsia="Times New Roman" w:hAnsi="Times New Roman" w:cs="Times New Roman"/>
          <w:kern w:val="0"/>
          <w14:ligatures w14:val="none"/>
        </w:rPr>
        <w:t>f</w:t>
      </w:r>
      <w:r w:rsidRPr="00F27FFC">
        <w:rPr>
          <w:rFonts w:ascii="Times New Roman" w:eastAsia="Times New Roman" w:hAnsi="Times New Roman" w:cs="Times New Roman"/>
          <w:kern w:val="0"/>
          <w14:ligatures w14:val="none"/>
        </w:rPr>
        <w:t xml:space="preserve">ood, and </w:t>
      </w:r>
      <w:r w:rsidR="00D667D8">
        <w:rPr>
          <w:rFonts w:ascii="Times New Roman" w:eastAsia="Times New Roman" w:hAnsi="Times New Roman" w:cs="Times New Roman"/>
          <w:kern w:val="0"/>
          <w14:ligatures w14:val="none"/>
        </w:rPr>
        <w:t>n</w:t>
      </w:r>
      <w:r w:rsidRPr="00F27FFC">
        <w:rPr>
          <w:rFonts w:ascii="Times New Roman" w:eastAsia="Times New Roman" w:hAnsi="Times New Roman" w:cs="Times New Roman"/>
          <w:kern w:val="0"/>
          <w14:ligatures w14:val="none"/>
        </w:rPr>
        <w:t xml:space="preserve">atural </w:t>
      </w:r>
      <w:r w:rsidR="00D667D8">
        <w:rPr>
          <w:rFonts w:ascii="Times New Roman" w:eastAsia="Times New Roman" w:hAnsi="Times New Roman" w:cs="Times New Roman"/>
          <w:kern w:val="0"/>
          <w14:ligatures w14:val="none"/>
        </w:rPr>
        <w:t>r</w:t>
      </w:r>
      <w:r w:rsidRPr="00F27FFC">
        <w:rPr>
          <w:rFonts w:ascii="Times New Roman" w:eastAsia="Times New Roman" w:hAnsi="Times New Roman" w:cs="Times New Roman"/>
          <w:kern w:val="0"/>
          <w14:ligatures w14:val="none"/>
        </w:rPr>
        <w:t xml:space="preserve">esources </w:t>
      </w:r>
      <w:r w:rsidR="00D667D8">
        <w:rPr>
          <w:rFonts w:ascii="Times New Roman" w:eastAsia="Times New Roman" w:hAnsi="Times New Roman" w:cs="Times New Roman"/>
          <w:kern w:val="0"/>
          <w14:ligatures w14:val="none"/>
        </w:rPr>
        <w:t>e</w:t>
      </w:r>
      <w:r w:rsidRPr="00F27FFC">
        <w:rPr>
          <w:rFonts w:ascii="Times New Roman" w:eastAsia="Times New Roman" w:hAnsi="Times New Roman" w:cs="Times New Roman"/>
          <w:kern w:val="0"/>
          <w14:ligatures w14:val="none"/>
        </w:rPr>
        <w:t xml:space="preserve">ducation </w:t>
      </w:r>
      <w:r w:rsidR="00D667D8">
        <w:rPr>
          <w:rFonts w:ascii="Times New Roman" w:eastAsia="Times New Roman" w:hAnsi="Times New Roman" w:cs="Times New Roman"/>
          <w:kern w:val="0"/>
          <w14:ligatures w14:val="none"/>
        </w:rPr>
        <w:t>l</w:t>
      </w:r>
      <w:r w:rsidRPr="00F27FFC">
        <w:rPr>
          <w:rFonts w:ascii="Times New Roman" w:eastAsia="Times New Roman" w:hAnsi="Times New Roman" w:cs="Times New Roman"/>
          <w:kern w:val="0"/>
          <w14:ligatures w14:val="none"/>
        </w:rPr>
        <w:t xml:space="preserve">iterature. </w:t>
      </w:r>
      <w:r w:rsidRPr="6FDD329B">
        <w:rPr>
          <w:rFonts w:ascii="Times New Roman" w:eastAsia="Times New Roman" w:hAnsi="Times New Roman" w:cs="Times New Roman"/>
          <w:i/>
          <w:iCs/>
          <w:kern w:val="0"/>
          <w14:ligatures w14:val="none"/>
        </w:rPr>
        <w:t>Journal of Agricultural Education</w:t>
      </w:r>
      <w:r w:rsidRPr="00F27FFC">
        <w:rPr>
          <w:rFonts w:ascii="Times New Roman" w:eastAsia="Times New Roman" w:hAnsi="Times New Roman" w:cs="Times New Roman"/>
          <w:kern w:val="0"/>
          <w14:ligatures w14:val="none"/>
        </w:rPr>
        <w:t xml:space="preserve">, </w:t>
      </w:r>
      <w:r w:rsidRPr="6FDD329B">
        <w:rPr>
          <w:rFonts w:ascii="Times New Roman" w:eastAsia="Times New Roman" w:hAnsi="Times New Roman" w:cs="Times New Roman"/>
          <w:i/>
          <w:iCs/>
          <w:kern w:val="0"/>
          <w14:ligatures w14:val="none"/>
        </w:rPr>
        <w:t>60</w:t>
      </w:r>
      <w:r w:rsidRPr="00F27FFC">
        <w:rPr>
          <w:rFonts w:ascii="Times New Roman" w:eastAsia="Times New Roman" w:hAnsi="Times New Roman" w:cs="Times New Roman"/>
          <w:kern w:val="0"/>
          <w14:ligatures w14:val="none"/>
        </w:rPr>
        <w:t xml:space="preserve">(2), 28–53. </w:t>
      </w:r>
      <w:hyperlink r:id="rId22" w:history="1">
        <w:r w:rsidR="00D667D8" w:rsidRPr="00D667D8">
          <w:rPr>
            <w:rStyle w:val="Hyperlink"/>
            <w:rFonts w:ascii="Times New Roman" w:eastAsia="Times New Roman" w:hAnsi="Times New Roman" w:cs="Times New Roman"/>
            <w:color w:val="000000" w:themeColor="text1"/>
            <w:kern w:val="0"/>
            <w:u w:val="none"/>
            <w14:ligatures w14:val="none"/>
          </w:rPr>
          <w:t>https://doi.org/10.5032/jae.2019.02028</w:t>
        </w:r>
      </w:hyperlink>
      <w:r w:rsidR="00D667D8" w:rsidRPr="00D667D8">
        <w:rPr>
          <w:rFonts w:ascii="Times New Roman" w:eastAsia="Times New Roman" w:hAnsi="Times New Roman" w:cs="Times New Roman"/>
          <w:color w:val="000000" w:themeColor="text1"/>
          <w:kern w:val="0"/>
          <w14:ligatures w14:val="none"/>
        </w:rPr>
        <w:t xml:space="preserve"> </w:t>
      </w:r>
    </w:p>
    <w:p w14:paraId="6765DAD7" w14:textId="1E6E0E06"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Smith, K. L., Rayfield, J., &amp; McKim, B. R. (2015). Effective </w:t>
      </w:r>
      <w:r w:rsidR="00D667D8">
        <w:rPr>
          <w:rFonts w:ascii="Times New Roman" w:eastAsia="Times New Roman" w:hAnsi="Times New Roman" w:cs="Times New Roman"/>
          <w:kern w:val="0"/>
          <w14:ligatures w14:val="none"/>
        </w:rPr>
        <w:t>p</w:t>
      </w:r>
      <w:r w:rsidRPr="00F27FFC">
        <w:rPr>
          <w:rFonts w:ascii="Times New Roman" w:eastAsia="Times New Roman" w:hAnsi="Times New Roman" w:cs="Times New Roman"/>
          <w:kern w:val="0"/>
          <w14:ligatures w14:val="none"/>
        </w:rPr>
        <w:t xml:space="preserve">ractices in STEM </w:t>
      </w:r>
      <w:r w:rsidR="00D667D8">
        <w:rPr>
          <w:rFonts w:ascii="Times New Roman" w:eastAsia="Times New Roman" w:hAnsi="Times New Roman" w:cs="Times New Roman"/>
          <w:kern w:val="0"/>
          <w14:ligatures w14:val="none"/>
        </w:rPr>
        <w:t>i</w:t>
      </w:r>
      <w:r w:rsidRPr="00F27FFC">
        <w:rPr>
          <w:rFonts w:ascii="Times New Roman" w:eastAsia="Times New Roman" w:hAnsi="Times New Roman" w:cs="Times New Roman"/>
          <w:kern w:val="0"/>
          <w14:ligatures w14:val="none"/>
        </w:rPr>
        <w:t xml:space="preserve">ntegration: Describing </w:t>
      </w:r>
      <w:r w:rsidR="00D667D8">
        <w:rPr>
          <w:rFonts w:ascii="Times New Roman" w:eastAsia="Times New Roman" w:hAnsi="Times New Roman" w:cs="Times New Roman"/>
          <w:kern w:val="0"/>
          <w14:ligatures w14:val="none"/>
        </w:rPr>
        <w:t>t</w:t>
      </w:r>
      <w:r w:rsidRPr="00F27FFC">
        <w:rPr>
          <w:rFonts w:ascii="Times New Roman" w:eastAsia="Times New Roman" w:hAnsi="Times New Roman" w:cs="Times New Roman"/>
          <w:kern w:val="0"/>
          <w14:ligatures w14:val="none"/>
        </w:rPr>
        <w:t xml:space="preserve">eacher </w:t>
      </w:r>
      <w:r w:rsidR="00D667D8">
        <w:rPr>
          <w:rFonts w:ascii="Times New Roman" w:eastAsia="Times New Roman" w:hAnsi="Times New Roman" w:cs="Times New Roman"/>
          <w:kern w:val="0"/>
          <w14:ligatures w14:val="none"/>
        </w:rPr>
        <w:t>p</w:t>
      </w:r>
      <w:r w:rsidRPr="00F27FFC">
        <w:rPr>
          <w:rFonts w:ascii="Times New Roman" w:eastAsia="Times New Roman" w:hAnsi="Times New Roman" w:cs="Times New Roman"/>
          <w:kern w:val="0"/>
          <w14:ligatures w14:val="none"/>
        </w:rPr>
        <w:t xml:space="preserve">erceptions and </w:t>
      </w:r>
      <w:r w:rsidR="00D667D8">
        <w:rPr>
          <w:rFonts w:ascii="Times New Roman" w:eastAsia="Times New Roman" w:hAnsi="Times New Roman" w:cs="Times New Roman"/>
          <w:kern w:val="0"/>
          <w14:ligatures w14:val="none"/>
        </w:rPr>
        <w:t>i</w:t>
      </w:r>
      <w:r w:rsidRPr="00F27FFC">
        <w:rPr>
          <w:rFonts w:ascii="Times New Roman" w:eastAsia="Times New Roman" w:hAnsi="Times New Roman" w:cs="Times New Roman"/>
          <w:kern w:val="0"/>
          <w14:ligatures w14:val="none"/>
        </w:rPr>
        <w:t xml:space="preserve">nstructional </w:t>
      </w:r>
      <w:r w:rsidR="00D667D8">
        <w:rPr>
          <w:rFonts w:ascii="Times New Roman" w:eastAsia="Times New Roman" w:hAnsi="Times New Roman" w:cs="Times New Roman"/>
          <w:kern w:val="0"/>
          <w14:ligatures w14:val="none"/>
        </w:rPr>
        <w:t>m</w:t>
      </w:r>
      <w:r w:rsidRPr="00F27FFC">
        <w:rPr>
          <w:rFonts w:ascii="Times New Roman" w:eastAsia="Times New Roman" w:hAnsi="Times New Roman" w:cs="Times New Roman"/>
          <w:kern w:val="0"/>
          <w14:ligatures w14:val="none"/>
        </w:rPr>
        <w:t xml:space="preserve">ethod </w:t>
      </w:r>
      <w:r w:rsidR="00D667D8">
        <w:rPr>
          <w:rFonts w:ascii="Times New Roman" w:eastAsia="Times New Roman" w:hAnsi="Times New Roman" w:cs="Times New Roman"/>
          <w:kern w:val="0"/>
          <w14:ligatures w14:val="none"/>
        </w:rPr>
        <w:t>u</w:t>
      </w:r>
      <w:r w:rsidRPr="00F27FFC">
        <w:rPr>
          <w:rFonts w:ascii="Times New Roman" w:eastAsia="Times New Roman" w:hAnsi="Times New Roman" w:cs="Times New Roman"/>
          <w:kern w:val="0"/>
          <w14:ligatures w14:val="none"/>
        </w:rPr>
        <w:t xml:space="preserve">se. </w:t>
      </w:r>
      <w:r w:rsidRPr="6FDD329B">
        <w:rPr>
          <w:rFonts w:ascii="Times New Roman" w:eastAsia="Times New Roman" w:hAnsi="Times New Roman" w:cs="Times New Roman"/>
          <w:i/>
          <w:iCs/>
          <w:kern w:val="0"/>
          <w14:ligatures w14:val="none"/>
        </w:rPr>
        <w:t>Journal of Agricultural Education</w:t>
      </w:r>
      <w:r w:rsidRPr="00F27FFC">
        <w:rPr>
          <w:rFonts w:ascii="Times New Roman" w:eastAsia="Times New Roman" w:hAnsi="Times New Roman" w:cs="Times New Roman"/>
          <w:kern w:val="0"/>
          <w14:ligatures w14:val="none"/>
        </w:rPr>
        <w:t xml:space="preserve">, </w:t>
      </w:r>
      <w:r w:rsidRPr="6FDD329B">
        <w:rPr>
          <w:rFonts w:ascii="Times New Roman" w:eastAsia="Times New Roman" w:hAnsi="Times New Roman" w:cs="Times New Roman"/>
          <w:i/>
          <w:iCs/>
          <w:kern w:val="0"/>
          <w14:ligatures w14:val="none"/>
        </w:rPr>
        <w:t>56</w:t>
      </w:r>
      <w:r w:rsidRPr="00F27FFC">
        <w:rPr>
          <w:rFonts w:ascii="Times New Roman" w:eastAsia="Times New Roman" w:hAnsi="Times New Roman" w:cs="Times New Roman"/>
          <w:kern w:val="0"/>
          <w14:ligatures w14:val="none"/>
        </w:rPr>
        <w:t xml:space="preserve">(4), 182–201. </w:t>
      </w:r>
      <w:hyperlink r:id="rId23" w:history="1">
        <w:r w:rsidR="00D667D8" w:rsidRPr="00D667D8">
          <w:rPr>
            <w:rStyle w:val="Hyperlink"/>
            <w:rFonts w:ascii="Times New Roman" w:eastAsia="Times New Roman" w:hAnsi="Times New Roman" w:cs="Times New Roman"/>
            <w:color w:val="000000" w:themeColor="text1"/>
            <w:kern w:val="0"/>
            <w:u w:val="none"/>
            <w14:ligatures w14:val="none"/>
          </w:rPr>
          <w:t>https://doi.org/10.5032/jae.2015.04183</w:t>
        </w:r>
      </w:hyperlink>
      <w:r w:rsidR="00D667D8" w:rsidRPr="00D667D8">
        <w:rPr>
          <w:rFonts w:ascii="Times New Roman" w:eastAsia="Times New Roman" w:hAnsi="Times New Roman" w:cs="Times New Roman"/>
          <w:color w:val="000000" w:themeColor="text1"/>
          <w:kern w:val="0"/>
          <w14:ligatures w14:val="none"/>
        </w:rPr>
        <w:t xml:space="preserve"> </w:t>
      </w:r>
    </w:p>
    <w:p w14:paraId="49895939" w14:textId="7887CF31"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Stubbs, E. A., &amp; Myers, B. E. (2016). Part of </w:t>
      </w:r>
      <w:r w:rsidR="00D667D8">
        <w:rPr>
          <w:rFonts w:ascii="Times New Roman" w:eastAsia="Times New Roman" w:hAnsi="Times New Roman" w:cs="Times New Roman"/>
          <w:kern w:val="0"/>
          <w14:ligatures w14:val="none"/>
        </w:rPr>
        <w:t>w</w:t>
      </w:r>
      <w:r w:rsidRPr="00F27FFC">
        <w:rPr>
          <w:rFonts w:ascii="Times New Roman" w:eastAsia="Times New Roman" w:hAnsi="Times New Roman" w:cs="Times New Roman"/>
          <w:kern w:val="0"/>
          <w14:ligatures w14:val="none"/>
        </w:rPr>
        <w:t xml:space="preserve">hat </w:t>
      </w:r>
      <w:r w:rsidR="00D667D8">
        <w:rPr>
          <w:rFonts w:ascii="Times New Roman" w:eastAsia="Times New Roman" w:hAnsi="Times New Roman" w:cs="Times New Roman"/>
          <w:kern w:val="0"/>
          <w14:ligatures w14:val="none"/>
        </w:rPr>
        <w:t>w</w:t>
      </w:r>
      <w:r w:rsidRPr="00F27FFC">
        <w:rPr>
          <w:rFonts w:ascii="Times New Roman" w:eastAsia="Times New Roman" w:hAnsi="Times New Roman" w:cs="Times New Roman"/>
          <w:kern w:val="0"/>
          <w14:ligatures w14:val="none"/>
        </w:rPr>
        <w:t xml:space="preserve">e </w:t>
      </w:r>
      <w:r w:rsidR="00D667D8">
        <w:rPr>
          <w:rFonts w:ascii="Times New Roman" w:eastAsia="Times New Roman" w:hAnsi="Times New Roman" w:cs="Times New Roman"/>
          <w:kern w:val="0"/>
          <w14:ligatures w14:val="none"/>
        </w:rPr>
        <w:t>d</w:t>
      </w:r>
      <w:r w:rsidRPr="00F27FFC">
        <w:rPr>
          <w:rFonts w:ascii="Times New Roman" w:eastAsia="Times New Roman" w:hAnsi="Times New Roman" w:cs="Times New Roman"/>
          <w:kern w:val="0"/>
          <w14:ligatures w14:val="none"/>
        </w:rPr>
        <w:t xml:space="preserve">o: Teacher </w:t>
      </w:r>
      <w:r w:rsidR="00D667D8">
        <w:rPr>
          <w:rFonts w:ascii="Times New Roman" w:eastAsia="Times New Roman" w:hAnsi="Times New Roman" w:cs="Times New Roman"/>
          <w:kern w:val="0"/>
          <w14:ligatures w14:val="none"/>
        </w:rPr>
        <w:t>p</w:t>
      </w:r>
      <w:r w:rsidRPr="00F27FFC">
        <w:rPr>
          <w:rFonts w:ascii="Times New Roman" w:eastAsia="Times New Roman" w:hAnsi="Times New Roman" w:cs="Times New Roman"/>
          <w:kern w:val="0"/>
          <w14:ligatures w14:val="none"/>
        </w:rPr>
        <w:t xml:space="preserve">erceptions of STEM </w:t>
      </w:r>
      <w:r w:rsidR="00D667D8">
        <w:rPr>
          <w:rFonts w:ascii="Times New Roman" w:eastAsia="Times New Roman" w:hAnsi="Times New Roman" w:cs="Times New Roman"/>
          <w:kern w:val="0"/>
          <w14:ligatures w14:val="none"/>
        </w:rPr>
        <w:t>i</w:t>
      </w:r>
      <w:r w:rsidRPr="00F27FFC">
        <w:rPr>
          <w:rFonts w:ascii="Times New Roman" w:eastAsia="Times New Roman" w:hAnsi="Times New Roman" w:cs="Times New Roman"/>
          <w:kern w:val="0"/>
          <w14:ligatures w14:val="none"/>
        </w:rPr>
        <w:t xml:space="preserve">ntegration. </w:t>
      </w:r>
      <w:r w:rsidRPr="6FDD329B">
        <w:rPr>
          <w:rFonts w:ascii="Times New Roman" w:eastAsia="Times New Roman" w:hAnsi="Times New Roman" w:cs="Times New Roman"/>
          <w:i/>
          <w:iCs/>
          <w:kern w:val="0"/>
          <w14:ligatures w14:val="none"/>
        </w:rPr>
        <w:t>Journal of Agricultural Education</w:t>
      </w:r>
      <w:r w:rsidRPr="00F27FFC">
        <w:rPr>
          <w:rFonts w:ascii="Times New Roman" w:eastAsia="Times New Roman" w:hAnsi="Times New Roman" w:cs="Times New Roman"/>
          <w:kern w:val="0"/>
          <w14:ligatures w14:val="none"/>
        </w:rPr>
        <w:t xml:space="preserve">, </w:t>
      </w:r>
      <w:r w:rsidRPr="6FDD329B">
        <w:rPr>
          <w:rFonts w:ascii="Times New Roman" w:eastAsia="Times New Roman" w:hAnsi="Times New Roman" w:cs="Times New Roman"/>
          <w:i/>
          <w:iCs/>
          <w:kern w:val="0"/>
          <w14:ligatures w14:val="none"/>
        </w:rPr>
        <w:t>57</w:t>
      </w:r>
      <w:r w:rsidRPr="00F27FFC">
        <w:rPr>
          <w:rFonts w:ascii="Times New Roman" w:eastAsia="Times New Roman" w:hAnsi="Times New Roman" w:cs="Times New Roman"/>
          <w:kern w:val="0"/>
          <w14:ligatures w14:val="none"/>
        </w:rPr>
        <w:t xml:space="preserve">(3), 87–100. </w:t>
      </w:r>
      <w:hyperlink r:id="rId24" w:history="1">
        <w:r w:rsidR="00DE5411" w:rsidRPr="00DE5411">
          <w:rPr>
            <w:rStyle w:val="Hyperlink"/>
            <w:rFonts w:ascii="Times New Roman" w:eastAsia="Times New Roman" w:hAnsi="Times New Roman" w:cs="Times New Roman"/>
            <w:color w:val="000000" w:themeColor="text1"/>
            <w:kern w:val="0"/>
            <w:u w:val="none"/>
            <w14:ligatures w14:val="none"/>
          </w:rPr>
          <w:t>https://doi.org/10.5032/jae.2016.0308</w:t>
        </w:r>
      </w:hyperlink>
      <w:r w:rsidR="00DE5411" w:rsidRPr="00DE5411">
        <w:rPr>
          <w:rFonts w:ascii="Times New Roman" w:eastAsia="Times New Roman" w:hAnsi="Times New Roman" w:cs="Times New Roman"/>
          <w:color w:val="000000" w:themeColor="text1"/>
          <w:kern w:val="0"/>
          <w14:ligatures w14:val="none"/>
        </w:rPr>
        <w:t xml:space="preserve"> </w:t>
      </w:r>
    </w:p>
    <w:p w14:paraId="2B7008D5" w14:textId="3D9EB493"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Swafford, M. (2018). The state of the profession: STEM in agricultural education. </w:t>
      </w:r>
      <w:r w:rsidRPr="6FDD329B">
        <w:rPr>
          <w:rFonts w:ascii="Times New Roman" w:eastAsia="Times New Roman" w:hAnsi="Times New Roman" w:cs="Times New Roman"/>
          <w:i/>
          <w:iCs/>
          <w:kern w:val="0"/>
          <w14:ligatures w14:val="none"/>
        </w:rPr>
        <w:t>Journal of Agricultural Education, 59</w:t>
      </w:r>
      <w:r w:rsidRPr="00F27FFC">
        <w:rPr>
          <w:rFonts w:ascii="Times New Roman" w:eastAsia="Times New Roman" w:hAnsi="Times New Roman" w:cs="Times New Roman"/>
          <w:kern w:val="0"/>
          <w14:ligatures w14:val="none"/>
        </w:rPr>
        <w:t xml:space="preserve">(4), 315–333. </w:t>
      </w:r>
      <w:hyperlink r:id="rId25" w:history="1">
        <w:r w:rsidR="00DE5411" w:rsidRPr="00DE5411">
          <w:rPr>
            <w:rStyle w:val="Hyperlink"/>
            <w:rFonts w:ascii="Times New Roman" w:eastAsia="Times New Roman" w:hAnsi="Times New Roman" w:cs="Times New Roman"/>
            <w:color w:val="000000" w:themeColor="text1"/>
            <w:kern w:val="0"/>
            <w:u w:val="none"/>
            <w14:ligatures w14:val="none"/>
          </w:rPr>
          <w:t>https://doi.org/20.5032/jae.2018.04315</w:t>
        </w:r>
      </w:hyperlink>
      <w:r w:rsidR="00DE5411" w:rsidRPr="00DE5411">
        <w:rPr>
          <w:rFonts w:ascii="Times New Roman" w:eastAsia="Times New Roman" w:hAnsi="Times New Roman" w:cs="Times New Roman"/>
          <w:color w:val="000000" w:themeColor="text1"/>
          <w:kern w:val="0"/>
          <w14:ligatures w14:val="none"/>
        </w:rPr>
        <w:t xml:space="preserve"> </w:t>
      </w:r>
    </w:p>
    <w:p w14:paraId="656A1210" w14:textId="56704C32"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proofErr w:type="spellStart"/>
      <w:r w:rsidRPr="00F27FFC">
        <w:rPr>
          <w:rFonts w:ascii="Times New Roman" w:eastAsia="Times New Roman" w:hAnsi="Times New Roman" w:cs="Times New Roman"/>
          <w:kern w:val="0"/>
          <w14:ligatures w14:val="none"/>
        </w:rPr>
        <w:t>Tsivitanidou</w:t>
      </w:r>
      <w:proofErr w:type="spellEnd"/>
      <w:r w:rsidRPr="00F27FFC">
        <w:rPr>
          <w:rFonts w:ascii="Times New Roman" w:eastAsia="Times New Roman" w:hAnsi="Times New Roman" w:cs="Times New Roman"/>
          <w:kern w:val="0"/>
          <w14:ligatures w14:val="none"/>
        </w:rPr>
        <w:t xml:space="preserve">, O. E., Gray, P., </w:t>
      </w:r>
      <w:proofErr w:type="spellStart"/>
      <w:r w:rsidRPr="00F27FFC">
        <w:rPr>
          <w:rFonts w:ascii="Times New Roman" w:eastAsia="Times New Roman" w:hAnsi="Times New Roman" w:cs="Times New Roman"/>
          <w:kern w:val="0"/>
          <w14:ligatures w14:val="none"/>
        </w:rPr>
        <w:t>Rybska</w:t>
      </w:r>
      <w:proofErr w:type="spellEnd"/>
      <w:r w:rsidRPr="00F27FFC">
        <w:rPr>
          <w:rFonts w:ascii="Times New Roman" w:eastAsia="Times New Roman" w:hAnsi="Times New Roman" w:cs="Times New Roman"/>
          <w:kern w:val="0"/>
          <w14:ligatures w14:val="none"/>
        </w:rPr>
        <w:t xml:space="preserve">, E., Louca, L., &amp; Constantinou, C. P. (Eds.) (2018). </w:t>
      </w:r>
      <w:r w:rsidRPr="6FDD329B">
        <w:rPr>
          <w:rFonts w:ascii="Times New Roman" w:eastAsia="Times New Roman" w:hAnsi="Times New Roman" w:cs="Times New Roman"/>
          <w:i/>
          <w:iCs/>
          <w:kern w:val="0"/>
          <w14:ligatures w14:val="none"/>
        </w:rPr>
        <w:t xml:space="preserve">Professional </w:t>
      </w:r>
      <w:r w:rsidR="00DE5411">
        <w:rPr>
          <w:rFonts w:ascii="Times New Roman" w:eastAsia="Times New Roman" w:hAnsi="Times New Roman" w:cs="Times New Roman"/>
          <w:i/>
          <w:iCs/>
          <w:kern w:val="0"/>
          <w14:ligatures w14:val="none"/>
        </w:rPr>
        <w:t>d</w:t>
      </w:r>
      <w:r w:rsidRPr="6FDD329B">
        <w:rPr>
          <w:rFonts w:ascii="Times New Roman" w:eastAsia="Times New Roman" w:hAnsi="Times New Roman" w:cs="Times New Roman"/>
          <w:i/>
          <w:iCs/>
          <w:kern w:val="0"/>
          <w14:ligatures w14:val="none"/>
        </w:rPr>
        <w:t xml:space="preserve">evelopment for </w:t>
      </w:r>
      <w:r w:rsidR="006E09C2">
        <w:rPr>
          <w:rFonts w:ascii="Times New Roman" w:eastAsia="Times New Roman" w:hAnsi="Times New Roman" w:cs="Times New Roman"/>
          <w:i/>
          <w:iCs/>
          <w:kern w:val="0"/>
          <w14:ligatures w14:val="none"/>
        </w:rPr>
        <w:t>i</w:t>
      </w:r>
      <w:r w:rsidRPr="6FDD329B">
        <w:rPr>
          <w:rFonts w:ascii="Times New Roman" w:eastAsia="Times New Roman" w:hAnsi="Times New Roman" w:cs="Times New Roman"/>
          <w:i/>
          <w:iCs/>
          <w:kern w:val="0"/>
          <w14:ligatures w14:val="none"/>
        </w:rPr>
        <w:t>nquiry-</w:t>
      </w:r>
      <w:r w:rsidR="006E09C2">
        <w:rPr>
          <w:rFonts w:ascii="Times New Roman" w:eastAsia="Times New Roman" w:hAnsi="Times New Roman" w:cs="Times New Roman"/>
          <w:i/>
          <w:iCs/>
          <w:kern w:val="0"/>
          <w14:ligatures w14:val="none"/>
        </w:rPr>
        <w:t>b</w:t>
      </w:r>
      <w:r w:rsidRPr="6FDD329B">
        <w:rPr>
          <w:rFonts w:ascii="Times New Roman" w:eastAsia="Times New Roman" w:hAnsi="Times New Roman" w:cs="Times New Roman"/>
          <w:i/>
          <w:iCs/>
          <w:kern w:val="0"/>
          <w14:ligatures w14:val="none"/>
        </w:rPr>
        <w:t xml:space="preserve">ased </w:t>
      </w:r>
      <w:r w:rsidR="006E09C2">
        <w:rPr>
          <w:rFonts w:ascii="Times New Roman" w:eastAsia="Times New Roman" w:hAnsi="Times New Roman" w:cs="Times New Roman"/>
          <w:i/>
          <w:iCs/>
          <w:kern w:val="0"/>
          <w14:ligatures w14:val="none"/>
        </w:rPr>
        <w:t>s</w:t>
      </w:r>
      <w:r w:rsidRPr="6FDD329B">
        <w:rPr>
          <w:rFonts w:ascii="Times New Roman" w:eastAsia="Times New Roman" w:hAnsi="Times New Roman" w:cs="Times New Roman"/>
          <w:i/>
          <w:iCs/>
          <w:kern w:val="0"/>
          <w14:ligatures w14:val="none"/>
        </w:rPr>
        <w:t xml:space="preserve">cience </w:t>
      </w:r>
      <w:r w:rsidR="006E09C2">
        <w:rPr>
          <w:rFonts w:ascii="Times New Roman" w:eastAsia="Times New Roman" w:hAnsi="Times New Roman" w:cs="Times New Roman"/>
          <w:i/>
          <w:iCs/>
          <w:kern w:val="0"/>
          <w14:ligatures w14:val="none"/>
        </w:rPr>
        <w:t>t</w:t>
      </w:r>
      <w:r w:rsidRPr="6FDD329B">
        <w:rPr>
          <w:rFonts w:ascii="Times New Roman" w:eastAsia="Times New Roman" w:hAnsi="Times New Roman" w:cs="Times New Roman"/>
          <w:i/>
          <w:iCs/>
          <w:kern w:val="0"/>
          <w14:ligatures w14:val="none"/>
        </w:rPr>
        <w:t xml:space="preserve">eaching and </w:t>
      </w:r>
      <w:r w:rsidR="006E09C2">
        <w:rPr>
          <w:rFonts w:ascii="Times New Roman" w:eastAsia="Times New Roman" w:hAnsi="Times New Roman" w:cs="Times New Roman"/>
          <w:i/>
          <w:iCs/>
          <w:kern w:val="0"/>
          <w14:ligatures w14:val="none"/>
        </w:rPr>
        <w:t>l</w:t>
      </w:r>
      <w:r w:rsidRPr="6FDD329B">
        <w:rPr>
          <w:rFonts w:ascii="Times New Roman" w:eastAsia="Times New Roman" w:hAnsi="Times New Roman" w:cs="Times New Roman"/>
          <w:i/>
          <w:iCs/>
          <w:kern w:val="0"/>
          <w14:ligatures w14:val="none"/>
        </w:rPr>
        <w:t xml:space="preserve">earning. </w:t>
      </w:r>
      <w:r w:rsidRPr="00F27FFC">
        <w:rPr>
          <w:rFonts w:ascii="Times New Roman" w:eastAsia="Times New Roman" w:hAnsi="Times New Roman" w:cs="Times New Roman"/>
          <w:kern w:val="0"/>
          <w14:ligatures w14:val="none"/>
        </w:rPr>
        <w:t xml:space="preserve">Spring Cham. </w:t>
      </w:r>
      <w:hyperlink r:id="rId26" w:history="1">
        <w:r w:rsidR="006E09C2" w:rsidRPr="006E09C2">
          <w:rPr>
            <w:rStyle w:val="Hyperlink"/>
            <w:rFonts w:ascii="Times New Roman" w:eastAsia="Times New Roman" w:hAnsi="Times New Roman" w:cs="Times New Roman"/>
            <w:color w:val="000000" w:themeColor="text1"/>
            <w:kern w:val="0"/>
            <w:u w:val="none"/>
            <w14:ligatures w14:val="none"/>
          </w:rPr>
          <w:t>https://doi.org/10.1007/978-3-319-91406-0</w:t>
        </w:r>
      </w:hyperlink>
      <w:r w:rsidR="006E09C2" w:rsidRPr="006E09C2">
        <w:rPr>
          <w:rFonts w:ascii="Times New Roman" w:eastAsia="Times New Roman" w:hAnsi="Times New Roman" w:cs="Times New Roman"/>
          <w:color w:val="000000" w:themeColor="text1"/>
          <w:kern w:val="0"/>
          <w14:ligatures w14:val="none"/>
        </w:rPr>
        <w:t xml:space="preserve"> </w:t>
      </w:r>
    </w:p>
    <w:p w14:paraId="3143CD79" w14:textId="027D479D"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United States Department of Agriculture. (2015). </w:t>
      </w:r>
      <w:r w:rsidRPr="6FDD329B">
        <w:rPr>
          <w:rFonts w:ascii="Times New Roman" w:eastAsia="Times New Roman" w:hAnsi="Times New Roman" w:cs="Times New Roman"/>
          <w:i/>
          <w:iCs/>
          <w:kern w:val="0"/>
          <w14:ligatures w14:val="none"/>
        </w:rPr>
        <w:t>Employment opportunities for college graduates in food, agriculture, renewable natural resources, and the environment.</w:t>
      </w:r>
      <w:r w:rsidRPr="00F27FFC">
        <w:rPr>
          <w:rFonts w:ascii="Times New Roman" w:eastAsia="Times New Roman" w:hAnsi="Times New Roman" w:cs="Times New Roman"/>
          <w:kern w:val="0"/>
          <w14:ligatures w14:val="none"/>
        </w:rPr>
        <w:t xml:space="preserve"> </w:t>
      </w:r>
      <w:hyperlink r:id="rId27" w:history="1">
        <w:r w:rsidR="006E09C2" w:rsidRPr="006E09C2">
          <w:rPr>
            <w:rStyle w:val="Hyperlink"/>
            <w:rFonts w:ascii="Times New Roman" w:eastAsia="Times New Roman" w:hAnsi="Times New Roman" w:cs="Times New Roman"/>
            <w:color w:val="000000" w:themeColor="text1"/>
            <w:kern w:val="0"/>
            <w:u w:val="none"/>
            <w14:ligatures w14:val="none"/>
          </w:rPr>
          <w:t>https://www.purdue.edu/usda/employment/wp-content/uploads/2015/04/2-Page-USDA-Employ.pdf</w:t>
        </w:r>
      </w:hyperlink>
      <w:r w:rsidR="006E09C2" w:rsidRPr="006E09C2">
        <w:rPr>
          <w:rFonts w:ascii="Times New Roman" w:eastAsia="Times New Roman" w:hAnsi="Times New Roman" w:cs="Times New Roman"/>
          <w:color w:val="000000" w:themeColor="text1"/>
          <w:kern w:val="0"/>
          <w14:ligatures w14:val="none"/>
        </w:rPr>
        <w:t xml:space="preserve"> </w:t>
      </w:r>
    </w:p>
    <w:p w14:paraId="112E76BF" w14:textId="256B400A"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Wang, H.-H., &amp; Knobloch, N. A. (2018). Levels of STEM </w:t>
      </w:r>
      <w:r w:rsidR="006E09C2">
        <w:rPr>
          <w:rFonts w:ascii="Times New Roman" w:eastAsia="Times New Roman" w:hAnsi="Times New Roman" w:cs="Times New Roman"/>
          <w:kern w:val="0"/>
          <w14:ligatures w14:val="none"/>
        </w:rPr>
        <w:t>i</w:t>
      </w:r>
      <w:r w:rsidRPr="00F27FFC">
        <w:rPr>
          <w:rFonts w:ascii="Times New Roman" w:eastAsia="Times New Roman" w:hAnsi="Times New Roman" w:cs="Times New Roman"/>
          <w:kern w:val="0"/>
          <w14:ligatures w14:val="none"/>
        </w:rPr>
        <w:t xml:space="preserve">ntegration through </w:t>
      </w:r>
      <w:r w:rsidR="006E09C2">
        <w:rPr>
          <w:rFonts w:ascii="Times New Roman" w:eastAsia="Times New Roman" w:hAnsi="Times New Roman" w:cs="Times New Roman"/>
          <w:kern w:val="0"/>
          <w14:ligatures w14:val="none"/>
        </w:rPr>
        <w:t>a</w:t>
      </w:r>
      <w:r w:rsidRPr="00F27FFC">
        <w:rPr>
          <w:rFonts w:ascii="Times New Roman" w:eastAsia="Times New Roman" w:hAnsi="Times New Roman" w:cs="Times New Roman"/>
          <w:kern w:val="0"/>
          <w14:ligatures w14:val="none"/>
        </w:rPr>
        <w:t xml:space="preserve">griculture, </w:t>
      </w:r>
      <w:r w:rsidR="006E09C2">
        <w:rPr>
          <w:rFonts w:ascii="Times New Roman" w:eastAsia="Times New Roman" w:hAnsi="Times New Roman" w:cs="Times New Roman"/>
          <w:kern w:val="0"/>
          <w14:ligatures w14:val="none"/>
        </w:rPr>
        <w:t>f</w:t>
      </w:r>
      <w:r w:rsidRPr="00F27FFC">
        <w:rPr>
          <w:rFonts w:ascii="Times New Roman" w:eastAsia="Times New Roman" w:hAnsi="Times New Roman" w:cs="Times New Roman"/>
          <w:kern w:val="0"/>
          <w14:ligatures w14:val="none"/>
        </w:rPr>
        <w:t xml:space="preserve">ood, and </w:t>
      </w:r>
      <w:r w:rsidR="006E09C2">
        <w:rPr>
          <w:rFonts w:ascii="Times New Roman" w:eastAsia="Times New Roman" w:hAnsi="Times New Roman" w:cs="Times New Roman"/>
          <w:kern w:val="0"/>
          <w14:ligatures w14:val="none"/>
        </w:rPr>
        <w:t>n</w:t>
      </w:r>
      <w:r w:rsidRPr="00F27FFC">
        <w:rPr>
          <w:rFonts w:ascii="Times New Roman" w:eastAsia="Times New Roman" w:hAnsi="Times New Roman" w:cs="Times New Roman"/>
          <w:kern w:val="0"/>
          <w14:ligatures w14:val="none"/>
        </w:rPr>
        <w:t xml:space="preserve">atural </w:t>
      </w:r>
      <w:r w:rsidR="006E09C2">
        <w:rPr>
          <w:rFonts w:ascii="Times New Roman" w:eastAsia="Times New Roman" w:hAnsi="Times New Roman" w:cs="Times New Roman"/>
          <w:kern w:val="0"/>
          <w14:ligatures w14:val="none"/>
        </w:rPr>
        <w:t>r</w:t>
      </w:r>
      <w:r w:rsidRPr="00F27FFC">
        <w:rPr>
          <w:rFonts w:ascii="Times New Roman" w:eastAsia="Times New Roman" w:hAnsi="Times New Roman" w:cs="Times New Roman"/>
          <w:kern w:val="0"/>
          <w14:ligatures w14:val="none"/>
        </w:rPr>
        <w:t xml:space="preserve">esources. </w:t>
      </w:r>
      <w:r w:rsidRPr="6FDD329B">
        <w:rPr>
          <w:rFonts w:ascii="Times New Roman" w:eastAsia="Times New Roman" w:hAnsi="Times New Roman" w:cs="Times New Roman"/>
          <w:i/>
          <w:iCs/>
          <w:kern w:val="0"/>
          <w14:ligatures w14:val="none"/>
        </w:rPr>
        <w:t>Journal of Agricultural Education</w:t>
      </w:r>
      <w:r w:rsidRPr="00F27FFC">
        <w:rPr>
          <w:rFonts w:ascii="Times New Roman" w:eastAsia="Times New Roman" w:hAnsi="Times New Roman" w:cs="Times New Roman"/>
          <w:kern w:val="0"/>
          <w14:ligatures w14:val="none"/>
        </w:rPr>
        <w:t xml:space="preserve">, </w:t>
      </w:r>
      <w:r w:rsidRPr="6FDD329B">
        <w:rPr>
          <w:rFonts w:ascii="Times New Roman" w:eastAsia="Times New Roman" w:hAnsi="Times New Roman" w:cs="Times New Roman"/>
          <w:i/>
          <w:iCs/>
          <w:kern w:val="0"/>
          <w14:ligatures w14:val="none"/>
        </w:rPr>
        <w:t>59</w:t>
      </w:r>
      <w:r w:rsidRPr="00F27FFC">
        <w:rPr>
          <w:rFonts w:ascii="Times New Roman" w:eastAsia="Times New Roman" w:hAnsi="Times New Roman" w:cs="Times New Roman"/>
          <w:kern w:val="0"/>
          <w14:ligatures w14:val="none"/>
        </w:rPr>
        <w:t xml:space="preserve">(3), 258–277. </w:t>
      </w:r>
      <w:hyperlink r:id="rId28" w:history="1">
        <w:r w:rsidR="006E09C2" w:rsidRPr="006E09C2">
          <w:rPr>
            <w:rStyle w:val="Hyperlink"/>
            <w:rFonts w:ascii="Times New Roman" w:eastAsia="Times New Roman" w:hAnsi="Times New Roman" w:cs="Times New Roman"/>
            <w:color w:val="000000" w:themeColor="text1"/>
            <w:kern w:val="0"/>
            <w:u w:val="none"/>
            <w14:ligatures w14:val="none"/>
          </w:rPr>
          <w:t>https://doi.org/10.5032/jae.2018.03258</w:t>
        </w:r>
      </w:hyperlink>
      <w:r w:rsidR="006E09C2" w:rsidRPr="006E09C2">
        <w:rPr>
          <w:rFonts w:ascii="Times New Roman" w:eastAsia="Times New Roman" w:hAnsi="Times New Roman" w:cs="Times New Roman"/>
          <w:color w:val="000000" w:themeColor="text1"/>
          <w:kern w:val="0"/>
          <w14:ligatures w14:val="none"/>
        </w:rPr>
        <w:t xml:space="preserve"> </w:t>
      </w:r>
    </w:p>
    <w:p w14:paraId="35261C4B" w14:textId="707109AA" w:rsidR="00E11174" w:rsidRPr="00E11174" w:rsidRDefault="00E11174" w:rsidP="6FDD329B">
      <w:pPr>
        <w:spacing w:after="240" w:line="240" w:lineRule="auto"/>
        <w:ind w:left="720" w:hanging="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Washburn, S. G., &amp; Myers, B. E. (2010). Agriculture teacher perceptions of preparation to integrate science and their current use of inquiry based learning. </w:t>
      </w:r>
      <w:r>
        <w:rPr>
          <w:rFonts w:ascii="Times New Roman" w:eastAsia="Times New Roman" w:hAnsi="Times New Roman" w:cs="Times New Roman"/>
          <w:i/>
          <w:iCs/>
          <w:kern w:val="0"/>
          <w14:ligatures w14:val="none"/>
        </w:rPr>
        <w:t>Journal of Agricultural Education, 51</w:t>
      </w:r>
      <w:r>
        <w:rPr>
          <w:rFonts w:ascii="Times New Roman" w:eastAsia="Times New Roman" w:hAnsi="Times New Roman" w:cs="Times New Roman"/>
          <w:kern w:val="0"/>
          <w14:ligatures w14:val="none"/>
        </w:rPr>
        <w:t xml:space="preserve">(1), 88–98. </w:t>
      </w:r>
      <w:hyperlink r:id="rId29" w:history="1">
        <w:r w:rsidR="006E09C2" w:rsidRPr="006E09C2">
          <w:rPr>
            <w:rStyle w:val="Hyperlink"/>
            <w:rFonts w:ascii="Times New Roman" w:eastAsia="Times New Roman" w:hAnsi="Times New Roman" w:cs="Times New Roman"/>
            <w:color w:val="000000" w:themeColor="text1"/>
            <w:kern w:val="0"/>
            <w:u w:val="none"/>
            <w14:ligatures w14:val="none"/>
          </w:rPr>
          <w:t>https://doi.org/10.5032/jae.2010.01088</w:t>
        </w:r>
      </w:hyperlink>
      <w:r w:rsidR="006E09C2" w:rsidRPr="006E09C2">
        <w:rPr>
          <w:rFonts w:ascii="Times New Roman" w:eastAsia="Times New Roman" w:hAnsi="Times New Roman" w:cs="Times New Roman"/>
          <w:color w:val="000000" w:themeColor="text1"/>
          <w:kern w:val="0"/>
          <w14:ligatures w14:val="none"/>
        </w:rPr>
        <w:t xml:space="preserve"> </w:t>
      </w:r>
    </w:p>
    <w:p w14:paraId="3E8E446B" w14:textId="1BD1C287"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Wells, T., Matthews, J., Caudle, L., &amp; Lunceford, C. (2015). The infusion of inquiry-based learning into school-based agricultural education: A review of literature. </w:t>
      </w:r>
      <w:r w:rsidRPr="6FDD329B">
        <w:rPr>
          <w:rFonts w:ascii="Times New Roman" w:eastAsia="Times New Roman" w:hAnsi="Times New Roman" w:cs="Times New Roman"/>
          <w:i/>
          <w:iCs/>
          <w:kern w:val="0"/>
          <w14:ligatures w14:val="none"/>
        </w:rPr>
        <w:t>Journal of Agricultural Education, 56</w:t>
      </w:r>
      <w:r w:rsidRPr="00F27FFC">
        <w:rPr>
          <w:rFonts w:ascii="Times New Roman" w:eastAsia="Times New Roman" w:hAnsi="Times New Roman" w:cs="Times New Roman"/>
          <w:kern w:val="0"/>
          <w14:ligatures w14:val="none"/>
        </w:rPr>
        <w:t xml:space="preserve">(4), 169–181. </w:t>
      </w:r>
      <w:hyperlink r:id="rId30" w:history="1">
        <w:r w:rsidR="006E09C2" w:rsidRPr="006E09C2">
          <w:rPr>
            <w:rStyle w:val="Hyperlink"/>
            <w:rFonts w:ascii="Times New Roman" w:eastAsia="Times New Roman" w:hAnsi="Times New Roman" w:cs="Times New Roman"/>
            <w:color w:val="000000" w:themeColor="text1"/>
            <w:kern w:val="0"/>
            <w:u w:val="none"/>
            <w14:ligatures w14:val="none"/>
          </w:rPr>
          <w:t>https://doi.org/10.5032/jae.2015.04170</w:t>
        </w:r>
      </w:hyperlink>
      <w:r w:rsidR="006E09C2" w:rsidRPr="006E09C2">
        <w:rPr>
          <w:rFonts w:ascii="Times New Roman" w:eastAsia="Times New Roman" w:hAnsi="Times New Roman" w:cs="Times New Roman"/>
          <w:color w:val="000000" w:themeColor="text1"/>
          <w:kern w:val="0"/>
          <w14:ligatures w14:val="none"/>
        </w:rPr>
        <w:t xml:space="preserve"> </w:t>
      </w:r>
    </w:p>
    <w:p w14:paraId="72E39E33" w14:textId="77777777"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Yin, R. K. (2014). </w:t>
      </w:r>
      <w:r w:rsidRPr="6FDD329B">
        <w:rPr>
          <w:rFonts w:ascii="Times New Roman" w:eastAsia="Times New Roman" w:hAnsi="Times New Roman" w:cs="Times New Roman"/>
          <w:i/>
          <w:iCs/>
          <w:kern w:val="0"/>
          <w14:ligatures w14:val="none"/>
        </w:rPr>
        <w:t>Case study research: Design and methods</w:t>
      </w:r>
      <w:r w:rsidRPr="00F27FFC">
        <w:rPr>
          <w:rFonts w:ascii="Times New Roman" w:eastAsia="Times New Roman" w:hAnsi="Times New Roman" w:cs="Times New Roman"/>
          <w:kern w:val="0"/>
          <w14:ligatures w14:val="none"/>
        </w:rPr>
        <w:t xml:space="preserve"> (5</w:t>
      </w:r>
      <w:r w:rsidRPr="00F27FFC">
        <w:rPr>
          <w:rFonts w:ascii="Times New Roman" w:eastAsia="Times New Roman" w:hAnsi="Times New Roman" w:cs="Times New Roman"/>
          <w:kern w:val="0"/>
          <w:vertAlign w:val="superscript"/>
          <w14:ligatures w14:val="none"/>
        </w:rPr>
        <w:t>th</w:t>
      </w:r>
      <w:r w:rsidRPr="00F27FFC">
        <w:rPr>
          <w:rFonts w:ascii="Times New Roman" w:eastAsia="Times New Roman" w:hAnsi="Times New Roman" w:cs="Times New Roman"/>
          <w:kern w:val="0"/>
          <w14:ligatures w14:val="none"/>
        </w:rPr>
        <w:t xml:space="preserve"> ed.). SAGE Publications.</w:t>
      </w:r>
    </w:p>
    <w:p w14:paraId="213908DC" w14:textId="543C97EF" w:rsidR="00F27FFC" w:rsidRPr="00F27FFC" w:rsidRDefault="00F27FFC" w:rsidP="6FDD329B">
      <w:pPr>
        <w:spacing w:after="240" w:line="240" w:lineRule="auto"/>
        <w:ind w:left="720" w:hanging="720"/>
        <w:rPr>
          <w:rFonts w:ascii="Times New Roman" w:eastAsia="Times New Roman" w:hAnsi="Times New Roman" w:cs="Times New Roman"/>
          <w:kern w:val="0"/>
          <w14:ligatures w14:val="none"/>
        </w:rPr>
      </w:pPr>
      <w:r w:rsidRPr="00F27FFC">
        <w:rPr>
          <w:rFonts w:ascii="Times New Roman" w:eastAsia="Times New Roman" w:hAnsi="Times New Roman" w:cs="Times New Roman"/>
          <w:kern w:val="0"/>
          <w14:ligatures w14:val="none"/>
        </w:rPr>
        <w:t xml:space="preserve">Young, R. B., Edwards, M. C., &amp; Leising, J. G. (2009). Does a math-enhanced curriculum and instructional approach diminish students’ attainment of technical skills? A year-long experimental study in agricultural power and technology. </w:t>
      </w:r>
      <w:r w:rsidRPr="6FDD329B">
        <w:rPr>
          <w:rFonts w:ascii="Times New Roman" w:eastAsia="Times New Roman" w:hAnsi="Times New Roman" w:cs="Times New Roman"/>
          <w:i/>
          <w:iCs/>
          <w:kern w:val="0"/>
          <w14:ligatures w14:val="none"/>
        </w:rPr>
        <w:t>Journal of Agricultural Education, 50</w:t>
      </w:r>
      <w:r w:rsidRPr="00F27FFC">
        <w:rPr>
          <w:rFonts w:ascii="Times New Roman" w:eastAsia="Times New Roman" w:hAnsi="Times New Roman" w:cs="Times New Roman"/>
          <w:kern w:val="0"/>
          <w14:ligatures w14:val="none"/>
        </w:rPr>
        <w:t xml:space="preserve">(1), 116–126. </w:t>
      </w:r>
      <w:hyperlink r:id="rId31" w:history="1">
        <w:r w:rsidR="006E09C2" w:rsidRPr="006E09C2">
          <w:rPr>
            <w:rStyle w:val="Hyperlink"/>
            <w:rFonts w:ascii="Times New Roman" w:eastAsia="Times New Roman" w:hAnsi="Times New Roman" w:cs="Times New Roman"/>
            <w:color w:val="000000" w:themeColor="text1"/>
            <w:kern w:val="0"/>
            <w:u w:val="none"/>
            <w14:ligatures w14:val="none"/>
          </w:rPr>
          <w:t>https://doi.org/10.5032/jae.2009.01116</w:t>
        </w:r>
      </w:hyperlink>
      <w:r w:rsidR="006E09C2" w:rsidRPr="006E09C2">
        <w:rPr>
          <w:rFonts w:ascii="Times New Roman" w:eastAsia="Times New Roman" w:hAnsi="Times New Roman" w:cs="Times New Roman"/>
          <w:color w:val="000000" w:themeColor="text1"/>
          <w:kern w:val="0"/>
          <w14:ligatures w14:val="none"/>
        </w:rPr>
        <w:t xml:space="preserve"> </w:t>
      </w:r>
    </w:p>
    <w:p w14:paraId="69B65C5A" w14:textId="77777777" w:rsidR="00BC64E1" w:rsidRDefault="00BC64E1" w:rsidP="6FDD329B">
      <w:pPr>
        <w:spacing w:after="240" w:line="240" w:lineRule="auto"/>
        <w:rPr>
          <w:rFonts w:ascii="Times New Roman" w:eastAsia="Times New Roman" w:hAnsi="Times New Roman" w:cs="Times New Roman"/>
        </w:rPr>
      </w:pPr>
    </w:p>
    <w:sectPr w:rsidR="00BC64E1" w:rsidSect="00F27FFC">
      <w:headerReference w:type="default" r:id="rId32"/>
      <w:footerReference w:type="even" r:id="rId33"/>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DC706" w14:textId="77777777" w:rsidR="009D3493" w:rsidRDefault="009D3493" w:rsidP="00603878">
      <w:pPr>
        <w:spacing w:after="0" w:line="240" w:lineRule="auto"/>
      </w:pPr>
      <w:r>
        <w:separator/>
      </w:r>
    </w:p>
  </w:endnote>
  <w:endnote w:type="continuationSeparator" w:id="0">
    <w:p w14:paraId="399B300B" w14:textId="77777777" w:rsidR="009D3493" w:rsidRDefault="009D3493" w:rsidP="00603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2036345"/>
      <w:docPartObj>
        <w:docPartGallery w:val="Page Numbers (Bottom of Page)"/>
        <w:docPartUnique/>
      </w:docPartObj>
    </w:sdtPr>
    <w:sdtContent>
      <w:p w14:paraId="2D8E6084" w14:textId="4AE0B09B" w:rsidR="00A46170" w:rsidRDefault="00A4617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77C7B2D" w14:textId="77777777" w:rsidR="00A46170" w:rsidRDefault="00A461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1066682"/>
      <w:docPartObj>
        <w:docPartGallery w:val="Page Numbers (Bottom of Page)"/>
        <w:docPartUnique/>
      </w:docPartObj>
    </w:sdtPr>
    <w:sdtContent>
      <w:p w14:paraId="6146245A" w14:textId="3172CD7F" w:rsidR="00A46170" w:rsidRDefault="00A4617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75E4B023" w14:textId="77777777" w:rsidR="00A46170" w:rsidRDefault="00A46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CE760" w14:textId="77777777" w:rsidR="009D3493" w:rsidRDefault="009D3493" w:rsidP="00603878">
      <w:pPr>
        <w:spacing w:after="0" w:line="240" w:lineRule="auto"/>
      </w:pPr>
      <w:r>
        <w:separator/>
      </w:r>
    </w:p>
  </w:footnote>
  <w:footnote w:type="continuationSeparator" w:id="0">
    <w:p w14:paraId="4B93C864" w14:textId="77777777" w:rsidR="009D3493" w:rsidRDefault="009D3493" w:rsidP="00603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24817" w14:textId="04365255" w:rsidR="00603878" w:rsidRDefault="00603878">
    <w:pPr>
      <w:pStyle w:val="Header"/>
    </w:pPr>
    <w:r>
      <w:t>AGRICULTURAL EDUCATION</w:t>
    </w:r>
  </w:p>
</w:hdr>
</file>

<file path=word/intelligence2.xml><?xml version="1.0" encoding="utf-8"?>
<int2:intelligence xmlns:int2="http://schemas.microsoft.com/office/intelligence/2020/intelligence" xmlns:oel="http://schemas.microsoft.com/office/2019/extlst">
  <int2:observations>
    <int2:bookmark int2:bookmarkName="_Int_wyQvqqUe" int2:invalidationBookmarkName="" int2:hashCode="UTxyA472/vrdYT" int2:id="IF1k1SO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CE6AC5"/>
    <w:multiLevelType w:val="hybridMultilevel"/>
    <w:tmpl w:val="494AF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0750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FFC"/>
    <w:rsid w:val="00000265"/>
    <w:rsid w:val="000148D5"/>
    <w:rsid w:val="000161D9"/>
    <w:rsid w:val="00024C27"/>
    <w:rsid w:val="00036E23"/>
    <w:rsid w:val="00042B53"/>
    <w:rsid w:val="00050AF3"/>
    <w:rsid w:val="00056C40"/>
    <w:rsid w:val="00066A96"/>
    <w:rsid w:val="00070CC5"/>
    <w:rsid w:val="00076853"/>
    <w:rsid w:val="00081F68"/>
    <w:rsid w:val="000839B9"/>
    <w:rsid w:val="00085D63"/>
    <w:rsid w:val="00091A3E"/>
    <w:rsid w:val="000922D7"/>
    <w:rsid w:val="00093715"/>
    <w:rsid w:val="000A7B0A"/>
    <w:rsid w:val="000B2FE2"/>
    <w:rsid w:val="000C124D"/>
    <w:rsid w:val="000C34E9"/>
    <w:rsid w:val="000E2B02"/>
    <w:rsid w:val="000F0A62"/>
    <w:rsid w:val="000F6D90"/>
    <w:rsid w:val="00106725"/>
    <w:rsid w:val="00113D49"/>
    <w:rsid w:val="00114D8A"/>
    <w:rsid w:val="00115856"/>
    <w:rsid w:val="00127135"/>
    <w:rsid w:val="00134C4D"/>
    <w:rsid w:val="0014575A"/>
    <w:rsid w:val="00155FFB"/>
    <w:rsid w:val="00170A0F"/>
    <w:rsid w:val="00170E55"/>
    <w:rsid w:val="001B4CCF"/>
    <w:rsid w:val="001F5362"/>
    <w:rsid w:val="001F77C7"/>
    <w:rsid w:val="00207BC0"/>
    <w:rsid w:val="0021071D"/>
    <w:rsid w:val="002177C6"/>
    <w:rsid w:val="002223D6"/>
    <w:rsid w:val="00236EE7"/>
    <w:rsid w:val="002A70FC"/>
    <w:rsid w:val="002D4EA3"/>
    <w:rsid w:val="002D6FDB"/>
    <w:rsid w:val="002F7E94"/>
    <w:rsid w:val="00313A48"/>
    <w:rsid w:val="0031752B"/>
    <w:rsid w:val="003232A0"/>
    <w:rsid w:val="00331C89"/>
    <w:rsid w:val="00334BF6"/>
    <w:rsid w:val="00335BC4"/>
    <w:rsid w:val="00345007"/>
    <w:rsid w:val="003805C0"/>
    <w:rsid w:val="003936CD"/>
    <w:rsid w:val="003A3479"/>
    <w:rsid w:val="003C096E"/>
    <w:rsid w:val="003C7AFC"/>
    <w:rsid w:val="003D4C5D"/>
    <w:rsid w:val="003E5BF5"/>
    <w:rsid w:val="003F3011"/>
    <w:rsid w:val="003F4C99"/>
    <w:rsid w:val="004262D1"/>
    <w:rsid w:val="00436669"/>
    <w:rsid w:val="00480A28"/>
    <w:rsid w:val="00484969"/>
    <w:rsid w:val="0048791F"/>
    <w:rsid w:val="004B6DE3"/>
    <w:rsid w:val="004C2256"/>
    <w:rsid w:val="004D2B88"/>
    <w:rsid w:val="004D6873"/>
    <w:rsid w:val="004E1E59"/>
    <w:rsid w:val="004F5CBA"/>
    <w:rsid w:val="0052343F"/>
    <w:rsid w:val="00555DB3"/>
    <w:rsid w:val="005936BD"/>
    <w:rsid w:val="005C4314"/>
    <w:rsid w:val="005E385B"/>
    <w:rsid w:val="005F139E"/>
    <w:rsid w:val="005F1886"/>
    <w:rsid w:val="005F2F08"/>
    <w:rsid w:val="005F5A7D"/>
    <w:rsid w:val="00603878"/>
    <w:rsid w:val="00626EF0"/>
    <w:rsid w:val="0063422A"/>
    <w:rsid w:val="00635C40"/>
    <w:rsid w:val="00683E7F"/>
    <w:rsid w:val="006973E2"/>
    <w:rsid w:val="006977BA"/>
    <w:rsid w:val="006E09C2"/>
    <w:rsid w:val="00710C35"/>
    <w:rsid w:val="0071228A"/>
    <w:rsid w:val="0072CB8F"/>
    <w:rsid w:val="007346ED"/>
    <w:rsid w:val="00735E07"/>
    <w:rsid w:val="00740D37"/>
    <w:rsid w:val="00741F6E"/>
    <w:rsid w:val="007425AB"/>
    <w:rsid w:val="0075544A"/>
    <w:rsid w:val="007A5609"/>
    <w:rsid w:val="007C1A14"/>
    <w:rsid w:val="007C6BB0"/>
    <w:rsid w:val="007D1D56"/>
    <w:rsid w:val="007F612B"/>
    <w:rsid w:val="00803751"/>
    <w:rsid w:val="008240A4"/>
    <w:rsid w:val="008A4AE7"/>
    <w:rsid w:val="008A736E"/>
    <w:rsid w:val="008B5717"/>
    <w:rsid w:val="008C7E00"/>
    <w:rsid w:val="008E1006"/>
    <w:rsid w:val="00907C6F"/>
    <w:rsid w:val="00912C3A"/>
    <w:rsid w:val="00925EA2"/>
    <w:rsid w:val="009629CE"/>
    <w:rsid w:val="009674F7"/>
    <w:rsid w:val="00980946"/>
    <w:rsid w:val="00986024"/>
    <w:rsid w:val="009D25DA"/>
    <w:rsid w:val="009D26AA"/>
    <w:rsid w:val="009D3493"/>
    <w:rsid w:val="009E0269"/>
    <w:rsid w:val="009E168A"/>
    <w:rsid w:val="00A177FA"/>
    <w:rsid w:val="00A46170"/>
    <w:rsid w:val="00A72A80"/>
    <w:rsid w:val="00AB7ACD"/>
    <w:rsid w:val="00AD2732"/>
    <w:rsid w:val="00AD456E"/>
    <w:rsid w:val="00AD486E"/>
    <w:rsid w:val="00AD6552"/>
    <w:rsid w:val="00AF04FF"/>
    <w:rsid w:val="00B111D8"/>
    <w:rsid w:val="00B25E83"/>
    <w:rsid w:val="00B260C4"/>
    <w:rsid w:val="00B27F57"/>
    <w:rsid w:val="00B4112F"/>
    <w:rsid w:val="00B44A05"/>
    <w:rsid w:val="00BB3697"/>
    <w:rsid w:val="00BC64E1"/>
    <w:rsid w:val="00C0449C"/>
    <w:rsid w:val="00C04FCA"/>
    <w:rsid w:val="00C06498"/>
    <w:rsid w:val="00C12715"/>
    <w:rsid w:val="00C15D4E"/>
    <w:rsid w:val="00C32030"/>
    <w:rsid w:val="00C53DEA"/>
    <w:rsid w:val="00C63BF0"/>
    <w:rsid w:val="00C654ED"/>
    <w:rsid w:val="00C832A9"/>
    <w:rsid w:val="00C85943"/>
    <w:rsid w:val="00C9692B"/>
    <w:rsid w:val="00CB3374"/>
    <w:rsid w:val="00CD34DB"/>
    <w:rsid w:val="00CE7AC6"/>
    <w:rsid w:val="00CF042C"/>
    <w:rsid w:val="00CF124A"/>
    <w:rsid w:val="00CF5206"/>
    <w:rsid w:val="00CF6942"/>
    <w:rsid w:val="00D02C99"/>
    <w:rsid w:val="00D10C8B"/>
    <w:rsid w:val="00D20A06"/>
    <w:rsid w:val="00D35629"/>
    <w:rsid w:val="00D501D7"/>
    <w:rsid w:val="00D51702"/>
    <w:rsid w:val="00D52464"/>
    <w:rsid w:val="00D5691E"/>
    <w:rsid w:val="00D667D8"/>
    <w:rsid w:val="00D7686B"/>
    <w:rsid w:val="00D853A6"/>
    <w:rsid w:val="00DA52F9"/>
    <w:rsid w:val="00DD4609"/>
    <w:rsid w:val="00DE5411"/>
    <w:rsid w:val="00E02845"/>
    <w:rsid w:val="00E03F0C"/>
    <w:rsid w:val="00E10D2F"/>
    <w:rsid w:val="00E11174"/>
    <w:rsid w:val="00E11DB5"/>
    <w:rsid w:val="00E178D4"/>
    <w:rsid w:val="00E35270"/>
    <w:rsid w:val="00E46666"/>
    <w:rsid w:val="00E72986"/>
    <w:rsid w:val="00E7495E"/>
    <w:rsid w:val="00E833DD"/>
    <w:rsid w:val="00E841D4"/>
    <w:rsid w:val="00E9072A"/>
    <w:rsid w:val="00E95316"/>
    <w:rsid w:val="00EA1068"/>
    <w:rsid w:val="00EB4482"/>
    <w:rsid w:val="00EB5700"/>
    <w:rsid w:val="00EC4B10"/>
    <w:rsid w:val="00ED14AF"/>
    <w:rsid w:val="00F02083"/>
    <w:rsid w:val="00F27FFC"/>
    <w:rsid w:val="00F37245"/>
    <w:rsid w:val="00F47503"/>
    <w:rsid w:val="00F53B6E"/>
    <w:rsid w:val="00F6459E"/>
    <w:rsid w:val="00F73562"/>
    <w:rsid w:val="00F820B1"/>
    <w:rsid w:val="00F92476"/>
    <w:rsid w:val="00FA13FC"/>
    <w:rsid w:val="00FB7906"/>
    <w:rsid w:val="00FC2467"/>
    <w:rsid w:val="00FD2566"/>
    <w:rsid w:val="00FD50A9"/>
    <w:rsid w:val="00FE64CE"/>
    <w:rsid w:val="0119FF0B"/>
    <w:rsid w:val="0E321D46"/>
    <w:rsid w:val="0E7D563F"/>
    <w:rsid w:val="0FFD7AE9"/>
    <w:rsid w:val="115AFAAE"/>
    <w:rsid w:val="1509FB16"/>
    <w:rsid w:val="1714B838"/>
    <w:rsid w:val="180A111E"/>
    <w:rsid w:val="1B156FFB"/>
    <w:rsid w:val="1F319F9C"/>
    <w:rsid w:val="21A37D44"/>
    <w:rsid w:val="2754D626"/>
    <w:rsid w:val="28CE0E75"/>
    <w:rsid w:val="3446327A"/>
    <w:rsid w:val="357F0B0C"/>
    <w:rsid w:val="362DD6BD"/>
    <w:rsid w:val="368759ED"/>
    <w:rsid w:val="379FB93F"/>
    <w:rsid w:val="38FD8908"/>
    <w:rsid w:val="3A10E58B"/>
    <w:rsid w:val="3ADD1D97"/>
    <w:rsid w:val="3B19245F"/>
    <w:rsid w:val="3C8C1E33"/>
    <w:rsid w:val="3E1F30D1"/>
    <w:rsid w:val="4B8E500A"/>
    <w:rsid w:val="54D21152"/>
    <w:rsid w:val="5999FBEC"/>
    <w:rsid w:val="5AA39224"/>
    <w:rsid w:val="5B6311FA"/>
    <w:rsid w:val="5F61DC60"/>
    <w:rsid w:val="609640C4"/>
    <w:rsid w:val="60DE8C53"/>
    <w:rsid w:val="6B0E4225"/>
    <w:rsid w:val="6FDD329B"/>
    <w:rsid w:val="760776A1"/>
    <w:rsid w:val="777EFC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44BF51"/>
  <w15:chartTrackingRefBased/>
  <w15:docId w15:val="{761B7C9F-23DD-42E3-92EA-DF60643C1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F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F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F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F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F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F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F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F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F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F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F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F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F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F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F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F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F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FFC"/>
    <w:rPr>
      <w:rFonts w:eastAsiaTheme="majorEastAsia" w:cstheme="majorBidi"/>
      <w:color w:val="272727" w:themeColor="text1" w:themeTint="D8"/>
    </w:rPr>
  </w:style>
  <w:style w:type="paragraph" w:styleId="Title">
    <w:name w:val="Title"/>
    <w:basedOn w:val="Normal"/>
    <w:next w:val="Normal"/>
    <w:link w:val="TitleChar"/>
    <w:uiPriority w:val="10"/>
    <w:qFormat/>
    <w:rsid w:val="00F27F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F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F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F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FFC"/>
    <w:pPr>
      <w:spacing w:before="160"/>
      <w:jc w:val="center"/>
    </w:pPr>
    <w:rPr>
      <w:i/>
      <w:iCs/>
      <w:color w:val="404040" w:themeColor="text1" w:themeTint="BF"/>
    </w:rPr>
  </w:style>
  <w:style w:type="character" w:customStyle="1" w:styleId="QuoteChar">
    <w:name w:val="Quote Char"/>
    <w:basedOn w:val="DefaultParagraphFont"/>
    <w:link w:val="Quote"/>
    <w:uiPriority w:val="29"/>
    <w:rsid w:val="00F27FFC"/>
    <w:rPr>
      <w:i/>
      <w:iCs/>
      <w:color w:val="404040" w:themeColor="text1" w:themeTint="BF"/>
    </w:rPr>
  </w:style>
  <w:style w:type="paragraph" w:styleId="ListParagraph">
    <w:name w:val="List Paragraph"/>
    <w:basedOn w:val="Normal"/>
    <w:uiPriority w:val="34"/>
    <w:qFormat/>
    <w:rsid w:val="00F27FFC"/>
    <w:pPr>
      <w:ind w:left="720"/>
      <w:contextualSpacing/>
    </w:pPr>
  </w:style>
  <w:style w:type="character" w:styleId="IntenseEmphasis">
    <w:name w:val="Intense Emphasis"/>
    <w:basedOn w:val="DefaultParagraphFont"/>
    <w:uiPriority w:val="21"/>
    <w:qFormat/>
    <w:rsid w:val="00F27FFC"/>
    <w:rPr>
      <w:i/>
      <w:iCs/>
      <w:color w:val="0F4761" w:themeColor="accent1" w:themeShade="BF"/>
    </w:rPr>
  </w:style>
  <w:style w:type="paragraph" w:styleId="IntenseQuote">
    <w:name w:val="Intense Quote"/>
    <w:basedOn w:val="Normal"/>
    <w:next w:val="Normal"/>
    <w:link w:val="IntenseQuoteChar"/>
    <w:uiPriority w:val="30"/>
    <w:qFormat/>
    <w:rsid w:val="00F27F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FFC"/>
    <w:rPr>
      <w:i/>
      <w:iCs/>
      <w:color w:val="0F4761" w:themeColor="accent1" w:themeShade="BF"/>
    </w:rPr>
  </w:style>
  <w:style w:type="character" w:styleId="IntenseReference">
    <w:name w:val="Intense Reference"/>
    <w:basedOn w:val="DefaultParagraphFont"/>
    <w:uiPriority w:val="32"/>
    <w:qFormat/>
    <w:rsid w:val="00F27FFC"/>
    <w:rPr>
      <w:b/>
      <w:bCs/>
      <w:smallCaps/>
      <w:color w:val="0F4761" w:themeColor="accent1" w:themeShade="BF"/>
      <w:spacing w:val="5"/>
    </w:rPr>
  </w:style>
  <w:style w:type="paragraph" w:styleId="Header">
    <w:name w:val="header"/>
    <w:basedOn w:val="Normal"/>
    <w:link w:val="HeaderChar"/>
    <w:uiPriority w:val="99"/>
    <w:unhideWhenUsed/>
    <w:rsid w:val="006038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878"/>
  </w:style>
  <w:style w:type="paragraph" w:styleId="Footer">
    <w:name w:val="footer"/>
    <w:basedOn w:val="Normal"/>
    <w:link w:val="FooterChar"/>
    <w:uiPriority w:val="99"/>
    <w:unhideWhenUsed/>
    <w:rsid w:val="006038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878"/>
  </w:style>
  <w:style w:type="character" w:styleId="PageNumber">
    <w:name w:val="page number"/>
    <w:basedOn w:val="DefaultParagraphFont"/>
    <w:uiPriority w:val="99"/>
    <w:semiHidden/>
    <w:unhideWhenUsed/>
    <w:rsid w:val="00A46170"/>
  </w:style>
  <w:style w:type="paragraph" w:styleId="NormalWeb">
    <w:name w:val="Normal (Web)"/>
    <w:basedOn w:val="Normal"/>
    <w:uiPriority w:val="99"/>
    <w:unhideWhenUsed/>
    <w:rsid w:val="00170A0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03751"/>
    <w:rPr>
      <w:b/>
      <w:bCs/>
    </w:rPr>
  </w:style>
  <w:style w:type="paragraph" w:styleId="Revision">
    <w:name w:val="Revision"/>
    <w:hidden/>
    <w:uiPriority w:val="99"/>
    <w:semiHidden/>
    <w:rsid w:val="00313A48"/>
    <w:pPr>
      <w:spacing w:after="0" w:line="240" w:lineRule="auto"/>
    </w:pPr>
  </w:style>
  <w:style w:type="character" w:styleId="Hyperlink">
    <w:name w:val="Hyperlink"/>
    <w:basedOn w:val="DefaultParagraphFont"/>
    <w:uiPriority w:val="99"/>
    <w:unhideWhenUsed/>
    <w:rsid w:val="00980946"/>
    <w:rPr>
      <w:color w:val="467886" w:themeColor="hyperlink"/>
      <w:u w:val="single"/>
    </w:rPr>
  </w:style>
  <w:style w:type="character" w:styleId="UnresolvedMention">
    <w:name w:val="Unresolved Mention"/>
    <w:basedOn w:val="DefaultParagraphFont"/>
    <w:uiPriority w:val="99"/>
    <w:semiHidden/>
    <w:unhideWhenUsed/>
    <w:rsid w:val="009809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acrefore/9780190264093.013.138" TargetMode="External"/><Relationship Id="rId18" Type="http://schemas.openxmlformats.org/officeDocument/2006/relationships/hyperlink" Target="https://ffa.app.box.com/s/x4rd2h4a6fvwkrf5yogk9jbwwxouehnr/file/1621703913393" TargetMode="External"/><Relationship Id="rId26" Type="http://schemas.openxmlformats.org/officeDocument/2006/relationships/hyperlink" Target="https://doi.org/10.1007/978-3-319-91406-0" TargetMode="External"/><Relationship Id="rId21" Type="http://schemas.openxmlformats.org/officeDocument/2006/relationships/hyperlink" Target="https://doi.org/10.63504/jstem.v26i2.2682" TargetMode="External"/><Relationship Id="rId34" Type="http://schemas.openxmlformats.org/officeDocument/2006/relationships/footer" Target="footer2.xml"/><Relationship Id="rId7" Type="http://schemas.openxmlformats.org/officeDocument/2006/relationships/hyperlink" Target="https://doi.org/10.1080/1046560X.2025.2452070" TargetMode="External"/><Relationship Id="rId12" Type="http://schemas.openxmlformats.org/officeDocument/2006/relationships/hyperlink" Target="https://doi.org/10.5032/jae.v66i1.2920" TargetMode="External"/><Relationship Id="rId17" Type="http://schemas.openxmlformats.org/officeDocument/2006/relationships/hyperlink" Target="https://doi.org/10.5032/jae.v66i2.2906" TargetMode="External"/><Relationship Id="rId25" Type="http://schemas.openxmlformats.org/officeDocument/2006/relationships/hyperlink" Target="https://doi.org/20.5032/jae.2018.04315"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80/1046560X.2025.2531312" TargetMode="External"/><Relationship Id="rId20" Type="http://schemas.openxmlformats.org/officeDocument/2006/relationships/hyperlink" Target="https://doi.org/10.5032/jae.2006.03081" TargetMode="External"/><Relationship Id="rId29" Type="http://schemas.openxmlformats.org/officeDocument/2006/relationships/hyperlink" Target="https://doi.org/10.5032/jae.2010.0108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les.eric.ed.gov/fulltext/EJ1058007.pdf" TargetMode="External"/><Relationship Id="rId24" Type="http://schemas.openxmlformats.org/officeDocument/2006/relationships/hyperlink" Target="https://doi.org/10.5032/jae.2016.0308" TargetMode="External"/><Relationship Id="rId32" Type="http://schemas.openxmlformats.org/officeDocument/2006/relationships/header" Target="header1.xml"/><Relationship Id="rId37"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doi.org/10.26634/jsch.7.3.1668" TargetMode="External"/><Relationship Id="rId23" Type="http://schemas.openxmlformats.org/officeDocument/2006/relationships/hyperlink" Target="https://doi.org/10.5032/jae.2015.04183" TargetMode="External"/><Relationship Id="rId28" Type="http://schemas.openxmlformats.org/officeDocument/2006/relationships/hyperlink" Target="https://doi.org/10.5032/jae.2018.03258" TargetMode="External"/><Relationship Id="rId36" Type="http://schemas.openxmlformats.org/officeDocument/2006/relationships/theme" Target="theme/theme1.xml"/><Relationship Id="rId10" Type="http://schemas.openxmlformats.org/officeDocument/2006/relationships/hyperlink" Target="https://doi.org/10.5032/jae.v66i3.3024" TargetMode="External"/><Relationship Id="rId19" Type="http://schemas.openxmlformats.org/officeDocument/2006/relationships/hyperlink" Target="https://doi.org/10.1186/s12909-023-014103-9" TargetMode="External"/><Relationship Id="rId31" Type="http://schemas.openxmlformats.org/officeDocument/2006/relationships/hyperlink" Target="https://doi.org/10.5032/jae.2009.01116" TargetMode="External"/><Relationship Id="rId4" Type="http://schemas.openxmlformats.org/officeDocument/2006/relationships/webSettings" Target="webSettings.xml"/><Relationship Id="rId9" Type="http://schemas.openxmlformats.org/officeDocument/2006/relationships/hyperlink" Target="https://openbooks.lib.msu.edu/isb202/chapter/nature-of-science-draft/" TargetMode="External"/><Relationship Id="rId14" Type="http://schemas.openxmlformats.org/officeDocument/2006/relationships/hyperlink" Target="https://doi.org/10.5032/jae.v66i3.3232" TargetMode="External"/><Relationship Id="rId22" Type="http://schemas.openxmlformats.org/officeDocument/2006/relationships/hyperlink" Target="https://doi.org/10.5032/jae.2019.02028" TargetMode="External"/><Relationship Id="rId27" Type="http://schemas.openxmlformats.org/officeDocument/2006/relationships/hyperlink" Target="https://www.purdue.edu/usda/employment/wp-content/uploads/2015/04/2-Page-USDA-Employ.pdf" TargetMode="External"/><Relationship Id="rId30" Type="http://schemas.openxmlformats.org/officeDocument/2006/relationships/hyperlink" Target="https://doi.org/10.5032/jae.2015.04170" TargetMode="External"/><Relationship Id="rId35" Type="http://schemas.openxmlformats.org/officeDocument/2006/relationships/fontTable" Target="fontTable.xml"/><Relationship Id="rId8" Type="http://schemas.openxmlformats.org/officeDocument/2006/relationships/hyperlink" Target="https://doi.org/10.5032/jae.2015.01221"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9</Pages>
  <Words>4302</Words>
  <Characters>24526</Characters>
  <Application>Microsoft Office Word</Application>
  <DocSecurity>0</DocSecurity>
  <Lines>204</Lines>
  <Paragraphs>57</Paragraphs>
  <ScaleCrop>false</ScaleCrop>
  <Company/>
  <LinksUpToDate>false</LinksUpToDate>
  <CharactersWithSpaces>28771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Bird</dc:creator>
  <cp:keywords/>
  <dc:description/>
  <cp:lastModifiedBy>Taylor Bird</cp:lastModifiedBy>
  <cp:revision>47</cp:revision>
  <dcterms:created xsi:type="dcterms:W3CDTF">2025-10-09T15:56:00Z</dcterms:created>
  <dcterms:modified xsi:type="dcterms:W3CDTF">2025-12-19T14:48:00Z</dcterms:modified>
</cp:coreProperties>
</file>