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31DCCE" w14:textId="523225AA" w:rsidR="00996FBE" w:rsidRPr="00996FBE" w:rsidRDefault="5D762D46" w:rsidP="6F0D9D4B">
      <w:pPr>
        <w:spacing w:after="240"/>
        <w:ind w:firstLine="720"/>
        <w:jc w:val="center"/>
        <w:rPr>
          <w:b/>
          <w:bCs/>
        </w:rPr>
      </w:pPr>
      <w:r w:rsidRPr="2F56CC71">
        <w:rPr>
          <w:b/>
          <w:bCs/>
        </w:rPr>
        <w:t xml:space="preserve">Social Media as a Catalyst for Elementary Agricultural Education: A Visual Narrative Study of </w:t>
      </w:r>
      <w:r w:rsidR="52F47285" w:rsidRPr="2F56CC71">
        <w:rPr>
          <w:b/>
          <w:bCs/>
        </w:rPr>
        <w:t xml:space="preserve">Online </w:t>
      </w:r>
      <w:r w:rsidRPr="2F56CC71">
        <w:rPr>
          <w:b/>
          <w:bCs/>
        </w:rPr>
        <w:t>Teacher Communities</w:t>
      </w:r>
    </w:p>
    <w:p w14:paraId="21C121A7" w14:textId="062A1178" w:rsidR="005E749D" w:rsidRDefault="005E749D" w:rsidP="79649E1E">
      <w:pPr>
        <w:pStyle w:val="css-qffaiu"/>
        <w:spacing w:after="0" w:afterAutospacing="0"/>
        <w:ind w:firstLine="720"/>
      </w:pPr>
      <w:r>
        <w:t xml:space="preserve">With fewer than 2% of Americans in agricultural production and only 1.2% in on-farm jobs (U.S. Department of Agriculture, 2022), </w:t>
      </w:r>
      <w:r w:rsidR="60B739F5">
        <w:t xml:space="preserve">most </w:t>
      </w:r>
      <w:r>
        <w:t xml:space="preserve">students are now </w:t>
      </w:r>
      <w:r w:rsidR="3AF64358">
        <w:t xml:space="preserve">three to four </w:t>
      </w:r>
      <w:r>
        <w:t xml:space="preserve">generations removed from farming, deepening the knowledge gap about food systems (Lemley et al., 2024). This disconnect is a central concern in the American Association for Agricultural Education’s Research Values, which call for improved agricultural literacy (AAAE, 2023). Nationally, Agriculture in the Classroom (AITC) reaches nearly 5 million students and 60,000 teachers each year (NIFA, 2023), </w:t>
      </w:r>
      <w:r w:rsidR="002D7498">
        <w:t>underscoring the national commitment to agricultural literacy</w:t>
      </w:r>
      <w:r w:rsidR="00517D7C">
        <w:t xml:space="preserve">. Building on this momentum, </w:t>
      </w:r>
      <w:r w:rsidR="00E06659">
        <w:t xml:space="preserve">Georgia </w:t>
      </w:r>
      <w:r w:rsidR="00517D7C">
        <w:t>enacted</w:t>
      </w:r>
      <w:r>
        <w:t xml:space="preserve"> House Bill 1303 in 2022, </w:t>
      </w:r>
      <w:r w:rsidR="0063679D">
        <w:t xml:space="preserve">formally establishing </w:t>
      </w:r>
      <w:r>
        <w:t xml:space="preserve">elementary agriculture education (EAE) </w:t>
      </w:r>
      <w:r w:rsidR="005A5BC6">
        <w:t>as a formal</w:t>
      </w:r>
      <w:r w:rsidR="0063679D">
        <w:t xml:space="preserve"> option for public schools</w:t>
      </w:r>
      <w:r>
        <w:t xml:space="preserve"> (</w:t>
      </w:r>
      <w:r w:rsidR="000A2FB9">
        <w:rPr>
          <w:rStyle w:val="normaltextrun"/>
          <w:shd w:val="clear" w:color="auto" w:fill="FFFFFF"/>
        </w:rPr>
        <w:t>Georgia</w:t>
      </w:r>
      <w:r w:rsidR="005A5BC6" w:rsidRPr="00F932B6">
        <w:rPr>
          <w:rStyle w:val="normaltextrun"/>
          <w:shd w:val="clear" w:color="auto" w:fill="FFFFFF"/>
        </w:rPr>
        <w:t xml:space="preserve"> </w:t>
      </w:r>
      <w:r>
        <w:t>Act 599, 2022).</w:t>
      </w:r>
    </w:p>
    <w:p w14:paraId="0934D485" w14:textId="5F119E6D" w:rsidR="005E749D" w:rsidRDefault="005E749D" w:rsidP="5CAF1D07">
      <w:pPr>
        <w:pStyle w:val="css-qffaiu"/>
        <w:spacing w:after="0" w:afterAutospacing="0"/>
        <w:ind w:firstLine="720"/>
      </w:pPr>
      <w:r>
        <w:t xml:space="preserve">Elementary agricultural education is offered through structured curricula (Knobloch &amp; Ball, 2003), nonprofit and federal initiatives (Herren &amp; Oakley, 1995; </w:t>
      </w:r>
      <w:proofErr w:type="spellStart"/>
      <w:r>
        <w:t>Masis</w:t>
      </w:r>
      <w:proofErr w:type="spellEnd"/>
      <w:r>
        <w:t xml:space="preserve"> et al., 20</w:t>
      </w:r>
      <w:r w:rsidR="008A6686">
        <w:t>17</w:t>
      </w:r>
      <w:r>
        <w:t>; USDA Food and Nutrition Service, n.d.), STEM lessons (Graves et al., 2016; Horton et al., 2013), and school gardens (Wells et al., 2015; Williams &amp; Dixon, 2013). Programs such as the USDA’s Fresh Fruit and Vegetable Program (FFVP) combine nutrition education with snacks (</w:t>
      </w:r>
      <w:proofErr w:type="spellStart"/>
      <w:r>
        <w:t>Masis</w:t>
      </w:r>
      <w:proofErr w:type="spellEnd"/>
      <w:r>
        <w:t xml:space="preserve"> et al., 20</w:t>
      </w:r>
      <w:r w:rsidR="008A6686">
        <w:t>17</w:t>
      </w:r>
      <w:r>
        <w:t xml:space="preserve">), and school gardens provide hands-on, cross-curricular learning. Since 1981, AITC has promoted agricultural literacy through teacher training and resources (National </w:t>
      </w:r>
      <w:r w:rsidR="003556B8">
        <w:t>AITC</w:t>
      </w:r>
      <w:r>
        <w:t xml:space="preserve">, 2024; Pense et al., 2005), with studies showing positive impacts for both teachers and students (Pense et al., 2005; Herren &amp; Oakley, 1995). In </w:t>
      </w:r>
      <w:r w:rsidR="00F43BC0">
        <w:t>Georgia</w:t>
      </w:r>
      <w:r>
        <w:t xml:space="preserve">, AITC and the </w:t>
      </w:r>
      <w:r w:rsidR="00F43BC0">
        <w:t xml:space="preserve">University of Georgia (UGA) </w:t>
      </w:r>
      <w:r>
        <w:t>deliver K-12 resources and support (</w:t>
      </w:r>
      <w:r w:rsidR="00A51063">
        <w:t>Georgia</w:t>
      </w:r>
      <w:r>
        <w:t xml:space="preserve"> </w:t>
      </w:r>
      <w:r w:rsidR="00345B18">
        <w:t>AITC</w:t>
      </w:r>
      <w:r>
        <w:t>, n.d.).</w:t>
      </w:r>
    </w:p>
    <w:p w14:paraId="4AC9A56B" w14:textId="4FA879F0" w:rsidR="005E749D" w:rsidRDefault="005E749D" w:rsidP="171D723F">
      <w:pPr>
        <w:pStyle w:val="css-qffaiu"/>
        <w:spacing w:after="0" w:afterAutospacing="0"/>
        <w:ind w:firstLine="720"/>
      </w:pPr>
      <w:r>
        <w:t xml:space="preserve">Following </w:t>
      </w:r>
      <w:r w:rsidR="00A51063">
        <w:t>Georgia</w:t>
      </w:r>
      <w:r>
        <w:t xml:space="preserve">’s adoption of EAE, </w:t>
      </w:r>
      <w:r w:rsidR="00A51063">
        <w:t>UGA</w:t>
      </w:r>
      <w:r>
        <w:t xml:space="preserve"> led research on state standards (Peake et al., 2020), conducted teacher needs assessments (Bailey, 2021), studied school gardens (Frederickson &amp; Peake, 2023), and established a Center for Elementary Agricultural Education (Boone &amp; Peake, 2024). A USDA grant (RNIFA0001309501) supported </w:t>
      </w:r>
      <w:r w:rsidR="004C6F15">
        <w:t>UGA</w:t>
      </w:r>
      <w:r>
        <w:t xml:space="preserve"> and </w:t>
      </w:r>
      <w:r w:rsidR="004C6F15">
        <w:t xml:space="preserve">Georgia </w:t>
      </w:r>
      <w:r>
        <w:t xml:space="preserve">Farm Bureau AITC workshops for EAE teachers (Boone et al., 2024). </w:t>
      </w:r>
      <w:r w:rsidR="004C6F15">
        <w:t xml:space="preserve">UGA’s </w:t>
      </w:r>
      <w:r w:rsidR="00BE251E">
        <w:t>efforts have f</w:t>
      </w:r>
      <w:r>
        <w:t xml:space="preserve">ocused on standards, teacher training, and research, </w:t>
      </w:r>
      <w:r w:rsidR="4C95A772">
        <w:t xml:space="preserve">and </w:t>
      </w:r>
      <w:r>
        <w:t>offers a valuable framework for other states.</w:t>
      </w:r>
      <w:r w:rsidR="59D01995">
        <w:t xml:space="preserve"> </w:t>
      </w:r>
      <w:r>
        <w:t xml:space="preserve">Collaborative efforts between land-grant universities and organizations like </w:t>
      </w:r>
      <w:r w:rsidR="004C6F15">
        <w:t xml:space="preserve">Georgia </w:t>
      </w:r>
      <w:r>
        <w:t>Farm Bureau AITC highlight a strategy for resource mobilization and program delivery that could be replicated nationally to advance agricultural literacy (Guffey &amp; Stewardson, 2023).</w:t>
      </w:r>
    </w:p>
    <w:p w14:paraId="6729D7F7" w14:textId="0BEAA876" w:rsidR="00A64422" w:rsidRDefault="00A64422" w:rsidP="6F0D9D4B">
      <w:pPr>
        <w:pStyle w:val="css-qffaiu"/>
        <w:ind w:firstLine="720"/>
      </w:pPr>
      <w:r>
        <w:t>Research shows elementary teachers generally support integrating agriculture but often spend little time on it due to barriers like limited time, resources, and standardized testing pressures (</w:t>
      </w:r>
      <w:proofErr w:type="spellStart"/>
      <w:r>
        <w:t>Balschweid</w:t>
      </w:r>
      <w:proofErr w:type="spellEnd"/>
      <w:r>
        <w:t xml:space="preserve"> et al., 1998; </w:t>
      </w:r>
      <w:r w:rsidR="004C6F15">
        <w:t>Burrows et al., 2020</w:t>
      </w:r>
      <w:r w:rsidR="00BA7565">
        <w:t xml:space="preserve">; </w:t>
      </w:r>
      <w:r>
        <w:t>Knobloch &amp; Ball, 200</w:t>
      </w:r>
      <w:r w:rsidR="004C6F15">
        <w:t>3</w:t>
      </w:r>
      <w:r>
        <w:t>). Successful integration depends on teachers’ perceptions of agriculture’s fit within academic subjects and its educational value (Knobloch, 2008). Teachers with greater agricultural knowledge are more likely to incorporate it meaningfully across subjects, underlining the need for continued professional development (Bellah &amp; Dyer, 2009; Knobloch &amp; Ball, 2003).</w:t>
      </w:r>
    </w:p>
    <w:p w14:paraId="68FA58B4" w14:textId="22B0FB4F" w:rsidR="00A64422" w:rsidRDefault="00A64422" w:rsidP="5CAF1D07">
      <w:pPr>
        <w:pStyle w:val="css-qffaiu"/>
        <w:ind w:firstLine="720"/>
      </w:pPr>
      <w:r>
        <w:t xml:space="preserve">Social media has become a key tool for teacher professional development, connecting educators to mentors, resources, and collaborative communities beyond traditional boundaries (Staudt Willet, 2019, 2023; Goodyear et al., 2019). Early-career teachers especially benefit from these platforms for idea sharing and support (Hunter &amp; Hall, 2018). Initiatives like </w:t>
      </w:r>
      <w:r w:rsidR="00BA7565">
        <w:t>UGA</w:t>
      </w:r>
      <w:r>
        <w:t xml:space="preserve"> and </w:t>
      </w:r>
      <w:r w:rsidR="00BA7565">
        <w:lastRenderedPageBreak/>
        <w:t>Georgia</w:t>
      </w:r>
      <w:r>
        <w:t xml:space="preserve"> AITC’s Instagram presence </w:t>
      </w:r>
      <w:r w:rsidR="3625B937">
        <w:t>encourages</w:t>
      </w:r>
      <w:r>
        <w:t xml:space="preserve"> </w:t>
      </w:r>
      <w:r w:rsidR="00EF3F4D">
        <w:t>Georgia</w:t>
      </w:r>
      <w:r>
        <w:t xml:space="preserve"> teachers to document and share classroom practices. Despite the potential, little research has explored how elementary teachers use social media to implement and share agricultural education</w:t>
      </w:r>
      <w:r w:rsidR="17B123E0">
        <w:t>. A</w:t>
      </w:r>
      <w:r>
        <w:t xml:space="preserve"> gap this study aims to address.</w:t>
      </w:r>
    </w:p>
    <w:p w14:paraId="79BEED9B" w14:textId="77777777" w:rsidR="00F569C5" w:rsidRPr="008060F4" w:rsidRDefault="00F569C5" w:rsidP="6F0D9D4B">
      <w:pPr>
        <w:spacing w:before="240" w:after="240"/>
        <w:jc w:val="center"/>
        <w:rPr>
          <w:b/>
          <w:bCs/>
        </w:rPr>
      </w:pPr>
      <w:r w:rsidRPr="6F0D9D4B">
        <w:rPr>
          <w:b/>
          <w:bCs/>
        </w:rPr>
        <w:t>Purpose and Questions</w:t>
      </w:r>
    </w:p>
    <w:p w14:paraId="2CAE4966" w14:textId="471A1665" w:rsidR="00F569C5" w:rsidRPr="008060F4" w:rsidRDefault="00F569C5" w:rsidP="6F0D9D4B">
      <w:pPr>
        <w:spacing w:before="240" w:after="240"/>
        <w:ind w:firstLine="360"/>
      </w:pPr>
      <w:r>
        <w:t xml:space="preserve">This qualitative </w:t>
      </w:r>
      <w:r w:rsidRPr="6F0D9D4B">
        <w:rPr>
          <w:highlight w:val="white"/>
        </w:rPr>
        <w:t>study aims to explore how</w:t>
      </w:r>
      <w:r>
        <w:t xml:space="preserve"> </w:t>
      </w:r>
      <w:r w:rsidR="00DF2444">
        <w:t>Georgia</w:t>
      </w:r>
      <w:r>
        <w:t xml:space="preserve"> elementary educators that incorporate agricultural education, construct </w:t>
      </w:r>
      <w:r w:rsidRPr="6F0D9D4B">
        <w:rPr>
          <w:highlight w:val="white"/>
        </w:rPr>
        <w:t>and share professional</w:t>
      </w:r>
      <w:r>
        <w:t xml:space="preserve"> knowledge through social media visual narratives. The study addresses the following research questions:</w:t>
      </w:r>
    </w:p>
    <w:p w14:paraId="35428BB9" w14:textId="080FAC08" w:rsidR="00F569C5" w:rsidRPr="008060F4" w:rsidRDefault="00F569C5" w:rsidP="6F0D9D4B">
      <w:pPr>
        <w:pStyle w:val="ListParagraph"/>
        <w:numPr>
          <w:ilvl w:val="0"/>
          <w:numId w:val="7"/>
        </w:numPr>
        <w:spacing w:before="240" w:after="240"/>
      </w:pPr>
      <w:r>
        <w:t xml:space="preserve">How do elementary teachers in </w:t>
      </w:r>
      <w:r w:rsidR="00DF2444">
        <w:t>Georgia</w:t>
      </w:r>
      <w:r>
        <w:t xml:space="preserve"> visually represent agricultural education practices through social media?</w:t>
      </w:r>
    </w:p>
    <w:p w14:paraId="4056DCE5" w14:textId="77777777" w:rsidR="00F569C5" w:rsidRDefault="00F569C5" w:rsidP="6F0D9D4B">
      <w:pPr>
        <w:pStyle w:val="ListParagraph"/>
        <w:numPr>
          <w:ilvl w:val="0"/>
          <w:numId w:val="7"/>
        </w:numPr>
        <w:spacing w:before="240" w:after="240"/>
      </w:pPr>
      <w:r>
        <w:t>What do the visual narratives reveal about pedagogical approaches, professional knowledge, and contextual influences on elementary agricultural education implementation?</w:t>
      </w:r>
    </w:p>
    <w:p w14:paraId="08608445" w14:textId="3E398958" w:rsidR="00F569C5" w:rsidRDefault="00F569C5" w:rsidP="6F0D9D4B">
      <w:pPr>
        <w:pStyle w:val="ListParagraph"/>
        <w:numPr>
          <w:ilvl w:val="0"/>
          <w:numId w:val="7"/>
        </w:numPr>
        <w:spacing w:before="240" w:after="240"/>
      </w:pPr>
      <w:r>
        <w:t>How do teachers construct shared understanding of elementary agricultural education through visual interactions on social media platforms?</w:t>
      </w:r>
    </w:p>
    <w:p w14:paraId="648CF4AD" w14:textId="77777777" w:rsidR="00C36310" w:rsidRDefault="00C36310" w:rsidP="6F0D9D4B">
      <w:pPr>
        <w:pStyle w:val="css-qffaiu"/>
        <w:jc w:val="center"/>
      </w:pPr>
      <w:r w:rsidRPr="6F0D9D4B">
        <w:rPr>
          <w:rStyle w:val="Strong"/>
          <w:rFonts w:eastAsiaTheme="majorEastAsia"/>
        </w:rPr>
        <w:t>Theoretical Framework</w:t>
      </w:r>
    </w:p>
    <w:p w14:paraId="778ACD54" w14:textId="51C21F5A" w:rsidR="61064615" w:rsidRPr="008060F4" w:rsidRDefault="00C36310" w:rsidP="6F0D9D4B">
      <w:pPr>
        <w:pStyle w:val="css-qffaiu"/>
        <w:ind w:firstLine="720"/>
      </w:pPr>
      <w:r>
        <w:t>Situated Learning Theory (SLT), developed by Lave and Wenger (1991), explains that learning happens through active participation in authentic social contexts, where knowledge is shaped by community interactions (</w:t>
      </w:r>
      <w:proofErr w:type="spellStart"/>
      <w:r>
        <w:t>Pitsoe</w:t>
      </w:r>
      <w:proofErr w:type="spellEnd"/>
      <w:r>
        <w:t xml:space="preserve"> &amp; Maila, 2013). SLT is especially relevant for professional development in education, as digital platforms now enable teachers to learn and share practices within real communities (Bell et al., 2013). Wenger’s (1998) concept of Communities of Practice (CoPs) describes groups who learn together through mutual engagement, shared goals, and common resources. CoPs have evolved to include virtual and hybrid formats, supporting ongoing, authentic learning and improved teacher and student outcomes (Li et al., 2009; Van As, 2018). Integrating SLT and CoPs with social media provides a framework to understand how teachers collectively develop and share knowledge online. Research shows these virtual communities enhance collaboration, creativity, and professional growth (</w:t>
      </w:r>
      <w:r w:rsidR="00EF1022">
        <w:t xml:space="preserve">Macià &amp; García, 2016; </w:t>
      </w:r>
      <w:proofErr w:type="spellStart"/>
      <w:r>
        <w:t>Mavri</w:t>
      </w:r>
      <w:proofErr w:type="spellEnd"/>
      <w:r>
        <w:t xml:space="preserve"> et al., 2024). This study uses this framework to examine how </w:t>
      </w:r>
      <w:r w:rsidR="00743C5F">
        <w:t xml:space="preserve">Georgia </w:t>
      </w:r>
      <w:r>
        <w:t>elementary teachers use social media to document and share agricultural education practices.</w:t>
      </w:r>
    </w:p>
    <w:p w14:paraId="76DD8185" w14:textId="55AFAD4A" w:rsidR="00DE4F8A" w:rsidRPr="00151AC5" w:rsidRDefault="00C36310" w:rsidP="6F0D9D4B">
      <w:pPr>
        <w:jc w:val="center"/>
        <w:rPr>
          <w:b/>
          <w:bCs/>
        </w:rPr>
      </w:pPr>
      <w:r w:rsidRPr="6F0D9D4B">
        <w:rPr>
          <w:b/>
          <w:bCs/>
        </w:rPr>
        <w:t>Methods</w:t>
      </w:r>
    </w:p>
    <w:p w14:paraId="6BA50D21" w14:textId="7A59F504" w:rsidR="00C36310" w:rsidRDefault="00C36310" w:rsidP="6F0D9D4B">
      <w:pPr>
        <w:pStyle w:val="css-qffaiu"/>
        <w:ind w:firstLine="720"/>
      </w:pPr>
      <w:r>
        <w:t xml:space="preserve">This research used a qualitative visual narrative inquiry approach (Bach, 2007) to examine how </w:t>
      </w:r>
      <w:r w:rsidR="003658B7">
        <w:t xml:space="preserve">Georgia </w:t>
      </w:r>
      <w:r>
        <w:t>elementary teachers represent and share agricultural education practices on social media. This method allowed for in-depth analysis of both the visual elements and the context in which educational content is shared online (</w:t>
      </w:r>
      <w:proofErr w:type="spellStart"/>
      <w:r>
        <w:t>Riessman</w:t>
      </w:r>
      <w:proofErr w:type="spellEnd"/>
      <w:r>
        <w:t>, 2008</w:t>
      </w:r>
      <w:r w:rsidR="1DD4DCEE">
        <w:t>) and</w:t>
      </w:r>
      <w:r>
        <w:t xml:space="preserve"> fits well within the situated learning theoretical framework.</w:t>
      </w:r>
    </w:p>
    <w:p w14:paraId="35F59D41" w14:textId="565F986A" w:rsidR="00C36310" w:rsidRDefault="00C36310" w:rsidP="6F0D9D4B">
      <w:pPr>
        <w:pStyle w:val="css-qffaiu"/>
        <w:ind w:firstLine="720"/>
      </w:pPr>
      <w:r>
        <w:t>The study focused on visual data from Instagram takeovers during the 2024-2025 academic year, analyzing</w:t>
      </w:r>
      <w:r w:rsidR="00151AC5">
        <w:t xml:space="preserve"> visual</w:t>
      </w:r>
      <w:r>
        <w:t xml:space="preserve"> posts</w:t>
      </w:r>
      <w:r w:rsidR="00151AC5">
        <w:t xml:space="preserve"> and </w:t>
      </w:r>
      <w:r>
        <w:t>captions. Participants were purposefully selected using criterion-based sampling</w:t>
      </w:r>
      <w:r w:rsidR="00151AC5">
        <w:t xml:space="preserve"> (Merriam &amp; Tisdell, 2016; Creswell &amp; Poth, 2018). A</w:t>
      </w:r>
      <w:r>
        <w:t xml:space="preserve">ll were current elementary teachers in </w:t>
      </w:r>
      <w:r w:rsidR="003658B7">
        <w:t>Georgia</w:t>
      </w:r>
      <w:r>
        <w:t xml:space="preserve">, actively implementing agricultural education, and engaged in </w:t>
      </w:r>
      <w:r>
        <w:lastRenderedPageBreak/>
        <w:t>sharing their work on social media</w:t>
      </w:r>
      <w:r w:rsidR="00151AC5">
        <w:t>.</w:t>
      </w:r>
      <w:r>
        <w:t xml:space="preserve"> </w:t>
      </w:r>
      <w:r w:rsidR="003D1FCF">
        <w:t>T</w:t>
      </w:r>
      <w:r>
        <w:t xml:space="preserve">his analysis focused on </w:t>
      </w:r>
      <w:r w:rsidR="00151AC5">
        <w:t>four</w:t>
      </w:r>
      <w:r>
        <w:t xml:space="preserve"> educators to allow for in-depth examination and follow-up.</w:t>
      </w:r>
    </w:p>
    <w:p w14:paraId="62D004C3" w14:textId="7CCD9B77" w:rsidR="00ED7292" w:rsidRDefault="00FA6889" w:rsidP="6F0D9D4B">
      <w:pPr>
        <w:spacing w:after="160"/>
        <w:ind w:firstLine="720"/>
      </w:pPr>
      <w:r>
        <w:t>The research team systematically archived and analyzed Instagram posts from participating teachers, examining both visual and textual content through open coding, thematic analysis, and peer review. Insights from this preliminary analysis informed the development of a semi-structured interview protocol. Interviews conducte</w:t>
      </w:r>
      <w:r w:rsidR="00EB10E1">
        <w:t xml:space="preserve">d </w:t>
      </w:r>
      <w:r>
        <w:t xml:space="preserve">explored teachers’ backgrounds, instructional practices, social media use, professional growth, and reflections on student learning. All interviews were recorded, transcribed, and analyzed using open, axial, and selective coding. Member checking, multiple coders, and regular team meetings supported credibility and consistency. Detailed audit trails documented </w:t>
      </w:r>
      <w:r w:rsidR="003774CB">
        <w:t xml:space="preserve">the </w:t>
      </w:r>
      <w:r>
        <w:t>research process throughout.</w:t>
      </w:r>
      <w:r w:rsidR="00F65815">
        <w:t xml:space="preserve"> </w:t>
      </w:r>
      <w:r w:rsidR="00ED7292">
        <w:t xml:space="preserve">Triangulation of Instagram posts, interviews, and contextual documents provided a well-rounded view of agricultural education in these classrooms. The primary </w:t>
      </w:r>
      <w:proofErr w:type="gramStart"/>
      <w:r w:rsidR="00ED7292">
        <w:t>investigator maintained</w:t>
      </w:r>
      <w:proofErr w:type="gramEnd"/>
      <w:r w:rsidR="00ED7292">
        <w:t xml:space="preserve"> reflexivity through journaling and team discussions, acknowledging potential bias from prior teaching experience and actively mitigating it (Merriam &amp; Tisdell, 2016). </w:t>
      </w:r>
    </w:p>
    <w:p w14:paraId="3BA3535A" w14:textId="24A1809E" w:rsidR="00924BB8" w:rsidRDefault="00924BB8" w:rsidP="6F0D9D4B">
      <w:pPr>
        <w:spacing w:after="160"/>
        <w:jc w:val="center"/>
        <w:rPr>
          <w:b/>
          <w:bCs/>
        </w:rPr>
      </w:pPr>
      <w:r w:rsidRPr="6F0D9D4B">
        <w:rPr>
          <w:b/>
          <w:bCs/>
        </w:rPr>
        <w:t>Findings</w:t>
      </w:r>
    </w:p>
    <w:p w14:paraId="2CB9D9AA" w14:textId="7F37F9D2" w:rsidR="00910D1D" w:rsidRDefault="001C482F" w:rsidP="6F0D9D4B">
      <w:pPr>
        <w:pStyle w:val="paragraph"/>
        <w:spacing w:before="0" w:beforeAutospacing="0" w:after="0" w:afterAutospacing="0"/>
        <w:ind w:firstLine="720"/>
        <w:textAlignment w:val="baseline"/>
        <w:rPr>
          <w:rStyle w:val="normaltextrun"/>
          <w:rFonts w:eastAsiaTheme="majorEastAsia"/>
          <w:b/>
          <w:bCs/>
        </w:rPr>
      </w:pPr>
      <w:r>
        <w:t>T</w:t>
      </w:r>
      <w:r w:rsidR="00F9755D">
        <w:t>o contextualize the findings, school and teacher demographics, such as location, enrollment, Title I status, and teaching experience were examined (Table 1).</w:t>
      </w:r>
    </w:p>
    <w:p w14:paraId="68786946" w14:textId="77777777" w:rsidR="00F9755D" w:rsidRDefault="00F9755D" w:rsidP="79649E1E">
      <w:pPr>
        <w:pStyle w:val="paragraph"/>
        <w:spacing w:before="0" w:beforeAutospacing="0" w:after="0" w:afterAutospacing="0"/>
        <w:rPr>
          <w:rStyle w:val="normaltextrun"/>
          <w:rFonts w:eastAsiaTheme="majorEastAsia"/>
          <w:b/>
          <w:bCs/>
        </w:rPr>
      </w:pPr>
    </w:p>
    <w:p w14:paraId="7322CD40" w14:textId="5E6BCBDB" w:rsidR="00C84628" w:rsidRPr="008060F4" w:rsidRDefault="2B3C1AA4" w:rsidP="79649E1E">
      <w:pPr>
        <w:pStyle w:val="paragraph"/>
        <w:spacing w:before="0" w:beforeAutospacing="0" w:after="0" w:afterAutospacing="0"/>
        <w:rPr>
          <w:rFonts w:ascii="Segoe UI" w:hAnsi="Segoe UI" w:cs="Segoe UI"/>
          <w:sz w:val="18"/>
          <w:szCs w:val="18"/>
        </w:rPr>
      </w:pPr>
      <w:r w:rsidRPr="79649E1E">
        <w:rPr>
          <w:rStyle w:val="normaltextrun"/>
          <w:rFonts w:eastAsiaTheme="majorEastAsia"/>
          <w:b/>
          <w:bCs/>
        </w:rPr>
        <w:t>Table 1</w:t>
      </w:r>
      <w:r w:rsidRPr="79649E1E">
        <w:rPr>
          <w:rStyle w:val="eop"/>
          <w:rFonts w:eastAsiaTheme="majorEastAsia"/>
        </w:rPr>
        <w:t> </w:t>
      </w:r>
    </w:p>
    <w:p w14:paraId="32112B66" w14:textId="53B00BCA" w:rsidR="00C84628" w:rsidRPr="008060F4" w:rsidRDefault="2B3C1AA4" w:rsidP="79649E1E">
      <w:pPr>
        <w:pStyle w:val="paragraph"/>
        <w:spacing w:before="0" w:beforeAutospacing="0" w:after="0" w:afterAutospacing="0"/>
        <w:rPr>
          <w:rFonts w:ascii="Segoe UI" w:hAnsi="Segoe UI" w:cs="Segoe UI"/>
          <w:sz w:val="18"/>
          <w:szCs w:val="18"/>
        </w:rPr>
      </w:pPr>
      <w:r w:rsidRPr="79649E1E">
        <w:rPr>
          <w:rStyle w:val="normaltextrun"/>
          <w:rFonts w:eastAsiaTheme="majorEastAsia"/>
        </w:rPr>
        <w:t>School-level Contextual Data (</w:t>
      </w:r>
      <w:r w:rsidRPr="79649E1E">
        <w:rPr>
          <w:rStyle w:val="normaltextrun"/>
          <w:rFonts w:eastAsiaTheme="majorEastAsia"/>
          <w:i/>
          <w:iCs/>
        </w:rPr>
        <w:t>n</w:t>
      </w:r>
      <w:r w:rsidR="24B59C41" w:rsidRPr="79649E1E">
        <w:rPr>
          <w:rStyle w:val="normaltextrun"/>
          <w:rFonts w:eastAsiaTheme="majorEastAsia"/>
          <w:i/>
          <w:iCs/>
        </w:rPr>
        <w:t xml:space="preserve"> </w:t>
      </w:r>
      <w:r w:rsidRPr="79649E1E">
        <w:rPr>
          <w:rStyle w:val="normaltextrun"/>
          <w:rFonts w:eastAsiaTheme="majorEastAsia"/>
          <w:i/>
          <w:iCs/>
        </w:rPr>
        <w:t>=</w:t>
      </w:r>
      <w:r w:rsidR="3AB1F27C" w:rsidRPr="79649E1E">
        <w:rPr>
          <w:rStyle w:val="normaltextrun"/>
          <w:rFonts w:eastAsiaTheme="majorEastAsia"/>
          <w:i/>
          <w:iCs/>
        </w:rPr>
        <w:t xml:space="preserve"> </w:t>
      </w:r>
      <w:r w:rsidRPr="79649E1E">
        <w:rPr>
          <w:rStyle w:val="normaltextrun"/>
          <w:rFonts w:eastAsiaTheme="majorEastAsia"/>
          <w:i/>
          <w:iCs/>
        </w:rPr>
        <w:t>4</w:t>
      </w:r>
      <w:r w:rsidRPr="79649E1E">
        <w:rPr>
          <w:rStyle w:val="normaltextrun"/>
          <w:rFonts w:eastAsiaTheme="majorEastAsia"/>
        </w:rPr>
        <w:t>) </w:t>
      </w:r>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1440"/>
        <w:gridCol w:w="1440"/>
        <w:gridCol w:w="1170"/>
        <w:gridCol w:w="1620"/>
        <w:gridCol w:w="1350"/>
        <w:gridCol w:w="900"/>
        <w:gridCol w:w="79"/>
        <w:gridCol w:w="1360"/>
      </w:tblGrid>
      <w:tr w:rsidR="009453D9" w14:paraId="765C2101" w14:textId="77777777" w:rsidTr="171D723F">
        <w:trPr>
          <w:trHeight w:val="300"/>
        </w:trPr>
        <w:tc>
          <w:tcPr>
            <w:tcW w:w="1440" w:type="dxa"/>
            <w:tcBorders>
              <w:top w:val="single" w:sz="6" w:space="0" w:color="auto"/>
              <w:left w:val="nil"/>
              <w:bottom w:val="single" w:sz="6" w:space="0" w:color="auto"/>
              <w:right w:val="nil"/>
            </w:tcBorders>
          </w:tcPr>
          <w:p w14:paraId="49DCE6A5" w14:textId="0A515199" w:rsidR="7752C1B0" w:rsidRDefault="07BCAC16" w:rsidP="04F8168F">
            <w:pPr>
              <w:pStyle w:val="paragraph"/>
              <w:spacing w:before="0" w:beforeAutospacing="0" w:after="0" w:afterAutospacing="0"/>
              <w:rPr>
                <w:b/>
                <w:bCs/>
                <w:caps/>
                <w:sz w:val="20"/>
                <w:szCs w:val="20"/>
              </w:rPr>
            </w:pPr>
            <w:r w:rsidRPr="171D723F">
              <w:rPr>
                <w:rStyle w:val="normaltextrun"/>
                <w:rFonts w:eastAsiaTheme="majorEastAsia"/>
                <w:sz w:val="20"/>
                <w:szCs w:val="20"/>
              </w:rPr>
              <w:t>P</w:t>
            </w:r>
            <w:r w:rsidR="7752C1B0" w:rsidRPr="171D723F">
              <w:rPr>
                <w:rStyle w:val="normaltextrun"/>
                <w:rFonts w:eastAsiaTheme="majorEastAsia"/>
                <w:sz w:val="20"/>
                <w:szCs w:val="20"/>
              </w:rPr>
              <w:t>seudonym</w:t>
            </w:r>
            <w:r w:rsidR="7752C1B0" w:rsidRPr="171D723F">
              <w:rPr>
                <w:rStyle w:val="eop"/>
                <w:rFonts w:eastAsiaTheme="majorEastAsia"/>
                <w:b/>
                <w:bCs/>
                <w:caps/>
                <w:sz w:val="20"/>
                <w:szCs w:val="20"/>
              </w:rPr>
              <w:t> </w:t>
            </w:r>
          </w:p>
        </w:tc>
        <w:tc>
          <w:tcPr>
            <w:tcW w:w="1440" w:type="dxa"/>
            <w:tcBorders>
              <w:top w:val="single" w:sz="6" w:space="0" w:color="auto"/>
              <w:left w:val="nil"/>
              <w:bottom w:val="single" w:sz="6" w:space="0" w:color="auto"/>
              <w:right w:val="nil"/>
            </w:tcBorders>
          </w:tcPr>
          <w:p w14:paraId="00008234" w14:textId="77777777" w:rsidR="7752C1B0" w:rsidRDefault="7752C1B0" w:rsidP="7752C1B0">
            <w:pPr>
              <w:pStyle w:val="paragraph"/>
              <w:spacing w:before="0" w:beforeAutospacing="0" w:after="0" w:afterAutospacing="0"/>
              <w:rPr>
                <w:b/>
                <w:bCs/>
                <w:caps/>
                <w:sz w:val="20"/>
                <w:szCs w:val="20"/>
              </w:rPr>
            </w:pPr>
            <w:r w:rsidRPr="7752C1B0">
              <w:rPr>
                <w:rStyle w:val="normaltextrun"/>
                <w:rFonts w:eastAsiaTheme="majorEastAsia"/>
                <w:sz w:val="20"/>
                <w:szCs w:val="20"/>
              </w:rPr>
              <w:t>Geographic </w:t>
            </w:r>
            <w:r w:rsidRPr="7752C1B0">
              <w:rPr>
                <w:rStyle w:val="eop"/>
                <w:rFonts w:eastAsiaTheme="majorEastAsia"/>
                <w:b/>
                <w:bCs/>
                <w:caps/>
                <w:sz w:val="20"/>
                <w:szCs w:val="20"/>
              </w:rPr>
              <w:t> </w:t>
            </w:r>
          </w:p>
        </w:tc>
        <w:tc>
          <w:tcPr>
            <w:tcW w:w="1170" w:type="dxa"/>
            <w:tcBorders>
              <w:top w:val="single" w:sz="6" w:space="0" w:color="auto"/>
              <w:left w:val="nil"/>
              <w:bottom w:val="single" w:sz="6" w:space="0" w:color="auto"/>
              <w:right w:val="nil"/>
            </w:tcBorders>
          </w:tcPr>
          <w:p w14:paraId="250C5BA6" w14:textId="63E55543" w:rsidR="33C4FC62" w:rsidRDefault="33C4FC62" w:rsidP="171D723F">
            <w:pPr>
              <w:pStyle w:val="paragraph"/>
              <w:rPr>
                <w:rStyle w:val="normaltextrun"/>
                <w:rFonts w:eastAsiaTheme="majorEastAsia"/>
                <w:sz w:val="20"/>
                <w:szCs w:val="20"/>
              </w:rPr>
            </w:pPr>
            <w:r w:rsidRPr="171D723F">
              <w:rPr>
                <w:rStyle w:val="normaltextrun"/>
                <w:rFonts w:eastAsiaTheme="majorEastAsia"/>
                <w:sz w:val="20"/>
                <w:szCs w:val="20"/>
              </w:rPr>
              <w:t>Years</w:t>
            </w:r>
            <w:r w:rsidR="6A9DEDF5" w:rsidRPr="171D723F">
              <w:rPr>
                <w:rStyle w:val="normaltextrun"/>
                <w:rFonts w:eastAsiaTheme="majorEastAsia"/>
                <w:sz w:val="20"/>
                <w:szCs w:val="20"/>
              </w:rPr>
              <w:t xml:space="preserve"> Of</w:t>
            </w:r>
            <w:r>
              <w:br/>
            </w:r>
            <w:r w:rsidR="13310825" w:rsidRPr="171D723F">
              <w:rPr>
                <w:rStyle w:val="normaltextrun"/>
                <w:rFonts w:eastAsiaTheme="majorEastAsia"/>
                <w:sz w:val="20"/>
                <w:szCs w:val="20"/>
              </w:rPr>
              <w:t>Teaching</w:t>
            </w:r>
          </w:p>
        </w:tc>
        <w:tc>
          <w:tcPr>
            <w:tcW w:w="1620" w:type="dxa"/>
            <w:tcBorders>
              <w:top w:val="single" w:sz="6" w:space="0" w:color="auto"/>
              <w:left w:val="nil"/>
              <w:bottom w:val="single" w:sz="6" w:space="0" w:color="auto"/>
              <w:right w:val="nil"/>
            </w:tcBorders>
          </w:tcPr>
          <w:p w14:paraId="46FAF6F6" w14:textId="72DEC5C2" w:rsidR="4B24C825" w:rsidRDefault="4B24C825" w:rsidP="171D723F">
            <w:pPr>
              <w:pStyle w:val="paragraph"/>
              <w:rPr>
                <w:rStyle w:val="normaltextrun"/>
                <w:rFonts w:eastAsiaTheme="majorEastAsia"/>
                <w:sz w:val="20"/>
                <w:szCs w:val="20"/>
              </w:rPr>
            </w:pPr>
            <w:r w:rsidRPr="171D723F">
              <w:rPr>
                <w:rStyle w:val="normaltextrun"/>
                <w:rFonts w:eastAsiaTheme="majorEastAsia"/>
                <w:sz w:val="20"/>
                <w:szCs w:val="20"/>
              </w:rPr>
              <w:t>Current</w:t>
            </w:r>
            <w:r>
              <w:br/>
            </w:r>
            <w:r w:rsidR="6F296E57" w:rsidRPr="171D723F">
              <w:rPr>
                <w:rStyle w:val="normaltextrun"/>
                <w:rFonts w:eastAsiaTheme="majorEastAsia"/>
                <w:sz w:val="20"/>
                <w:szCs w:val="20"/>
              </w:rPr>
              <w:t>Position</w:t>
            </w:r>
          </w:p>
        </w:tc>
        <w:tc>
          <w:tcPr>
            <w:tcW w:w="1350" w:type="dxa"/>
            <w:tcBorders>
              <w:top w:val="single" w:sz="6" w:space="0" w:color="auto"/>
              <w:left w:val="nil"/>
              <w:bottom w:val="single" w:sz="6" w:space="0" w:color="auto"/>
              <w:right w:val="nil"/>
            </w:tcBorders>
          </w:tcPr>
          <w:p w14:paraId="137F5473" w14:textId="77777777" w:rsidR="7752C1B0" w:rsidRDefault="7752C1B0" w:rsidP="7752C1B0">
            <w:pPr>
              <w:pStyle w:val="paragraph"/>
              <w:spacing w:before="0" w:beforeAutospacing="0" w:after="0" w:afterAutospacing="0"/>
              <w:rPr>
                <w:b/>
                <w:bCs/>
                <w:caps/>
                <w:sz w:val="20"/>
                <w:szCs w:val="20"/>
              </w:rPr>
            </w:pPr>
            <w:r w:rsidRPr="7752C1B0">
              <w:rPr>
                <w:rStyle w:val="normaltextrun"/>
                <w:rFonts w:eastAsiaTheme="majorEastAsia"/>
                <w:sz w:val="20"/>
                <w:szCs w:val="20"/>
              </w:rPr>
              <w:t>Student </w:t>
            </w:r>
            <w:r w:rsidRPr="7752C1B0">
              <w:rPr>
                <w:rStyle w:val="eop"/>
                <w:rFonts w:eastAsiaTheme="majorEastAsia"/>
                <w:b/>
                <w:bCs/>
                <w:caps/>
                <w:sz w:val="20"/>
                <w:szCs w:val="20"/>
              </w:rPr>
              <w:t> </w:t>
            </w:r>
          </w:p>
          <w:p w14:paraId="04C5D368" w14:textId="77777777" w:rsidR="7752C1B0" w:rsidRDefault="7752C1B0" w:rsidP="7752C1B0">
            <w:pPr>
              <w:pStyle w:val="paragraph"/>
              <w:spacing w:before="0" w:beforeAutospacing="0" w:after="0" w:afterAutospacing="0"/>
              <w:rPr>
                <w:b/>
                <w:bCs/>
                <w:caps/>
                <w:sz w:val="20"/>
                <w:szCs w:val="20"/>
              </w:rPr>
            </w:pPr>
            <w:r w:rsidRPr="7752C1B0">
              <w:rPr>
                <w:rStyle w:val="normaltextrun"/>
                <w:rFonts w:eastAsiaTheme="majorEastAsia"/>
                <w:sz w:val="20"/>
                <w:szCs w:val="20"/>
              </w:rPr>
              <w:t>Enrollment</w:t>
            </w:r>
            <w:r w:rsidRPr="7752C1B0">
              <w:rPr>
                <w:rStyle w:val="eop"/>
                <w:rFonts w:eastAsiaTheme="majorEastAsia"/>
                <w:b/>
                <w:bCs/>
                <w:caps/>
                <w:sz w:val="20"/>
                <w:szCs w:val="20"/>
              </w:rPr>
              <w:t> </w:t>
            </w:r>
          </w:p>
        </w:tc>
        <w:tc>
          <w:tcPr>
            <w:tcW w:w="900" w:type="dxa"/>
            <w:tcBorders>
              <w:top w:val="single" w:sz="6" w:space="0" w:color="auto"/>
              <w:left w:val="nil"/>
              <w:bottom w:val="single" w:sz="6" w:space="0" w:color="auto"/>
              <w:right w:val="nil"/>
            </w:tcBorders>
          </w:tcPr>
          <w:p w14:paraId="13507573" w14:textId="29D90608" w:rsidR="7752C1B0" w:rsidRDefault="7752C1B0" w:rsidP="7752C1B0">
            <w:pPr>
              <w:pStyle w:val="paragraph"/>
              <w:spacing w:before="0" w:beforeAutospacing="0" w:after="0" w:afterAutospacing="0"/>
              <w:rPr>
                <w:b/>
                <w:bCs/>
                <w:caps/>
                <w:sz w:val="20"/>
                <w:szCs w:val="20"/>
              </w:rPr>
            </w:pPr>
            <w:r w:rsidRPr="7752C1B0">
              <w:rPr>
                <w:rStyle w:val="normaltextrun"/>
                <w:rFonts w:eastAsiaTheme="majorEastAsia"/>
                <w:sz w:val="20"/>
                <w:szCs w:val="20"/>
              </w:rPr>
              <w:t xml:space="preserve">Title </w:t>
            </w:r>
            <w:r w:rsidR="00E740A5">
              <w:rPr>
                <w:rStyle w:val="normaltextrun"/>
                <w:rFonts w:eastAsiaTheme="majorEastAsia"/>
                <w:sz w:val="20"/>
                <w:szCs w:val="20"/>
              </w:rPr>
              <w:t>I</w:t>
            </w:r>
            <w:r w:rsidRPr="7752C1B0">
              <w:rPr>
                <w:rStyle w:val="normaltextrun"/>
                <w:rFonts w:eastAsiaTheme="majorEastAsia"/>
                <w:sz w:val="20"/>
                <w:szCs w:val="20"/>
              </w:rPr>
              <w:t> </w:t>
            </w:r>
            <w:r w:rsidRPr="7752C1B0">
              <w:rPr>
                <w:rStyle w:val="eop"/>
                <w:rFonts w:eastAsiaTheme="majorEastAsia"/>
                <w:b/>
                <w:bCs/>
                <w:caps/>
                <w:sz w:val="20"/>
                <w:szCs w:val="20"/>
              </w:rPr>
              <w:t> </w:t>
            </w:r>
          </w:p>
        </w:tc>
        <w:tc>
          <w:tcPr>
            <w:tcW w:w="1439" w:type="dxa"/>
            <w:gridSpan w:val="2"/>
            <w:tcBorders>
              <w:top w:val="single" w:sz="6" w:space="0" w:color="auto"/>
              <w:left w:val="nil"/>
              <w:bottom w:val="single" w:sz="6" w:space="0" w:color="auto"/>
              <w:right w:val="nil"/>
            </w:tcBorders>
          </w:tcPr>
          <w:p w14:paraId="6FE68DAF" w14:textId="1ED41BAE" w:rsidR="7752C1B0" w:rsidRDefault="7752C1B0" w:rsidP="7752C1B0">
            <w:pPr>
              <w:pStyle w:val="paragraph"/>
              <w:spacing w:before="0" w:beforeAutospacing="0" w:after="0" w:afterAutospacing="0"/>
              <w:rPr>
                <w:b/>
                <w:bCs/>
                <w:caps/>
                <w:sz w:val="20"/>
                <w:szCs w:val="20"/>
              </w:rPr>
            </w:pPr>
            <w:r w:rsidRPr="7752C1B0">
              <w:rPr>
                <w:rStyle w:val="normaltextrun"/>
                <w:rFonts w:eastAsiaTheme="majorEastAsia"/>
                <w:sz w:val="20"/>
                <w:szCs w:val="20"/>
              </w:rPr>
              <w:t xml:space="preserve">Free </w:t>
            </w:r>
            <w:r w:rsidR="4704FA78" w:rsidRPr="7752C1B0">
              <w:rPr>
                <w:rStyle w:val="normaltextrun"/>
                <w:rFonts w:eastAsiaTheme="majorEastAsia"/>
                <w:sz w:val="20"/>
                <w:szCs w:val="20"/>
              </w:rPr>
              <w:t xml:space="preserve">/ </w:t>
            </w:r>
            <w:r w:rsidRPr="7752C1B0">
              <w:rPr>
                <w:rStyle w:val="normaltextrun"/>
                <w:rFonts w:eastAsiaTheme="majorEastAsia"/>
                <w:sz w:val="20"/>
                <w:szCs w:val="20"/>
              </w:rPr>
              <w:t>reduced lunch eligible </w:t>
            </w:r>
            <w:r w:rsidRPr="7752C1B0">
              <w:rPr>
                <w:rStyle w:val="eop"/>
                <w:rFonts w:eastAsiaTheme="majorEastAsia"/>
                <w:b/>
                <w:bCs/>
                <w:caps/>
                <w:sz w:val="20"/>
                <w:szCs w:val="20"/>
              </w:rPr>
              <w:t> </w:t>
            </w:r>
          </w:p>
        </w:tc>
      </w:tr>
      <w:tr w:rsidR="009453D9" w14:paraId="79D6DD4C" w14:textId="77777777" w:rsidTr="171D723F">
        <w:trPr>
          <w:trHeight w:val="300"/>
        </w:trPr>
        <w:tc>
          <w:tcPr>
            <w:tcW w:w="1440" w:type="dxa"/>
            <w:tcBorders>
              <w:top w:val="single" w:sz="6" w:space="0" w:color="auto"/>
              <w:left w:val="nil"/>
              <w:bottom w:val="nil"/>
              <w:right w:val="nil"/>
            </w:tcBorders>
          </w:tcPr>
          <w:p w14:paraId="43C1CAFC" w14:textId="77777777" w:rsidR="7752C1B0" w:rsidRPr="005A2D1F" w:rsidRDefault="7752C1B0" w:rsidP="7752C1B0">
            <w:pPr>
              <w:pStyle w:val="paragraph"/>
              <w:spacing w:before="0" w:beforeAutospacing="0" w:after="0" w:afterAutospacing="0"/>
              <w:rPr>
                <w:rStyle w:val="normaltextrun"/>
                <w:rFonts w:eastAsiaTheme="majorEastAsia"/>
                <w:sz w:val="20"/>
                <w:szCs w:val="20"/>
              </w:rPr>
            </w:pPr>
            <w:r w:rsidRPr="7752C1B0">
              <w:rPr>
                <w:rStyle w:val="normaltextrun"/>
                <w:rFonts w:eastAsiaTheme="majorEastAsia"/>
                <w:sz w:val="20"/>
                <w:szCs w:val="20"/>
              </w:rPr>
              <w:t>Dr. Mitchell </w:t>
            </w:r>
          </w:p>
        </w:tc>
        <w:tc>
          <w:tcPr>
            <w:tcW w:w="1440" w:type="dxa"/>
            <w:tcBorders>
              <w:top w:val="single" w:sz="6" w:space="0" w:color="auto"/>
              <w:left w:val="nil"/>
              <w:bottom w:val="nil"/>
              <w:right w:val="nil"/>
            </w:tcBorders>
          </w:tcPr>
          <w:p w14:paraId="125716CA" w14:textId="77777777" w:rsidR="7752C1B0" w:rsidRPr="005A2D1F" w:rsidRDefault="7752C1B0" w:rsidP="7752C1B0">
            <w:pPr>
              <w:pStyle w:val="paragraph"/>
              <w:spacing w:before="0" w:beforeAutospacing="0" w:after="0" w:afterAutospacing="0"/>
              <w:rPr>
                <w:rStyle w:val="normaltextrun"/>
                <w:rFonts w:eastAsiaTheme="majorEastAsia"/>
                <w:sz w:val="20"/>
                <w:szCs w:val="20"/>
              </w:rPr>
            </w:pPr>
            <w:r w:rsidRPr="7752C1B0">
              <w:rPr>
                <w:rStyle w:val="normaltextrun"/>
                <w:rFonts w:eastAsiaTheme="majorEastAsia"/>
                <w:sz w:val="20"/>
                <w:szCs w:val="20"/>
              </w:rPr>
              <w:t>Suburban </w:t>
            </w:r>
          </w:p>
        </w:tc>
        <w:tc>
          <w:tcPr>
            <w:tcW w:w="1170" w:type="dxa"/>
            <w:tcBorders>
              <w:top w:val="single" w:sz="6" w:space="0" w:color="auto"/>
              <w:left w:val="nil"/>
              <w:bottom w:val="nil"/>
              <w:right w:val="nil"/>
            </w:tcBorders>
          </w:tcPr>
          <w:p w14:paraId="635FC754" w14:textId="05271991" w:rsidR="1BCB4219" w:rsidRDefault="1BCB4219" w:rsidP="005A2D1F">
            <w:pPr>
              <w:pStyle w:val="paragraph"/>
              <w:rPr>
                <w:rStyle w:val="normaltextrun"/>
                <w:rFonts w:eastAsiaTheme="majorEastAsia"/>
                <w:sz w:val="20"/>
                <w:szCs w:val="20"/>
              </w:rPr>
            </w:pPr>
            <w:r w:rsidRPr="7752C1B0">
              <w:rPr>
                <w:rStyle w:val="normaltextrun"/>
                <w:rFonts w:eastAsiaTheme="majorEastAsia"/>
                <w:sz w:val="20"/>
                <w:szCs w:val="20"/>
              </w:rPr>
              <w:t>13</w:t>
            </w:r>
          </w:p>
        </w:tc>
        <w:tc>
          <w:tcPr>
            <w:tcW w:w="1620" w:type="dxa"/>
            <w:tcBorders>
              <w:top w:val="single" w:sz="6" w:space="0" w:color="auto"/>
              <w:left w:val="nil"/>
              <w:bottom w:val="nil"/>
              <w:right w:val="nil"/>
            </w:tcBorders>
          </w:tcPr>
          <w:p w14:paraId="59D1D539" w14:textId="7379A61E" w:rsidR="334CCCF2" w:rsidRDefault="334CCCF2" w:rsidP="005A2D1F">
            <w:pPr>
              <w:pStyle w:val="paragraph"/>
              <w:rPr>
                <w:rStyle w:val="normaltextrun"/>
                <w:rFonts w:eastAsiaTheme="majorEastAsia"/>
                <w:sz w:val="20"/>
                <w:szCs w:val="20"/>
              </w:rPr>
            </w:pPr>
            <w:r w:rsidRPr="7752C1B0">
              <w:rPr>
                <w:rStyle w:val="normaltextrun"/>
                <w:rFonts w:eastAsiaTheme="majorEastAsia"/>
                <w:sz w:val="20"/>
                <w:szCs w:val="20"/>
              </w:rPr>
              <w:t>Elementary</w:t>
            </w:r>
            <w:r w:rsidR="107863A5" w:rsidRPr="7752C1B0">
              <w:rPr>
                <w:rStyle w:val="normaltextrun"/>
                <w:rFonts w:eastAsiaTheme="majorEastAsia"/>
                <w:sz w:val="20"/>
                <w:szCs w:val="20"/>
              </w:rPr>
              <w:t xml:space="preserve"> (2</w:t>
            </w:r>
            <w:r w:rsidR="107863A5" w:rsidRPr="7752C1B0">
              <w:rPr>
                <w:rStyle w:val="normaltextrun"/>
                <w:rFonts w:eastAsiaTheme="majorEastAsia"/>
                <w:sz w:val="20"/>
                <w:szCs w:val="20"/>
                <w:vertAlign w:val="superscript"/>
              </w:rPr>
              <w:t>nd</w:t>
            </w:r>
            <w:r w:rsidR="107863A5" w:rsidRPr="7752C1B0">
              <w:rPr>
                <w:rStyle w:val="normaltextrun"/>
                <w:rFonts w:eastAsiaTheme="majorEastAsia"/>
                <w:sz w:val="20"/>
                <w:szCs w:val="20"/>
              </w:rPr>
              <w:t>)</w:t>
            </w:r>
          </w:p>
        </w:tc>
        <w:tc>
          <w:tcPr>
            <w:tcW w:w="1350" w:type="dxa"/>
            <w:tcBorders>
              <w:top w:val="single" w:sz="6" w:space="0" w:color="auto"/>
              <w:left w:val="nil"/>
              <w:bottom w:val="nil"/>
              <w:right w:val="nil"/>
            </w:tcBorders>
          </w:tcPr>
          <w:p w14:paraId="0B245753" w14:textId="77777777" w:rsidR="7752C1B0" w:rsidRPr="005A2D1F" w:rsidRDefault="7752C1B0" w:rsidP="7752C1B0">
            <w:pPr>
              <w:pStyle w:val="paragraph"/>
              <w:spacing w:before="0" w:beforeAutospacing="0" w:after="0" w:afterAutospacing="0"/>
              <w:rPr>
                <w:rStyle w:val="normaltextrun"/>
                <w:rFonts w:eastAsiaTheme="majorEastAsia"/>
                <w:sz w:val="20"/>
                <w:szCs w:val="20"/>
              </w:rPr>
            </w:pPr>
            <w:r w:rsidRPr="7752C1B0">
              <w:rPr>
                <w:rStyle w:val="normaltextrun"/>
                <w:rFonts w:eastAsiaTheme="majorEastAsia"/>
                <w:sz w:val="20"/>
                <w:szCs w:val="20"/>
              </w:rPr>
              <w:t>1258 </w:t>
            </w:r>
          </w:p>
        </w:tc>
        <w:tc>
          <w:tcPr>
            <w:tcW w:w="979" w:type="dxa"/>
            <w:gridSpan w:val="2"/>
            <w:tcBorders>
              <w:top w:val="single" w:sz="6" w:space="0" w:color="auto"/>
              <w:left w:val="nil"/>
              <w:bottom w:val="nil"/>
              <w:right w:val="nil"/>
            </w:tcBorders>
          </w:tcPr>
          <w:p w14:paraId="21E6258F" w14:textId="77777777" w:rsidR="7752C1B0" w:rsidRPr="005A2D1F" w:rsidRDefault="7752C1B0" w:rsidP="7752C1B0">
            <w:pPr>
              <w:pStyle w:val="paragraph"/>
              <w:spacing w:before="0" w:beforeAutospacing="0" w:after="0" w:afterAutospacing="0"/>
              <w:rPr>
                <w:rStyle w:val="normaltextrun"/>
                <w:rFonts w:eastAsiaTheme="majorEastAsia"/>
                <w:sz w:val="20"/>
                <w:szCs w:val="20"/>
              </w:rPr>
            </w:pPr>
            <w:r w:rsidRPr="7752C1B0">
              <w:rPr>
                <w:rStyle w:val="normaltextrun"/>
                <w:rFonts w:eastAsiaTheme="majorEastAsia"/>
                <w:sz w:val="20"/>
                <w:szCs w:val="20"/>
              </w:rPr>
              <w:t>Yes </w:t>
            </w:r>
          </w:p>
        </w:tc>
        <w:tc>
          <w:tcPr>
            <w:tcW w:w="1360" w:type="dxa"/>
            <w:tcBorders>
              <w:top w:val="single" w:sz="6" w:space="0" w:color="auto"/>
              <w:left w:val="nil"/>
              <w:bottom w:val="nil"/>
              <w:right w:val="nil"/>
            </w:tcBorders>
          </w:tcPr>
          <w:p w14:paraId="1ED93244" w14:textId="77777777" w:rsidR="7752C1B0" w:rsidRPr="005A2D1F" w:rsidRDefault="7752C1B0" w:rsidP="7752C1B0">
            <w:pPr>
              <w:pStyle w:val="paragraph"/>
              <w:spacing w:before="0" w:beforeAutospacing="0" w:after="0" w:afterAutospacing="0"/>
              <w:rPr>
                <w:rStyle w:val="normaltextrun"/>
                <w:rFonts w:eastAsiaTheme="majorEastAsia"/>
                <w:sz w:val="20"/>
                <w:szCs w:val="20"/>
              </w:rPr>
            </w:pPr>
            <w:r w:rsidRPr="7752C1B0">
              <w:rPr>
                <w:rStyle w:val="normaltextrun"/>
                <w:rFonts w:eastAsiaTheme="majorEastAsia"/>
                <w:sz w:val="20"/>
                <w:szCs w:val="20"/>
              </w:rPr>
              <w:t>48% </w:t>
            </w:r>
          </w:p>
        </w:tc>
      </w:tr>
      <w:tr w:rsidR="009453D9" w14:paraId="2E4C3E7B" w14:textId="77777777" w:rsidTr="171D723F">
        <w:trPr>
          <w:trHeight w:val="300"/>
        </w:trPr>
        <w:tc>
          <w:tcPr>
            <w:tcW w:w="1440" w:type="dxa"/>
            <w:tcBorders>
              <w:top w:val="nil"/>
              <w:left w:val="nil"/>
              <w:bottom w:val="nil"/>
              <w:right w:val="nil"/>
            </w:tcBorders>
          </w:tcPr>
          <w:p w14:paraId="019543A6" w14:textId="77777777" w:rsidR="7752C1B0" w:rsidRPr="005A2D1F" w:rsidRDefault="7752C1B0" w:rsidP="7752C1B0">
            <w:pPr>
              <w:pStyle w:val="paragraph"/>
              <w:spacing w:before="0" w:beforeAutospacing="0" w:after="0" w:afterAutospacing="0"/>
              <w:rPr>
                <w:rStyle w:val="normaltextrun"/>
                <w:rFonts w:eastAsiaTheme="majorEastAsia"/>
                <w:sz w:val="20"/>
                <w:szCs w:val="20"/>
              </w:rPr>
            </w:pPr>
            <w:r w:rsidRPr="7752C1B0">
              <w:rPr>
                <w:rStyle w:val="normaltextrun"/>
                <w:rFonts w:eastAsiaTheme="majorEastAsia"/>
                <w:sz w:val="20"/>
                <w:szCs w:val="20"/>
              </w:rPr>
              <w:t>Ms. Carter </w:t>
            </w:r>
          </w:p>
        </w:tc>
        <w:tc>
          <w:tcPr>
            <w:tcW w:w="1440" w:type="dxa"/>
            <w:tcBorders>
              <w:top w:val="nil"/>
              <w:left w:val="nil"/>
              <w:bottom w:val="nil"/>
              <w:right w:val="nil"/>
            </w:tcBorders>
          </w:tcPr>
          <w:p w14:paraId="56C3E686" w14:textId="77777777" w:rsidR="7752C1B0" w:rsidRPr="005A2D1F" w:rsidRDefault="7752C1B0" w:rsidP="7752C1B0">
            <w:pPr>
              <w:pStyle w:val="paragraph"/>
              <w:spacing w:before="0" w:beforeAutospacing="0" w:after="0" w:afterAutospacing="0"/>
              <w:rPr>
                <w:rStyle w:val="normaltextrun"/>
                <w:rFonts w:eastAsiaTheme="majorEastAsia"/>
                <w:sz w:val="20"/>
                <w:szCs w:val="20"/>
              </w:rPr>
            </w:pPr>
            <w:r w:rsidRPr="7752C1B0">
              <w:rPr>
                <w:rStyle w:val="normaltextrun"/>
                <w:rFonts w:eastAsiaTheme="majorEastAsia"/>
                <w:sz w:val="20"/>
                <w:szCs w:val="20"/>
              </w:rPr>
              <w:t>Rural Fringe </w:t>
            </w:r>
          </w:p>
        </w:tc>
        <w:tc>
          <w:tcPr>
            <w:tcW w:w="1170" w:type="dxa"/>
            <w:tcBorders>
              <w:top w:val="nil"/>
              <w:left w:val="nil"/>
              <w:bottom w:val="nil"/>
              <w:right w:val="nil"/>
            </w:tcBorders>
          </w:tcPr>
          <w:p w14:paraId="0106E406" w14:textId="1B875A16" w:rsidR="1A635D65" w:rsidRDefault="1A635D65" w:rsidP="005A2D1F">
            <w:pPr>
              <w:pStyle w:val="paragraph"/>
              <w:rPr>
                <w:rStyle w:val="normaltextrun"/>
                <w:rFonts w:eastAsiaTheme="majorEastAsia"/>
                <w:sz w:val="20"/>
                <w:szCs w:val="20"/>
              </w:rPr>
            </w:pPr>
            <w:r w:rsidRPr="7752C1B0">
              <w:rPr>
                <w:rStyle w:val="normaltextrun"/>
                <w:rFonts w:eastAsiaTheme="majorEastAsia"/>
                <w:sz w:val="20"/>
                <w:szCs w:val="20"/>
              </w:rPr>
              <w:t>24</w:t>
            </w:r>
          </w:p>
        </w:tc>
        <w:tc>
          <w:tcPr>
            <w:tcW w:w="1620" w:type="dxa"/>
            <w:tcBorders>
              <w:top w:val="nil"/>
              <w:left w:val="nil"/>
              <w:bottom w:val="nil"/>
              <w:right w:val="nil"/>
            </w:tcBorders>
          </w:tcPr>
          <w:p w14:paraId="634BC7C5" w14:textId="46A37B9A" w:rsidR="3897A937" w:rsidRDefault="3897A937" w:rsidP="005A2D1F">
            <w:pPr>
              <w:pStyle w:val="paragraph"/>
              <w:rPr>
                <w:rStyle w:val="normaltextrun"/>
                <w:rFonts w:eastAsiaTheme="majorEastAsia"/>
                <w:sz w:val="20"/>
                <w:szCs w:val="20"/>
              </w:rPr>
            </w:pPr>
            <w:r w:rsidRPr="7752C1B0">
              <w:rPr>
                <w:rStyle w:val="normaltextrun"/>
                <w:rFonts w:eastAsiaTheme="majorEastAsia"/>
                <w:sz w:val="20"/>
                <w:szCs w:val="20"/>
              </w:rPr>
              <w:t>EAE</w:t>
            </w:r>
            <w:r w:rsidR="33AD0D41" w:rsidRPr="7752C1B0">
              <w:rPr>
                <w:rStyle w:val="normaltextrun"/>
                <w:rFonts w:eastAsiaTheme="majorEastAsia"/>
                <w:sz w:val="20"/>
                <w:szCs w:val="20"/>
              </w:rPr>
              <w:t xml:space="preserve"> (K-4)</w:t>
            </w:r>
          </w:p>
        </w:tc>
        <w:tc>
          <w:tcPr>
            <w:tcW w:w="1350" w:type="dxa"/>
            <w:tcBorders>
              <w:top w:val="nil"/>
              <w:left w:val="nil"/>
              <w:bottom w:val="nil"/>
              <w:right w:val="nil"/>
            </w:tcBorders>
          </w:tcPr>
          <w:p w14:paraId="5A52B0ED" w14:textId="77777777" w:rsidR="7752C1B0" w:rsidRPr="005A2D1F" w:rsidRDefault="7752C1B0" w:rsidP="7752C1B0">
            <w:pPr>
              <w:pStyle w:val="paragraph"/>
              <w:spacing w:before="0" w:beforeAutospacing="0" w:after="0" w:afterAutospacing="0"/>
              <w:rPr>
                <w:rStyle w:val="normaltextrun"/>
                <w:rFonts w:eastAsiaTheme="majorEastAsia"/>
                <w:sz w:val="20"/>
                <w:szCs w:val="20"/>
              </w:rPr>
            </w:pPr>
            <w:r w:rsidRPr="7752C1B0">
              <w:rPr>
                <w:rStyle w:val="normaltextrun"/>
                <w:rFonts w:eastAsiaTheme="majorEastAsia"/>
                <w:sz w:val="20"/>
                <w:szCs w:val="20"/>
              </w:rPr>
              <w:t>584 </w:t>
            </w:r>
          </w:p>
        </w:tc>
        <w:tc>
          <w:tcPr>
            <w:tcW w:w="979" w:type="dxa"/>
            <w:gridSpan w:val="2"/>
            <w:tcBorders>
              <w:top w:val="nil"/>
              <w:left w:val="nil"/>
              <w:bottom w:val="nil"/>
              <w:right w:val="nil"/>
            </w:tcBorders>
          </w:tcPr>
          <w:p w14:paraId="70DCA445" w14:textId="77777777" w:rsidR="7752C1B0" w:rsidRPr="005A2D1F" w:rsidRDefault="7752C1B0" w:rsidP="7752C1B0">
            <w:pPr>
              <w:pStyle w:val="paragraph"/>
              <w:spacing w:before="0" w:beforeAutospacing="0" w:after="0" w:afterAutospacing="0"/>
              <w:rPr>
                <w:rStyle w:val="normaltextrun"/>
                <w:rFonts w:eastAsiaTheme="majorEastAsia"/>
                <w:sz w:val="20"/>
                <w:szCs w:val="20"/>
              </w:rPr>
            </w:pPr>
            <w:r w:rsidRPr="7752C1B0">
              <w:rPr>
                <w:rStyle w:val="normaltextrun"/>
                <w:rFonts w:eastAsiaTheme="majorEastAsia"/>
                <w:sz w:val="20"/>
                <w:szCs w:val="20"/>
              </w:rPr>
              <w:t>Yes </w:t>
            </w:r>
          </w:p>
        </w:tc>
        <w:tc>
          <w:tcPr>
            <w:tcW w:w="1360" w:type="dxa"/>
            <w:tcBorders>
              <w:top w:val="nil"/>
              <w:left w:val="nil"/>
              <w:bottom w:val="nil"/>
              <w:right w:val="nil"/>
            </w:tcBorders>
          </w:tcPr>
          <w:p w14:paraId="7A6712BF" w14:textId="77777777" w:rsidR="7752C1B0" w:rsidRPr="005A2D1F" w:rsidRDefault="7752C1B0" w:rsidP="7752C1B0">
            <w:pPr>
              <w:pStyle w:val="paragraph"/>
              <w:spacing w:before="0" w:beforeAutospacing="0" w:after="0" w:afterAutospacing="0"/>
              <w:rPr>
                <w:rStyle w:val="normaltextrun"/>
                <w:rFonts w:eastAsiaTheme="majorEastAsia"/>
                <w:sz w:val="20"/>
                <w:szCs w:val="20"/>
              </w:rPr>
            </w:pPr>
            <w:r w:rsidRPr="7752C1B0">
              <w:rPr>
                <w:rStyle w:val="normaltextrun"/>
                <w:rFonts w:eastAsiaTheme="majorEastAsia"/>
                <w:sz w:val="20"/>
                <w:szCs w:val="20"/>
              </w:rPr>
              <w:t>64% </w:t>
            </w:r>
          </w:p>
        </w:tc>
      </w:tr>
      <w:tr w:rsidR="009453D9" w14:paraId="5871B269" w14:textId="77777777" w:rsidTr="171D723F">
        <w:trPr>
          <w:trHeight w:val="300"/>
        </w:trPr>
        <w:tc>
          <w:tcPr>
            <w:tcW w:w="1440" w:type="dxa"/>
            <w:tcBorders>
              <w:top w:val="nil"/>
              <w:left w:val="nil"/>
              <w:bottom w:val="nil"/>
              <w:right w:val="nil"/>
            </w:tcBorders>
          </w:tcPr>
          <w:p w14:paraId="2C1A0ECC" w14:textId="77777777" w:rsidR="7752C1B0" w:rsidRPr="005A2D1F" w:rsidRDefault="7752C1B0" w:rsidP="7752C1B0">
            <w:pPr>
              <w:pStyle w:val="paragraph"/>
              <w:spacing w:before="0" w:beforeAutospacing="0" w:after="0" w:afterAutospacing="0"/>
              <w:rPr>
                <w:rStyle w:val="normaltextrun"/>
                <w:rFonts w:eastAsiaTheme="majorEastAsia"/>
                <w:sz w:val="20"/>
                <w:szCs w:val="20"/>
              </w:rPr>
            </w:pPr>
            <w:r w:rsidRPr="7752C1B0">
              <w:rPr>
                <w:rStyle w:val="normaltextrun"/>
                <w:rFonts w:eastAsiaTheme="majorEastAsia"/>
                <w:sz w:val="20"/>
                <w:szCs w:val="20"/>
              </w:rPr>
              <w:t>Mrs. Hayes </w:t>
            </w:r>
          </w:p>
        </w:tc>
        <w:tc>
          <w:tcPr>
            <w:tcW w:w="1440" w:type="dxa"/>
            <w:tcBorders>
              <w:top w:val="nil"/>
              <w:left w:val="nil"/>
              <w:bottom w:val="nil"/>
              <w:right w:val="nil"/>
            </w:tcBorders>
          </w:tcPr>
          <w:p w14:paraId="32BD0E02" w14:textId="77777777" w:rsidR="7752C1B0" w:rsidRPr="005A2D1F" w:rsidRDefault="7752C1B0" w:rsidP="7752C1B0">
            <w:pPr>
              <w:pStyle w:val="paragraph"/>
              <w:spacing w:before="0" w:beforeAutospacing="0" w:after="0" w:afterAutospacing="0"/>
              <w:rPr>
                <w:rStyle w:val="normaltextrun"/>
                <w:rFonts w:eastAsiaTheme="majorEastAsia"/>
                <w:sz w:val="20"/>
                <w:szCs w:val="20"/>
              </w:rPr>
            </w:pPr>
            <w:r w:rsidRPr="7752C1B0">
              <w:rPr>
                <w:rStyle w:val="normaltextrun"/>
                <w:rFonts w:eastAsiaTheme="majorEastAsia"/>
                <w:sz w:val="20"/>
                <w:szCs w:val="20"/>
              </w:rPr>
              <w:t>Rural Distant </w:t>
            </w:r>
          </w:p>
        </w:tc>
        <w:tc>
          <w:tcPr>
            <w:tcW w:w="1170" w:type="dxa"/>
            <w:tcBorders>
              <w:top w:val="nil"/>
              <w:left w:val="nil"/>
              <w:bottom w:val="nil"/>
              <w:right w:val="nil"/>
            </w:tcBorders>
          </w:tcPr>
          <w:p w14:paraId="32580B16" w14:textId="75FD39DC" w:rsidR="36858B8B" w:rsidRDefault="36858B8B" w:rsidP="005A2D1F">
            <w:pPr>
              <w:pStyle w:val="paragraph"/>
              <w:rPr>
                <w:rStyle w:val="normaltextrun"/>
                <w:rFonts w:eastAsiaTheme="majorEastAsia"/>
                <w:sz w:val="20"/>
                <w:szCs w:val="20"/>
              </w:rPr>
            </w:pPr>
            <w:r w:rsidRPr="7752C1B0">
              <w:rPr>
                <w:rStyle w:val="normaltextrun"/>
                <w:rFonts w:eastAsiaTheme="majorEastAsia"/>
                <w:sz w:val="20"/>
                <w:szCs w:val="20"/>
              </w:rPr>
              <w:t>18</w:t>
            </w:r>
          </w:p>
        </w:tc>
        <w:tc>
          <w:tcPr>
            <w:tcW w:w="1620" w:type="dxa"/>
            <w:tcBorders>
              <w:top w:val="nil"/>
              <w:left w:val="nil"/>
              <w:bottom w:val="nil"/>
              <w:right w:val="nil"/>
            </w:tcBorders>
          </w:tcPr>
          <w:p w14:paraId="53BE97DE" w14:textId="16AA1D45" w:rsidR="6C250C70" w:rsidRDefault="6C250C70" w:rsidP="005A2D1F">
            <w:pPr>
              <w:pStyle w:val="paragraph"/>
              <w:rPr>
                <w:rStyle w:val="normaltextrun"/>
                <w:rFonts w:eastAsiaTheme="majorEastAsia"/>
                <w:sz w:val="20"/>
                <w:szCs w:val="20"/>
              </w:rPr>
            </w:pPr>
            <w:r w:rsidRPr="7752C1B0">
              <w:rPr>
                <w:rStyle w:val="normaltextrun"/>
                <w:rFonts w:eastAsiaTheme="majorEastAsia"/>
                <w:sz w:val="20"/>
                <w:szCs w:val="20"/>
              </w:rPr>
              <w:t>EAE</w:t>
            </w:r>
            <w:r w:rsidR="3BA03059" w:rsidRPr="7752C1B0">
              <w:rPr>
                <w:rStyle w:val="normaltextrun"/>
                <w:rFonts w:eastAsiaTheme="majorEastAsia"/>
                <w:sz w:val="20"/>
                <w:szCs w:val="20"/>
              </w:rPr>
              <w:t xml:space="preserve"> (K-5)</w:t>
            </w:r>
          </w:p>
        </w:tc>
        <w:tc>
          <w:tcPr>
            <w:tcW w:w="1350" w:type="dxa"/>
            <w:tcBorders>
              <w:top w:val="nil"/>
              <w:left w:val="nil"/>
              <w:bottom w:val="nil"/>
              <w:right w:val="nil"/>
            </w:tcBorders>
          </w:tcPr>
          <w:p w14:paraId="09EF4D43" w14:textId="77777777" w:rsidR="7752C1B0" w:rsidRPr="005A2D1F" w:rsidRDefault="7752C1B0" w:rsidP="7752C1B0">
            <w:pPr>
              <w:pStyle w:val="paragraph"/>
              <w:spacing w:before="0" w:beforeAutospacing="0" w:after="0" w:afterAutospacing="0"/>
              <w:rPr>
                <w:rStyle w:val="normaltextrun"/>
                <w:rFonts w:eastAsiaTheme="majorEastAsia"/>
                <w:sz w:val="20"/>
                <w:szCs w:val="20"/>
              </w:rPr>
            </w:pPr>
            <w:r w:rsidRPr="7752C1B0">
              <w:rPr>
                <w:rStyle w:val="normaltextrun"/>
                <w:rFonts w:eastAsiaTheme="majorEastAsia"/>
                <w:sz w:val="20"/>
                <w:szCs w:val="20"/>
              </w:rPr>
              <w:t>908 </w:t>
            </w:r>
          </w:p>
        </w:tc>
        <w:tc>
          <w:tcPr>
            <w:tcW w:w="979" w:type="dxa"/>
            <w:gridSpan w:val="2"/>
            <w:tcBorders>
              <w:top w:val="nil"/>
              <w:left w:val="nil"/>
              <w:bottom w:val="nil"/>
              <w:right w:val="nil"/>
            </w:tcBorders>
          </w:tcPr>
          <w:p w14:paraId="33C24C02" w14:textId="77777777" w:rsidR="7752C1B0" w:rsidRPr="005A2D1F" w:rsidRDefault="7752C1B0" w:rsidP="7752C1B0">
            <w:pPr>
              <w:pStyle w:val="paragraph"/>
              <w:spacing w:before="0" w:beforeAutospacing="0" w:after="0" w:afterAutospacing="0"/>
              <w:rPr>
                <w:rStyle w:val="normaltextrun"/>
                <w:rFonts w:eastAsiaTheme="majorEastAsia"/>
                <w:sz w:val="20"/>
                <w:szCs w:val="20"/>
              </w:rPr>
            </w:pPr>
            <w:r w:rsidRPr="7752C1B0">
              <w:rPr>
                <w:rStyle w:val="normaltextrun"/>
                <w:rFonts w:eastAsiaTheme="majorEastAsia"/>
                <w:sz w:val="20"/>
                <w:szCs w:val="20"/>
              </w:rPr>
              <w:t>Yes </w:t>
            </w:r>
          </w:p>
        </w:tc>
        <w:tc>
          <w:tcPr>
            <w:tcW w:w="1360" w:type="dxa"/>
            <w:tcBorders>
              <w:top w:val="nil"/>
              <w:left w:val="nil"/>
              <w:bottom w:val="nil"/>
              <w:right w:val="nil"/>
            </w:tcBorders>
          </w:tcPr>
          <w:p w14:paraId="61625DB1" w14:textId="77777777" w:rsidR="7752C1B0" w:rsidRPr="005A2D1F" w:rsidRDefault="7752C1B0" w:rsidP="7752C1B0">
            <w:pPr>
              <w:pStyle w:val="paragraph"/>
              <w:spacing w:before="0" w:beforeAutospacing="0" w:after="0" w:afterAutospacing="0"/>
              <w:rPr>
                <w:rStyle w:val="normaltextrun"/>
                <w:rFonts w:eastAsiaTheme="majorEastAsia"/>
                <w:sz w:val="20"/>
                <w:szCs w:val="20"/>
              </w:rPr>
            </w:pPr>
            <w:r w:rsidRPr="7752C1B0">
              <w:rPr>
                <w:rStyle w:val="normaltextrun"/>
                <w:rFonts w:eastAsiaTheme="majorEastAsia"/>
                <w:sz w:val="20"/>
                <w:szCs w:val="20"/>
              </w:rPr>
              <w:t>50% </w:t>
            </w:r>
          </w:p>
        </w:tc>
      </w:tr>
      <w:tr w:rsidR="009453D9" w14:paraId="35B0E81C" w14:textId="77777777" w:rsidTr="171D723F">
        <w:trPr>
          <w:trHeight w:val="300"/>
        </w:trPr>
        <w:tc>
          <w:tcPr>
            <w:tcW w:w="1440" w:type="dxa"/>
            <w:tcBorders>
              <w:top w:val="nil"/>
              <w:left w:val="nil"/>
              <w:bottom w:val="single" w:sz="6" w:space="0" w:color="auto"/>
              <w:right w:val="nil"/>
            </w:tcBorders>
          </w:tcPr>
          <w:p w14:paraId="10874DF3" w14:textId="77777777" w:rsidR="7752C1B0" w:rsidRPr="005A2D1F" w:rsidRDefault="7752C1B0" w:rsidP="7752C1B0">
            <w:pPr>
              <w:pStyle w:val="paragraph"/>
              <w:spacing w:before="0" w:beforeAutospacing="0" w:after="0" w:afterAutospacing="0"/>
              <w:rPr>
                <w:rStyle w:val="normaltextrun"/>
                <w:rFonts w:eastAsiaTheme="majorEastAsia"/>
                <w:sz w:val="20"/>
                <w:szCs w:val="20"/>
              </w:rPr>
            </w:pPr>
            <w:r w:rsidRPr="7752C1B0">
              <w:rPr>
                <w:rStyle w:val="normaltextrun"/>
                <w:rFonts w:eastAsiaTheme="majorEastAsia"/>
                <w:sz w:val="20"/>
                <w:szCs w:val="20"/>
              </w:rPr>
              <w:t>Mrs. Bennett  </w:t>
            </w:r>
          </w:p>
        </w:tc>
        <w:tc>
          <w:tcPr>
            <w:tcW w:w="1440" w:type="dxa"/>
            <w:tcBorders>
              <w:top w:val="nil"/>
              <w:left w:val="nil"/>
              <w:bottom w:val="single" w:sz="6" w:space="0" w:color="auto"/>
              <w:right w:val="nil"/>
            </w:tcBorders>
          </w:tcPr>
          <w:p w14:paraId="498E6869" w14:textId="77777777" w:rsidR="7752C1B0" w:rsidRPr="005A2D1F" w:rsidRDefault="7752C1B0" w:rsidP="7752C1B0">
            <w:pPr>
              <w:pStyle w:val="paragraph"/>
              <w:spacing w:before="0" w:beforeAutospacing="0" w:after="0" w:afterAutospacing="0"/>
              <w:rPr>
                <w:rStyle w:val="normaltextrun"/>
                <w:rFonts w:eastAsiaTheme="majorEastAsia"/>
                <w:sz w:val="20"/>
                <w:szCs w:val="20"/>
              </w:rPr>
            </w:pPr>
            <w:r w:rsidRPr="7752C1B0">
              <w:rPr>
                <w:rStyle w:val="normaltextrun"/>
                <w:rFonts w:eastAsiaTheme="majorEastAsia"/>
                <w:sz w:val="20"/>
                <w:szCs w:val="20"/>
              </w:rPr>
              <w:t>Rural Distant </w:t>
            </w:r>
          </w:p>
        </w:tc>
        <w:tc>
          <w:tcPr>
            <w:tcW w:w="1170" w:type="dxa"/>
            <w:tcBorders>
              <w:top w:val="nil"/>
              <w:left w:val="nil"/>
              <w:bottom w:val="single" w:sz="6" w:space="0" w:color="auto"/>
              <w:right w:val="nil"/>
            </w:tcBorders>
          </w:tcPr>
          <w:p w14:paraId="68972F24" w14:textId="5585F2DD" w:rsidR="79F6C433" w:rsidRDefault="79F6C433" w:rsidP="005A2D1F">
            <w:pPr>
              <w:pStyle w:val="paragraph"/>
              <w:rPr>
                <w:rStyle w:val="normaltextrun"/>
                <w:rFonts w:eastAsiaTheme="majorEastAsia"/>
                <w:sz w:val="20"/>
                <w:szCs w:val="20"/>
              </w:rPr>
            </w:pPr>
            <w:r w:rsidRPr="7752C1B0">
              <w:rPr>
                <w:rStyle w:val="normaltextrun"/>
                <w:rFonts w:eastAsiaTheme="majorEastAsia"/>
                <w:sz w:val="20"/>
                <w:szCs w:val="20"/>
              </w:rPr>
              <w:t>4</w:t>
            </w:r>
          </w:p>
        </w:tc>
        <w:tc>
          <w:tcPr>
            <w:tcW w:w="1620" w:type="dxa"/>
            <w:tcBorders>
              <w:top w:val="nil"/>
              <w:left w:val="nil"/>
              <w:bottom w:val="single" w:sz="6" w:space="0" w:color="auto"/>
              <w:right w:val="nil"/>
            </w:tcBorders>
          </w:tcPr>
          <w:p w14:paraId="0BA06255" w14:textId="4CE51BE1" w:rsidR="0A956DF6" w:rsidRDefault="0A956DF6" w:rsidP="005A2D1F">
            <w:pPr>
              <w:pStyle w:val="paragraph"/>
              <w:rPr>
                <w:rStyle w:val="normaltextrun"/>
                <w:rFonts w:eastAsiaTheme="majorEastAsia"/>
                <w:sz w:val="20"/>
                <w:szCs w:val="20"/>
              </w:rPr>
            </w:pPr>
            <w:r w:rsidRPr="7752C1B0">
              <w:rPr>
                <w:rStyle w:val="normaltextrun"/>
                <w:rFonts w:eastAsiaTheme="majorEastAsia"/>
                <w:sz w:val="20"/>
                <w:szCs w:val="20"/>
              </w:rPr>
              <w:t>EAE</w:t>
            </w:r>
            <w:r w:rsidR="73A1252E" w:rsidRPr="7752C1B0">
              <w:rPr>
                <w:rStyle w:val="normaltextrun"/>
                <w:rFonts w:eastAsiaTheme="majorEastAsia"/>
                <w:sz w:val="20"/>
                <w:szCs w:val="20"/>
              </w:rPr>
              <w:t xml:space="preserve"> (K</w:t>
            </w:r>
            <w:r w:rsidR="031FC92C" w:rsidRPr="7752C1B0">
              <w:rPr>
                <w:rStyle w:val="normaltextrun"/>
                <w:rFonts w:eastAsiaTheme="majorEastAsia"/>
                <w:sz w:val="20"/>
                <w:szCs w:val="20"/>
              </w:rPr>
              <w:t>-</w:t>
            </w:r>
            <w:r w:rsidR="73A1252E" w:rsidRPr="7752C1B0">
              <w:rPr>
                <w:rStyle w:val="normaltextrun"/>
                <w:rFonts w:eastAsiaTheme="majorEastAsia"/>
                <w:sz w:val="20"/>
                <w:szCs w:val="20"/>
              </w:rPr>
              <w:t>2)</w:t>
            </w:r>
          </w:p>
        </w:tc>
        <w:tc>
          <w:tcPr>
            <w:tcW w:w="1350" w:type="dxa"/>
            <w:tcBorders>
              <w:top w:val="nil"/>
              <w:left w:val="nil"/>
              <w:bottom w:val="single" w:sz="6" w:space="0" w:color="auto"/>
              <w:right w:val="nil"/>
            </w:tcBorders>
          </w:tcPr>
          <w:p w14:paraId="31E58FD3" w14:textId="77777777" w:rsidR="7752C1B0" w:rsidRPr="005A2D1F" w:rsidRDefault="7752C1B0" w:rsidP="7752C1B0">
            <w:pPr>
              <w:pStyle w:val="paragraph"/>
              <w:spacing w:before="0" w:beforeAutospacing="0" w:after="0" w:afterAutospacing="0"/>
              <w:rPr>
                <w:rStyle w:val="normaltextrun"/>
                <w:rFonts w:eastAsiaTheme="majorEastAsia"/>
                <w:sz w:val="20"/>
                <w:szCs w:val="20"/>
              </w:rPr>
            </w:pPr>
            <w:r w:rsidRPr="7752C1B0">
              <w:rPr>
                <w:rStyle w:val="normaltextrun"/>
                <w:rFonts w:eastAsiaTheme="majorEastAsia"/>
                <w:sz w:val="20"/>
                <w:szCs w:val="20"/>
              </w:rPr>
              <w:t>720 </w:t>
            </w:r>
          </w:p>
        </w:tc>
        <w:tc>
          <w:tcPr>
            <w:tcW w:w="979" w:type="dxa"/>
            <w:gridSpan w:val="2"/>
            <w:tcBorders>
              <w:top w:val="nil"/>
              <w:left w:val="nil"/>
              <w:bottom w:val="single" w:sz="6" w:space="0" w:color="auto"/>
              <w:right w:val="nil"/>
            </w:tcBorders>
          </w:tcPr>
          <w:p w14:paraId="2AA74F95" w14:textId="77777777" w:rsidR="7752C1B0" w:rsidRPr="005A2D1F" w:rsidRDefault="7752C1B0" w:rsidP="7752C1B0">
            <w:pPr>
              <w:pStyle w:val="paragraph"/>
              <w:spacing w:before="0" w:beforeAutospacing="0" w:after="0" w:afterAutospacing="0"/>
              <w:rPr>
                <w:rStyle w:val="normaltextrun"/>
                <w:rFonts w:eastAsiaTheme="majorEastAsia"/>
                <w:sz w:val="20"/>
                <w:szCs w:val="20"/>
              </w:rPr>
            </w:pPr>
            <w:r w:rsidRPr="7752C1B0">
              <w:rPr>
                <w:rStyle w:val="normaltextrun"/>
                <w:rFonts w:eastAsiaTheme="majorEastAsia"/>
                <w:sz w:val="20"/>
                <w:szCs w:val="20"/>
              </w:rPr>
              <w:t>Yes </w:t>
            </w:r>
          </w:p>
        </w:tc>
        <w:tc>
          <w:tcPr>
            <w:tcW w:w="1360" w:type="dxa"/>
            <w:tcBorders>
              <w:top w:val="nil"/>
              <w:left w:val="nil"/>
              <w:bottom w:val="single" w:sz="6" w:space="0" w:color="auto"/>
              <w:right w:val="nil"/>
            </w:tcBorders>
          </w:tcPr>
          <w:p w14:paraId="4CCB5AE0" w14:textId="77777777" w:rsidR="7752C1B0" w:rsidRPr="005A2D1F" w:rsidRDefault="7752C1B0" w:rsidP="7752C1B0">
            <w:pPr>
              <w:pStyle w:val="paragraph"/>
              <w:spacing w:before="0" w:beforeAutospacing="0" w:after="0" w:afterAutospacing="0"/>
              <w:rPr>
                <w:rStyle w:val="eop"/>
                <w:rFonts w:eastAsiaTheme="majorEastAsia"/>
                <w:sz w:val="20"/>
                <w:szCs w:val="20"/>
              </w:rPr>
            </w:pPr>
            <w:r w:rsidRPr="7752C1B0">
              <w:rPr>
                <w:rStyle w:val="normaltextrun"/>
                <w:rFonts w:eastAsiaTheme="majorEastAsia"/>
                <w:caps/>
                <w:sz w:val="20"/>
                <w:szCs w:val="20"/>
              </w:rPr>
              <w:t>70%</w:t>
            </w:r>
            <w:r w:rsidRPr="7752C1B0">
              <w:rPr>
                <w:rStyle w:val="eop"/>
                <w:rFonts w:eastAsiaTheme="majorEastAsia"/>
                <w:sz w:val="20"/>
                <w:szCs w:val="20"/>
              </w:rPr>
              <w:t> </w:t>
            </w:r>
          </w:p>
        </w:tc>
      </w:tr>
    </w:tbl>
    <w:p w14:paraId="2C853CFA" w14:textId="7FE64361" w:rsidR="00C84628" w:rsidRPr="008060F4" w:rsidRDefault="2B3C1AA4" w:rsidP="7752C1B0">
      <w:pPr>
        <w:pStyle w:val="paragraph"/>
        <w:spacing w:before="0" w:beforeAutospacing="0" w:after="0" w:afterAutospacing="0"/>
        <w:rPr>
          <w:rFonts w:ascii="Segoe UI" w:hAnsi="Segoe UI" w:cs="Segoe UI"/>
          <w:sz w:val="18"/>
          <w:szCs w:val="18"/>
        </w:rPr>
      </w:pPr>
      <w:r w:rsidRPr="7752C1B0">
        <w:rPr>
          <w:rStyle w:val="normaltextrun"/>
          <w:rFonts w:eastAsiaTheme="majorEastAsia"/>
          <w:i/>
          <w:iCs/>
        </w:rPr>
        <w:t xml:space="preserve">Note. </w:t>
      </w:r>
      <w:r w:rsidRPr="7752C1B0">
        <w:rPr>
          <w:rStyle w:val="normaltextrun"/>
          <w:rFonts w:eastAsiaTheme="majorEastAsia"/>
        </w:rPr>
        <w:t>School-data is based on 2023-2024 school year. </w:t>
      </w:r>
    </w:p>
    <w:p w14:paraId="717E2D9B" w14:textId="77777777" w:rsidR="001369CA" w:rsidRDefault="2B3C1AA4" w:rsidP="001369CA">
      <w:pPr>
        <w:pStyle w:val="paragraph"/>
        <w:spacing w:before="0" w:beforeAutospacing="0" w:after="0" w:afterAutospacing="0"/>
        <w:rPr>
          <w:rStyle w:val="eop"/>
          <w:rFonts w:eastAsiaTheme="majorEastAsia"/>
        </w:rPr>
      </w:pPr>
      <w:r w:rsidRPr="7752C1B0">
        <w:rPr>
          <w:rStyle w:val="eop"/>
          <w:rFonts w:eastAsiaTheme="majorEastAsia"/>
        </w:rPr>
        <w:t> </w:t>
      </w:r>
    </w:p>
    <w:p w14:paraId="1E4C93D0" w14:textId="5AAF6A2F" w:rsidR="00C84628" w:rsidRPr="001369CA" w:rsidRDefault="002F3161" w:rsidP="001369CA">
      <w:pPr>
        <w:pStyle w:val="paragraph"/>
        <w:spacing w:before="0" w:beforeAutospacing="0" w:after="0" w:afterAutospacing="0"/>
        <w:rPr>
          <w:rFonts w:ascii="Segoe UI" w:hAnsi="Segoe UI" w:cs="Segoe UI"/>
          <w:sz w:val="18"/>
          <w:szCs w:val="18"/>
        </w:rPr>
      </w:pPr>
      <w:r w:rsidRPr="7752C1B0">
        <w:rPr>
          <w:i/>
          <w:iCs/>
        </w:rPr>
        <w:t xml:space="preserve">Q1: How do elementary teachers in </w:t>
      </w:r>
      <w:r w:rsidR="003658B7">
        <w:rPr>
          <w:i/>
          <w:iCs/>
        </w:rPr>
        <w:t>Georgia</w:t>
      </w:r>
      <w:r w:rsidRPr="7752C1B0">
        <w:rPr>
          <w:i/>
          <w:iCs/>
        </w:rPr>
        <w:t xml:space="preserve"> visually represent agricultural education practices through social media?</w:t>
      </w:r>
    </w:p>
    <w:p w14:paraId="4704B632" w14:textId="5D88BAED" w:rsidR="008331D3" w:rsidRPr="008331D3" w:rsidRDefault="008331D3" w:rsidP="00367F73">
      <w:pPr>
        <w:pStyle w:val="NormalWeb"/>
        <w:ind w:firstLine="720"/>
      </w:pPr>
      <w:r>
        <w:t xml:space="preserve">Analysis of Instagram posts and interviews revealed three themes: </w:t>
      </w:r>
      <w:r w:rsidRPr="2F56CC71">
        <w:rPr>
          <w:rStyle w:val="Strong"/>
          <w:rFonts w:eastAsiaTheme="majorEastAsia"/>
          <w:b w:val="0"/>
          <w:bCs w:val="0"/>
        </w:rPr>
        <w:t>Effective Pedagogical Strategies</w:t>
      </w:r>
      <w:r>
        <w:t xml:space="preserve">, </w:t>
      </w:r>
      <w:r w:rsidRPr="2F56CC71">
        <w:rPr>
          <w:rStyle w:val="Strong"/>
          <w:rFonts w:eastAsiaTheme="majorEastAsia"/>
          <w:b w:val="0"/>
          <w:bCs w:val="0"/>
        </w:rPr>
        <w:t>Community and Resource Support</w:t>
      </w:r>
      <w:r>
        <w:t xml:space="preserve">, and </w:t>
      </w:r>
      <w:r w:rsidRPr="2F56CC71">
        <w:rPr>
          <w:rStyle w:val="Strong"/>
          <w:rFonts w:eastAsiaTheme="majorEastAsia"/>
          <w:b w:val="0"/>
          <w:bCs w:val="0"/>
        </w:rPr>
        <w:t>Navigating Challenges</w:t>
      </w:r>
      <w:r>
        <w:t>.</w:t>
      </w:r>
      <w:r w:rsidR="00367F73">
        <w:t xml:space="preserve"> </w:t>
      </w:r>
      <w:r w:rsidRPr="2F56CC71">
        <w:rPr>
          <w:rStyle w:val="Strong"/>
          <w:rFonts w:eastAsiaTheme="majorEastAsia"/>
          <w:b w:val="0"/>
          <w:bCs w:val="0"/>
        </w:rPr>
        <w:t>Effective Pedagogical Strategies</w:t>
      </w:r>
      <w:r>
        <w:t xml:space="preserve"> centered on experiential learning. Posts and interviews highlighted authentic, hands-on experiences, such </w:t>
      </w:r>
      <w:r w:rsidRPr="00DA4FE1">
        <w:t xml:space="preserve">as </w:t>
      </w:r>
      <w:r w:rsidRPr="006F325D">
        <w:t xml:space="preserve">Mrs. Hayes’ account of students problem-solving when </w:t>
      </w:r>
      <w:r w:rsidR="00777CA7" w:rsidRPr="00DA4FE1">
        <w:t>Ruby [</w:t>
      </w:r>
      <w:r w:rsidRPr="006F325D">
        <w:t>goat</w:t>
      </w:r>
      <w:r w:rsidR="00777CA7" w:rsidRPr="00DA4FE1">
        <w:t>]</w:t>
      </w:r>
      <w:r w:rsidRPr="006F325D">
        <w:t xml:space="preserve"> escaped</w:t>
      </w:r>
      <w:r w:rsidR="002F2A91" w:rsidRPr="006F325D">
        <w:t>,</w:t>
      </w:r>
      <w:r w:rsidRPr="006F325D">
        <w:t xml:space="preserve"> </w:t>
      </w:r>
      <w:r w:rsidRPr="006F325D">
        <w:rPr>
          <w:rStyle w:val="Emphasis"/>
          <w:rFonts w:eastAsiaTheme="majorEastAsia"/>
          <w:i w:val="0"/>
          <w:iCs w:val="0"/>
        </w:rPr>
        <w:t>“They measured the gate, tested latches, and learned more about simple machines than any planned lesson could teach.”</w:t>
      </w:r>
      <w:r w:rsidRPr="00DA4FE1">
        <w:t xml:space="preserve"> </w:t>
      </w:r>
      <w:r w:rsidRPr="006F325D">
        <w:t>M</w:t>
      </w:r>
      <w:r w:rsidR="00487784" w:rsidRPr="00DA4FE1">
        <w:t>r</w:t>
      </w:r>
      <w:r w:rsidRPr="006F325D">
        <w:t>s. Bennett emphasized animal interactions</w:t>
      </w:r>
      <w:r w:rsidR="005148E8" w:rsidRPr="006F325D">
        <w:t xml:space="preserve">, </w:t>
      </w:r>
      <w:r w:rsidRPr="006F325D">
        <w:rPr>
          <w:rStyle w:val="Emphasis"/>
          <w:rFonts w:eastAsiaTheme="majorEastAsia"/>
          <w:i w:val="0"/>
          <w:iCs w:val="0"/>
        </w:rPr>
        <w:t>“Animals create instant engagement. Even my most reluctant learners become active participants.”</w:t>
      </w:r>
      <w:r w:rsidRPr="00DA4FE1">
        <w:t xml:space="preserve"> </w:t>
      </w:r>
      <w:r w:rsidRPr="006F325D">
        <w:t xml:space="preserve">Beyond animals, teachers documented gardening and cross-curricular integration. Ms. Harper shared, </w:t>
      </w:r>
      <w:r w:rsidRPr="006F325D">
        <w:rPr>
          <w:rStyle w:val="Emphasis"/>
          <w:rFonts w:eastAsiaTheme="majorEastAsia"/>
          <w:i w:val="0"/>
          <w:iCs w:val="0"/>
        </w:rPr>
        <w:t>“Students measured soil pH, recorded data, and adjusted soil composition</w:t>
      </w:r>
      <w:r w:rsidR="006B7F34" w:rsidRPr="006F325D">
        <w:rPr>
          <w:rStyle w:val="Emphasis"/>
          <w:rFonts w:eastAsiaTheme="majorEastAsia"/>
          <w:i w:val="0"/>
          <w:iCs w:val="0"/>
        </w:rPr>
        <w:t xml:space="preserve"> </w:t>
      </w:r>
      <w:r w:rsidRPr="006F325D">
        <w:rPr>
          <w:rStyle w:val="Emphasis"/>
          <w:rFonts w:eastAsiaTheme="majorEastAsia"/>
          <w:i w:val="0"/>
          <w:iCs w:val="0"/>
        </w:rPr>
        <w:t>connecting abstract concepts to real-world applications.”</w:t>
      </w:r>
      <w:r w:rsidRPr="006F325D">
        <w:t xml:space="preserve"> Similarly, Ms. Carter noted, </w:t>
      </w:r>
      <w:r w:rsidRPr="006F325D">
        <w:rPr>
          <w:rStyle w:val="Emphasis"/>
          <w:rFonts w:eastAsiaTheme="majorEastAsia"/>
          <w:i w:val="0"/>
          <w:iCs w:val="0"/>
        </w:rPr>
        <w:t>“Third graders wrote persuasive essays about pollinator gardens using evidence from their observations.”</w:t>
      </w:r>
    </w:p>
    <w:p w14:paraId="1ACE65D2" w14:textId="3301506F" w:rsidR="008331D3" w:rsidRPr="008331D3" w:rsidRDefault="008331D3" w:rsidP="6F0D9D4B">
      <w:pPr>
        <w:pStyle w:val="NormalWeb"/>
        <w:ind w:firstLine="720"/>
      </w:pPr>
      <w:r w:rsidRPr="7752C1B0">
        <w:rPr>
          <w:rStyle w:val="Strong"/>
          <w:rFonts w:eastAsiaTheme="majorEastAsia"/>
          <w:b w:val="0"/>
          <w:bCs w:val="0"/>
        </w:rPr>
        <w:lastRenderedPageBreak/>
        <w:t>Community and Resource Support</w:t>
      </w:r>
      <w:r>
        <w:t xml:space="preserve"> emerged as vital. Mrs. Hayes described growing partnerships: </w:t>
      </w:r>
      <w:r w:rsidRPr="7752C1B0">
        <w:rPr>
          <w:rStyle w:val="Emphasis"/>
          <w:rFonts w:eastAsiaTheme="majorEastAsia"/>
          <w:i w:val="0"/>
          <w:iCs w:val="0"/>
        </w:rPr>
        <w:t>“We started with a few parent volunteers; now local farmers and Master Gardeners visit regularly.”</w:t>
      </w:r>
      <w:r>
        <w:t xml:space="preserve"> Posts showcased creative resource use, like Ms. Carter’s vertical garden from recycled pallets and Dr. Mitchell’s gratitude for donated plants</w:t>
      </w:r>
      <w:r w:rsidR="69A523D8">
        <w:t>,</w:t>
      </w:r>
      <w:r>
        <w:t xml:space="preserve"> </w:t>
      </w:r>
      <w:r w:rsidRPr="7752C1B0">
        <w:rPr>
          <w:rStyle w:val="Emphasis"/>
          <w:rFonts w:eastAsiaTheme="majorEastAsia"/>
          <w:i w:val="0"/>
          <w:iCs w:val="0"/>
        </w:rPr>
        <w:t>“Community support makes our program possible.”</w:t>
      </w:r>
    </w:p>
    <w:p w14:paraId="7B24F1F7" w14:textId="6882FC9B" w:rsidR="008331D3" w:rsidRPr="008331D3" w:rsidRDefault="008331D3" w:rsidP="171D723F">
      <w:pPr>
        <w:pStyle w:val="NormalWeb"/>
        <w:ind w:firstLine="720"/>
        <w:rPr>
          <w:rStyle w:val="Emphasis"/>
          <w:rFonts w:eastAsiaTheme="majorEastAsia"/>
          <w:i w:val="0"/>
          <w:iCs w:val="0"/>
        </w:rPr>
      </w:pPr>
      <w:r w:rsidRPr="171D723F">
        <w:rPr>
          <w:rStyle w:val="Strong"/>
          <w:rFonts w:eastAsiaTheme="majorEastAsia"/>
          <w:b w:val="0"/>
          <w:bCs w:val="0"/>
        </w:rPr>
        <w:t>Navigating Challenges</w:t>
      </w:r>
      <w:r>
        <w:t xml:space="preserve"> reflected adaptability and professional growth. Ms. Carter admitted, </w:t>
      </w:r>
      <w:r w:rsidRPr="171D723F">
        <w:rPr>
          <w:rStyle w:val="Emphasis"/>
          <w:rFonts w:eastAsiaTheme="majorEastAsia"/>
          <w:i w:val="0"/>
          <w:iCs w:val="0"/>
        </w:rPr>
        <w:t>“There’s no manual for elementary agricultural education. We’re creating it as we go.”</w:t>
      </w:r>
      <w:r w:rsidRPr="171D723F">
        <w:rPr>
          <w:i/>
          <w:iCs/>
        </w:rPr>
        <w:t xml:space="preserve"> </w:t>
      </w:r>
      <w:r>
        <w:t>M</w:t>
      </w:r>
      <w:r w:rsidR="00487784">
        <w:t>r</w:t>
      </w:r>
      <w:r>
        <w:t xml:space="preserve">s. Bennett added, </w:t>
      </w:r>
      <w:r w:rsidRPr="171D723F">
        <w:rPr>
          <w:rStyle w:val="Emphasis"/>
          <w:rFonts w:eastAsiaTheme="majorEastAsia"/>
          <w:i w:val="0"/>
          <w:iCs w:val="0"/>
        </w:rPr>
        <w:t>“Sharing on social media forces me to reflect on my practice.”</w:t>
      </w:r>
      <w:r>
        <w:t xml:space="preserve"> Teachers leveraged social media for professional development and modeled resourcefulness for students</w:t>
      </w:r>
      <w:r w:rsidR="2D7CF203">
        <w:t>.</w:t>
      </w:r>
      <w:r>
        <w:t xml:space="preserve"> </w:t>
      </w:r>
      <w:r w:rsidR="4CDD5B0C">
        <w:t>A</w:t>
      </w:r>
      <w:r>
        <w:t>s Dr. Mitchell explained</w:t>
      </w:r>
      <w:r w:rsidR="00A8591D">
        <w:t>,</w:t>
      </w:r>
      <w:r>
        <w:t xml:space="preserve"> </w:t>
      </w:r>
      <w:r w:rsidRPr="171D723F">
        <w:rPr>
          <w:rStyle w:val="Emphasis"/>
          <w:rFonts w:eastAsiaTheme="majorEastAsia"/>
          <w:i w:val="0"/>
          <w:iCs w:val="0"/>
        </w:rPr>
        <w:t>“Limited resources push us to be creative. It’s become part of our curriculum</w:t>
      </w:r>
      <w:r w:rsidR="00544074">
        <w:rPr>
          <w:rStyle w:val="Emphasis"/>
          <w:rFonts w:eastAsiaTheme="majorEastAsia"/>
          <w:i w:val="0"/>
          <w:iCs w:val="0"/>
        </w:rPr>
        <w:t xml:space="preserve">, </w:t>
      </w:r>
      <w:r w:rsidRPr="171D723F">
        <w:rPr>
          <w:rStyle w:val="Emphasis"/>
          <w:rFonts w:eastAsiaTheme="majorEastAsia"/>
          <w:i w:val="0"/>
          <w:iCs w:val="0"/>
        </w:rPr>
        <w:t>how to be resourceful and sustainable.”</w:t>
      </w:r>
    </w:p>
    <w:p w14:paraId="2783517A" w14:textId="480AFDB9" w:rsidR="004909B3" w:rsidRPr="008060F4" w:rsidRDefault="002F3161" w:rsidP="6F0D9D4B">
      <w:pPr>
        <w:spacing w:before="240" w:after="240"/>
        <w:rPr>
          <w:i/>
          <w:iCs/>
        </w:rPr>
      </w:pPr>
      <w:r w:rsidRPr="6F0D9D4B">
        <w:rPr>
          <w:i/>
          <w:iCs/>
        </w:rPr>
        <w:t>Q2: What do the visual narratives reveal about pedagogical approaches, professional knowledge, and contextual influences on elementary agricultural education implementation?</w:t>
      </w:r>
    </w:p>
    <w:p w14:paraId="61B587C5" w14:textId="4C55D9D6" w:rsidR="00853ED4" w:rsidRDefault="00853ED4" w:rsidP="6F0D9D4B">
      <w:pPr>
        <w:pStyle w:val="css-qffaiu"/>
        <w:ind w:firstLine="720"/>
      </w:pPr>
      <w:r>
        <w:t xml:space="preserve">Visual narratives reveal that agricultural education in </w:t>
      </w:r>
      <w:r w:rsidR="00544074">
        <w:t>Georgia</w:t>
      </w:r>
      <w:r>
        <w:t>’s elementary schools is dynamic and rooted in experiential learning. Teachers illustrated this through social media and interviews, emphasizing authentic, hands-on moments. As Mrs. Bennett explained, “One of my favorite parts of teaching agriculture is incorporating some of my farm animals into lessons! It’s amazing how much more excited the kids get about learning when there’s a live animal right there with them.” Instructional approaches varied across grade levels, with younger students exploring soil through sensory play and older students conducting structured scientific investigations. Posts documented students planting seeds, testing soil samples, and caring for classroom animals, showing how lessons connected to real-world agriculture. Mrs. Bennett’s class, for example, tested animal cognition by observing how “Sheep can recognize up to 50 faces</w:t>
      </w:r>
      <w:r w:rsidR="00DA4FE1">
        <w:t xml:space="preserve">, so </w:t>
      </w:r>
      <w:r>
        <w:t>our students tested this with Daisy, our ewe.” Teachers emphasized curiosity-driven exploration and integrated agricultural themes across subjects like science, math, and literacy. As Dr. Mitchell noted, “When I teach, I teach thematically within a theme,” reinforcing how agricultural contexts make learning relevant, interactive, and meaningful for students.</w:t>
      </w:r>
    </w:p>
    <w:p w14:paraId="1538617C" w14:textId="7DC84CB2" w:rsidR="00DB5A1A" w:rsidRDefault="00DB5A1A" w:rsidP="6F0D9D4B">
      <w:pPr>
        <w:pStyle w:val="css-qffaiu"/>
        <w:ind w:firstLine="720"/>
      </w:pPr>
      <w:r>
        <w:t>Educators leverage their professional knowledge to make complex agricultural concepts accessible. Ms. Carter highlighted the role of external resources, noting, “</w:t>
      </w:r>
      <w:r w:rsidR="007E5F07">
        <w:t xml:space="preserve">Georgia </w:t>
      </w:r>
      <w:r>
        <w:t>Farm Bureau... have done a great job of researching literature and pulling in activities that are easy to do and some worksheets that are related to those things.” Cross-curricular strategies blend agriculture with literacy and other subjects, expanding the reach of agricultural learning.</w:t>
      </w:r>
    </w:p>
    <w:p w14:paraId="6E846706" w14:textId="77777777" w:rsidR="00B21351" w:rsidRDefault="00B21351" w:rsidP="6F0D9D4B">
      <w:pPr>
        <w:spacing w:before="240" w:after="240"/>
        <w:ind w:firstLine="720"/>
        <w:rPr>
          <w:rStyle w:val="eop"/>
          <w:rFonts w:eastAsiaTheme="majorEastAsia"/>
          <w:color w:val="000000"/>
          <w:shd w:val="clear" w:color="auto" w:fill="FFFFFF"/>
        </w:rPr>
      </w:pPr>
      <w:r w:rsidRPr="6F0D9D4B">
        <w:rPr>
          <w:rStyle w:val="normaltextrun"/>
          <w:rFonts w:eastAsiaTheme="majorEastAsia"/>
          <w:color w:val="000000"/>
          <w:shd w:val="clear" w:color="auto" w:fill="FFFFFF"/>
        </w:rPr>
        <w:t>Contextual influences revealed a complex landscape of agricultural education, where each school's approach was uniquely shaped by local resources, community engagement, and environmental considerations. Resource acquisition emerged as a persistent challenge that demanded creative problem-solving. Mrs. Lawson candidly articulated the financial hurdles, noting, "Funding could be a big challenge. Whenever you're talking about this large-scale Ag programs that I have here." Yet, these constraints became catalysts for innovation, with teachers developing sophisticated strategies, weaving together grant writing, community partnerships, and resourceful adaptation to transform limitations into opportunities.</w:t>
      </w:r>
      <w:r w:rsidRPr="6F0D9D4B">
        <w:rPr>
          <w:rStyle w:val="eop"/>
          <w:rFonts w:eastAsiaTheme="majorEastAsia"/>
          <w:color w:val="000000"/>
          <w:shd w:val="clear" w:color="auto" w:fill="FFFFFF"/>
        </w:rPr>
        <w:t> </w:t>
      </w:r>
    </w:p>
    <w:p w14:paraId="176AD6D4" w14:textId="1078348B" w:rsidR="002F3161" w:rsidRPr="008060F4" w:rsidRDefault="002F3161" w:rsidP="7752C1B0">
      <w:pPr>
        <w:spacing w:before="240" w:after="240"/>
        <w:rPr>
          <w:i/>
          <w:iCs/>
        </w:rPr>
      </w:pPr>
      <w:r w:rsidRPr="7752C1B0">
        <w:rPr>
          <w:i/>
          <w:iCs/>
        </w:rPr>
        <w:lastRenderedPageBreak/>
        <w:t>Q</w:t>
      </w:r>
      <w:r w:rsidR="00673703" w:rsidRPr="7752C1B0">
        <w:rPr>
          <w:i/>
          <w:iCs/>
        </w:rPr>
        <w:t>3</w:t>
      </w:r>
      <w:r w:rsidRPr="7752C1B0">
        <w:rPr>
          <w:i/>
          <w:iCs/>
        </w:rPr>
        <w:t>: How do teachers construct shared understanding of elementary agricultural education through visual interactions on social media platforms?</w:t>
      </w:r>
    </w:p>
    <w:p w14:paraId="62018A63" w14:textId="77777777" w:rsidR="00D75552" w:rsidRDefault="00D75552" w:rsidP="6F0D9D4B">
      <w:pPr>
        <w:pStyle w:val="css-qffaiu"/>
        <w:ind w:firstLine="720"/>
      </w:pPr>
      <w:r>
        <w:t>Elementary teachers are constructing shared understanding of agricultural education through four distinct themes of visual interaction on social media platforms. The first theme, collaborative posting, serves as the primary mechanism for knowledge transfer, where educators transform individual classroom experiences into shareable content. Teachers regularly share agricultural lessons, like discussions about honeybees and pollination, creating a foundation for broader educational conversations and collective learning.</w:t>
      </w:r>
    </w:p>
    <w:p w14:paraId="7026EBBA" w14:textId="1C0571DA" w:rsidR="00D75552" w:rsidRDefault="00D75552" w:rsidP="009D0267">
      <w:pPr>
        <w:pStyle w:val="css-qffaiu"/>
        <w:ind w:firstLine="720"/>
      </w:pPr>
      <w:r>
        <w:t xml:space="preserve">The second theme, community engagement, functions as the connective tissue of these digital networks. Teachers use social media to build intricate webs of support that extend beyond traditional classroom boundaries, connecting with local farmers, parent volunteers, and agricultural professionals. As Mrs. </w:t>
      </w:r>
      <w:r w:rsidR="00DB5A1A">
        <w:t>Hayes</w:t>
      </w:r>
      <w:r>
        <w:t xml:space="preserve"> explained, "Social media was the ticket because it</w:t>
      </w:r>
      <w:r w:rsidR="00694DFB">
        <w:t xml:space="preserve"> </w:t>
      </w:r>
      <w:r>
        <w:t xml:space="preserve">I'm not from here. </w:t>
      </w:r>
      <w:r w:rsidR="007E5F07">
        <w:t>So,</w:t>
      </w:r>
      <w:r>
        <w:t xml:space="preserve"> we were able to share</w:t>
      </w:r>
      <w:r w:rsidR="004F4919">
        <w:t xml:space="preserve"> [needs]</w:t>
      </w:r>
      <w:r>
        <w:t xml:space="preserve"> on Facebook." This digital bridge enables teachers, particularly those new to their communities, to rapidly build meaningful agricultural connections and resources.</w:t>
      </w:r>
    </w:p>
    <w:p w14:paraId="202E30C3" w14:textId="6486E470" w:rsidR="00D75552" w:rsidRDefault="00D75552" w:rsidP="6F0D9D4B">
      <w:pPr>
        <w:pStyle w:val="css-qffaiu"/>
        <w:ind w:firstLine="720"/>
      </w:pPr>
      <w:r>
        <w:t>Interactive content emerges as the third theme, representing a sophisticated strategy for professional dialogue and collective learning. Teachers design digital experiences that invite participation, such as sharing group activities and table-based learning stations. As M</w:t>
      </w:r>
      <w:r w:rsidR="004F4919">
        <w:t xml:space="preserve">rs. Bennett </w:t>
      </w:r>
      <w:r>
        <w:t>described, "I have split them up into groups. So</w:t>
      </w:r>
      <w:r w:rsidR="004F4919">
        <w:t>,</w:t>
      </w:r>
      <w:r>
        <w:t xml:space="preserve"> there's like 20 kids. I'm going to put 5 kids at each table</w:t>
      </w:r>
      <w:r w:rsidR="00A315C1">
        <w:t>,</w:t>
      </w:r>
      <w:r>
        <w:t xml:space="preserve"> and at each table, I'm going to have a different activity that goes with our lesson." Through questions, polls, and classroom challenges, teachers build a dynamic environment for shared understanding and professional growth.</w:t>
      </w:r>
    </w:p>
    <w:p w14:paraId="2CBEADCD" w14:textId="6E72C315" w:rsidR="0036650C" w:rsidRPr="008060F4" w:rsidRDefault="00D75552" w:rsidP="6F0D9D4B">
      <w:pPr>
        <w:pStyle w:val="css-qffaiu"/>
        <w:ind w:firstLine="720"/>
      </w:pPr>
      <w:r>
        <w:t xml:space="preserve">The fourth theme, accelerated professional development, manifests through these digital networks as teachers connect, share experiences, and continuously refine their pedagogical approaches. </w:t>
      </w:r>
      <w:r w:rsidR="004F4919">
        <w:t>Dr. Mitchell</w:t>
      </w:r>
      <w:r>
        <w:t>'s experience of creating and compiling numerous lessons exemplifies how these platforms facilitate ongoing learning and collaborative innovation. Together, these four themes create an interconnected landscape where agricultural knowledge flows freely across digital spaces, transforming social media from a simple communication tool into a powerful platform for collective professional growth and educational innovation.</w:t>
      </w:r>
    </w:p>
    <w:p w14:paraId="3A4003FA" w14:textId="388AD758" w:rsidR="00924BB8" w:rsidRPr="008060F4" w:rsidRDefault="00924BB8" w:rsidP="6F0D9D4B">
      <w:pPr>
        <w:spacing w:before="240" w:after="240"/>
        <w:jc w:val="center"/>
        <w:rPr>
          <w:b/>
          <w:bCs/>
        </w:rPr>
      </w:pPr>
      <w:r w:rsidRPr="6F0D9D4B">
        <w:rPr>
          <w:b/>
          <w:bCs/>
        </w:rPr>
        <w:t>Conclusion</w:t>
      </w:r>
    </w:p>
    <w:p w14:paraId="55D896D6" w14:textId="4B0FEDC9" w:rsidR="0000652D" w:rsidRDefault="0000652D" w:rsidP="6F0D9D4B">
      <w:pPr>
        <w:pStyle w:val="css-qffaiu"/>
        <w:ind w:firstLine="720"/>
      </w:pPr>
      <w:r>
        <w:t xml:space="preserve">The intricate landscape of elementary agricultural education in </w:t>
      </w:r>
      <w:r w:rsidR="007E5F07">
        <w:t>Georgia</w:t>
      </w:r>
      <w:r>
        <w:t xml:space="preserve"> reveals a dynamic ecosystem of learning that extends beyond traditional classroom boundaries. Our research illuminates the complex ways teachers navigate pedagogical challenges, leveraging community </w:t>
      </w:r>
      <w:r w:rsidR="69406DE0">
        <w:t>resources,</w:t>
      </w:r>
      <w:r>
        <w:t xml:space="preserve"> and digital platforms to create educational experiences. These findings strongly align with Situated Learning Theory (Lave &amp; Wenger, 1991), which emphasizes learning as embedded in authentic contexts and social interactions. Teachers’ use of Instagram to share agricultural lessons reflects legitimate peripheral participation, where educators gradually move from isolated practice toward active engagement in a broader professional community. Similarly, the emergence of collaborative networks on social media mirrors the principles of </w:t>
      </w:r>
      <w:r>
        <w:lastRenderedPageBreak/>
        <w:t>Communities of Practice (Wenger, 1998), as teachers co-construct knowledge through mutual engagement, shared goals, and common repertoires of resources.</w:t>
      </w:r>
    </w:p>
    <w:p w14:paraId="711F7066" w14:textId="20D1E138" w:rsidR="0000652D" w:rsidRDefault="0000652D" w:rsidP="6F0D9D4B">
      <w:pPr>
        <w:pStyle w:val="css-qffaiu"/>
        <w:ind w:firstLine="720"/>
      </w:pPr>
      <w:r>
        <w:t>By examining visual narratives on social media, this study demonstrates how professional development is no longer confined to traditional workshops but exists in digital spaces of collective imagination. These findings echo prior research on virtual professional learning networks (Goodyear et al., 2019</w:t>
      </w:r>
      <w:r w:rsidR="007E5F07">
        <w:t xml:space="preserve">; </w:t>
      </w:r>
      <w:r w:rsidR="007E5F07">
        <w:t>Staudt Willet, 2023</w:t>
      </w:r>
      <w:r>
        <w:t>), which documented the effectiveness of social media in fostering collaboration and resource exchange among educators. Our participants’ experiences reinforce these insights, showing that Instagram served not only as a platform for showcasing classroom activities but also as a mechanism for problem-solving, idea generation, and identity development within the agricultural education community.</w:t>
      </w:r>
    </w:p>
    <w:p w14:paraId="7ECC7E2B" w14:textId="0AD05BA8" w:rsidR="00264371" w:rsidRDefault="00BC479E" w:rsidP="6F0D9D4B">
      <w:pPr>
        <w:pStyle w:val="css-qffaiu"/>
        <w:ind w:firstLine="720"/>
      </w:pPr>
      <w:r>
        <w:t>Extending this perspective, our findings suggest that elementary teachers are not merely sharing agricultural lesson</w:t>
      </w:r>
      <w:r w:rsidR="17B377AE">
        <w:t>s</w:t>
      </w:r>
      <w:r>
        <w:t xml:space="preserve"> online, they are collaboratively co-creating a distributed, living curriculum for elementary agricultural education. </w:t>
      </w:r>
      <w:r w:rsidR="006E5540">
        <w:t xml:space="preserve">Through the ongoing exchange of lesson ideas, images, and reflection, teachers adapt and reimagine agricultural content to fit diverse local contexts while sustaining an active professional community. </w:t>
      </w:r>
      <w:r w:rsidR="009667A1">
        <w:t xml:space="preserve">This process transforms curriculum development from a top-down dissemination model into a participatory, iterative, </w:t>
      </w:r>
      <w:r w:rsidR="006D7D4B">
        <w:t xml:space="preserve">and contextually responsive practice. </w:t>
      </w:r>
      <w:r w:rsidR="00667FF9">
        <w:t>For instance, a</w:t>
      </w:r>
      <w:r w:rsidR="003D470A">
        <w:t xml:space="preserve"> </w:t>
      </w:r>
      <w:r w:rsidR="00667FF9">
        <w:t xml:space="preserve">pollinator lesson shared on social media might be taught in one school through the lens of </w:t>
      </w:r>
      <w:r w:rsidR="0078020B">
        <w:t xml:space="preserve">watermelons and another teacher modifies the lesson for her students through the lens of </w:t>
      </w:r>
      <w:r w:rsidR="00B4116C">
        <w:t xml:space="preserve">apples, reflecting both regional agricultural realities and teacher’s creative agency. </w:t>
      </w:r>
    </w:p>
    <w:p w14:paraId="40828D79" w14:textId="19860AED" w:rsidR="0000652D" w:rsidRDefault="0000652D" w:rsidP="6F0D9D4B">
      <w:pPr>
        <w:pStyle w:val="css-qffaiu"/>
        <w:ind w:firstLine="720"/>
      </w:pPr>
      <w:r>
        <w:t xml:space="preserve">The implications extend beyond agricultural education, suggesting a transformative model for professional learning that integrates digital technologies with experiential pedagogy. This approach resonates with earlier studies on school gardens and STEM integration (Graves et al., 2016), which highlighted the value of hands-on learning for conceptual understanding. Our findings build on this literature by illustrating how teachers amplify these benefits through social media, creating hybrid spaces where </w:t>
      </w:r>
      <w:r w:rsidR="0006557A">
        <w:t xml:space="preserve">digital collaboration intersects with classroom practice. </w:t>
      </w:r>
    </w:p>
    <w:p w14:paraId="6CB9C1BC" w14:textId="1F5A34C4" w:rsidR="00D837CB" w:rsidRDefault="00D837CB" w:rsidP="6F0D9D4B">
      <w:pPr>
        <w:pStyle w:val="css-qffaiu"/>
        <w:ind w:firstLine="720"/>
      </w:pPr>
      <w:r>
        <w:t xml:space="preserve">The researchers recommend building stronger support systems for elementary teachers in agricultural education. </w:t>
      </w:r>
      <w:r w:rsidR="0003328D">
        <w:t xml:space="preserve">Digital professional development provides ongoing opportunities for teachers to learn and share agricultural content in flexible, accessible ways. When paired with partnerships among schools, farmers, and local </w:t>
      </w:r>
      <w:r w:rsidR="00EF2D1B">
        <w:t xml:space="preserve">agricultural </w:t>
      </w:r>
      <w:r w:rsidR="0003328D">
        <w:t>businesses, these experiences make agricultural learning more relevant and tangible for students.</w:t>
      </w:r>
      <w:r w:rsidR="00E56190">
        <w:t xml:space="preserve"> In addition, establishing mentorship networks that connect </w:t>
      </w:r>
      <w:r w:rsidR="00053BDB">
        <w:t xml:space="preserve">experienced agricultural educators with elementary teachers can strengthen instructional confidence and sustain engagement over time. These peer-drive relationships </w:t>
      </w:r>
      <w:r w:rsidR="00974909">
        <w:t>encourage continued idea exchange, collaborative problem solving</w:t>
      </w:r>
      <w:r w:rsidR="0B13F49F">
        <w:t>,</w:t>
      </w:r>
      <w:r w:rsidR="00974909">
        <w:t xml:space="preserve"> and the integration of agriculture across disciplines. </w:t>
      </w:r>
    </w:p>
    <w:p w14:paraId="49355587" w14:textId="77C593AF" w:rsidR="004909B3" w:rsidRPr="008060F4" w:rsidRDefault="00B81711" w:rsidP="00B81711">
      <w:pPr>
        <w:ind w:firstLine="720"/>
        <w:rPr>
          <w:b/>
          <w:bCs/>
        </w:rPr>
      </w:pPr>
      <w:r w:rsidRPr="00B81711">
        <w:t xml:space="preserve">While the study’s focus on </w:t>
      </w:r>
      <w:r w:rsidR="005D10D7">
        <w:t>Georgia</w:t>
      </w:r>
      <w:r w:rsidRPr="00B81711">
        <w:t xml:space="preserve"> provides rich contextual insights, it also introduces limitations. Reliance on social media documentation may create selection bias, as teachers who share online do not represent all elementary educators. These constraints invite comparative studies across states to examine regional variations in elementary agricultural education and continued exploration of digital technologies in teacher learning. Ultimately, the study highlights the promise of collaborative learning rooted in the systems that sustain our communities.</w:t>
      </w:r>
    </w:p>
    <w:p w14:paraId="2767D974" w14:textId="1BB6A71A" w:rsidR="69EC8A09" w:rsidRPr="008060F4" w:rsidRDefault="003E2156" w:rsidP="008060F4">
      <w:pPr>
        <w:jc w:val="center"/>
        <w:rPr>
          <w:b/>
          <w:bCs/>
        </w:rPr>
      </w:pPr>
      <w:r w:rsidRPr="008060F4">
        <w:rPr>
          <w:b/>
          <w:bCs/>
        </w:rPr>
        <w:lastRenderedPageBreak/>
        <w:t>References</w:t>
      </w:r>
    </w:p>
    <w:p w14:paraId="6C6DE277" w14:textId="77777777" w:rsidR="00AC72EB" w:rsidRPr="008060F4" w:rsidRDefault="00AC72EB" w:rsidP="008060F4">
      <w:pPr>
        <w:jc w:val="center"/>
        <w:rPr>
          <w:b/>
          <w:bCs/>
        </w:rPr>
      </w:pPr>
    </w:p>
    <w:p w14:paraId="360EA4BF" w14:textId="54BE68B2" w:rsidR="00774355" w:rsidRDefault="00B655A9" w:rsidP="00C12A08">
      <w:pPr>
        <w:ind w:left="720" w:hanging="720"/>
        <w:rPr>
          <w:highlight w:val="white"/>
        </w:rPr>
      </w:pPr>
      <w:r w:rsidRPr="008060F4">
        <w:t xml:space="preserve">American Association for Agricultural Education. (2023). AAAE research values. </w:t>
      </w:r>
      <w:r w:rsidRPr="004130EA">
        <w:rPr>
          <w:rFonts w:eastAsiaTheme="majorEastAsia"/>
        </w:rPr>
        <w:t>https://aaaeonline.org/National-Research-Values</w:t>
      </w:r>
    </w:p>
    <w:p w14:paraId="716B41F8" w14:textId="0E358F34" w:rsidR="00774355" w:rsidRDefault="002424A5" w:rsidP="003A7255">
      <w:pPr>
        <w:ind w:left="720" w:hanging="720"/>
        <w:rPr>
          <w:color w:val="000000" w:themeColor="text1"/>
          <w:highlight w:val="white"/>
        </w:rPr>
      </w:pPr>
      <w:r w:rsidRPr="002424A5">
        <w:rPr>
          <w:color w:val="000000" w:themeColor="text1"/>
          <w:highlight w:val="white"/>
        </w:rPr>
        <w:t xml:space="preserve">Bach, H. (2007). </w:t>
      </w:r>
      <w:r w:rsidRPr="002424A5">
        <w:rPr>
          <w:i/>
          <w:iCs/>
          <w:color w:val="000000" w:themeColor="text1"/>
          <w:highlight w:val="white"/>
        </w:rPr>
        <w:t>Composing a visual narrative inquiry into teacher education.</w:t>
      </w:r>
      <w:r w:rsidRPr="002424A5">
        <w:rPr>
          <w:color w:val="000000" w:themeColor="text1"/>
          <w:highlight w:val="white"/>
        </w:rPr>
        <w:t xml:space="preserve"> In D. J. </w:t>
      </w:r>
      <w:proofErr w:type="spellStart"/>
      <w:r w:rsidRPr="002424A5">
        <w:rPr>
          <w:color w:val="000000" w:themeColor="text1"/>
          <w:highlight w:val="white"/>
        </w:rPr>
        <w:t>Clandinin</w:t>
      </w:r>
      <w:proofErr w:type="spellEnd"/>
      <w:r w:rsidRPr="002424A5">
        <w:rPr>
          <w:color w:val="000000" w:themeColor="text1"/>
          <w:highlight w:val="white"/>
        </w:rPr>
        <w:t xml:space="preserve"> (Ed.), </w:t>
      </w:r>
      <w:r w:rsidRPr="002424A5">
        <w:rPr>
          <w:i/>
          <w:iCs/>
          <w:color w:val="000000" w:themeColor="text1"/>
          <w:highlight w:val="white"/>
        </w:rPr>
        <w:t>Handbook of narrative inquiry: Mapping a methodology</w:t>
      </w:r>
      <w:r w:rsidRPr="002424A5">
        <w:rPr>
          <w:color w:val="000000" w:themeColor="text1"/>
          <w:highlight w:val="white"/>
        </w:rPr>
        <w:t xml:space="preserve"> (pp. 280–307). SAGE Publications. https://doi.org/10.4135/9781452226552.n11</w:t>
      </w:r>
    </w:p>
    <w:p w14:paraId="27567C17" w14:textId="582070B5" w:rsidR="00774355" w:rsidRPr="00F932B6" w:rsidRDefault="000459EE" w:rsidP="003A7255">
      <w:pPr>
        <w:ind w:left="720" w:hanging="720"/>
        <w:rPr>
          <w:color w:val="000000" w:themeColor="text1"/>
        </w:rPr>
      </w:pPr>
      <w:r w:rsidRPr="00F932B6">
        <w:rPr>
          <w:color w:val="000000" w:themeColor="text1"/>
        </w:rPr>
        <w:t>Bailey, H.</w:t>
      </w:r>
      <w:r w:rsidR="00BF765D" w:rsidRPr="00F932B6">
        <w:rPr>
          <w:color w:val="000000" w:themeColor="text1"/>
        </w:rPr>
        <w:t xml:space="preserve"> </w:t>
      </w:r>
      <w:r w:rsidRPr="00F932B6">
        <w:rPr>
          <w:color w:val="000000" w:themeColor="text1"/>
        </w:rPr>
        <w:t>A. (2021). </w:t>
      </w:r>
      <w:r w:rsidRPr="00F932B6">
        <w:rPr>
          <w:i/>
          <w:color w:val="000000" w:themeColor="text1"/>
        </w:rPr>
        <w:t>A needs assessment of Georgia elementary agriculture education </w:t>
      </w:r>
      <w:r w:rsidRPr="00F932B6">
        <w:rPr>
          <w:color w:val="000000" w:themeColor="text1"/>
        </w:rPr>
        <w:t xml:space="preserve">(Publication No. 28411331). [Master’s thesis, University of Georgia]. </w:t>
      </w:r>
      <w:sdt>
        <w:sdtPr>
          <w:rPr>
            <w:color w:val="000000" w:themeColor="text1"/>
          </w:rPr>
          <w:tag w:val="tii-similarity-U1VCTUlUVEVEX1dPUktfb2lkOjE6Mjg5ODA5NDUyNQ=="/>
          <w:id w:val="1640382043"/>
          <w:placeholder>
            <w:docPart w:val="DefaultPlaceholder_-1854013440"/>
          </w:placeholder>
          <w15:appearance w15:val="hidden"/>
        </w:sdtPr>
        <w:sdtEndPr/>
        <w:sdtContent>
          <w:r w:rsidRPr="00F932B6">
            <w:rPr>
              <w:color w:val="000000" w:themeColor="text1"/>
            </w:rPr>
            <w:t>Dissertations &amp; Theses Global. https://www.proquest.com/dissertations-theses/needs-</w:t>
          </w:r>
        </w:sdtContent>
      </w:sdt>
      <w:sdt>
        <w:sdtPr>
          <w:rPr>
            <w:color w:val="000000" w:themeColor="text1"/>
          </w:rPr>
          <w:tag w:val="tii-similarity-U1VCTUlUVEVEX1dPUktfb2lkOjE6Mjg5ODA5NDUyNQ=="/>
          <w:id w:val="-551536531"/>
          <w:placeholder>
            <w:docPart w:val="DefaultPlaceholder_-1854013440"/>
          </w:placeholder>
          <w15:appearance w15:val="hidden"/>
        </w:sdtPr>
        <w:sdtEndPr/>
        <w:sdtContent>
          <w:r w:rsidRPr="00F932B6">
            <w:rPr>
              <w:color w:val="000000" w:themeColor="text1"/>
            </w:rPr>
            <w:t>assessment-georgia-elementary-agriculture/docview/2575037192/se-2</w:t>
          </w:r>
        </w:sdtContent>
      </w:sdt>
      <w:r w:rsidRPr="00F932B6">
        <w:rPr>
          <w:color w:val="000000" w:themeColor="text1"/>
        </w:rPr>
        <w:t> </w:t>
      </w:r>
    </w:p>
    <w:p w14:paraId="7CB665DB" w14:textId="408F5719" w:rsidR="003E2156" w:rsidRPr="00F932B6" w:rsidRDefault="00492EA1" w:rsidP="00F13845">
      <w:pPr>
        <w:ind w:left="720" w:hanging="720"/>
        <w:rPr>
          <w:rStyle w:val="Hyperlink"/>
        </w:rPr>
      </w:pPr>
      <w:sdt>
        <w:sdtPr>
          <w:rPr>
            <w:color w:val="467886"/>
            <w:u w:val="single"/>
          </w:rPr>
          <w:tag w:val="tii-similarity-SU5URVJORVRfamFlLW9ubGluZS5vcmc="/>
          <w:id w:val="1840579907"/>
          <w:placeholder>
            <w:docPart w:val="DefaultPlaceholder_-1854013440"/>
          </w:placeholder>
          <w15:appearance w15:val="hidden"/>
        </w:sdtPr>
        <w:sdtEndPr/>
        <w:sdtContent>
          <w:proofErr w:type="spellStart"/>
          <w:r w:rsidR="003E2156" w:rsidRPr="00F932B6">
            <w:t>Balschweid</w:t>
          </w:r>
          <w:proofErr w:type="spellEnd"/>
          <w:r w:rsidR="003E2156" w:rsidRPr="00F932B6">
            <w:t>, M. A., Thompson, G. K., &amp; Cole, R. L. (1998). The effects of an</w:t>
          </w:r>
        </w:sdtContent>
      </w:sdt>
      <w:r w:rsidR="413C2DAA" w:rsidRPr="00F932B6">
        <w:t xml:space="preserve"> </w:t>
      </w:r>
      <w:sdt>
        <w:sdtPr>
          <w:tag w:val="tii-similarity-SU5URVJORVRfamFlLW9ubGluZS5vcmc="/>
          <w:id w:val="-1781788426"/>
          <w:placeholder>
            <w:docPart w:val="DefaultPlaceholder_-1854013440"/>
          </w:placeholder>
          <w15:appearance w15:val="hidden"/>
        </w:sdtPr>
        <w:sdtEndPr>
          <w:rPr>
            <w:i/>
            <w:iCs/>
          </w:rPr>
        </w:sdtEndPr>
        <w:sdtContent>
          <w:r w:rsidR="003E2156" w:rsidRPr="00F932B6">
            <w:t>agricultural literacy treatment on participating k-12 teachers and their</w:t>
          </w:r>
          <w:r w:rsidR="413C2DAA" w:rsidRPr="00F932B6">
            <w:t xml:space="preserve"> </w:t>
          </w:r>
          <w:r w:rsidR="003E2156" w:rsidRPr="00F932B6">
            <w:t xml:space="preserve">curricula. </w:t>
          </w:r>
          <w:r w:rsidR="003E2156" w:rsidRPr="00F932B6">
            <w:rPr>
              <w:i/>
              <w:iCs/>
            </w:rPr>
            <w:t>Journal</w:t>
          </w:r>
        </w:sdtContent>
      </w:sdt>
      <w:r w:rsidR="003E2156" w:rsidRPr="00F932B6">
        <w:rPr>
          <w:i/>
          <w:iCs/>
        </w:rPr>
        <w:t xml:space="preserve"> </w:t>
      </w:r>
      <w:sdt>
        <w:sdtPr>
          <w:rPr>
            <w:i/>
            <w:iCs/>
            <w:color w:val="000000" w:themeColor="text1"/>
          </w:rPr>
          <w:tag w:val="tii-similarity-SU5URVJORVRfamFlLW9ubGluZS5vcmc="/>
          <w:id w:val="1865088396"/>
          <w:placeholder>
            <w:docPart w:val="DefaultPlaceholder_-1854013440"/>
          </w:placeholder>
          <w15:appearance w15:val="hidden"/>
        </w:sdtPr>
        <w:sdtEndPr>
          <w:rPr>
            <w:rStyle w:val="Hyperlink"/>
            <w:i w:val="0"/>
            <w:iCs w:val="0"/>
            <w:u w:val="single"/>
          </w:rPr>
        </w:sdtEndPr>
        <w:sdtContent>
          <w:r w:rsidR="003E2156" w:rsidRPr="009453D9">
            <w:rPr>
              <w:i/>
              <w:iCs/>
              <w:color w:val="000000" w:themeColor="text1"/>
            </w:rPr>
            <w:t>of Agricultural Education, 39</w:t>
          </w:r>
          <w:r w:rsidR="003E2156" w:rsidRPr="009453D9">
            <w:rPr>
              <w:color w:val="000000" w:themeColor="text1"/>
            </w:rPr>
            <w:t xml:space="preserve">(4), 1–10. </w:t>
          </w:r>
          <w:r w:rsidR="413C2DAA" w:rsidRPr="009453D9">
            <w:rPr>
              <w:color w:val="000000" w:themeColor="text1"/>
            </w:rPr>
            <w:t>https://doi.org/</w:t>
          </w:r>
          <w:r w:rsidR="413C2DAA" w:rsidRPr="009453D9">
            <w:rPr>
              <w:rStyle w:val="Hyperlink"/>
              <w:color w:val="000000" w:themeColor="text1"/>
              <w:u w:val="none"/>
            </w:rPr>
            <w:t>10.5032/jae.1998.04001</w:t>
          </w:r>
        </w:sdtContent>
      </w:sdt>
    </w:p>
    <w:p w14:paraId="0965B8FD" w14:textId="5AFF5A7C" w:rsidR="003E2156" w:rsidRPr="00F932B6" w:rsidRDefault="00492EA1" w:rsidP="00F13845">
      <w:pPr>
        <w:ind w:left="720" w:hanging="720"/>
        <w:rPr>
          <w:rStyle w:val="Hyperlink"/>
        </w:rPr>
      </w:pPr>
      <w:sdt>
        <w:sdtPr>
          <w:rPr>
            <w:color w:val="467886"/>
            <w:u w:val="single"/>
          </w:rPr>
          <w:tag w:val="tii-similarity-U1VCTUlUVEVEX1dPUktfb2lkOjI6NzUxNjAwMjgx"/>
          <w:id w:val="2009241871"/>
          <w:placeholder>
            <w:docPart w:val="DefaultPlaceholder_-1854013440"/>
          </w:placeholder>
          <w15:appearance w15:val="hidden"/>
        </w:sdtPr>
        <w:sdtEndPr/>
        <w:sdtContent>
          <w:r w:rsidR="003E2156" w:rsidRPr="00F932B6">
            <w:t>Bell, R. L., Maeng, J. L., &amp; Binns, I. C. (2013). Learning in context: Technology</w:t>
          </w:r>
        </w:sdtContent>
      </w:sdt>
      <w:r w:rsidR="003E2156" w:rsidRPr="00F932B6">
        <w:t xml:space="preserve"> </w:t>
      </w:r>
      <w:sdt>
        <w:sdtPr>
          <w:tag w:val="tii-similarity-U1VCTUlUVEVEX1dPUktfb2lkOjI6NzUxNjAwMjgx"/>
          <w:id w:val="-34048475"/>
          <w:placeholder>
            <w:docPart w:val="DefaultPlaceholder_-1854013440"/>
          </w:placeholder>
          <w15:appearance w15:val="hidden"/>
        </w:sdtPr>
        <w:sdtEndPr/>
        <w:sdtContent>
          <w:r w:rsidR="003E2156" w:rsidRPr="00F932B6">
            <w:t>integration in a teacher preparation program informed by situated learning theory.</w:t>
          </w:r>
        </w:sdtContent>
      </w:sdt>
      <w:r w:rsidR="003E2156" w:rsidRPr="00F932B6">
        <w:t xml:space="preserve"> </w:t>
      </w:r>
      <w:sdt>
        <w:sdtPr>
          <w:tag w:val="tii-similarity-U1VCTUlUVEVEX1dPUktfb2lkOjI6NzUxNjAwMjgx"/>
          <w:id w:val="610250116"/>
          <w:placeholder>
            <w:docPart w:val="DefaultPlaceholder_-1854013440"/>
          </w:placeholder>
          <w15:appearance w15:val="hidden"/>
        </w:sdtPr>
        <w:sdtEndPr/>
        <w:sdtContent>
          <w:r w:rsidR="003E2156" w:rsidRPr="00F932B6">
            <w:rPr>
              <w:i/>
            </w:rPr>
            <w:t>Journal of Research in Science Teaching, 50</w:t>
          </w:r>
          <w:r w:rsidR="003E2156" w:rsidRPr="00F932B6">
            <w:t>(3), 348-379.</w:t>
          </w:r>
        </w:sdtContent>
      </w:sdt>
      <w:r w:rsidR="003E2156" w:rsidRPr="00F932B6">
        <w:t xml:space="preserve"> </w:t>
      </w:r>
      <w:sdt>
        <w:sdtPr>
          <w:tag w:val="tii-similarity-U1VCTUlUVEVEX1dPUktfb2lkOjI6NzUxNjAwMjgx"/>
          <w:id w:val="1617641855"/>
          <w:placeholder>
            <w:docPart w:val="DefaultPlaceholder_-1854013440"/>
          </w:placeholder>
          <w15:appearance w15:val="hidden"/>
        </w:sdtPr>
        <w:sdtEndPr/>
        <w:sdtContent>
          <w:r w:rsidR="003E2156" w:rsidRPr="004130EA">
            <w:t>https://doi.org/10.1002/tea.21075</w:t>
          </w:r>
        </w:sdtContent>
      </w:sdt>
    </w:p>
    <w:p w14:paraId="5A1B9F36" w14:textId="2E3A442C" w:rsidR="003E2156" w:rsidRPr="00F932B6" w:rsidRDefault="003E2156" w:rsidP="00F13845">
      <w:pPr>
        <w:ind w:left="720" w:hanging="720"/>
        <w:rPr>
          <w:rStyle w:val="Hyperlink"/>
        </w:rPr>
      </w:pPr>
      <w:r w:rsidRPr="00F932B6">
        <w:t>Bella</w:t>
      </w:r>
      <w:r w:rsidR="008B6931" w:rsidRPr="00F932B6">
        <w:t>h</w:t>
      </w:r>
      <w:r w:rsidRPr="00F932B6">
        <w:t xml:space="preserve">, B. </w:t>
      </w:r>
      <w:sdt>
        <w:sdtPr>
          <w:tag w:val="tii-similarity-U1VCTUlUVEVEX1dPUktfb2lkOjE6Mjg5ODA5NDUyNQ=="/>
          <w:id w:val="853841417"/>
          <w:placeholder>
            <w:docPart w:val="DefaultPlaceholder_-1854013440"/>
          </w:placeholder>
          <w15:appearance w15:val="hidden"/>
        </w:sdtPr>
        <w:sdtEndPr/>
        <w:sdtContent>
          <w:r w:rsidRPr="00F932B6">
            <w:t>A., &amp; Dyer, J. E. (2009). Attitudes and stages of concern of elementary</w:t>
          </w:r>
        </w:sdtContent>
      </w:sdt>
      <w:r w:rsidRPr="00F932B6">
        <w:t xml:space="preserve"> </w:t>
      </w:r>
      <w:sdt>
        <w:sdtPr>
          <w:tag w:val="tii-similarity-U1VCTUlUVEVEX1dPUktfb2lkOjE6Mjg5ODA5NDUyNQ=="/>
          <w:id w:val="1929072719"/>
          <w:placeholder>
            <w:docPart w:val="DefaultPlaceholder_-1854013440"/>
          </w:placeholder>
          <w15:appearance w15:val="hidden"/>
        </w:sdtPr>
        <w:sdtEndPr/>
        <w:sdtContent>
          <w:r w:rsidRPr="00F932B6">
            <w:t>teachers toward agriculture as a context for teaching across grade level content area</w:t>
          </w:r>
        </w:sdtContent>
      </w:sdt>
      <w:r w:rsidRPr="00F932B6">
        <w:t xml:space="preserve"> </w:t>
      </w:r>
      <w:sdt>
        <w:sdtPr>
          <w:tag w:val="tii-similarity-U1VCTUlUVEVEX1dPUktfb2lkOjE6Mjg5ODA5NDUyNQ=="/>
          <w:id w:val="-341701726"/>
          <w:placeholder>
            <w:docPart w:val="DefaultPlaceholder_-1854013440"/>
          </w:placeholder>
          <w15:appearance w15:val="hidden"/>
        </w:sdtPr>
        <w:sdtEndPr>
          <w:rPr>
            <w:i/>
          </w:rPr>
        </w:sdtEndPr>
        <w:sdtContent>
          <w:r w:rsidRPr="00F932B6">
            <w:t xml:space="preserve">standards. </w:t>
          </w:r>
          <w:r w:rsidRPr="00F932B6">
            <w:rPr>
              <w:i/>
            </w:rPr>
            <w:t>Journal of Agricultural Education</w:t>
          </w:r>
        </w:sdtContent>
      </w:sdt>
      <w:r w:rsidRPr="00F932B6">
        <w:rPr>
          <w:i/>
          <w:iCs/>
        </w:rPr>
        <w:t>, 47</w:t>
      </w:r>
      <w:r w:rsidRPr="00F932B6">
        <w:t xml:space="preserve">(4), 12-26. </w:t>
      </w:r>
      <w:sdt>
        <w:sdtPr>
          <w:tag w:val="tii-similarity-U1VCTUlUVEVEX1dPUktfb2lkOjE6Mjg5ODA5NDUyNQ=="/>
          <w:id w:val="-1425335601"/>
          <w:placeholder>
            <w:docPart w:val="DefaultPlaceholder_-1854013440"/>
          </w:placeholder>
          <w15:appearance w15:val="hidden"/>
        </w:sdtPr>
        <w:sdtEndPr/>
        <w:sdtContent>
          <w:r w:rsidRPr="004130EA">
            <w:t>https://doi.org/10.5032/jae.2009.02012</w:t>
          </w:r>
        </w:sdtContent>
      </w:sdt>
    </w:p>
    <w:p w14:paraId="241E78AF" w14:textId="6073F889" w:rsidR="00B56A92" w:rsidRPr="00F932B6" w:rsidRDefault="00B56A92" w:rsidP="008060F4">
      <w:pPr>
        <w:ind w:left="720" w:hanging="720"/>
        <w:rPr>
          <w:color w:val="000000" w:themeColor="text1"/>
        </w:rPr>
      </w:pPr>
      <w:r w:rsidRPr="00F932B6">
        <w:rPr>
          <w:color w:val="000000" w:themeColor="text1"/>
        </w:rPr>
        <w:t>Boone, J.</w:t>
      </w:r>
      <w:r w:rsidR="00BF765D" w:rsidRPr="00F932B6">
        <w:rPr>
          <w:color w:val="000000" w:themeColor="text1"/>
        </w:rPr>
        <w:t xml:space="preserve"> </w:t>
      </w:r>
      <w:r w:rsidR="002E2082" w:rsidRPr="00F932B6">
        <w:rPr>
          <w:color w:val="000000" w:themeColor="text1"/>
        </w:rPr>
        <w:t>H.</w:t>
      </w:r>
      <w:r w:rsidRPr="00F932B6">
        <w:rPr>
          <w:color w:val="000000" w:themeColor="text1"/>
        </w:rPr>
        <w:t xml:space="preserve">, </w:t>
      </w:r>
      <w:r w:rsidR="531F0F87" w:rsidRPr="00F932B6">
        <w:rPr>
          <w:color w:val="000000" w:themeColor="text1"/>
        </w:rPr>
        <w:t>&amp;</w:t>
      </w:r>
      <w:r w:rsidR="68B6167E" w:rsidRPr="00F932B6">
        <w:rPr>
          <w:color w:val="000000" w:themeColor="text1"/>
        </w:rPr>
        <w:t xml:space="preserve"> </w:t>
      </w:r>
      <w:r w:rsidRPr="00F932B6">
        <w:rPr>
          <w:color w:val="000000" w:themeColor="text1"/>
        </w:rPr>
        <w:t>Peake, J.</w:t>
      </w:r>
      <w:r w:rsidR="00BF765D" w:rsidRPr="00F932B6">
        <w:rPr>
          <w:color w:val="000000" w:themeColor="text1"/>
        </w:rPr>
        <w:t xml:space="preserve"> </w:t>
      </w:r>
      <w:r w:rsidR="1648F565" w:rsidRPr="00F932B6">
        <w:rPr>
          <w:color w:val="000000" w:themeColor="text1"/>
        </w:rPr>
        <w:t>B</w:t>
      </w:r>
      <w:r w:rsidR="002E2082" w:rsidRPr="00F932B6">
        <w:rPr>
          <w:color w:val="000000" w:themeColor="text1"/>
        </w:rPr>
        <w:t>.</w:t>
      </w:r>
      <w:r w:rsidRPr="00F932B6">
        <w:rPr>
          <w:color w:val="000000" w:themeColor="text1"/>
        </w:rPr>
        <w:t xml:space="preserve"> (2024). </w:t>
      </w:r>
      <w:sdt>
        <w:sdtPr>
          <w:rPr>
            <w:color w:val="000000" w:themeColor="text1"/>
          </w:rPr>
          <w:tag w:val="tii-similarity-U1VCTUlUVEVEX1dPUktfb2lkOjE6Mjg5ODA5NDUyNQ=="/>
          <w:id w:val="-547454149"/>
          <w:placeholder>
            <w:docPart w:val="DefaultPlaceholder_-1854013440"/>
          </w:placeholder>
          <w15:appearance w15:val="hidden"/>
        </w:sdtPr>
        <w:sdtEndPr/>
        <w:sdtContent>
          <w:r w:rsidRPr="00F932B6">
            <w:rPr>
              <w:color w:val="000000" w:themeColor="text1"/>
            </w:rPr>
            <w:t>Seeding the future: Cultivating a research</w:t>
          </w:r>
          <w:r w:rsidR="68B6167E" w:rsidRPr="00F932B6">
            <w:rPr>
              <w:color w:val="000000" w:themeColor="text1"/>
            </w:rPr>
            <w:t xml:space="preserve"> </w:t>
          </w:r>
          <w:r w:rsidRPr="00F932B6">
            <w:rPr>
              <w:color w:val="000000" w:themeColor="text1"/>
            </w:rPr>
            <w:t>agenda in</w:t>
          </w:r>
        </w:sdtContent>
      </w:sdt>
      <w:r w:rsidRPr="00F932B6">
        <w:rPr>
          <w:color w:val="000000" w:themeColor="text1"/>
        </w:rPr>
        <w:t xml:space="preserve"> </w:t>
      </w:r>
      <w:sdt>
        <w:sdtPr>
          <w:rPr>
            <w:color w:val="000000" w:themeColor="text1"/>
          </w:rPr>
          <w:tag w:val="tii-similarity-U1VCTUlUVEVEX1dPUktfb2lkOjE6Mjg5ODA5NDUyNQ=="/>
          <w:id w:val="2033461108"/>
          <w:placeholder>
            <w:docPart w:val="DefaultPlaceholder_-1854013440"/>
          </w:placeholder>
          <w15:appearance w15:val="hidden"/>
        </w:sdtPr>
        <w:sdtEndPr>
          <w:rPr>
            <w:i/>
            <w:iCs/>
          </w:rPr>
        </w:sdtEndPr>
        <w:sdtContent>
          <w:r w:rsidRPr="00F932B6">
            <w:rPr>
              <w:color w:val="000000" w:themeColor="text1"/>
            </w:rPr>
            <w:t xml:space="preserve">elementary agricultural education. </w:t>
          </w:r>
          <w:r w:rsidRPr="00F932B6">
            <w:rPr>
              <w:i/>
              <w:iCs/>
              <w:color w:val="000000" w:themeColor="text1"/>
            </w:rPr>
            <w:t>Proceedings of the National AAAE</w:t>
          </w:r>
          <w:r w:rsidR="68B6167E" w:rsidRPr="00F932B6">
            <w:rPr>
              <w:i/>
              <w:iCs/>
              <w:color w:val="000000" w:themeColor="text1"/>
            </w:rPr>
            <w:t xml:space="preserve"> </w:t>
          </w:r>
          <w:r w:rsidRPr="00F932B6">
            <w:rPr>
              <w:i/>
              <w:iCs/>
              <w:color w:val="000000" w:themeColor="text1"/>
            </w:rPr>
            <w:t>Research</w:t>
          </w:r>
        </w:sdtContent>
      </w:sdt>
      <w:r w:rsidRPr="00F932B6">
        <w:rPr>
          <w:i/>
          <w:iCs/>
          <w:color w:val="000000" w:themeColor="text1"/>
        </w:rPr>
        <w:t xml:space="preserve"> </w:t>
      </w:r>
      <w:sdt>
        <w:sdtPr>
          <w:rPr>
            <w:i/>
            <w:iCs/>
            <w:color w:val="000000" w:themeColor="text1"/>
          </w:rPr>
          <w:tag w:val="tii-similarity-U1VCTUlUVEVEX1dPUktfb2lkOjE6Mjg5ODA5NDUyNQ=="/>
          <w:id w:val="-1205558802"/>
          <w:placeholder>
            <w:docPart w:val="DefaultPlaceholder_-1854013440"/>
          </w:placeholder>
          <w15:appearance w15:val="hidden"/>
        </w:sdtPr>
        <w:sdtEndPr>
          <w:rPr>
            <w:i w:val="0"/>
            <w:iCs w:val="0"/>
          </w:rPr>
        </w:sdtEndPr>
        <w:sdtContent>
          <w:r w:rsidRPr="00F932B6">
            <w:rPr>
              <w:i/>
              <w:iCs/>
              <w:color w:val="000000" w:themeColor="text1"/>
            </w:rPr>
            <w:t xml:space="preserve">Conference, </w:t>
          </w:r>
          <w:r w:rsidRPr="00F932B6">
            <w:rPr>
              <w:color w:val="000000" w:themeColor="text1"/>
            </w:rPr>
            <w:t>Manhattan, KS</w:t>
          </w:r>
        </w:sdtContent>
      </w:sdt>
      <w:r w:rsidRPr="00F932B6">
        <w:rPr>
          <w:color w:val="000000" w:themeColor="text1"/>
        </w:rPr>
        <w:t>.</w:t>
      </w:r>
      <w:r w:rsidR="68B6167E" w:rsidRPr="00F932B6">
        <w:rPr>
          <w:color w:val="000000" w:themeColor="text1"/>
        </w:rPr>
        <w:t>  </w:t>
      </w:r>
      <w:r w:rsidRPr="00F932B6">
        <w:rPr>
          <w:color w:val="000000" w:themeColor="text1"/>
        </w:rPr>
        <w:t> </w:t>
      </w:r>
    </w:p>
    <w:p w14:paraId="47306AA5" w14:textId="042CD9E9" w:rsidR="005C15B3" w:rsidRPr="00F932B6" w:rsidRDefault="005C15B3" w:rsidP="008060F4">
      <w:pPr>
        <w:ind w:left="720" w:hanging="720"/>
        <w:rPr>
          <w:rStyle w:val="Hyperlink"/>
          <w:color w:val="000000" w:themeColor="text1"/>
          <w:u w:val="none"/>
        </w:rPr>
      </w:pPr>
      <w:r w:rsidRPr="00F932B6">
        <w:rPr>
          <w:color w:val="000000" w:themeColor="text1"/>
        </w:rPr>
        <w:t>Boone, J.</w:t>
      </w:r>
      <w:r w:rsidR="00BF765D" w:rsidRPr="00F932B6">
        <w:rPr>
          <w:color w:val="000000" w:themeColor="text1"/>
        </w:rPr>
        <w:t xml:space="preserve"> </w:t>
      </w:r>
      <w:r w:rsidRPr="00F932B6">
        <w:rPr>
          <w:color w:val="000000" w:themeColor="text1"/>
        </w:rPr>
        <w:t>H., Peake, J.</w:t>
      </w:r>
      <w:r w:rsidR="00BF765D" w:rsidRPr="00F932B6">
        <w:rPr>
          <w:color w:val="000000" w:themeColor="text1"/>
        </w:rPr>
        <w:t xml:space="preserve"> </w:t>
      </w:r>
      <w:r w:rsidRPr="00F932B6">
        <w:rPr>
          <w:color w:val="000000" w:themeColor="text1"/>
        </w:rPr>
        <w:t>B., &amp; Davidson, J. (202</w:t>
      </w:r>
      <w:r w:rsidR="002F497C">
        <w:rPr>
          <w:color w:val="000000" w:themeColor="text1"/>
        </w:rPr>
        <w:t>4</w:t>
      </w:r>
      <w:r w:rsidRPr="00F932B6">
        <w:rPr>
          <w:color w:val="000000" w:themeColor="text1"/>
        </w:rPr>
        <w:t>). Evaluating Elementary</w:t>
      </w:r>
      <w:r w:rsidR="1C260105" w:rsidRPr="00F932B6">
        <w:rPr>
          <w:color w:val="000000" w:themeColor="text1"/>
        </w:rPr>
        <w:t xml:space="preserve"> </w:t>
      </w:r>
      <w:r w:rsidRPr="00F932B6">
        <w:rPr>
          <w:color w:val="000000" w:themeColor="text1"/>
        </w:rPr>
        <w:t xml:space="preserve">Agriculture Teacher Workshops on Pedagogical Content Knowledge. </w:t>
      </w:r>
      <w:r w:rsidRPr="00F932B6">
        <w:rPr>
          <w:i/>
          <w:iCs/>
          <w:color w:val="000000" w:themeColor="text1"/>
        </w:rPr>
        <w:t>Proceedings of</w:t>
      </w:r>
      <w:r w:rsidR="1C260105" w:rsidRPr="00F932B6">
        <w:rPr>
          <w:i/>
          <w:iCs/>
          <w:color w:val="000000" w:themeColor="text1"/>
        </w:rPr>
        <w:t xml:space="preserve"> </w:t>
      </w:r>
      <w:r w:rsidRPr="00F932B6">
        <w:rPr>
          <w:i/>
          <w:iCs/>
          <w:color w:val="000000" w:themeColor="text1"/>
        </w:rPr>
        <w:t xml:space="preserve">the Southern Region AAAE Research Conference, </w:t>
      </w:r>
      <w:r w:rsidRPr="00F932B6">
        <w:rPr>
          <w:color w:val="000000" w:themeColor="text1"/>
        </w:rPr>
        <w:t xml:space="preserve">Atlanta, GA. </w:t>
      </w:r>
      <w:r w:rsidR="002F5637" w:rsidRPr="00F932B6">
        <w:rPr>
          <w:color w:val="000000" w:themeColor="text1"/>
        </w:rPr>
        <w:t>266-</w:t>
      </w:r>
      <w:r w:rsidR="002A1A43" w:rsidRPr="00F932B6">
        <w:rPr>
          <w:color w:val="000000" w:themeColor="text1"/>
        </w:rPr>
        <w:t>273</w:t>
      </w:r>
    </w:p>
    <w:p w14:paraId="40ECAF5D" w14:textId="672A1B5D" w:rsidR="003E2156" w:rsidRPr="00F932B6" w:rsidRDefault="00492EA1" w:rsidP="008060F4">
      <w:pPr>
        <w:ind w:left="720" w:hanging="720"/>
        <w:rPr>
          <w:rStyle w:val="Hyperlink"/>
        </w:rPr>
      </w:pPr>
      <w:sdt>
        <w:sdtPr>
          <w:rPr>
            <w:color w:val="467886"/>
            <w:u w:val="single"/>
          </w:rPr>
          <w:tag w:val="tii-similarity-U1VCTUlUVEVEX1dPUktfb2lkOjE6MjkwMTAzMzM0MA=="/>
          <w:id w:val="374270196"/>
          <w:placeholder>
            <w:docPart w:val="DefaultPlaceholder_-1854013440"/>
          </w:placeholder>
          <w15:appearance w15:val="hidden"/>
        </w:sdtPr>
        <w:sdtEndPr/>
        <w:sdtContent>
          <w:r w:rsidR="003E2156" w:rsidRPr="00F932B6">
            <w:t>Burrows, M., Sorensen, T., &amp; Spielmaker, D. (2020). Assessing the acceptance of</w:t>
          </w:r>
        </w:sdtContent>
      </w:sdt>
      <w:r w:rsidR="003E2156" w:rsidRPr="00F932B6">
        <w:t xml:space="preserve"> </w:t>
      </w:r>
      <w:sdt>
        <w:sdtPr>
          <w:tag w:val="tii-similarity-U1VCTUlUVEVEX1dPUktfb2lkOjE6MjkwMTAzMzM0MA=="/>
          <w:id w:val="-846321949"/>
          <w:placeholder>
            <w:docPart w:val="DefaultPlaceholder_-1854013440"/>
          </w:placeholder>
          <w15:appearance w15:val="hidden"/>
        </w:sdtPr>
        <w:sdtEndPr>
          <w:rPr>
            <w:i/>
          </w:rPr>
        </w:sdtEndPr>
        <w:sdtContent>
          <w:r w:rsidR="003E2156" w:rsidRPr="00F932B6">
            <w:t xml:space="preserve">incorporating agriculture into elementary school curriculum. </w:t>
          </w:r>
          <w:r w:rsidR="003E2156" w:rsidRPr="00F932B6">
            <w:rPr>
              <w:i/>
            </w:rPr>
            <w:t>Journal of Agricultural</w:t>
          </w:r>
        </w:sdtContent>
      </w:sdt>
      <w:r w:rsidR="003E2156" w:rsidRPr="00F932B6">
        <w:rPr>
          <w:i/>
          <w:iCs/>
        </w:rPr>
        <w:t xml:space="preserve"> </w:t>
      </w:r>
      <w:sdt>
        <w:sdtPr>
          <w:rPr>
            <w:i/>
            <w:iCs/>
          </w:rPr>
          <w:tag w:val="tii-similarity-U1VCTUlUVEVEX1dPUktfb2lkOjE6MjkwMTAzMzM0MA=="/>
          <w:id w:val="2067294070"/>
          <w:placeholder>
            <w:docPart w:val="DefaultPlaceholder_-1854013440"/>
          </w:placeholder>
          <w15:appearance w15:val="hidden"/>
        </w:sdtPr>
        <w:sdtEndPr>
          <w:rPr>
            <w:i w:val="0"/>
            <w:iCs w:val="0"/>
          </w:rPr>
        </w:sdtEndPr>
        <w:sdtContent>
          <w:r w:rsidR="003E2156" w:rsidRPr="00F932B6">
            <w:rPr>
              <w:i/>
            </w:rPr>
            <w:t>Education, 61</w:t>
          </w:r>
          <w:r w:rsidR="003E2156" w:rsidRPr="00F932B6">
            <w:t xml:space="preserve">(2), 358–370. </w:t>
          </w:r>
          <w:r w:rsidR="413C2DAA" w:rsidRPr="004130EA">
            <w:t>https://doi.org/10.5032/jae.2020.02358</w:t>
          </w:r>
        </w:sdtContent>
      </w:sdt>
    </w:p>
    <w:p w14:paraId="1A7C1F4E" w14:textId="33F21E6B" w:rsidR="04BF6609" w:rsidRPr="00F932B6" w:rsidRDefault="04BF6609" w:rsidP="008060F4">
      <w:pPr>
        <w:ind w:left="720" w:hanging="720"/>
      </w:pPr>
      <w:r w:rsidRPr="00F932B6">
        <w:t>Creswell, J. W., &amp; Poth, C. N. (2018).</w:t>
      </w:r>
      <w:r w:rsidRPr="00F932B6">
        <w:rPr>
          <w:i/>
          <w:iCs/>
        </w:rPr>
        <w:t xml:space="preserve"> Qualitative inquiry and research design: Choosing among five approaches</w:t>
      </w:r>
      <w:r w:rsidRPr="00F932B6">
        <w:t xml:space="preserve"> (4th ed.). SAGE Publications.</w:t>
      </w:r>
    </w:p>
    <w:p w14:paraId="207CAEC6" w14:textId="58181AE7" w:rsidR="005603C7" w:rsidRPr="00F932B6" w:rsidRDefault="00492EA1" w:rsidP="008060F4">
      <w:pPr>
        <w:ind w:left="720" w:hanging="720"/>
        <w:rPr>
          <w:rStyle w:val="Hyperlink"/>
          <w:color w:val="000000" w:themeColor="text1"/>
          <w:u w:val="none"/>
        </w:rPr>
      </w:pPr>
      <w:sdt>
        <w:sdtPr>
          <w:rPr>
            <w:color w:val="000000" w:themeColor="text1"/>
            <w:u w:val="single"/>
          </w:rPr>
          <w:tag w:val="tii-similarity-U1VCTUlUVEVEX1dPUktfb2lkOjE6MjkwMTAzMzM0MA=="/>
          <w:id w:val="969009629"/>
          <w:placeholder>
            <w:docPart w:val="DefaultPlaceholder_-1854013440"/>
          </w:placeholder>
          <w15:appearance w15:val="hidden"/>
        </w:sdtPr>
        <w:sdtEndPr/>
        <w:sdtContent>
          <w:r w:rsidR="005603C7" w:rsidRPr="00F932B6">
            <w:rPr>
              <w:color w:val="000000" w:themeColor="text1"/>
            </w:rPr>
            <w:t>Frederickson, J., &amp; Peake, J. (2023). Examining level of school garden integration</w:t>
          </w:r>
        </w:sdtContent>
      </w:sdt>
      <w:r w:rsidR="005603C7" w:rsidRPr="00F932B6">
        <w:rPr>
          <w:color w:val="000000" w:themeColor="text1"/>
        </w:rPr>
        <w:t xml:space="preserve"> </w:t>
      </w:r>
      <w:sdt>
        <w:sdtPr>
          <w:rPr>
            <w:color w:val="000000" w:themeColor="text1"/>
          </w:rPr>
          <w:tag w:val="tii-similarity-U1VCTUlUVEVEX1dPUktfb2lkOjE6MjkwMTAzMzM0MA=="/>
          <w:id w:val="1895620339"/>
          <w:placeholder>
            <w:docPart w:val="DefaultPlaceholder_-1854013440"/>
          </w:placeholder>
          <w15:appearance w15:val="hidden"/>
        </w:sdtPr>
        <w:sdtEndPr>
          <w:rPr>
            <w:i/>
          </w:rPr>
        </w:sdtEndPr>
        <w:sdtContent>
          <w:r w:rsidR="005603C7" w:rsidRPr="00F932B6">
            <w:rPr>
              <w:color w:val="000000" w:themeColor="text1"/>
            </w:rPr>
            <w:t>among Georgia elementary agricultural education teachers. </w:t>
          </w:r>
          <w:r w:rsidR="005603C7" w:rsidRPr="00F932B6">
            <w:rPr>
              <w:i/>
              <w:color w:val="000000" w:themeColor="text1"/>
            </w:rPr>
            <w:t>Advancements in</w:t>
          </w:r>
        </w:sdtContent>
      </w:sdt>
      <w:r w:rsidR="005603C7" w:rsidRPr="00F932B6">
        <w:rPr>
          <w:i/>
          <w:iCs/>
          <w:color w:val="000000" w:themeColor="text1"/>
        </w:rPr>
        <w:t xml:space="preserve"> </w:t>
      </w:r>
      <w:sdt>
        <w:sdtPr>
          <w:rPr>
            <w:i/>
            <w:iCs/>
            <w:color w:val="000000" w:themeColor="text1"/>
          </w:rPr>
          <w:tag w:val="tii-similarity-U1VCTUlUVEVEX1dPUktfb2lkOjE6MjkwMTAzMzM0MA=="/>
          <w:id w:val="169843241"/>
          <w:placeholder>
            <w:docPart w:val="DefaultPlaceholder_-1854013440"/>
          </w:placeholder>
          <w15:appearance w15:val="hidden"/>
        </w:sdtPr>
        <w:sdtEndPr>
          <w:rPr>
            <w:i w:val="0"/>
            <w:iCs w:val="0"/>
            <w:color w:val="auto"/>
          </w:rPr>
        </w:sdtEndPr>
        <w:sdtContent>
          <w:r w:rsidR="005603C7" w:rsidRPr="00F932B6">
            <w:rPr>
              <w:i/>
              <w:color w:val="000000" w:themeColor="text1"/>
            </w:rPr>
            <w:t>Agricultural Development</w:t>
          </w:r>
          <w:r w:rsidR="005603C7" w:rsidRPr="00F932B6">
            <w:rPr>
              <w:color w:val="000000" w:themeColor="text1"/>
            </w:rPr>
            <w:t>, </w:t>
          </w:r>
          <w:r w:rsidR="005603C7" w:rsidRPr="00F932B6">
            <w:rPr>
              <w:i/>
              <w:color w:val="000000" w:themeColor="text1"/>
            </w:rPr>
            <w:t>4</w:t>
          </w:r>
          <w:r w:rsidR="005603C7" w:rsidRPr="00F932B6">
            <w:rPr>
              <w:color w:val="000000" w:themeColor="text1"/>
            </w:rPr>
            <w:t xml:space="preserve">(1), 62–74. </w:t>
          </w:r>
          <w:r w:rsidR="27840742" w:rsidRPr="004130EA">
            <w:t>https://doi.org/10.37433/aad.v4i1.281</w:t>
          </w:r>
        </w:sdtContent>
      </w:sdt>
    </w:p>
    <w:p w14:paraId="2F53C2D9" w14:textId="37089825" w:rsidR="00783C37" w:rsidRPr="00F932B6" w:rsidRDefault="00F30425" w:rsidP="008060F4">
      <w:pPr>
        <w:ind w:left="720" w:hanging="720"/>
      </w:pPr>
      <w:r>
        <w:rPr>
          <w:rStyle w:val="normaltextrun"/>
          <w:shd w:val="clear" w:color="auto" w:fill="FFFFFF"/>
        </w:rPr>
        <w:t xml:space="preserve">Georgia </w:t>
      </w:r>
      <w:r w:rsidR="00783C37" w:rsidRPr="00F932B6">
        <w:rPr>
          <w:rStyle w:val="normaltextrun"/>
          <w:shd w:val="clear" w:color="auto" w:fill="FFFFFF"/>
        </w:rPr>
        <w:t>Act 599, House Bill 1303. (2022</w:t>
      </w:r>
      <w:bookmarkStart w:id="0" w:name="_Hlk187232685"/>
      <w:r w:rsidR="00783C37" w:rsidRPr="00F932B6">
        <w:rPr>
          <w:rStyle w:val="normaltextrun"/>
          <w:shd w:val="clear" w:color="auto" w:fill="FFFFFF"/>
        </w:rPr>
        <w:t xml:space="preserve">). </w:t>
      </w:r>
      <w:r>
        <w:rPr>
          <w:rStyle w:val="normaltextrun"/>
          <w:shd w:val="clear" w:color="auto" w:fill="FFFFFF"/>
        </w:rPr>
        <w:t>Georgia</w:t>
      </w:r>
      <w:r w:rsidR="00783C37" w:rsidRPr="00F932B6">
        <w:rPr>
          <w:rStyle w:val="normaltextrun"/>
          <w:shd w:val="clear" w:color="auto" w:fill="FFFFFF"/>
        </w:rPr>
        <w:t xml:space="preserve"> State Legislature General Assembly, 2022 Reg. Sess.</w:t>
      </w:r>
      <w:bookmarkEnd w:id="0"/>
      <w:r w:rsidR="00783C37" w:rsidRPr="00F932B6">
        <w:rPr>
          <w:rStyle w:val="normaltextrun"/>
          <w:shd w:val="clear" w:color="auto" w:fill="FFFFFF"/>
        </w:rPr>
        <w:t xml:space="preserve"> </w:t>
      </w:r>
      <w:r w:rsidR="00783C37" w:rsidRPr="00F932B6">
        <w:t>https://www.legis.ga.gov/api/legislation/document/20212022/211744  </w:t>
      </w:r>
    </w:p>
    <w:p w14:paraId="009EB92D" w14:textId="28EE7CD5" w:rsidR="00636DD5" w:rsidRPr="00F932B6" w:rsidRDefault="00F30425" w:rsidP="008060F4">
      <w:pPr>
        <w:ind w:left="720" w:hanging="720"/>
      </w:pPr>
      <w:r>
        <w:rPr>
          <w:rStyle w:val="normaltextrun"/>
          <w:shd w:val="clear" w:color="auto" w:fill="FFFFFF"/>
        </w:rPr>
        <w:t xml:space="preserve">Georgia </w:t>
      </w:r>
      <w:r w:rsidR="008B4E66" w:rsidRPr="00F932B6">
        <w:t xml:space="preserve">Agriculture in the Classroom. (n.d.). </w:t>
      </w:r>
      <w:r w:rsidR="008B4E66" w:rsidRPr="00F932B6">
        <w:rPr>
          <w:i/>
          <w:iCs/>
        </w:rPr>
        <w:t>About Ag in the Classroom</w:t>
      </w:r>
      <w:r w:rsidR="008B4E66" w:rsidRPr="00F932B6">
        <w:t>. Retrieved February 19, 2025, from https://www.gfb.org/learn/ag-in-the-classroom</w:t>
      </w:r>
    </w:p>
    <w:p w14:paraId="7DCE6F28" w14:textId="1C1F4BEF" w:rsidR="003E2156" w:rsidRPr="00F932B6" w:rsidRDefault="00492EA1" w:rsidP="008060F4">
      <w:pPr>
        <w:ind w:left="720" w:hanging="720"/>
      </w:pPr>
      <w:sdt>
        <w:sdtPr>
          <w:tag w:val="tii-similarity-SU5URVJORVRfb3VjaS5kbnRiLmdvdi51YQ=="/>
          <w:id w:val="-933055167"/>
          <w:placeholder>
            <w:docPart w:val="DefaultPlaceholder_-1854013440"/>
          </w:placeholder>
          <w15:appearance w15:val="hidden"/>
        </w:sdtPr>
        <w:sdtEndPr/>
        <w:sdtContent>
          <w:r w:rsidR="003E2156" w:rsidRPr="00F932B6">
            <w:t>Goodyear, V. A</w:t>
          </w:r>
        </w:sdtContent>
      </w:sdt>
      <w:r w:rsidR="003E2156" w:rsidRPr="00F932B6">
        <w:t xml:space="preserve">., Parker, M., &amp; </w:t>
      </w:r>
      <w:sdt>
        <w:sdtPr>
          <w:tag w:val="tii-similarity-SU5URVJORVRfb3VjaS5kbnRiLmdvdi51YQ=="/>
          <w:id w:val="2048028533"/>
          <w:placeholder>
            <w:docPart w:val="DefaultPlaceholder_-1854013440"/>
          </w:placeholder>
          <w15:appearance w15:val="hidden"/>
        </w:sdtPr>
        <w:sdtEndPr/>
        <w:sdtContent>
          <w:r w:rsidR="003E2156" w:rsidRPr="00F932B6">
            <w:t>Casey, A</w:t>
          </w:r>
        </w:sdtContent>
      </w:sdt>
      <w:r w:rsidR="003E2156" w:rsidRPr="00F932B6">
        <w:t xml:space="preserve">. (2019). Social media and teacher professional learning communities. </w:t>
      </w:r>
      <w:r w:rsidR="003E2156" w:rsidRPr="00F932B6">
        <w:rPr>
          <w:i/>
        </w:rPr>
        <w:t>Physical Education &amp; Sport Pedagogy, 24</w:t>
      </w:r>
      <w:r w:rsidR="003E2156" w:rsidRPr="00F932B6">
        <w:t xml:space="preserve">(5), 421–433. </w:t>
      </w:r>
      <w:r w:rsidR="413C2DAA" w:rsidRPr="004130EA">
        <w:t>https://doi.org/10.1080/17408989.2019.1617263</w:t>
      </w:r>
    </w:p>
    <w:p w14:paraId="44805763" w14:textId="3EC30644" w:rsidR="003E2156" w:rsidRPr="00F932B6" w:rsidRDefault="00492EA1" w:rsidP="008060F4">
      <w:pPr>
        <w:ind w:left="720" w:hanging="720"/>
        <w:rPr>
          <w:rStyle w:val="Hyperlink"/>
        </w:rPr>
      </w:pPr>
      <w:sdt>
        <w:sdtPr>
          <w:rPr>
            <w:color w:val="467886"/>
            <w:u w:val="single"/>
          </w:rPr>
          <w:tag w:val="tii-similarity-SU5URVJORVRfd3d3LnJlc2VhcmNoZ2F0ZS5uZXQ="/>
          <w:id w:val="2021885723"/>
          <w:placeholder>
            <w:docPart w:val="DefaultPlaceholder_-1854013440"/>
          </w:placeholder>
          <w15:appearance w15:val="hidden"/>
        </w:sdtPr>
        <w:sdtEndPr/>
        <w:sdtContent>
          <w:r w:rsidR="003E2156" w:rsidRPr="00F932B6">
            <w:t>Graves, L. A., Hughes, H., &amp; Balgopal, M. M. (2016). Teaching STEM through</w:t>
          </w:r>
        </w:sdtContent>
      </w:sdt>
      <w:r w:rsidR="003E2156" w:rsidRPr="00F932B6">
        <w:t xml:space="preserve"> </w:t>
      </w:r>
      <w:sdt>
        <w:sdtPr>
          <w:tag w:val="tii-similarity-SU5URVJORVRfd3d3LnJlc2VhcmNoZ2F0ZS5uZXQ="/>
          <w:id w:val="1476259393"/>
          <w:placeholder>
            <w:docPart w:val="DefaultPlaceholder_-1854013440"/>
          </w:placeholder>
          <w15:appearance w15:val="hidden"/>
        </w:sdtPr>
        <w:sdtEndPr/>
        <w:sdtContent>
          <w:r w:rsidR="003E2156" w:rsidRPr="00F932B6">
            <w:t>horticulture: Implementing an edible plant curriculum at a stem-centric elementary</w:t>
          </w:r>
        </w:sdtContent>
      </w:sdt>
      <w:r w:rsidR="003E2156" w:rsidRPr="00F932B6">
        <w:t xml:space="preserve"> </w:t>
      </w:r>
      <w:sdt>
        <w:sdtPr>
          <w:tag w:val="tii-similarity-SU5URVJORVRfd3d3LnJlc2VhcmNoZ2F0ZS5uZXQ="/>
          <w:id w:val="-945460384"/>
          <w:placeholder>
            <w:docPart w:val="DefaultPlaceholder_-1854013440"/>
          </w:placeholder>
          <w15:appearance w15:val="hidden"/>
        </w:sdtPr>
        <w:sdtEndPr/>
        <w:sdtContent>
          <w:r w:rsidR="003E2156" w:rsidRPr="00F932B6">
            <w:t xml:space="preserve">school. </w:t>
          </w:r>
          <w:r w:rsidR="003E2156" w:rsidRPr="00F932B6">
            <w:rPr>
              <w:i/>
            </w:rPr>
            <w:t>Journal of Agricultural Education, 57</w:t>
          </w:r>
          <w:r w:rsidR="003E2156" w:rsidRPr="00F932B6">
            <w:t>(3), 192–207.</w:t>
          </w:r>
        </w:sdtContent>
      </w:sdt>
      <w:r w:rsidR="003E2156" w:rsidRPr="00F932B6">
        <w:t xml:space="preserve"> </w:t>
      </w:r>
      <w:sdt>
        <w:sdtPr>
          <w:tag w:val="tii-similarity-SU5URVJORVRfd3d3LnJlc2VhcmNoZ2F0ZS5uZXQ="/>
          <w:id w:val="1113408904"/>
          <w:placeholder>
            <w:docPart w:val="DefaultPlaceholder_-1854013440"/>
          </w:placeholder>
          <w15:appearance w15:val="hidden"/>
        </w:sdtPr>
        <w:sdtEndPr/>
        <w:sdtContent>
          <w:r w:rsidR="003E2156" w:rsidRPr="004130EA">
            <w:t>https://doi.org/10.5032/jae.2016.03192</w:t>
          </w:r>
        </w:sdtContent>
      </w:sdt>
    </w:p>
    <w:p w14:paraId="014D9CDC" w14:textId="33E320FA" w:rsidR="003E2156" w:rsidRPr="00F932B6" w:rsidRDefault="00492EA1" w:rsidP="008060F4">
      <w:pPr>
        <w:ind w:left="720" w:hanging="720"/>
        <w:rPr>
          <w:rStyle w:val="Hyperlink"/>
        </w:rPr>
      </w:pPr>
      <w:sdt>
        <w:sdtPr>
          <w:rPr>
            <w:color w:val="467886"/>
            <w:u w:val="single"/>
          </w:rPr>
          <w:tag w:val="tii-similarity-U1VCTUlUVEVEX1dPUktfb2lkOjE6Mjg5ODA5NDUyNQ=="/>
          <w:id w:val="1586729130"/>
          <w:placeholder>
            <w:docPart w:val="DefaultPlaceholder_-1854013440"/>
          </w:placeholder>
          <w15:appearance w15:val="hidden"/>
        </w:sdtPr>
        <w:sdtEndPr/>
        <w:sdtContent>
          <w:r w:rsidR="003E2156" w:rsidRPr="00F932B6">
            <w:t>Guffey, A., &amp; Stewardson, D. (2023). Sowing agricultural literacy: The national</w:t>
          </w:r>
        </w:sdtContent>
      </w:sdt>
      <w:r w:rsidR="003E2156" w:rsidRPr="00F932B6">
        <w:t xml:space="preserve"> </w:t>
      </w:r>
      <w:sdt>
        <w:sdtPr>
          <w:tag w:val="tii-similarity-U1VCTUlUVEVEX1dPUktfb2lkOjE6Mjg5ODA5NDUyNQ=="/>
          <w:id w:val="-1515921448"/>
          <w:placeholder>
            <w:docPart w:val="DefaultPlaceholder_-1854013440"/>
          </w:placeholder>
          <w15:appearance w15:val="hidden"/>
        </w:sdtPr>
        <w:sdtEndPr>
          <w:rPr>
            <w:i/>
          </w:rPr>
        </w:sdtEndPr>
        <w:sdtContent>
          <w:r w:rsidR="003E2156" w:rsidRPr="00F932B6">
            <w:t>agriculture in the classroom organization. J</w:t>
          </w:r>
          <w:r w:rsidR="003E2156" w:rsidRPr="00F932B6">
            <w:rPr>
              <w:i/>
            </w:rPr>
            <w:t>ournal of Agricultural &amp; Food Information,</w:t>
          </w:r>
        </w:sdtContent>
      </w:sdt>
      <w:r w:rsidR="003E2156" w:rsidRPr="00F932B6">
        <w:rPr>
          <w:i/>
          <w:iCs/>
        </w:rPr>
        <w:t xml:space="preserve"> </w:t>
      </w:r>
      <w:sdt>
        <w:sdtPr>
          <w:rPr>
            <w:i/>
            <w:iCs/>
          </w:rPr>
          <w:tag w:val="tii-similarity-U1VCTUlUVEVEX1dPUktfb2lkOjE6Mjg5ODA5NDUyNQ=="/>
          <w:id w:val="1125516263"/>
          <w:placeholder>
            <w:docPart w:val="DefaultPlaceholder_-1854013440"/>
          </w:placeholder>
          <w15:appearance w15:val="hidden"/>
        </w:sdtPr>
        <w:sdtEndPr>
          <w:rPr>
            <w:i w:val="0"/>
            <w:iCs w:val="0"/>
          </w:rPr>
        </w:sdtEndPr>
        <w:sdtContent>
          <w:r w:rsidR="003E2156" w:rsidRPr="00F932B6">
            <w:rPr>
              <w:i/>
            </w:rPr>
            <w:t>24</w:t>
          </w:r>
          <w:r w:rsidR="003E2156" w:rsidRPr="00F932B6">
            <w:t xml:space="preserve">(1-4), 40-46. </w:t>
          </w:r>
          <w:r w:rsidR="413C2DAA" w:rsidRPr="004130EA">
            <w:t>https://doi.org/10.1080/10496505.2023.2277433</w:t>
          </w:r>
        </w:sdtContent>
      </w:sdt>
    </w:p>
    <w:p w14:paraId="2319D150" w14:textId="749DE932" w:rsidR="003E2156" w:rsidRPr="00F932B6" w:rsidRDefault="00492EA1" w:rsidP="008060F4">
      <w:pPr>
        <w:ind w:left="720" w:hanging="720"/>
        <w:rPr>
          <w:rStyle w:val="Hyperlink"/>
        </w:rPr>
      </w:pPr>
      <w:sdt>
        <w:sdtPr>
          <w:rPr>
            <w:color w:val="467886"/>
            <w:u w:val="single"/>
          </w:rPr>
          <w:tag w:val="tii-similarity-SU5URVJORVRfZGlnaXRhbGNvbW1vbnMubXVycmF5c3RhdGUuZWR1"/>
          <w:id w:val="190498280"/>
          <w:placeholder>
            <w:docPart w:val="DefaultPlaceholder_-1854013440"/>
          </w:placeholder>
          <w15:appearance w15:val="hidden"/>
        </w:sdtPr>
        <w:sdtEndPr/>
        <w:sdtContent>
          <w:r w:rsidR="003E2156" w:rsidRPr="00F932B6">
            <w:t xml:space="preserve">Herren, R. V., &amp; Oakley, P. (1995). An evaluation of Georgia's Agriculture </w:t>
          </w:r>
          <w:r w:rsidR="00DE5F88" w:rsidRPr="00F932B6">
            <w:t>in</w:t>
          </w:r>
          <w:r w:rsidR="003E2156" w:rsidRPr="00F932B6">
            <w:t xml:space="preserve"> </w:t>
          </w:r>
          <w:proofErr w:type="gramStart"/>
          <w:r w:rsidR="003E2156" w:rsidRPr="00F932B6">
            <w:t>The</w:t>
          </w:r>
          <w:proofErr w:type="gramEnd"/>
        </w:sdtContent>
      </w:sdt>
      <w:r w:rsidR="003E2156" w:rsidRPr="00F932B6">
        <w:t xml:space="preserve"> </w:t>
      </w:r>
      <w:sdt>
        <w:sdtPr>
          <w:tag w:val="tii-similarity-SU5URVJORVRfZGlnaXRhbGNvbW1vbnMubXVycmF5c3RhdGUuZWR1"/>
          <w:id w:val="238372154"/>
          <w:placeholder>
            <w:docPart w:val="DefaultPlaceholder_-1854013440"/>
          </w:placeholder>
          <w15:appearance w15:val="hidden"/>
        </w:sdtPr>
        <w:sdtEndPr/>
        <w:sdtContent>
          <w:r w:rsidR="003E2156" w:rsidRPr="00F932B6">
            <w:t xml:space="preserve">Classroom Program. </w:t>
          </w:r>
          <w:r w:rsidR="003E2156" w:rsidRPr="00F932B6">
            <w:rPr>
              <w:i/>
            </w:rPr>
            <w:t>Journal of Agricultural Education, 36</w:t>
          </w:r>
          <w:r w:rsidR="003E2156" w:rsidRPr="00F932B6">
            <w:t>(4), 26–31.</w:t>
          </w:r>
        </w:sdtContent>
      </w:sdt>
      <w:r w:rsidR="003E2156" w:rsidRPr="00F932B6">
        <w:t xml:space="preserve"> </w:t>
      </w:r>
      <w:sdt>
        <w:sdtPr>
          <w:tag w:val="tii-similarity-SU5URVJORVRfZGlnaXRhbGNvbW1vbnMubXVycmF5c3RhdGUuZWR1"/>
          <w:id w:val="1897552724"/>
          <w:placeholder>
            <w:docPart w:val="DefaultPlaceholder_-1854013440"/>
          </w:placeholder>
          <w15:appearance w15:val="hidden"/>
        </w:sdtPr>
        <w:sdtEndPr/>
        <w:sdtContent>
          <w:r w:rsidR="003E2156" w:rsidRPr="004130EA">
            <w:t>https://doi.org/10.5032/jae.1995.04026</w:t>
          </w:r>
        </w:sdtContent>
      </w:sdt>
    </w:p>
    <w:p w14:paraId="0CEB81DE" w14:textId="21287635" w:rsidR="003E2156" w:rsidRPr="00F932B6" w:rsidRDefault="003E2156" w:rsidP="008060F4">
      <w:pPr>
        <w:ind w:left="720" w:hanging="720"/>
        <w:rPr>
          <w:rStyle w:val="Hyperlink"/>
        </w:rPr>
      </w:pPr>
      <w:r w:rsidRPr="00F932B6">
        <w:t xml:space="preserve">Horton, R. L., Krieger, J., &amp; </w:t>
      </w:r>
      <w:proofErr w:type="spellStart"/>
      <w:r w:rsidRPr="00F932B6">
        <w:t>Halasa</w:t>
      </w:r>
      <w:proofErr w:type="spellEnd"/>
      <w:r w:rsidRPr="00F932B6">
        <w:t xml:space="preserve">, K. (2013). 4-H </w:t>
      </w:r>
      <w:proofErr w:type="spellStart"/>
      <w:r w:rsidRPr="00F932B6">
        <w:t>ChickQuest</w:t>
      </w:r>
      <w:proofErr w:type="spellEnd"/>
      <w:r w:rsidRPr="00F932B6">
        <w:t xml:space="preserve">: Connecting </w:t>
      </w:r>
      <w:proofErr w:type="spellStart"/>
      <w:r w:rsidRPr="00F932B6">
        <w:t>agri</w:t>
      </w:r>
      <w:proofErr w:type="spellEnd"/>
      <w:r w:rsidRPr="00F932B6">
        <w:t xml:space="preserve">-science with stem standards in urban schools. </w:t>
      </w:r>
      <w:r w:rsidRPr="00F932B6">
        <w:rPr>
          <w:i/>
        </w:rPr>
        <w:t>The Journal of Extension, 51</w:t>
      </w:r>
      <w:r w:rsidRPr="00F932B6">
        <w:t xml:space="preserve">(1), Article 8. </w:t>
      </w:r>
      <w:r w:rsidR="413C2DAA" w:rsidRPr="004130EA">
        <w:t>https://doi.org/10.34068/joe.51.01.08</w:t>
      </w:r>
    </w:p>
    <w:p w14:paraId="7E99F18E" w14:textId="467F4F1E" w:rsidR="0015381F" w:rsidRPr="00F932B6" w:rsidRDefault="00492EA1" w:rsidP="008060F4">
      <w:pPr>
        <w:ind w:left="720" w:hanging="720"/>
      </w:pPr>
      <w:sdt>
        <w:sdtPr>
          <w:tag w:val="tii-similarity-SU5URVJORVRfZmlsZXMuZXJpYy5lZC5nb3Y="/>
          <w:id w:val="86442026"/>
          <w:placeholder>
            <w:docPart w:val="DefaultPlaceholder_-1854013440"/>
          </w:placeholder>
          <w15:appearance w15:val="hidden"/>
        </w:sdtPr>
        <w:sdtEndPr/>
        <w:sdtContent>
          <w:r w:rsidR="0015381F" w:rsidRPr="00F932B6">
            <w:t>Hunter, L. J., &amp; Hall, C. M. (2018). A survey of K-12 teachers' utilization of social</w:t>
          </w:r>
        </w:sdtContent>
      </w:sdt>
      <w:r w:rsidR="0015381F" w:rsidRPr="00F932B6">
        <w:t xml:space="preserve"> </w:t>
      </w:r>
      <w:sdt>
        <w:sdtPr>
          <w:tag w:val="tii-similarity-SU5URVJORVRfZmlsZXMuZXJpYy5lZC5nb3Y="/>
          <w:id w:val="416292341"/>
          <w:placeholder>
            <w:docPart w:val="DefaultPlaceholder_-1854013440"/>
          </w:placeholder>
          <w15:appearance w15:val="hidden"/>
        </w:sdtPr>
        <w:sdtEndPr>
          <w:rPr>
            <w:i/>
          </w:rPr>
        </w:sdtEndPr>
        <w:sdtContent>
          <w:r w:rsidR="0015381F" w:rsidRPr="00F932B6">
            <w:t xml:space="preserve">networks as a professional resource. </w:t>
          </w:r>
          <w:r w:rsidR="0015381F" w:rsidRPr="00F932B6">
            <w:rPr>
              <w:i/>
            </w:rPr>
            <w:t>Education and Information Technologies, 23</w:t>
          </w:r>
        </w:sdtContent>
      </w:sdt>
      <w:r w:rsidR="0015381F" w:rsidRPr="00F932B6">
        <w:t xml:space="preserve">(6), </w:t>
      </w:r>
      <w:sdt>
        <w:sdtPr>
          <w:tag w:val="tii-similarity-SU5URVJORVRfZmlsZXMuZXJpYy5lZC5nb3Y="/>
          <w:id w:val="1677452894"/>
          <w:placeholder>
            <w:docPart w:val="DefaultPlaceholder_-1854013440"/>
          </w:placeholder>
          <w15:appearance w15:val="hidden"/>
        </w:sdtPr>
        <w:sdtEndPr/>
        <w:sdtContent>
          <w:r w:rsidR="00BA57CC" w:rsidRPr="00F932B6">
            <w:t>633</w:t>
          </w:r>
        </w:sdtContent>
      </w:sdt>
      <w:r w:rsidR="00BA57CC" w:rsidRPr="00F932B6">
        <w:t>-653</w:t>
      </w:r>
      <w:r w:rsidR="0015381F" w:rsidRPr="00F932B6">
        <w:t>.</w:t>
      </w:r>
      <w:r w:rsidR="00E261E1" w:rsidRPr="00F932B6">
        <w:t xml:space="preserve"> </w:t>
      </w:r>
      <w:sdt>
        <w:sdtPr>
          <w:tag w:val="tii-similarity-SU5URVJORVRfZmlsZXMuZXJpYy5lZC5nb3Y="/>
          <w:id w:val="974494854"/>
          <w:placeholder>
            <w:docPart w:val="DefaultPlaceholder_-1854013440"/>
          </w:placeholder>
          <w15:appearance w15:val="hidden"/>
        </w:sdtPr>
        <w:sdtEndPr/>
        <w:sdtContent>
          <w:r w:rsidR="00E261E1" w:rsidRPr="00F932B6">
            <w:t>https://doi.org/10.1007/s10639-017-9627-9</w:t>
          </w:r>
        </w:sdtContent>
      </w:sdt>
    </w:p>
    <w:p w14:paraId="3E1005A2" w14:textId="69D84A4F" w:rsidR="003E2156" w:rsidRPr="00F932B6" w:rsidRDefault="00492EA1" w:rsidP="008060F4">
      <w:pPr>
        <w:ind w:left="720" w:hanging="720"/>
        <w:rPr>
          <w:rStyle w:val="Hyperlink"/>
        </w:rPr>
      </w:pPr>
      <w:sdt>
        <w:sdtPr>
          <w:rPr>
            <w:color w:val="467886"/>
            <w:u w:val="single"/>
          </w:rPr>
          <w:tag w:val="tii-similarity-SU5URVJORVRfZmlsZXMuZXJpYy5lZC5nb3Y="/>
          <w:id w:val="-1046131139"/>
          <w:placeholder>
            <w:docPart w:val="DefaultPlaceholder_-1854013440"/>
          </w:placeholder>
          <w15:appearance w15:val="hidden"/>
        </w:sdtPr>
        <w:sdtEndPr/>
        <w:sdtContent>
          <w:r w:rsidR="003E2156" w:rsidRPr="00F932B6">
            <w:t>Knobloch, N. A. (2008). Factors of teacher beliefs related to integrating</w:t>
          </w:r>
          <w:r w:rsidR="413C2DAA" w:rsidRPr="00F932B6">
            <w:t xml:space="preserve"> </w:t>
          </w:r>
          <w:r w:rsidR="003E2156" w:rsidRPr="00F932B6">
            <w:t>agriculture into</w:t>
          </w:r>
        </w:sdtContent>
      </w:sdt>
      <w:r w:rsidR="003E2156" w:rsidRPr="00F932B6">
        <w:t xml:space="preserve"> </w:t>
      </w:r>
      <w:sdt>
        <w:sdtPr>
          <w:tag w:val="tii-similarity-SU5URVJORVRfZmlsZXMuZXJpYy5lZC5nb3Y="/>
          <w:id w:val="-121703752"/>
          <w:placeholder>
            <w:docPart w:val="DefaultPlaceholder_-1854013440"/>
          </w:placeholder>
          <w15:appearance w15:val="hidden"/>
        </w:sdtPr>
        <w:sdtEndPr>
          <w:rPr>
            <w:i/>
            <w:iCs/>
          </w:rPr>
        </w:sdtEndPr>
        <w:sdtContent>
          <w:r w:rsidR="003E2156" w:rsidRPr="00F932B6">
            <w:t xml:space="preserve">elementary school classrooms. </w:t>
          </w:r>
          <w:r w:rsidR="003E2156" w:rsidRPr="00F932B6">
            <w:rPr>
              <w:i/>
              <w:iCs/>
            </w:rPr>
            <w:t>Agriculture and Human Values,</w:t>
          </w:r>
          <w:r w:rsidR="413C2DAA" w:rsidRPr="00F932B6">
            <w:rPr>
              <w:i/>
              <w:iCs/>
            </w:rPr>
            <w:t xml:space="preserve"> </w:t>
          </w:r>
          <w:r w:rsidR="003E2156" w:rsidRPr="00F932B6">
            <w:rPr>
              <w:i/>
              <w:iCs/>
            </w:rPr>
            <w:t>25</w:t>
          </w:r>
        </w:sdtContent>
      </w:sdt>
      <w:r w:rsidR="003E2156" w:rsidRPr="00F932B6">
        <w:t xml:space="preserve">(1), </w:t>
      </w:r>
      <w:sdt>
        <w:sdtPr>
          <w:tag w:val="tii-similarity-SU5URVJORVRfZmlsZXMuZXJpYy5lZC5nb3Y="/>
          <w:id w:val="-1070266009"/>
          <w:placeholder>
            <w:docPart w:val="DefaultPlaceholder_-1854013440"/>
          </w:placeholder>
          <w15:appearance w15:val="hidden"/>
        </w:sdtPr>
        <w:sdtEndPr/>
        <w:sdtContent>
          <w:r w:rsidR="003E2156" w:rsidRPr="00F932B6">
            <w:t>529–539.</w:t>
          </w:r>
        </w:sdtContent>
      </w:sdt>
      <w:r w:rsidR="003E2156" w:rsidRPr="00F932B6">
        <w:t xml:space="preserve"> </w:t>
      </w:r>
      <w:sdt>
        <w:sdtPr>
          <w:tag w:val="tii-similarity-SU5URVJORVRfZmlsZXMuZXJpYy5lZC5nb3Y="/>
          <w:id w:val="-1794441606"/>
          <w:placeholder>
            <w:docPart w:val="DefaultPlaceholder_-1854013440"/>
          </w:placeholder>
          <w15:appearance w15:val="hidden"/>
        </w:sdtPr>
        <w:sdtEndPr/>
        <w:sdtContent>
          <w:r w:rsidR="003E2156" w:rsidRPr="004130EA">
            <w:t>https://doi.org/10.1007/s10460-008-9135-z</w:t>
          </w:r>
        </w:sdtContent>
      </w:sdt>
    </w:p>
    <w:p w14:paraId="3A40C233" w14:textId="361CFF56" w:rsidR="003E2156" w:rsidRPr="00F932B6" w:rsidRDefault="003E2156" w:rsidP="008060F4">
      <w:pPr>
        <w:ind w:left="720" w:hanging="720"/>
      </w:pPr>
      <w:r w:rsidRPr="00F932B6">
        <w:t xml:space="preserve">Knobloch, N. </w:t>
      </w:r>
      <w:sdt>
        <w:sdtPr>
          <w:tag w:val="tii-similarity-SU5URVJORVRfZmlsZXMuZXJpYy5lZC5nb3Y="/>
          <w:id w:val="-1182209053"/>
          <w:placeholder>
            <w:docPart w:val="DefaultPlaceholder_-1854013440"/>
          </w:placeholder>
          <w15:appearance w15:val="hidden"/>
        </w:sdtPr>
        <w:sdtEndPr/>
        <w:sdtContent>
          <w:r w:rsidRPr="00F932B6">
            <w:t>A., &amp; Ball, A</w:t>
          </w:r>
        </w:sdtContent>
      </w:sdt>
      <w:r w:rsidRPr="00F932B6">
        <w:t xml:space="preserve">. (2003). An examination of elementary teachers' and agricultural literacy coordinators' beliefs related to the integration of agriculture. Report prepared for University of Illinois &amp; Illinois State Board of Education. </w:t>
      </w:r>
      <w:r w:rsidR="413C2DAA" w:rsidRPr="004130EA">
        <w:t>http://doi.org/10.13140/RG.2.1.1622.5128</w:t>
      </w:r>
    </w:p>
    <w:p w14:paraId="248A063D" w14:textId="68DB4D77" w:rsidR="003E2156" w:rsidRPr="00F932B6" w:rsidRDefault="00492EA1" w:rsidP="008060F4">
      <w:pPr>
        <w:ind w:left="720" w:hanging="720"/>
        <w:rPr>
          <w:rStyle w:val="Hyperlink"/>
        </w:rPr>
      </w:pPr>
      <w:sdt>
        <w:sdtPr>
          <w:rPr>
            <w:color w:val="467886"/>
            <w:u w:val="single"/>
          </w:rPr>
          <w:tag w:val="tii-similarity-SU5URVJORVRfd3d3LmV2ZXJ5bGVhcm5lcmV2ZXJ5d2hlcmUub3Jn"/>
          <w:id w:val="1261185913"/>
          <w:placeholder>
            <w:docPart w:val="DefaultPlaceholder_-1854013440"/>
          </w:placeholder>
          <w15:appearance w15:val="hidden"/>
        </w:sdtPr>
        <w:sdtEndPr/>
        <w:sdtContent>
          <w:r w:rsidR="003E2156" w:rsidRPr="00F932B6">
            <w:t xml:space="preserve">Lave, J., &amp; Wenger, E. (1991). </w:t>
          </w:r>
          <w:r w:rsidR="003E2156" w:rsidRPr="00F932B6">
            <w:rPr>
              <w:i/>
            </w:rPr>
            <w:t>Situated learning: Legitimate peripheral participation</w:t>
          </w:r>
          <w:r w:rsidR="003E2156" w:rsidRPr="00F932B6">
            <w:t>.</w:t>
          </w:r>
        </w:sdtContent>
      </w:sdt>
      <w:r w:rsidR="003E2156" w:rsidRPr="00F932B6">
        <w:t xml:space="preserve"> </w:t>
      </w:r>
      <w:sdt>
        <w:sdtPr>
          <w:tag w:val="tii-similarity-SU5URVJORVRfd3d3LmV2ZXJ5bGVhcm5lcmV2ZXJ5d2hlcmUub3Jn"/>
          <w:id w:val="529077679"/>
          <w:placeholder>
            <w:docPart w:val="DefaultPlaceholder_-1854013440"/>
          </w:placeholder>
          <w15:appearance w15:val="hidden"/>
        </w:sdtPr>
        <w:sdtEndPr/>
        <w:sdtContent>
          <w:r w:rsidR="003E2156" w:rsidRPr="00F932B6">
            <w:t xml:space="preserve">Cambridge University Press. </w:t>
          </w:r>
          <w:r w:rsidR="413C2DAA" w:rsidRPr="004130EA">
            <w:t>https://doi.org/10.1017/CBO9780511815355</w:t>
          </w:r>
        </w:sdtContent>
      </w:sdt>
    </w:p>
    <w:p w14:paraId="4224C133" w14:textId="67CC13D4" w:rsidR="00F6CDC4" w:rsidRPr="00551236" w:rsidRDefault="00F6CDC4" w:rsidP="171D723F">
      <w:pPr>
        <w:ind w:left="720" w:hanging="720"/>
      </w:pPr>
      <w:r w:rsidRPr="00551236">
        <w:t xml:space="preserve">Lemley, S. M., McCubbins, O., Berryhill, A. G., Chandler, L., &amp; Hill, V. G. (2024). Seeds of knowledge: Growing agricultural literacy in elementary education. In R. Barrick &amp; A. Thoron (Eds.), </w:t>
      </w:r>
      <w:r w:rsidRPr="00551236">
        <w:rPr>
          <w:i/>
          <w:iCs/>
        </w:rPr>
        <w:t>Emerging Research in Agricultural Teacher Education</w:t>
      </w:r>
      <w:r w:rsidRPr="00551236">
        <w:t xml:space="preserve"> (pp. 144-162). IGI Global Scientific Publishing. https://doi.org/10.4018/979-8-3693-2766-1.ch008</w:t>
      </w:r>
    </w:p>
    <w:p w14:paraId="365EE473" w14:textId="53CC39E0" w:rsidR="003E2156" w:rsidRPr="00F932B6" w:rsidRDefault="003E2156" w:rsidP="008060F4">
      <w:pPr>
        <w:ind w:left="720" w:hanging="720"/>
        <w:rPr>
          <w:rStyle w:val="Hyperlink"/>
        </w:rPr>
      </w:pPr>
      <w:r w:rsidRPr="00F932B6">
        <w:t xml:space="preserve">Macià, M., &amp; García, I. (2016). Informal online communities and networks as a source of teacher professional development: A review. </w:t>
      </w:r>
      <w:r w:rsidRPr="00F932B6">
        <w:rPr>
          <w:i/>
        </w:rPr>
        <w:t>Teaching and Teacher Education, 55</w:t>
      </w:r>
      <w:r w:rsidRPr="00F932B6">
        <w:t xml:space="preserve"> (1), 291-307. </w:t>
      </w:r>
      <w:r w:rsidR="413C2DAA" w:rsidRPr="004130EA">
        <w:t>https://doi.org/10.1016/j.tate.2016.01.021</w:t>
      </w:r>
    </w:p>
    <w:p w14:paraId="010F59E2" w14:textId="676ECC65" w:rsidR="003E2156" w:rsidRPr="00F932B6" w:rsidRDefault="00492EA1" w:rsidP="008060F4">
      <w:pPr>
        <w:ind w:left="720" w:hanging="720"/>
        <w:rPr>
          <w:rStyle w:val="Hyperlink"/>
        </w:rPr>
      </w:pPr>
      <w:sdt>
        <w:sdtPr>
          <w:rPr>
            <w:color w:val="467886"/>
            <w:u w:val="single"/>
          </w:rPr>
          <w:tag w:val="tii-similarity-SU5URVJORVRfa2VlcC5saWIuYXN1LmVkdQ=="/>
          <w:id w:val="811137684"/>
          <w:placeholder>
            <w:docPart w:val="DefaultPlaceholder_-1854013440"/>
          </w:placeholder>
          <w15:appearance w15:val="hidden"/>
        </w:sdtPr>
        <w:sdtEndPr/>
        <w:sdtContent>
          <w:proofErr w:type="spellStart"/>
          <w:r w:rsidR="003E2156" w:rsidRPr="00F932B6">
            <w:t>Masis</w:t>
          </w:r>
          <w:proofErr w:type="spellEnd"/>
          <w:r w:rsidR="003E2156" w:rsidRPr="00F932B6">
            <w:t>, N., Johnson, S. L., McCaffrey, J., &amp; Chapman-</w:t>
          </w:r>
          <w:proofErr w:type="spellStart"/>
          <w:r w:rsidR="003E2156" w:rsidRPr="00F932B6">
            <w:t>Novakofski</w:t>
          </w:r>
          <w:proofErr w:type="spellEnd"/>
          <w:r w:rsidR="003E2156" w:rsidRPr="00F932B6">
            <w:t>, K. (2017). Fruit and</w:t>
          </w:r>
        </w:sdtContent>
      </w:sdt>
      <w:r w:rsidR="003E2156" w:rsidRPr="00F932B6">
        <w:t xml:space="preserve"> </w:t>
      </w:r>
      <w:sdt>
        <w:sdtPr>
          <w:tag w:val="tii-similarity-SU5URVJORVRfa2VlcC5saWIuYXN1LmVkdQ=="/>
          <w:id w:val="229441668"/>
          <w:placeholder>
            <w:docPart w:val="DefaultPlaceholder_-1854013440"/>
          </w:placeholder>
          <w15:appearance w15:val="hidden"/>
        </w:sdtPr>
        <w:sdtEndPr/>
        <w:sdtContent>
          <w:r w:rsidR="003E2156" w:rsidRPr="00F932B6">
            <w:t>vegetable preferences and identification by kindergarteners through 2nd-graders with</w:t>
          </w:r>
        </w:sdtContent>
      </w:sdt>
      <w:r w:rsidR="003E2156" w:rsidRPr="00F932B6">
        <w:t xml:space="preserve"> </w:t>
      </w:r>
      <w:sdt>
        <w:sdtPr>
          <w:tag w:val="tii-similarity-SU5URVJORVRfa2VlcC5saWIuYXN1LmVkdQ=="/>
          <w:id w:val="-1186585709"/>
          <w:placeholder>
            <w:docPart w:val="DefaultPlaceholder_-1854013440"/>
          </w:placeholder>
          <w15:appearance w15:val="hidden"/>
        </w:sdtPr>
        <w:sdtEndPr/>
        <w:sdtContent>
          <w:r w:rsidR="003E2156" w:rsidRPr="00F932B6">
            <w:t>or without the US Department of Agriculture Fresh Fruit and Vegetable Program.</w:t>
          </w:r>
        </w:sdtContent>
      </w:sdt>
      <w:r w:rsidR="003E2156" w:rsidRPr="00F932B6">
        <w:t xml:space="preserve"> </w:t>
      </w:r>
      <w:sdt>
        <w:sdtPr>
          <w:tag w:val="tii-similarity-SU5URVJORVRfa2VlcC5saWIuYXN1LmVkdQ=="/>
          <w:id w:val="-774018367"/>
          <w:placeholder>
            <w:docPart w:val="DefaultPlaceholder_-1854013440"/>
          </w:placeholder>
          <w15:appearance w15:val="hidden"/>
        </w:sdtPr>
        <w:sdtEndPr/>
        <w:sdtContent>
          <w:r w:rsidR="003E2156" w:rsidRPr="00F932B6">
            <w:rPr>
              <w:i/>
            </w:rPr>
            <w:t>Journal of Nutrition Education and Behavior, 49</w:t>
          </w:r>
          <w:r w:rsidR="003E2156" w:rsidRPr="00F932B6">
            <w:t>(9), 752-758.</w:t>
          </w:r>
        </w:sdtContent>
      </w:sdt>
      <w:r w:rsidR="003E2156" w:rsidRPr="00F932B6">
        <w:t xml:space="preserve"> </w:t>
      </w:r>
      <w:sdt>
        <w:sdtPr>
          <w:tag w:val="tii-similarity-SU5URVJORVRfa2VlcC5saWIuYXN1LmVkdQ=="/>
          <w:id w:val="-1561631308"/>
          <w:placeholder>
            <w:docPart w:val="DefaultPlaceholder_-1854013440"/>
          </w:placeholder>
          <w15:appearance w15:val="hidden"/>
        </w:sdtPr>
        <w:sdtEndPr/>
        <w:sdtContent>
          <w:r w:rsidR="003E2156" w:rsidRPr="004130EA">
            <w:t>https://doi.org/10.1016/j.jneb.2017.05.349</w:t>
          </w:r>
        </w:sdtContent>
      </w:sdt>
    </w:p>
    <w:p w14:paraId="756C8C67" w14:textId="004DAE35" w:rsidR="003E2156" w:rsidRPr="00F932B6" w:rsidRDefault="003E2156" w:rsidP="008060F4">
      <w:pPr>
        <w:ind w:left="720" w:hanging="720"/>
      </w:pPr>
      <w:proofErr w:type="spellStart"/>
      <w:r w:rsidRPr="00F932B6">
        <w:t>Mavri</w:t>
      </w:r>
      <w:proofErr w:type="spellEnd"/>
      <w:r w:rsidRPr="00F932B6">
        <w:t xml:space="preserve">, A., Ioannou, A., &amp; Loizides, F. (2024). A model for enhancing creativity, collaboration and pre-professional identities in technology-supported cross-organizational communities of practice. </w:t>
      </w:r>
      <w:r w:rsidRPr="00F932B6">
        <w:rPr>
          <w:i/>
        </w:rPr>
        <w:t>Education and Information Technologies,</w:t>
      </w:r>
      <w:r w:rsidRPr="00F932B6">
        <w:rPr>
          <w:i/>
          <w:iCs/>
        </w:rPr>
        <w:t xml:space="preserve"> 29</w:t>
      </w:r>
      <w:r w:rsidRPr="00F932B6">
        <w:t xml:space="preserve">(1), 2391-2421. </w:t>
      </w:r>
      <w:r w:rsidR="413C2DAA" w:rsidRPr="004130EA">
        <w:t>https://doi.org/10.1007/s10639-023-12295-2</w:t>
      </w:r>
    </w:p>
    <w:p w14:paraId="195CA798" w14:textId="05C83AE9" w:rsidR="55890BB4" w:rsidRPr="00F932B6" w:rsidRDefault="55890BB4" w:rsidP="008060F4">
      <w:pPr>
        <w:ind w:left="720" w:hanging="720"/>
        <w:rPr>
          <w:rStyle w:val="Hyperlink"/>
        </w:rPr>
      </w:pPr>
      <w:r w:rsidRPr="00F932B6">
        <w:t>Merriam, S. B., &amp; Tisdell, E. J. (2016). Qualitative research: A guide to design and implementation (4th ed.). Jossey-Bass.</w:t>
      </w:r>
      <w:r w:rsidR="00E74443" w:rsidRPr="00F932B6">
        <w:t xml:space="preserve"> </w:t>
      </w:r>
      <w:r w:rsidRPr="00F932B6">
        <w:t>https://doi.org/10.1002/9781119003686</w:t>
      </w:r>
    </w:p>
    <w:p w14:paraId="72385988" w14:textId="4086C749" w:rsidR="008060F4" w:rsidRPr="00F932B6" w:rsidRDefault="0006044E" w:rsidP="008060F4">
      <w:pPr>
        <w:ind w:left="720" w:hanging="720"/>
      </w:pPr>
      <w:r w:rsidRPr="00F932B6">
        <w:t xml:space="preserve">National Agriculture in the Classroom. (2024). </w:t>
      </w:r>
      <w:sdt>
        <w:sdtPr>
          <w:tag w:val="tii-similarity-SU5URVJORVRfZmlsZXMuZXJpYy5lZC5nb3Y="/>
          <w:id w:val="-1540051184"/>
          <w:placeholder>
            <w:docPart w:val="DefaultPlaceholder_-1854013440"/>
          </w:placeholder>
          <w15:appearance w15:val="hidden"/>
        </w:sdtPr>
        <w:sdtEndPr/>
        <w:sdtContent>
          <w:r w:rsidRPr="00F932B6">
            <w:t>History of Agriculture in the</w:t>
          </w:r>
          <w:r w:rsidR="5A52F22C" w:rsidRPr="00F932B6">
            <w:t xml:space="preserve"> Classroom.</w:t>
          </w:r>
        </w:sdtContent>
      </w:sdt>
      <w:r w:rsidR="5A52F22C" w:rsidRPr="00F932B6">
        <w:t xml:space="preserve"> </w:t>
      </w:r>
      <w:sdt>
        <w:sdtPr>
          <w:tag w:val="tii-similarity-SU5URVJORVRfZmlsZXMuZXJpYy5lZC5nb3Y="/>
          <w:id w:val="-853812625"/>
          <w:placeholder>
            <w:docPart w:val="DefaultPlaceholder_-1854013440"/>
          </w:placeholder>
          <w15:appearance w15:val="hidden"/>
        </w:sdtPr>
        <w:sdtEndPr/>
        <w:sdtContent>
          <w:r w:rsidR="008060F4" w:rsidRPr="004130EA">
            <w:t>https://agclassroom.org</w:t>
          </w:r>
        </w:sdtContent>
      </w:sdt>
      <w:r w:rsidR="008060F4" w:rsidRPr="004130EA">
        <w:t>/mission/history/</w:t>
      </w:r>
    </w:p>
    <w:p w14:paraId="43FE350B" w14:textId="6EA5FD28" w:rsidR="005E34A1" w:rsidRPr="00F932B6" w:rsidRDefault="005E34A1" w:rsidP="008060F4">
      <w:pPr>
        <w:ind w:left="720" w:hanging="720"/>
      </w:pPr>
      <w:r w:rsidRPr="00F932B6">
        <w:t xml:space="preserve">National Institute of Food and Agriculture. (2023). Agriculture in the Classroom (AITC) program. U.S. Department of Agriculture. </w:t>
      </w:r>
      <w:r w:rsidRPr="004130EA">
        <w:rPr>
          <w:rFonts w:eastAsiaTheme="majorEastAsia"/>
        </w:rPr>
        <w:t>https://www.nifa.usda.gov/grants/programs/k-12-higher-education-programs/agriculture-classroom-aitc-program</w:t>
      </w:r>
    </w:p>
    <w:p w14:paraId="32FE7AB7" w14:textId="58F31E28" w:rsidR="00CA1885" w:rsidRPr="00F932B6" w:rsidRDefault="00492EA1" w:rsidP="008060F4">
      <w:pPr>
        <w:ind w:left="720" w:hanging="720"/>
        <w:rPr>
          <w:rStyle w:val="Hyperlink"/>
          <w:color w:val="000000"/>
          <w:u w:val="none"/>
        </w:rPr>
      </w:pPr>
      <w:sdt>
        <w:sdtPr>
          <w:rPr>
            <w:color w:val="000000" w:themeColor="text1"/>
            <w:u w:val="single"/>
          </w:rPr>
          <w:tag w:val="tii-similarity-SU5URVJORVRfYWFlYS53aWxkYXByaWNvdC5vcmc="/>
          <w:id w:val="-1116901536"/>
          <w:placeholder>
            <w:docPart w:val="DefaultPlaceholder_-1854013440"/>
          </w:placeholder>
          <w15:appearance w15:val="hidden"/>
        </w:sdtPr>
        <w:sdtEndPr/>
        <w:sdtContent>
          <w:r w:rsidR="00CA1885" w:rsidRPr="00F932B6">
            <w:rPr>
              <w:color w:val="000000" w:themeColor="text1"/>
            </w:rPr>
            <w:t>Peake, J.B., Rubenstein, E.D., &amp; Byrd, B. (2020). Content topic development for</w:t>
          </w:r>
        </w:sdtContent>
      </w:sdt>
      <w:r w:rsidR="00CA1885" w:rsidRPr="00F932B6">
        <w:rPr>
          <w:color w:val="000000" w:themeColor="text1"/>
        </w:rPr>
        <w:t xml:space="preserve"> </w:t>
      </w:r>
      <w:sdt>
        <w:sdtPr>
          <w:rPr>
            <w:color w:val="000000" w:themeColor="text1"/>
          </w:rPr>
          <w:tag w:val="tii-similarity-SU5URVJORVRfYWFlYS53aWxkYXByaWNvdC5vcmc="/>
          <w:id w:val="2066681052"/>
          <w:placeholder>
            <w:docPart w:val="DefaultPlaceholder_-1854013440"/>
          </w:placeholder>
          <w15:appearance w15:val="hidden"/>
        </w:sdtPr>
        <w:sdtEndPr/>
        <w:sdtContent>
          <w:r w:rsidR="00CA1885" w:rsidRPr="00F932B6">
            <w:rPr>
              <w:color w:val="000000" w:themeColor="text1"/>
            </w:rPr>
            <w:t xml:space="preserve">elementary agricultural education curriculum. </w:t>
          </w:r>
          <w:r w:rsidR="00CA1885" w:rsidRPr="00F932B6">
            <w:rPr>
              <w:i/>
              <w:color w:val="000000" w:themeColor="text1"/>
            </w:rPr>
            <w:t>Journal of Agricultural Education, 61</w:t>
          </w:r>
          <w:r w:rsidR="00CA1885" w:rsidRPr="00F932B6">
            <w:rPr>
              <w:color w:val="000000" w:themeColor="text1"/>
            </w:rPr>
            <w:t>(3),</w:t>
          </w:r>
        </w:sdtContent>
      </w:sdt>
      <w:r w:rsidR="00CA1885" w:rsidRPr="00F932B6">
        <w:rPr>
          <w:color w:val="000000" w:themeColor="text1"/>
        </w:rPr>
        <w:t xml:space="preserve"> </w:t>
      </w:r>
      <w:sdt>
        <w:sdtPr>
          <w:rPr>
            <w:color w:val="000000" w:themeColor="text1"/>
          </w:rPr>
          <w:tag w:val="tii-similarity-SU5URVJORVRfYWFlYS53aWxkYXByaWNvdC5vcmc="/>
          <w:id w:val="61991274"/>
          <w:placeholder>
            <w:docPart w:val="DefaultPlaceholder_-1854013440"/>
          </w:placeholder>
          <w15:appearance w15:val="hidden"/>
        </w:sdtPr>
        <w:sdtEndPr/>
        <w:sdtContent>
          <w:r w:rsidR="00CA1885" w:rsidRPr="00F932B6">
            <w:rPr>
              <w:color w:val="000000" w:themeColor="text1"/>
            </w:rPr>
            <w:t>101-111. https://doi.org/10.5032/jae.2020.03101</w:t>
          </w:r>
        </w:sdtContent>
      </w:sdt>
      <w:r w:rsidR="00CA1885" w:rsidRPr="00F932B6">
        <w:rPr>
          <w:color w:val="000000" w:themeColor="text1"/>
        </w:rPr>
        <w:t> </w:t>
      </w:r>
    </w:p>
    <w:p w14:paraId="3DF0482A" w14:textId="78CFC01A" w:rsidR="003E2156" w:rsidRPr="00F932B6" w:rsidRDefault="00492EA1" w:rsidP="008060F4">
      <w:pPr>
        <w:ind w:left="720" w:hanging="720"/>
        <w:rPr>
          <w:rStyle w:val="Hyperlink"/>
        </w:rPr>
      </w:pPr>
      <w:sdt>
        <w:sdtPr>
          <w:rPr>
            <w:color w:val="467886"/>
            <w:u w:val="single"/>
          </w:rPr>
          <w:tag w:val="tii-similarity-SU5URVJORVRfcmVwb3NpdG9yeS5saWIubmNzdS5lZHU="/>
          <w:id w:val="-1127234677"/>
          <w:placeholder>
            <w:docPart w:val="DefaultPlaceholder_-1854013440"/>
          </w:placeholder>
          <w15:appearance w15:val="hidden"/>
        </w:sdtPr>
        <w:sdtEndPr/>
        <w:sdtContent>
          <w:r w:rsidR="003E2156" w:rsidRPr="00F932B6">
            <w:t>Pense, S. L., Leising, J. G., Portillo, M. T., &amp; Igo, C. G. (2005). Comparative</w:t>
          </w:r>
        </w:sdtContent>
      </w:sdt>
      <w:r w:rsidR="003E2156" w:rsidRPr="00F932B6">
        <w:t xml:space="preserve"> </w:t>
      </w:r>
      <w:sdt>
        <w:sdtPr>
          <w:tag w:val="tii-similarity-SU5URVJORVRfcmVwb3NpdG9yeS5saWIubmNzdS5lZHU="/>
          <w:id w:val="-502966333"/>
          <w:placeholder>
            <w:docPart w:val="DefaultPlaceholder_-1854013440"/>
          </w:placeholder>
          <w15:appearance w15:val="hidden"/>
        </w:sdtPr>
        <w:sdtEndPr/>
        <w:sdtContent>
          <w:r w:rsidR="003E2156" w:rsidRPr="00F932B6">
            <w:t xml:space="preserve">assessment of student agricultural literacy in selected Agriculture </w:t>
          </w:r>
          <w:proofErr w:type="gramStart"/>
          <w:r w:rsidR="003E2156" w:rsidRPr="00F932B6">
            <w:t>In</w:t>
          </w:r>
          <w:proofErr w:type="gramEnd"/>
          <w:r w:rsidR="003E2156" w:rsidRPr="00F932B6">
            <w:t xml:space="preserve"> </w:t>
          </w:r>
          <w:proofErr w:type="gramStart"/>
          <w:r w:rsidR="003E2156" w:rsidRPr="00F932B6">
            <w:t>The</w:t>
          </w:r>
          <w:proofErr w:type="gramEnd"/>
          <w:r w:rsidR="003E2156" w:rsidRPr="00F932B6">
            <w:t xml:space="preserve"> Classroom</w:t>
          </w:r>
        </w:sdtContent>
      </w:sdt>
      <w:r w:rsidR="003E2156" w:rsidRPr="00F932B6">
        <w:t xml:space="preserve"> </w:t>
      </w:r>
      <w:sdt>
        <w:sdtPr>
          <w:tag w:val="tii-similarity-SU5URVJORVRfcmVwb3NpdG9yeS5saWIubmNzdS5lZHU="/>
          <w:id w:val="80725133"/>
          <w:placeholder>
            <w:docPart w:val="DefaultPlaceholder_-1854013440"/>
          </w:placeholder>
          <w15:appearance w15:val="hidden"/>
        </w:sdtPr>
        <w:sdtEndPr/>
        <w:sdtContent>
          <w:r w:rsidR="003E2156" w:rsidRPr="00F932B6">
            <w:t xml:space="preserve">programs. </w:t>
          </w:r>
          <w:r w:rsidR="003E2156" w:rsidRPr="00F932B6">
            <w:rPr>
              <w:i/>
            </w:rPr>
            <w:t>Journal of Agricultural Education, 46</w:t>
          </w:r>
          <w:r w:rsidR="003E2156" w:rsidRPr="00F932B6">
            <w:t>(3), 107–118.</w:t>
          </w:r>
        </w:sdtContent>
      </w:sdt>
      <w:r w:rsidR="003E2156" w:rsidRPr="00F932B6">
        <w:t xml:space="preserve"> </w:t>
      </w:r>
      <w:sdt>
        <w:sdtPr>
          <w:tag w:val="tii-similarity-SU5URVJORVRfcmVwb3NpdG9yeS5saWIubmNzdS5lZHU="/>
          <w:id w:val="-746345670"/>
          <w:placeholder>
            <w:docPart w:val="DefaultPlaceholder_-1854013440"/>
          </w:placeholder>
          <w15:appearance w15:val="hidden"/>
        </w:sdtPr>
        <w:sdtEndPr/>
        <w:sdtContent>
          <w:r w:rsidR="003E2156" w:rsidRPr="004130EA">
            <w:t>https://doi.org/10.5032/jae.2005.03107</w:t>
          </w:r>
        </w:sdtContent>
      </w:sdt>
    </w:p>
    <w:p w14:paraId="0417AF01" w14:textId="3ABA1F42" w:rsidR="003E2156" w:rsidRPr="00F932B6" w:rsidRDefault="003E2156" w:rsidP="008060F4">
      <w:pPr>
        <w:ind w:left="720" w:hanging="720"/>
      </w:pPr>
      <w:proofErr w:type="spellStart"/>
      <w:r w:rsidRPr="00F932B6">
        <w:t>Pitsoe</w:t>
      </w:r>
      <w:proofErr w:type="spellEnd"/>
      <w:r w:rsidRPr="00F932B6">
        <w:t xml:space="preserve">, V. J., &amp; Maila, W. M. (2013). Re-thinking teacher professional development through Schön's reflective practice and situated learning lenses. </w:t>
      </w:r>
      <w:r w:rsidRPr="00F932B6">
        <w:rPr>
          <w:i/>
        </w:rPr>
        <w:t>Mediterranean</w:t>
      </w:r>
      <w:r w:rsidRPr="00F932B6">
        <w:rPr>
          <w:i/>
          <w:iCs/>
        </w:rPr>
        <w:t xml:space="preserve"> </w:t>
      </w:r>
      <w:r w:rsidRPr="00F932B6">
        <w:rPr>
          <w:i/>
        </w:rPr>
        <w:t>Journal of Social Sciences, 4</w:t>
      </w:r>
      <w:r w:rsidRPr="00F932B6">
        <w:t xml:space="preserve">(3), 211-218. </w:t>
      </w:r>
      <w:r w:rsidR="413C2DAA" w:rsidRPr="004130EA">
        <w:t>https://doi.org/10.5901/mjss.2013.v4n3p211</w:t>
      </w:r>
    </w:p>
    <w:p w14:paraId="006E9FE0" w14:textId="68785D57" w:rsidR="00E43D2C" w:rsidRPr="00F932B6" w:rsidRDefault="00E43D2C" w:rsidP="00B74D8D">
      <w:pPr>
        <w:ind w:left="720" w:hanging="720"/>
      </w:pPr>
      <w:proofErr w:type="spellStart"/>
      <w:r w:rsidRPr="00F932B6">
        <w:t>Riessman</w:t>
      </w:r>
      <w:proofErr w:type="spellEnd"/>
      <w:r w:rsidRPr="00F932B6">
        <w:t xml:space="preserve">, C. K. (2008). </w:t>
      </w:r>
      <w:r w:rsidRPr="00F932B6">
        <w:rPr>
          <w:i/>
          <w:iCs/>
        </w:rPr>
        <w:t>Narrative methods for the human sciences.</w:t>
      </w:r>
      <w:r w:rsidRPr="00F932B6">
        <w:t xml:space="preserve"> SAGE Publications.</w:t>
      </w:r>
    </w:p>
    <w:p w14:paraId="4FAFAD9A" w14:textId="6FDB3882" w:rsidR="003E2156" w:rsidRPr="00F932B6" w:rsidRDefault="00492EA1" w:rsidP="008060F4">
      <w:pPr>
        <w:ind w:left="720" w:hanging="720"/>
        <w:rPr>
          <w:rStyle w:val="Hyperlink"/>
        </w:rPr>
      </w:pPr>
      <w:sdt>
        <w:sdtPr>
          <w:rPr>
            <w:color w:val="467886"/>
            <w:u w:val="single"/>
          </w:rPr>
          <w:tag w:val="tii-similarity-SU5URVJORVRfZW1lcmFsZGdyb3VwcHVibGlzaGluZy5jb20="/>
          <w:id w:val="1571233430"/>
          <w:placeholder>
            <w:docPart w:val="DefaultPlaceholder_-1854013440"/>
          </w:placeholder>
          <w15:appearance w15:val="hidden"/>
        </w:sdtPr>
        <w:sdtEndPr/>
        <w:sdtContent>
          <w:r w:rsidR="003E2156" w:rsidRPr="00F932B6">
            <w:t>Staudt Willet, K. B. (2019). Revisiting how and why educators use Twitter: Tweet</w:t>
          </w:r>
          <w:r w:rsidR="413C2DAA" w:rsidRPr="00F932B6">
            <w:t xml:space="preserve"> </w:t>
          </w:r>
          <w:r w:rsidR="003E2156" w:rsidRPr="00F932B6">
            <w:t>types</w:t>
          </w:r>
        </w:sdtContent>
      </w:sdt>
      <w:r w:rsidR="003E2156" w:rsidRPr="00F932B6">
        <w:t xml:space="preserve"> </w:t>
      </w:r>
      <w:sdt>
        <w:sdtPr>
          <w:tag w:val="tii-similarity-SU5URVJORVRfZW1lcmFsZGdyb3VwcHVibGlzaGluZy5jb20="/>
          <w:id w:val="220024524"/>
          <w:placeholder>
            <w:docPart w:val="DefaultPlaceholder_-1854013440"/>
          </w:placeholder>
          <w15:appearance w15:val="hidden"/>
        </w:sdtPr>
        <w:sdtEndPr/>
        <w:sdtContent>
          <w:r w:rsidR="003E2156" w:rsidRPr="00F932B6">
            <w:t xml:space="preserve">and purposes in #Edchat. </w:t>
          </w:r>
          <w:r w:rsidR="003E2156" w:rsidRPr="00F932B6">
            <w:rPr>
              <w:i/>
              <w:iCs/>
            </w:rPr>
            <w:t>Journal of Research on Technology in Education,</w:t>
          </w:r>
          <w:r w:rsidR="413C2DAA" w:rsidRPr="00F932B6">
            <w:rPr>
              <w:i/>
              <w:iCs/>
            </w:rPr>
            <w:t xml:space="preserve"> </w:t>
          </w:r>
          <w:r w:rsidR="003E2156" w:rsidRPr="00F932B6">
            <w:rPr>
              <w:i/>
              <w:iCs/>
            </w:rPr>
            <w:t>51</w:t>
          </w:r>
          <w:r w:rsidR="003E2156" w:rsidRPr="00F932B6">
            <w:t>(3),</w:t>
          </w:r>
        </w:sdtContent>
      </w:sdt>
      <w:r w:rsidR="003E2156" w:rsidRPr="00F932B6">
        <w:t xml:space="preserve"> </w:t>
      </w:r>
      <w:sdt>
        <w:sdtPr>
          <w:tag w:val="tii-similarity-SU5URVJORVRfZW1lcmFsZGdyb3VwcHVibGlzaGluZy5jb20="/>
          <w:id w:val="1590121567"/>
          <w:placeholder>
            <w:docPart w:val="DefaultPlaceholder_-1854013440"/>
          </w:placeholder>
          <w15:appearance w15:val="hidden"/>
        </w:sdtPr>
        <w:sdtEndPr/>
        <w:sdtContent>
          <w:r w:rsidR="003E2156" w:rsidRPr="00F932B6">
            <w:t xml:space="preserve">273-289. </w:t>
          </w:r>
          <w:r w:rsidR="413C2DAA" w:rsidRPr="004130EA">
            <w:t>https://doi.org/10.1080/15391523.2019.1611507</w:t>
          </w:r>
        </w:sdtContent>
      </w:sdt>
    </w:p>
    <w:p w14:paraId="24F0C8F7" w14:textId="23B64839" w:rsidR="003E2156" w:rsidRPr="00F932B6" w:rsidRDefault="00492EA1" w:rsidP="008060F4">
      <w:pPr>
        <w:ind w:left="720" w:hanging="720"/>
      </w:pPr>
      <w:sdt>
        <w:sdtPr>
          <w:tag w:val="tii-similarity-SU5URVJORVRfZW1lcmFsZGdyb3VwcHVibGlzaGluZy5jb20="/>
          <w:id w:val="534858852"/>
          <w:placeholder>
            <w:docPart w:val="DefaultPlaceholder_-1854013440"/>
          </w:placeholder>
          <w15:appearance w15:val="hidden"/>
        </w:sdtPr>
        <w:sdtEndPr/>
        <w:sdtContent>
          <w:r w:rsidR="003E2156" w:rsidRPr="00F932B6">
            <w:t>Staudt Willet, K. B. (2023). Early career teachers' expansion of professional learning</w:t>
          </w:r>
        </w:sdtContent>
      </w:sdt>
      <w:r w:rsidR="003E2156" w:rsidRPr="00F932B6">
        <w:t xml:space="preserve"> </w:t>
      </w:r>
      <w:sdt>
        <w:sdtPr>
          <w:tag w:val="tii-similarity-SU5URVJORVRfZW1lcmFsZGdyb3VwcHVibGlzaGluZy5jb20="/>
          <w:id w:val="1109780475"/>
          <w:placeholder>
            <w:docPart w:val="DefaultPlaceholder_-1854013440"/>
          </w:placeholder>
          <w15:appearance w15:val="hidden"/>
        </w:sdtPr>
        <w:sdtEndPr>
          <w:rPr>
            <w:i/>
          </w:rPr>
        </w:sdtEndPr>
        <w:sdtContent>
          <w:r w:rsidR="003E2156" w:rsidRPr="00F932B6">
            <w:t xml:space="preserve">networks with social media. </w:t>
          </w:r>
          <w:r w:rsidR="003E2156" w:rsidRPr="00F932B6">
            <w:rPr>
              <w:i/>
            </w:rPr>
            <w:t>Professional Development in Education</w:t>
          </w:r>
        </w:sdtContent>
      </w:sdt>
      <w:r w:rsidR="003E2156" w:rsidRPr="00F932B6">
        <w:rPr>
          <w:i/>
          <w:iCs/>
        </w:rPr>
        <w:t>, 50</w:t>
      </w:r>
      <w:r w:rsidR="003E2156" w:rsidRPr="00F932B6">
        <w:t xml:space="preserve">(2), 386-402. </w:t>
      </w:r>
      <w:r w:rsidR="413C2DAA" w:rsidRPr="004130EA">
        <w:t>https://doi.org/10.1080/19415257.2023.2178481</w:t>
      </w:r>
    </w:p>
    <w:p w14:paraId="3AB682F2" w14:textId="0A723D4F" w:rsidR="00332FCF" w:rsidRPr="00F932B6" w:rsidRDefault="00332FCF" w:rsidP="008060F4">
      <w:pPr>
        <w:ind w:left="720" w:hanging="720"/>
        <w:rPr>
          <w:rStyle w:val="Hyperlink"/>
        </w:rPr>
      </w:pPr>
      <w:r w:rsidRPr="00F932B6">
        <w:t>U.S. Department of Agriculture</w:t>
      </w:r>
      <w:r w:rsidR="5205B264" w:rsidRPr="00F932B6">
        <w:t>.</w:t>
      </w:r>
      <w:r w:rsidR="7B38A923" w:rsidRPr="00F932B6">
        <w:t xml:space="preserve"> (202</w:t>
      </w:r>
      <w:r w:rsidR="262BED5C" w:rsidRPr="00F932B6">
        <w:t>2</w:t>
      </w:r>
      <w:r w:rsidR="7B38A923" w:rsidRPr="00F932B6">
        <w:t>).</w:t>
      </w:r>
      <w:r w:rsidRPr="00F932B6">
        <w:t xml:space="preserve"> </w:t>
      </w:r>
      <w:r w:rsidRPr="00F932B6">
        <w:rPr>
          <w:i/>
          <w:iCs/>
        </w:rPr>
        <w:t>Agriculture</w:t>
      </w:r>
      <w:r w:rsidR="7B38A923" w:rsidRPr="00F932B6">
        <w:rPr>
          <w:i/>
          <w:iCs/>
        </w:rPr>
        <w:t xml:space="preserve"> </w:t>
      </w:r>
      <w:r w:rsidRPr="00F932B6">
        <w:rPr>
          <w:i/>
          <w:iCs/>
        </w:rPr>
        <w:t>and its related industries provide 10.4 percent of U.S</w:t>
      </w:r>
      <w:r w:rsidRPr="00F932B6">
        <w:t xml:space="preserve">. employment. </w:t>
      </w:r>
      <w:r w:rsidR="7B38A923" w:rsidRPr="00F932B6">
        <w:t>Retrieved</w:t>
      </w:r>
      <w:r w:rsidR="5218AEB2" w:rsidRPr="00F932B6">
        <w:t xml:space="preserve"> February 11, 2025, </w:t>
      </w:r>
      <w:r w:rsidR="7B38A923" w:rsidRPr="00F932B6">
        <w:t xml:space="preserve">from </w:t>
      </w:r>
      <w:r w:rsidR="7B38A923" w:rsidRPr="004130EA">
        <w:t>https://www.ers.usda.gov/data-products/chart-gallery/</w:t>
      </w:r>
      <w:r w:rsidR="7B38A923" w:rsidRPr="004130EA">
        <w:rPr>
          <w:rStyle w:val="Hyperlink"/>
          <w:color w:val="auto"/>
          <w:u w:val="none"/>
        </w:rPr>
        <w:t>chart-detail?chartId=58282</w:t>
      </w:r>
    </w:p>
    <w:p w14:paraId="64A5E672" w14:textId="42E7F427" w:rsidR="003E2156" w:rsidRPr="00F932B6" w:rsidRDefault="003E2156" w:rsidP="008060F4">
      <w:pPr>
        <w:ind w:left="720" w:hanging="720"/>
        <w:rPr>
          <w:rStyle w:val="Hyperlink"/>
        </w:rPr>
      </w:pPr>
      <w:r w:rsidRPr="00F932B6">
        <w:t xml:space="preserve">U.S. Department of Agriculture, Food and Nutrition Service. (n.d.). </w:t>
      </w:r>
      <w:r w:rsidRPr="00F932B6">
        <w:rPr>
          <w:i/>
          <w:iCs/>
        </w:rPr>
        <w:t xml:space="preserve">Fresh fruit and vegetable </w:t>
      </w:r>
      <w:r w:rsidRPr="00F932B6">
        <w:rPr>
          <w:i/>
        </w:rPr>
        <w:t>program.</w:t>
      </w:r>
      <w:r w:rsidRPr="00F932B6">
        <w:t xml:space="preserve"> Retrieved February 11, 2025, from </w:t>
      </w:r>
      <w:r w:rsidR="413C2DAA" w:rsidRPr="004130EA">
        <w:t>https://www.fns.usda.gov/ffvp/fresh-fruit-and-vegetable-program</w:t>
      </w:r>
    </w:p>
    <w:p w14:paraId="01BC5593" w14:textId="7698C291" w:rsidR="003E2156" w:rsidRPr="00F932B6" w:rsidRDefault="003E2156" w:rsidP="008060F4">
      <w:pPr>
        <w:ind w:left="720" w:hanging="720"/>
      </w:pPr>
      <w:r w:rsidRPr="00F932B6">
        <w:t xml:space="preserve">Van As, F. (2018). Communities of practice as a tool for continuing professional development of technology teachers' professional knowledge. </w:t>
      </w:r>
      <w:r w:rsidRPr="00F932B6">
        <w:rPr>
          <w:i/>
        </w:rPr>
        <w:t>International Journal of</w:t>
      </w:r>
      <w:r w:rsidRPr="00F932B6">
        <w:rPr>
          <w:i/>
          <w:iCs/>
        </w:rPr>
        <w:t xml:space="preserve"> </w:t>
      </w:r>
      <w:r w:rsidRPr="00F932B6">
        <w:rPr>
          <w:i/>
        </w:rPr>
        <w:t>Technology and Design Education, 28</w:t>
      </w:r>
      <w:r w:rsidRPr="00F932B6">
        <w:t xml:space="preserve">(2), 417-430. </w:t>
      </w:r>
      <w:r w:rsidR="413C2DAA" w:rsidRPr="004130EA">
        <w:t>https://doi.org/10.1007/s10798-017-9401-8</w:t>
      </w:r>
    </w:p>
    <w:p w14:paraId="6F7E0A21" w14:textId="0034C902" w:rsidR="003E2156" w:rsidRPr="00F932B6" w:rsidRDefault="00492EA1" w:rsidP="003A7255">
      <w:pPr>
        <w:ind w:left="720" w:hanging="720"/>
        <w:rPr>
          <w:rStyle w:val="Hyperlink"/>
        </w:rPr>
      </w:pPr>
      <w:sdt>
        <w:sdtPr>
          <w:rPr>
            <w:color w:val="467886"/>
            <w:u w:val="single"/>
          </w:rPr>
          <w:tag w:val="tii-similarity-U1VCTUlUVEVEX1dPUktfb2lkOjE6Mjg4NDAwMDc3MA=="/>
          <w:id w:val="-861283754"/>
          <w:placeholder>
            <w:docPart w:val="DefaultPlaceholder_-1854013440"/>
          </w:placeholder>
          <w15:appearance w15:val="hidden"/>
        </w:sdtPr>
        <w:sdtEndPr/>
        <w:sdtContent>
          <w:r w:rsidR="003E2156" w:rsidRPr="00F932B6">
            <w:t xml:space="preserve">Wells, N. M., Myers, B. M., Todd, L. E., </w:t>
          </w:r>
          <w:proofErr w:type="spellStart"/>
          <w:r w:rsidR="003E2156" w:rsidRPr="00F932B6">
            <w:t>Barale</w:t>
          </w:r>
          <w:proofErr w:type="spellEnd"/>
          <w:r w:rsidR="003E2156" w:rsidRPr="00F932B6">
            <w:t xml:space="preserve">, K., </w:t>
          </w:r>
          <w:proofErr w:type="spellStart"/>
          <w:r w:rsidR="003E2156" w:rsidRPr="00F932B6">
            <w:t>Gaolach</w:t>
          </w:r>
          <w:proofErr w:type="spellEnd"/>
          <w:r w:rsidR="003E2156" w:rsidRPr="00F932B6">
            <w:t>, B., Ferenz, G., &amp; Falk, E.</w:t>
          </w:r>
        </w:sdtContent>
      </w:sdt>
      <w:r w:rsidR="003E2156" w:rsidRPr="00F932B6">
        <w:t xml:space="preserve"> </w:t>
      </w:r>
      <w:sdt>
        <w:sdtPr>
          <w:tag w:val="tii-similarity-U1VCTUlUVEVEX1dPUktfb2lkOjE6Mjg4NDAwMDc3MA=="/>
          <w:id w:val="-469822417"/>
          <w:placeholder>
            <w:docPart w:val="DefaultPlaceholder_-1854013440"/>
          </w:placeholder>
          <w15:appearance w15:val="hidden"/>
        </w:sdtPr>
        <w:sdtEndPr/>
        <w:sdtContent>
          <w:r w:rsidR="003E2156" w:rsidRPr="00F932B6">
            <w:t>(2015). The effects of school gardens on children's science knowledge: A randomized</w:t>
          </w:r>
        </w:sdtContent>
      </w:sdt>
      <w:r w:rsidR="003E2156" w:rsidRPr="00F932B6">
        <w:t xml:space="preserve"> </w:t>
      </w:r>
      <w:sdt>
        <w:sdtPr>
          <w:tag w:val="tii-similarity-U1VCTUlUVEVEX1dPUktfb2lkOjE6Mjg4NDAwMDc3MA=="/>
          <w:id w:val="-614054713"/>
          <w:placeholder>
            <w:docPart w:val="DefaultPlaceholder_-1854013440"/>
          </w:placeholder>
          <w15:appearance w15:val="hidden"/>
        </w:sdtPr>
        <w:sdtEndPr>
          <w:rPr>
            <w:i/>
          </w:rPr>
        </w:sdtEndPr>
        <w:sdtContent>
          <w:r w:rsidR="003E2156" w:rsidRPr="00F932B6">
            <w:t xml:space="preserve">controlled trial of low-income elementary schools. International </w:t>
          </w:r>
          <w:r w:rsidR="003E2156" w:rsidRPr="00F932B6">
            <w:rPr>
              <w:i/>
            </w:rPr>
            <w:t>Journal of Science</w:t>
          </w:r>
        </w:sdtContent>
      </w:sdt>
      <w:r w:rsidR="003E2156" w:rsidRPr="00F932B6">
        <w:rPr>
          <w:i/>
          <w:iCs/>
        </w:rPr>
        <w:t xml:space="preserve"> </w:t>
      </w:r>
      <w:sdt>
        <w:sdtPr>
          <w:rPr>
            <w:i/>
            <w:iCs/>
          </w:rPr>
          <w:tag w:val="tii-similarity-U1VCTUlUVEVEX1dPUktfb2lkOjE6Mjg4NDAwMDc3MA=="/>
          <w:id w:val="-1251965777"/>
          <w:placeholder>
            <w:docPart w:val="DefaultPlaceholder_-1854013440"/>
          </w:placeholder>
          <w15:appearance w15:val="hidden"/>
        </w:sdtPr>
        <w:sdtEndPr>
          <w:rPr>
            <w:i w:val="0"/>
            <w:iCs w:val="0"/>
          </w:rPr>
        </w:sdtEndPr>
        <w:sdtContent>
          <w:r w:rsidR="003E2156" w:rsidRPr="00F932B6">
            <w:rPr>
              <w:i/>
            </w:rPr>
            <w:t>Education, 37</w:t>
          </w:r>
          <w:r w:rsidR="003E2156" w:rsidRPr="00F932B6">
            <w:t xml:space="preserve">(17), 2858–2878. </w:t>
          </w:r>
          <w:r w:rsidR="413C2DAA" w:rsidRPr="004130EA">
            <w:t>https://doi.org/10.1080/09500693.2015.1112048</w:t>
          </w:r>
        </w:sdtContent>
      </w:sdt>
    </w:p>
    <w:p w14:paraId="519C90DC" w14:textId="5E997671" w:rsidR="003E2156" w:rsidRPr="00F932B6" w:rsidRDefault="00492EA1" w:rsidP="008060F4">
      <w:pPr>
        <w:ind w:left="720" w:hanging="720"/>
        <w:rPr>
          <w:rStyle w:val="Hyperlink"/>
        </w:rPr>
      </w:pPr>
      <w:sdt>
        <w:sdtPr>
          <w:rPr>
            <w:color w:val="467886"/>
            <w:u w:val="single"/>
          </w:rPr>
          <w:tag w:val="tii-similarity-SU5URVJORVRfb3VjaS5kbnRiLmdvdi51YQ=="/>
          <w:id w:val="60065867"/>
          <w:placeholder>
            <w:docPart w:val="DefaultPlaceholder_-1854013440"/>
          </w:placeholder>
          <w15:appearance w15:val="hidden"/>
        </w:sdtPr>
        <w:sdtEndPr/>
        <w:sdtContent>
          <w:r w:rsidR="003E2156" w:rsidRPr="00F932B6">
            <w:t xml:space="preserve">Wenger, E. (1998). </w:t>
          </w:r>
          <w:r w:rsidR="003E2156" w:rsidRPr="00F932B6">
            <w:rPr>
              <w:i/>
            </w:rPr>
            <w:t>Communities of practice: Learning, meaning, and identity</w:t>
          </w:r>
          <w:r w:rsidR="003E2156" w:rsidRPr="00F932B6">
            <w:t>.</w:t>
          </w:r>
        </w:sdtContent>
      </w:sdt>
      <w:r w:rsidR="003E2156" w:rsidRPr="00F932B6">
        <w:t xml:space="preserve"> </w:t>
      </w:r>
      <w:sdt>
        <w:sdtPr>
          <w:tag w:val="tii-similarity-SU5URVJORVRfb3VjaS5kbnRiLmdvdi51YQ=="/>
          <w:id w:val="-1391954511"/>
          <w:placeholder>
            <w:docPart w:val="DefaultPlaceholder_-1854013440"/>
          </w:placeholder>
          <w15:appearance w15:val="hidden"/>
        </w:sdtPr>
        <w:sdtEndPr/>
        <w:sdtContent>
          <w:r w:rsidR="003E2156" w:rsidRPr="00F932B6">
            <w:t xml:space="preserve">Cambridge University Press. </w:t>
          </w:r>
          <w:r w:rsidR="413C2DAA" w:rsidRPr="004130EA">
            <w:t>https://doi.org/10.1017/CBO9780511803932</w:t>
          </w:r>
        </w:sdtContent>
      </w:sdt>
    </w:p>
    <w:p w14:paraId="2008BF51" w14:textId="0D1CD6C0" w:rsidR="003E2156" w:rsidRPr="008060F4" w:rsidRDefault="003E2156" w:rsidP="008060F4">
      <w:pPr>
        <w:ind w:left="720" w:hanging="720"/>
        <w:rPr>
          <w:rStyle w:val="Hyperlink"/>
        </w:rPr>
      </w:pPr>
      <w:r w:rsidRPr="00F932B6">
        <w:t xml:space="preserve">Williams, D. R., &amp; Dixon, P. S. (2013). Impact of garden-based learning on academic outcomes in schools: Synthesis of research between 1990 and 2010. </w:t>
      </w:r>
      <w:r w:rsidRPr="00F932B6">
        <w:rPr>
          <w:i/>
        </w:rPr>
        <w:t>Review of</w:t>
      </w:r>
      <w:r w:rsidRPr="00F932B6">
        <w:rPr>
          <w:i/>
          <w:iCs/>
        </w:rPr>
        <w:t xml:space="preserve"> </w:t>
      </w:r>
      <w:r w:rsidRPr="00F932B6">
        <w:rPr>
          <w:i/>
        </w:rPr>
        <w:t>Educational Research, 83</w:t>
      </w:r>
      <w:r w:rsidRPr="00F932B6">
        <w:t xml:space="preserve">(2), 211-235. </w:t>
      </w:r>
      <w:r w:rsidR="413C2DAA" w:rsidRPr="004130EA">
        <w:t>https://doi.org/10.3102/0034654313475824</w:t>
      </w:r>
    </w:p>
    <w:p w14:paraId="3A8A390A" w14:textId="783A2961" w:rsidR="5C98F63E" w:rsidRDefault="5C98F63E" w:rsidP="003E2156">
      <w:pPr>
        <w:ind w:left="720" w:hanging="720"/>
      </w:pPr>
    </w:p>
    <w:p w14:paraId="09A08EE4" w14:textId="77777777" w:rsidR="00DB1FAD" w:rsidRDefault="00DB1FAD" w:rsidP="003E2156">
      <w:pPr>
        <w:ind w:left="720" w:hanging="720"/>
      </w:pPr>
    </w:p>
    <w:p w14:paraId="018AD286" w14:textId="77777777" w:rsidR="00DB1FAD" w:rsidRDefault="00DB1FAD" w:rsidP="003E2156">
      <w:pPr>
        <w:ind w:left="720" w:hanging="720"/>
      </w:pPr>
    </w:p>
    <w:p w14:paraId="1BBB71E2" w14:textId="77777777" w:rsidR="00DB1FAD" w:rsidRDefault="00DB1FAD" w:rsidP="00DB1FAD">
      <w:pPr>
        <w:pStyle w:val="BodyText"/>
        <w:ind w:left="0" w:right="-50" w:firstLine="0"/>
        <w:rPr>
          <w:rFonts w:asciiTheme="majorBidi" w:hAnsiTheme="majorBidi" w:cstheme="majorBidi"/>
        </w:rPr>
      </w:pPr>
    </w:p>
    <w:p w14:paraId="64D01372" w14:textId="77777777" w:rsidR="00DB1FAD" w:rsidRDefault="00DB1FAD" w:rsidP="00DB1FAD">
      <w:pPr>
        <w:pStyle w:val="BodyText"/>
        <w:ind w:left="0" w:right="-50" w:firstLine="0"/>
        <w:rPr>
          <w:rFonts w:asciiTheme="majorBidi" w:hAnsiTheme="majorBidi" w:cstheme="majorBidi"/>
        </w:rPr>
      </w:pPr>
    </w:p>
    <w:p w14:paraId="74FBF9A7" w14:textId="77777777" w:rsidR="00DB1FAD" w:rsidRPr="004A0849" w:rsidRDefault="00DB1FAD" w:rsidP="00DB1FAD">
      <w:pPr>
        <w:pStyle w:val="BodyText"/>
        <w:ind w:left="0" w:right="-50" w:firstLine="0"/>
        <w:rPr>
          <w:rFonts w:asciiTheme="majorBidi" w:hAnsiTheme="majorBidi" w:cstheme="majorBidi"/>
        </w:rPr>
      </w:pPr>
    </w:p>
    <w:p w14:paraId="010C9A50" w14:textId="42A9B62A" w:rsidR="00DB1FAD" w:rsidRPr="004A0849" w:rsidRDefault="00DB1FAD" w:rsidP="00DB1FAD"/>
    <w:sectPr w:rsidR="00DB1FAD" w:rsidRPr="004A0849" w:rsidSect="009B7B7B">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67B9FE" w14:textId="77777777" w:rsidR="00492EA1" w:rsidRDefault="00492EA1" w:rsidP="00075B99">
      <w:r>
        <w:separator/>
      </w:r>
    </w:p>
  </w:endnote>
  <w:endnote w:type="continuationSeparator" w:id="0">
    <w:p w14:paraId="042CC86F" w14:textId="77777777" w:rsidR="00492EA1" w:rsidRDefault="00492EA1" w:rsidP="00075B99">
      <w:r>
        <w:continuationSeparator/>
      </w:r>
    </w:p>
  </w:endnote>
  <w:endnote w:type="continuationNotice" w:id="1">
    <w:p w14:paraId="5E4DF2A0" w14:textId="77777777" w:rsidR="00492EA1" w:rsidRDefault="00492E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0700301"/>
      <w:docPartObj>
        <w:docPartGallery w:val="Page Numbers (Bottom of Page)"/>
        <w:docPartUnique/>
      </w:docPartObj>
    </w:sdtPr>
    <w:sdtEndPr>
      <w:rPr>
        <w:noProof/>
      </w:rPr>
    </w:sdtEndPr>
    <w:sdtContent>
      <w:p w14:paraId="273150B0" w14:textId="13438A35" w:rsidR="00694DFB" w:rsidRDefault="00694DF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BEA647" w14:textId="0B67F03C" w:rsidR="699701EC" w:rsidRDefault="699701EC" w:rsidP="00D574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113B83" w14:textId="77777777" w:rsidR="00492EA1" w:rsidRDefault="00492EA1" w:rsidP="00075B99">
      <w:r>
        <w:separator/>
      </w:r>
    </w:p>
  </w:footnote>
  <w:footnote w:type="continuationSeparator" w:id="0">
    <w:p w14:paraId="543FF24B" w14:textId="77777777" w:rsidR="00492EA1" w:rsidRDefault="00492EA1" w:rsidP="00075B99">
      <w:r>
        <w:continuationSeparator/>
      </w:r>
    </w:p>
  </w:footnote>
  <w:footnote w:type="continuationNotice" w:id="1">
    <w:p w14:paraId="6ED1C968" w14:textId="77777777" w:rsidR="00492EA1" w:rsidRDefault="00492EA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40E1B" w14:textId="5307C127" w:rsidR="00075B99" w:rsidRPr="008E7A97" w:rsidRDefault="008E7A97" w:rsidP="008E7A97">
    <w:pPr>
      <w:pStyle w:val="Header"/>
      <w:jc w:val="right"/>
    </w:pPr>
    <w:r>
      <w:t>Teacher Preparation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495AF"/>
    <w:multiLevelType w:val="hybridMultilevel"/>
    <w:tmpl w:val="05A024FE"/>
    <w:lvl w:ilvl="0" w:tplc="75E2E2DE">
      <w:start w:val="1"/>
      <w:numFmt w:val="bullet"/>
      <w:lvlText w:val=""/>
      <w:lvlJc w:val="left"/>
      <w:pPr>
        <w:ind w:left="720" w:hanging="360"/>
      </w:pPr>
      <w:rPr>
        <w:rFonts w:ascii="Symbol" w:hAnsi="Symbol" w:hint="default"/>
      </w:rPr>
    </w:lvl>
    <w:lvl w:ilvl="1" w:tplc="05FC133A">
      <w:start w:val="1"/>
      <w:numFmt w:val="bullet"/>
      <w:lvlText w:val="o"/>
      <w:lvlJc w:val="left"/>
      <w:pPr>
        <w:ind w:left="1440" w:hanging="360"/>
      </w:pPr>
      <w:rPr>
        <w:rFonts w:ascii="Courier New" w:hAnsi="Courier New" w:hint="default"/>
      </w:rPr>
    </w:lvl>
    <w:lvl w:ilvl="2" w:tplc="1D1C44F0">
      <w:start w:val="1"/>
      <w:numFmt w:val="bullet"/>
      <w:lvlText w:val=""/>
      <w:lvlJc w:val="left"/>
      <w:pPr>
        <w:ind w:left="2160" w:hanging="360"/>
      </w:pPr>
      <w:rPr>
        <w:rFonts w:ascii="Wingdings" w:hAnsi="Wingdings" w:hint="default"/>
      </w:rPr>
    </w:lvl>
    <w:lvl w:ilvl="3" w:tplc="19FAE218">
      <w:start w:val="1"/>
      <w:numFmt w:val="bullet"/>
      <w:lvlText w:val=""/>
      <w:lvlJc w:val="left"/>
      <w:pPr>
        <w:ind w:left="2880" w:hanging="360"/>
      </w:pPr>
      <w:rPr>
        <w:rFonts w:ascii="Symbol" w:hAnsi="Symbol" w:hint="default"/>
      </w:rPr>
    </w:lvl>
    <w:lvl w:ilvl="4" w:tplc="49106302">
      <w:start w:val="1"/>
      <w:numFmt w:val="bullet"/>
      <w:lvlText w:val="o"/>
      <w:lvlJc w:val="left"/>
      <w:pPr>
        <w:ind w:left="3600" w:hanging="360"/>
      </w:pPr>
      <w:rPr>
        <w:rFonts w:ascii="Courier New" w:hAnsi="Courier New" w:hint="default"/>
      </w:rPr>
    </w:lvl>
    <w:lvl w:ilvl="5" w:tplc="C8A2A50A">
      <w:start w:val="1"/>
      <w:numFmt w:val="bullet"/>
      <w:lvlText w:val=""/>
      <w:lvlJc w:val="left"/>
      <w:pPr>
        <w:ind w:left="4320" w:hanging="360"/>
      </w:pPr>
      <w:rPr>
        <w:rFonts w:ascii="Wingdings" w:hAnsi="Wingdings" w:hint="default"/>
      </w:rPr>
    </w:lvl>
    <w:lvl w:ilvl="6" w:tplc="F2CE81FE">
      <w:start w:val="1"/>
      <w:numFmt w:val="bullet"/>
      <w:lvlText w:val=""/>
      <w:lvlJc w:val="left"/>
      <w:pPr>
        <w:ind w:left="5040" w:hanging="360"/>
      </w:pPr>
      <w:rPr>
        <w:rFonts w:ascii="Symbol" w:hAnsi="Symbol" w:hint="default"/>
      </w:rPr>
    </w:lvl>
    <w:lvl w:ilvl="7" w:tplc="5EB25232">
      <w:start w:val="1"/>
      <w:numFmt w:val="bullet"/>
      <w:lvlText w:val="o"/>
      <w:lvlJc w:val="left"/>
      <w:pPr>
        <w:ind w:left="5760" w:hanging="360"/>
      </w:pPr>
      <w:rPr>
        <w:rFonts w:ascii="Courier New" w:hAnsi="Courier New" w:hint="default"/>
      </w:rPr>
    </w:lvl>
    <w:lvl w:ilvl="8" w:tplc="DC82FC48">
      <w:start w:val="1"/>
      <w:numFmt w:val="bullet"/>
      <w:lvlText w:val=""/>
      <w:lvlJc w:val="left"/>
      <w:pPr>
        <w:ind w:left="6480" w:hanging="360"/>
      </w:pPr>
      <w:rPr>
        <w:rFonts w:ascii="Wingdings" w:hAnsi="Wingdings" w:hint="default"/>
      </w:rPr>
    </w:lvl>
  </w:abstractNum>
  <w:abstractNum w:abstractNumId="1" w15:restartNumberingAfterBreak="0">
    <w:nsid w:val="08CD5E0D"/>
    <w:multiLevelType w:val="hybridMultilevel"/>
    <w:tmpl w:val="3448371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8578D6A"/>
    <w:multiLevelType w:val="hybridMultilevel"/>
    <w:tmpl w:val="73C250E2"/>
    <w:lvl w:ilvl="0" w:tplc="6DE20BFC">
      <w:start w:val="1"/>
      <w:numFmt w:val="decimal"/>
      <w:lvlText w:val="%1."/>
      <w:lvlJc w:val="left"/>
      <w:pPr>
        <w:ind w:left="720" w:hanging="360"/>
      </w:pPr>
    </w:lvl>
    <w:lvl w:ilvl="1" w:tplc="2820A800">
      <w:start w:val="1"/>
      <w:numFmt w:val="lowerLetter"/>
      <w:lvlText w:val="%2."/>
      <w:lvlJc w:val="left"/>
      <w:pPr>
        <w:ind w:left="1440" w:hanging="360"/>
      </w:pPr>
    </w:lvl>
    <w:lvl w:ilvl="2" w:tplc="7C1A8FF8">
      <w:start w:val="1"/>
      <w:numFmt w:val="lowerRoman"/>
      <w:lvlText w:val="%3."/>
      <w:lvlJc w:val="right"/>
      <w:pPr>
        <w:ind w:left="2160" w:hanging="180"/>
      </w:pPr>
    </w:lvl>
    <w:lvl w:ilvl="3" w:tplc="B43CDD0C">
      <w:start w:val="1"/>
      <w:numFmt w:val="decimal"/>
      <w:lvlText w:val="%4."/>
      <w:lvlJc w:val="left"/>
      <w:pPr>
        <w:ind w:left="2880" w:hanging="360"/>
      </w:pPr>
    </w:lvl>
    <w:lvl w:ilvl="4" w:tplc="CF5CB7B4">
      <w:start w:val="1"/>
      <w:numFmt w:val="lowerLetter"/>
      <w:lvlText w:val="%5."/>
      <w:lvlJc w:val="left"/>
      <w:pPr>
        <w:ind w:left="3600" w:hanging="360"/>
      </w:pPr>
    </w:lvl>
    <w:lvl w:ilvl="5" w:tplc="282C68C2">
      <w:start w:val="1"/>
      <w:numFmt w:val="lowerRoman"/>
      <w:lvlText w:val="%6."/>
      <w:lvlJc w:val="right"/>
      <w:pPr>
        <w:ind w:left="4320" w:hanging="180"/>
      </w:pPr>
    </w:lvl>
    <w:lvl w:ilvl="6" w:tplc="6F069E08">
      <w:start w:val="1"/>
      <w:numFmt w:val="decimal"/>
      <w:lvlText w:val="%7."/>
      <w:lvlJc w:val="left"/>
      <w:pPr>
        <w:ind w:left="5040" w:hanging="360"/>
      </w:pPr>
    </w:lvl>
    <w:lvl w:ilvl="7" w:tplc="126C2822">
      <w:start w:val="1"/>
      <w:numFmt w:val="lowerLetter"/>
      <w:lvlText w:val="%8."/>
      <w:lvlJc w:val="left"/>
      <w:pPr>
        <w:ind w:left="5760" w:hanging="360"/>
      </w:pPr>
    </w:lvl>
    <w:lvl w:ilvl="8" w:tplc="F1087E7A">
      <w:start w:val="1"/>
      <w:numFmt w:val="lowerRoman"/>
      <w:lvlText w:val="%9."/>
      <w:lvlJc w:val="right"/>
      <w:pPr>
        <w:ind w:left="6480" w:hanging="180"/>
      </w:pPr>
    </w:lvl>
  </w:abstractNum>
  <w:abstractNum w:abstractNumId="3" w15:restartNumberingAfterBreak="0">
    <w:nsid w:val="32863EEF"/>
    <w:multiLevelType w:val="hybridMultilevel"/>
    <w:tmpl w:val="1BB07C3C"/>
    <w:lvl w:ilvl="0" w:tplc="9BE66AFA">
      <w:start w:val="1"/>
      <w:numFmt w:val="bullet"/>
      <w:lvlText w:val=""/>
      <w:lvlJc w:val="left"/>
      <w:pPr>
        <w:ind w:left="720" w:hanging="360"/>
      </w:pPr>
      <w:rPr>
        <w:rFonts w:ascii="Symbol" w:hAnsi="Symbol" w:hint="default"/>
      </w:rPr>
    </w:lvl>
    <w:lvl w:ilvl="1" w:tplc="93709B3E">
      <w:start w:val="1"/>
      <w:numFmt w:val="bullet"/>
      <w:lvlText w:val="o"/>
      <w:lvlJc w:val="left"/>
      <w:pPr>
        <w:ind w:left="1440" w:hanging="360"/>
      </w:pPr>
      <w:rPr>
        <w:rFonts w:ascii="Courier New" w:hAnsi="Courier New" w:hint="default"/>
      </w:rPr>
    </w:lvl>
    <w:lvl w:ilvl="2" w:tplc="1CB234AC">
      <w:start w:val="1"/>
      <w:numFmt w:val="bullet"/>
      <w:lvlText w:val=""/>
      <w:lvlJc w:val="left"/>
      <w:pPr>
        <w:ind w:left="2160" w:hanging="360"/>
      </w:pPr>
      <w:rPr>
        <w:rFonts w:ascii="Wingdings" w:hAnsi="Wingdings" w:hint="default"/>
      </w:rPr>
    </w:lvl>
    <w:lvl w:ilvl="3" w:tplc="1F36A7B6">
      <w:start w:val="1"/>
      <w:numFmt w:val="bullet"/>
      <w:lvlText w:val=""/>
      <w:lvlJc w:val="left"/>
      <w:pPr>
        <w:ind w:left="2880" w:hanging="360"/>
      </w:pPr>
      <w:rPr>
        <w:rFonts w:ascii="Symbol" w:hAnsi="Symbol" w:hint="default"/>
      </w:rPr>
    </w:lvl>
    <w:lvl w:ilvl="4" w:tplc="886C292A">
      <w:start w:val="1"/>
      <w:numFmt w:val="bullet"/>
      <w:lvlText w:val="o"/>
      <w:lvlJc w:val="left"/>
      <w:pPr>
        <w:ind w:left="3600" w:hanging="360"/>
      </w:pPr>
      <w:rPr>
        <w:rFonts w:ascii="Courier New" w:hAnsi="Courier New" w:hint="default"/>
      </w:rPr>
    </w:lvl>
    <w:lvl w:ilvl="5" w:tplc="76BA41F8">
      <w:start w:val="1"/>
      <w:numFmt w:val="bullet"/>
      <w:lvlText w:val=""/>
      <w:lvlJc w:val="left"/>
      <w:pPr>
        <w:ind w:left="4320" w:hanging="360"/>
      </w:pPr>
      <w:rPr>
        <w:rFonts w:ascii="Wingdings" w:hAnsi="Wingdings" w:hint="default"/>
      </w:rPr>
    </w:lvl>
    <w:lvl w:ilvl="6" w:tplc="54C0AD5A">
      <w:start w:val="1"/>
      <w:numFmt w:val="bullet"/>
      <w:lvlText w:val=""/>
      <w:lvlJc w:val="left"/>
      <w:pPr>
        <w:ind w:left="5040" w:hanging="360"/>
      </w:pPr>
      <w:rPr>
        <w:rFonts w:ascii="Symbol" w:hAnsi="Symbol" w:hint="default"/>
      </w:rPr>
    </w:lvl>
    <w:lvl w:ilvl="7" w:tplc="F41A418E">
      <w:start w:val="1"/>
      <w:numFmt w:val="bullet"/>
      <w:lvlText w:val="o"/>
      <w:lvlJc w:val="left"/>
      <w:pPr>
        <w:ind w:left="5760" w:hanging="360"/>
      </w:pPr>
      <w:rPr>
        <w:rFonts w:ascii="Courier New" w:hAnsi="Courier New" w:hint="default"/>
      </w:rPr>
    </w:lvl>
    <w:lvl w:ilvl="8" w:tplc="4E74174E">
      <w:start w:val="1"/>
      <w:numFmt w:val="bullet"/>
      <w:lvlText w:val=""/>
      <w:lvlJc w:val="left"/>
      <w:pPr>
        <w:ind w:left="6480" w:hanging="360"/>
      </w:pPr>
      <w:rPr>
        <w:rFonts w:ascii="Wingdings" w:hAnsi="Wingdings" w:hint="default"/>
      </w:rPr>
    </w:lvl>
  </w:abstractNum>
  <w:abstractNum w:abstractNumId="4" w15:restartNumberingAfterBreak="0">
    <w:nsid w:val="34544E47"/>
    <w:multiLevelType w:val="hybridMultilevel"/>
    <w:tmpl w:val="8A8C7E98"/>
    <w:lvl w:ilvl="0" w:tplc="F0825746">
      <w:start w:val="1"/>
      <w:numFmt w:val="bullet"/>
      <w:lvlText w:val=""/>
      <w:lvlJc w:val="left"/>
      <w:pPr>
        <w:ind w:left="720" w:hanging="360"/>
      </w:pPr>
      <w:rPr>
        <w:rFonts w:ascii="Symbol" w:hAnsi="Symbol" w:hint="default"/>
      </w:rPr>
    </w:lvl>
    <w:lvl w:ilvl="1" w:tplc="78EEACF0">
      <w:start w:val="1"/>
      <w:numFmt w:val="bullet"/>
      <w:lvlText w:val="o"/>
      <w:lvlJc w:val="left"/>
      <w:pPr>
        <w:ind w:left="1440" w:hanging="360"/>
      </w:pPr>
      <w:rPr>
        <w:rFonts w:ascii="Courier New" w:hAnsi="Courier New" w:hint="default"/>
      </w:rPr>
    </w:lvl>
    <w:lvl w:ilvl="2" w:tplc="F2C86664">
      <w:start w:val="1"/>
      <w:numFmt w:val="bullet"/>
      <w:lvlText w:val=""/>
      <w:lvlJc w:val="left"/>
      <w:pPr>
        <w:ind w:left="2160" w:hanging="360"/>
      </w:pPr>
      <w:rPr>
        <w:rFonts w:ascii="Wingdings" w:hAnsi="Wingdings" w:hint="default"/>
      </w:rPr>
    </w:lvl>
    <w:lvl w:ilvl="3" w:tplc="747AF6EC">
      <w:start w:val="1"/>
      <w:numFmt w:val="bullet"/>
      <w:lvlText w:val=""/>
      <w:lvlJc w:val="left"/>
      <w:pPr>
        <w:ind w:left="2880" w:hanging="360"/>
      </w:pPr>
      <w:rPr>
        <w:rFonts w:ascii="Symbol" w:hAnsi="Symbol" w:hint="default"/>
      </w:rPr>
    </w:lvl>
    <w:lvl w:ilvl="4" w:tplc="489C0564">
      <w:start w:val="1"/>
      <w:numFmt w:val="bullet"/>
      <w:lvlText w:val="o"/>
      <w:lvlJc w:val="left"/>
      <w:pPr>
        <w:ind w:left="3600" w:hanging="360"/>
      </w:pPr>
      <w:rPr>
        <w:rFonts w:ascii="Courier New" w:hAnsi="Courier New" w:hint="default"/>
      </w:rPr>
    </w:lvl>
    <w:lvl w:ilvl="5" w:tplc="0E867AFC">
      <w:start w:val="1"/>
      <w:numFmt w:val="bullet"/>
      <w:lvlText w:val=""/>
      <w:lvlJc w:val="left"/>
      <w:pPr>
        <w:ind w:left="4320" w:hanging="360"/>
      </w:pPr>
      <w:rPr>
        <w:rFonts w:ascii="Wingdings" w:hAnsi="Wingdings" w:hint="default"/>
      </w:rPr>
    </w:lvl>
    <w:lvl w:ilvl="6" w:tplc="9736768C">
      <w:start w:val="1"/>
      <w:numFmt w:val="bullet"/>
      <w:lvlText w:val=""/>
      <w:lvlJc w:val="left"/>
      <w:pPr>
        <w:ind w:left="5040" w:hanging="360"/>
      </w:pPr>
      <w:rPr>
        <w:rFonts w:ascii="Symbol" w:hAnsi="Symbol" w:hint="default"/>
      </w:rPr>
    </w:lvl>
    <w:lvl w:ilvl="7" w:tplc="55FC2944">
      <w:start w:val="1"/>
      <w:numFmt w:val="bullet"/>
      <w:lvlText w:val="o"/>
      <w:lvlJc w:val="left"/>
      <w:pPr>
        <w:ind w:left="5760" w:hanging="360"/>
      </w:pPr>
      <w:rPr>
        <w:rFonts w:ascii="Courier New" w:hAnsi="Courier New" w:hint="default"/>
      </w:rPr>
    </w:lvl>
    <w:lvl w:ilvl="8" w:tplc="646CDF2A">
      <w:start w:val="1"/>
      <w:numFmt w:val="bullet"/>
      <w:lvlText w:val=""/>
      <w:lvlJc w:val="left"/>
      <w:pPr>
        <w:ind w:left="6480" w:hanging="360"/>
      </w:pPr>
      <w:rPr>
        <w:rFonts w:ascii="Wingdings" w:hAnsi="Wingdings" w:hint="default"/>
      </w:rPr>
    </w:lvl>
  </w:abstractNum>
  <w:abstractNum w:abstractNumId="5" w15:restartNumberingAfterBreak="0">
    <w:nsid w:val="4C7742C8"/>
    <w:multiLevelType w:val="hybridMultilevel"/>
    <w:tmpl w:val="344837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71E723F"/>
    <w:multiLevelType w:val="multilevel"/>
    <w:tmpl w:val="516C00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94D4B2F"/>
    <w:multiLevelType w:val="hybridMultilevel"/>
    <w:tmpl w:val="62AA73D2"/>
    <w:lvl w:ilvl="0" w:tplc="04090001">
      <w:start w:val="1"/>
      <w:numFmt w:val="bullet"/>
      <w:lvlText w:val=""/>
      <w:lvlJc w:val="left"/>
      <w:pPr>
        <w:ind w:left="720" w:hanging="360"/>
      </w:pPr>
      <w:rPr>
        <w:rFonts w:ascii="Symbol" w:hAnsi="Symbol" w:hint="default"/>
      </w:rPr>
    </w:lvl>
    <w:lvl w:ilvl="1" w:tplc="2978603C">
      <w:start w:val="1"/>
      <w:numFmt w:val="bullet"/>
      <w:lvlText w:val="-"/>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B324FC4"/>
    <w:multiLevelType w:val="hybridMultilevel"/>
    <w:tmpl w:val="62420344"/>
    <w:lvl w:ilvl="0" w:tplc="8BD28C0E">
      <w:start w:val="1"/>
      <w:numFmt w:val="bullet"/>
      <w:lvlText w:val=""/>
      <w:lvlJc w:val="left"/>
      <w:pPr>
        <w:ind w:left="720" w:hanging="360"/>
      </w:pPr>
      <w:rPr>
        <w:rFonts w:ascii="Symbol" w:hAnsi="Symbol" w:hint="default"/>
      </w:rPr>
    </w:lvl>
    <w:lvl w:ilvl="1" w:tplc="6862E8D4">
      <w:start w:val="1"/>
      <w:numFmt w:val="bullet"/>
      <w:lvlText w:val="o"/>
      <w:lvlJc w:val="left"/>
      <w:pPr>
        <w:ind w:left="1440" w:hanging="360"/>
      </w:pPr>
      <w:rPr>
        <w:rFonts w:ascii="Courier New" w:hAnsi="Courier New" w:hint="default"/>
      </w:rPr>
    </w:lvl>
    <w:lvl w:ilvl="2" w:tplc="8AF4420E">
      <w:start w:val="1"/>
      <w:numFmt w:val="bullet"/>
      <w:lvlText w:val=""/>
      <w:lvlJc w:val="left"/>
      <w:pPr>
        <w:ind w:left="2160" w:hanging="360"/>
      </w:pPr>
      <w:rPr>
        <w:rFonts w:ascii="Wingdings" w:hAnsi="Wingdings" w:hint="default"/>
      </w:rPr>
    </w:lvl>
    <w:lvl w:ilvl="3" w:tplc="A560E6D6">
      <w:start w:val="1"/>
      <w:numFmt w:val="bullet"/>
      <w:lvlText w:val=""/>
      <w:lvlJc w:val="left"/>
      <w:pPr>
        <w:ind w:left="2880" w:hanging="360"/>
      </w:pPr>
      <w:rPr>
        <w:rFonts w:ascii="Symbol" w:hAnsi="Symbol" w:hint="default"/>
      </w:rPr>
    </w:lvl>
    <w:lvl w:ilvl="4" w:tplc="54BE5F74">
      <w:start w:val="1"/>
      <w:numFmt w:val="bullet"/>
      <w:lvlText w:val="o"/>
      <w:lvlJc w:val="left"/>
      <w:pPr>
        <w:ind w:left="3600" w:hanging="360"/>
      </w:pPr>
      <w:rPr>
        <w:rFonts w:ascii="Courier New" w:hAnsi="Courier New" w:hint="default"/>
      </w:rPr>
    </w:lvl>
    <w:lvl w:ilvl="5" w:tplc="60306F00">
      <w:start w:val="1"/>
      <w:numFmt w:val="bullet"/>
      <w:lvlText w:val=""/>
      <w:lvlJc w:val="left"/>
      <w:pPr>
        <w:ind w:left="4320" w:hanging="360"/>
      </w:pPr>
      <w:rPr>
        <w:rFonts w:ascii="Wingdings" w:hAnsi="Wingdings" w:hint="default"/>
      </w:rPr>
    </w:lvl>
    <w:lvl w:ilvl="6" w:tplc="E480897C">
      <w:start w:val="1"/>
      <w:numFmt w:val="bullet"/>
      <w:lvlText w:val=""/>
      <w:lvlJc w:val="left"/>
      <w:pPr>
        <w:ind w:left="5040" w:hanging="360"/>
      </w:pPr>
      <w:rPr>
        <w:rFonts w:ascii="Symbol" w:hAnsi="Symbol" w:hint="default"/>
      </w:rPr>
    </w:lvl>
    <w:lvl w:ilvl="7" w:tplc="03284F32">
      <w:start w:val="1"/>
      <w:numFmt w:val="bullet"/>
      <w:lvlText w:val="o"/>
      <w:lvlJc w:val="left"/>
      <w:pPr>
        <w:ind w:left="5760" w:hanging="360"/>
      </w:pPr>
      <w:rPr>
        <w:rFonts w:ascii="Courier New" w:hAnsi="Courier New" w:hint="default"/>
      </w:rPr>
    </w:lvl>
    <w:lvl w:ilvl="8" w:tplc="ACBC4796">
      <w:start w:val="1"/>
      <w:numFmt w:val="bullet"/>
      <w:lvlText w:val=""/>
      <w:lvlJc w:val="left"/>
      <w:pPr>
        <w:ind w:left="6480" w:hanging="360"/>
      </w:pPr>
      <w:rPr>
        <w:rFonts w:ascii="Wingdings" w:hAnsi="Wingdings" w:hint="default"/>
      </w:rPr>
    </w:lvl>
  </w:abstractNum>
  <w:num w:numId="1" w16cid:durableId="1739473278">
    <w:abstractNumId w:val="4"/>
  </w:num>
  <w:num w:numId="2" w16cid:durableId="1584532070">
    <w:abstractNumId w:val="0"/>
  </w:num>
  <w:num w:numId="3" w16cid:durableId="1653869636">
    <w:abstractNumId w:val="2"/>
  </w:num>
  <w:num w:numId="4" w16cid:durableId="715081378">
    <w:abstractNumId w:val="3"/>
  </w:num>
  <w:num w:numId="5" w16cid:durableId="614022968">
    <w:abstractNumId w:val="8"/>
  </w:num>
  <w:num w:numId="6" w16cid:durableId="74326614">
    <w:abstractNumId w:val="7"/>
  </w:num>
  <w:num w:numId="7" w16cid:durableId="2024086593">
    <w:abstractNumId w:val="5"/>
  </w:num>
  <w:num w:numId="8" w16cid:durableId="2040930867">
    <w:abstractNumId w:val="6"/>
  </w:num>
  <w:num w:numId="9" w16cid:durableId="13770432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3E35A77"/>
    <w:rsid w:val="0000652D"/>
    <w:rsid w:val="0001654A"/>
    <w:rsid w:val="00023CF9"/>
    <w:rsid w:val="00026B9A"/>
    <w:rsid w:val="00030275"/>
    <w:rsid w:val="0003328D"/>
    <w:rsid w:val="000360F2"/>
    <w:rsid w:val="00043F44"/>
    <w:rsid w:val="0004584B"/>
    <w:rsid w:val="000459EE"/>
    <w:rsid w:val="0004725E"/>
    <w:rsid w:val="000476E0"/>
    <w:rsid w:val="000509C6"/>
    <w:rsid w:val="00053BDB"/>
    <w:rsid w:val="000559E6"/>
    <w:rsid w:val="00057807"/>
    <w:rsid w:val="0006044E"/>
    <w:rsid w:val="000644EA"/>
    <w:rsid w:val="00064E41"/>
    <w:rsid w:val="0006557A"/>
    <w:rsid w:val="00066C7D"/>
    <w:rsid w:val="00073C18"/>
    <w:rsid w:val="00075317"/>
    <w:rsid w:val="00075B99"/>
    <w:rsid w:val="000762D4"/>
    <w:rsid w:val="00077E76"/>
    <w:rsid w:val="00082C8A"/>
    <w:rsid w:val="00083445"/>
    <w:rsid w:val="000839E1"/>
    <w:rsid w:val="00084260"/>
    <w:rsid w:val="00084B5A"/>
    <w:rsid w:val="000865FD"/>
    <w:rsid w:val="000915C5"/>
    <w:rsid w:val="000953A4"/>
    <w:rsid w:val="000975FC"/>
    <w:rsid w:val="00097848"/>
    <w:rsid w:val="00097BCD"/>
    <w:rsid w:val="000A0217"/>
    <w:rsid w:val="000A10C9"/>
    <w:rsid w:val="000A2FB9"/>
    <w:rsid w:val="000A31CE"/>
    <w:rsid w:val="000B262C"/>
    <w:rsid w:val="000B2A32"/>
    <w:rsid w:val="000C44A1"/>
    <w:rsid w:val="000C7B82"/>
    <w:rsid w:val="000D1263"/>
    <w:rsid w:val="000D6600"/>
    <w:rsid w:val="000D6F03"/>
    <w:rsid w:val="000E1D8E"/>
    <w:rsid w:val="000E2A44"/>
    <w:rsid w:val="000F0E2F"/>
    <w:rsid w:val="000F2ED4"/>
    <w:rsid w:val="000F65F0"/>
    <w:rsid w:val="000F7C71"/>
    <w:rsid w:val="0010052C"/>
    <w:rsid w:val="0010100A"/>
    <w:rsid w:val="00102E50"/>
    <w:rsid w:val="001104CA"/>
    <w:rsid w:val="00111055"/>
    <w:rsid w:val="0011393F"/>
    <w:rsid w:val="001139CD"/>
    <w:rsid w:val="00122D56"/>
    <w:rsid w:val="00124C53"/>
    <w:rsid w:val="001310BE"/>
    <w:rsid w:val="001369CA"/>
    <w:rsid w:val="00137DA6"/>
    <w:rsid w:val="00142513"/>
    <w:rsid w:val="00144159"/>
    <w:rsid w:val="0014602E"/>
    <w:rsid w:val="00146D45"/>
    <w:rsid w:val="00151AC5"/>
    <w:rsid w:val="00152AA8"/>
    <w:rsid w:val="0015381F"/>
    <w:rsid w:val="00154A00"/>
    <w:rsid w:val="00155851"/>
    <w:rsid w:val="00166E1B"/>
    <w:rsid w:val="00173C92"/>
    <w:rsid w:val="00175448"/>
    <w:rsid w:val="00181C42"/>
    <w:rsid w:val="00181D2A"/>
    <w:rsid w:val="001928B8"/>
    <w:rsid w:val="001946B4"/>
    <w:rsid w:val="001949F8"/>
    <w:rsid w:val="001A2D42"/>
    <w:rsid w:val="001A493C"/>
    <w:rsid w:val="001B4510"/>
    <w:rsid w:val="001B5A6A"/>
    <w:rsid w:val="001C02EB"/>
    <w:rsid w:val="001C0CC9"/>
    <w:rsid w:val="001C482F"/>
    <w:rsid w:val="001D10BB"/>
    <w:rsid w:val="001D78A2"/>
    <w:rsid w:val="001E153A"/>
    <w:rsid w:val="001E1DA4"/>
    <w:rsid w:val="001E301C"/>
    <w:rsid w:val="001F00AF"/>
    <w:rsid w:val="001F0398"/>
    <w:rsid w:val="001F1C9A"/>
    <w:rsid w:val="001F4315"/>
    <w:rsid w:val="001F4936"/>
    <w:rsid w:val="001F5BDA"/>
    <w:rsid w:val="001F5E77"/>
    <w:rsid w:val="001F754C"/>
    <w:rsid w:val="002032B6"/>
    <w:rsid w:val="00203992"/>
    <w:rsid w:val="00205FC7"/>
    <w:rsid w:val="0020701E"/>
    <w:rsid w:val="0021114D"/>
    <w:rsid w:val="0021519B"/>
    <w:rsid w:val="00215B82"/>
    <w:rsid w:val="0022057C"/>
    <w:rsid w:val="00222C0B"/>
    <w:rsid w:val="00224832"/>
    <w:rsid w:val="00225482"/>
    <w:rsid w:val="00232F80"/>
    <w:rsid w:val="0023360C"/>
    <w:rsid w:val="00234518"/>
    <w:rsid w:val="002415F5"/>
    <w:rsid w:val="002424A5"/>
    <w:rsid w:val="00250774"/>
    <w:rsid w:val="00254DFA"/>
    <w:rsid w:val="00255F8B"/>
    <w:rsid w:val="002560AA"/>
    <w:rsid w:val="00264371"/>
    <w:rsid w:val="0026438E"/>
    <w:rsid w:val="00273FA5"/>
    <w:rsid w:val="002750CB"/>
    <w:rsid w:val="00277FCC"/>
    <w:rsid w:val="002814ED"/>
    <w:rsid w:val="00283F50"/>
    <w:rsid w:val="00292E87"/>
    <w:rsid w:val="00295842"/>
    <w:rsid w:val="002A1A43"/>
    <w:rsid w:val="002A1E8F"/>
    <w:rsid w:val="002A5E31"/>
    <w:rsid w:val="002A71E6"/>
    <w:rsid w:val="002B5DAF"/>
    <w:rsid w:val="002B5DC1"/>
    <w:rsid w:val="002C42E0"/>
    <w:rsid w:val="002C61D0"/>
    <w:rsid w:val="002D4FF6"/>
    <w:rsid w:val="002D7498"/>
    <w:rsid w:val="002D7734"/>
    <w:rsid w:val="002E0DB2"/>
    <w:rsid w:val="002E2082"/>
    <w:rsid w:val="002E21E1"/>
    <w:rsid w:val="002E6AA2"/>
    <w:rsid w:val="002F026C"/>
    <w:rsid w:val="002F2A91"/>
    <w:rsid w:val="002F3161"/>
    <w:rsid w:val="002F497C"/>
    <w:rsid w:val="002F5637"/>
    <w:rsid w:val="002F6B5A"/>
    <w:rsid w:val="00302534"/>
    <w:rsid w:val="00307432"/>
    <w:rsid w:val="0031376C"/>
    <w:rsid w:val="003157F4"/>
    <w:rsid w:val="00317A61"/>
    <w:rsid w:val="003238EA"/>
    <w:rsid w:val="00327D5B"/>
    <w:rsid w:val="00330471"/>
    <w:rsid w:val="003305EA"/>
    <w:rsid w:val="0033234C"/>
    <w:rsid w:val="00332FCF"/>
    <w:rsid w:val="00335BFD"/>
    <w:rsid w:val="003432F4"/>
    <w:rsid w:val="00343310"/>
    <w:rsid w:val="00345160"/>
    <w:rsid w:val="00345B18"/>
    <w:rsid w:val="00353350"/>
    <w:rsid w:val="003556B8"/>
    <w:rsid w:val="00355B59"/>
    <w:rsid w:val="00356A5F"/>
    <w:rsid w:val="003658B7"/>
    <w:rsid w:val="0036650C"/>
    <w:rsid w:val="00366994"/>
    <w:rsid w:val="00367F73"/>
    <w:rsid w:val="0036EF21"/>
    <w:rsid w:val="00372919"/>
    <w:rsid w:val="003751EB"/>
    <w:rsid w:val="00375D81"/>
    <w:rsid w:val="00375FBB"/>
    <w:rsid w:val="003774CB"/>
    <w:rsid w:val="00380AFE"/>
    <w:rsid w:val="00382923"/>
    <w:rsid w:val="00387699"/>
    <w:rsid w:val="0039028E"/>
    <w:rsid w:val="0039139E"/>
    <w:rsid w:val="00394674"/>
    <w:rsid w:val="003959A3"/>
    <w:rsid w:val="0039680D"/>
    <w:rsid w:val="00396FED"/>
    <w:rsid w:val="003A0DE6"/>
    <w:rsid w:val="003A3C22"/>
    <w:rsid w:val="003A7255"/>
    <w:rsid w:val="003A77D4"/>
    <w:rsid w:val="003B1FB9"/>
    <w:rsid w:val="003B21C7"/>
    <w:rsid w:val="003B4046"/>
    <w:rsid w:val="003C2700"/>
    <w:rsid w:val="003D1FCF"/>
    <w:rsid w:val="003D470A"/>
    <w:rsid w:val="003D4D64"/>
    <w:rsid w:val="003E2156"/>
    <w:rsid w:val="003E3499"/>
    <w:rsid w:val="003E3AA6"/>
    <w:rsid w:val="003E4D76"/>
    <w:rsid w:val="003E6AE9"/>
    <w:rsid w:val="003E6C7E"/>
    <w:rsid w:val="003F2BBF"/>
    <w:rsid w:val="003F6ED3"/>
    <w:rsid w:val="003F7903"/>
    <w:rsid w:val="00401122"/>
    <w:rsid w:val="004076FE"/>
    <w:rsid w:val="00411395"/>
    <w:rsid w:val="00412734"/>
    <w:rsid w:val="004130EA"/>
    <w:rsid w:val="00413DCB"/>
    <w:rsid w:val="0041769B"/>
    <w:rsid w:val="00425AC6"/>
    <w:rsid w:val="0042760E"/>
    <w:rsid w:val="00427E51"/>
    <w:rsid w:val="00430B36"/>
    <w:rsid w:val="00432C28"/>
    <w:rsid w:val="004338E2"/>
    <w:rsid w:val="00442B01"/>
    <w:rsid w:val="00446968"/>
    <w:rsid w:val="004472AE"/>
    <w:rsid w:val="004508FD"/>
    <w:rsid w:val="00461BD0"/>
    <w:rsid w:val="0046587F"/>
    <w:rsid w:val="00465BF3"/>
    <w:rsid w:val="00466962"/>
    <w:rsid w:val="004738A9"/>
    <w:rsid w:val="00473AE3"/>
    <w:rsid w:val="00480AED"/>
    <w:rsid w:val="0048462A"/>
    <w:rsid w:val="00486D8B"/>
    <w:rsid w:val="00487784"/>
    <w:rsid w:val="004909B3"/>
    <w:rsid w:val="00492535"/>
    <w:rsid w:val="00492EA1"/>
    <w:rsid w:val="00494AC3"/>
    <w:rsid w:val="00494D9F"/>
    <w:rsid w:val="004951B2"/>
    <w:rsid w:val="00496266"/>
    <w:rsid w:val="00496EEE"/>
    <w:rsid w:val="004B0FFC"/>
    <w:rsid w:val="004B7EC8"/>
    <w:rsid w:val="004C2D5D"/>
    <w:rsid w:val="004C6F15"/>
    <w:rsid w:val="004D43DB"/>
    <w:rsid w:val="004D5007"/>
    <w:rsid w:val="004D5CBE"/>
    <w:rsid w:val="004D6D16"/>
    <w:rsid w:val="004E2D67"/>
    <w:rsid w:val="004E50A3"/>
    <w:rsid w:val="004E7F04"/>
    <w:rsid w:val="004F1367"/>
    <w:rsid w:val="004F16C8"/>
    <w:rsid w:val="004F4701"/>
    <w:rsid w:val="004F4919"/>
    <w:rsid w:val="004F51D4"/>
    <w:rsid w:val="00503109"/>
    <w:rsid w:val="00503D4D"/>
    <w:rsid w:val="00503DCC"/>
    <w:rsid w:val="00505EA7"/>
    <w:rsid w:val="0051132A"/>
    <w:rsid w:val="0051150D"/>
    <w:rsid w:val="005148E8"/>
    <w:rsid w:val="00517D7C"/>
    <w:rsid w:val="00521C72"/>
    <w:rsid w:val="005252E5"/>
    <w:rsid w:val="00544074"/>
    <w:rsid w:val="00551236"/>
    <w:rsid w:val="00551FF8"/>
    <w:rsid w:val="005601E2"/>
    <w:rsid w:val="005603C7"/>
    <w:rsid w:val="0056269F"/>
    <w:rsid w:val="00563543"/>
    <w:rsid w:val="00564120"/>
    <w:rsid w:val="005644B3"/>
    <w:rsid w:val="00586EE3"/>
    <w:rsid w:val="00597F2B"/>
    <w:rsid w:val="005A029C"/>
    <w:rsid w:val="005A0666"/>
    <w:rsid w:val="005A2D1F"/>
    <w:rsid w:val="005A30ED"/>
    <w:rsid w:val="005A5BC6"/>
    <w:rsid w:val="005A5FA4"/>
    <w:rsid w:val="005B545E"/>
    <w:rsid w:val="005B67D4"/>
    <w:rsid w:val="005C05F4"/>
    <w:rsid w:val="005C15B3"/>
    <w:rsid w:val="005C190A"/>
    <w:rsid w:val="005C19DE"/>
    <w:rsid w:val="005C1BD5"/>
    <w:rsid w:val="005C1EA7"/>
    <w:rsid w:val="005C39F6"/>
    <w:rsid w:val="005C5EF2"/>
    <w:rsid w:val="005D0473"/>
    <w:rsid w:val="005D10D7"/>
    <w:rsid w:val="005D115F"/>
    <w:rsid w:val="005D2230"/>
    <w:rsid w:val="005D43F8"/>
    <w:rsid w:val="005D5F5A"/>
    <w:rsid w:val="005D6E4E"/>
    <w:rsid w:val="005E34A1"/>
    <w:rsid w:val="005E4D52"/>
    <w:rsid w:val="005E5132"/>
    <w:rsid w:val="005E749D"/>
    <w:rsid w:val="005F3D2B"/>
    <w:rsid w:val="005F682C"/>
    <w:rsid w:val="00605C41"/>
    <w:rsid w:val="00606E8F"/>
    <w:rsid w:val="00607F6F"/>
    <w:rsid w:val="0061331C"/>
    <w:rsid w:val="0061389C"/>
    <w:rsid w:val="006148F2"/>
    <w:rsid w:val="00615E10"/>
    <w:rsid w:val="0062251B"/>
    <w:rsid w:val="00624008"/>
    <w:rsid w:val="006255F2"/>
    <w:rsid w:val="0063017C"/>
    <w:rsid w:val="00634A47"/>
    <w:rsid w:val="0063616F"/>
    <w:rsid w:val="0063679D"/>
    <w:rsid w:val="00636DD5"/>
    <w:rsid w:val="0064041D"/>
    <w:rsid w:val="00644A78"/>
    <w:rsid w:val="00647C05"/>
    <w:rsid w:val="00650655"/>
    <w:rsid w:val="006506E3"/>
    <w:rsid w:val="006508D7"/>
    <w:rsid w:val="00657019"/>
    <w:rsid w:val="006579D1"/>
    <w:rsid w:val="00660EAD"/>
    <w:rsid w:val="0066186B"/>
    <w:rsid w:val="00664D9F"/>
    <w:rsid w:val="00667FF9"/>
    <w:rsid w:val="006718EF"/>
    <w:rsid w:val="00673703"/>
    <w:rsid w:val="00675102"/>
    <w:rsid w:val="00680343"/>
    <w:rsid w:val="006836AE"/>
    <w:rsid w:val="006836BB"/>
    <w:rsid w:val="006844F2"/>
    <w:rsid w:val="006924F6"/>
    <w:rsid w:val="00694DFB"/>
    <w:rsid w:val="006968A3"/>
    <w:rsid w:val="006971DB"/>
    <w:rsid w:val="00697FD0"/>
    <w:rsid w:val="006A696E"/>
    <w:rsid w:val="006B0745"/>
    <w:rsid w:val="006B7F34"/>
    <w:rsid w:val="006C3DF9"/>
    <w:rsid w:val="006C49AA"/>
    <w:rsid w:val="006C4CAF"/>
    <w:rsid w:val="006C62F9"/>
    <w:rsid w:val="006D2609"/>
    <w:rsid w:val="006D27D1"/>
    <w:rsid w:val="006D7D4B"/>
    <w:rsid w:val="006E25E4"/>
    <w:rsid w:val="006E5540"/>
    <w:rsid w:val="006E55EC"/>
    <w:rsid w:val="006F2DFE"/>
    <w:rsid w:val="006F3022"/>
    <w:rsid w:val="006F325D"/>
    <w:rsid w:val="006F39BD"/>
    <w:rsid w:val="006F42BA"/>
    <w:rsid w:val="006F7D1F"/>
    <w:rsid w:val="0070147D"/>
    <w:rsid w:val="00704B9E"/>
    <w:rsid w:val="00706D8A"/>
    <w:rsid w:val="00711A58"/>
    <w:rsid w:val="00711B41"/>
    <w:rsid w:val="007123DF"/>
    <w:rsid w:val="00720682"/>
    <w:rsid w:val="007234E4"/>
    <w:rsid w:val="00736D32"/>
    <w:rsid w:val="0073771E"/>
    <w:rsid w:val="0074133C"/>
    <w:rsid w:val="00742CDD"/>
    <w:rsid w:val="00743C5F"/>
    <w:rsid w:val="00745EEB"/>
    <w:rsid w:val="00750471"/>
    <w:rsid w:val="00756FAF"/>
    <w:rsid w:val="007668A1"/>
    <w:rsid w:val="00774355"/>
    <w:rsid w:val="00776F41"/>
    <w:rsid w:val="00777A85"/>
    <w:rsid w:val="00777CA7"/>
    <w:rsid w:val="0078020B"/>
    <w:rsid w:val="0078038E"/>
    <w:rsid w:val="00783992"/>
    <w:rsid w:val="00783C37"/>
    <w:rsid w:val="00786672"/>
    <w:rsid w:val="007970A5"/>
    <w:rsid w:val="007A3BB2"/>
    <w:rsid w:val="007A4247"/>
    <w:rsid w:val="007A719C"/>
    <w:rsid w:val="007B7B9A"/>
    <w:rsid w:val="007B7F04"/>
    <w:rsid w:val="007C42BA"/>
    <w:rsid w:val="007C5F52"/>
    <w:rsid w:val="007C64CE"/>
    <w:rsid w:val="007D7F58"/>
    <w:rsid w:val="007E1B37"/>
    <w:rsid w:val="007E5182"/>
    <w:rsid w:val="007E5F07"/>
    <w:rsid w:val="007F0869"/>
    <w:rsid w:val="007F27F5"/>
    <w:rsid w:val="008060F4"/>
    <w:rsid w:val="00806959"/>
    <w:rsid w:val="008132E7"/>
    <w:rsid w:val="00813A75"/>
    <w:rsid w:val="00821724"/>
    <w:rsid w:val="00822698"/>
    <w:rsid w:val="008238F5"/>
    <w:rsid w:val="00824130"/>
    <w:rsid w:val="00824249"/>
    <w:rsid w:val="00830C31"/>
    <w:rsid w:val="008331D3"/>
    <w:rsid w:val="008348F1"/>
    <w:rsid w:val="008359E0"/>
    <w:rsid w:val="00835AB5"/>
    <w:rsid w:val="00841E9F"/>
    <w:rsid w:val="008436DC"/>
    <w:rsid w:val="00846824"/>
    <w:rsid w:val="0085074F"/>
    <w:rsid w:val="00850838"/>
    <w:rsid w:val="008526D7"/>
    <w:rsid w:val="00853ED4"/>
    <w:rsid w:val="00854C43"/>
    <w:rsid w:val="00855D04"/>
    <w:rsid w:val="00861DCD"/>
    <w:rsid w:val="00861E8F"/>
    <w:rsid w:val="00863C45"/>
    <w:rsid w:val="00864A68"/>
    <w:rsid w:val="00865FBC"/>
    <w:rsid w:val="00871004"/>
    <w:rsid w:val="008771D7"/>
    <w:rsid w:val="00877E63"/>
    <w:rsid w:val="00880329"/>
    <w:rsid w:val="00891587"/>
    <w:rsid w:val="008A2D31"/>
    <w:rsid w:val="008A41DB"/>
    <w:rsid w:val="008A661E"/>
    <w:rsid w:val="008A6686"/>
    <w:rsid w:val="008A75E2"/>
    <w:rsid w:val="008B3608"/>
    <w:rsid w:val="008B4E66"/>
    <w:rsid w:val="008B5B1B"/>
    <w:rsid w:val="008B6931"/>
    <w:rsid w:val="008C195B"/>
    <w:rsid w:val="008C66A0"/>
    <w:rsid w:val="008C7371"/>
    <w:rsid w:val="008C9A46"/>
    <w:rsid w:val="008D22CE"/>
    <w:rsid w:val="008D341B"/>
    <w:rsid w:val="008D6B86"/>
    <w:rsid w:val="008D7F3D"/>
    <w:rsid w:val="008E17D2"/>
    <w:rsid w:val="008E18E0"/>
    <w:rsid w:val="008E1FC2"/>
    <w:rsid w:val="008E258C"/>
    <w:rsid w:val="008E659F"/>
    <w:rsid w:val="008E6F94"/>
    <w:rsid w:val="008E7A97"/>
    <w:rsid w:val="008F0256"/>
    <w:rsid w:val="008F42A0"/>
    <w:rsid w:val="008F50DA"/>
    <w:rsid w:val="008F51B2"/>
    <w:rsid w:val="0090183F"/>
    <w:rsid w:val="009025E0"/>
    <w:rsid w:val="00910D1D"/>
    <w:rsid w:val="00912376"/>
    <w:rsid w:val="009161CE"/>
    <w:rsid w:val="00917282"/>
    <w:rsid w:val="009173E7"/>
    <w:rsid w:val="0092012C"/>
    <w:rsid w:val="00924209"/>
    <w:rsid w:val="00924BB8"/>
    <w:rsid w:val="00924FAB"/>
    <w:rsid w:val="00940671"/>
    <w:rsid w:val="0094235D"/>
    <w:rsid w:val="0094294E"/>
    <w:rsid w:val="00944D1D"/>
    <w:rsid w:val="009453D9"/>
    <w:rsid w:val="00953236"/>
    <w:rsid w:val="00954E31"/>
    <w:rsid w:val="00957CD3"/>
    <w:rsid w:val="00960695"/>
    <w:rsid w:val="00964DC8"/>
    <w:rsid w:val="00966391"/>
    <w:rsid w:val="009667A1"/>
    <w:rsid w:val="00974909"/>
    <w:rsid w:val="00977EBC"/>
    <w:rsid w:val="00980B0E"/>
    <w:rsid w:val="009845E2"/>
    <w:rsid w:val="00996FBE"/>
    <w:rsid w:val="009A0567"/>
    <w:rsid w:val="009B12EC"/>
    <w:rsid w:val="009B248F"/>
    <w:rsid w:val="009B488F"/>
    <w:rsid w:val="009B4BBD"/>
    <w:rsid w:val="009B7B7B"/>
    <w:rsid w:val="009C03D0"/>
    <w:rsid w:val="009C5632"/>
    <w:rsid w:val="009C66BA"/>
    <w:rsid w:val="009D0267"/>
    <w:rsid w:val="009D6065"/>
    <w:rsid w:val="009E599D"/>
    <w:rsid w:val="009F1F49"/>
    <w:rsid w:val="009F26F2"/>
    <w:rsid w:val="009F2C75"/>
    <w:rsid w:val="009F59D5"/>
    <w:rsid w:val="00A01428"/>
    <w:rsid w:val="00A02C0A"/>
    <w:rsid w:val="00A04D17"/>
    <w:rsid w:val="00A10212"/>
    <w:rsid w:val="00A10ED7"/>
    <w:rsid w:val="00A13FAF"/>
    <w:rsid w:val="00A1510D"/>
    <w:rsid w:val="00A22858"/>
    <w:rsid w:val="00A2297B"/>
    <w:rsid w:val="00A271D7"/>
    <w:rsid w:val="00A315C1"/>
    <w:rsid w:val="00A327F0"/>
    <w:rsid w:val="00A32C98"/>
    <w:rsid w:val="00A350BD"/>
    <w:rsid w:val="00A36116"/>
    <w:rsid w:val="00A36DFC"/>
    <w:rsid w:val="00A45327"/>
    <w:rsid w:val="00A46C3F"/>
    <w:rsid w:val="00A51063"/>
    <w:rsid w:val="00A5124E"/>
    <w:rsid w:val="00A55F21"/>
    <w:rsid w:val="00A602D7"/>
    <w:rsid w:val="00A64422"/>
    <w:rsid w:val="00A67718"/>
    <w:rsid w:val="00A70C48"/>
    <w:rsid w:val="00A726B1"/>
    <w:rsid w:val="00A74228"/>
    <w:rsid w:val="00A75131"/>
    <w:rsid w:val="00A7515F"/>
    <w:rsid w:val="00A7618F"/>
    <w:rsid w:val="00A80F35"/>
    <w:rsid w:val="00A83EC7"/>
    <w:rsid w:val="00A84483"/>
    <w:rsid w:val="00A84546"/>
    <w:rsid w:val="00A8591D"/>
    <w:rsid w:val="00A91A50"/>
    <w:rsid w:val="00A92563"/>
    <w:rsid w:val="00A9493F"/>
    <w:rsid w:val="00AA48BD"/>
    <w:rsid w:val="00AA7FD9"/>
    <w:rsid w:val="00AC165D"/>
    <w:rsid w:val="00AC1C62"/>
    <w:rsid w:val="00AC34C4"/>
    <w:rsid w:val="00AC72EB"/>
    <w:rsid w:val="00AC7A9B"/>
    <w:rsid w:val="00AD647B"/>
    <w:rsid w:val="00AD6994"/>
    <w:rsid w:val="00AE2025"/>
    <w:rsid w:val="00AE44A9"/>
    <w:rsid w:val="00AE5E8F"/>
    <w:rsid w:val="00AF0324"/>
    <w:rsid w:val="00AF60DE"/>
    <w:rsid w:val="00B03160"/>
    <w:rsid w:val="00B05061"/>
    <w:rsid w:val="00B15199"/>
    <w:rsid w:val="00B16291"/>
    <w:rsid w:val="00B21351"/>
    <w:rsid w:val="00B229BA"/>
    <w:rsid w:val="00B30125"/>
    <w:rsid w:val="00B4116C"/>
    <w:rsid w:val="00B46A4F"/>
    <w:rsid w:val="00B46B58"/>
    <w:rsid w:val="00B46C24"/>
    <w:rsid w:val="00B4FF55"/>
    <w:rsid w:val="00B554FB"/>
    <w:rsid w:val="00B55FF9"/>
    <w:rsid w:val="00B56563"/>
    <w:rsid w:val="00B56A38"/>
    <w:rsid w:val="00B56A92"/>
    <w:rsid w:val="00B618D6"/>
    <w:rsid w:val="00B655A9"/>
    <w:rsid w:val="00B66140"/>
    <w:rsid w:val="00B741B4"/>
    <w:rsid w:val="00B74D8D"/>
    <w:rsid w:val="00B75119"/>
    <w:rsid w:val="00B81623"/>
    <w:rsid w:val="00B81711"/>
    <w:rsid w:val="00B82068"/>
    <w:rsid w:val="00B84EA7"/>
    <w:rsid w:val="00B8676B"/>
    <w:rsid w:val="00B905CA"/>
    <w:rsid w:val="00B93973"/>
    <w:rsid w:val="00B94FCA"/>
    <w:rsid w:val="00B95D93"/>
    <w:rsid w:val="00B962C0"/>
    <w:rsid w:val="00B96A7E"/>
    <w:rsid w:val="00BA1A58"/>
    <w:rsid w:val="00BA3366"/>
    <w:rsid w:val="00BA3DB9"/>
    <w:rsid w:val="00BA57CC"/>
    <w:rsid w:val="00BA6BB3"/>
    <w:rsid w:val="00BA7565"/>
    <w:rsid w:val="00BB40F6"/>
    <w:rsid w:val="00BB4B47"/>
    <w:rsid w:val="00BB5551"/>
    <w:rsid w:val="00BB7EAF"/>
    <w:rsid w:val="00BC0554"/>
    <w:rsid w:val="00BC2C1F"/>
    <w:rsid w:val="00BC479E"/>
    <w:rsid w:val="00BD0D87"/>
    <w:rsid w:val="00BD7093"/>
    <w:rsid w:val="00BE099D"/>
    <w:rsid w:val="00BE251E"/>
    <w:rsid w:val="00BE4D19"/>
    <w:rsid w:val="00BE7FF9"/>
    <w:rsid w:val="00BF0FA0"/>
    <w:rsid w:val="00BF1F04"/>
    <w:rsid w:val="00BF765D"/>
    <w:rsid w:val="00C076F9"/>
    <w:rsid w:val="00C11573"/>
    <w:rsid w:val="00C12A08"/>
    <w:rsid w:val="00C154B7"/>
    <w:rsid w:val="00C2317D"/>
    <w:rsid w:val="00C3416F"/>
    <w:rsid w:val="00C36310"/>
    <w:rsid w:val="00C42AC2"/>
    <w:rsid w:val="00C47E69"/>
    <w:rsid w:val="00C50AA6"/>
    <w:rsid w:val="00C52AA0"/>
    <w:rsid w:val="00C53299"/>
    <w:rsid w:val="00C60302"/>
    <w:rsid w:val="00C6253A"/>
    <w:rsid w:val="00C674FD"/>
    <w:rsid w:val="00C705B3"/>
    <w:rsid w:val="00C73402"/>
    <w:rsid w:val="00C803CC"/>
    <w:rsid w:val="00C82E0C"/>
    <w:rsid w:val="00C84628"/>
    <w:rsid w:val="00C84E2B"/>
    <w:rsid w:val="00C85F23"/>
    <w:rsid w:val="00CA1885"/>
    <w:rsid w:val="00CA18C5"/>
    <w:rsid w:val="00CA1975"/>
    <w:rsid w:val="00CA548F"/>
    <w:rsid w:val="00CB1165"/>
    <w:rsid w:val="00CB4FE1"/>
    <w:rsid w:val="00CC3C44"/>
    <w:rsid w:val="00CD20F1"/>
    <w:rsid w:val="00CD301C"/>
    <w:rsid w:val="00CD4DE9"/>
    <w:rsid w:val="00CD5450"/>
    <w:rsid w:val="00CD681F"/>
    <w:rsid w:val="00CD76E7"/>
    <w:rsid w:val="00CE25FA"/>
    <w:rsid w:val="00CE2C42"/>
    <w:rsid w:val="00CE3B33"/>
    <w:rsid w:val="00CE3BA3"/>
    <w:rsid w:val="00CE5A3E"/>
    <w:rsid w:val="00CF28F7"/>
    <w:rsid w:val="00CF3502"/>
    <w:rsid w:val="00D01FB3"/>
    <w:rsid w:val="00D0208C"/>
    <w:rsid w:val="00D029E6"/>
    <w:rsid w:val="00D05681"/>
    <w:rsid w:val="00D11C71"/>
    <w:rsid w:val="00D14E60"/>
    <w:rsid w:val="00D16F28"/>
    <w:rsid w:val="00D21F8B"/>
    <w:rsid w:val="00D2290D"/>
    <w:rsid w:val="00D30500"/>
    <w:rsid w:val="00D30C01"/>
    <w:rsid w:val="00D335E9"/>
    <w:rsid w:val="00D35721"/>
    <w:rsid w:val="00D40215"/>
    <w:rsid w:val="00D40AD4"/>
    <w:rsid w:val="00D42202"/>
    <w:rsid w:val="00D473BF"/>
    <w:rsid w:val="00D479C1"/>
    <w:rsid w:val="00D47DB6"/>
    <w:rsid w:val="00D47F71"/>
    <w:rsid w:val="00D51230"/>
    <w:rsid w:val="00D5173F"/>
    <w:rsid w:val="00D57403"/>
    <w:rsid w:val="00D57BB8"/>
    <w:rsid w:val="00D57D50"/>
    <w:rsid w:val="00D75552"/>
    <w:rsid w:val="00D772AD"/>
    <w:rsid w:val="00D77879"/>
    <w:rsid w:val="00D837CB"/>
    <w:rsid w:val="00D83B8C"/>
    <w:rsid w:val="00D84FC7"/>
    <w:rsid w:val="00D9578A"/>
    <w:rsid w:val="00D972B0"/>
    <w:rsid w:val="00DA07D0"/>
    <w:rsid w:val="00DA1FD4"/>
    <w:rsid w:val="00DA4FE1"/>
    <w:rsid w:val="00DB1730"/>
    <w:rsid w:val="00DB1FAD"/>
    <w:rsid w:val="00DB3523"/>
    <w:rsid w:val="00DB3DD6"/>
    <w:rsid w:val="00DB5A1A"/>
    <w:rsid w:val="00DB68C9"/>
    <w:rsid w:val="00DC0602"/>
    <w:rsid w:val="00DC476A"/>
    <w:rsid w:val="00DC47CE"/>
    <w:rsid w:val="00DC7A75"/>
    <w:rsid w:val="00DD200B"/>
    <w:rsid w:val="00DD4CF6"/>
    <w:rsid w:val="00DE2F86"/>
    <w:rsid w:val="00DE4156"/>
    <w:rsid w:val="00DE4F8A"/>
    <w:rsid w:val="00DE5F88"/>
    <w:rsid w:val="00DE7B80"/>
    <w:rsid w:val="00DF01D5"/>
    <w:rsid w:val="00DF0338"/>
    <w:rsid w:val="00DF2444"/>
    <w:rsid w:val="00DF413E"/>
    <w:rsid w:val="00DF429D"/>
    <w:rsid w:val="00DF47A9"/>
    <w:rsid w:val="00DF65FA"/>
    <w:rsid w:val="00DF686F"/>
    <w:rsid w:val="00E01B21"/>
    <w:rsid w:val="00E02ACF"/>
    <w:rsid w:val="00E02B7E"/>
    <w:rsid w:val="00E02D1F"/>
    <w:rsid w:val="00E036AC"/>
    <w:rsid w:val="00E052CD"/>
    <w:rsid w:val="00E06659"/>
    <w:rsid w:val="00E07004"/>
    <w:rsid w:val="00E07869"/>
    <w:rsid w:val="00E12DA7"/>
    <w:rsid w:val="00E2008A"/>
    <w:rsid w:val="00E2027B"/>
    <w:rsid w:val="00E21A46"/>
    <w:rsid w:val="00E261E1"/>
    <w:rsid w:val="00E2677E"/>
    <w:rsid w:val="00E268BC"/>
    <w:rsid w:val="00E3289D"/>
    <w:rsid w:val="00E34570"/>
    <w:rsid w:val="00E34D8B"/>
    <w:rsid w:val="00E43D2C"/>
    <w:rsid w:val="00E4521D"/>
    <w:rsid w:val="00E51A00"/>
    <w:rsid w:val="00E53B15"/>
    <w:rsid w:val="00E56190"/>
    <w:rsid w:val="00E5766E"/>
    <w:rsid w:val="00E6076F"/>
    <w:rsid w:val="00E646F2"/>
    <w:rsid w:val="00E6552D"/>
    <w:rsid w:val="00E65AA4"/>
    <w:rsid w:val="00E67176"/>
    <w:rsid w:val="00E740A5"/>
    <w:rsid w:val="00E74443"/>
    <w:rsid w:val="00E75AFD"/>
    <w:rsid w:val="00E77660"/>
    <w:rsid w:val="00E935D6"/>
    <w:rsid w:val="00E93C38"/>
    <w:rsid w:val="00E96323"/>
    <w:rsid w:val="00E97C3A"/>
    <w:rsid w:val="00EA0AD7"/>
    <w:rsid w:val="00EA0B44"/>
    <w:rsid w:val="00EA1F87"/>
    <w:rsid w:val="00EA3710"/>
    <w:rsid w:val="00EA57AB"/>
    <w:rsid w:val="00EA5FCA"/>
    <w:rsid w:val="00EB10E1"/>
    <w:rsid w:val="00EB1715"/>
    <w:rsid w:val="00EC4E34"/>
    <w:rsid w:val="00ED08C3"/>
    <w:rsid w:val="00ED2208"/>
    <w:rsid w:val="00ED555A"/>
    <w:rsid w:val="00ED5B12"/>
    <w:rsid w:val="00ED7292"/>
    <w:rsid w:val="00ED73F8"/>
    <w:rsid w:val="00EE2F0F"/>
    <w:rsid w:val="00EE4159"/>
    <w:rsid w:val="00EF1022"/>
    <w:rsid w:val="00EF1FAA"/>
    <w:rsid w:val="00EF2D1B"/>
    <w:rsid w:val="00EF3DC2"/>
    <w:rsid w:val="00EF3F4D"/>
    <w:rsid w:val="00EF5AD1"/>
    <w:rsid w:val="00F13845"/>
    <w:rsid w:val="00F160C7"/>
    <w:rsid w:val="00F16607"/>
    <w:rsid w:val="00F23632"/>
    <w:rsid w:val="00F24AC4"/>
    <w:rsid w:val="00F27188"/>
    <w:rsid w:val="00F279C8"/>
    <w:rsid w:val="00F30425"/>
    <w:rsid w:val="00F313F6"/>
    <w:rsid w:val="00F33522"/>
    <w:rsid w:val="00F33E75"/>
    <w:rsid w:val="00F354B5"/>
    <w:rsid w:val="00F427CB"/>
    <w:rsid w:val="00F43BC0"/>
    <w:rsid w:val="00F4622F"/>
    <w:rsid w:val="00F569C5"/>
    <w:rsid w:val="00F57A6C"/>
    <w:rsid w:val="00F61A70"/>
    <w:rsid w:val="00F61C2A"/>
    <w:rsid w:val="00F64A47"/>
    <w:rsid w:val="00F65815"/>
    <w:rsid w:val="00F6CDC4"/>
    <w:rsid w:val="00F712D0"/>
    <w:rsid w:val="00F75339"/>
    <w:rsid w:val="00F76F56"/>
    <w:rsid w:val="00F80147"/>
    <w:rsid w:val="00F8636E"/>
    <w:rsid w:val="00F920E3"/>
    <w:rsid w:val="00F932B6"/>
    <w:rsid w:val="00F9755D"/>
    <w:rsid w:val="00FA0C18"/>
    <w:rsid w:val="00FA2B65"/>
    <w:rsid w:val="00FA2C0C"/>
    <w:rsid w:val="00FA4427"/>
    <w:rsid w:val="00FA6889"/>
    <w:rsid w:val="00FB3FC2"/>
    <w:rsid w:val="00FB53F6"/>
    <w:rsid w:val="00FB6CC6"/>
    <w:rsid w:val="00FC3F9C"/>
    <w:rsid w:val="00FD1D5C"/>
    <w:rsid w:val="00FD2C3E"/>
    <w:rsid w:val="00FD39CB"/>
    <w:rsid w:val="00FD43B5"/>
    <w:rsid w:val="00FE0899"/>
    <w:rsid w:val="00FE5B93"/>
    <w:rsid w:val="00FF24D0"/>
    <w:rsid w:val="00FF51E0"/>
    <w:rsid w:val="00FF5720"/>
    <w:rsid w:val="01657D51"/>
    <w:rsid w:val="01732AED"/>
    <w:rsid w:val="0175CA93"/>
    <w:rsid w:val="017D201A"/>
    <w:rsid w:val="01890B8E"/>
    <w:rsid w:val="01B5342A"/>
    <w:rsid w:val="01DA0ADE"/>
    <w:rsid w:val="028AFD50"/>
    <w:rsid w:val="028C629E"/>
    <w:rsid w:val="028E32F1"/>
    <w:rsid w:val="02AD728E"/>
    <w:rsid w:val="02BACADB"/>
    <w:rsid w:val="02CCF1BA"/>
    <w:rsid w:val="02EB80B6"/>
    <w:rsid w:val="03130021"/>
    <w:rsid w:val="03165627"/>
    <w:rsid w:val="031A269F"/>
    <w:rsid w:val="031FC92C"/>
    <w:rsid w:val="035DE6CC"/>
    <w:rsid w:val="03899AB6"/>
    <w:rsid w:val="03CDCA71"/>
    <w:rsid w:val="03E22994"/>
    <w:rsid w:val="0426FA24"/>
    <w:rsid w:val="043C67EC"/>
    <w:rsid w:val="0449EA47"/>
    <w:rsid w:val="0468BB98"/>
    <w:rsid w:val="04BF6609"/>
    <w:rsid w:val="04E84641"/>
    <w:rsid w:val="04F8168F"/>
    <w:rsid w:val="050BC499"/>
    <w:rsid w:val="0514350F"/>
    <w:rsid w:val="0531E047"/>
    <w:rsid w:val="05543BE1"/>
    <w:rsid w:val="059A0965"/>
    <w:rsid w:val="05AEBC40"/>
    <w:rsid w:val="05B67278"/>
    <w:rsid w:val="05BEEA28"/>
    <w:rsid w:val="05C346CA"/>
    <w:rsid w:val="05DFD946"/>
    <w:rsid w:val="064AFFCE"/>
    <w:rsid w:val="0673B2FD"/>
    <w:rsid w:val="06ABCC62"/>
    <w:rsid w:val="06C00807"/>
    <w:rsid w:val="06D065AE"/>
    <w:rsid w:val="06DE7D5E"/>
    <w:rsid w:val="06E4379A"/>
    <w:rsid w:val="070A1D45"/>
    <w:rsid w:val="07501E7B"/>
    <w:rsid w:val="077B90F0"/>
    <w:rsid w:val="07BCAC16"/>
    <w:rsid w:val="07EED2CA"/>
    <w:rsid w:val="07F0BC83"/>
    <w:rsid w:val="07FA676C"/>
    <w:rsid w:val="07FC8048"/>
    <w:rsid w:val="08949A8E"/>
    <w:rsid w:val="089E5F58"/>
    <w:rsid w:val="08CB610A"/>
    <w:rsid w:val="0903183F"/>
    <w:rsid w:val="090F0011"/>
    <w:rsid w:val="09420592"/>
    <w:rsid w:val="09862CF5"/>
    <w:rsid w:val="09B5B836"/>
    <w:rsid w:val="09C79832"/>
    <w:rsid w:val="09D2A13B"/>
    <w:rsid w:val="09E7CC37"/>
    <w:rsid w:val="09EFB5A9"/>
    <w:rsid w:val="0A0E5F67"/>
    <w:rsid w:val="0A64EED9"/>
    <w:rsid w:val="0A956DF6"/>
    <w:rsid w:val="0A993A05"/>
    <w:rsid w:val="0AD08129"/>
    <w:rsid w:val="0B13F49F"/>
    <w:rsid w:val="0B2DFC59"/>
    <w:rsid w:val="0B9A448E"/>
    <w:rsid w:val="0BBC1B37"/>
    <w:rsid w:val="0BEE0045"/>
    <w:rsid w:val="0C664066"/>
    <w:rsid w:val="0C99983C"/>
    <w:rsid w:val="0CCC199C"/>
    <w:rsid w:val="0CE3BBC1"/>
    <w:rsid w:val="0D19288D"/>
    <w:rsid w:val="0D33902F"/>
    <w:rsid w:val="0D9FE990"/>
    <w:rsid w:val="0E23291E"/>
    <w:rsid w:val="0E35FB6F"/>
    <w:rsid w:val="0E494DA4"/>
    <w:rsid w:val="0E666991"/>
    <w:rsid w:val="0EED660F"/>
    <w:rsid w:val="0EFDF006"/>
    <w:rsid w:val="0F23BA3D"/>
    <w:rsid w:val="0F88AF78"/>
    <w:rsid w:val="0F950B38"/>
    <w:rsid w:val="0FB15A10"/>
    <w:rsid w:val="10479C8A"/>
    <w:rsid w:val="107863A5"/>
    <w:rsid w:val="10B34A96"/>
    <w:rsid w:val="10DF1C43"/>
    <w:rsid w:val="10FAF560"/>
    <w:rsid w:val="1144A477"/>
    <w:rsid w:val="114B61EE"/>
    <w:rsid w:val="114C580A"/>
    <w:rsid w:val="115831E7"/>
    <w:rsid w:val="1175EB68"/>
    <w:rsid w:val="12471C2F"/>
    <w:rsid w:val="12675595"/>
    <w:rsid w:val="13310825"/>
    <w:rsid w:val="136C77DE"/>
    <w:rsid w:val="13A5C123"/>
    <w:rsid w:val="13FCA85F"/>
    <w:rsid w:val="13FD6AAC"/>
    <w:rsid w:val="14806677"/>
    <w:rsid w:val="14C7BF9F"/>
    <w:rsid w:val="14DAA166"/>
    <w:rsid w:val="14DEA61A"/>
    <w:rsid w:val="14ECB9A0"/>
    <w:rsid w:val="153B8AA7"/>
    <w:rsid w:val="1543068F"/>
    <w:rsid w:val="157D48DE"/>
    <w:rsid w:val="1594544F"/>
    <w:rsid w:val="15AB8891"/>
    <w:rsid w:val="15ADCBDA"/>
    <w:rsid w:val="15B5DAEC"/>
    <w:rsid w:val="15BD9BDD"/>
    <w:rsid w:val="15BFB028"/>
    <w:rsid w:val="15FE027C"/>
    <w:rsid w:val="1648F565"/>
    <w:rsid w:val="164ECCB4"/>
    <w:rsid w:val="168985FE"/>
    <w:rsid w:val="16907097"/>
    <w:rsid w:val="16ADC8D7"/>
    <w:rsid w:val="17112434"/>
    <w:rsid w:val="171D723F"/>
    <w:rsid w:val="1723DB94"/>
    <w:rsid w:val="179BE02D"/>
    <w:rsid w:val="179EEB63"/>
    <w:rsid w:val="17B123E0"/>
    <w:rsid w:val="17B377AE"/>
    <w:rsid w:val="17F0E701"/>
    <w:rsid w:val="185E7267"/>
    <w:rsid w:val="18A495F8"/>
    <w:rsid w:val="19012790"/>
    <w:rsid w:val="19356676"/>
    <w:rsid w:val="19663C4E"/>
    <w:rsid w:val="19924300"/>
    <w:rsid w:val="19B8C353"/>
    <w:rsid w:val="19C36329"/>
    <w:rsid w:val="19DC738A"/>
    <w:rsid w:val="1A12C2CD"/>
    <w:rsid w:val="1A4C692E"/>
    <w:rsid w:val="1A635D65"/>
    <w:rsid w:val="1A71466A"/>
    <w:rsid w:val="1AC39B35"/>
    <w:rsid w:val="1ADA174F"/>
    <w:rsid w:val="1B1B4826"/>
    <w:rsid w:val="1B1BBCB9"/>
    <w:rsid w:val="1B3F70A5"/>
    <w:rsid w:val="1B4E383E"/>
    <w:rsid w:val="1B4E9A93"/>
    <w:rsid w:val="1B6C11AB"/>
    <w:rsid w:val="1BB21072"/>
    <w:rsid w:val="1BB5C0B8"/>
    <w:rsid w:val="1BCB4219"/>
    <w:rsid w:val="1BD59618"/>
    <w:rsid w:val="1C09AFAC"/>
    <w:rsid w:val="1C1AAA71"/>
    <w:rsid w:val="1C260105"/>
    <w:rsid w:val="1CA532C7"/>
    <w:rsid w:val="1CA5BD05"/>
    <w:rsid w:val="1D2B2192"/>
    <w:rsid w:val="1D3B1CF3"/>
    <w:rsid w:val="1DA7D582"/>
    <w:rsid w:val="1DAB1874"/>
    <w:rsid w:val="1DD4DCEE"/>
    <w:rsid w:val="1E06D4CA"/>
    <w:rsid w:val="1E5C43CF"/>
    <w:rsid w:val="1E7F7F6B"/>
    <w:rsid w:val="1EA99D7D"/>
    <w:rsid w:val="1ED1A785"/>
    <w:rsid w:val="1ED9B575"/>
    <w:rsid w:val="1EF1D99C"/>
    <w:rsid w:val="1F352C27"/>
    <w:rsid w:val="1FADC14B"/>
    <w:rsid w:val="1FEAAE4D"/>
    <w:rsid w:val="202439C9"/>
    <w:rsid w:val="20411A42"/>
    <w:rsid w:val="20A66CB7"/>
    <w:rsid w:val="20B30269"/>
    <w:rsid w:val="20D0D7B7"/>
    <w:rsid w:val="212F1606"/>
    <w:rsid w:val="213A2E7E"/>
    <w:rsid w:val="21ADE43B"/>
    <w:rsid w:val="21CC0312"/>
    <w:rsid w:val="2212B903"/>
    <w:rsid w:val="2235D5AC"/>
    <w:rsid w:val="22553D2C"/>
    <w:rsid w:val="22ADE623"/>
    <w:rsid w:val="23048A70"/>
    <w:rsid w:val="2315C349"/>
    <w:rsid w:val="23912646"/>
    <w:rsid w:val="23F6E339"/>
    <w:rsid w:val="24AFD0DB"/>
    <w:rsid w:val="24B59C41"/>
    <w:rsid w:val="24C2029B"/>
    <w:rsid w:val="24CAD5BD"/>
    <w:rsid w:val="24D593FB"/>
    <w:rsid w:val="24E2A217"/>
    <w:rsid w:val="24EDC6D5"/>
    <w:rsid w:val="251251F1"/>
    <w:rsid w:val="254770EC"/>
    <w:rsid w:val="255A5618"/>
    <w:rsid w:val="25971C2E"/>
    <w:rsid w:val="25AE8315"/>
    <w:rsid w:val="2616A3A5"/>
    <w:rsid w:val="262BED5C"/>
    <w:rsid w:val="26F5A8F2"/>
    <w:rsid w:val="270F89B0"/>
    <w:rsid w:val="2745338D"/>
    <w:rsid w:val="2770D689"/>
    <w:rsid w:val="27840742"/>
    <w:rsid w:val="27886881"/>
    <w:rsid w:val="279212A6"/>
    <w:rsid w:val="283B4FB2"/>
    <w:rsid w:val="284DB4A6"/>
    <w:rsid w:val="28594249"/>
    <w:rsid w:val="286EE1C7"/>
    <w:rsid w:val="2871D952"/>
    <w:rsid w:val="28D4EDDD"/>
    <w:rsid w:val="28FBF672"/>
    <w:rsid w:val="29C2FBF0"/>
    <w:rsid w:val="29CCF90B"/>
    <w:rsid w:val="29E4B6C9"/>
    <w:rsid w:val="2A384C6D"/>
    <w:rsid w:val="2A619910"/>
    <w:rsid w:val="2AAE1DD6"/>
    <w:rsid w:val="2AEC4052"/>
    <w:rsid w:val="2B3419AD"/>
    <w:rsid w:val="2B3497CF"/>
    <w:rsid w:val="2B3C1AA4"/>
    <w:rsid w:val="2B422D04"/>
    <w:rsid w:val="2B4DBF18"/>
    <w:rsid w:val="2B9B1B59"/>
    <w:rsid w:val="2C093CB3"/>
    <w:rsid w:val="2CAB3FF4"/>
    <w:rsid w:val="2CD9F1C7"/>
    <w:rsid w:val="2CDC1D8A"/>
    <w:rsid w:val="2D10F842"/>
    <w:rsid w:val="2D27BDB5"/>
    <w:rsid w:val="2D7CF203"/>
    <w:rsid w:val="2D82C12B"/>
    <w:rsid w:val="2D98DA42"/>
    <w:rsid w:val="2E21D5D1"/>
    <w:rsid w:val="2E560BF9"/>
    <w:rsid w:val="2ECF4017"/>
    <w:rsid w:val="2EF25433"/>
    <w:rsid w:val="2F56CC71"/>
    <w:rsid w:val="2FE745CF"/>
    <w:rsid w:val="3006184D"/>
    <w:rsid w:val="30569F22"/>
    <w:rsid w:val="308EE842"/>
    <w:rsid w:val="308EF519"/>
    <w:rsid w:val="30AF2FC4"/>
    <w:rsid w:val="30F93DD3"/>
    <w:rsid w:val="31013C24"/>
    <w:rsid w:val="313B73C8"/>
    <w:rsid w:val="31AF161D"/>
    <w:rsid w:val="31BDD707"/>
    <w:rsid w:val="31C07409"/>
    <w:rsid w:val="31CE6762"/>
    <w:rsid w:val="3253D4EA"/>
    <w:rsid w:val="3271C9BC"/>
    <w:rsid w:val="32FF8C8F"/>
    <w:rsid w:val="3318EA87"/>
    <w:rsid w:val="33280D2B"/>
    <w:rsid w:val="334CCCF2"/>
    <w:rsid w:val="338217A1"/>
    <w:rsid w:val="33AD0D41"/>
    <w:rsid w:val="33C4FC62"/>
    <w:rsid w:val="33CBD95F"/>
    <w:rsid w:val="34144F97"/>
    <w:rsid w:val="344DD1AD"/>
    <w:rsid w:val="346BEC30"/>
    <w:rsid w:val="34D1791D"/>
    <w:rsid w:val="34F6AAC1"/>
    <w:rsid w:val="350D8E34"/>
    <w:rsid w:val="350F079C"/>
    <w:rsid w:val="3526DE1C"/>
    <w:rsid w:val="3529C57D"/>
    <w:rsid w:val="35D57DF5"/>
    <w:rsid w:val="3625B937"/>
    <w:rsid w:val="3642F92F"/>
    <w:rsid w:val="365F6D0E"/>
    <w:rsid w:val="36858B8B"/>
    <w:rsid w:val="36BCE304"/>
    <w:rsid w:val="36D1808D"/>
    <w:rsid w:val="36F6AF21"/>
    <w:rsid w:val="37936011"/>
    <w:rsid w:val="37AD6052"/>
    <w:rsid w:val="38232963"/>
    <w:rsid w:val="384F9747"/>
    <w:rsid w:val="3897A937"/>
    <w:rsid w:val="389D9FB7"/>
    <w:rsid w:val="38A144A0"/>
    <w:rsid w:val="38A9F392"/>
    <w:rsid w:val="38E613C6"/>
    <w:rsid w:val="38FE349B"/>
    <w:rsid w:val="3903F44B"/>
    <w:rsid w:val="39045862"/>
    <w:rsid w:val="395D9A4D"/>
    <w:rsid w:val="3A122D63"/>
    <w:rsid w:val="3A2261EB"/>
    <w:rsid w:val="3A37EFAC"/>
    <w:rsid w:val="3A39642A"/>
    <w:rsid w:val="3A3B4196"/>
    <w:rsid w:val="3A4B80E1"/>
    <w:rsid w:val="3A7CD830"/>
    <w:rsid w:val="3A894C6D"/>
    <w:rsid w:val="3AB1F27C"/>
    <w:rsid w:val="3AC464B1"/>
    <w:rsid w:val="3AC5E6F7"/>
    <w:rsid w:val="3ACC9D6C"/>
    <w:rsid w:val="3AF64358"/>
    <w:rsid w:val="3B4F56A6"/>
    <w:rsid w:val="3B5DEC53"/>
    <w:rsid w:val="3B8394B6"/>
    <w:rsid w:val="3B8964EF"/>
    <w:rsid w:val="3B98F51B"/>
    <w:rsid w:val="3BA03059"/>
    <w:rsid w:val="3BB4CF02"/>
    <w:rsid w:val="3BCAB8B6"/>
    <w:rsid w:val="3C0F3410"/>
    <w:rsid w:val="3C142C05"/>
    <w:rsid w:val="3C23AEA5"/>
    <w:rsid w:val="3C8834EC"/>
    <w:rsid w:val="3C974151"/>
    <w:rsid w:val="3D2D948E"/>
    <w:rsid w:val="3D4BC6A7"/>
    <w:rsid w:val="3D62B6D1"/>
    <w:rsid w:val="3DDAD607"/>
    <w:rsid w:val="3DEBD8A9"/>
    <w:rsid w:val="3E24F200"/>
    <w:rsid w:val="3E3F022A"/>
    <w:rsid w:val="3E522E00"/>
    <w:rsid w:val="3E574BE2"/>
    <w:rsid w:val="3E5A1B9B"/>
    <w:rsid w:val="3E5D05D7"/>
    <w:rsid w:val="3EB2526C"/>
    <w:rsid w:val="3EDA2B34"/>
    <w:rsid w:val="3EE3FE85"/>
    <w:rsid w:val="3EF3A79B"/>
    <w:rsid w:val="3F01FA2C"/>
    <w:rsid w:val="3FD82F99"/>
    <w:rsid w:val="400E5A34"/>
    <w:rsid w:val="4025A3A0"/>
    <w:rsid w:val="40A7BC6F"/>
    <w:rsid w:val="41108697"/>
    <w:rsid w:val="413C2DAA"/>
    <w:rsid w:val="4142D00A"/>
    <w:rsid w:val="41B4E33C"/>
    <w:rsid w:val="41E0496B"/>
    <w:rsid w:val="422E4F05"/>
    <w:rsid w:val="425D4E1E"/>
    <w:rsid w:val="42826697"/>
    <w:rsid w:val="42BDF9C0"/>
    <w:rsid w:val="42D86C69"/>
    <w:rsid w:val="431A33D1"/>
    <w:rsid w:val="43305F3D"/>
    <w:rsid w:val="435B3210"/>
    <w:rsid w:val="4371B922"/>
    <w:rsid w:val="437AB946"/>
    <w:rsid w:val="43B65327"/>
    <w:rsid w:val="43EA6B5D"/>
    <w:rsid w:val="44174441"/>
    <w:rsid w:val="44491112"/>
    <w:rsid w:val="44586A50"/>
    <w:rsid w:val="4464217D"/>
    <w:rsid w:val="44869B15"/>
    <w:rsid w:val="44CA8955"/>
    <w:rsid w:val="44DEF426"/>
    <w:rsid w:val="45756D7F"/>
    <w:rsid w:val="457A37E0"/>
    <w:rsid w:val="45B0069C"/>
    <w:rsid w:val="45E0AAD4"/>
    <w:rsid w:val="45F1CF82"/>
    <w:rsid w:val="45F7EF84"/>
    <w:rsid w:val="4704FA78"/>
    <w:rsid w:val="472C7354"/>
    <w:rsid w:val="47794E46"/>
    <w:rsid w:val="47A5FD7D"/>
    <w:rsid w:val="47AFA744"/>
    <w:rsid w:val="47C6E6A3"/>
    <w:rsid w:val="47D55F18"/>
    <w:rsid w:val="48A1BB1E"/>
    <w:rsid w:val="49053572"/>
    <w:rsid w:val="491CBBEC"/>
    <w:rsid w:val="49E840D3"/>
    <w:rsid w:val="49F47B87"/>
    <w:rsid w:val="4A580FAD"/>
    <w:rsid w:val="4A5C1A78"/>
    <w:rsid w:val="4A8B75A0"/>
    <w:rsid w:val="4AC0D1DC"/>
    <w:rsid w:val="4B24C825"/>
    <w:rsid w:val="4B434018"/>
    <w:rsid w:val="4BD4903A"/>
    <w:rsid w:val="4C50E134"/>
    <w:rsid w:val="4C596515"/>
    <w:rsid w:val="4C609E24"/>
    <w:rsid w:val="4C8AE0DB"/>
    <w:rsid w:val="4C95A772"/>
    <w:rsid w:val="4CDD5B0C"/>
    <w:rsid w:val="4D49CE70"/>
    <w:rsid w:val="4E0FA00B"/>
    <w:rsid w:val="4E11800B"/>
    <w:rsid w:val="4E239671"/>
    <w:rsid w:val="4E2D7A53"/>
    <w:rsid w:val="4ED2B09C"/>
    <w:rsid w:val="4ED4C28D"/>
    <w:rsid w:val="4ED85471"/>
    <w:rsid w:val="4F133484"/>
    <w:rsid w:val="4F4D03AB"/>
    <w:rsid w:val="4F59123E"/>
    <w:rsid w:val="4F8C3EB8"/>
    <w:rsid w:val="4FA67281"/>
    <w:rsid w:val="4FB99C29"/>
    <w:rsid w:val="4FCA1DF0"/>
    <w:rsid w:val="4FD7BA38"/>
    <w:rsid w:val="5057668D"/>
    <w:rsid w:val="506AF359"/>
    <w:rsid w:val="5073E0B7"/>
    <w:rsid w:val="50780188"/>
    <w:rsid w:val="51497B23"/>
    <w:rsid w:val="5162910A"/>
    <w:rsid w:val="5195C11C"/>
    <w:rsid w:val="51C18D39"/>
    <w:rsid w:val="51D59AC6"/>
    <w:rsid w:val="520321A7"/>
    <w:rsid w:val="52055E83"/>
    <w:rsid w:val="5205B264"/>
    <w:rsid w:val="5218AEB2"/>
    <w:rsid w:val="52606346"/>
    <w:rsid w:val="52C39563"/>
    <w:rsid w:val="52F47285"/>
    <w:rsid w:val="5315F0C6"/>
    <w:rsid w:val="531F0F87"/>
    <w:rsid w:val="5331F1B6"/>
    <w:rsid w:val="53823C74"/>
    <w:rsid w:val="538A5A80"/>
    <w:rsid w:val="53C7C332"/>
    <w:rsid w:val="53E35A77"/>
    <w:rsid w:val="54A459AF"/>
    <w:rsid w:val="54D458CE"/>
    <w:rsid w:val="54D6BD3C"/>
    <w:rsid w:val="55472F6A"/>
    <w:rsid w:val="55890BB4"/>
    <w:rsid w:val="55D75BA0"/>
    <w:rsid w:val="565DF7AE"/>
    <w:rsid w:val="568F5B05"/>
    <w:rsid w:val="56A7444A"/>
    <w:rsid w:val="56ADE6AE"/>
    <w:rsid w:val="56D5C855"/>
    <w:rsid w:val="57035B5F"/>
    <w:rsid w:val="57574630"/>
    <w:rsid w:val="5759658F"/>
    <w:rsid w:val="5781E1EB"/>
    <w:rsid w:val="5782E111"/>
    <w:rsid w:val="57C43343"/>
    <w:rsid w:val="57D4A4B4"/>
    <w:rsid w:val="57EE0427"/>
    <w:rsid w:val="581F9083"/>
    <w:rsid w:val="58ACC1A9"/>
    <w:rsid w:val="58F3385F"/>
    <w:rsid w:val="59A1A057"/>
    <w:rsid w:val="59D01995"/>
    <w:rsid w:val="59E3677A"/>
    <w:rsid w:val="5A04B0B3"/>
    <w:rsid w:val="5A219A5E"/>
    <w:rsid w:val="5A52F22C"/>
    <w:rsid w:val="5A530332"/>
    <w:rsid w:val="5A5660EF"/>
    <w:rsid w:val="5A891C15"/>
    <w:rsid w:val="5A9BCFF5"/>
    <w:rsid w:val="5AA681F6"/>
    <w:rsid w:val="5ABEE382"/>
    <w:rsid w:val="5ADA5739"/>
    <w:rsid w:val="5ADAC9FC"/>
    <w:rsid w:val="5ADFA6C1"/>
    <w:rsid w:val="5B1451AA"/>
    <w:rsid w:val="5BD9412E"/>
    <w:rsid w:val="5C7526BD"/>
    <w:rsid w:val="5C92BB4A"/>
    <w:rsid w:val="5C98F63E"/>
    <w:rsid w:val="5CAF1D07"/>
    <w:rsid w:val="5CB0299D"/>
    <w:rsid w:val="5CB4F262"/>
    <w:rsid w:val="5CF42EB7"/>
    <w:rsid w:val="5CF7D6EA"/>
    <w:rsid w:val="5D708CCD"/>
    <w:rsid w:val="5D762D46"/>
    <w:rsid w:val="5D8CE062"/>
    <w:rsid w:val="5E2A3982"/>
    <w:rsid w:val="5E41A838"/>
    <w:rsid w:val="5E5D7E7D"/>
    <w:rsid w:val="5E6B65A2"/>
    <w:rsid w:val="5EACF4FC"/>
    <w:rsid w:val="5EB1B048"/>
    <w:rsid w:val="5ED0754B"/>
    <w:rsid w:val="5ED4266C"/>
    <w:rsid w:val="5ED4C0D1"/>
    <w:rsid w:val="5F0E58DF"/>
    <w:rsid w:val="5F472605"/>
    <w:rsid w:val="5FD2F770"/>
    <w:rsid w:val="6011CF50"/>
    <w:rsid w:val="604C9201"/>
    <w:rsid w:val="6091615B"/>
    <w:rsid w:val="60B739F5"/>
    <w:rsid w:val="61064615"/>
    <w:rsid w:val="6126B810"/>
    <w:rsid w:val="6176C0ED"/>
    <w:rsid w:val="6191F76A"/>
    <w:rsid w:val="61CA9075"/>
    <w:rsid w:val="61FBFDE0"/>
    <w:rsid w:val="620A4691"/>
    <w:rsid w:val="6220D0C4"/>
    <w:rsid w:val="623BD743"/>
    <w:rsid w:val="624099BF"/>
    <w:rsid w:val="6243C486"/>
    <w:rsid w:val="62445EF8"/>
    <w:rsid w:val="6287E2D3"/>
    <w:rsid w:val="62971985"/>
    <w:rsid w:val="62ACF3CA"/>
    <w:rsid w:val="63412D9F"/>
    <w:rsid w:val="6394444C"/>
    <w:rsid w:val="64093387"/>
    <w:rsid w:val="641DD08D"/>
    <w:rsid w:val="64641E0B"/>
    <w:rsid w:val="64769B01"/>
    <w:rsid w:val="6476A94F"/>
    <w:rsid w:val="6493A1C0"/>
    <w:rsid w:val="64DB73A1"/>
    <w:rsid w:val="6515C78F"/>
    <w:rsid w:val="652F16A1"/>
    <w:rsid w:val="65966153"/>
    <w:rsid w:val="65C2E1CA"/>
    <w:rsid w:val="65EE2115"/>
    <w:rsid w:val="65F60E38"/>
    <w:rsid w:val="660E41C6"/>
    <w:rsid w:val="662359C7"/>
    <w:rsid w:val="664A1824"/>
    <w:rsid w:val="6664DC6C"/>
    <w:rsid w:val="667C0534"/>
    <w:rsid w:val="668D4229"/>
    <w:rsid w:val="671BEB55"/>
    <w:rsid w:val="672EF79C"/>
    <w:rsid w:val="673E2ED6"/>
    <w:rsid w:val="67A70F71"/>
    <w:rsid w:val="67BA7E43"/>
    <w:rsid w:val="68063302"/>
    <w:rsid w:val="68555228"/>
    <w:rsid w:val="68A929D0"/>
    <w:rsid w:val="68B6167E"/>
    <w:rsid w:val="68C2DF9E"/>
    <w:rsid w:val="69406DE0"/>
    <w:rsid w:val="6943C39C"/>
    <w:rsid w:val="6994E081"/>
    <w:rsid w:val="699701EC"/>
    <w:rsid w:val="69A523D8"/>
    <w:rsid w:val="69C588C3"/>
    <w:rsid w:val="69EC8A09"/>
    <w:rsid w:val="6A12B3A0"/>
    <w:rsid w:val="6A2131CC"/>
    <w:rsid w:val="6A92AB60"/>
    <w:rsid w:val="6A93885D"/>
    <w:rsid w:val="6A9DEDF5"/>
    <w:rsid w:val="6AEB7C1F"/>
    <w:rsid w:val="6B1433C6"/>
    <w:rsid w:val="6B3C42C5"/>
    <w:rsid w:val="6B580417"/>
    <w:rsid w:val="6BB8DBE2"/>
    <w:rsid w:val="6BC00949"/>
    <w:rsid w:val="6BC1EA64"/>
    <w:rsid w:val="6BCD88D1"/>
    <w:rsid w:val="6C07135E"/>
    <w:rsid w:val="6C250C70"/>
    <w:rsid w:val="6C4CC919"/>
    <w:rsid w:val="6C5B1926"/>
    <w:rsid w:val="6C9AC594"/>
    <w:rsid w:val="6CD2338C"/>
    <w:rsid w:val="6D2074C2"/>
    <w:rsid w:val="6D3CE55F"/>
    <w:rsid w:val="6D433FC7"/>
    <w:rsid w:val="6D59D027"/>
    <w:rsid w:val="6D71EB8B"/>
    <w:rsid w:val="6DAAE7AB"/>
    <w:rsid w:val="6DEB7E88"/>
    <w:rsid w:val="6E055519"/>
    <w:rsid w:val="6E154ECE"/>
    <w:rsid w:val="6E328A34"/>
    <w:rsid w:val="6E330673"/>
    <w:rsid w:val="6E3919AD"/>
    <w:rsid w:val="6E3E4CE9"/>
    <w:rsid w:val="6E7D2BE9"/>
    <w:rsid w:val="6EAA5907"/>
    <w:rsid w:val="6EBAEB6B"/>
    <w:rsid w:val="6ED91B9A"/>
    <w:rsid w:val="6EE3C4C3"/>
    <w:rsid w:val="6F03367B"/>
    <w:rsid w:val="6F0D9D4B"/>
    <w:rsid w:val="6F296E57"/>
    <w:rsid w:val="6F855278"/>
    <w:rsid w:val="6FD708AD"/>
    <w:rsid w:val="6FDBB802"/>
    <w:rsid w:val="702AB093"/>
    <w:rsid w:val="702ED0CA"/>
    <w:rsid w:val="70399ED8"/>
    <w:rsid w:val="704A5075"/>
    <w:rsid w:val="70612C00"/>
    <w:rsid w:val="70DAC8C6"/>
    <w:rsid w:val="7100E21D"/>
    <w:rsid w:val="71A15621"/>
    <w:rsid w:val="71C07F47"/>
    <w:rsid w:val="71EC5674"/>
    <w:rsid w:val="720A8C61"/>
    <w:rsid w:val="7243876C"/>
    <w:rsid w:val="725308DC"/>
    <w:rsid w:val="72E6C020"/>
    <w:rsid w:val="72E8EE86"/>
    <w:rsid w:val="72F39C8E"/>
    <w:rsid w:val="73149BC5"/>
    <w:rsid w:val="7322F5EA"/>
    <w:rsid w:val="733F89EE"/>
    <w:rsid w:val="7361F9A9"/>
    <w:rsid w:val="737FEB8A"/>
    <w:rsid w:val="73898CEA"/>
    <w:rsid w:val="738DF1C8"/>
    <w:rsid w:val="73A1252E"/>
    <w:rsid w:val="74FB17FE"/>
    <w:rsid w:val="7504A509"/>
    <w:rsid w:val="75463796"/>
    <w:rsid w:val="7570304C"/>
    <w:rsid w:val="7592335D"/>
    <w:rsid w:val="75DA7397"/>
    <w:rsid w:val="75DE57ED"/>
    <w:rsid w:val="75DE84AB"/>
    <w:rsid w:val="75EADEC6"/>
    <w:rsid w:val="7662B971"/>
    <w:rsid w:val="768AD4F6"/>
    <w:rsid w:val="76A88595"/>
    <w:rsid w:val="76AFA89B"/>
    <w:rsid w:val="76C5670A"/>
    <w:rsid w:val="7752C1B0"/>
    <w:rsid w:val="77A53E25"/>
    <w:rsid w:val="77B5F541"/>
    <w:rsid w:val="77D5B7C8"/>
    <w:rsid w:val="7820AB55"/>
    <w:rsid w:val="782A78D6"/>
    <w:rsid w:val="78348333"/>
    <w:rsid w:val="783E04D7"/>
    <w:rsid w:val="7857E58A"/>
    <w:rsid w:val="7884513C"/>
    <w:rsid w:val="78A8EEA1"/>
    <w:rsid w:val="78AC3379"/>
    <w:rsid w:val="7923ACCC"/>
    <w:rsid w:val="79649E1E"/>
    <w:rsid w:val="79C08361"/>
    <w:rsid w:val="79CC6CCC"/>
    <w:rsid w:val="79F6C433"/>
    <w:rsid w:val="7A11DA9C"/>
    <w:rsid w:val="7A2C226D"/>
    <w:rsid w:val="7A5C36C3"/>
    <w:rsid w:val="7A78D462"/>
    <w:rsid w:val="7A905A27"/>
    <w:rsid w:val="7A9872D7"/>
    <w:rsid w:val="7ACB5E4B"/>
    <w:rsid w:val="7AFAD8F3"/>
    <w:rsid w:val="7B0604CF"/>
    <w:rsid w:val="7B0D359C"/>
    <w:rsid w:val="7B11E2A2"/>
    <w:rsid w:val="7B15E09E"/>
    <w:rsid w:val="7B374601"/>
    <w:rsid w:val="7B38A923"/>
    <w:rsid w:val="7B7426D2"/>
    <w:rsid w:val="7BC9601A"/>
    <w:rsid w:val="7C00CAAA"/>
    <w:rsid w:val="7C0FC38B"/>
    <w:rsid w:val="7C1922FB"/>
    <w:rsid w:val="7C4012B8"/>
    <w:rsid w:val="7C4F902F"/>
    <w:rsid w:val="7C55D996"/>
    <w:rsid w:val="7C7C83C1"/>
    <w:rsid w:val="7CA5AF63"/>
    <w:rsid w:val="7CC41F81"/>
    <w:rsid w:val="7CC5EB6E"/>
    <w:rsid w:val="7CC602CF"/>
    <w:rsid w:val="7CE6DBB9"/>
    <w:rsid w:val="7CFBB7D7"/>
    <w:rsid w:val="7D4FDE01"/>
    <w:rsid w:val="7D8AD51C"/>
    <w:rsid w:val="7E1BA335"/>
    <w:rsid w:val="7E341921"/>
    <w:rsid w:val="7E4E74A9"/>
    <w:rsid w:val="7E789BDE"/>
    <w:rsid w:val="7EA0CE95"/>
    <w:rsid w:val="7EA4E2E4"/>
    <w:rsid w:val="7EDFBD7A"/>
    <w:rsid w:val="7F034837"/>
    <w:rsid w:val="7F285951"/>
    <w:rsid w:val="7F56F5BD"/>
    <w:rsid w:val="7F7E3666"/>
    <w:rsid w:val="7FB04E08"/>
    <w:rsid w:val="7FB42273"/>
    <w:rsid w:val="7FEFA3B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D0AD30"/>
  <w15:chartTrackingRefBased/>
  <w15:docId w15:val="{4471372B-6A48-4815-B68F-2F8F43AA8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510D"/>
    <w:pPr>
      <w:spacing w:after="0" w:line="240" w:lineRule="auto"/>
    </w:pPr>
    <w:rPr>
      <w:rFonts w:ascii="Times New Roman" w:eastAsia="Times New Roman" w:hAnsi="Times New Roman" w:cs="Times New Roman"/>
      <w:lang w:eastAsia="en-US"/>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6E7D2BE9"/>
    <w:pPr>
      <w:ind w:left="720"/>
      <w:contextualSpacing/>
    </w:pPr>
  </w:style>
  <w:style w:type="character" w:styleId="Hyperlink">
    <w:name w:val="Hyperlink"/>
    <w:basedOn w:val="DefaultParagraphFont"/>
    <w:uiPriority w:val="99"/>
    <w:unhideWhenUsed/>
    <w:rsid w:val="6E7D2BE9"/>
    <w:rPr>
      <w:color w:val="467886"/>
      <w:u w:val="single"/>
    </w:rPr>
  </w:style>
  <w:style w:type="table" w:styleId="TableGrid">
    <w:name w:val="Table Grid"/>
    <w:basedOn w:val="TableNormal"/>
    <w:uiPriority w:val="3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075B99"/>
    <w:pPr>
      <w:tabs>
        <w:tab w:val="center" w:pos="4680"/>
        <w:tab w:val="right" w:pos="9360"/>
      </w:tabs>
    </w:pPr>
  </w:style>
  <w:style w:type="character" w:customStyle="1" w:styleId="HeaderChar">
    <w:name w:val="Header Char"/>
    <w:basedOn w:val="DefaultParagraphFont"/>
    <w:link w:val="Header"/>
    <w:uiPriority w:val="99"/>
    <w:rsid w:val="00075B99"/>
  </w:style>
  <w:style w:type="paragraph" w:styleId="Footer">
    <w:name w:val="footer"/>
    <w:basedOn w:val="Normal"/>
    <w:link w:val="FooterChar"/>
    <w:uiPriority w:val="99"/>
    <w:unhideWhenUsed/>
    <w:rsid w:val="00075B99"/>
    <w:pPr>
      <w:tabs>
        <w:tab w:val="center" w:pos="4680"/>
        <w:tab w:val="right" w:pos="9360"/>
      </w:tabs>
    </w:pPr>
  </w:style>
  <w:style w:type="character" w:customStyle="1" w:styleId="FooterChar">
    <w:name w:val="Footer Char"/>
    <w:basedOn w:val="DefaultParagraphFont"/>
    <w:link w:val="Footer"/>
    <w:uiPriority w:val="99"/>
    <w:rsid w:val="00075B99"/>
  </w:style>
  <w:style w:type="character" w:styleId="UnresolvedMention">
    <w:name w:val="Unresolved Mention"/>
    <w:basedOn w:val="DefaultParagraphFont"/>
    <w:uiPriority w:val="99"/>
    <w:semiHidden/>
    <w:unhideWhenUsed/>
    <w:rsid w:val="003E2156"/>
    <w:rPr>
      <w:color w:val="605E5C"/>
      <w:shd w:val="clear" w:color="auto" w:fill="E1DFDD"/>
    </w:rPr>
  </w:style>
  <w:style w:type="character" w:styleId="FollowedHyperlink">
    <w:name w:val="FollowedHyperlink"/>
    <w:basedOn w:val="DefaultParagraphFont"/>
    <w:uiPriority w:val="99"/>
    <w:semiHidden/>
    <w:unhideWhenUsed/>
    <w:rsid w:val="003E2156"/>
    <w:rPr>
      <w:color w:val="96607D" w:themeColor="followedHyperlink"/>
      <w:u w:val="single"/>
    </w:rPr>
  </w:style>
  <w:style w:type="character" w:styleId="CommentReference">
    <w:name w:val="annotation reference"/>
    <w:basedOn w:val="DefaultParagraphFont"/>
    <w:uiPriority w:val="99"/>
    <w:semiHidden/>
    <w:unhideWhenUsed/>
    <w:rsid w:val="00A84483"/>
    <w:rPr>
      <w:sz w:val="16"/>
      <w:szCs w:val="16"/>
    </w:rPr>
  </w:style>
  <w:style w:type="paragraph" w:styleId="CommentText">
    <w:name w:val="annotation text"/>
    <w:basedOn w:val="Normal"/>
    <w:link w:val="CommentTextChar"/>
    <w:uiPriority w:val="99"/>
    <w:unhideWhenUsed/>
    <w:rsid w:val="00A84483"/>
    <w:rPr>
      <w:sz w:val="20"/>
      <w:szCs w:val="20"/>
    </w:rPr>
  </w:style>
  <w:style w:type="character" w:customStyle="1" w:styleId="CommentTextChar">
    <w:name w:val="Comment Text Char"/>
    <w:basedOn w:val="DefaultParagraphFont"/>
    <w:link w:val="CommentText"/>
    <w:uiPriority w:val="99"/>
    <w:rsid w:val="00A84483"/>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A84483"/>
    <w:rPr>
      <w:b/>
      <w:bCs/>
    </w:rPr>
  </w:style>
  <w:style w:type="character" w:customStyle="1" w:styleId="CommentSubjectChar">
    <w:name w:val="Comment Subject Char"/>
    <w:basedOn w:val="CommentTextChar"/>
    <w:link w:val="CommentSubject"/>
    <w:uiPriority w:val="99"/>
    <w:semiHidden/>
    <w:rsid w:val="00A84483"/>
    <w:rPr>
      <w:rFonts w:ascii="Times New Roman" w:eastAsia="Times New Roman" w:hAnsi="Times New Roman" w:cs="Times New Roman"/>
      <w:b/>
      <w:bCs/>
      <w:sz w:val="20"/>
      <w:szCs w:val="20"/>
      <w:lang w:eastAsia="en-US"/>
    </w:rPr>
  </w:style>
  <w:style w:type="paragraph" w:styleId="Revision">
    <w:name w:val="Revision"/>
    <w:hidden/>
    <w:uiPriority w:val="99"/>
    <w:semiHidden/>
    <w:rsid w:val="00A84483"/>
    <w:pPr>
      <w:spacing w:after="0" w:line="240" w:lineRule="auto"/>
    </w:pPr>
    <w:rPr>
      <w:rFonts w:ascii="Times New Roman" w:eastAsia="Times New Roman" w:hAnsi="Times New Roman" w:cs="Times New Roman"/>
      <w:lang w:eastAsia="en-US"/>
    </w:rPr>
  </w:style>
  <w:style w:type="paragraph" w:styleId="BodyText">
    <w:name w:val="Body Text"/>
    <w:basedOn w:val="Normal"/>
    <w:link w:val="BodyTextChar"/>
    <w:uiPriority w:val="1"/>
    <w:qFormat/>
    <w:rsid w:val="005C05F4"/>
    <w:pPr>
      <w:widowControl w:val="0"/>
      <w:autoSpaceDE w:val="0"/>
      <w:autoSpaceDN w:val="0"/>
      <w:ind w:left="1180" w:hanging="360"/>
    </w:pPr>
  </w:style>
  <w:style w:type="character" w:customStyle="1" w:styleId="BodyTextChar">
    <w:name w:val="Body Text Char"/>
    <w:basedOn w:val="DefaultParagraphFont"/>
    <w:link w:val="BodyText"/>
    <w:uiPriority w:val="1"/>
    <w:rsid w:val="005C05F4"/>
    <w:rPr>
      <w:rFonts w:ascii="Times New Roman" w:eastAsia="Times New Roman" w:hAnsi="Times New Roman" w:cs="Times New Roman"/>
      <w:lang w:eastAsia="en-US"/>
    </w:rPr>
  </w:style>
  <w:style w:type="character" w:customStyle="1" w:styleId="normaltextrun">
    <w:name w:val="normaltextrun"/>
    <w:basedOn w:val="DefaultParagraphFont"/>
    <w:rsid w:val="00783C37"/>
  </w:style>
  <w:style w:type="character" w:styleId="PlaceholderText">
    <w:name w:val="Placeholder Text"/>
    <w:basedOn w:val="DefaultParagraphFont"/>
    <w:uiPriority w:val="99"/>
    <w:semiHidden/>
    <w:rsid w:val="00861DCD"/>
    <w:rPr>
      <w:color w:val="808080" w:themeColor="background1" w:themeShade="80"/>
    </w:rPr>
  </w:style>
  <w:style w:type="paragraph" w:customStyle="1" w:styleId="css-qffaiu">
    <w:name w:val="css-qffaiu"/>
    <w:basedOn w:val="Normal"/>
    <w:rsid w:val="00CD681F"/>
    <w:pPr>
      <w:spacing w:before="100" w:beforeAutospacing="1" w:after="100" w:afterAutospacing="1"/>
    </w:pPr>
  </w:style>
  <w:style w:type="character" w:customStyle="1" w:styleId="css-lcd2g5">
    <w:name w:val="css-lcd2g5"/>
    <w:basedOn w:val="DefaultParagraphFont"/>
    <w:rsid w:val="00F76F56"/>
  </w:style>
  <w:style w:type="paragraph" w:customStyle="1" w:styleId="e178251s14">
    <w:name w:val="e178251s14"/>
    <w:basedOn w:val="Normal"/>
    <w:rsid w:val="008C66A0"/>
    <w:pPr>
      <w:spacing w:before="100" w:beforeAutospacing="1" w:after="100" w:afterAutospacing="1"/>
    </w:pPr>
  </w:style>
  <w:style w:type="paragraph" w:customStyle="1" w:styleId="paragraph">
    <w:name w:val="paragraph"/>
    <w:basedOn w:val="Normal"/>
    <w:rsid w:val="00353350"/>
    <w:pPr>
      <w:spacing w:before="100" w:beforeAutospacing="1" w:after="100" w:afterAutospacing="1"/>
    </w:pPr>
  </w:style>
  <w:style w:type="character" w:customStyle="1" w:styleId="eop">
    <w:name w:val="eop"/>
    <w:basedOn w:val="DefaultParagraphFont"/>
    <w:rsid w:val="00353350"/>
  </w:style>
  <w:style w:type="paragraph" w:customStyle="1" w:styleId="DecimalAligned">
    <w:name w:val="Decimal Aligned"/>
    <w:basedOn w:val="Normal"/>
    <w:uiPriority w:val="40"/>
    <w:qFormat/>
    <w:rsid w:val="00806959"/>
    <w:pPr>
      <w:tabs>
        <w:tab w:val="decimal" w:pos="360"/>
      </w:tabs>
      <w:spacing w:after="200" w:line="276" w:lineRule="auto"/>
    </w:pPr>
    <w:rPr>
      <w:rFonts w:asciiTheme="minorHAnsi" w:eastAsiaTheme="minorEastAsia" w:hAnsiTheme="minorHAnsi"/>
      <w:sz w:val="22"/>
      <w:szCs w:val="22"/>
    </w:rPr>
  </w:style>
  <w:style w:type="paragraph" w:styleId="FootnoteText">
    <w:name w:val="footnote text"/>
    <w:basedOn w:val="Normal"/>
    <w:link w:val="FootnoteTextChar"/>
    <w:uiPriority w:val="99"/>
    <w:unhideWhenUsed/>
    <w:rsid w:val="00806959"/>
    <w:rPr>
      <w:rFonts w:asciiTheme="minorHAnsi" w:eastAsiaTheme="minorEastAsia" w:hAnsiTheme="minorHAnsi"/>
      <w:sz w:val="20"/>
      <w:szCs w:val="20"/>
    </w:rPr>
  </w:style>
  <w:style w:type="character" w:customStyle="1" w:styleId="FootnoteTextChar">
    <w:name w:val="Footnote Text Char"/>
    <w:basedOn w:val="DefaultParagraphFont"/>
    <w:link w:val="FootnoteText"/>
    <w:uiPriority w:val="99"/>
    <w:rsid w:val="00806959"/>
    <w:rPr>
      <w:rFonts w:cs="Times New Roman"/>
      <w:sz w:val="20"/>
      <w:szCs w:val="20"/>
      <w:lang w:eastAsia="en-US"/>
    </w:rPr>
  </w:style>
  <w:style w:type="character" w:styleId="SubtleEmphasis">
    <w:name w:val="Subtle Emphasis"/>
    <w:basedOn w:val="DefaultParagraphFont"/>
    <w:uiPriority w:val="19"/>
    <w:qFormat/>
    <w:rsid w:val="00806959"/>
    <w:rPr>
      <w:i/>
      <w:iCs/>
    </w:rPr>
  </w:style>
  <w:style w:type="table" w:styleId="LightShading-Accent1">
    <w:name w:val="Light Shading Accent 1"/>
    <w:basedOn w:val="TableNormal"/>
    <w:uiPriority w:val="60"/>
    <w:rsid w:val="00806959"/>
    <w:pPr>
      <w:spacing w:after="0" w:line="240" w:lineRule="auto"/>
    </w:pPr>
    <w:rPr>
      <w:color w:val="0F4761" w:themeColor="accent1" w:themeShade="BF"/>
      <w:sz w:val="22"/>
      <w:szCs w:val="22"/>
      <w:lang w:eastAsia="en-US"/>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stTable7Colorful-Accent1">
    <w:name w:val="List Table 7 Colorful Accent 1"/>
    <w:basedOn w:val="TableNormal"/>
    <w:uiPriority w:val="52"/>
    <w:rsid w:val="00806959"/>
    <w:pPr>
      <w:spacing w:after="0" w:line="240" w:lineRule="auto"/>
    </w:pPr>
    <w:rPr>
      <w:color w:val="0F476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56082"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56082"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56082"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56082" w:themeColor="accent1"/>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
    <w:name w:val="List Table 7 Colorful"/>
    <w:basedOn w:val="TableNormal"/>
    <w:uiPriority w:val="52"/>
    <w:rsid w:val="00806959"/>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3">
    <w:name w:val="Plain Table 3"/>
    <w:basedOn w:val="TableNormal"/>
    <w:uiPriority w:val="43"/>
    <w:rsid w:val="003B1FB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Strong">
    <w:name w:val="Strong"/>
    <w:basedOn w:val="DefaultParagraphFont"/>
    <w:uiPriority w:val="22"/>
    <w:qFormat/>
    <w:rsid w:val="00C36310"/>
    <w:rPr>
      <w:b/>
      <w:bCs/>
    </w:rPr>
  </w:style>
  <w:style w:type="character" w:styleId="Emphasis">
    <w:name w:val="Emphasis"/>
    <w:basedOn w:val="DefaultParagraphFont"/>
    <w:uiPriority w:val="20"/>
    <w:qFormat/>
    <w:rsid w:val="00B55FF9"/>
    <w:rPr>
      <w:i/>
      <w:iCs/>
    </w:rPr>
  </w:style>
  <w:style w:type="paragraph" w:styleId="NormalWeb">
    <w:name w:val="Normal (Web)"/>
    <w:basedOn w:val="Normal"/>
    <w:uiPriority w:val="99"/>
    <w:semiHidden/>
    <w:unhideWhenUsed/>
    <w:rsid w:val="008331D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94227">
      <w:bodyDiv w:val="1"/>
      <w:marLeft w:val="0"/>
      <w:marRight w:val="0"/>
      <w:marTop w:val="0"/>
      <w:marBottom w:val="0"/>
      <w:divBdr>
        <w:top w:val="none" w:sz="0" w:space="0" w:color="auto"/>
        <w:left w:val="none" w:sz="0" w:space="0" w:color="auto"/>
        <w:bottom w:val="none" w:sz="0" w:space="0" w:color="auto"/>
        <w:right w:val="none" w:sz="0" w:space="0" w:color="auto"/>
      </w:divBdr>
      <w:divsChild>
        <w:div w:id="1465465343">
          <w:marLeft w:val="0"/>
          <w:marRight w:val="0"/>
          <w:marTop w:val="0"/>
          <w:marBottom w:val="0"/>
          <w:divBdr>
            <w:top w:val="none" w:sz="0" w:space="0" w:color="auto"/>
            <w:left w:val="none" w:sz="0" w:space="0" w:color="auto"/>
            <w:bottom w:val="none" w:sz="0" w:space="0" w:color="auto"/>
            <w:right w:val="none" w:sz="0" w:space="0" w:color="auto"/>
          </w:divBdr>
        </w:div>
      </w:divsChild>
    </w:div>
    <w:div w:id="33505481">
      <w:bodyDiv w:val="1"/>
      <w:marLeft w:val="0"/>
      <w:marRight w:val="0"/>
      <w:marTop w:val="0"/>
      <w:marBottom w:val="0"/>
      <w:divBdr>
        <w:top w:val="none" w:sz="0" w:space="0" w:color="auto"/>
        <w:left w:val="none" w:sz="0" w:space="0" w:color="auto"/>
        <w:bottom w:val="none" w:sz="0" w:space="0" w:color="auto"/>
        <w:right w:val="none" w:sz="0" w:space="0" w:color="auto"/>
      </w:divBdr>
    </w:div>
    <w:div w:id="46691235">
      <w:bodyDiv w:val="1"/>
      <w:marLeft w:val="0"/>
      <w:marRight w:val="0"/>
      <w:marTop w:val="0"/>
      <w:marBottom w:val="0"/>
      <w:divBdr>
        <w:top w:val="none" w:sz="0" w:space="0" w:color="auto"/>
        <w:left w:val="none" w:sz="0" w:space="0" w:color="auto"/>
        <w:bottom w:val="none" w:sz="0" w:space="0" w:color="auto"/>
        <w:right w:val="none" w:sz="0" w:space="0" w:color="auto"/>
      </w:divBdr>
      <w:divsChild>
        <w:div w:id="1994289096">
          <w:marLeft w:val="0"/>
          <w:marRight w:val="0"/>
          <w:marTop w:val="0"/>
          <w:marBottom w:val="0"/>
          <w:divBdr>
            <w:top w:val="none" w:sz="0" w:space="0" w:color="auto"/>
            <w:left w:val="none" w:sz="0" w:space="0" w:color="auto"/>
            <w:bottom w:val="none" w:sz="0" w:space="0" w:color="auto"/>
            <w:right w:val="none" w:sz="0" w:space="0" w:color="auto"/>
          </w:divBdr>
        </w:div>
      </w:divsChild>
    </w:div>
    <w:div w:id="63915549">
      <w:bodyDiv w:val="1"/>
      <w:marLeft w:val="0"/>
      <w:marRight w:val="0"/>
      <w:marTop w:val="0"/>
      <w:marBottom w:val="0"/>
      <w:divBdr>
        <w:top w:val="none" w:sz="0" w:space="0" w:color="auto"/>
        <w:left w:val="none" w:sz="0" w:space="0" w:color="auto"/>
        <w:bottom w:val="none" w:sz="0" w:space="0" w:color="auto"/>
        <w:right w:val="none" w:sz="0" w:space="0" w:color="auto"/>
      </w:divBdr>
    </w:div>
    <w:div w:id="102699435">
      <w:bodyDiv w:val="1"/>
      <w:marLeft w:val="0"/>
      <w:marRight w:val="0"/>
      <w:marTop w:val="0"/>
      <w:marBottom w:val="0"/>
      <w:divBdr>
        <w:top w:val="none" w:sz="0" w:space="0" w:color="auto"/>
        <w:left w:val="none" w:sz="0" w:space="0" w:color="auto"/>
        <w:bottom w:val="none" w:sz="0" w:space="0" w:color="auto"/>
        <w:right w:val="none" w:sz="0" w:space="0" w:color="auto"/>
      </w:divBdr>
      <w:divsChild>
        <w:div w:id="191458141">
          <w:marLeft w:val="0"/>
          <w:marRight w:val="0"/>
          <w:marTop w:val="0"/>
          <w:marBottom w:val="0"/>
          <w:divBdr>
            <w:top w:val="none" w:sz="0" w:space="0" w:color="auto"/>
            <w:left w:val="none" w:sz="0" w:space="0" w:color="auto"/>
            <w:bottom w:val="none" w:sz="0" w:space="0" w:color="auto"/>
            <w:right w:val="none" w:sz="0" w:space="0" w:color="auto"/>
          </w:divBdr>
        </w:div>
      </w:divsChild>
    </w:div>
    <w:div w:id="176625995">
      <w:bodyDiv w:val="1"/>
      <w:marLeft w:val="0"/>
      <w:marRight w:val="0"/>
      <w:marTop w:val="0"/>
      <w:marBottom w:val="0"/>
      <w:divBdr>
        <w:top w:val="none" w:sz="0" w:space="0" w:color="auto"/>
        <w:left w:val="none" w:sz="0" w:space="0" w:color="auto"/>
        <w:bottom w:val="none" w:sz="0" w:space="0" w:color="auto"/>
        <w:right w:val="none" w:sz="0" w:space="0" w:color="auto"/>
      </w:divBdr>
      <w:divsChild>
        <w:div w:id="466164942">
          <w:marLeft w:val="0"/>
          <w:marRight w:val="0"/>
          <w:marTop w:val="0"/>
          <w:marBottom w:val="0"/>
          <w:divBdr>
            <w:top w:val="none" w:sz="0" w:space="0" w:color="auto"/>
            <w:left w:val="none" w:sz="0" w:space="0" w:color="auto"/>
            <w:bottom w:val="none" w:sz="0" w:space="0" w:color="auto"/>
            <w:right w:val="none" w:sz="0" w:space="0" w:color="auto"/>
          </w:divBdr>
        </w:div>
      </w:divsChild>
    </w:div>
    <w:div w:id="183398485">
      <w:bodyDiv w:val="1"/>
      <w:marLeft w:val="0"/>
      <w:marRight w:val="0"/>
      <w:marTop w:val="0"/>
      <w:marBottom w:val="0"/>
      <w:divBdr>
        <w:top w:val="none" w:sz="0" w:space="0" w:color="auto"/>
        <w:left w:val="none" w:sz="0" w:space="0" w:color="auto"/>
        <w:bottom w:val="none" w:sz="0" w:space="0" w:color="auto"/>
        <w:right w:val="none" w:sz="0" w:space="0" w:color="auto"/>
      </w:divBdr>
      <w:divsChild>
        <w:div w:id="938565162">
          <w:marLeft w:val="0"/>
          <w:marRight w:val="0"/>
          <w:marTop w:val="0"/>
          <w:marBottom w:val="0"/>
          <w:divBdr>
            <w:top w:val="none" w:sz="0" w:space="0" w:color="auto"/>
            <w:left w:val="none" w:sz="0" w:space="0" w:color="auto"/>
            <w:bottom w:val="none" w:sz="0" w:space="0" w:color="auto"/>
            <w:right w:val="none" w:sz="0" w:space="0" w:color="auto"/>
          </w:divBdr>
        </w:div>
      </w:divsChild>
    </w:div>
    <w:div w:id="220990478">
      <w:bodyDiv w:val="1"/>
      <w:marLeft w:val="0"/>
      <w:marRight w:val="0"/>
      <w:marTop w:val="0"/>
      <w:marBottom w:val="0"/>
      <w:divBdr>
        <w:top w:val="none" w:sz="0" w:space="0" w:color="auto"/>
        <w:left w:val="none" w:sz="0" w:space="0" w:color="auto"/>
        <w:bottom w:val="none" w:sz="0" w:space="0" w:color="auto"/>
        <w:right w:val="none" w:sz="0" w:space="0" w:color="auto"/>
      </w:divBdr>
      <w:divsChild>
        <w:div w:id="216475965">
          <w:marLeft w:val="0"/>
          <w:marRight w:val="0"/>
          <w:marTop w:val="0"/>
          <w:marBottom w:val="0"/>
          <w:divBdr>
            <w:top w:val="none" w:sz="0" w:space="0" w:color="auto"/>
            <w:left w:val="none" w:sz="0" w:space="0" w:color="auto"/>
            <w:bottom w:val="none" w:sz="0" w:space="0" w:color="auto"/>
            <w:right w:val="none" w:sz="0" w:space="0" w:color="auto"/>
          </w:divBdr>
        </w:div>
      </w:divsChild>
    </w:div>
    <w:div w:id="235823997">
      <w:bodyDiv w:val="1"/>
      <w:marLeft w:val="0"/>
      <w:marRight w:val="0"/>
      <w:marTop w:val="0"/>
      <w:marBottom w:val="0"/>
      <w:divBdr>
        <w:top w:val="none" w:sz="0" w:space="0" w:color="auto"/>
        <w:left w:val="none" w:sz="0" w:space="0" w:color="auto"/>
        <w:bottom w:val="none" w:sz="0" w:space="0" w:color="auto"/>
        <w:right w:val="none" w:sz="0" w:space="0" w:color="auto"/>
      </w:divBdr>
    </w:div>
    <w:div w:id="252251760">
      <w:bodyDiv w:val="1"/>
      <w:marLeft w:val="0"/>
      <w:marRight w:val="0"/>
      <w:marTop w:val="0"/>
      <w:marBottom w:val="0"/>
      <w:divBdr>
        <w:top w:val="none" w:sz="0" w:space="0" w:color="auto"/>
        <w:left w:val="none" w:sz="0" w:space="0" w:color="auto"/>
        <w:bottom w:val="none" w:sz="0" w:space="0" w:color="auto"/>
        <w:right w:val="none" w:sz="0" w:space="0" w:color="auto"/>
      </w:divBdr>
      <w:divsChild>
        <w:div w:id="1442842792">
          <w:marLeft w:val="0"/>
          <w:marRight w:val="0"/>
          <w:marTop w:val="0"/>
          <w:marBottom w:val="0"/>
          <w:divBdr>
            <w:top w:val="none" w:sz="0" w:space="0" w:color="auto"/>
            <w:left w:val="none" w:sz="0" w:space="0" w:color="auto"/>
            <w:bottom w:val="none" w:sz="0" w:space="0" w:color="auto"/>
            <w:right w:val="none" w:sz="0" w:space="0" w:color="auto"/>
          </w:divBdr>
        </w:div>
      </w:divsChild>
    </w:div>
    <w:div w:id="270011976">
      <w:bodyDiv w:val="1"/>
      <w:marLeft w:val="0"/>
      <w:marRight w:val="0"/>
      <w:marTop w:val="0"/>
      <w:marBottom w:val="0"/>
      <w:divBdr>
        <w:top w:val="none" w:sz="0" w:space="0" w:color="auto"/>
        <w:left w:val="none" w:sz="0" w:space="0" w:color="auto"/>
        <w:bottom w:val="none" w:sz="0" w:space="0" w:color="auto"/>
        <w:right w:val="none" w:sz="0" w:space="0" w:color="auto"/>
      </w:divBdr>
      <w:divsChild>
        <w:div w:id="1871337682">
          <w:marLeft w:val="0"/>
          <w:marRight w:val="0"/>
          <w:marTop w:val="0"/>
          <w:marBottom w:val="0"/>
          <w:divBdr>
            <w:top w:val="none" w:sz="0" w:space="0" w:color="auto"/>
            <w:left w:val="none" w:sz="0" w:space="0" w:color="auto"/>
            <w:bottom w:val="none" w:sz="0" w:space="0" w:color="auto"/>
            <w:right w:val="none" w:sz="0" w:space="0" w:color="auto"/>
          </w:divBdr>
        </w:div>
      </w:divsChild>
    </w:div>
    <w:div w:id="277953305">
      <w:bodyDiv w:val="1"/>
      <w:marLeft w:val="0"/>
      <w:marRight w:val="0"/>
      <w:marTop w:val="0"/>
      <w:marBottom w:val="0"/>
      <w:divBdr>
        <w:top w:val="none" w:sz="0" w:space="0" w:color="auto"/>
        <w:left w:val="none" w:sz="0" w:space="0" w:color="auto"/>
        <w:bottom w:val="none" w:sz="0" w:space="0" w:color="auto"/>
        <w:right w:val="none" w:sz="0" w:space="0" w:color="auto"/>
      </w:divBdr>
      <w:divsChild>
        <w:div w:id="1115490803">
          <w:marLeft w:val="0"/>
          <w:marRight w:val="0"/>
          <w:marTop w:val="0"/>
          <w:marBottom w:val="0"/>
          <w:divBdr>
            <w:top w:val="none" w:sz="0" w:space="0" w:color="auto"/>
            <w:left w:val="none" w:sz="0" w:space="0" w:color="auto"/>
            <w:bottom w:val="none" w:sz="0" w:space="0" w:color="auto"/>
            <w:right w:val="none" w:sz="0" w:space="0" w:color="auto"/>
          </w:divBdr>
          <w:divsChild>
            <w:div w:id="99645583">
              <w:marLeft w:val="0"/>
              <w:marRight w:val="0"/>
              <w:marTop w:val="0"/>
              <w:marBottom w:val="0"/>
              <w:divBdr>
                <w:top w:val="none" w:sz="0" w:space="0" w:color="auto"/>
                <w:left w:val="none" w:sz="0" w:space="0" w:color="auto"/>
                <w:bottom w:val="none" w:sz="0" w:space="0" w:color="auto"/>
                <w:right w:val="none" w:sz="0" w:space="0" w:color="auto"/>
              </w:divBdr>
              <w:divsChild>
                <w:div w:id="5061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285793">
          <w:marLeft w:val="0"/>
          <w:marRight w:val="0"/>
          <w:marTop w:val="0"/>
          <w:marBottom w:val="0"/>
          <w:divBdr>
            <w:top w:val="none" w:sz="0" w:space="0" w:color="auto"/>
            <w:left w:val="none" w:sz="0" w:space="0" w:color="auto"/>
            <w:bottom w:val="none" w:sz="0" w:space="0" w:color="auto"/>
            <w:right w:val="none" w:sz="0" w:space="0" w:color="auto"/>
          </w:divBdr>
        </w:div>
      </w:divsChild>
    </w:div>
    <w:div w:id="314184992">
      <w:bodyDiv w:val="1"/>
      <w:marLeft w:val="0"/>
      <w:marRight w:val="0"/>
      <w:marTop w:val="0"/>
      <w:marBottom w:val="0"/>
      <w:divBdr>
        <w:top w:val="none" w:sz="0" w:space="0" w:color="auto"/>
        <w:left w:val="none" w:sz="0" w:space="0" w:color="auto"/>
        <w:bottom w:val="none" w:sz="0" w:space="0" w:color="auto"/>
        <w:right w:val="none" w:sz="0" w:space="0" w:color="auto"/>
      </w:divBdr>
      <w:divsChild>
        <w:div w:id="503474954">
          <w:marLeft w:val="0"/>
          <w:marRight w:val="0"/>
          <w:marTop w:val="0"/>
          <w:marBottom w:val="0"/>
          <w:divBdr>
            <w:top w:val="none" w:sz="0" w:space="0" w:color="auto"/>
            <w:left w:val="none" w:sz="0" w:space="0" w:color="auto"/>
            <w:bottom w:val="none" w:sz="0" w:space="0" w:color="auto"/>
            <w:right w:val="none" w:sz="0" w:space="0" w:color="auto"/>
          </w:divBdr>
          <w:divsChild>
            <w:div w:id="1082995919">
              <w:marLeft w:val="0"/>
              <w:marRight w:val="0"/>
              <w:marTop w:val="0"/>
              <w:marBottom w:val="0"/>
              <w:divBdr>
                <w:top w:val="none" w:sz="0" w:space="0" w:color="auto"/>
                <w:left w:val="none" w:sz="0" w:space="0" w:color="auto"/>
                <w:bottom w:val="none" w:sz="0" w:space="0" w:color="auto"/>
                <w:right w:val="none" w:sz="0" w:space="0" w:color="auto"/>
              </w:divBdr>
              <w:divsChild>
                <w:div w:id="141119986">
                  <w:marLeft w:val="0"/>
                  <w:marRight w:val="0"/>
                  <w:marTop w:val="0"/>
                  <w:marBottom w:val="0"/>
                  <w:divBdr>
                    <w:top w:val="none" w:sz="0" w:space="0" w:color="auto"/>
                    <w:left w:val="none" w:sz="0" w:space="0" w:color="auto"/>
                    <w:bottom w:val="none" w:sz="0" w:space="0" w:color="auto"/>
                    <w:right w:val="none" w:sz="0" w:space="0" w:color="auto"/>
                  </w:divBdr>
                  <w:divsChild>
                    <w:div w:id="1920940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25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931796">
      <w:bodyDiv w:val="1"/>
      <w:marLeft w:val="0"/>
      <w:marRight w:val="0"/>
      <w:marTop w:val="0"/>
      <w:marBottom w:val="0"/>
      <w:divBdr>
        <w:top w:val="none" w:sz="0" w:space="0" w:color="auto"/>
        <w:left w:val="none" w:sz="0" w:space="0" w:color="auto"/>
        <w:bottom w:val="none" w:sz="0" w:space="0" w:color="auto"/>
        <w:right w:val="none" w:sz="0" w:space="0" w:color="auto"/>
      </w:divBdr>
      <w:divsChild>
        <w:div w:id="245194702">
          <w:marLeft w:val="0"/>
          <w:marRight w:val="0"/>
          <w:marTop w:val="0"/>
          <w:marBottom w:val="0"/>
          <w:divBdr>
            <w:top w:val="none" w:sz="0" w:space="0" w:color="auto"/>
            <w:left w:val="none" w:sz="0" w:space="0" w:color="auto"/>
            <w:bottom w:val="none" w:sz="0" w:space="0" w:color="auto"/>
            <w:right w:val="none" w:sz="0" w:space="0" w:color="auto"/>
          </w:divBdr>
        </w:div>
      </w:divsChild>
    </w:div>
    <w:div w:id="432673246">
      <w:bodyDiv w:val="1"/>
      <w:marLeft w:val="0"/>
      <w:marRight w:val="0"/>
      <w:marTop w:val="0"/>
      <w:marBottom w:val="0"/>
      <w:divBdr>
        <w:top w:val="none" w:sz="0" w:space="0" w:color="auto"/>
        <w:left w:val="none" w:sz="0" w:space="0" w:color="auto"/>
        <w:bottom w:val="none" w:sz="0" w:space="0" w:color="auto"/>
        <w:right w:val="none" w:sz="0" w:space="0" w:color="auto"/>
      </w:divBdr>
      <w:divsChild>
        <w:div w:id="1633290471">
          <w:marLeft w:val="0"/>
          <w:marRight w:val="0"/>
          <w:marTop w:val="0"/>
          <w:marBottom w:val="0"/>
          <w:divBdr>
            <w:top w:val="none" w:sz="0" w:space="0" w:color="auto"/>
            <w:left w:val="none" w:sz="0" w:space="0" w:color="auto"/>
            <w:bottom w:val="none" w:sz="0" w:space="0" w:color="auto"/>
            <w:right w:val="none" w:sz="0" w:space="0" w:color="auto"/>
          </w:divBdr>
        </w:div>
      </w:divsChild>
    </w:div>
    <w:div w:id="442305621">
      <w:bodyDiv w:val="1"/>
      <w:marLeft w:val="0"/>
      <w:marRight w:val="0"/>
      <w:marTop w:val="0"/>
      <w:marBottom w:val="0"/>
      <w:divBdr>
        <w:top w:val="none" w:sz="0" w:space="0" w:color="auto"/>
        <w:left w:val="none" w:sz="0" w:space="0" w:color="auto"/>
        <w:bottom w:val="none" w:sz="0" w:space="0" w:color="auto"/>
        <w:right w:val="none" w:sz="0" w:space="0" w:color="auto"/>
      </w:divBdr>
      <w:divsChild>
        <w:div w:id="58720493">
          <w:marLeft w:val="0"/>
          <w:marRight w:val="0"/>
          <w:marTop w:val="0"/>
          <w:marBottom w:val="0"/>
          <w:divBdr>
            <w:top w:val="none" w:sz="0" w:space="0" w:color="auto"/>
            <w:left w:val="none" w:sz="0" w:space="0" w:color="auto"/>
            <w:bottom w:val="none" w:sz="0" w:space="0" w:color="auto"/>
            <w:right w:val="none" w:sz="0" w:space="0" w:color="auto"/>
          </w:divBdr>
        </w:div>
      </w:divsChild>
    </w:div>
    <w:div w:id="487018058">
      <w:bodyDiv w:val="1"/>
      <w:marLeft w:val="0"/>
      <w:marRight w:val="0"/>
      <w:marTop w:val="0"/>
      <w:marBottom w:val="0"/>
      <w:divBdr>
        <w:top w:val="none" w:sz="0" w:space="0" w:color="auto"/>
        <w:left w:val="none" w:sz="0" w:space="0" w:color="auto"/>
        <w:bottom w:val="none" w:sz="0" w:space="0" w:color="auto"/>
        <w:right w:val="none" w:sz="0" w:space="0" w:color="auto"/>
      </w:divBdr>
    </w:div>
    <w:div w:id="557320802">
      <w:bodyDiv w:val="1"/>
      <w:marLeft w:val="0"/>
      <w:marRight w:val="0"/>
      <w:marTop w:val="0"/>
      <w:marBottom w:val="0"/>
      <w:divBdr>
        <w:top w:val="none" w:sz="0" w:space="0" w:color="auto"/>
        <w:left w:val="none" w:sz="0" w:space="0" w:color="auto"/>
        <w:bottom w:val="none" w:sz="0" w:space="0" w:color="auto"/>
        <w:right w:val="none" w:sz="0" w:space="0" w:color="auto"/>
      </w:divBdr>
      <w:divsChild>
        <w:div w:id="1614828202">
          <w:marLeft w:val="0"/>
          <w:marRight w:val="0"/>
          <w:marTop w:val="0"/>
          <w:marBottom w:val="0"/>
          <w:divBdr>
            <w:top w:val="none" w:sz="0" w:space="0" w:color="auto"/>
            <w:left w:val="none" w:sz="0" w:space="0" w:color="auto"/>
            <w:bottom w:val="none" w:sz="0" w:space="0" w:color="auto"/>
            <w:right w:val="none" w:sz="0" w:space="0" w:color="auto"/>
          </w:divBdr>
          <w:divsChild>
            <w:div w:id="1560944137">
              <w:marLeft w:val="0"/>
              <w:marRight w:val="0"/>
              <w:marTop w:val="0"/>
              <w:marBottom w:val="0"/>
              <w:divBdr>
                <w:top w:val="none" w:sz="0" w:space="0" w:color="auto"/>
                <w:left w:val="none" w:sz="0" w:space="0" w:color="auto"/>
                <w:bottom w:val="none" w:sz="0" w:space="0" w:color="auto"/>
                <w:right w:val="none" w:sz="0" w:space="0" w:color="auto"/>
              </w:divBdr>
              <w:divsChild>
                <w:div w:id="117599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427060">
          <w:marLeft w:val="0"/>
          <w:marRight w:val="0"/>
          <w:marTop w:val="0"/>
          <w:marBottom w:val="0"/>
          <w:divBdr>
            <w:top w:val="none" w:sz="0" w:space="0" w:color="auto"/>
            <w:left w:val="none" w:sz="0" w:space="0" w:color="auto"/>
            <w:bottom w:val="none" w:sz="0" w:space="0" w:color="auto"/>
            <w:right w:val="none" w:sz="0" w:space="0" w:color="auto"/>
          </w:divBdr>
        </w:div>
      </w:divsChild>
    </w:div>
    <w:div w:id="578489671">
      <w:bodyDiv w:val="1"/>
      <w:marLeft w:val="0"/>
      <w:marRight w:val="0"/>
      <w:marTop w:val="0"/>
      <w:marBottom w:val="0"/>
      <w:divBdr>
        <w:top w:val="none" w:sz="0" w:space="0" w:color="auto"/>
        <w:left w:val="none" w:sz="0" w:space="0" w:color="auto"/>
        <w:bottom w:val="none" w:sz="0" w:space="0" w:color="auto"/>
        <w:right w:val="none" w:sz="0" w:space="0" w:color="auto"/>
      </w:divBdr>
      <w:divsChild>
        <w:div w:id="247351944">
          <w:marLeft w:val="0"/>
          <w:marRight w:val="0"/>
          <w:marTop w:val="0"/>
          <w:marBottom w:val="0"/>
          <w:divBdr>
            <w:top w:val="none" w:sz="0" w:space="0" w:color="auto"/>
            <w:left w:val="none" w:sz="0" w:space="0" w:color="auto"/>
            <w:bottom w:val="none" w:sz="0" w:space="0" w:color="auto"/>
            <w:right w:val="none" w:sz="0" w:space="0" w:color="auto"/>
          </w:divBdr>
          <w:divsChild>
            <w:div w:id="1258513859">
              <w:marLeft w:val="0"/>
              <w:marRight w:val="0"/>
              <w:marTop w:val="0"/>
              <w:marBottom w:val="0"/>
              <w:divBdr>
                <w:top w:val="none" w:sz="0" w:space="0" w:color="auto"/>
                <w:left w:val="none" w:sz="0" w:space="0" w:color="auto"/>
                <w:bottom w:val="none" w:sz="0" w:space="0" w:color="auto"/>
                <w:right w:val="none" w:sz="0" w:space="0" w:color="auto"/>
              </w:divBdr>
              <w:divsChild>
                <w:div w:id="889533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638356">
          <w:marLeft w:val="0"/>
          <w:marRight w:val="0"/>
          <w:marTop w:val="0"/>
          <w:marBottom w:val="0"/>
          <w:divBdr>
            <w:top w:val="none" w:sz="0" w:space="0" w:color="auto"/>
            <w:left w:val="none" w:sz="0" w:space="0" w:color="auto"/>
            <w:bottom w:val="none" w:sz="0" w:space="0" w:color="auto"/>
            <w:right w:val="none" w:sz="0" w:space="0" w:color="auto"/>
          </w:divBdr>
        </w:div>
      </w:divsChild>
    </w:div>
    <w:div w:id="612133744">
      <w:bodyDiv w:val="1"/>
      <w:marLeft w:val="0"/>
      <w:marRight w:val="0"/>
      <w:marTop w:val="0"/>
      <w:marBottom w:val="0"/>
      <w:divBdr>
        <w:top w:val="none" w:sz="0" w:space="0" w:color="auto"/>
        <w:left w:val="none" w:sz="0" w:space="0" w:color="auto"/>
        <w:bottom w:val="none" w:sz="0" w:space="0" w:color="auto"/>
        <w:right w:val="none" w:sz="0" w:space="0" w:color="auto"/>
      </w:divBdr>
    </w:div>
    <w:div w:id="648022296">
      <w:bodyDiv w:val="1"/>
      <w:marLeft w:val="0"/>
      <w:marRight w:val="0"/>
      <w:marTop w:val="0"/>
      <w:marBottom w:val="0"/>
      <w:divBdr>
        <w:top w:val="none" w:sz="0" w:space="0" w:color="auto"/>
        <w:left w:val="none" w:sz="0" w:space="0" w:color="auto"/>
        <w:bottom w:val="none" w:sz="0" w:space="0" w:color="auto"/>
        <w:right w:val="none" w:sz="0" w:space="0" w:color="auto"/>
      </w:divBdr>
      <w:divsChild>
        <w:div w:id="1047414103">
          <w:marLeft w:val="0"/>
          <w:marRight w:val="0"/>
          <w:marTop w:val="0"/>
          <w:marBottom w:val="0"/>
          <w:divBdr>
            <w:top w:val="none" w:sz="0" w:space="0" w:color="auto"/>
            <w:left w:val="none" w:sz="0" w:space="0" w:color="auto"/>
            <w:bottom w:val="none" w:sz="0" w:space="0" w:color="auto"/>
            <w:right w:val="none" w:sz="0" w:space="0" w:color="auto"/>
          </w:divBdr>
        </w:div>
      </w:divsChild>
    </w:div>
    <w:div w:id="652418633">
      <w:bodyDiv w:val="1"/>
      <w:marLeft w:val="0"/>
      <w:marRight w:val="0"/>
      <w:marTop w:val="0"/>
      <w:marBottom w:val="0"/>
      <w:divBdr>
        <w:top w:val="none" w:sz="0" w:space="0" w:color="auto"/>
        <w:left w:val="none" w:sz="0" w:space="0" w:color="auto"/>
        <w:bottom w:val="none" w:sz="0" w:space="0" w:color="auto"/>
        <w:right w:val="none" w:sz="0" w:space="0" w:color="auto"/>
      </w:divBdr>
      <w:divsChild>
        <w:div w:id="1873882056">
          <w:marLeft w:val="0"/>
          <w:marRight w:val="0"/>
          <w:marTop w:val="0"/>
          <w:marBottom w:val="0"/>
          <w:divBdr>
            <w:top w:val="none" w:sz="0" w:space="0" w:color="auto"/>
            <w:left w:val="none" w:sz="0" w:space="0" w:color="auto"/>
            <w:bottom w:val="none" w:sz="0" w:space="0" w:color="auto"/>
            <w:right w:val="none" w:sz="0" w:space="0" w:color="auto"/>
          </w:divBdr>
        </w:div>
      </w:divsChild>
    </w:div>
    <w:div w:id="694158161">
      <w:bodyDiv w:val="1"/>
      <w:marLeft w:val="0"/>
      <w:marRight w:val="0"/>
      <w:marTop w:val="0"/>
      <w:marBottom w:val="0"/>
      <w:divBdr>
        <w:top w:val="none" w:sz="0" w:space="0" w:color="auto"/>
        <w:left w:val="none" w:sz="0" w:space="0" w:color="auto"/>
        <w:bottom w:val="none" w:sz="0" w:space="0" w:color="auto"/>
        <w:right w:val="none" w:sz="0" w:space="0" w:color="auto"/>
      </w:divBdr>
    </w:div>
    <w:div w:id="695235768">
      <w:bodyDiv w:val="1"/>
      <w:marLeft w:val="0"/>
      <w:marRight w:val="0"/>
      <w:marTop w:val="0"/>
      <w:marBottom w:val="0"/>
      <w:divBdr>
        <w:top w:val="none" w:sz="0" w:space="0" w:color="auto"/>
        <w:left w:val="none" w:sz="0" w:space="0" w:color="auto"/>
        <w:bottom w:val="none" w:sz="0" w:space="0" w:color="auto"/>
        <w:right w:val="none" w:sz="0" w:space="0" w:color="auto"/>
      </w:divBdr>
    </w:div>
    <w:div w:id="696467101">
      <w:bodyDiv w:val="1"/>
      <w:marLeft w:val="0"/>
      <w:marRight w:val="0"/>
      <w:marTop w:val="0"/>
      <w:marBottom w:val="0"/>
      <w:divBdr>
        <w:top w:val="none" w:sz="0" w:space="0" w:color="auto"/>
        <w:left w:val="none" w:sz="0" w:space="0" w:color="auto"/>
        <w:bottom w:val="none" w:sz="0" w:space="0" w:color="auto"/>
        <w:right w:val="none" w:sz="0" w:space="0" w:color="auto"/>
      </w:divBdr>
      <w:divsChild>
        <w:div w:id="504243454">
          <w:marLeft w:val="0"/>
          <w:marRight w:val="0"/>
          <w:marTop w:val="0"/>
          <w:marBottom w:val="0"/>
          <w:divBdr>
            <w:top w:val="none" w:sz="0" w:space="0" w:color="auto"/>
            <w:left w:val="none" w:sz="0" w:space="0" w:color="auto"/>
            <w:bottom w:val="none" w:sz="0" w:space="0" w:color="auto"/>
            <w:right w:val="none" w:sz="0" w:space="0" w:color="auto"/>
          </w:divBdr>
        </w:div>
        <w:div w:id="889077934">
          <w:marLeft w:val="0"/>
          <w:marRight w:val="0"/>
          <w:marTop w:val="0"/>
          <w:marBottom w:val="0"/>
          <w:divBdr>
            <w:top w:val="none" w:sz="0" w:space="0" w:color="auto"/>
            <w:left w:val="none" w:sz="0" w:space="0" w:color="auto"/>
            <w:bottom w:val="none" w:sz="0" w:space="0" w:color="auto"/>
            <w:right w:val="none" w:sz="0" w:space="0" w:color="auto"/>
          </w:divBdr>
        </w:div>
        <w:div w:id="1687713347">
          <w:marLeft w:val="0"/>
          <w:marRight w:val="0"/>
          <w:marTop w:val="0"/>
          <w:marBottom w:val="0"/>
          <w:divBdr>
            <w:top w:val="none" w:sz="0" w:space="0" w:color="auto"/>
            <w:left w:val="none" w:sz="0" w:space="0" w:color="auto"/>
            <w:bottom w:val="none" w:sz="0" w:space="0" w:color="auto"/>
            <w:right w:val="none" w:sz="0" w:space="0" w:color="auto"/>
          </w:divBdr>
        </w:div>
        <w:div w:id="1865897717">
          <w:marLeft w:val="0"/>
          <w:marRight w:val="0"/>
          <w:marTop w:val="0"/>
          <w:marBottom w:val="0"/>
          <w:divBdr>
            <w:top w:val="none" w:sz="0" w:space="0" w:color="auto"/>
            <w:left w:val="none" w:sz="0" w:space="0" w:color="auto"/>
            <w:bottom w:val="none" w:sz="0" w:space="0" w:color="auto"/>
            <w:right w:val="none" w:sz="0" w:space="0" w:color="auto"/>
          </w:divBdr>
        </w:div>
      </w:divsChild>
    </w:div>
    <w:div w:id="703214691">
      <w:bodyDiv w:val="1"/>
      <w:marLeft w:val="0"/>
      <w:marRight w:val="0"/>
      <w:marTop w:val="0"/>
      <w:marBottom w:val="0"/>
      <w:divBdr>
        <w:top w:val="none" w:sz="0" w:space="0" w:color="auto"/>
        <w:left w:val="none" w:sz="0" w:space="0" w:color="auto"/>
        <w:bottom w:val="none" w:sz="0" w:space="0" w:color="auto"/>
        <w:right w:val="none" w:sz="0" w:space="0" w:color="auto"/>
      </w:divBdr>
      <w:divsChild>
        <w:div w:id="1405756830">
          <w:marLeft w:val="0"/>
          <w:marRight w:val="0"/>
          <w:marTop w:val="0"/>
          <w:marBottom w:val="0"/>
          <w:divBdr>
            <w:top w:val="none" w:sz="0" w:space="0" w:color="auto"/>
            <w:left w:val="none" w:sz="0" w:space="0" w:color="auto"/>
            <w:bottom w:val="none" w:sz="0" w:space="0" w:color="auto"/>
            <w:right w:val="none" w:sz="0" w:space="0" w:color="auto"/>
          </w:divBdr>
        </w:div>
      </w:divsChild>
    </w:div>
    <w:div w:id="704528258">
      <w:bodyDiv w:val="1"/>
      <w:marLeft w:val="0"/>
      <w:marRight w:val="0"/>
      <w:marTop w:val="0"/>
      <w:marBottom w:val="0"/>
      <w:divBdr>
        <w:top w:val="none" w:sz="0" w:space="0" w:color="auto"/>
        <w:left w:val="none" w:sz="0" w:space="0" w:color="auto"/>
        <w:bottom w:val="none" w:sz="0" w:space="0" w:color="auto"/>
        <w:right w:val="none" w:sz="0" w:space="0" w:color="auto"/>
      </w:divBdr>
    </w:div>
    <w:div w:id="741414047">
      <w:bodyDiv w:val="1"/>
      <w:marLeft w:val="0"/>
      <w:marRight w:val="0"/>
      <w:marTop w:val="0"/>
      <w:marBottom w:val="0"/>
      <w:divBdr>
        <w:top w:val="none" w:sz="0" w:space="0" w:color="auto"/>
        <w:left w:val="none" w:sz="0" w:space="0" w:color="auto"/>
        <w:bottom w:val="none" w:sz="0" w:space="0" w:color="auto"/>
        <w:right w:val="none" w:sz="0" w:space="0" w:color="auto"/>
      </w:divBdr>
    </w:div>
    <w:div w:id="777407892">
      <w:bodyDiv w:val="1"/>
      <w:marLeft w:val="0"/>
      <w:marRight w:val="0"/>
      <w:marTop w:val="0"/>
      <w:marBottom w:val="0"/>
      <w:divBdr>
        <w:top w:val="none" w:sz="0" w:space="0" w:color="auto"/>
        <w:left w:val="none" w:sz="0" w:space="0" w:color="auto"/>
        <w:bottom w:val="none" w:sz="0" w:space="0" w:color="auto"/>
        <w:right w:val="none" w:sz="0" w:space="0" w:color="auto"/>
      </w:divBdr>
      <w:divsChild>
        <w:div w:id="1741782663">
          <w:marLeft w:val="0"/>
          <w:marRight w:val="0"/>
          <w:marTop w:val="0"/>
          <w:marBottom w:val="0"/>
          <w:divBdr>
            <w:top w:val="none" w:sz="0" w:space="0" w:color="auto"/>
            <w:left w:val="none" w:sz="0" w:space="0" w:color="auto"/>
            <w:bottom w:val="none" w:sz="0" w:space="0" w:color="auto"/>
            <w:right w:val="none" w:sz="0" w:space="0" w:color="auto"/>
          </w:divBdr>
        </w:div>
      </w:divsChild>
    </w:div>
    <w:div w:id="906913106">
      <w:bodyDiv w:val="1"/>
      <w:marLeft w:val="0"/>
      <w:marRight w:val="0"/>
      <w:marTop w:val="0"/>
      <w:marBottom w:val="0"/>
      <w:divBdr>
        <w:top w:val="none" w:sz="0" w:space="0" w:color="auto"/>
        <w:left w:val="none" w:sz="0" w:space="0" w:color="auto"/>
        <w:bottom w:val="none" w:sz="0" w:space="0" w:color="auto"/>
        <w:right w:val="none" w:sz="0" w:space="0" w:color="auto"/>
      </w:divBdr>
      <w:divsChild>
        <w:div w:id="369427521">
          <w:marLeft w:val="0"/>
          <w:marRight w:val="0"/>
          <w:marTop w:val="0"/>
          <w:marBottom w:val="0"/>
          <w:divBdr>
            <w:top w:val="none" w:sz="0" w:space="0" w:color="auto"/>
            <w:left w:val="none" w:sz="0" w:space="0" w:color="auto"/>
            <w:bottom w:val="none" w:sz="0" w:space="0" w:color="auto"/>
            <w:right w:val="none" w:sz="0" w:space="0" w:color="auto"/>
          </w:divBdr>
        </w:div>
      </w:divsChild>
    </w:div>
    <w:div w:id="921837074">
      <w:bodyDiv w:val="1"/>
      <w:marLeft w:val="0"/>
      <w:marRight w:val="0"/>
      <w:marTop w:val="0"/>
      <w:marBottom w:val="0"/>
      <w:divBdr>
        <w:top w:val="none" w:sz="0" w:space="0" w:color="auto"/>
        <w:left w:val="none" w:sz="0" w:space="0" w:color="auto"/>
        <w:bottom w:val="none" w:sz="0" w:space="0" w:color="auto"/>
        <w:right w:val="none" w:sz="0" w:space="0" w:color="auto"/>
      </w:divBdr>
      <w:divsChild>
        <w:div w:id="1630236931">
          <w:marLeft w:val="0"/>
          <w:marRight w:val="0"/>
          <w:marTop w:val="0"/>
          <w:marBottom w:val="0"/>
          <w:divBdr>
            <w:top w:val="none" w:sz="0" w:space="0" w:color="auto"/>
            <w:left w:val="none" w:sz="0" w:space="0" w:color="auto"/>
            <w:bottom w:val="none" w:sz="0" w:space="0" w:color="auto"/>
            <w:right w:val="none" w:sz="0" w:space="0" w:color="auto"/>
          </w:divBdr>
        </w:div>
      </w:divsChild>
    </w:div>
    <w:div w:id="922566916">
      <w:bodyDiv w:val="1"/>
      <w:marLeft w:val="0"/>
      <w:marRight w:val="0"/>
      <w:marTop w:val="0"/>
      <w:marBottom w:val="0"/>
      <w:divBdr>
        <w:top w:val="none" w:sz="0" w:space="0" w:color="auto"/>
        <w:left w:val="none" w:sz="0" w:space="0" w:color="auto"/>
        <w:bottom w:val="none" w:sz="0" w:space="0" w:color="auto"/>
        <w:right w:val="none" w:sz="0" w:space="0" w:color="auto"/>
      </w:divBdr>
    </w:div>
    <w:div w:id="938175540">
      <w:bodyDiv w:val="1"/>
      <w:marLeft w:val="0"/>
      <w:marRight w:val="0"/>
      <w:marTop w:val="0"/>
      <w:marBottom w:val="0"/>
      <w:divBdr>
        <w:top w:val="none" w:sz="0" w:space="0" w:color="auto"/>
        <w:left w:val="none" w:sz="0" w:space="0" w:color="auto"/>
        <w:bottom w:val="none" w:sz="0" w:space="0" w:color="auto"/>
        <w:right w:val="none" w:sz="0" w:space="0" w:color="auto"/>
      </w:divBdr>
      <w:divsChild>
        <w:div w:id="2131238785">
          <w:marLeft w:val="0"/>
          <w:marRight w:val="0"/>
          <w:marTop w:val="0"/>
          <w:marBottom w:val="0"/>
          <w:divBdr>
            <w:top w:val="none" w:sz="0" w:space="0" w:color="auto"/>
            <w:left w:val="none" w:sz="0" w:space="0" w:color="auto"/>
            <w:bottom w:val="none" w:sz="0" w:space="0" w:color="auto"/>
            <w:right w:val="none" w:sz="0" w:space="0" w:color="auto"/>
          </w:divBdr>
        </w:div>
      </w:divsChild>
    </w:div>
    <w:div w:id="1047293501">
      <w:bodyDiv w:val="1"/>
      <w:marLeft w:val="0"/>
      <w:marRight w:val="0"/>
      <w:marTop w:val="0"/>
      <w:marBottom w:val="0"/>
      <w:divBdr>
        <w:top w:val="none" w:sz="0" w:space="0" w:color="auto"/>
        <w:left w:val="none" w:sz="0" w:space="0" w:color="auto"/>
        <w:bottom w:val="none" w:sz="0" w:space="0" w:color="auto"/>
        <w:right w:val="none" w:sz="0" w:space="0" w:color="auto"/>
      </w:divBdr>
      <w:divsChild>
        <w:div w:id="117064215">
          <w:marLeft w:val="0"/>
          <w:marRight w:val="0"/>
          <w:marTop w:val="0"/>
          <w:marBottom w:val="0"/>
          <w:divBdr>
            <w:top w:val="none" w:sz="0" w:space="0" w:color="auto"/>
            <w:left w:val="none" w:sz="0" w:space="0" w:color="auto"/>
            <w:bottom w:val="none" w:sz="0" w:space="0" w:color="auto"/>
            <w:right w:val="none" w:sz="0" w:space="0" w:color="auto"/>
          </w:divBdr>
          <w:divsChild>
            <w:div w:id="269360347">
              <w:marLeft w:val="0"/>
              <w:marRight w:val="0"/>
              <w:marTop w:val="0"/>
              <w:marBottom w:val="0"/>
              <w:divBdr>
                <w:top w:val="none" w:sz="0" w:space="0" w:color="auto"/>
                <w:left w:val="none" w:sz="0" w:space="0" w:color="auto"/>
                <w:bottom w:val="none" w:sz="0" w:space="0" w:color="auto"/>
                <w:right w:val="none" w:sz="0" w:space="0" w:color="auto"/>
              </w:divBdr>
              <w:divsChild>
                <w:div w:id="72476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29674">
          <w:marLeft w:val="0"/>
          <w:marRight w:val="0"/>
          <w:marTop w:val="0"/>
          <w:marBottom w:val="0"/>
          <w:divBdr>
            <w:top w:val="none" w:sz="0" w:space="0" w:color="auto"/>
            <w:left w:val="none" w:sz="0" w:space="0" w:color="auto"/>
            <w:bottom w:val="none" w:sz="0" w:space="0" w:color="auto"/>
            <w:right w:val="none" w:sz="0" w:space="0" w:color="auto"/>
          </w:divBdr>
        </w:div>
      </w:divsChild>
    </w:div>
    <w:div w:id="1067918566">
      <w:bodyDiv w:val="1"/>
      <w:marLeft w:val="0"/>
      <w:marRight w:val="0"/>
      <w:marTop w:val="0"/>
      <w:marBottom w:val="0"/>
      <w:divBdr>
        <w:top w:val="none" w:sz="0" w:space="0" w:color="auto"/>
        <w:left w:val="none" w:sz="0" w:space="0" w:color="auto"/>
        <w:bottom w:val="none" w:sz="0" w:space="0" w:color="auto"/>
        <w:right w:val="none" w:sz="0" w:space="0" w:color="auto"/>
      </w:divBdr>
      <w:divsChild>
        <w:div w:id="1925646451">
          <w:marLeft w:val="0"/>
          <w:marRight w:val="0"/>
          <w:marTop w:val="0"/>
          <w:marBottom w:val="0"/>
          <w:divBdr>
            <w:top w:val="none" w:sz="0" w:space="0" w:color="auto"/>
            <w:left w:val="none" w:sz="0" w:space="0" w:color="auto"/>
            <w:bottom w:val="none" w:sz="0" w:space="0" w:color="auto"/>
            <w:right w:val="none" w:sz="0" w:space="0" w:color="auto"/>
          </w:divBdr>
        </w:div>
      </w:divsChild>
    </w:div>
    <w:div w:id="1083140975">
      <w:bodyDiv w:val="1"/>
      <w:marLeft w:val="0"/>
      <w:marRight w:val="0"/>
      <w:marTop w:val="0"/>
      <w:marBottom w:val="0"/>
      <w:divBdr>
        <w:top w:val="none" w:sz="0" w:space="0" w:color="auto"/>
        <w:left w:val="none" w:sz="0" w:space="0" w:color="auto"/>
        <w:bottom w:val="none" w:sz="0" w:space="0" w:color="auto"/>
        <w:right w:val="none" w:sz="0" w:space="0" w:color="auto"/>
      </w:divBdr>
    </w:div>
    <w:div w:id="1103457548">
      <w:bodyDiv w:val="1"/>
      <w:marLeft w:val="0"/>
      <w:marRight w:val="0"/>
      <w:marTop w:val="0"/>
      <w:marBottom w:val="0"/>
      <w:divBdr>
        <w:top w:val="none" w:sz="0" w:space="0" w:color="auto"/>
        <w:left w:val="none" w:sz="0" w:space="0" w:color="auto"/>
        <w:bottom w:val="none" w:sz="0" w:space="0" w:color="auto"/>
        <w:right w:val="none" w:sz="0" w:space="0" w:color="auto"/>
      </w:divBdr>
    </w:div>
    <w:div w:id="1105926869">
      <w:bodyDiv w:val="1"/>
      <w:marLeft w:val="0"/>
      <w:marRight w:val="0"/>
      <w:marTop w:val="0"/>
      <w:marBottom w:val="0"/>
      <w:divBdr>
        <w:top w:val="none" w:sz="0" w:space="0" w:color="auto"/>
        <w:left w:val="none" w:sz="0" w:space="0" w:color="auto"/>
        <w:bottom w:val="none" w:sz="0" w:space="0" w:color="auto"/>
        <w:right w:val="none" w:sz="0" w:space="0" w:color="auto"/>
      </w:divBdr>
      <w:divsChild>
        <w:div w:id="127011525">
          <w:marLeft w:val="0"/>
          <w:marRight w:val="0"/>
          <w:marTop w:val="0"/>
          <w:marBottom w:val="0"/>
          <w:divBdr>
            <w:top w:val="none" w:sz="0" w:space="0" w:color="auto"/>
            <w:left w:val="none" w:sz="0" w:space="0" w:color="auto"/>
            <w:bottom w:val="none" w:sz="0" w:space="0" w:color="auto"/>
            <w:right w:val="none" w:sz="0" w:space="0" w:color="auto"/>
          </w:divBdr>
        </w:div>
      </w:divsChild>
    </w:div>
    <w:div w:id="1140221387">
      <w:bodyDiv w:val="1"/>
      <w:marLeft w:val="0"/>
      <w:marRight w:val="0"/>
      <w:marTop w:val="0"/>
      <w:marBottom w:val="0"/>
      <w:divBdr>
        <w:top w:val="none" w:sz="0" w:space="0" w:color="auto"/>
        <w:left w:val="none" w:sz="0" w:space="0" w:color="auto"/>
        <w:bottom w:val="none" w:sz="0" w:space="0" w:color="auto"/>
        <w:right w:val="none" w:sz="0" w:space="0" w:color="auto"/>
      </w:divBdr>
      <w:divsChild>
        <w:div w:id="1575313837">
          <w:marLeft w:val="0"/>
          <w:marRight w:val="0"/>
          <w:marTop w:val="0"/>
          <w:marBottom w:val="0"/>
          <w:divBdr>
            <w:top w:val="none" w:sz="0" w:space="0" w:color="auto"/>
            <w:left w:val="none" w:sz="0" w:space="0" w:color="auto"/>
            <w:bottom w:val="none" w:sz="0" w:space="0" w:color="auto"/>
            <w:right w:val="none" w:sz="0" w:space="0" w:color="auto"/>
          </w:divBdr>
        </w:div>
      </w:divsChild>
    </w:div>
    <w:div w:id="1140344677">
      <w:bodyDiv w:val="1"/>
      <w:marLeft w:val="0"/>
      <w:marRight w:val="0"/>
      <w:marTop w:val="0"/>
      <w:marBottom w:val="0"/>
      <w:divBdr>
        <w:top w:val="none" w:sz="0" w:space="0" w:color="auto"/>
        <w:left w:val="none" w:sz="0" w:space="0" w:color="auto"/>
        <w:bottom w:val="none" w:sz="0" w:space="0" w:color="auto"/>
        <w:right w:val="none" w:sz="0" w:space="0" w:color="auto"/>
      </w:divBdr>
      <w:divsChild>
        <w:div w:id="1883667279">
          <w:marLeft w:val="0"/>
          <w:marRight w:val="0"/>
          <w:marTop w:val="0"/>
          <w:marBottom w:val="0"/>
          <w:divBdr>
            <w:top w:val="none" w:sz="0" w:space="0" w:color="auto"/>
            <w:left w:val="none" w:sz="0" w:space="0" w:color="auto"/>
            <w:bottom w:val="none" w:sz="0" w:space="0" w:color="auto"/>
            <w:right w:val="none" w:sz="0" w:space="0" w:color="auto"/>
          </w:divBdr>
        </w:div>
      </w:divsChild>
    </w:div>
    <w:div w:id="1298225361">
      <w:bodyDiv w:val="1"/>
      <w:marLeft w:val="0"/>
      <w:marRight w:val="0"/>
      <w:marTop w:val="0"/>
      <w:marBottom w:val="0"/>
      <w:divBdr>
        <w:top w:val="none" w:sz="0" w:space="0" w:color="auto"/>
        <w:left w:val="none" w:sz="0" w:space="0" w:color="auto"/>
        <w:bottom w:val="none" w:sz="0" w:space="0" w:color="auto"/>
        <w:right w:val="none" w:sz="0" w:space="0" w:color="auto"/>
      </w:divBdr>
      <w:divsChild>
        <w:div w:id="99643535">
          <w:marLeft w:val="0"/>
          <w:marRight w:val="0"/>
          <w:marTop w:val="0"/>
          <w:marBottom w:val="0"/>
          <w:divBdr>
            <w:top w:val="none" w:sz="0" w:space="0" w:color="auto"/>
            <w:left w:val="none" w:sz="0" w:space="0" w:color="auto"/>
            <w:bottom w:val="none" w:sz="0" w:space="0" w:color="auto"/>
            <w:right w:val="none" w:sz="0" w:space="0" w:color="auto"/>
          </w:divBdr>
        </w:div>
      </w:divsChild>
    </w:div>
    <w:div w:id="1332683131">
      <w:bodyDiv w:val="1"/>
      <w:marLeft w:val="0"/>
      <w:marRight w:val="0"/>
      <w:marTop w:val="0"/>
      <w:marBottom w:val="0"/>
      <w:divBdr>
        <w:top w:val="none" w:sz="0" w:space="0" w:color="auto"/>
        <w:left w:val="none" w:sz="0" w:space="0" w:color="auto"/>
        <w:bottom w:val="none" w:sz="0" w:space="0" w:color="auto"/>
        <w:right w:val="none" w:sz="0" w:space="0" w:color="auto"/>
      </w:divBdr>
      <w:divsChild>
        <w:div w:id="1170749910">
          <w:marLeft w:val="0"/>
          <w:marRight w:val="0"/>
          <w:marTop w:val="0"/>
          <w:marBottom w:val="0"/>
          <w:divBdr>
            <w:top w:val="none" w:sz="0" w:space="0" w:color="auto"/>
            <w:left w:val="none" w:sz="0" w:space="0" w:color="auto"/>
            <w:bottom w:val="none" w:sz="0" w:space="0" w:color="auto"/>
            <w:right w:val="none" w:sz="0" w:space="0" w:color="auto"/>
          </w:divBdr>
        </w:div>
      </w:divsChild>
    </w:div>
    <w:div w:id="1337001739">
      <w:bodyDiv w:val="1"/>
      <w:marLeft w:val="0"/>
      <w:marRight w:val="0"/>
      <w:marTop w:val="0"/>
      <w:marBottom w:val="0"/>
      <w:divBdr>
        <w:top w:val="none" w:sz="0" w:space="0" w:color="auto"/>
        <w:left w:val="none" w:sz="0" w:space="0" w:color="auto"/>
        <w:bottom w:val="none" w:sz="0" w:space="0" w:color="auto"/>
        <w:right w:val="none" w:sz="0" w:space="0" w:color="auto"/>
      </w:divBdr>
    </w:div>
    <w:div w:id="1340549391">
      <w:bodyDiv w:val="1"/>
      <w:marLeft w:val="0"/>
      <w:marRight w:val="0"/>
      <w:marTop w:val="0"/>
      <w:marBottom w:val="0"/>
      <w:divBdr>
        <w:top w:val="none" w:sz="0" w:space="0" w:color="auto"/>
        <w:left w:val="none" w:sz="0" w:space="0" w:color="auto"/>
        <w:bottom w:val="none" w:sz="0" w:space="0" w:color="auto"/>
        <w:right w:val="none" w:sz="0" w:space="0" w:color="auto"/>
      </w:divBdr>
    </w:div>
    <w:div w:id="1391616555">
      <w:bodyDiv w:val="1"/>
      <w:marLeft w:val="0"/>
      <w:marRight w:val="0"/>
      <w:marTop w:val="0"/>
      <w:marBottom w:val="0"/>
      <w:divBdr>
        <w:top w:val="none" w:sz="0" w:space="0" w:color="auto"/>
        <w:left w:val="none" w:sz="0" w:space="0" w:color="auto"/>
        <w:bottom w:val="none" w:sz="0" w:space="0" w:color="auto"/>
        <w:right w:val="none" w:sz="0" w:space="0" w:color="auto"/>
      </w:divBdr>
    </w:div>
    <w:div w:id="1476221943">
      <w:bodyDiv w:val="1"/>
      <w:marLeft w:val="0"/>
      <w:marRight w:val="0"/>
      <w:marTop w:val="0"/>
      <w:marBottom w:val="0"/>
      <w:divBdr>
        <w:top w:val="none" w:sz="0" w:space="0" w:color="auto"/>
        <w:left w:val="none" w:sz="0" w:space="0" w:color="auto"/>
        <w:bottom w:val="none" w:sz="0" w:space="0" w:color="auto"/>
        <w:right w:val="none" w:sz="0" w:space="0" w:color="auto"/>
      </w:divBdr>
    </w:div>
    <w:div w:id="1528526197">
      <w:bodyDiv w:val="1"/>
      <w:marLeft w:val="0"/>
      <w:marRight w:val="0"/>
      <w:marTop w:val="0"/>
      <w:marBottom w:val="0"/>
      <w:divBdr>
        <w:top w:val="none" w:sz="0" w:space="0" w:color="auto"/>
        <w:left w:val="none" w:sz="0" w:space="0" w:color="auto"/>
        <w:bottom w:val="none" w:sz="0" w:space="0" w:color="auto"/>
        <w:right w:val="none" w:sz="0" w:space="0" w:color="auto"/>
      </w:divBdr>
    </w:div>
    <w:div w:id="1543248897">
      <w:bodyDiv w:val="1"/>
      <w:marLeft w:val="0"/>
      <w:marRight w:val="0"/>
      <w:marTop w:val="0"/>
      <w:marBottom w:val="0"/>
      <w:divBdr>
        <w:top w:val="none" w:sz="0" w:space="0" w:color="auto"/>
        <w:left w:val="none" w:sz="0" w:space="0" w:color="auto"/>
        <w:bottom w:val="none" w:sz="0" w:space="0" w:color="auto"/>
        <w:right w:val="none" w:sz="0" w:space="0" w:color="auto"/>
      </w:divBdr>
      <w:divsChild>
        <w:div w:id="342127296">
          <w:marLeft w:val="0"/>
          <w:marRight w:val="0"/>
          <w:marTop w:val="0"/>
          <w:marBottom w:val="0"/>
          <w:divBdr>
            <w:top w:val="none" w:sz="0" w:space="0" w:color="auto"/>
            <w:left w:val="none" w:sz="0" w:space="0" w:color="auto"/>
            <w:bottom w:val="none" w:sz="0" w:space="0" w:color="auto"/>
            <w:right w:val="none" w:sz="0" w:space="0" w:color="auto"/>
          </w:divBdr>
        </w:div>
      </w:divsChild>
    </w:div>
    <w:div w:id="1563100651">
      <w:bodyDiv w:val="1"/>
      <w:marLeft w:val="0"/>
      <w:marRight w:val="0"/>
      <w:marTop w:val="0"/>
      <w:marBottom w:val="0"/>
      <w:divBdr>
        <w:top w:val="none" w:sz="0" w:space="0" w:color="auto"/>
        <w:left w:val="none" w:sz="0" w:space="0" w:color="auto"/>
        <w:bottom w:val="none" w:sz="0" w:space="0" w:color="auto"/>
        <w:right w:val="none" w:sz="0" w:space="0" w:color="auto"/>
      </w:divBdr>
      <w:divsChild>
        <w:div w:id="1578635117">
          <w:marLeft w:val="0"/>
          <w:marRight w:val="0"/>
          <w:marTop w:val="0"/>
          <w:marBottom w:val="0"/>
          <w:divBdr>
            <w:top w:val="none" w:sz="0" w:space="0" w:color="auto"/>
            <w:left w:val="none" w:sz="0" w:space="0" w:color="auto"/>
            <w:bottom w:val="none" w:sz="0" w:space="0" w:color="auto"/>
            <w:right w:val="none" w:sz="0" w:space="0" w:color="auto"/>
          </w:divBdr>
        </w:div>
      </w:divsChild>
    </w:div>
    <w:div w:id="1655718354">
      <w:bodyDiv w:val="1"/>
      <w:marLeft w:val="0"/>
      <w:marRight w:val="0"/>
      <w:marTop w:val="0"/>
      <w:marBottom w:val="0"/>
      <w:divBdr>
        <w:top w:val="none" w:sz="0" w:space="0" w:color="auto"/>
        <w:left w:val="none" w:sz="0" w:space="0" w:color="auto"/>
        <w:bottom w:val="none" w:sz="0" w:space="0" w:color="auto"/>
        <w:right w:val="none" w:sz="0" w:space="0" w:color="auto"/>
      </w:divBdr>
      <w:divsChild>
        <w:div w:id="1119304527">
          <w:marLeft w:val="0"/>
          <w:marRight w:val="0"/>
          <w:marTop w:val="0"/>
          <w:marBottom w:val="0"/>
          <w:divBdr>
            <w:top w:val="none" w:sz="0" w:space="0" w:color="auto"/>
            <w:left w:val="none" w:sz="0" w:space="0" w:color="auto"/>
            <w:bottom w:val="none" w:sz="0" w:space="0" w:color="auto"/>
            <w:right w:val="none" w:sz="0" w:space="0" w:color="auto"/>
          </w:divBdr>
        </w:div>
      </w:divsChild>
    </w:div>
    <w:div w:id="1715688084">
      <w:bodyDiv w:val="1"/>
      <w:marLeft w:val="0"/>
      <w:marRight w:val="0"/>
      <w:marTop w:val="0"/>
      <w:marBottom w:val="0"/>
      <w:divBdr>
        <w:top w:val="none" w:sz="0" w:space="0" w:color="auto"/>
        <w:left w:val="none" w:sz="0" w:space="0" w:color="auto"/>
        <w:bottom w:val="none" w:sz="0" w:space="0" w:color="auto"/>
        <w:right w:val="none" w:sz="0" w:space="0" w:color="auto"/>
      </w:divBdr>
      <w:divsChild>
        <w:div w:id="718089732">
          <w:marLeft w:val="0"/>
          <w:marRight w:val="0"/>
          <w:marTop w:val="0"/>
          <w:marBottom w:val="0"/>
          <w:divBdr>
            <w:top w:val="none" w:sz="0" w:space="0" w:color="auto"/>
            <w:left w:val="none" w:sz="0" w:space="0" w:color="auto"/>
            <w:bottom w:val="none" w:sz="0" w:space="0" w:color="auto"/>
            <w:right w:val="none" w:sz="0" w:space="0" w:color="auto"/>
          </w:divBdr>
        </w:div>
        <w:div w:id="1045525286">
          <w:marLeft w:val="0"/>
          <w:marRight w:val="0"/>
          <w:marTop w:val="0"/>
          <w:marBottom w:val="0"/>
          <w:divBdr>
            <w:top w:val="none" w:sz="0" w:space="0" w:color="auto"/>
            <w:left w:val="none" w:sz="0" w:space="0" w:color="auto"/>
            <w:bottom w:val="none" w:sz="0" w:space="0" w:color="auto"/>
            <w:right w:val="none" w:sz="0" w:space="0" w:color="auto"/>
          </w:divBdr>
          <w:divsChild>
            <w:div w:id="761412267">
              <w:marLeft w:val="0"/>
              <w:marRight w:val="0"/>
              <w:marTop w:val="0"/>
              <w:marBottom w:val="0"/>
              <w:divBdr>
                <w:top w:val="none" w:sz="0" w:space="0" w:color="auto"/>
                <w:left w:val="none" w:sz="0" w:space="0" w:color="auto"/>
                <w:bottom w:val="none" w:sz="0" w:space="0" w:color="auto"/>
                <w:right w:val="none" w:sz="0" w:space="0" w:color="auto"/>
              </w:divBdr>
              <w:divsChild>
                <w:div w:id="838231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816162">
      <w:bodyDiv w:val="1"/>
      <w:marLeft w:val="0"/>
      <w:marRight w:val="0"/>
      <w:marTop w:val="0"/>
      <w:marBottom w:val="0"/>
      <w:divBdr>
        <w:top w:val="none" w:sz="0" w:space="0" w:color="auto"/>
        <w:left w:val="none" w:sz="0" w:space="0" w:color="auto"/>
        <w:bottom w:val="none" w:sz="0" w:space="0" w:color="auto"/>
        <w:right w:val="none" w:sz="0" w:space="0" w:color="auto"/>
      </w:divBdr>
      <w:divsChild>
        <w:div w:id="1760903365">
          <w:marLeft w:val="0"/>
          <w:marRight w:val="0"/>
          <w:marTop w:val="0"/>
          <w:marBottom w:val="0"/>
          <w:divBdr>
            <w:top w:val="none" w:sz="0" w:space="0" w:color="auto"/>
            <w:left w:val="none" w:sz="0" w:space="0" w:color="auto"/>
            <w:bottom w:val="none" w:sz="0" w:space="0" w:color="auto"/>
            <w:right w:val="none" w:sz="0" w:space="0" w:color="auto"/>
          </w:divBdr>
        </w:div>
      </w:divsChild>
    </w:div>
    <w:div w:id="1782066069">
      <w:bodyDiv w:val="1"/>
      <w:marLeft w:val="0"/>
      <w:marRight w:val="0"/>
      <w:marTop w:val="0"/>
      <w:marBottom w:val="0"/>
      <w:divBdr>
        <w:top w:val="none" w:sz="0" w:space="0" w:color="auto"/>
        <w:left w:val="none" w:sz="0" w:space="0" w:color="auto"/>
        <w:bottom w:val="none" w:sz="0" w:space="0" w:color="auto"/>
        <w:right w:val="none" w:sz="0" w:space="0" w:color="auto"/>
      </w:divBdr>
    </w:div>
    <w:div w:id="1835031957">
      <w:bodyDiv w:val="1"/>
      <w:marLeft w:val="0"/>
      <w:marRight w:val="0"/>
      <w:marTop w:val="0"/>
      <w:marBottom w:val="0"/>
      <w:divBdr>
        <w:top w:val="none" w:sz="0" w:space="0" w:color="auto"/>
        <w:left w:val="none" w:sz="0" w:space="0" w:color="auto"/>
        <w:bottom w:val="none" w:sz="0" w:space="0" w:color="auto"/>
        <w:right w:val="none" w:sz="0" w:space="0" w:color="auto"/>
      </w:divBdr>
    </w:div>
    <w:div w:id="1865240973">
      <w:bodyDiv w:val="1"/>
      <w:marLeft w:val="0"/>
      <w:marRight w:val="0"/>
      <w:marTop w:val="0"/>
      <w:marBottom w:val="0"/>
      <w:divBdr>
        <w:top w:val="none" w:sz="0" w:space="0" w:color="auto"/>
        <w:left w:val="none" w:sz="0" w:space="0" w:color="auto"/>
        <w:bottom w:val="none" w:sz="0" w:space="0" w:color="auto"/>
        <w:right w:val="none" w:sz="0" w:space="0" w:color="auto"/>
      </w:divBdr>
      <w:divsChild>
        <w:div w:id="1215043545">
          <w:marLeft w:val="0"/>
          <w:marRight w:val="0"/>
          <w:marTop w:val="0"/>
          <w:marBottom w:val="0"/>
          <w:divBdr>
            <w:top w:val="none" w:sz="0" w:space="0" w:color="auto"/>
            <w:left w:val="none" w:sz="0" w:space="0" w:color="auto"/>
            <w:bottom w:val="none" w:sz="0" w:space="0" w:color="auto"/>
            <w:right w:val="none" w:sz="0" w:space="0" w:color="auto"/>
          </w:divBdr>
        </w:div>
      </w:divsChild>
    </w:div>
    <w:div w:id="1913200602">
      <w:bodyDiv w:val="1"/>
      <w:marLeft w:val="0"/>
      <w:marRight w:val="0"/>
      <w:marTop w:val="0"/>
      <w:marBottom w:val="0"/>
      <w:divBdr>
        <w:top w:val="none" w:sz="0" w:space="0" w:color="auto"/>
        <w:left w:val="none" w:sz="0" w:space="0" w:color="auto"/>
        <w:bottom w:val="none" w:sz="0" w:space="0" w:color="auto"/>
        <w:right w:val="none" w:sz="0" w:space="0" w:color="auto"/>
      </w:divBdr>
    </w:div>
    <w:div w:id="1919513157">
      <w:bodyDiv w:val="1"/>
      <w:marLeft w:val="0"/>
      <w:marRight w:val="0"/>
      <w:marTop w:val="0"/>
      <w:marBottom w:val="0"/>
      <w:divBdr>
        <w:top w:val="none" w:sz="0" w:space="0" w:color="auto"/>
        <w:left w:val="none" w:sz="0" w:space="0" w:color="auto"/>
        <w:bottom w:val="none" w:sz="0" w:space="0" w:color="auto"/>
        <w:right w:val="none" w:sz="0" w:space="0" w:color="auto"/>
      </w:divBdr>
      <w:divsChild>
        <w:div w:id="1364860579">
          <w:marLeft w:val="0"/>
          <w:marRight w:val="0"/>
          <w:marTop w:val="0"/>
          <w:marBottom w:val="0"/>
          <w:divBdr>
            <w:top w:val="none" w:sz="0" w:space="0" w:color="auto"/>
            <w:left w:val="none" w:sz="0" w:space="0" w:color="auto"/>
            <w:bottom w:val="none" w:sz="0" w:space="0" w:color="auto"/>
            <w:right w:val="none" w:sz="0" w:space="0" w:color="auto"/>
          </w:divBdr>
        </w:div>
      </w:divsChild>
    </w:div>
    <w:div w:id="1934825081">
      <w:bodyDiv w:val="1"/>
      <w:marLeft w:val="0"/>
      <w:marRight w:val="0"/>
      <w:marTop w:val="0"/>
      <w:marBottom w:val="0"/>
      <w:divBdr>
        <w:top w:val="none" w:sz="0" w:space="0" w:color="auto"/>
        <w:left w:val="none" w:sz="0" w:space="0" w:color="auto"/>
        <w:bottom w:val="none" w:sz="0" w:space="0" w:color="auto"/>
        <w:right w:val="none" w:sz="0" w:space="0" w:color="auto"/>
      </w:divBdr>
      <w:divsChild>
        <w:div w:id="1526402709">
          <w:marLeft w:val="0"/>
          <w:marRight w:val="0"/>
          <w:marTop w:val="0"/>
          <w:marBottom w:val="0"/>
          <w:divBdr>
            <w:top w:val="none" w:sz="0" w:space="0" w:color="auto"/>
            <w:left w:val="none" w:sz="0" w:space="0" w:color="auto"/>
            <w:bottom w:val="none" w:sz="0" w:space="0" w:color="auto"/>
            <w:right w:val="none" w:sz="0" w:space="0" w:color="auto"/>
          </w:divBdr>
        </w:div>
      </w:divsChild>
    </w:div>
    <w:div w:id="1987739285">
      <w:bodyDiv w:val="1"/>
      <w:marLeft w:val="0"/>
      <w:marRight w:val="0"/>
      <w:marTop w:val="0"/>
      <w:marBottom w:val="0"/>
      <w:divBdr>
        <w:top w:val="none" w:sz="0" w:space="0" w:color="auto"/>
        <w:left w:val="none" w:sz="0" w:space="0" w:color="auto"/>
        <w:bottom w:val="none" w:sz="0" w:space="0" w:color="auto"/>
        <w:right w:val="none" w:sz="0" w:space="0" w:color="auto"/>
      </w:divBdr>
      <w:divsChild>
        <w:div w:id="2028411585">
          <w:marLeft w:val="0"/>
          <w:marRight w:val="0"/>
          <w:marTop w:val="0"/>
          <w:marBottom w:val="0"/>
          <w:divBdr>
            <w:top w:val="none" w:sz="0" w:space="0" w:color="auto"/>
            <w:left w:val="none" w:sz="0" w:space="0" w:color="auto"/>
            <w:bottom w:val="none" w:sz="0" w:space="0" w:color="auto"/>
            <w:right w:val="none" w:sz="0" w:space="0" w:color="auto"/>
          </w:divBdr>
        </w:div>
      </w:divsChild>
    </w:div>
    <w:div w:id="2039114368">
      <w:bodyDiv w:val="1"/>
      <w:marLeft w:val="0"/>
      <w:marRight w:val="0"/>
      <w:marTop w:val="0"/>
      <w:marBottom w:val="0"/>
      <w:divBdr>
        <w:top w:val="none" w:sz="0" w:space="0" w:color="auto"/>
        <w:left w:val="none" w:sz="0" w:space="0" w:color="auto"/>
        <w:bottom w:val="none" w:sz="0" w:space="0" w:color="auto"/>
        <w:right w:val="none" w:sz="0" w:space="0" w:color="auto"/>
      </w:divBdr>
      <w:divsChild>
        <w:div w:id="53478907">
          <w:marLeft w:val="0"/>
          <w:marRight w:val="0"/>
          <w:marTop w:val="0"/>
          <w:marBottom w:val="0"/>
          <w:divBdr>
            <w:top w:val="none" w:sz="0" w:space="0" w:color="auto"/>
            <w:left w:val="none" w:sz="0" w:space="0" w:color="auto"/>
            <w:bottom w:val="none" w:sz="0" w:space="0" w:color="auto"/>
            <w:right w:val="none" w:sz="0" w:space="0" w:color="auto"/>
          </w:divBdr>
        </w:div>
        <w:div w:id="377096746">
          <w:marLeft w:val="0"/>
          <w:marRight w:val="0"/>
          <w:marTop w:val="0"/>
          <w:marBottom w:val="0"/>
          <w:divBdr>
            <w:top w:val="none" w:sz="0" w:space="0" w:color="auto"/>
            <w:left w:val="none" w:sz="0" w:space="0" w:color="auto"/>
            <w:bottom w:val="none" w:sz="0" w:space="0" w:color="auto"/>
            <w:right w:val="none" w:sz="0" w:space="0" w:color="auto"/>
          </w:divBdr>
          <w:divsChild>
            <w:div w:id="2097243100">
              <w:marLeft w:val="0"/>
              <w:marRight w:val="0"/>
              <w:marTop w:val="0"/>
              <w:marBottom w:val="0"/>
              <w:divBdr>
                <w:top w:val="none" w:sz="0" w:space="0" w:color="auto"/>
                <w:left w:val="none" w:sz="0" w:space="0" w:color="auto"/>
                <w:bottom w:val="none" w:sz="0" w:space="0" w:color="auto"/>
                <w:right w:val="none" w:sz="0" w:space="0" w:color="auto"/>
              </w:divBdr>
              <w:divsChild>
                <w:div w:id="89531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7655509">
      <w:bodyDiv w:val="1"/>
      <w:marLeft w:val="0"/>
      <w:marRight w:val="0"/>
      <w:marTop w:val="0"/>
      <w:marBottom w:val="0"/>
      <w:divBdr>
        <w:top w:val="none" w:sz="0" w:space="0" w:color="auto"/>
        <w:left w:val="none" w:sz="0" w:space="0" w:color="auto"/>
        <w:bottom w:val="none" w:sz="0" w:space="0" w:color="auto"/>
        <w:right w:val="none" w:sz="0" w:space="0" w:color="auto"/>
      </w:divBdr>
      <w:divsChild>
        <w:div w:id="87239002">
          <w:marLeft w:val="0"/>
          <w:marRight w:val="0"/>
          <w:marTop w:val="0"/>
          <w:marBottom w:val="0"/>
          <w:divBdr>
            <w:top w:val="none" w:sz="0" w:space="0" w:color="auto"/>
            <w:left w:val="none" w:sz="0" w:space="0" w:color="auto"/>
            <w:bottom w:val="none" w:sz="0" w:space="0" w:color="auto"/>
            <w:right w:val="none" w:sz="0" w:space="0" w:color="auto"/>
          </w:divBdr>
          <w:divsChild>
            <w:div w:id="888684524">
              <w:marLeft w:val="0"/>
              <w:marRight w:val="0"/>
              <w:marTop w:val="0"/>
              <w:marBottom w:val="0"/>
              <w:divBdr>
                <w:top w:val="none" w:sz="0" w:space="0" w:color="auto"/>
                <w:left w:val="none" w:sz="0" w:space="0" w:color="auto"/>
                <w:bottom w:val="none" w:sz="0" w:space="0" w:color="auto"/>
                <w:right w:val="none" w:sz="0" w:space="0" w:color="auto"/>
              </w:divBdr>
              <w:divsChild>
                <w:div w:id="699479745">
                  <w:marLeft w:val="0"/>
                  <w:marRight w:val="0"/>
                  <w:marTop w:val="0"/>
                  <w:marBottom w:val="0"/>
                  <w:divBdr>
                    <w:top w:val="none" w:sz="0" w:space="0" w:color="auto"/>
                    <w:left w:val="none" w:sz="0" w:space="0" w:color="auto"/>
                    <w:bottom w:val="none" w:sz="0" w:space="0" w:color="auto"/>
                    <w:right w:val="none" w:sz="0" w:space="0" w:color="auto"/>
                  </w:divBdr>
                  <w:divsChild>
                    <w:div w:id="825514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6123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044184">
      <w:bodyDiv w:val="1"/>
      <w:marLeft w:val="0"/>
      <w:marRight w:val="0"/>
      <w:marTop w:val="0"/>
      <w:marBottom w:val="0"/>
      <w:divBdr>
        <w:top w:val="none" w:sz="0" w:space="0" w:color="auto"/>
        <w:left w:val="none" w:sz="0" w:space="0" w:color="auto"/>
        <w:bottom w:val="none" w:sz="0" w:space="0" w:color="auto"/>
        <w:right w:val="none" w:sz="0" w:space="0" w:color="auto"/>
      </w:divBdr>
    </w:div>
    <w:div w:id="2134596337">
      <w:bodyDiv w:val="1"/>
      <w:marLeft w:val="0"/>
      <w:marRight w:val="0"/>
      <w:marTop w:val="0"/>
      <w:marBottom w:val="0"/>
      <w:divBdr>
        <w:top w:val="none" w:sz="0" w:space="0" w:color="auto"/>
        <w:left w:val="none" w:sz="0" w:space="0" w:color="auto"/>
        <w:bottom w:val="none" w:sz="0" w:space="0" w:color="auto"/>
        <w:right w:val="none" w:sz="0" w:space="0" w:color="auto"/>
      </w:divBdr>
      <w:divsChild>
        <w:div w:id="834492625">
          <w:marLeft w:val="0"/>
          <w:marRight w:val="0"/>
          <w:marTop w:val="0"/>
          <w:marBottom w:val="0"/>
          <w:divBdr>
            <w:top w:val="none" w:sz="0" w:space="0" w:color="auto"/>
            <w:left w:val="none" w:sz="0" w:space="0" w:color="auto"/>
            <w:bottom w:val="none" w:sz="0" w:space="0" w:color="auto"/>
            <w:right w:val="none" w:sz="0" w:space="0" w:color="auto"/>
          </w:divBdr>
        </w:div>
      </w:divsChild>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05552FE6-81C3-4D2C-90C1-CC196672DF66}"/>
      </w:docPartPr>
      <w:docPartBody>
        <w:p w:rsidR="00B56201" w:rsidRDefault="006C3DF9">
          <w:r w:rsidRPr="009C2ED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C53"/>
    <w:rsid w:val="000D6F03"/>
    <w:rsid w:val="00124C53"/>
    <w:rsid w:val="001E5286"/>
    <w:rsid w:val="001F1C9A"/>
    <w:rsid w:val="002407E9"/>
    <w:rsid w:val="0026438E"/>
    <w:rsid w:val="002D2A25"/>
    <w:rsid w:val="002D7734"/>
    <w:rsid w:val="00335BFD"/>
    <w:rsid w:val="0038465F"/>
    <w:rsid w:val="003F7903"/>
    <w:rsid w:val="00413DCB"/>
    <w:rsid w:val="004C158A"/>
    <w:rsid w:val="00501B96"/>
    <w:rsid w:val="00503109"/>
    <w:rsid w:val="005C190A"/>
    <w:rsid w:val="0063017C"/>
    <w:rsid w:val="006968A3"/>
    <w:rsid w:val="006B0745"/>
    <w:rsid w:val="006C3DF9"/>
    <w:rsid w:val="007A7D37"/>
    <w:rsid w:val="00813A3B"/>
    <w:rsid w:val="008A41DB"/>
    <w:rsid w:val="008B3608"/>
    <w:rsid w:val="00924FAB"/>
    <w:rsid w:val="00933765"/>
    <w:rsid w:val="009526E7"/>
    <w:rsid w:val="00AE3EF5"/>
    <w:rsid w:val="00AF7FC8"/>
    <w:rsid w:val="00B16291"/>
    <w:rsid w:val="00B56201"/>
    <w:rsid w:val="00B82068"/>
    <w:rsid w:val="00C9144B"/>
    <w:rsid w:val="00D14E60"/>
    <w:rsid w:val="00DF429D"/>
    <w:rsid w:val="00E34570"/>
    <w:rsid w:val="00FD4FB1"/>
    <w:rsid w:val="00FD680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C3DF9"/>
    <w:rPr>
      <w:color w:val="808080" w:themeColor="background1" w:themeShade="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2011D5-5A78-45EE-8B86-72B402ED48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3770</Words>
  <Characters>25567</Characters>
  <Application>Microsoft Office Word</Application>
  <DocSecurity>0</DocSecurity>
  <Lines>412</Lines>
  <Paragraphs>138</Paragraphs>
  <ScaleCrop>false</ScaleCrop>
  <Company/>
  <LinksUpToDate>false</LinksUpToDate>
  <CharactersWithSpaces>29199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Howard Boone</dc:creator>
  <cp:keywords/>
  <dc:description/>
  <cp:lastModifiedBy>Jessica Howard Boone</cp:lastModifiedBy>
  <cp:revision>2</cp:revision>
  <cp:lastPrinted>2025-10-07T18:12:00Z</cp:lastPrinted>
  <dcterms:created xsi:type="dcterms:W3CDTF">2026-01-06T16:24:00Z</dcterms:created>
  <dcterms:modified xsi:type="dcterms:W3CDTF">2026-01-06T16:24:00Z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I_WORD_DOCUMENT_FILENAME">
    <vt:lpwstr>JessBoone_QUALpaper.docx</vt:lpwstr>
  </property>
  <property fmtid="{D5CDD505-2E9C-101B-9397-08002B2CF9AE}" pid="3" name="TII_WORD_DOCUMENT_ID">
    <vt:lpwstr>130ceda1-f6f5-4186-b910-12c51daccf2a</vt:lpwstr>
  </property>
  <property fmtid="{D5CDD505-2E9C-101B-9397-08002B2CF9AE}" pid="4" name="TII_WORD_DOCUMENT_HASH">
    <vt:lpwstr>208d976b797a0de7ee43049b5274a66a44a35720d7b9a5e393e87173ed7e9c8e</vt:lpwstr>
  </property>
</Properties>
</file>