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602D2" w14:textId="70AE662E" w:rsidR="00E01CCB" w:rsidRDefault="76FCBDB0" w:rsidP="00AB4744">
      <w:pPr>
        <w:jc w:val="center"/>
        <w:rPr>
          <w:b/>
          <w:bCs/>
        </w:rPr>
      </w:pPr>
      <w:r w:rsidRPr="628904E7">
        <w:rPr>
          <w:b/>
          <w:bCs/>
        </w:rPr>
        <w:t xml:space="preserve">Examining Non-Traditional Grading and Employer Competencies in </w:t>
      </w:r>
      <w:r w:rsidR="00AB4744">
        <w:rPr>
          <w:b/>
          <w:bCs/>
        </w:rPr>
        <w:t xml:space="preserve">a Department of Agriculture Education </w:t>
      </w:r>
    </w:p>
    <w:p w14:paraId="36C06C50" w14:textId="77777777" w:rsidR="00AB4744" w:rsidRPr="00AB4744" w:rsidRDefault="00AB4744" w:rsidP="00AB4744">
      <w:pPr>
        <w:jc w:val="center"/>
        <w:rPr>
          <w:b/>
          <w:bCs/>
        </w:rPr>
      </w:pPr>
    </w:p>
    <w:p w14:paraId="61CAA505" w14:textId="77777777" w:rsidR="00020546" w:rsidRPr="00984011" w:rsidRDefault="001D1872" w:rsidP="00A14C77">
      <w:pPr>
        <w:jc w:val="center"/>
        <w:rPr>
          <w:b/>
          <w:bCs/>
        </w:rPr>
      </w:pPr>
      <w:r w:rsidRPr="00984011">
        <w:rPr>
          <w:b/>
          <w:bCs/>
        </w:rPr>
        <w:t>Introduction</w:t>
      </w:r>
    </w:p>
    <w:p w14:paraId="5A49094D" w14:textId="77777777" w:rsidR="001355E2" w:rsidRPr="00984011" w:rsidRDefault="001355E2" w:rsidP="00A14C77"/>
    <w:p w14:paraId="2E7661B4" w14:textId="12DEF67A" w:rsidR="006552D5" w:rsidRPr="00984011" w:rsidRDefault="003C5624" w:rsidP="005D14DE">
      <w:r w:rsidRPr="00984011">
        <w:t xml:space="preserve">Employers are increasingly shifting away from GPA as </w:t>
      </w:r>
      <w:r w:rsidR="0BD35C39" w:rsidRPr="00984011">
        <w:t xml:space="preserve">a </w:t>
      </w:r>
      <w:r w:rsidRPr="00984011">
        <w:t xml:space="preserve">screening tool </w:t>
      </w:r>
      <w:r w:rsidR="00A215CB">
        <w:t>i</w:t>
      </w:r>
      <w:r w:rsidRPr="00984011">
        <w:t xml:space="preserve">n hiring and instead emphasizing candidates’ skills and competencies (National Association of Colleges and Employers [NACE], 2024). </w:t>
      </w:r>
      <w:r w:rsidR="001F34AC" w:rsidRPr="00984011">
        <w:t>Correspondingly, institutions of higher education and national governments espouse employability as a core purpose of higher education (</w:t>
      </w:r>
      <w:r w:rsidR="00907D71" w:rsidRPr="00984011">
        <w:t>Tight, 2023).</w:t>
      </w:r>
      <w:r w:rsidR="00B02CD4" w:rsidRPr="00984011">
        <w:t xml:space="preserve"> </w:t>
      </w:r>
      <w:r w:rsidR="000E172B" w:rsidRPr="00984011">
        <w:t>Belloc (</w:t>
      </w:r>
      <w:r w:rsidR="003F11F9" w:rsidRPr="00984011">
        <w:t>2024) noted, “U.S. employers stand out in their belief that universities should prioritize graduate employability as a central benchmark of educational success to align their educational goals with the real-world demands of the job market</w:t>
      </w:r>
      <w:r w:rsidR="00E30B2A" w:rsidRPr="00984011">
        <w:t xml:space="preserve">” (n.p.). </w:t>
      </w:r>
    </w:p>
    <w:p w14:paraId="1EAB58EC" w14:textId="784C9BEA" w:rsidR="006552D5" w:rsidRPr="00984011" w:rsidRDefault="006552D5" w:rsidP="005D14DE"/>
    <w:p w14:paraId="2A408DE9" w14:textId="70FE9846" w:rsidR="00A6505F" w:rsidRPr="00984011" w:rsidRDefault="00F87EF2" w:rsidP="00A14C77">
      <w:r w:rsidRPr="00984011">
        <w:t xml:space="preserve">Notably, the </w:t>
      </w:r>
      <w:r w:rsidR="00A6505F" w:rsidRPr="00984011">
        <w:t>competencies</w:t>
      </w:r>
      <w:r w:rsidRPr="00984011">
        <w:t xml:space="preserve"> that </w:t>
      </w:r>
      <w:r w:rsidR="00A6199B" w:rsidRPr="00984011">
        <w:t>employers</w:t>
      </w:r>
      <w:r w:rsidRPr="00984011">
        <w:t xml:space="preserve"> seek in college </w:t>
      </w:r>
      <w:r w:rsidR="4ED1354A" w:rsidRPr="00984011">
        <w:t>graduates</w:t>
      </w:r>
      <w:r w:rsidRPr="00984011">
        <w:t xml:space="preserve"> are </w:t>
      </w:r>
      <w:r w:rsidR="00A6505F" w:rsidRPr="00984011">
        <w:t>frequently “soft skills,” which are non-technical</w:t>
      </w:r>
      <w:r w:rsidR="00416706">
        <w:t>,</w:t>
      </w:r>
      <w:r w:rsidR="00A6505F" w:rsidRPr="00984011">
        <w:t xml:space="preserve"> also </w:t>
      </w:r>
      <w:r w:rsidR="7BA40FDA" w:rsidRPr="00984011">
        <w:t>referred to</w:t>
      </w:r>
      <w:r w:rsidR="00A6505F" w:rsidRPr="00984011">
        <w:t xml:space="preserve"> as transferable skills and interpersonal skills, </w:t>
      </w:r>
      <w:r w:rsidR="00416706">
        <w:t xml:space="preserve">and </w:t>
      </w:r>
      <w:r w:rsidR="00A6505F" w:rsidRPr="00984011">
        <w:t xml:space="preserve">a focus of the social sciences. </w:t>
      </w:r>
      <w:r w:rsidR="009D17A8" w:rsidRPr="00984011">
        <w:t>According to the NACE Job Outlook Report (2024), the top 10 attributes employers seek are problem-solving skills (88.7%), ability to work in a team (78.9%), written communication skills (72.7%), strong work ethic (71.6%), flexibility/</w:t>
      </w:r>
      <w:r w:rsidR="00F92245" w:rsidRPr="00984011">
        <w:t>adaptability</w:t>
      </w:r>
      <w:r w:rsidR="009D17A8" w:rsidRPr="00984011">
        <w:t xml:space="preserve"> (70.1%), verbal communication skills (67.5%), </w:t>
      </w:r>
      <w:r w:rsidR="00F92245" w:rsidRPr="00984011">
        <w:t xml:space="preserve">technical skills (67.0%), analytical/quantitative skills (66.0%), initiative (65.5%), and detail orientation (61.3%). </w:t>
      </w:r>
      <w:r w:rsidR="00905F7E" w:rsidRPr="00984011">
        <w:t xml:space="preserve">The competencies employers </w:t>
      </w:r>
      <w:r w:rsidR="00320E37">
        <w:t>seek</w:t>
      </w:r>
      <w:r w:rsidR="00905F7E" w:rsidRPr="00984011">
        <w:t xml:space="preserve"> in college graduates a</w:t>
      </w:r>
      <w:r w:rsidR="00320E37">
        <w:t>lign</w:t>
      </w:r>
      <w:r w:rsidR="00905F7E" w:rsidRPr="00984011">
        <w:t xml:space="preserve"> </w:t>
      </w:r>
      <w:r w:rsidR="00320E37">
        <w:t>with</w:t>
      </w:r>
      <w:r w:rsidR="00905F7E" w:rsidRPr="00984011">
        <w:t xml:space="preserve"> the </w:t>
      </w:r>
      <w:r w:rsidR="00CC0250" w:rsidRPr="00984011">
        <w:t xml:space="preserve">student learning and development </w:t>
      </w:r>
      <w:r w:rsidR="00C871E2" w:rsidRPr="00984011">
        <w:t xml:space="preserve">outcomes of higher </w:t>
      </w:r>
      <w:r w:rsidR="415497FC" w:rsidRPr="00984011">
        <w:t>education</w:t>
      </w:r>
      <w:r w:rsidR="00C871E2" w:rsidRPr="00984011">
        <w:t xml:space="preserve">. </w:t>
      </w:r>
      <w:r w:rsidR="00E6585A" w:rsidRPr="00984011">
        <w:t>According to the Council for the Advancement of Standards in Higher Education (CAS</w:t>
      </w:r>
      <w:r w:rsidR="00503422" w:rsidRPr="00984011">
        <w:t>;</w:t>
      </w:r>
      <w:r w:rsidR="00514E4D" w:rsidRPr="00984011">
        <w:t xml:space="preserve"> 2023</w:t>
      </w:r>
      <w:r w:rsidR="00E6585A" w:rsidRPr="00984011">
        <w:t>)</w:t>
      </w:r>
      <w:r w:rsidR="009622A0" w:rsidRPr="00984011">
        <w:t xml:space="preserve">, the six domains of student learning </w:t>
      </w:r>
      <w:r w:rsidR="0004400B" w:rsidRPr="00984011">
        <w:t xml:space="preserve">outcomes are knowledge acquisition and application, cognitive complexity, intrapersonal development, interpersonal competence, civic engagement, and practical competence. </w:t>
      </w:r>
    </w:p>
    <w:p w14:paraId="2C09C001" w14:textId="77777777" w:rsidR="00627021" w:rsidRPr="00984011" w:rsidRDefault="00627021" w:rsidP="00A14C77"/>
    <w:p w14:paraId="5AA219E2" w14:textId="6E58A91D" w:rsidR="004277B2" w:rsidRPr="00984011" w:rsidRDefault="00627021" w:rsidP="00A14C77">
      <w:r w:rsidRPr="00984011">
        <w:t xml:space="preserve">As generative artificial intelligence (i.e., </w:t>
      </w:r>
      <w:proofErr w:type="spellStart"/>
      <w:r w:rsidRPr="00984011">
        <w:t>genAI</w:t>
      </w:r>
      <w:proofErr w:type="spellEnd"/>
      <w:r w:rsidRPr="00984011">
        <w:t xml:space="preserve">) remakes work and the workplace, </w:t>
      </w:r>
      <w:r w:rsidR="00A32DF5" w:rsidRPr="00984011">
        <w:t>transferable</w:t>
      </w:r>
      <w:r w:rsidRPr="00984011">
        <w:t xml:space="preserve"> skills are increasingly important for college graduate employability and advancement</w:t>
      </w:r>
      <w:r w:rsidR="003F11BE" w:rsidRPr="00984011">
        <w:t xml:space="preserve">. </w:t>
      </w:r>
      <w:r w:rsidR="00DE2710" w:rsidRPr="00984011">
        <w:t>Hosseinioun et al</w:t>
      </w:r>
      <w:r w:rsidR="003F11BE" w:rsidRPr="00984011">
        <w:t>. (2025</w:t>
      </w:r>
      <w:r w:rsidR="006B5910" w:rsidRPr="00984011">
        <w:t>a</w:t>
      </w:r>
      <w:r w:rsidR="003F11BE" w:rsidRPr="00984011">
        <w:t xml:space="preserve">) analyzed large-scale U.S. data </w:t>
      </w:r>
      <w:r w:rsidR="00916CE5" w:rsidRPr="00984011">
        <w:t xml:space="preserve">from over 1,000 </w:t>
      </w:r>
      <w:r w:rsidR="004277B2" w:rsidRPr="00984011">
        <w:t>industries</w:t>
      </w:r>
      <w:r w:rsidR="00916CE5" w:rsidRPr="00984011">
        <w:t>, which included 70 million job transitions</w:t>
      </w:r>
      <w:r w:rsidR="00991CC6" w:rsidRPr="00984011">
        <w:t xml:space="preserve">. The results revealed </w:t>
      </w:r>
      <w:r w:rsidR="00916CE5" w:rsidRPr="00984011">
        <w:t xml:space="preserve">that individuals’ </w:t>
      </w:r>
      <w:r w:rsidR="00703DBA" w:rsidRPr="00984011">
        <w:t xml:space="preserve">possession of </w:t>
      </w:r>
      <w:r w:rsidR="00A32DF5" w:rsidRPr="00984011">
        <w:t>transferable</w:t>
      </w:r>
      <w:r w:rsidR="00703DBA" w:rsidRPr="00984011">
        <w:t xml:space="preserve"> skills</w:t>
      </w:r>
      <w:r w:rsidR="00DE2710" w:rsidRPr="00984011">
        <w:t xml:space="preserve"> </w:t>
      </w:r>
      <w:r w:rsidR="00703DBA" w:rsidRPr="00984011">
        <w:t xml:space="preserve">(e.g., collaboration and adaptability) “didn’t just make workers more competitive for entry level jobs—they determined how far they could climb the career ladder” </w:t>
      </w:r>
      <w:r w:rsidR="006B5910" w:rsidRPr="00984011">
        <w:t>(Hosseinioun et al.</w:t>
      </w:r>
      <w:r w:rsidR="00E452ED" w:rsidRPr="00984011">
        <w:t xml:space="preserve">, </w:t>
      </w:r>
      <w:r w:rsidR="006B5910" w:rsidRPr="00984011">
        <w:t xml:space="preserve">2025b, </w:t>
      </w:r>
      <w:r w:rsidR="000617A0" w:rsidRPr="00984011">
        <w:t>p. 2</w:t>
      </w:r>
      <w:r w:rsidR="006B5910" w:rsidRPr="00984011">
        <w:t>)</w:t>
      </w:r>
      <w:r w:rsidR="004277B2" w:rsidRPr="00984011">
        <w:t xml:space="preserve">. </w:t>
      </w:r>
    </w:p>
    <w:p w14:paraId="67DA220A" w14:textId="77777777" w:rsidR="004277B2" w:rsidRPr="00984011" w:rsidRDefault="004277B2" w:rsidP="00A14C77"/>
    <w:p w14:paraId="7AB3FAF7" w14:textId="2D625488" w:rsidR="00F54CDE" w:rsidRDefault="00F54CDE" w:rsidP="00A14C77">
      <w:r w:rsidRPr="003211E9">
        <w:t>The</w:t>
      </w:r>
      <w:r w:rsidR="001E46F6" w:rsidRPr="003211E9">
        <w:t xml:space="preserve">se </w:t>
      </w:r>
      <w:r w:rsidR="00C825CF" w:rsidRPr="003211E9">
        <w:t xml:space="preserve">employer </w:t>
      </w:r>
      <w:r w:rsidR="001E46F6" w:rsidRPr="003211E9">
        <w:t xml:space="preserve">competencies are </w:t>
      </w:r>
      <w:r w:rsidR="00C825CF" w:rsidRPr="003211E9">
        <w:t xml:space="preserve">also </w:t>
      </w:r>
      <w:r w:rsidR="001E46F6" w:rsidRPr="003211E9">
        <w:t>reflected in the</w:t>
      </w:r>
      <w:r w:rsidRPr="003211E9">
        <w:t xml:space="preserve"> AAAE Teacher Education Standards (</w:t>
      </w:r>
      <w:r w:rsidR="003211E9" w:rsidRPr="003211E9">
        <w:rPr>
          <w:i/>
          <w:iCs/>
          <w:color w:val="000000"/>
        </w:rPr>
        <w:t xml:space="preserve">Standards for School-Based Agricultural Education Teacher Preparation Programs, </w:t>
      </w:r>
      <w:r w:rsidR="003211E9" w:rsidRPr="003211E9">
        <w:rPr>
          <w:color w:val="000000"/>
        </w:rPr>
        <w:t>2017</w:t>
      </w:r>
      <w:r w:rsidRPr="003211E9">
        <w:t>)</w:t>
      </w:r>
      <w:r w:rsidR="001E46F6" w:rsidRPr="003211E9">
        <w:t>, which</w:t>
      </w:r>
      <w:r w:rsidRPr="00F54CDE">
        <w:t xml:space="preserve"> operationalize qualities such as adaptability, collaboration, communication, teamwork, problem-solving, and professionalism through expectations that teacher candidates engage in inquiry-based learning, ethical practice, collaborate with diverse stakeholders, and inclusive learning settings. </w:t>
      </w:r>
      <w:r w:rsidR="000A5437">
        <w:t xml:space="preserve">In doing so, they align with </w:t>
      </w:r>
      <w:r w:rsidRPr="00F54CDE">
        <w:t xml:space="preserve">NACE's workplace readiness competencies, </w:t>
      </w:r>
      <w:r w:rsidR="009F4251">
        <w:t>demonstrating</w:t>
      </w:r>
      <w:r w:rsidRPr="00F54CDE">
        <w:t xml:space="preserve"> </w:t>
      </w:r>
      <w:r w:rsidR="000A5437">
        <w:t xml:space="preserve">that </w:t>
      </w:r>
      <w:r w:rsidRPr="00F54CDE">
        <w:t>agricultural teacher education not only prepares future teachers but also builds crucial employability skills valued across industries.</w:t>
      </w:r>
    </w:p>
    <w:p w14:paraId="19492BD1" w14:textId="77777777" w:rsidR="00F54CDE" w:rsidRDefault="00F54CDE" w:rsidP="00A14C77"/>
    <w:p w14:paraId="3474B041" w14:textId="0A3DAA1E" w:rsidR="00887FFC" w:rsidRPr="00984011" w:rsidRDefault="004277B2" w:rsidP="00A14C77">
      <w:r w:rsidRPr="00984011">
        <w:t>Therefore, i</w:t>
      </w:r>
      <w:r w:rsidR="00462C27" w:rsidRPr="00984011">
        <w:t>n response</w:t>
      </w:r>
      <w:r w:rsidR="006863D9" w:rsidRPr="00984011">
        <w:t xml:space="preserve"> to the </w:t>
      </w:r>
      <w:r w:rsidR="00F64056" w:rsidRPr="00984011">
        <w:t>prioritization of employability</w:t>
      </w:r>
      <w:r w:rsidR="006863D9" w:rsidRPr="00984011">
        <w:t xml:space="preserve"> following college graduation</w:t>
      </w:r>
      <w:r w:rsidRPr="00984011">
        <w:t xml:space="preserve"> and the increasing importance of </w:t>
      </w:r>
      <w:r w:rsidR="00AC4CF2" w:rsidRPr="00984011">
        <w:t>transferable</w:t>
      </w:r>
      <w:r w:rsidRPr="00984011">
        <w:t xml:space="preserve"> skills to employers</w:t>
      </w:r>
      <w:r w:rsidR="00462C27" w:rsidRPr="00984011">
        <w:t xml:space="preserve">, it is vital that faculty members, </w:t>
      </w:r>
      <w:r w:rsidR="00462C27" w:rsidRPr="00984011">
        <w:lastRenderedPageBreak/>
        <w:t xml:space="preserve">departments, and institutions evaluate their </w:t>
      </w:r>
      <w:r w:rsidR="00CF4C27" w:rsidRPr="00984011">
        <w:t>courses</w:t>
      </w:r>
      <w:r w:rsidR="00F973D9" w:rsidRPr="00984011">
        <w:t>, pedagogical approaches,</w:t>
      </w:r>
      <w:r w:rsidR="00CF4C27" w:rsidRPr="00984011">
        <w:t xml:space="preserve"> and programs for </w:t>
      </w:r>
      <w:r w:rsidR="00C5784F" w:rsidRPr="00984011">
        <w:t xml:space="preserve">alignment with </w:t>
      </w:r>
      <w:r w:rsidR="00660D09" w:rsidRPr="00984011">
        <w:t>the skills employers a</w:t>
      </w:r>
      <w:r w:rsidR="009A50CD" w:rsidRPr="00984011">
        <w:t>re seeking in college graduates.</w:t>
      </w:r>
    </w:p>
    <w:p w14:paraId="3A23EE40" w14:textId="77777777" w:rsidR="0058157E" w:rsidRPr="00984011" w:rsidRDefault="0058157E" w:rsidP="00A14C77"/>
    <w:p w14:paraId="077D169D" w14:textId="5777B04B" w:rsidR="008A508F" w:rsidRPr="00984011" w:rsidRDefault="00A35A0C" w:rsidP="00A14C77">
      <w:r w:rsidRPr="00984011">
        <w:t>While universities seek to prepare graduates for professional success, traditional grading methods may, at times, hinder this preparation because they motivate letter grade achievement rather than the obtainment of transferable skills.</w:t>
      </w:r>
      <w:r w:rsidR="00EA04F6" w:rsidRPr="00984011">
        <w:t xml:space="preserve"> Traditional grading is defined as today’s common letter-grade structure</w:t>
      </w:r>
      <w:r w:rsidR="006A1E14" w:rsidRPr="00984011">
        <w:t xml:space="preserve"> that assigns letter or numerical grades based </w:t>
      </w:r>
      <w:r w:rsidR="00115AF9" w:rsidRPr="00984011">
        <w:t>on the average of students’ scores on class assignments, evaluations, and exams</w:t>
      </w:r>
      <w:r w:rsidR="00EA04F6" w:rsidRPr="00984011">
        <w:t xml:space="preserve"> (</w:t>
      </w:r>
      <w:r w:rsidR="000443A8">
        <w:t xml:space="preserve">Sunderman, </w:t>
      </w:r>
      <w:r w:rsidR="0036096F" w:rsidRPr="00984011">
        <w:t>2025)</w:t>
      </w:r>
      <w:r w:rsidR="0076168D" w:rsidRPr="00984011">
        <w:t xml:space="preserve">. Traditional grading is deeply embedded within the United States educational system, providing a simple method </w:t>
      </w:r>
      <w:r w:rsidR="000F6F74" w:rsidRPr="00984011">
        <w:t>of</w:t>
      </w:r>
      <w:r w:rsidR="0076168D" w:rsidRPr="00984011">
        <w:t xml:space="preserve"> quantify</w:t>
      </w:r>
      <w:r w:rsidR="000F6F74" w:rsidRPr="00984011">
        <w:t>ing</w:t>
      </w:r>
      <w:r w:rsidR="0076168D" w:rsidRPr="00984011">
        <w:t xml:space="preserve"> and </w:t>
      </w:r>
      <w:r w:rsidR="005E4A14" w:rsidRPr="00984011">
        <w:t>interpreting</w:t>
      </w:r>
      <w:r w:rsidR="0076168D" w:rsidRPr="00984011">
        <w:t xml:space="preserve"> the complex </w:t>
      </w:r>
      <w:r w:rsidR="000F6F74" w:rsidRPr="00984011">
        <w:t>process</w:t>
      </w:r>
      <w:r w:rsidR="0076168D" w:rsidRPr="00984011">
        <w:t xml:space="preserve"> of learning</w:t>
      </w:r>
      <w:r w:rsidR="003136B6" w:rsidRPr="00984011">
        <w:t xml:space="preserve"> (Cain et al., 2022)</w:t>
      </w:r>
      <w:r w:rsidR="0076168D" w:rsidRPr="00984011">
        <w:t xml:space="preserve">. </w:t>
      </w:r>
    </w:p>
    <w:p w14:paraId="7BD59135" w14:textId="77777777" w:rsidR="008A508F" w:rsidRPr="00984011" w:rsidRDefault="008A508F" w:rsidP="00A14C77"/>
    <w:p w14:paraId="51DBBA19" w14:textId="55ED4745" w:rsidR="0076168D" w:rsidRPr="00984011" w:rsidRDefault="000F6F74" w:rsidP="00A14C77">
      <w:r w:rsidRPr="00984011">
        <w:t>Increasingly,</w:t>
      </w:r>
      <w:r w:rsidR="0076168D" w:rsidRPr="00984011">
        <w:t xml:space="preserve"> educators </w:t>
      </w:r>
      <w:r w:rsidRPr="00984011">
        <w:t>are</w:t>
      </w:r>
      <w:r w:rsidR="0076168D" w:rsidRPr="00984011">
        <w:t xml:space="preserve"> question</w:t>
      </w:r>
      <w:r w:rsidRPr="00984011">
        <w:t>ing</w:t>
      </w:r>
      <w:r w:rsidR="0076168D" w:rsidRPr="00984011">
        <w:t xml:space="preserve"> the </w:t>
      </w:r>
      <w:r w:rsidR="00B66ECE" w:rsidRPr="00984011">
        <w:t>“</w:t>
      </w:r>
      <w:r w:rsidR="0076168D" w:rsidRPr="00984011">
        <w:t>validity of and the assumptions around traditional</w:t>
      </w:r>
      <w:r w:rsidR="00B66ECE" w:rsidRPr="00984011">
        <w:t xml:space="preserve"> </w:t>
      </w:r>
      <w:r w:rsidR="0076168D" w:rsidRPr="00984011">
        <w:t>practices, including how grades are determined and their</w:t>
      </w:r>
      <w:r w:rsidR="00B66ECE" w:rsidRPr="00984011">
        <w:t xml:space="preserve"> </w:t>
      </w:r>
      <w:r w:rsidR="0076168D" w:rsidRPr="00984011">
        <w:t>effects on learner behavior</w:t>
      </w:r>
      <w:r w:rsidR="00B66ECE" w:rsidRPr="00984011">
        <w:t xml:space="preserve">” (Cain et al., 2022). </w:t>
      </w:r>
      <w:r w:rsidR="00CF5130" w:rsidRPr="00984011">
        <w:t xml:space="preserve">When students are graded, </w:t>
      </w:r>
      <w:r w:rsidR="00956A32" w:rsidRPr="00984011">
        <w:t>Kohn (2006)</w:t>
      </w:r>
      <w:r w:rsidR="005E4A14" w:rsidRPr="00984011">
        <w:t xml:space="preserve"> described </w:t>
      </w:r>
      <w:r w:rsidR="00CF5130" w:rsidRPr="00984011">
        <w:t xml:space="preserve">that </w:t>
      </w:r>
      <w:r w:rsidR="00956A32" w:rsidRPr="00984011">
        <w:t xml:space="preserve">they (a) think </w:t>
      </w:r>
      <w:r w:rsidR="00C04300" w:rsidRPr="00984011">
        <w:t>more superficially</w:t>
      </w:r>
      <w:r w:rsidR="00956A32" w:rsidRPr="00984011">
        <w:t xml:space="preserve">, (b) avoid </w:t>
      </w:r>
      <w:r w:rsidR="00C04300" w:rsidRPr="00984011">
        <w:t xml:space="preserve">intellectual </w:t>
      </w:r>
      <w:r w:rsidR="00956A32" w:rsidRPr="00984011">
        <w:t>risks, and (c) lose interest in learning.</w:t>
      </w:r>
      <w:r w:rsidR="00C04300" w:rsidRPr="00984011">
        <w:t xml:space="preserve"> In sum, rather than being motivated by learning, students are motivated by grades.</w:t>
      </w:r>
      <w:r w:rsidR="00956A32" w:rsidRPr="00984011">
        <w:t xml:space="preserve"> </w:t>
      </w:r>
      <w:r w:rsidR="00B66ECE" w:rsidRPr="00984011">
        <w:t>In response</w:t>
      </w:r>
      <w:r w:rsidR="00956A32" w:rsidRPr="00984011">
        <w:t xml:space="preserve"> to the concerns with traditional grading</w:t>
      </w:r>
      <w:r w:rsidR="00B66ECE" w:rsidRPr="00984011">
        <w:t xml:space="preserve">, </w:t>
      </w:r>
      <w:r w:rsidR="00956A32" w:rsidRPr="00984011">
        <w:t>non-traditional</w:t>
      </w:r>
      <w:r w:rsidR="0076168D" w:rsidRPr="00984011">
        <w:t xml:space="preserve"> forms of grading</w:t>
      </w:r>
      <w:r w:rsidR="00B66ECE" w:rsidRPr="00984011">
        <w:t xml:space="preserve"> (e.g., mastery grading) are gaining popularity.</w:t>
      </w:r>
    </w:p>
    <w:p w14:paraId="041A2057" w14:textId="77777777" w:rsidR="006825A4" w:rsidRPr="00984011" w:rsidRDefault="006825A4" w:rsidP="00A14C77"/>
    <w:p w14:paraId="2772821D" w14:textId="3731F4D7" w:rsidR="006825A4" w:rsidRPr="00984011" w:rsidRDefault="006825A4" w:rsidP="00A14C77">
      <w:pPr>
        <w:rPr>
          <w:b/>
          <w:bCs/>
        </w:rPr>
      </w:pPr>
      <w:r w:rsidRPr="00984011">
        <w:rPr>
          <w:b/>
          <w:bCs/>
        </w:rPr>
        <w:t>Employer Competencies and Grading Practices</w:t>
      </w:r>
    </w:p>
    <w:p w14:paraId="32C9B521" w14:textId="79575C07" w:rsidR="00C51C56" w:rsidRPr="00984011" w:rsidRDefault="00C51C56" w:rsidP="00A14C77"/>
    <w:p w14:paraId="6A583799" w14:textId="03E09E7F" w:rsidR="00C51C56" w:rsidRPr="00984011" w:rsidRDefault="00831D83" w:rsidP="00A14C77">
      <w:r w:rsidRPr="00984011">
        <w:t xml:space="preserve">While previous research has discussed </w:t>
      </w:r>
      <w:r w:rsidR="00E70A87" w:rsidRPr="00984011">
        <w:t xml:space="preserve">how educators might evaluate employer competencies and </w:t>
      </w:r>
      <w:r w:rsidR="001A5498" w:rsidRPr="00984011">
        <w:t xml:space="preserve">transferable </w:t>
      </w:r>
      <w:r w:rsidR="00E70A87" w:rsidRPr="00984011">
        <w:t xml:space="preserve">skills </w:t>
      </w:r>
      <w:r w:rsidR="0048430F" w:rsidRPr="00984011">
        <w:t>as part of the grading process (Long, 2018</w:t>
      </w:r>
      <w:r w:rsidR="00FF1890" w:rsidRPr="00984011">
        <w:t>; Riebe &amp; Jackson, 2014</w:t>
      </w:r>
      <w:r w:rsidR="0048430F" w:rsidRPr="00984011">
        <w:t xml:space="preserve">), no research, to our knowledge, has examined </w:t>
      </w:r>
      <w:r w:rsidR="009564F0" w:rsidRPr="00984011">
        <w:t xml:space="preserve">the connection between </w:t>
      </w:r>
      <w:r w:rsidR="0048430F" w:rsidRPr="00984011">
        <w:t xml:space="preserve">grading practices </w:t>
      </w:r>
      <w:r w:rsidR="009564F0" w:rsidRPr="00984011">
        <w:t>and the development</w:t>
      </w:r>
      <w:r w:rsidR="000E753C" w:rsidRPr="00984011">
        <w:t xml:space="preserve"> employer competencies.</w:t>
      </w:r>
      <w:r w:rsidR="00C51C56" w:rsidRPr="00984011">
        <w:t xml:space="preserve"> For example, the Journal of Agricultural Education returns eight articles when the term “grading” is searched. Of the eight articles, only two discuss grading structures. Simonsen and Birkenholz (2010) discussed the components that influenced students’ grades in required leadership courses for agricultural teach</w:t>
      </w:r>
      <w:r w:rsidR="5A4F927C" w:rsidRPr="00984011">
        <w:t>er</w:t>
      </w:r>
      <w:r w:rsidR="00C51C56" w:rsidRPr="00984011">
        <w:t xml:space="preserve"> education programs. McCormick and Whittington (2000) examined the value of academic challenges (e.g., exams, quizzes, presentations, reports) to students’ final grades. While both articles broadly argued for the importance of skills development (e.g., critical thinking) in higher education courses, neither article studied the perceived effect of the grading system itself on student skill development. </w:t>
      </w:r>
    </w:p>
    <w:p w14:paraId="12AD6804" w14:textId="7F3689FA" w:rsidR="001563B2" w:rsidRPr="00984011" w:rsidRDefault="001563B2" w:rsidP="00A14C77"/>
    <w:p w14:paraId="1FA85653" w14:textId="195CA7F3" w:rsidR="00173F40" w:rsidRDefault="001563B2" w:rsidP="37116EBB">
      <w:r>
        <w:t xml:space="preserve">Given the importance of employer competencies and grading practices in higher education, the current study examined </w:t>
      </w:r>
      <w:r w:rsidR="00641E7B">
        <w:t xml:space="preserve">the following </w:t>
      </w:r>
      <w:r w:rsidR="00967552">
        <w:t>overarching</w:t>
      </w:r>
      <w:r w:rsidR="00641E7B">
        <w:t xml:space="preserve"> question: W</w:t>
      </w:r>
      <w:r w:rsidR="00AD6485">
        <w:t>hat is the perceive</w:t>
      </w:r>
      <w:r w:rsidR="00382DC9">
        <w:t>d</w:t>
      </w:r>
      <w:r w:rsidR="00AD6485">
        <w:t xml:space="preserve"> impact of grading methods on students’ development of </w:t>
      </w:r>
      <w:r w:rsidR="00105A3D">
        <w:t>the skills and competencies employer</w:t>
      </w:r>
      <w:r w:rsidR="73C8E117">
        <w:t>s</w:t>
      </w:r>
      <w:r w:rsidR="00105A3D">
        <w:t xml:space="preserve"> seek in college graduates?</w:t>
      </w:r>
      <w:r w:rsidR="00CE30CF">
        <w:t xml:space="preserve"> By addressing the question through both quantitative and qualitative methods, we sought to comprehensively </w:t>
      </w:r>
      <w:r w:rsidR="00111E35">
        <w:t>research</w:t>
      </w:r>
      <w:r w:rsidR="00CE30CF">
        <w:t xml:space="preserve"> students’ perceptions and offer </w:t>
      </w:r>
      <w:r w:rsidR="002F78D2">
        <w:t xml:space="preserve">clear </w:t>
      </w:r>
      <w:r w:rsidR="00CE30CF">
        <w:t>recommendations for instructors in</w:t>
      </w:r>
      <w:r w:rsidR="002F78D2">
        <w:t>terested in grading practices</w:t>
      </w:r>
      <w:r w:rsidR="00CE30CF">
        <w:t xml:space="preserve"> </w:t>
      </w:r>
      <w:r w:rsidR="002F78D2">
        <w:t>and employer competencies.</w:t>
      </w:r>
      <w:r w:rsidR="001A44E8">
        <w:t xml:space="preserve"> </w:t>
      </w:r>
      <w:r w:rsidR="00BF43AC">
        <w:t xml:space="preserve">Further, examining grading practices may help </w:t>
      </w:r>
      <w:r w:rsidR="005A26BB">
        <w:t>further</w:t>
      </w:r>
      <w:r w:rsidR="00BF43AC">
        <w:t xml:space="preserve"> the AAAE Mission </w:t>
      </w:r>
      <w:r w:rsidR="005A26BB">
        <w:t>by addressing the</w:t>
      </w:r>
      <w:r w:rsidR="00BF43AC">
        <w:t xml:space="preserve"> social science challenge of developing employer-desired skills and competencies for students in </w:t>
      </w:r>
      <w:r w:rsidR="00EF25C8">
        <w:t>agriculture, food, and natural resources.</w:t>
      </w:r>
    </w:p>
    <w:p w14:paraId="7F46DF6F" w14:textId="77777777" w:rsidR="00173F40" w:rsidRDefault="00173F40" w:rsidP="00A14C77">
      <w:pPr>
        <w:jc w:val="center"/>
        <w:rPr>
          <w:b/>
          <w:bCs/>
        </w:rPr>
      </w:pPr>
    </w:p>
    <w:p w14:paraId="619E883E" w14:textId="77777777" w:rsidR="0072540C" w:rsidRDefault="0072540C" w:rsidP="00A14C77">
      <w:pPr>
        <w:jc w:val="center"/>
        <w:rPr>
          <w:b/>
          <w:bCs/>
        </w:rPr>
      </w:pPr>
    </w:p>
    <w:p w14:paraId="6632FCDD" w14:textId="77777777" w:rsidR="0072540C" w:rsidRDefault="0072540C" w:rsidP="00A14C77">
      <w:pPr>
        <w:jc w:val="center"/>
        <w:rPr>
          <w:b/>
          <w:bCs/>
        </w:rPr>
      </w:pPr>
    </w:p>
    <w:p w14:paraId="38EF9484" w14:textId="77777777" w:rsidR="0072540C" w:rsidRDefault="0072540C" w:rsidP="00A14C77">
      <w:pPr>
        <w:jc w:val="center"/>
        <w:rPr>
          <w:b/>
          <w:bCs/>
        </w:rPr>
      </w:pPr>
    </w:p>
    <w:p w14:paraId="4B6B0F86" w14:textId="77777777" w:rsidR="0072540C" w:rsidRDefault="0072540C" w:rsidP="00A14C77">
      <w:pPr>
        <w:jc w:val="center"/>
        <w:rPr>
          <w:b/>
          <w:bCs/>
        </w:rPr>
      </w:pPr>
    </w:p>
    <w:p w14:paraId="736E2CCF" w14:textId="5A21529C" w:rsidR="00940BB7" w:rsidRPr="00984011" w:rsidRDefault="00940BB7" w:rsidP="00A14C77">
      <w:pPr>
        <w:jc w:val="center"/>
        <w:rPr>
          <w:b/>
          <w:bCs/>
        </w:rPr>
      </w:pPr>
      <w:r w:rsidRPr="00984011">
        <w:rPr>
          <w:b/>
          <w:bCs/>
        </w:rPr>
        <w:t>Purpose/Objectives</w:t>
      </w:r>
    </w:p>
    <w:p w14:paraId="64BA0572" w14:textId="77777777" w:rsidR="00940BB7" w:rsidRPr="00984011" w:rsidRDefault="00940BB7" w:rsidP="00A14C77">
      <w:pPr>
        <w:rPr>
          <w:b/>
          <w:bCs/>
        </w:rPr>
      </w:pPr>
    </w:p>
    <w:p w14:paraId="4F6FD72E" w14:textId="7067D18D" w:rsidR="00940BB7" w:rsidRPr="00984011" w:rsidRDefault="00940BB7" w:rsidP="00A14C77">
      <w:r w:rsidRPr="00984011">
        <w:t xml:space="preserve">The purpose of the current study was to examine and explore the perceived impact of grading methods—non-traditional vs. traditional—on students' development of the </w:t>
      </w:r>
      <w:r w:rsidR="001A5498" w:rsidRPr="00984011">
        <w:t xml:space="preserve">transferable </w:t>
      </w:r>
      <w:r w:rsidRPr="00984011">
        <w:t>skills and attributes desired by employers, as indicated by NACE (2024). We had two research questions:</w:t>
      </w:r>
    </w:p>
    <w:p w14:paraId="109EE7B7" w14:textId="77777777" w:rsidR="00940BB7" w:rsidRPr="00984011" w:rsidRDefault="00940BB7" w:rsidP="00A14C77">
      <w:pPr>
        <w:pStyle w:val="ListParagraph"/>
        <w:numPr>
          <w:ilvl w:val="0"/>
          <w:numId w:val="3"/>
        </w:numPr>
        <w:rPr>
          <w:rFonts w:ascii="Times New Roman" w:hAnsi="Times New Roman" w:cs="Times New Roman"/>
        </w:rPr>
      </w:pPr>
      <w:r w:rsidRPr="00984011">
        <w:rPr>
          <w:rFonts w:ascii="Times New Roman" w:hAnsi="Times New Roman" w:cs="Times New Roman"/>
        </w:rPr>
        <w:t>Is there a statistically significant difference in students’ perceptions of their development of employer competencies between non-traditional and traditional grading?</w:t>
      </w:r>
    </w:p>
    <w:p w14:paraId="2552C577" w14:textId="4DB07A0A" w:rsidR="00940BB7" w:rsidRPr="00984011" w:rsidRDefault="00940BB7" w:rsidP="00A14C77">
      <w:pPr>
        <w:pStyle w:val="ListParagraph"/>
        <w:numPr>
          <w:ilvl w:val="0"/>
          <w:numId w:val="3"/>
        </w:numPr>
        <w:rPr>
          <w:rFonts w:ascii="Times New Roman" w:hAnsi="Times New Roman" w:cs="Times New Roman"/>
        </w:rPr>
      </w:pPr>
      <w:r w:rsidRPr="00984011">
        <w:rPr>
          <w:rFonts w:ascii="Times New Roman" w:hAnsi="Times New Roman" w:cs="Times New Roman"/>
        </w:rPr>
        <w:t>What are the experiences of students related to employer competency development in relation to non-traditional and traditional grading?</w:t>
      </w:r>
    </w:p>
    <w:p w14:paraId="66509720" w14:textId="77777777" w:rsidR="00020546" w:rsidRPr="00984011" w:rsidRDefault="00020546" w:rsidP="00A14C77"/>
    <w:p w14:paraId="1878DD71" w14:textId="316CB89D" w:rsidR="003B3968" w:rsidRPr="00984011" w:rsidRDefault="00020546" w:rsidP="00A14C77">
      <w:pPr>
        <w:jc w:val="center"/>
        <w:rPr>
          <w:b/>
          <w:bCs/>
        </w:rPr>
      </w:pPr>
      <w:r w:rsidRPr="00984011">
        <w:rPr>
          <w:b/>
          <w:bCs/>
        </w:rPr>
        <w:t>Theoretical Framework</w:t>
      </w:r>
    </w:p>
    <w:p w14:paraId="0815F2AB" w14:textId="4A378C48" w:rsidR="002F3BA9" w:rsidRPr="00984011" w:rsidRDefault="002F3BA9" w:rsidP="00A14C77">
      <w:pPr>
        <w:rPr>
          <w:b/>
          <w:bCs/>
        </w:rPr>
      </w:pPr>
    </w:p>
    <w:p w14:paraId="7F538983" w14:textId="3329860E" w:rsidR="5F4CA4D5" w:rsidRPr="00984011" w:rsidRDefault="5F4CA4D5" w:rsidP="00A14C77">
      <w:r w:rsidRPr="00984011">
        <w:t xml:space="preserve">Based on theories from Dewey and Piaget (Phillips, 1995), constructivist learning views knowledge as emerging and being co-constructed by groups of learners (Bright et al., 2016). Constructivist learning theory assumes that the context always </w:t>
      </w:r>
      <w:r w:rsidR="732EFECC" w:rsidRPr="00984011">
        <w:t>influences</w:t>
      </w:r>
      <w:r w:rsidRPr="00984011">
        <w:t xml:space="preserve"> learning and that individuals actively create meaning as they interact with and reflect on new ideas and experiences (Piaget, 1977). In this framework, constructivist educators are positioned not a</w:t>
      </w:r>
      <w:r w:rsidR="0E378954" w:rsidRPr="00984011">
        <w:t xml:space="preserve">s </w:t>
      </w:r>
      <w:r w:rsidR="00837E9E">
        <w:t>sources</w:t>
      </w:r>
      <w:r w:rsidRPr="00984011">
        <w:t xml:space="preserve"> of information but as facilitators who encourage student </w:t>
      </w:r>
      <w:r w:rsidR="5CFB92B8" w:rsidRPr="00984011">
        <w:t>contribution</w:t>
      </w:r>
      <w:r w:rsidR="162E8EA4" w:rsidRPr="00984011">
        <w:t>s</w:t>
      </w:r>
      <w:r w:rsidRPr="00984011">
        <w:t xml:space="preserve">, reflection, and inquiry. The classroom becomes an environment focused on engagement and motivation, where </w:t>
      </w:r>
      <w:r w:rsidR="2B8E0371" w:rsidRPr="00984011">
        <w:t>meaning-making</w:t>
      </w:r>
      <w:r w:rsidRPr="00984011">
        <w:t xml:space="preserve"> </w:t>
      </w:r>
      <w:r w:rsidR="357F3182" w:rsidRPr="00984011">
        <w:t xml:space="preserve">and learning are </w:t>
      </w:r>
      <w:r w:rsidR="2715AA27" w:rsidRPr="00984011">
        <w:t xml:space="preserve">developed </w:t>
      </w:r>
      <w:r w:rsidRPr="00984011">
        <w:t xml:space="preserve">through </w:t>
      </w:r>
      <w:r w:rsidR="0BF30F3C" w:rsidRPr="00984011">
        <w:t xml:space="preserve">active </w:t>
      </w:r>
      <w:r w:rsidR="1D2FF065" w:rsidRPr="00984011">
        <w:t xml:space="preserve">participation and </w:t>
      </w:r>
      <w:r w:rsidR="2985DE21" w:rsidRPr="00984011">
        <w:t>reflection</w:t>
      </w:r>
      <w:r w:rsidRPr="00984011">
        <w:t xml:space="preserve">, </w:t>
      </w:r>
      <w:r w:rsidR="4E958B7A" w:rsidRPr="00984011">
        <w:t xml:space="preserve">with </w:t>
      </w:r>
      <w:r w:rsidRPr="00984011">
        <w:t>the instructor support</w:t>
      </w:r>
      <w:r w:rsidR="4ED1A765" w:rsidRPr="00984011">
        <w:t>ing</w:t>
      </w:r>
      <w:r w:rsidRPr="00984011">
        <w:t xml:space="preserve"> rather than direct</w:t>
      </w:r>
      <w:r w:rsidR="24683957" w:rsidRPr="00984011">
        <w:t>ing</w:t>
      </w:r>
      <w:r w:rsidRPr="00984011">
        <w:t xml:space="preserve"> the process (Ramsey &amp; Fitzgibbons, 2005; Bright et al., 2016). This </w:t>
      </w:r>
      <w:r w:rsidR="2CEFC734" w:rsidRPr="00984011">
        <w:t xml:space="preserve">current work </w:t>
      </w:r>
      <w:r w:rsidRPr="00984011">
        <w:t>v</w:t>
      </w:r>
      <w:r w:rsidR="1B4B4384" w:rsidRPr="00984011">
        <w:t>iews a</w:t>
      </w:r>
      <w:r w:rsidRPr="00984011">
        <w:t xml:space="preserve">ssessment and feedback as </w:t>
      </w:r>
      <w:r w:rsidR="015E551C" w:rsidRPr="00984011">
        <w:t xml:space="preserve">an </w:t>
      </w:r>
      <w:r w:rsidRPr="00984011">
        <w:t>ongoing</w:t>
      </w:r>
      <w:r w:rsidR="104184EA" w:rsidRPr="00984011">
        <w:t xml:space="preserve"> collaborative process</w:t>
      </w:r>
      <w:r w:rsidRPr="00984011">
        <w:t xml:space="preserve">, guided by principles of </w:t>
      </w:r>
      <w:r w:rsidR="485FAD76" w:rsidRPr="00984011">
        <w:t>reflection</w:t>
      </w:r>
      <w:r w:rsidRPr="00984011">
        <w:t xml:space="preserve"> and shared responsibility for knowledge construction.</w:t>
      </w:r>
    </w:p>
    <w:p w14:paraId="55094789" w14:textId="2BB76DBD" w:rsidR="001D1872" w:rsidRPr="00984011" w:rsidRDefault="001D1872" w:rsidP="00A14C77">
      <w:pPr>
        <w:rPr>
          <w:b/>
          <w:bCs/>
        </w:rPr>
      </w:pPr>
    </w:p>
    <w:p w14:paraId="4B92C191" w14:textId="7D2A5A50" w:rsidR="001D1872" w:rsidRPr="00984011" w:rsidRDefault="001D1872" w:rsidP="00A14C77">
      <w:pPr>
        <w:jc w:val="center"/>
        <w:rPr>
          <w:b/>
          <w:bCs/>
        </w:rPr>
      </w:pPr>
      <w:r w:rsidRPr="00984011">
        <w:rPr>
          <w:b/>
          <w:bCs/>
        </w:rPr>
        <w:t>Methods</w:t>
      </w:r>
    </w:p>
    <w:p w14:paraId="1DBC3A6A" w14:textId="03FA504E" w:rsidR="7A28180D" w:rsidRPr="00984011" w:rsidRDefault="7A28180D" w:rsidP="00A14C77"/>
    <w:p w14:paraId="2292DF01" w14:textId="0D424562" w:rsidR="003D7066" w:rsidRPr="00984011" w:rsidRDefault="3A42C6F2" w:rsidP="00A14C77">
      <w:pPr>
        <w:rPr>
          <w:color w:val="000000" w:themeColor="text1"/>
        </w:rPr>
      </w:pPr>
      <w:r w:rsidRPr="00984011">
        <w:rPr>
          <w:color w:val="000000" w:themeColor="text1"/>
        </w:rPr>
        <w:t xml:space="preserve">The study was conducted at a large land-grant institution with three faculty members across various courses within </w:t>
      </w:r>
      <w:r w:rsidR="659569B9" w:rsidRPr="00984011">
        <w:rPr>
          <w:color w:val="000000" w:themeColor="text1"/>
        </w:rPr>
        <w:t xml:space="preserve">the </w:t>
      </w:r>
      <w:r w:rsidR="003951FE">
        <w:rPr>
          <w:color w:val="000000" w:themeColor="text1"/>
        </w:rPr>
        <w:t>C</w:t>
      </w:r>
      <w:r w:rsidR="659569B9" w:rsidRPr="00984011">
        <w:rPr>
          <w:color w:val="000000" w:themeColor="text1"/>
        </w:rPr>
        <w:t>ollege</w:t>
      </w:r>
      <w:r w:rsidRPr="00984011">
        <w:rPr>
          <w:color w:val="000000" w:themeColor="text1"/>
        </w:rPr>
        <w:t xml:space="preserve"> of </w:t>
      </w:r>
      <w:r w:rsidR="003951FE">
        <w:rPr>
          <w:color w:val="000000" w:themeColor="text1"/>
        </w:rPr>
        <w:t>A</w:t>
      </w:r>
      <w:r w:rsidR="659569B9" w:rsidRPr="00984011">
        <w:rPr>
          <w:color w:val="000000" w:themeColor="text1"/>
        </w:rPr>
        <w:t>griculture</w:t>
      </w:r>
      <w:r w:rsidR="003951FE">
        <w:rPr>
          <w:color w:val="000000" w:themeColor="text1"/>
        </w:rPr>
        <w:t xml:space="preserve"> and Life Sciences</w:t>
      </w:r>
      <w:r w:rsidR="00760A48">
        <w:rPr>
          <w:color w:val="000000" w:themeColor="text1"/>
        </w:rPr>
        <w:t xml:space="preserve"> and </w:t>
      </w:r>
      <w:r w:rsidR="00223699">
        <w:rPr>
          <w:color w:val="000000" w:themeColor="text1"/>
        </w:rPr>
        <w:t>the</w:t>
      </w:r>
      <w:r w:rsidR="003951FE">
        <w:rPr>
          <w:color w:val="000000" w:themeColor="text1"/>
        </w:rPr>
        <w:t xml:space="preserve"> Department</w:t>
      </w:r>
      <w:r w:rsidR="00223699">
        <w:rPr>
          <w:color w:val="000000" w:themeColor="text1"/>
        </w:rPr>
        <w:t xml:space="preserve"> of Agricultural, Leadership, and Community Education</w:t>
      </w:r>
      <w:r w:rsidR="003951FE">
        <w:rPr>
          <w:color w:val="000000" w:themeColor="text1"/>
        </w:rPr>
        <w:t xml:space="preserve"> </w:t>
      </w:r>
      <w:r w:rsidRPr="00984011">
        <w:rPr>
          <w:color w:val="000000" w:themeColor="text1"/>
        </w:rPr>
        <w:t>(</w:t>
      </w:r>
      <w:r w:rsidRPr="00984011">
        <w:rPr>
          <w:i/>
          <w:iCs/>
          <w:color w:val="000000" w:themeColor="text1"/>
        </w:rPr>
        <w:t>N</w:t>
      </w:r>
      <w:r w:rsidRPr="00984011">
        <w:rPr>
          <w:color w:val="000000" w:themeColor="text1"/>
        </w:rPr>
        <w:t xml:space="preserve"> = 4</w:t>
      </w:r>
      <w:r w:rsidR="7E417495" w:rsidRPr="00984011">
        <w:rPr>
          <w:color w:val="000000" w:themeColor="text1"/>
        </w:rPr>
        <w:t>5</w:t>
      </w:r>
      <w:r w:rsidRPr="00984011">
        <w:rPr>
          <w:color w:val="000000" w:themeColor="text1"/>
        </w:rPr>
        <w:t xml:space="preserve">). A survey was distributed to three courses: </w:t>
      </w:r>
      <w:r w:rsidR="002F7D75">
        <w:rPr>
          <w:color w:val="000000" w:themeColor="text1"/>
        </w:rPr>
        <w:t>ALCE 3</w:t>
      </w:r>
      <w:r w:rsidR="003951FE">
        <w:rPr>
          <w:color w:val="000000" w:themeColor="text1"/>
        </w:rPr>
        <w:t xml:space="preserve">624, </w:t>
      </w:r>
      <w:r w:rsidRPr="00984011">
        <w:rPr>
          <w:color w:val="000000" w:themeColor="text1"/>
        </w:rPr>
        <w:t>a</w:t>
      </w:r>
      <w:r w:rsidR="13CFB40E" w:rsidRPr="00984011">
        <w:rPr>
          <w:color w:val="000000" w:themeColor="text1"/>
        </w:rPr>
        <w:t xml:space="preserve">n </w:t>
      </w:r>
      <w:r w:rsidR="0FA925D3" w:rsidRPr="00984011">
        <w:rPr>
          <w:color w:val="000000" w:themeColor="text1"/>
        </w:rPr>
        <w:t xml:space="preserve">upper-level </w:t>
      </w:r>
      <w:r w:rsidRPr="00984011">
        <w:rPr>
          <w:color w:val="000000" w:themeColor="text1"/>
        </w:rPr>
        <w:t xml:space="preserve">course that teaches strategies and techniques for effective oral communication in professions related to food, agriculture, and natural resources; </w:t>
      </w:r>
      <w:r w:rsidR="00223699">
        <w:rPr>
          <w:color w:val="000000" w:themeColor="text1"/>
        </w:rPr>
        <w:t xml:space="preserve">ALCE 4034, </w:t>
      </w:r>
      <w:r w:rsidRPr="00984011">
        <w:rPr>
          <w:color w:val="000000" w:themeColor="text1"/>
        </w:rPr>
        <w:t>a required course for</w:t>
      </w:r>
      <w:r w:rsidR="4C4F1298" w:rsidRPr="00984011">
        <w:rPr>
          <w:color w:val="000000" w:themeColor="text1"/>
        </w:rPr>
        <w:t xml:space="preserve"> agriculture and extension education students </w:t>
      </w:r>
      <w:r w:rsidRPr="00984011">
        <w:rPr>
          <w:color w:val="000000" w:themeColor="text1"/>
        </w:rPr>
        <w:t>that examines the procedures involved in developing programs, classes, curricula, and instructional materials for both formal and non-formal educational programs in agriculture; and</w:t>
      </w:r>
      <w:r w:rsidR="675CFCE5" w:rsidRPr="00984011">
        <w:rPr>
          <w:color w:val="000000" w:themeColor="text1"/>
        </w:rPr>
        <w:t xml:space="preserve"> </w:t>
      </w:r>
      <w:r w:rsidR="003951FE">
        <w:rPr>
          <w:color w:val="000000" w:themeColor="text1"/>
        </w:rPr>
        <w:t xml:space="preserve">LDRS 1414, </w:t>
      </w:r>
      <w:r w:rsidRPr="00984011">
        <w:rPr>
          <w:color w:val="000000" w:themeColor="text1"/>
        </w:rPr>
        <w:t xml:space="preserve">a required course for students in </w:t>
      </w:r>
      <w:r w:rsidR="70EF5C95" w:rsidRPr="00984011">
        <w:rPr>
          <w:color w:val="000000" w:themeColor="text1"/>
        </w:rPr>
        <w:t>a leadership</w:t>
      </w:r>
      <w:r w:rsidRPr="00984011">
        <w:rPr>
          <w:color w:val="000000" w:themeColor="text1"/>
        </w:rPr>
        <w:t xml:space="preserve"> minor that teaches students inter- and intrapersonal skills. Courses were taught using various non-traditional grading methods (e.g., growth-based grading); however, all methods employed thorough feedback and provided incomplete/complete grades throughout the course.</w:t>
      </w:r>
      <w:r w:rsidR="003D7066" w:rsidRPr="00984011">
        <w:rPr>
          <w:color w:val="000000" w:themeColor="text1"/>
        </w:rPr>
        <w:t xml:space="preserve"> </w:t>
      </w:r>
    </w:p>
    <w:p w14:paraId="7484B74F" w14:textId="684FF8B1" w:rsidR="3A42C6F2" w:rsidRPr="00984011" w:rsidRDefault="3A42C6F2" w:rsidP="00A14C77">
      <w:pPr>
        <w:rPr>
          <w:color w:val="000000" w:themeColor="text1"/>
        </w:rPr>
      </w:pPr>
      <w:r w:rsidRPr="00984011">
        <w:rPr>
          <w:color w:val="000000" w:themeColor="text1"/>
        </w:rPr>
        <w:t xml:space="preserve"> </w:t>
      </w:r>
    </w:p>
    <w:p w14:paraId="311D35F5" w14:textId="211AEEFD" w:rsidR="3A42C6F2" w:rsidRPr="00984011" w:rsidRDefault="3A42C6F2" w:rsidP="00A14C77">
      <w:pPr>
        <w:rPr>
          <w:color w:val="000000" w:themeColor="text1"/>
        </w:rPr>
      </w:pPr>
      <w:r w:rsidRPr="00984011">
        <w:rPr>
          <w:color w:val="000000" w:themeColor="text1"/>
        </w:rPr>
        <w:t xml:space="preserve">The survey included quantitative and qualitative questions. The quantitative data were divided into two sections: one related to non-traditional grading and the other to traditional grading. </w:t>
      </w:r>
      <w:r w:rsidR="6386B34C" w:rsidRPr="00984011">
        <w:rPr>
          <w:color w:val="000000" w:themeColor="text1"/>
        </w:rPr>
        <w:t xml:space="preserve">Both </w:t>
      </w:r>
      <w:r w:rsidR="6367C003" w:rsidRPr="00984011">
        <w:rPr>
          <w:color w:val="000000" w:themeColor="text1"/>
        </w:rPr>
        <w:t xml:space="preserve">statements </w:t>
      </w:r>
      <w:r w:rsidRPr="00984011">
        <w:rPr>
          <w:color w:val="000000" w:themeColor="text1"/>
        </w:rPr>
        <w:t>w</w:t>
      </w:r>
      <w:r w:rsidR="257D366A" w:rsidRPr="00984011">
        <w:rPr>
          <w:color w:val="000000" w:themeColor="text1"/>
        </w:rPr>
        <w:t>ere identical</w:t>
      </w:r>
      <w:r w:rsidRPr="00984011">
        <w:rPr>
          <w:color w:val="000000" w:themeColor="text1"/>
        </w:rPr>
        <w:t xml:space="preserve">, </w:t>
      </w:r>
      <w:r w:rsidR="5907F8E8" w:rsidRPr="00984011">
        <w:rPr>
          <w:color w:val="000000" w:themeColor="text1"/>
        </w:rPr>
        <w:t xml:space="preserve">except for </w:t>
      </w:r>
      <w:r w:rsidRPr="00984011">
        <w:rPr>
          <w:color w:val="000000" w:themeColor="text1"/>
        </w:rPr>
        <w:t xml:space="preserve">the type of grading style </w:t>
      </w:r>
      <w:r w:rsidR="67336D91" w:rsidRPr="00984011">
        <w:rPr>
          <w:color w:val="000000" w:themeColor="text1"/>
        </w:rPr>
        <w:t>referenced</w:t>
      </w:r>
      <w:r w:rsidRPr="00984011">
        <w:rPr>
          <w:color w:val="000000" w:themeColor="text1"/>
        </w:rPr>
        <w:t>. The prompts stated, “For each of the following statements, think about [non-traditional grading</w:t>
      </w:r>
      <w:r w:rsidR="007E4770" w:rsidRPr="00984011">
        <w:rPr>
          <w:color w:val="000000" w:themeColor="text1"/>
        </w:rPr>
        <w:t xml:space="preserve"> </w:t>
      </w:r>
      <w:r w:rsidR="007E4770" w:rsidRPr="00984011">
        <w:rPr>
          <w:i/>
          <w:iCs/>
          <w:color w:val="000000" w:themeColor="text1"/>
        </w:rPr>
        <w:t>or</w:t>
      </w:r>
      <w:r w:rsidRPr="00984011">
        <w:rPr>
          <w:color w:val="000000" w:themeColor="text1"/>
        </w:rPr>
        <w:t xml:space="preserve"> traditional grading]. Then, please select the answer that matches your position, according to the following scale: 1 – Strongly Disagree; 2 – Disagree; 3 – Undecided; 4 – Agree; 5 – Strongly Agree.” </w:t>
      </w:r>
      <w:r w:rsidR="524E965B" w:rsidRPr="00984011">
        <w:rPr>
          <w:color w:val="000000" w:themeColor="text1"/>
        </w:rPr>
        <w:t xml:space="preserve">Each statement </w:t>
      </w:r>
      <w:r w:rsidR="5EE0B2D7" w:rsidRPr="00984011">
        <w:rPr>
          <w:color w:val="000000" w:themeColor="text1"/>
        </w:rPr>
        <w:t>address</w:t>
      </w:r>
      <w:r w:rsidR="118BC138" w:rsidRPr="00984011">
        <w:rPr>
          <w:color w:val="000000" w:themeColor="text1"/>
        </w:rPr>
        <w:t>ed</w:t>
      </w:r>
      <w:r w:rsidR="5EE0B2D7" w:rsidRPr="00984011">
        <w:rPr>
          <w:color w:val="000000" w:themeColor="text1"/>
        </w:rPr>
        <w:t xml:space="preserve"> one </w:t>
      </w:r>
      <w:r w:rsidR="524E965B" w:rsidRPr="00984011">
        <w:rPr>
          <w:color w:val="000000" w:themeColor="text1"/>
        </w:rPr>
        <w:t>of</w:t>
      </w:r>
      <w:r w:rsidR="0B9D646F" w:rsidRPr="00984011">
        <w:rPr>
          <w:color w:val="000000" w:themeColor="text1"/>
        </w:rPr>
        <w:t xml:space="preserve"> </w:t>
      </w:r>
      <w:r w:rsidR="0B9D646F" w:rsidRPr="00984011">
        <w:t>the top 10 attributes employers seek</w:t>
      </w:r>
      <w:r w:rsidR="53F5B34A" w:rsidRPr="00984011">
        <w:t>, as identified in the</w:t>
      </w:r>
      <w:r w:rsidR="393E5DC4" w:rsidRPr="00984011">
        <w:rPr>
          <w:color w:val="000000" w:themeColor="text1"/>
        </w:rPr>
        <w:t xml:space="preserve"> </w:t>
      </w:r>
      <w:r w:rsidR="00535AF0" w:rsidRPr="00984011">
        <w:t xml:space="preserve">National Association of Colleges and Employers (NACE) </w:t>
      </w:r>
      <w:r w:rsidR="524E965B" w:rsidRPr="00984011">
        <w:rPr>
          <w:color w:val="000000" w:themeColor="text1"/>
        </w:rPr>
        <w:t xml:space="preserve">2024 </w:t>
      </w:r>
      <w:r w:rsidR="316653DF" w:rsidRPr="00984011">
        <w:rPr>
          <w:color w:val="000000" w:themeColor="text1"/>
        </w:rPr>
        <w:t>J</w:t>
      </w:r>
      <w:r w:rsidR="524E965B" w:rsidRPr="00984011">
        <w:rPr>
          <w:color w:val="000000" w:themeColor="text1"/>
        </w:rPr>
        <w:t xml:space="preserve">ob </w:t>
      </w:r>
      <w:r w:rsidR="34F72FBA" w:rsidRPr="00984011">
        <w:rPr>
          <w:color w:val="000000" w:themeColor="text1"/>
        </w:rPr>
        <w:t>O</w:t>
      </w:r>
      <w:r w:rsidR="524E965B" w:rsidRPr="00984011">
        <w:rPr>
          <w:color w:val="000000" w:themeColor="text1"/>
        </w:rPr>
        <w:t>ut</w:t>
      </w:r>
      <w:r w:rsidR="1A923420" w:rsidRPr="00984011">
        <w:rPr>
          <w:color w:val="000000" w:themeColor="text1"/>
        </w:rPr>
        <w:t xml:space="preserve">look </w:t>
      </w:r>
      <w:r w:rsidR="6D7D6228" w:rsidRPr="00984011">
        <w:rPr>
          <w:color w:val="000000" w:themeColor="text1"/>
        </w:rPr>
        <w:t>R</w:t>
      </w:r>
      <w:r w:rsidR="1A923420" w:rsidRPr="00984011">
        <w:rPr>
          <w:color w:val="000000" w:themeColor="text1"/>
        </w:rPr>
        <w:t>eport</w:t>
      </w:r>
      <w:r w:rsidR="048E1C28" w:rsidRPr="00984011">
        <w:t>.</w:t>
      </w:r>
    </w:p>
    <w:p w14:paraId="38901A60" w14:textId="5DB2DB2D" w:rsidR="3A42C6F2" w:rsidRPr="00984011" w:rsidRDefault="3A42C6F2" w:rsidP="00A14C77">
      <w:pPr>
        <w:rPr>
          <w:color w:val="000000" w:themeColor="text1"/>
        </w:rPr>
      </w:pPr>
      <w:r w:rsidRPr="00984011">
        <w:rPr>
          <w:color w:val="000000" w:themeColor="text1"/>
        </w:rPr>
        <w:t xml:space="preserve"> </w:t>
      </w:r>
    </w:p>
    <w:p w14:paraId="72072E28" w14:textId="6FA7E724" w:rsidR="3A42C6F2" w:rsidRPr="00984011" w:rsidRDefault="3A42C6F2" w:rsidP="00A14C77">
      <w:pPr>
        <w:rPr>
          <w:color w:val="000000" w:themeColor="text1"/>
        </w:rPr>
      </w:pPr>
      <w:r w:rsidRPr="00984011">
        <w:rPr>
          <w:color w:val="000000" w:themeColor="text1"/>
        </w:rPr>
        <w:t xml:space="preserve">Qualitative data </w:t>
      </w:r>
      <w:r w:rsidR="00535AF0" w:rsidRPr="00984011">
        <w:rPr>
          <w:color w:val="000000" w:themeColor="text1"/>
        </w:rPr>
        <w:t>were</w:t>
      </w:r>
      <w:r w:rsidRPr="00984011">
        <w:rPr>
          <w:color w:val="000000" w:themeColor="text1"/>
        </w:rPr>
        <w:t xml:space="preserve"> also gathered. Four open-ended questions were asked: (1) In comparison to traditional grading, in what ways, if any, did non-traditional grading enhance your learning? (2) In comparison to traditional grading, in what ways, if any, did non-traditional grading hinder your learning? (3) What changes would you recommend to the non-traditional grading structure to maximize student learning? (4) How, if at all, do you think non-traditional grading prepared you for your career? </w:t>
      </w:r>
      <w:r w:rsidR="0016162A">
        <w:rPr>
          <w:color w:val="000000" w:themeColor="text1"/>
        </w:rPr>
        <w:t xml:space="preserve">Responses were open-coded using an exploratory, inductive approach that allowed responses to inform code creation </w:t>
      </w:r>
      <w:r w:rsidR="00856AE0">
        <w:rPr>
          <w:color w:val="000000" w:themeColor="text1"/>
        </w:rPr>
        <w:t>(Cresswell</w:t>
      </w:r>
      <w:r w:rsidR="0016162A">
        <w:rPr>
          <w:color w:val="000000" w:themeColor="text1"/>
        </w:rPr>
        <w:t xml:space="preserve"> &amp; Creswell, 2017)</w:t>
      </w:r>
      <w:r w:rsidR="008A7008">
        <w:rPr>
          <w:color w:val="000000" w:themeColor="text1"/>
        </w:rPr>
        <w:t>.</w:t>
      </w:r>
    </w:p>
    <w:p w14:paraId="2908D855" w14:textId="7A572FAC" w:rsidR="001D1872" w:rsidRPr="00984011" w:rsidRDefault="001D1872" w:rsidP="00A14C77">
      <w:pPr>
        <w:jc w:val="center"/>
        <w:rPr>
          <w:b/>
          <w:bCs/>
        </w:rPr>
      </w:pPr>
    </w:p>
    <w:p w14:paraId="222BE4ED" w14:textId="4743F94C" w:rsidR="00E01CCB" w:rsidRPr="00984011" w:rsidRDefault="00F42EE4" w:rsidP="00A14C77">
      <w:pPr>
        <w:jc w:val="center"/>
        <w:rPr>
          <w:b/>
          <w:bCs/>
        </w:rPr>
      </w:pPr>
      <w:r w:rsidRPr="00984011">
        <w:rPr>
          <w:b/>
          <w:bCs/>
        </w:rPr>
        <w:t>Results</w:t>
      </w:r>
      <w:r w:rsidR="00267833" w:rsidRPr="00984011">
        <w:rPr>
          <w:b/>
          <w:bCs/>
        </w:rPr>
        <w:t>/Findings</w:t>
      </w:r>
    </w:p>
    <w:p w14:paraId="186BCA40" w14:textId="77777777" w:rsidR="00F42EE4" w:rsidRPr="00984011" w:rsidRDefault="00F42EE4" w:rsidP="00A14C77">
      <w:pPr>
        <w:rPr>
          <w:b/>
          <w:bCs/>
        </w:rPr>
      </w:pPr>
    </w:p>
    <w:p w14:paraId="3A0695F7" w14:textId="37ED253E" w:rsidR="00F42EE4" w:rsidRPr="00984011" w:rsidRDefault="00F42EE4" w:rsidP="00A14C77">
      <w:pPr>
        <w:rPr>
          <w:b/>
          <w:bCs/>
        </w:rPr>
      </w:pPr>
      <w:r w:rsidRPr="00984011">
        <w:rPr>
          <w:b/>
          <w:bCs/>
        </w:rPr>
        <w:t>Quantitative Results</w:t>
      </w:r>
    </w:p>
    <w:p w14:paraId="2B4CB349" w14:textId="435D34D5" w:rsidR="0CBBED64" w:rsidRPr="00984011" w:rsidRDefault="5F829D7C" w:rsidP="00A14C77">
      <w:pPr>
        <w:rPr>
          <w:color w:val="000000" w:themeColor="text1"/>
        </w:rPr>
      </w:pPr>
      <w:r w:rsidRPr="37116EBB">
        <w:rPr>
          <w:color w:val="000000" w:themeColor="text1"/>
        </w:rPr>
        <w:t>Utilizing the Wilcoxon signed-rank test, the data were compared to determine if there was a statistically significant difference in the perceived impact of the grading method on job outcomes. A Wilcoxon signed-rank test was appropriate for this analysis because it serves as a nonparametric alternative to the paired samples t-test, comparing means from the same subjects without presuming data normality.</w:t>
      </w:r>
      <w:r w:rsidR="09287A92" w:rsidRPr="37116EBB">
        <w:rPr>
          <w:color w:val="000000" w:themeColor="text1"/>
        </w:rPr>
        <w:t xml:space="preserve"> Of the 45 respondents, 41</w:t>
      </w:r>
      <w:r w:rsidR="72BCD264" w:rsidRPr="37116EBB">
        <w:rPr>
          <w:color w:val="000000" w:themeColor="text1"/>
        </w:rPr>
        <w:t xml:space="preserve"> </w:t>
      </w:r>
      <w:r w:rsidR="0035400A" w:rsidRPr="37116EBB">
        <w:rPr>
          <w:color w:val="000000" w:themeColor="text1"/>
        </w:rPr>
        <w:t xml:space="preserve">response sets </w:t>
      </w:r>
      <w:r w:rsidR="09287A92" w:rsidRPr="37116EBB">
        <w:rPr>
          <w:color w:val="000000" w:themeColor="text1"/>
        </w:rPr>
        <w:t xml:space="preserve">were included in the analysis due to </w:t>
      </w:r>
      <w:r w:rsidR="3CF7AB62" w:rsidRPr="37116EBB">
        <w:rPr>
          <w:color w:val="000000" w:themeColor="text1"/>
        </w:rPr>
        <w:t xml:space="preserve">dropout </w:t>
      </w:r>
      <w:r w:rsidR="09287A92" w:rsidRPr="37116EBB">
        <w:rPr>
          <w:color w:val="000000" w:themeColor="text1"/>
        </w:rPr>
        <w:t>attrition.</w:t>
      </w:r>
      <w:r w:rsidRPr="37116EBB">
        <w:rPr>
          <w:color w:val="000000" w:themeColor="text1"/>
        </w:rPr>
        <w:t xml:space="preserve"> Non-traditional grading was statistically significantly perceived as having a greater impact on the development of </w:t>
      </w:r>
      <w:r w:rsidR="00540CD6" w:rsidRPr="37116EBB">
        <w:rPr>
          <w:color w:val="000000" w:themeColor="text1"/>
        </w:rPr>
        <w:t xml:space="preserve">all </w:t>
      </w:r>
      <w:r w:rsidRPr="37116EBB">
        <w:rPr>
          <w:color w:val="000000" w:themeColor="text1"/>
        </w:rPr>
        <w:t>job outcomes, compared to traditional grading (</w:t>
      </w:r>
      <w:r w:rsidR="00540CD6" w:rsidRPr="37116EBB">
        <w:rPr>
          <w:color w:val="000000" w:themeColor="text1"/>
        </w:rPr>
        <w:t>s</w:t>
      </w:r>
      <w:r w:rsidRPr="37116EBB">
        <w:rPr>
          <w:color w:val="000000" w:themeColor="text1"/>
        </w:rPr>
        <w:t>ee Table 1).</w:t>
      </w:r>
    </w:p>
    <w:p w14:paraId="6D9FB633" w14:textId="18B8B4B0" w:rsidR="7A28180D" w:rsidRPr="00984011" w:rsidRDefault="7A28180D" w:rsidP="37116EBB">
      <w:pPr>
        <w:rPr>
          <w:color w:val="000000" w:themeColor="text1"/>
        </w:rPr>
      </w:pPr>
    </w:p>
    <w:p w14:paraId="2EAB7044" w14:textId="0EBCC897" w:rsidR="7A28180D" w:rsidRPr="00984011" w:rsidRDefault="63194DB8" w:rsidP="37116EBB">
      <w:pPr>
        <w:spacing w:after="160"/>
        <w:rPr>
          <w:b/>
          <w:bCs/>
        </w:rPr>
      </w:pPr>
      <w:r w:rsidRPr="37116EBB">
        <w:rPr>
          <w:b/>
          <w:bCs/>
        </w:rPr>
        <w:t>Open-ended Response Results</w:t>
      </w:r>
    </w:p>
    <w:p w14:paraId="7A607214" w14:textId="7BCD3F5D" w:rsidR="7A28180D" w:rsidRPr="00984011" w:rsidRDefault="63194DB8" w:rsidP="00A14C77">
      <w:pPr>
        <w:rPr>
          <w:color w:val="000000" w:themeColor="text1"/>
        </w:rPr>
      </w:pPr>
      <w:r w:rsidRPr="37116EBB">
        <w:rPr>
          <w:color w:val="000000" w:themeColor="text1"/>
        </w:rPr>
        <w:t>Participants were also asked to answer four open-ended questions, and their responses were open-coded. When asked how traditional grading enhanced their learning (</w:t>
      </w:r>
      <w:r w:rsidRPr="37116EBB">
        <w:rPr>
          <w:i/>
          <w:iCs/>
          <w:color w:val="000000" w:themeColor="text1"/>
        </w:rPr>
        <w:t>n</w:t>
      </w:r>
      <w:r w:rsidRPr="37116EBB">
        <w:rPr>
          <w:color w:val="000000" w:themeColor="text1"/>
        </w:rPr>
        <w:t xml:space="preserve"> = 39), participants shared that it reduced stress (</w:t>
      </w:r>
      <w:r w:rsidRPr="37116EBB">
        <w:rPr>
          <w:i/>
          <w:iCs/>
          <w:color w:val="000000" w:themeColor="text1"/>
        </w:rPr>
        <w:t>n</w:t>
      </w:r>
      <w:r w:rsidRPr="37116EBB">
        <w:rPr>
          <w:color w:val="000000" w:themeColor="text1"/>
        </w:rPr>
        <w:t xml:space="preserve"> = 11), encouraged learning (</w:t>
      </w:r>
      <w:r w:rsidRPr="37116EBB">
        <w:rPr>
          <w:i/>
          <w:iCs/>
          <w:color w:val="000000" w:themeColor="text1"/>
        </w:rPr>
        <w:t>n</w:t>
      </w:r>
      <w:r w:rsidRPr="37116EBB">
        <w:rPr>
          <w:color w:val="000000" w:themeColor="text1"/>
        </w:rPr>
        <w:t xml:space="preserve"> = 9), and stimulated their creativity (</w:t>
      </w:r>
      <w:r w:rsidRPr="37116EBB">
        <w:rPr>
          <w:i/>
          <w:iCs/>
          <w:color w:val="000000" w:themeColor="text1"/>
        </w:rPr>
        <w:t>n</w:t>
      </w:r>
      <w:r w:rsidRPr="37116EBB">
        <w:rPr>
          <w:color w:val="000000" w:themeColor="text1"/>
        </w:rPr>
        <w:t xml:space="preserve"> = 3). One participant shared that it did not enhance their learning. When asked how traditional grading hindered learning (</w:t>
      </w:r>
      <w:r w:rsidRPr="37116EBB">
        <w:rPr>
          <w:i/>
          <w:iCs/>
          <w:color w:val="000000" w:themeColor="text1"/>
        </w:rPr>
        <w:t>n</w:t>
      </w:r>
      <w:r w:rsidRPr="37116EBB">
        <w:rPr>
          <w:color w:val="000000" w:themeColor="text1"/>
        </w:rPr>
        <w:t xml:space="preserve"> = 39), participants explained that it increased confusion (</w:t>
      </w:r>
      <w:r w:rsidRPr="37116EBB">
        <w:rPr>
          <w:i/>
          <w:iCs/>
          <w:color w:val="000000" w:themeColor="text1"/>
        </w:rPr>
        <w:t xml:space="preserve">n </w:t>
      </w:r>
      <w:r w:rsidRPr="37116EBB">
        <w:rPr>
          <w:color w:val="000000" w:themeColor="text1"/>
        </w:rPr>
        <w:t>= 3) and lowered motivation (</w:t>
      </w:r>
      <w:r w:rsidRPr="37116EBB">
        <w:rPr>
          <w:i/>
          <w:iCs/>
          <w:color w:val="000000" w:themeColor="text1"/>
        </w:rPr>
        <w:t xml:space="preserve">n </w:t>
      </w:r>
      <w:r w:rsidRPr="37116EBB">
        <w:rPr>
          <w:color w:val="000000" w:themeColor="text1"/>
        </w:rPr>
        <w:t xml:space="preserve">= 4). Ten participants stated that non-traditional grading did not hinder their learning.  </w:t>
      </w:r>
    </w:p>
    <w:p w14:paraId="404C1919" w14:textId="1C01356E" w:rsidR="0CBBED64" w:rsidRPr="00984011" w:rsidRDefault="0CBBED64" w:rsidP="00A14C77">
      <w:pPr>
        <w:spacing w:after="160"/>
      </w:pPr>
      <w:r w:rsidRPr="00984011">
        <w:rPr>
          <w:b/>
          <w:bCs/>
        </w:rPr>
        <w:t xml:space="preserve">Table </w:t>
      </w:r>
      <w:r w:rsidR="4639EF44" w:rsidRPr="00984011">
        <w:rPr>
          <w:b/>
          <w:bCs/>
        </w:rPr>
        <w:t>1</w:t>
      </w:r>
    </w:p>
    <w:p w14:paraId="2064CFEF" w14:textId="05C50976" w:rsidR="0CBBED64" w:rsidRPr="00984011" w:rsidRDefault="0CBBED64" w:rsidP="00A14C77">
      <w:pPr>
        <w:spacing w:after="160"/>
      </w:pPr>
      <w:r w:rsidRPr="00984011">
        <w:rPr>
          <w:i/>
          <w:iCs/>
        </w:rPr>
        <w:t>Results of Wilcoxon Signed-Rank Test Comparing Non-traditional and Traditional Grading</w:t>
      </w:r>
    </w:p>
    <w:tbl>
      <w:tblPr>
        <w:tblStyle w:val="TableGrid"/>
        <w:tblW w:w="9497" w:type="dxa"/>
        <w:tblLayout w:type="fixed"/>
        <w:tblLook w:val="04A0" w:firstRow="1" w:lastRow="0" w:firstColumn="1" w:lastColumn="0" w:noHBand="0" w:noVBand="1"/>
      </w:tblPr>
      <w:tblGrid>
        <w:gridCol w:w="6585"/>
        <w:gridCol w:w="774"/>
        <w:gridCol w:w="2138"/>
      </w:tblGrid>
      <w:tr w:rsidR="79295D68" w:rsidRPr="00984011" w14:paraId="5A7D753D" w14:textId="77777777" w:rsidTr="37C04A6C">
        <w:trPr>
          <w:trHeight w:val="135"/>
        </w:trPr>
        <w:tc>
          <w:tcPr>
            <w:tcW w:w="6585" w:type="dxa"/>
            <w:tcBorders>
              <w:top w:val="single" w:sz="8" w:space="0" w:color="auto"/>
              <w:left w:val="nil"/>
              <w:bottom w:val="single" w:sz="8" w:space="0" w:color="auto"/>
              <w:right w:val="nil"/>
            </w:tcBorders>
            <w:tcMar>
              <w:left w:w="108" w:type="dxa"/>
              <w:right w:w="108" w:type="dxa"/>
            </w:tcMar>
            <w:vAlign w:val="center"/>
          </w:tcPr>
          <w:p w14:paraId="3C8FBC8C" w14:textId="256B1EE9" w:rsidR="79295D68" w:rsidRPr="00984011" w:rsidRDefault="79295D68" w:rsidP="00A14C77">
            <w:pPr>
              <w:jc w:val="center"/>
            </w:pPr>
            <w:r w:rsidRPr="00984011">
              <w:t>Question</w:t>
            </w:r>
          </w:p>
        </w:tc>
        <w:tc>
          <w:tcPr>
            <w:tcW w:w="774" w:type="dxa"/>
            <w:tcBorders>
              <w:top w:val="single" w:sz="8" w:space="0" w:color="auto"/>
              <w:left w:val="nil"/>
              <w:bottom w:val="single" w:sz="8" w:space="0" w:color="auto"/>
              <w:right w:val="nil"/>
            </w:tcBorders>
            <w:tcMar>
              <w:left w:w="108" w:type="dxa"/>
              <w:right w:w="108" w:type="dxa"/>
            </w:tcMar>
            <w:vAlign w:val="center"/>
          </w:tcPr>
          <w:p w14:paraId="1B28AA7C" w14:textId="49670211" w:rsidR="79295D68" w:rsidRPr="00984011" w:rsidRDefault="79295D68" w:rsidP="00A14C77">
            <w:pPr>
              <w:jc w:val="center"/>
            </w:pPr>
            <w:r w:rsidRPr="00984011">
              <w:rPr>
                <w:i/>
                <w:iCs/>
              </w:rPr>
              <w:t>Z</w:t>
            </w:r>
          </w:p>
        </w:tc>
        <w:tc>
          <w:tcPr>
            <w:tcW w:w="2138" w:type="dxa"/>
            <w:tcBorders>
              <w:top w:val="single" w:sz="8" w:space="0" w:color="auto"/>
              <w:left w:val="nil"/>
              <w:bottom w:val="single" w:sz="8" w:space="0" w:color="auto"/>
              <w:right w:val="nil"/>
            </w:tcBorders>
            <w:tcMar>
              <w:left w:w="108" w:type="dxa"/>
              <w:right w:w="108" w:type="dxa"/>
            </w:tcMar>
          </w:tcPr>
          <w:p w14:paraId="1A090D47" w14:textId="69001356" w:rsidR="79295D68" w:rsidRPr="00984011" w:rsidRDefault="79295D68" w:rsidP="00A14C77">
            <w:pPr>
              <w:jc w:val="center"/>
            </w:pPr>
            <w:r w:rsidRPr="00984011">
              <w:rPr>
                <w:i/>
                <w:iCs/>
              </w:rPr>
              <w:t>p</w:t>
            </w:r>
          </w:p>
        </w:tc>
      </w:tr>
      <w:tr w:rsidR="79295D68" w:rsidRPr="00984011" w14:paraId="56B1D112" w14:textId="77777777" w:rsidTr="37C04A6C">
        <w:trPr>
          <w:trHeight w:val="135"/>
        </w:trPr>
        <w:tc>
          <w:tcPr>
            <w:tcW w:w="6585" w:type="dxa"/>
            <w:tcBorders>
              <w:top w:val="single" w:sz="8" w:space="0" w:color="auto"/>
              <w:left w:val="nil"/>
              <w:bottom w:val="nil"/>
              <w:right w:val="nil"/>
            </w:tcBorders>
            <w:tcMar>
              <w:left w:w="108" w:type="dxa"/>
              <w:right w:w="108" w:type="dxa"/>
            </w:tcMar>
            <w:vAlign w:val="center"/>
          </w:tcPr>
          <w:p w14:paraId="697446E8" w14:textId="526CF073" w:rsidR="79295D68" w:rsidRPr="00984011" w:rsidRDefault="79295D68" w:rsidP="00A14C77">
            <w:pPr>
              <w:spacing w:after="120"/>
            </w:pPr>
            <w:r w:rsidRPr="00984011">
              <w:t>Traditional grading increased my problem-solving skills.</w:t>
            </w:r>
          </w:p>
        </w:tc>
        <w:tc>
          <w:tcPr>
            <w:tcW w:w="774" w:type="dxa"/>
            <w:tcBorders>
              <w:top w:val="single" w:sz="8" w:space="0" w:color="auto"/>
              <w:left w:val="nil"/>
              <w:bottom w:val="nil"/>
              <w:right w:val="nil"/>
            </w:tcBorders>
            <w:tcMar>
              <w:left w:w="108" w:type="dxa"/>
              <w:right w:w="108" w:type="dxa"/>
            </w:tcMar>
            <w:vAlign w:val="center"/>
          </w:tcPr>
          <w:p w14:paraId="63730BF6" w14:textId="19384892" w:rsidR="79295D68" w:rsidRPr="00984011" w:rsidRDefault="79295D68" w:rsidP="00A14C77">
            <w:pPr>
              <w:spacing w:after="120"/>
              <w:jc w:val="center"/>
            </w:pPr>
            <w:r w:rsidRPr="00984011">
              <w:rPr>
                <w:color w:val="000000" w:themeColor="text1"/>
              </w:rPr>
              <w:t>-3.39</w:t>
            </w:r>
          </w:p>
        </w:tc>
        <w:tc>
          <w:tcPr>
            <w:tcW w:w="2138" w:type="dxa"/>
            <w:tcBorders>
              <w:top w:val="single" w:sz="8" w:space="0" w:color="auto"/>
              <w:left w:val="nil"/>
              <w:bottom w:val="nil"/>
              <w:right w:val="nil"/>
            </w:tcBorders>
            <w:tcMar>
              <w:left w:w="108" w:type="dxa"/>
              <w:right w:w="108" w:type="dxa"/>
            </w:tcMar>
          </w:tcPr>
          <w:p w14:paraId="55F5A6C3" w14:textId="4695A34F" w:rsidR="79295D68" w:rsidRPr="00984011" w:rsidRDefault="79295D68" w:rsidP="00A14C77">
            <w:pPr>
              <w:spacing w:after="120"/>
              <w:jc w:val="center"/>
            </w:pPr>
            <w:r w:rsidRPr="00984011">
              <w:rPr>
                <w:color w:val="010205"/>
              </w:rPr>
              <w:t>&lt;.001</w:t>
            </w:r>
          </w:p>
        </w:tc>
      </w:tr>
      <w:tr w:rsidR="79295D68" w:rsidRPr="00984011" w14:paraId="6294D1DC" w14:textId="77777777" w:rsidTr="37C04A6C">
        <w:trPr>
          <w:trHeight w:val="135"/>
        </w:trPr>
        <w:tc>
          <w:tcPr>
            <w:tcW w:w="6585" w:type="dxa"/>
            <w:tcBorders>
              <w:top w:val="nil"/>
              <w:left w:val="nil"/>
              <w:bottom w:val="nil"/>
              <w:right w:val="nil"/>
            </w:tcBorders>
            <w:tcMar>
              <w:left w:w="108" w:type="dxa"/>
              <w:right w:w="108" w:type="dxa"/>
            </w:tcMar>
            <w:vAlign w:val="center"/>
          </w:tcPr>
          <w:p w14:paraId="3A59878F" w14:textId="496E7247" w:rsidR="79295D68" w:rsidRPr="00984011" w:rsidRDefault="79295D68" w:rsidP="00A14C77">
            <w:pPr>
              <w:spacing w:after="120"/>
            </w:pPr>
            <w:r w:rsidRPr="00984011">
              <w:t>Traditional grading increased my ability to work in a team.</w:t>
            </w:r>
          </w:p>
        </w:tc>
        <w:tc>
          <w:tcPr>
            <w:tcW w:w="774" w:type="dxa"/>
            <w:tcBorders>
              <w:top w:val="nil"/>
              <w:left w:val="nil"/>
              <w:bottom w:val="nil"/>
              <w:right w:val="nil"/>
            </w:tcBorders>
            <w:tcMar>
              <w:left w:w="108" w:type="dxa"/>
              <w:right w:w="108" w:type="dxa"/>
            </w:tcMar>
            <w:vAlign w:val="center"/>
          </w:tcPr>
          <w:p w14:paraId="6E24B1C7" w14:textId="6E165A21" w:rsidR="79295D68" w:rsidRPr="00984011" w:rsidRDefault="79295D68" w:rsidP="00A14C77">
            <w:pPr>
              <w:spacing w:after="120"/>
              <w:jc w:val="center"/>
            </w:pPr>
            <w:r w:rsidRPr="00984011">
              <w:rPr>
                <w:color w:val="000000" w:themeColor="text1"/>
              </w:rPr>
              <w:t>-4.09</w:t>
            </w:r>
          </w:p>
        </w:tc>
        <w:tc>
          <w:tcPr>
            <w:tcW w:w="2138" w:type="dxa"/>
            <w:tcBorders>
              <w:top w:val="nil"/>
              <w:left w:val="nil"/>
              <w:bottom w:val="nil"/>
              <w:right w:val="nil"/>
            </w:tcBorders>
            <w:tcMar>
              <w:left w:w="108" w:type="dxa"/>
              <w:right w:w="108" w:type="dxa"/>
            </w:tcMar>
          </w:tcPr>
          <w:p w14:paraId="5C1480AD" w14:textId="238E6B65" w:rsidR="79295D68" w:rsidRPr="00984011" w:rsidRDefault="79295D68" w:rsidP="00A14C77">
            <w:pPr>
              <w:spacing w:after="120"/>
              <w:jc w:val="center"/>
            </w:pPr>
            <w:r w:rsidRPr="00984011">
              <w:rPr>
                <w:color w:val="010205"/>
              </w:rPr>
              <w:t>&lt;.001</w:t>
            </w:r>
          </w:p>
        </w:tc>
      </w:tr>
      <w:tr w:rsidR="79295D68" w:rsidRPr="00984011" w14:paraId="52C260CE" w14:textId="77777777" w:rsidTr="37C04A6C">
        <w:trPr>
          <w:trHeight w:val="135"/>
        </w:trPr>
        <w:tc>
          <w:tcPr>
            <w:tcW w:w="6585" w:type="dxa"/>
            <w:tcBorders>
              <w:top w:val="nil"/>
              <w:left w:val="nil"/>
              <w:bottom w:val="nil"/>
              <w:right w:val="nil"/>
            </w:tcBorders>
            <w:tcMar>
              <w:left w:w="108" w:type="dxa"/>
              <w:right w:w="108" w:type="dxa"/>
            </w:tcMar>
            <w:vAlign w:val="center"/>
          </w:tcPr>
          <w:p w14:paraId="0EB672E0" w14:textId="34A2FF50" w:rsidR="79295D68" w:rsidRPr="00984011" w:rsidRDefault="79295D68" w:rsidP="00A14C77">
            <w:pPr>
              <w:spacing w:after="120"/>
            </w:pPr>
            <w:r w:rsidRPr="00984011">
              <w:t>Traditional grading increased my written communication skills.</w:t>
            </w:r>
          </w:p>
        </w:tc>
        <w:tc>
          <w:tcPr>
            <w:tcW w:w="774" w:type="dxa"/>
            <w:tcBorders>
              <w:top w:val="nil"/>
              <w:left w:val="nil"/>
              <w:bottom w:val="nil"/>
              <w:right w:val="nil"/>
            </w:tcBorders>
            <w:tcMar>
              <w:left w:w="108" w:type="dxa"/>
              <w:right w:w="108" w:type="dxa"/>
            </w:tcMar>
            <w:vAlign w:val="center"/>
          </w:tcPr>
          <w:p w14:paraId="152B0334" w14:textId="13DFB225" w:rsidR="79295D68" w:rsidRPr="00984011" w:rsidRDefault="79295D68" w:rsidP="00A14C77">
            <w:pPr>
              <w:spacing w:after="120"/>
              <w:jc w:val="center"/>
            </w:pPr>
            <w:r w:rsidRPr="00984011">
              <w:rPr>
                <w:color w:val="000000" w:themeColor="text1"/>
              </w:rPr>
              <w:t>-3.88</w:t>
            </w:r>
          </w:p>
        </w:tc>
        <w:tc>
          <w:tcPr>
            <w:tcW w:w="2138" w:type="dxa"/>
            <w:tcBorders>
              <w:top w:val="nil"/>
              <w:left w:val="nil"/>
              <w:bottom w:val="nil"/>
              <w:right w:val="nil"/>
            </w:tcBorders>
            <w:tcMar>
              <w:left w:w="108" w:type="dxa"/>
              <w:right w:w="108" w:type="dxa"/>
            </w:tcMar>
          </w:tcPr>
          <w:p w14:paraId="349D8B44" w14:textId="2B2079E5" w:rsidR="79295D68" w:rsidRPr="00984011" w:rsidRDefault="79295D68" w:rsidP="00A14C77">
            <w:pPr>
              <w:spacing w:after="120"/>
              <w:jc w:val="center"/>
            </w:pPr>
            <w:r w:rsidRPr="00984011">
              <w:rPr>
                <w:color w:val="010205"/>
              </w:rPr>
              <w:t>&lt;.001</w:t>
            </w:r>
          </w:p>
        </w:tc>
      </w:tr>
      <w:tr w:rsidR="79295D68" w:rsidRPr="00984011" w14:paraId="3C38C719" w14:textId="77777777" w:rsidTr="37C04A6C">
        <w:trPr>
          <w:trHeight w:val="135"/>
        </w:trPr>
        <w:tc>
          <w:tcPr>
            <w:tcW w:w="6585" w:type="dxa"/>
            <w:tcBorders>
              <w:top w:val="nil"/>
              <w:left w:val="nil"/>
              <w:bottom w:val="nil"/>
              <w:right w:val="nil"/>
            </w:tcBorders>
            <w:tcMar>
              <w:left w:w="108" w:type="dxa"/>
              <w:right w:w="108" w:type="dxa"/>
            </w:tcMar>
            <w:vAlign w:val="center"/>
          </w:tcPr>
          <w:p w14:paraId="0F3B57B2" w14:textId="7FA2FA7F" w:rsidR="79295D68" w:rsidRPr="00984011" w:rsidRDefault="79295D68" w:rsidP="00A14C77">
            <w:pPr>
              <w:spacing w:after="120"/>
            </w:pPr>
            <w:r w:rsidRPr="00984011">
              <w:t>Traditional grading increased my work ethic.</w:t>
            </w:r>
          </w:p>
        </w:tc>
        <w:tc>
          <w:tcPr>
            <w:tcW w:w="774" w:type="dxa"/>
            <w:tcBorders>
              <w:top w:val="nil"/>
              <w:left w:val="nil"/>
              <w:bottom w:val="nil"/>
              <w:right w:val="nil"/>
            </w:tcBorders>
            <w:tcMar>
              <w:left w:w="108" w:type="dxa"/>
              <w:right w:w="108" w:type="dxa"/>
            </w:tcMar>
            <w:vAlign w:val="center"/>
          </w:tcPr>
          <w:p w14:paraId="43E89801" w14:textId="6E658B35" w:rsidR="79295D68" w:rsidRPr="00984011" w:rsidRDefault="79295D68" w:rsidP="00A14C77">
            <w:pPr>
              <w:spacing w:after="120"/>
              <w:jc w:val="center"/>
            </w:pPr>
            <w:r w:rsidRPr="00984011">
              <w:rPr>
                <w:color w:val="000000" w:themeColor="text1"/>
              </w:rPr>
              <w:t>-2.99</w:t>
            </w:r>
          </w:p>
        </w:tc>
        <w:tc>
          <w:tcPr>
            <w:tcW w:w="2138" w:type="dxa"/>
            <w:tcBorders>
              <w:top w:val="nil"/>
              <w:left w:val="nil"/>
              <w:bottom w:val="nil"/>
              <w:right w:val="nil"/>
            </w:tcBorders>
            <w:tcMar>
              <w:left w:w="108" w:type="dxa"/>
              <w:right w:w="108" w:type="dxa"/>
            </w:tcMar>
          </w:tcPr>
          <w:p w14:paraId="4647B357" w14:textId="5A009524" w:rsidR="79295D68" w:rsidRPr="00984011" w:rsidRDefault="1FE44BEF" w:rsidP="00A14C77">
            <w:pPr>
              <w:spacing w:after="120"/>
              <w:jc w:val="center"/>
            </w:pPr>
            <w:r w:rsidRPr="00984011">
              <w:rPr>
                <w:color w:val="010205"/>
              </w:rPr>
              <w:t xml:space="preserve">  </w:t>
            </w:r>
            <w:r w:rsidR="1DF462AE" w:rsidRPr="00984011">
              <w:rPr>
                <w:color w:val="010205"/>
              </w:rPr>
              <w:t>.003</w:t>
            </w:r>
          </w:p>
        </w:tc>
      </w:tr>
      <w:tr w:rsidR="79295D68" w:rsidRPr="00984011" w14:paraId="39D5F5AE" w14:textId="77777777" w:rsidTr="37C04A6C">
        <w:trPr>
          <w:trHeight w:val="135"/>
        </w:trPr>
        <w:tc>
          <w:tcPr>
            <w:tcW w:w="6585" w:type="dxa"/>
            <w:tcBorders>
              <w:top w:val="nil"/>
              <w:left w:val="nil"/>
              <w:bottom w:val="nil"/>
              <w:right w:val="nil"/>
            </w:tcBorders>
            <w:tcMar>
              <w:left w:w="108" w:type="dxa"/>
              <w:right w:w="108" w:type="dxa"/>
            </w:tcMar>
            <w:vAlign w:val="center"/>
          </w:tcPr>
          <w:p w14:paraId="35A17083" w14:textId="64AF9523" w:rsidR="79295D68" w:rsidRPr="00984011" w:rsidRDefault="79295D68" w:rsidP="00A14C77">
            <w:pPr>
              <w:spacing w:after="120"/>
            </w:pPr>
            <w:r w:rsidRPr="00984011">
              <w:t>Traditional grading increased my flexibility/adaptability.</w:t>
            </w:r>
          </w:p>
        </w:tc>
        <w:tc>
          <w:tcPr>
            <w:tcW w:w="774" w:type="dxa"/>
            <w:tcBorders>
              <w:top w:val="nil"/>
              <w:left w:val="nil"/>
              <w:bottom w:val="nil"/>
              <w:right w:val="nil"/>
            </w:tcBorders>
            <w:tcMar>
              <w:left w:w="108" w:type="dxa"/>
              <w:right w:w="108" w:type="dxa"/>
            </w:tcMar>
            <w:vAlign w:val="center"/>
          </w:tcPr>
          <w:p w14:paraId="016251A1" w14:textId="33B46ED8" w:rsidR="79295D68" w:rsidRPr="00984011" w:rsidRDefault="79295D68" w:rsidP="00A14C77">
            <w:pPr>
              <w:spacing w:after="120"/>
              <w:jc w:val="center"/>
            </w:pPr>
            <w:r w:rsidRPr="00984011">
              <w:rPr>
                <w:color w:val="000000" w:themeColor="text1"/>
              </w:rPr>
              <w:t>-4.86</w:t>
            </w:r>
          </w:p>
        </w:tc>
        <w:tc>
          <w:tcPr>
            <w:tcW w:w="2138" w:type="dxa"/>
            <w:tcBorders>
              <w:top w:val="nil"/>
              <w:left w:val="nil"/>
              <w:bottom w:val="nil"/>
              <w:right w:val="nil"/>
            </w:tcBorders>
            <w:tcMar>
              <w:left w:w="108" w:type="dxa"/>
              <w:right w:w="108" w:type="dxa"/>
            </w:tcMar>
          </w:tcPr>
          <w:p w14:paraId="097135C2" w14:textId="1887F96C" w:rsidR="79295D68" w:rsidRPr="00984011" w:rsidRDefault="79295D68" w:rsidP="00A14C77">
            <w:pPr>
              <w:spacing w:after="120"/>
              <w:jc w:val="center"/>
            </w:pPr>
            <w:r w:rsidRPr="00984011">
              <w:rPr>
                <w:color w:val="010205"/>
              </w:rPr>
              <w:t>&lt;.001</w:t>
            </w:r>
          </w:p>
        </w:tc>
      </w:tr>
      <w:tr w:rsidR="79295D68" w:rsidRPr="00984011" w14:paraId="2A70D65F" w14:textId="77777777" w:rsidTr="37C04A6C">
        <w:trPr>
          <w:trHeight w:val="135"/>
        </w:trPr>
        <w:tc>
          <w:tcPr>
            <w:tcW w:w="6585" w:type="dxa"/>
            <w:tcBorders>
              <w:top w:val="nil"/>
              <w:left w:val="nil"/>
              <w:bottom w:val="nil"/>
              <w:right w:val="nil"/>
            </w:tcBorders>
            <w:tcMar>
              <w:left w:w="108" w:type="dxa"/>
              <w:right w:w="108" w:type="dxa"/>
            </w:tcMar>
            <w:vAlign w:val="center"/>
          </w:tcPr>
          <w:p w14:paraId="79C4576A" w14:textId="2A5DEF3C" w:rsidR="79295D68" w:rsidRPr="00984011" w:rsidRDefault="79295D68" w:rsidP="00A14C77">
            <w:pPr>
              <w:spacing w:after="120"/>
            </w:pPr>
            <w:r w:rsidRPr="00984011">
              <w:t>Traditional grading increased my verbal communication skills.</w:t>
            </w:r>
          </w:p>
        </w:tc>
        <w:tc>
          <w:tcPr>
            <w:tcW w:w="774" w:type="dxa"/>
            <w:tcBorders>
              <w:top w:val="nil"/>
              <w:left w:val="nil"/>
              <w:bottom w:val="nil"/>
              <w:right w:val="nil"/>
            </w:tcBorders>
            <w:tcMar>
              <w:left w:w="108" w:type="dxa"/>
              <w:right w:w="108" w:type="dxa"/>
            </w:tcMar>
            <w:vAlign w:val="center"/>
          </w:tcPr>
          <w:p w14:paraId="667104D6" w14:textId="57EDFA06" w:rsidR="79295D68" w:rsidRPr="00984011" w:rsidRDefault="79295D68" w:rsidP="00A14C77">
            <w:pPr>
              <w:spacing w:after="120"/>
              <w:jc w:val="center"/>
            </w:pPr>
            <w:r w:rsidRPr="00984011">
              <w:rPr>
                <w:color w:val="000000" w:themeColor="text1"/>
              </w:rPr>
              <w:t>-4.62</w:t>
            </w:r>
          </w:p>
        </w:tc>
        <w:tc>
          <w:tcPr>
            <w:tcW w:w="2138" w:type="dxa"/>
            <w:tcBorders>
              <w:top w:val="nil"/>
              <w:left w:val="nil"/>
              <w:bottom w:val="nil"/>
              <w:right w:val="nil"/>
            </w:tcBorders>
            <w:tcMar>
              <w:left w:w="108" w:type="dxa"/>
              <w:right w:w="108" w:type="dxa"/>
            </w:tcMar>
          </w:tcPr>
          <w:p w14:paraId="560B1597" w14:textId="7557DB3C" w:rsidR="79295D68" w:rsidRPr="00984011" w:rsidRDefault="79295D68" w:rsidP="00A14C77">
            <w:pPr>
              <w:spacing w:after="120"/>
              <w:jc w:val="center"/>
            </w:pPr>
            <w:r w:rsidRPr="00984011">
              <w:rPr>
                <w:color w:val="010205"/>
              </w:rPr>
              <w:t>&lt;.001</w:t>
            </w:r>
          </w:p>
        </w:tc>
      </w:tr>
      <w:tr w:rsidR="79295D68" w:rsidRPr="00984011" w14:paraId="434B79A2" w14:textId="77777777" w:rsidTr="37C04A6C">
        <w:trPr>
          <w:trHeight w:val="729"/>
        </w:trPr>
        <w:tc>
          <w:tcPr>
            <w:tcW w:w="6585" w:type="dxa"/>
            <w:tcBorders>
              <w:top w:val="nil"/>
              <w:left w:val="nil"/>
              <w:bottom w:val="nil"/>
              <w:right w:val="nil"/>
            </w:tcBorders>
            <w:tcMar>
              <w:left w:w="108" w:type="dxa"/>
              <w:right w:w="108" w:type="dxa"/>
            </w:tcMar>
            <w:vAlign w:val="center"/>
          </w:tcPr>
          <w:p w14:paraId="3268FAE3" w14:textId="1E6BF666" w:rsidR="79295D68" w:rsidRPr="00984011" w:rsidRDefault="79295D68" w:rsidP="00A14C77">
            <w:pPr>
              <w:spacing w:after="120"/>
            </w:pPr>
            <w:r w:rsidRPr="00984011">
              <w:t>Traditional grading increased my technical skills.</w:t>
            </w:r>
          </w:p>
        </w:tc>
        <w:tc>
          <w:tcPr>
            <w:tcW w:w="774" w:type="dxa"/>
            <w:tcBorders>
              <w:top w:val="nil"/>
              <w:left w:val="nil"/>
              <w:bottom w:val="nil"/>
              <w:right w:val="nil"/>
            </w:tcBorders>
            <w:tcMar>
              <w:left w:w="108" w:type="dxa"/>
              <w:right w:w="108" w:type="dxa"/>
            </w:tcMar>
            <w:vAlign w:val="center"/>
          </w:tcPr>
          <w:p w14:paraId="320ECF8D" w14:textId="0F6AE68F" w:rsidR="79295D68" w:rsidRPr="00984011" w:rsidRDefault="79295D68" w:rsidP="00A14C77">
            <w:pPr>
              <w:spacing w:after="120"/>
              <w:jc w:val="center"/>
            </w:pPr>
            <w:r w:rsidRPr="00984011">
              <w:rPr>
                <w:color w:val="000000" w:themeColor="text1"/>
              </w:rPr>
              <w:t>-2.60</w:t>
            </w:r>
          </w:p>
        </w:tc>
        <w:tc>
          <w:tcPr>
            <w:tcW w:w="2138" w:type="dxa"/>
            <w:tcBorders>
              <w:top w:val="nil"/>
              <w:left w:val="nil"/>
              <w:bottom w:val="nil"/>
              <w:right w:val="nil"/>
            </w:tcBorders>
            <w:tcMar>
              <w:left w:w="108" w:type="dxa"/>
              <w:right w:w="108" w:type="dxa"/>
            </w:tcMar>
          </w:tcPr>
          <w:p w14:paraId="6F72EC0A" w14:textId="10DD5CD1" w:rsidR="79295D68" w:rsidRPr="00984011" w:rsidRDefault="1485FCA2" w:rsidP="00A14C77">
            <w:pPr>
              <w:spacing w:after="120"/>
              <w:jc w:val="center"/>
            </w:pPr>
            <w:r w:rsidRPr="00984011">
              <w:rPr>
                <w:color w:val="010205"/>
              </w:rPr>
              <w:t xml:space="preserve">  </w:t>
            </w:r>
            <w:r w:rsidR="1DF462AE" w:rsidRPr="00984011">
              <w:rPr>
                <w:color w:val="010205"/>
              </w:rPr>
              <w:t>.009</w:t>
            </w:r>
          </w:p>
        </w:tc>
      </w:tr>
      <w:tr w:rsidR="79295D68" w:rsidRPr="00984011" w14:paraId="7929DD20" w14:textId="77777777" w:rsidTr="37C04A6C">
        <w:trPr>
          <w:trHeight w:val="135"/>
        </w:trPr>
        <w:tc>
          <w:tcPr>
            <w:tcW w:w="6585" w:type="dxa"/>
            <w:tcBorders>
              <w:top w:val="nil"/>
              <w:left w:val="nil"/>
              <w:bottom w:val="nil"/>
              <w:right w:val="nil"/>
            </w:tcBorders>
            <w:tcMar>
              <w:left w:w="108" w:type="dxa"/>
              <w:right w:w="108" w:type="dxa"/>
            </w:tcMar>
            <w:vAlign w:val="center"/>
          </w:tcPr>
          <w:p w14:paraId="23B15858" w14:textId="44422904" w:rsidR="79295D68" w:rsidRPr="00984011" w:rsidRDefault="79295D68" w:rsidP="00A14C77">
            <w:pPr>
              <w:spacing w:after="120"/>
            </w:pPr>
            <w:r w:rsidRPr="00984011">
              <w:t>Traditional grading increased my ability to analytic/quantitative skills.</w:t>
            </w:r>
          </w:p>
        </w:tc>
        <w:tc>
          <w:tcPr>
            <w:tcW w:w="774" w:type="dxa"/>
            <w:tcBorders>
              <w:top w:val="nil"/>
              <w:left w:val="nil"/>
              <w:bottom w:val="nil"/>
              <w:right w:val="nil"/>
            </w:tcBorders>
            <w:tcMar>
              <w:left w:w="108" w:type="dxa"/>
              <w:right w:w="108" w:type="dxa"/>
            </w:tcMar>
          </w:tcPr>
          <w:p w14:paraId="47CB07B1" w14:textId="4951113B" w:rsidR="79295D68" w:rsidRPr="00984011" w:rsidRDefault="79295D68" w:rsidP="00A14C77">
            <w:pPr>
              <w:spacing w:after="120"/>
              <w:jc w:val="center"/>
            </w:pPr>
            <w:r w:rsidRPr="00984011">
              <w:rPr>
                <w:color w:val="000000" w:themeColor="text1"/>
              </w:rPr>
              <w:t>-1.98</w:t>
            </w:r>
          </w:p>
        </w:tc>
        <w:tc>
          <w:tcPr>
            <w:tcW w:w="2138" w:type="dxa"/>
            <w:tcBorders>
              <w:top w:val="nil"/>
              <w:left w:val="nil"/>
              <w:bottom w:val="nil"/>
              <w:right w:val="nil"/>
            </w:tcBorders>
            <w:tcMar>
              <w:left w:w="108" w:type="dxa"/>
              <w:right w:w="108" w:type="dxa"/>
            </w:tcMar>
          </w:tcPr>
          <w:p w14:paraId="19133EB3" w14:textId="344806D8" w:rsidR="79295D68" w:rsidRPr="00984011" w:rsidRDefault="74DCBAC1" w:rsidP="00A14C77">
            <w:pPr>
              <w:spacing w:after="120"/>
              <w:jc w:val="center"/>
            </w:pPr>
            <w:r w:rsidRPr="00984011">
              <w:rPr>
                <w:color w:val="000000" w:themeColor="text1"/>
              </w:rPr>
              <w:t xml:space="preserve">  </w:t>
            </w:r>
            <w:r w:rsidR="1DF462AE" w:rsidRPr="00984011">
              <w:rPr>
                <w:color w:val="000000" w:themeColor="text1"/>
              </w:rPr>
              <w:t>.047</w:t>
            </w:r>
          </w:p>
        </w:tc>
      </w:tr>
      <w:tr w:rsidR="79295D68" w:rsidRPr="00984011" w14:paraId="0F70DC6B" w14:textId="77777777" w:rsidTr="37C04A6C">
        <w:trPr>
          <w:trHeight w:val="300"/>
        </w:trPr>
        <w:tc>
          <w:tcPr>
            <w:tcW w:w="6585" w:type="dxa"/>
            <w:tcBorders>
              <w:top w:val="nil"/>
              <w:left w:val="nil"/>
              <w:bottom w:val="nil"/>
              <w:right w:val="nil"/>
            </w:tcBorders>
            <w:tcMar>
              <w:left w:w="108" w:type="dxa"/>
              <w:right w:w="108" w:type="dxa"/>
            </w:tcMar>
            <w:vAlign w:val="center"/>
          </w:tcPr>
          <w:p w14:paraId="0B10ABDD" w14:textId="712E8025" w:rsidR="79295D68" w:rsidRPr="00984011" w:rsidRDefault="79295D68" w:rsidP="00A14C77">
            <w:pPr>
              <w:spacing w:after="120"/>
            </w:pPr>
            <w:r w:rsidRPr="00984011">
              <w:t>Traditional grading increased my initiative.</w:t>
            </w:r>
          </w:p>
        </w:tc>
        <w:tc>
          <w:tcPr>
            <w:tcW w:w="774" w:type="dxa"/>
            <w:tcBorders>
              <w:top w:val="nil"/>
              <w:left w:val="nil"/>
              <w:bottom w:val="nil"/>
              <w:right w:val="nil"/>
            </w:tcBorders>
            <w:tcMar>
              <w:left w:w="108" w:type="dxa"/>
              <w:right w:w="108" w:type="dxa"/>
            </w:tcMar>
          </w:tcPr>
          <w:p w14:paraId="370CD343" w14:textId="24C7F4CF" w:rsidR="79295D68" w:rsidRPr="00984011" w:rsidRDefault="1DF462AE" w:rsidP="00A14C77">
            <w:pPr>
              <w:spacing w:after="120"/>
              <w:jc w:val="center"/>
              <w:rPr>
                <w:color w:val="000000" w:themeColor="text1"/>
              </w:rPr>
            </w:pPr>
            <w:r w:rsidRPr="00984011">
              <w:rPr>
                <w:color w:val="000000" w:themeColor="text1"/>
              </w:rPr>
              <w:t>-3.81</w:t>
            </w:r>
          </w:p>
        </w:tc>
        <w:tc>
          <w:tcPr>
            <w:tcW w:w="2138" w:type="dxa"/>
            <w:tcBorders>
              <w:top w:val="nil"/>
              <w:left w:val="nil"/>
              <w:bottom w:val="nil"/>
              <w:right w:val="nil"/>
            </w:tcBorders>
            <w:tcMar>
              <w:left w:w="108" w:type="dxa"/>
              <w:right w:w="108" w:type="dxa"/>
            </w:tcMar>
          </w:tcPr>
          <w:p w14:paraId="478F7531" w14:textId="014974A3" w:rsidR="79295D68" w:rsidRPr="00984011" w:rsidRDefault="79295D68" w:rsidP="00A14C77">
            <w:pPr>
              <w:spacing w:after="120"/>
              <w:jc w:val="center"/>
            </w:pPr>
            <w:r w:rsidRPr="00984011">
              <w:rPr>
                <w:color w:val="010205"/>
              </w:rPr>
              <w:t>&lt;.001</w:t>
            </w:r>
          </w:p>
        </w:tc>
      </w:tr>
      <w:tr w:rsidR="79295D68" w:rsidRPr="00984011" w14:paraId="61F8FB2F" w14:textId="77777777" w:rsidTr="37C04A6C">
        <w:trPr>
          <w:trHeight w:val="300"/>
        </w:trPr>
        <w:tc>
          <w:tcPr>
            <w:tcW w:w="6585" w:type="dxa"/>
            <w:tcBorders>
              <w:top w:val="nil"/>
              <w:left w:val="nil"/>
              <w:bottom w:val="single" w:sz="8" w:space="0" w:color="auto"/>
              <w:right w:val="nil"/>
            </w:tcBorders>
            <w:tcMar>
              <w:left w:w="108" w:type="dxa"/>
              <w:right w:w="108" w:type="dxa"/>
            </w:tcMar>
            <w:vAlign w:val="center"/>
          </w:tcPr>
          <w:p w14:paraId="3F83F6B7" w14:textId="1380D537" w:rsidR="79295D68" w:rsidRPr="00984011" w:rsidRDefault="79295D68" w:rsidP="00A14C77">
            <w:pPr>
              <w:spacing w:after="120"/>
            </w:pPr>
            <w:r w:rsidRPr="00984011">
              <w:t>Traditional grading increased my detail orientation.</w:t>
            </w:r>
          </w:p>
        </w:tc>
        <w:tc>
          <w:tcPr>
            <w:tcW w:w="774" w:type="dxa"/>
            <w:tcBorders>
              <w:top w:val="nil"/>
              <w:left w:val="nil"/>
              <w:bottom w:val="single" w:sz="8" w:space="0" w:color="auto"/>
              <w:right w:val="nil"/>
            </w:tcBorders>
            <w:tcMar>
              <w:left w:w="108" w:type="dxa"/>
              <w:right w:w="108" w:type="dxa"/>
            </w:tcMar>
          </w:tcPr>
          <w:p w14:paraId="61EECBDC" w14:textId="3A1EC9FE" w:rsidR="79295D68" w:rsidRPr="00984011" w:rsidRDefault="79295D68" w:rsidP="00A14C77">
            <w:pPr>
              <w:spacing w:after="120"/>
              <w:jc w:val="center"/>
            </w:pPr>
            <w:r w:rsidRPr="00984011">
              <w:rPr>
                <w:color w:val="000000" w:themeColor="text1"/>
              </w:rPr>
              <w:t>-2.68</w:t>
            </w:r>
          </w:p>
        </w:tc>
        <w:tc>
          <w:tcPr>
            <w:tcW w:w="2138" w:type="dxa"/>
            <w:tcBorders>
              <w:top w:val="nil"/>
              <w:left w:val="nil"/>
              <w:bottom w:val="single" w:sz="8" w:space="0" w:color="auto"/>
              <w:right w:val="nil"/>
            </w:tcBorders>
            <w:tcMar>
              <w:left w:w="108" w:type="dxa"/>
              <w:right w:w="108" w:type="dxa"/>
            </w:tcMar>
          </w:tcPr>
          <w:p w14:paraId="74B49A2B" w14:textId="6A934AB6" w:rsidR="79295D68" w:rsidRPr="00984011" w:rsidRDefault="4C386E30" w:rsidP="00A14C77">
            <w:pPr>
              <w:spacing w:after="120"/>
              <w:jc w:val="center"/>
            </w:pPr>
            <w:r w:rsidRPr="00984011">
              <w:rPr>
                <w:color w:val="000000" w:themeColor="text1"/>
              </w:rPr>
              <w:t xml:space="preserve">  </w:t>
            </w:r>
            <w:r w:rsidR="1DF462AE" w:rsidRPr="00984011">
              <w:rPr>
                <w:color w:val="000000" w:themeColor="text1"/>
              </w:rPr>
              <w:t>.007</w:t>
            </w:r>
          </w:p>
        </w:tc>
      </w:tr>
    </w:tbl>
    <w:p w14:paraId="5167B58A" w14:textId="5C32BC78" w:rsidR="7A28180D" w:rsidRPr="00984011" w:rsidRDefault="0CBBED64" w:rsidP="37116EBB">
      <w:pPr>
        <w:spacing w:after="160"/>
        <w:rPr>
          <w:b/>
          <w:bCs/>
        </w:rPr>
      </w:pPr>
      <w:r>
        <w:t xml:space="preserve"> </w:t>
      </w:r>
    </w:p>
    <w:p w14:paraId="2EA38FCE" w14:textId="6BE77924" w:rsidR="06B0BB42" w:rsidRPr="00984011" w:rsidRDefault="06B0BB42" w:rsidP="00A14C77">
      <w:r w:rsidRPr="00984011">
        <w:rPr>
          <w:color w:val="000000" w:themeColor="text1"/>
        </w:rPr>
        <w:t xml:space="preserve">When asked what changes could be </w:t>
      </w:r>
      <w:r w:rsidRPr="00984011">
        <w:t>made to improve non-traditional grading for maximizing student learning, students recommended</w:t>
      </w:r>
      <w:r w:rsidRPr="00984011">
        <w:rPr>
          <w:color w:val="000000" w:themeColor="text1"/>
        </w:rPr>
        <w:t xml:space="preserve"> providing more opportunities to check for understanding (</w:t>
      </w:r>
      <w:r w:rsidRPr="00984011">
        <w:rPr>
          <w:i/>
          <w:iCs/>
          <w:color w:val="000000" w:themeColor="text1"/>
        </w:rPr>
        <w:t>n</w:t>
      </w:r>
      <w:r w:rsidRPr="00984011">
        <w:rPr>
          <w:color w:val="000000" w:themeColor="text1"/>
        </w:rPr>
        <w:t xml:space="preserve"> = 2) and to give students more constructive feedback (</w:t>
      </w:r>
      <w:r w:rsidRPr="00984011">
        <w:rPr>
          <w:i/>
          <w:iCs/>
          <w:color w:val="000000" w:themeColor="text1"/>
        </w:rPr>
        <w:t>n</w:t>
      </w:r>
      <w:r w:rsidRPr="00984011">
        <w:rPr>
          <w:color w:val="000000" w:themeColor="text1"/>
        </w:rPr>
        <w:t xml:space="preserve"> = 2). Fifteen participants stated that they do not have any recommended changes for non-traditional grading structures. When asked </w:t>
      </w:r>
      <w:r w:rsidRPr="00984011">
        <w:t>how non-traditional grading prepared them for their career, participants articulated that the structure was more applicable to the workplace (</w:t>
      </w:r>
      <w:r w:rsidRPr="00984011">
        <w:rPr>
          <w:i/>
          <w:iCs/>
        </w:rPr>
        <w:t>n</w:t>
      </w:r>
      <w:r w:rsidRPr="00984011">
        <w:t xml:space="preserve"> = </w:t>
      </w:r>
      <w:r w:rsidRPr="00984011">
        <w:rPr>
          <w:color w:val="000000" w:themeColor="text1"/>
        </w:rPr>
        <w:t>11), enhanced their communication skills (</w:t>
      </w:r>
      <w:r w:rsidRPr="00984011">
        <w:rPr>
          <w:i/>
          <w:iCs/>
          <w:color w:val="000000" w:themeColor="text1"/>
        </w:rPr>
        <w:t>n</w:t>
      </w:r>
      <w:r w:rsidRPr="00984011">
        <w:rPr>
          <w:color w:val="000000" w:themeColor="text1"/>
        </w:rPr>
        <w:t xml:space="preserve"> = 4), and further developed transferable skills (</w:t>
      </w:r>
      <w:r w:rsidRPr="00984011">
        <w:rPr>
          <w:i/>
          <w:iCs/>
          <w:color w:val="000000" w:themeColor="text1"/>
        </w:rPr>
        <w:t>n</w:t>
      </w:r>
      <w:r w:rsidRPr="00984011">
        <w:rPr>
          <w:color w:val="000000" w:themeColor="text1"/>
        </w:rPr>
        <w:t xml:space="preserve"> = 4). Two participants responded that it did not prepare them for their future careers.</w:t>
      </w:r>
    </w:p>
    <w:p w14:paraId="4AE4A693" w14:textId="5F36E177" w:rsidR="7A28180D" w:rsidRPr="00984011" w:rsidRDefault="7A28180D" w:rsidP="00A14C77">
      <w:pPr>
        <w:rPr>
          <w:color w:val="000000" w:themeColor="text1"/>
        </w:rPr>
      </w:pPr>
    </w:p>
    <w:p w14:paraId="49A5B37F" w14:textId="7E48CBC5" w:rsidR="00604E95" w:rsidRDefault="00604E95" w:rsidP="00A14C77">
      <w:pPr>
        <w:rPr>
          <w:b/>
          <w:bCs/>
        </w:rPr>
      </w:pPr>
      <w:r w:rsidRPr="00984011">
        <w:rPr>
          <w:b/>
          <w:bCs/>
        </w:rPr>
        <w:t>Integrating the Quantitative and Open-ended Results</w:t>
      </w:r>
    </w:p>
    <w:p w14:paraId="153E0A93" w14:textId="77777777" w:rsidR="00881770" w:rsidRPr="00984011" w:rsidRDefault="00881770" w:rsidP="00A14C77">
      <w:pPr>
        <w:rPr>
          <w:b/>
          <w:bCs/>
        </w:rPr>
      </w:pPr>
    </w:p>
    <w:p w14:paraId="1E1D0D22" w14:textId="1FF4D13D" w:rsidR="692B78F7" w:rsidRPr="00984011" w:rsidRDefault="008458A1" w:rsidP="00A14C77">
      <w:pPr>
        <w:rPr>
          <w:color w:val="000000" w:themeColor="text1"/>
        </w:rPr>
      </w:pPr>
      <w:r w:rsidRPr="00984011">
        <w:rPr>
          <w:color w:val="000000" w:themeColor="text1"/>
        </w:rPr>
        <w:t>Taken together</w:t>
      </w:r>
      <w:r w:rsidR="692B78F7" w:rsidRPr="00984011">
        <w:rPr>
          <w:color w:val="000000" w:themeColor="text1"/>
        </w:rPr>
        <w:t xml:space="preserve">, the findings </w:t>
      </w:r>
      <w:r w:rsidR="0027660E" w:rsidRPr="00984011">
        <w:rPr>
          <w:color w:val="000000" w:themeColor="text1"/>
        </w:rPr>
        <w:t>revealed</w:t>
      </w:r>
      <w:r w:rsidR="692B78F7" w:rsidRPr="00984011">
        <w:rPr>
          <w:color w:val="000000" w:themeColor="text1"/>
        </w:rPr>
        <w:t xml:space="preserve"> that participants perceived non-traditional grading methods positively</w:t>
      </w:r>
      <w:r w:rsidRPr="00984011">
        <w:rPr>
          <w:color w:val="000000" w:themeColor="text1"/>
        </w:rPr>
        <w:t xml:space="preserve"> in relation to employer competencies</w:t>
      </w:r>
      <w:r w:rsidR="692B78F7" w:rsidRPr="00984011">
        <w:rPr>
          <w:color w:val="000000" w:themeColor="text1"/>
        </w:rPr>
        <w:t xml:space="preserve">. The quantitative data </w:t>
      </w:r>
      <w:r w:rsidR="031B6438" w:rsidRPr="00984011">
        <w:rPr>
          <w:color w:val="000000" w:themeColor="text1"/>
        </w:rPr>
        <w:t>reveale</w:t>
      </w:r>
      <w:r w:rsidR="692B78F7" w:rsidRPr="00984011">
        <w:rPr>
          <w:color w:val="000000" w:themeColor="text1"/>
        </w:rPr>
        <w:t xml:space="preserve">d a statistically significant result that non-traditional grading methods had a greater </w:t>
      </w:r>
      <w:r w:rsidR="4704DD49" w:rsidRPr="00984011">
        <w:rPr>
          <w:color w:val="000000" w:themeColor="text1"/>
        </w:rPr>
        <w:t>perce</w:t>
      </w:r>
      <w:r w:rsidR="1B9A1C34" w:rsidRPr="00984011">
        <w:rPr>
          <w:color w:val="000000" w:themeColor="text1"/>
        </w:rPr>
        <w:t>i</w:t>
      </w:r>
      <w:r w:rsidR="4704DD49" w:rsidRPr="00984011">
        <w:rPr>
          <w:color w:val="000000" w:themeColor="text1"/>
        </w:rPr>
        <w:t xml:space="preserve">ved </w:t>
      </w:r>
      <w:r w:rsidR="692B78F7" w:rsidRPr="00984011">
        <w:rPr>
          <w:color w:val="000000" w:themeColor="text1"/>
        </w:rPr>
        <w:t>effect on job outcomes</w:t>
      </w:r>
      <w:r w:rsidR="2A3017FF" w:rsidRPr="00984011">
        <w:rPr>
          <w:color w:val="000000" w:themeColor="text1"/>
        </w:rPr>
        <w:t xml:space="preserve">—as </w:t>
      </w:r>
      <w:r w:rsidR="09BAE306" w:rsidRPr="00984011">
        <w:rPr>
          <w:color w:val="000000" w:themeColor="text1"/>
        </w:rPr>
        <w:t>de</w:t>
      </w:r>
      <w:r w:rsidR="1C91CA51" w:rsidRPr="00984011">
        <w:rPr>
          <w:color w:val="000000" w:themeColor="text1"/>
        </w:rPr>
        <w:t>f</w:t>
      </w:r>
      <w:r w:rsidR="09BAE306" w:rsidRPr="00984011">
        <w:rPr>
          <w:color w:val="000000" w:themeColor="text1"/>
        </w:rPr>
        <w:t>ined by the NACE 2024 Job Report</w:t>
      </w:r>
      <w:r w:rsidR="5EFAE491" w:rsidRPr="00984011">
        <w:rPr>
          <w:color w:val="000000" w:themeColor="text1"/>
        </w:rPr>
        <w:t>—</w:t>
      </w:r>
      <w:r w:rsidR="692B78F7" w:rsidRPr="00984011">
        <w:rPr>
          <w:color w:val="000000" w:themeColor="text1"/>
        </w:rPr>
        <w:t xml:space="preserve">than traditional grading methods. When responding to the open-ended questions, participants indicated that non-traditional grading decreased stress, aided in developing transferable skills, and aligned more closely with workplace structures. </w:t>
      </w:r>
      <w:r w:rsidR="778494F1" w:rsidRPr="00984011">
        <w:rPr>
          <w:color w:val="000000" w:themeColor="text1"/>
        </w:rPr>
        <w:t xml:space="preserve">While not </w:t>
      </w:r>
      <w:r w:rsidR="0052413E" w:rsidRPr="00984011">
        <w:rPr>
          <w:color w:val="000000" w:themeColor="text1"/>
        </w:rPr>
        <w:t>all</w:t>
      </w:r>
      <w:r w:rsidR="778494F1" w:rsidRPr="00984011">
        <w:rPr>
          <w:color w:val="000000" w:themeColor="text1"/>
        </w:rPr>
        <w:t xml:space="preserve"> the NACE employer competencies were mentioned in the</w:t>
      </w:r>
      <w:r w:rsidR="5442573A" w:rsidRPr="00984011">
        <w:rPr>
          <w:color w:val="000000" w:themeColor="text1"/>
        </w:rPr>
        <w:t xml:space="preserve"> participants’</w:t>
      </w:r>
      <w:r w:rsidR="778494F1" w:rsidRPr="00984011">
        <w:rPr>
          <w:color w:val="000000" w:themeColor="text1"/>
        </w:rPr>
        <w:t xml:space="preserve"> </w:t>
      </w:r>
      <w:r w:rsidR="793C30C9" w:rsidRPr="00984011">
        <w:rPr>
          <w:color w:val="000000" w:themeColor="text1"/>
        </w:rPr>
        <w:t xml:space="preserve">open-ended responses, </w:t>
      </w:r>
      <w:r w:rsidR="314EF4F9" w:rsidRPr="00984011">
        <w:rPr>
          <w:color w:val="000000" w:themeColor="text1"/>
        </w:rPr>
        <w:t xml:space="preserve">the development of communication skills, </w:t>
      </w:r>
      <w:r w:rsidR="0052413E">
        <w:rPr>
          <w:color w:val="000000" w:themeColor="text1"/>
        </w:rPr>
        <w:t xml:space="preserve">and </w:t>
      </w:r>
      <w:r w:rsidR="314EF4F9" w:rsidRPr="00984011">
        <w:rPr>
          <w:color w:val="000000" w:themeColor="text1"/>
        </w:rPr>
        <w:t>align</w:t>
      </w:r>
      <w:r w:rsidR="373B1528" w:rsidRPr="00984011">
        <w:rPr>
          <w:color w:val="000000" w:themeColor="text1"/>
        </w:rPr>
        <w:t xml:space="preserve">ment of </w:t>
      </w:r>
      <w:r w:rsidR="314EF4F9" w:rsidRPr="00984011">
        <w:rPr>
          <w:color w:val="000000" w:themeColor="text1"/>
        </w:rPr>
        <w:t xml:space="preserve">skills </w:t>
      </w:r>
      <w:r w:rsidR="1FDDDDFD" w:rsidRPr="00984011">
        <w:rPr>
          <w:color w:val="000000" w:themeColor="text1"/>
        </w:rPr>
        <w:t xml:space="preserve">with </w:t>
      </w:r>
      <w:r w:rsidR="314EF4F9" w:rsidRPr="00984011">
        <w:rPr>
          <w:color w:val="000000" w:themeColor="text1"/>
        </w:rPr>
        <w:t>future employment</w:t>
      </w:r>
      <w:r w:rsidR="0052413E">
        <w:rPr>
          <w:color w:val="000000" w:themeColor="text1"/>
        </w:rPr>
        <w:t>,</w:t>
      </w:r>
      <w:r w:rsidR="314EF4F9" w:rsidRPr="00984011">
        <w:rPr>
          <w:color w:val="000000" w:themeColor="text1"/>
        </w:rPr>
        <w:t xml:space="preserve"> </w:t>
      </w:r>
      <w:r w:rsidR="6F32E09E" w:rsidRPr="00984011">
        <w:rPr>
          <w:color w:val="000000" w:themeColor="text1"/>
        </w:rPr>
        <w:t>emerged</w:t>
      </w:r>
      <w:r w:rsidR="314EF4F9" w:rsidRPr="00984011">
        <w:rPr>
          <w:color w:val="000000" w:themeColor="text1"/>
        </w:rPr>
        <w:t xml:space="preserve"> throughout</w:t>
      </w:r>
      <w:r w:rsidR="213064C3" w:rsidRPr="00984011">
        <w:rPr>
          <w:color w:val="000000" w:themeColor="text1"/>
        </w:rPr>
        <w:t xml:space="preserve"> </w:t>
      </w:r>
      <w:r w:rsidR="314EF4F9" w:rsidRPr="00984011">
        <w:rPr>
          <w:color w:val="000000" w:themeColor="text1"/>
        </w:rPr>
        <w:t xml:space="preserve">responses. </w:t>
      </w:r>
      <w:r w:rsidR="0D222018" w:rsidRPr="00984011">
        <w:rPr>
          <w:color w:val="000000" w:themeColor="text1"/>
        </w:rPr>
        <w:t>Additionally, participants</w:t>
      </w:r>
      <w:r w:rsidR="692B78F7" w:rsidRPr="00984011">
        <w:rPr>
          <w:color w:val="000000" w:themeColor="text1"/>
        </w:rPr>
        <w:t xml:space="preserve"> suggested that instructors should provide more constructive feedback and increase opportunities </w:t>
      </w:r>
      <w:r w:rsidR="006C16D5">
        <w:rPr>
          <w:color w:val="000000" w:themeColor="text1"/>
        </w:rPr>
        <w:t>to</w:t>
      </w:r>
      <w:r w:rsidR="692B78F7" w:rsidRPr="00984011">
        <w:rPr>
          <w:color w:val="000000" w:themeColor="text1"/>
        </w:rPr>
        <w:t xml:space="preserve"> check understanding </w:t>
      </w:r>
      <w:r w:rsidR="006C16D5">
        <w:rPr>
          <w:color w:val="000000" w:themeColor="text1"/>
        </w:rPr>
        <w:t>throughout</w:t>
      </w:r>
      <w:r w:rsidR="692B78F7" w:rsidRPr="00984011">
        <w:rPr>
          <w:color w:val="000000" w:themeColor="text1"/>
        </w:rPr>
        <w:t xml:space="preserve"> the course.</w:t>
      </w:r>
      <w:r w:rsidR="3F6E62D2" w:rsidRPr="00984011">
        <w:rPr>
          <w:color w:val="000000" w:themeColor="text1"/>
        </w:rPr>
        <w:t xml:space="preserve"> </w:t>
      </w:r>
    </w:p>
    <w:p w14:paraId="5BF9DE50" w14:textId="77777777" w:rsidR="00E92DA3" w:rsidRPr="00984011" w:rsidRDefault="00E92DA3" w:rsidP="00A14C77">
      <w:pPr>
        <w:rPr>
          <w:b/>
          <w:bCs/>
        </w:rPr>
      </w:pPr>
    </w:p>
    <w:p w14:paraId="38A7C8CF" w14:textId="122C16A2" w:rsidR="001D1872" w:rsidRPr="00984011" w:rsidRDefault="00267833" w:rsidP="00A14C77">
      <w:pPr>
        <w:jc w:val="center"/>
        <w:rPr>
          <w:b/>
          <w:bCs/>
        </w:rPr>
      </w:pPr>
      <w:r w:rsidRPr="00984011">
        <w:rPr>
          <w:b/>
          <w:bCs/>
        </w:rPr>
        <w:t>Conclusions/Recommendations/Implications</w:t>
      </w:r>
    </w:p>
    <w:p w14:paraId="32BCFD86" w14:textId="77777777" w:rsidR="000E753C" w:rsidRDefault="000E753C" w:rsidP="00A14C77">
      <w:pPr>
        <w:rPr>
          <w:b/>
          <w:bCs/>
        </w:rPr>
      </w:pPr>
    </w:p>
    <w:p w14:paraId="66B040B1" w14:textId="2C135918" w:rsidR="00A66A3D" w:rsidRPr="00984011" w:rsidRDefault="00A66A3D" w:rsidP="00A66A3D">
      <w:r w:rsidRPr="00984011">
        <w:t xml:space="preserve">Despite the central role grading plays in shaping students’ learning and classroom experience, no previous research has examined grading practices as a catalyst for developing employer-valued competencies. This paper addresses that gap by using both quantitative and qualitative methods to </w:t>
      </w:r>
      <w:r w:rsidR="00A4728D">
        <w:t>investigat</w:t>
      </w:r>
      <w:r w:rsidRPr="00984011">
        <w:t xml:space="preserve">e how traditional and non-traditional grading systems influence students’ development of transferable skills and attributes sought by employers. While academic institutions continue to rely heavily on point-based GPAs and letter grades, our findings suggest that alternative grading approaches may better support student growth in areas aligned with workforce readiness. As institutions </w:t>
      </w:r>
      <w:r w:rsidR="00A4728D">
        <w:t>of</w:t>
      </w:r>
      <w:r w:rsidRPr="00984011">
        <w:t xml:space="preserve"> higher education and national governments increasingly embrace employability as a core purpose of postsecondary education, rethinking assessment practices </w:t>
      </w:r>
      <w:r w:rsidR="00A4728D">
        <w:t>i</w:t>
      </w:r>
      <w:r w:rsidRPr="00984011">
        <w:t>s essential to preparing students for meaningful</w:t>
      </w:r>
      <w:r w:rsidR="00A4728D">
        <w:t>,</w:t>
      </w:r>
      <w:r w:rsidRPr="00984011">
        <w:t xml:space="preserve"> adaptable careers. </w:t>
      </w:r>
    </w:p>
    <w:p w14:paraId="17C15786" w14:textId="0F0F97B0" w:rsidR="00A66A3D" w:rsidRDefault="00A66A3D" w:rsidP="00A14C77">
      <w:pPr>
        <w:rPr>
          <w:b/>
          <w:bCs/>
        </w:rPr>
      </w:pPr>
    </w:p>
    <w:p w14:paraId="5ECF3FD7" w14:textId="4CA7DC6F" w:rsidR="006629DD" w:rsidRDefault="005B7B64" w:rsidP="00A14C77">
      <w:r>
        <w:t xml:space="preserve">Our findings have specific implications for </w:t>
      </w:r>
      <w:r w:rsidR="00ED1727">
        <w:t>agricultural educators and agricultural education programs.</w:t>
      </w:r>
      <w:r w:rsidR="004344E6">
        <w:t xml:space="preserve"> </w:t>
      </w:r>
      <w:r w:rsidR="1705113C" w:rsidRPr="00984011">
        <w:t xml:space="preserve">As </w:t>
      </w:r>
      <w:r w:rsidR="00A4728D">
        <w:t>the study's results support non-traditional approaches in higher education at</w:t>
      </w:r>
      <w:r w:rsidR="004344E6">
        <w:t xml:space="preserve"> </w:t>
      </w:r>
      <w:r w:rsidR="00992C97">
        <w:t>Virginia Tech</w:t>
      </w:r>
      <w:r w:rsidR="006372D4">
        <w:t>’s</w:t>
      </w:r>
      <w:r w:rsidR="007D7354">
        <w:t xml:space="preserve"> ALCE Department</w:t>
      </w:r>
      <w:r w:rsidR="006372D4">
        <w:t xml:space="preserve">, </w:t>
      </w:r>
      <w:r w:rsidR="2CD6B0CC" w:rsidRPr="00984011">
        <w:t xml:space="preserve">it is essential for </w:t>
      </w:r>
      <w:r w:rsidR="008E1803">
        <w:t xml:space="preserve">faculty </w:t>
      </w:r>
      <w:r w:rsidR="2CD6B0CC" w:rsidRPr="00984011">
        <w:t xml:space="preserve">to review </w:t>
      </w:r>
      <w:r w:rsidR="0EF65893" w:rsidRPr="00984011">
        <w:t>their</w:t>
      </w:r>
      <w:r w:rsidR="2CD6B0CC" w:rsidRPr="00984011">
        <w:t xml:space="preserve"> current practices, </w:t>
      </w:r>
      <w:r w:rsidR="335AFB70" w:rsidRPr="00984011">
        <w:t>especially</w:t>
      </w:r>
      <w:r w:rsidR="2CD6B0CC" w:rsidRPr="00984011">
        <w:t xml:space="preserve"> given the influence of grading on student learning, motivation, and </w:t>
      </w:r>
      <w:r w:rsidR="45996B68" w:rsidRPr="00984011">
        <w:t>career preparation.</w:t>
      </w:r>
      <w:r w:rsidR="17CE2912" w:rsidRPr="00984011">
        <w:t xml:space="preserve"> </w:t>
      </w:r>
      <w:r w:rsidR="2EF841E0" w:rsidRPr="00984011">
        <w:t>I</w:t>
      </w:r>
      <w:r w:rsidR="47E686BD" w:rsidRPr="00984011">
        <w:t xml:space="preserve">mplementing non-traditional grading methods </w:t>
      </w:r>
      <w:r w:rsidR="3CC10691" w:rsidRPr="00984011">
        <w:t>is a time</w:t>
      </w:r>
      <w:r w:rsidR="1A371512" w:rsidRPr="00984011">
        <w:t>-</w:t>
      </w:r>
      <w:r w:rsidR="3CC10691" w:rsidRPr="00984011">
        <w:t>cons</w:t>
      </w:r>
      <w:r w:rsidR="6C663C5D" w:rsidRPr="00984011">
        <w:t>uming</w:t>
      </w:r>
      <w:r w:rsidR="3CC10691" w:rsidRPr="00984011">
        <w:t xml:space="preserve"> process when first adapting a course. Educators want to e</w:t>
      </w:r>
      <w:r w:rsidR="06FBDBE4" w:rsidRPr="00984011">
        <w:t>n</w:t>
      </w:r>
      <w:r w:rsidR="14B3F0DC" w:rsidRPr="00984011">
        <w:t xml:space="preserve">sure the strategies align with </w:t>
      </w:r>
      <w:r w:rsidR="211D5ABA" w:rsidRPr="00984011">
        <w:t>th</w:t>
      </w:r>
      <w:r w:rsidR="231FD6F1" w:rsidRPr="00984011">
        <w:t>ei</w:t>
      </w:r>
      <w:r w:rsidR="211D5ABA" w:rsidRPr="00984011">
        <w:t>r</w:t>
      </w:r>
      <w:r w:rsidR="14B3F0DC" w:rsidRPr="00984011">
        <w:t xml:space="preserve"> </w:t>
      </w:r>
      <w:r w:rsidR="4469FC0D" w:rsidRPr="00984011">
        <w:t xml:space="preserve">pedagogical </w:t>
      </w:r>
      <w:r w:rsidR="14B3F0DC" w:rsidRPr="00984011">
        <w:t xml:space="preserve">practices and course content. </w:t>
      </w:r>
      <w:r w:rsidR="00685C3C">
        <w:t>In line with</w:t>
      </w:r>
      <w:r w:rsidR="007D7354">
        <w:t xml:space="preserve"> Sunderman</w:t>
      </w:r>
      <w:r w:rsidR="00685C3C">
        <w:t>’s</w:t>
      </w:r>
      <w:r w:rsidR="204F86AE" w:rsidRPr="00984011">
        <w:t xml:space="preserve"> (2025) </w:t>
      </w:r>
      <w:r w:rsidR="00685C3C">
        <w:t xml:space="preserve">suggestions, we encourage </w:t>
      </w:r>
      <w:r w:rsidR="204F86AE" w:rsidRPr="00984011">
        <w:t xml:space="preserve">educators </w:t>
      </w:r>
      <w:r w:rsidR="00685C3C">
        <w:t xml:space="preserve">to </w:t>
      </w:r>
      <w:r w:rsidR="204F86AE" w:rsidRPr="00984011">
        <w:t>consider the following</w:t>
      </w:r>
      <w:r w:rsidR="7E49343A" w:rsidRPr="00984011">
        <w:t xml:space="preserve"> questions: </w:t>
      </w:r>
      <w:r w:rsidR="4300CC36" w:rsidRPr="00685C3C">
        <w:t>Why do we grade the way we grade?</w:t>
      </w:r>
      <w:r w:rsidR="00BA2FB1">
        <w:t xml:space="preserve"> </w:t>
      </w:r>
      <w:r w:rsidR="4300CC36" w:rsidRPr="00BA2FB1">
        <w:t>How</w:t>
      </w:r>
      <w:r w:rsidR="00BA2FB1" w:rsidRPr="00BA2FB1">
        <w:t xml:space="preserve"> do</w:t>
      </w:r>
      <w:r w:rsidR="4300CC36" w:rsidRPr="00BA2FB1">
        <w:t xml:space="preserve"> our grading system</w:t>
      </w:r>
      <w:r w:rsidR="00BA2FB1">
        <w:t>s</w:t>
      </w:r>
      <w:r w:rsidR="4300CC36" w:rsidRPr="00BA2FB1">
        <w:t xml:space="preserve"> contribute to student learning?</w:t>
      </w:r>
      <w:r w:rsidR="00BA2FB1">
        <w:t xml:space="preserve"> </w:t>
      </w:r>
      <w:r w:rsidR="4300CC36" w:rsidRPr="00BA2FB1">
        <w:t xml:space="preserve">What alternate practices or subtle shifts might we consider </w:t>
      </w:r>
      <w:r w:rsidR="00BA2FB1">
        <w:t>to</w:t>
      </w:r>
      <w:r w:rsidR="00FB5020">
        <w:t xml:space="preserve"> </w:t>
      </w:r>
      <w:r w:rsidR="6DC66129" w:rsidRPr="00BA2FB1">
        <w:t>align</w:t>
      </w:r>
      <w:r w:rsidR="00BA2FB1">
        <w:t xml:space="preserve"> our grading practices</w:t>
      </w:r>
      <w:r w:rsidR="6DC66129" w:rsidRPr="00BA2FB1">
        <w:t xml:space="preserve"> with our content, pedagogy, and </w:t>
      </w:r>
      <w:r w:rsidR="00BA2FB1">
        <w:t>transferable skills</w:t>
      </w:r>
      <w:r w:rsidR="6DC66129" w:rsidRPr="00BA2FB1">
        <w:t xml:space="preserve">? </w:t>
      </w:r>
    </w:p>
    <w:p w14:paraId="21DE10B9" w14:textId="75B2F574" w:rsidR="006629DD" w:rsidRDefault="006629DD" w:rsidP="00A14C77"/>
    <w:p w14:paraId="566B9E39" w14:textId="691A31F2" w:rsidR="005D2E4D" w:rsidRDefault="008E1803" w:rsidP="005D2E4D">
      <w:r>
        <w:t>Given the role of agricultural education faculty in guiding the next generation of agricultural educators, questions and conversation</w:t>
      </w:r>
      <w:r w:rsidR="0065214C">
        <w:t>s about</w:t>
      </w:r>
      <w:r>
        <w:t xml:space="preserve"> aligning grading practices with learning objectives may be particularly salient </w:t>
      </w:r>
      <w:r w:rsidR="0065214C">
        <w:t>for</w:t>
      </w:r>
      <w:r>
        <w:t xml:space="preserve"> agricultural education students, </w:t>
      </w:r>
      <w:r w:rsidR="005F6EF3">
        <w:t xml:space="preserve">aiding metacognition and </w:t>
      </w:r>
      <w:r>
        <w:t xml:space="preserve">strengthening their </w:t>
      </w:r>
      <w:r w:rsidR="005F6EF3">
        <w:t>transferable skills</w:t>
      </w:r>
      <w:r w:rsidR="0022688F">
        <w:t xml:space="preserve"> </w:t>
      </w:r>
      <w:r w:rsidR="005D2E4D" w:rsidRPr="005D2E4D">
        <w:t xml:space="preserve">required by today's workforce and society. By adopting non-traditional grading methods and assessments that focus on learning and feedback </w:t>
      </w:r>
      <w:r w:rsidR="00A30B10">
        <w:t>rather than</w:t>
      </w:r>
      <w:r w:rsidR="005D2E4D" w:rsidRPr="005D2E4D">
        <w:t xml:space="preserve"> letter grades or numeric scores, programs will better develop communication, collaboration, critical thinking, problem-solving, and other highly sought-after professional skills that align with the AAAE Teacher Education Standards and </w:t>
      </w:r>
      <w:r w:rsidR="00A30B10">
        <w:t xml:space="preserve">with </w:t>
      </w:r>
      <w:r w:rsidR="005D2E4D" w:rsidRPr="005D2E4D">
        <w:t xml:space="preserve">what future employers seek. </w:t>
      </w:r>
      <w:r w:rsidR="00993C62" w:rsidRPr="00993C62">
        <w:t>Teacher preparation programs should view assessment as a learning tool, promote inquiry-based and student-centered approaches, incorporate reflection, and model best practices. Non-traditional grading in agricultural teacher prep</w:t>
      </w:r>
      <w:r w:rsidR="003A79B1">
        <w:t>aration</w:t>
      </w:r>
      <w:r w:rsidR="00993C62" w:rsidRPr="00993C62">
        <w:t xml:space="preserve"> can help future teachers teach inclusively in diverse settings. </w:t>
      </w:r>
    </w:p>
    <w:p w14:paraId="680BB317" w14:textId="77777777" w:rsidR="00993C62" w:rsidRPr="005D2E4D" w:rsidRDefault="00993C62" w:rsidP="005D2E4D"/>
    <w:p w14:paraId="68CEDE3F" w14:textId="10BED4F5" w:rsidR="00BA6BD4" w:rsidRPr="00BA6BD4" w:rsidRDefault="00BA6BD4" w:rsidP="00BA6BD4">
      <w:pPr>
        <w:rPr>
          <w:color w:val="000000" w:themeColor="text1"/>
        </w:rPr>
      </w:pPr>
      <w:r w:rsidRPr="00BA6BD4">
        <w:rPr>
          <w:color w:val="000000" w:themeColor="text1"/>
        </w:rPr>
        <w:t>To strengthen the transferable skills essential for success in today’s workforce, AAAE should prioritize programmatic efforts that intentionally integrate reflection, global awareness, and community responsiveness across teacher preparation and research initiatives. By embedding experiential learning, interdisciplinary collaboration, and equity-driven pedagogies into agricultural education programs, AAAE can enhance the profession’s ability to develop educators and researchers who are not only effective instructors but also adaptive leaders and problem-solvers. This focus will position agricultural education as a dynamic system for cultivating human capital, advancing social and economic prosperity, and ensuring inclusive participation across all agricultural and natural resource contexts.</w:t>
      </w:r>
    </w:p>
    <w:p w14:paraId="756A3D8A" w14:textId="77777777" w:rsidR="00BF357C" w:rsidRDefault="00BF357C" w:rsidP="00FE0FBD">
      <w:pPr>
        <w:rPr>
          <w:rFonts w:ascii="Aptos Narrow" w:eastAsia="Aptos Narrow" w:hAnsi="Aptos Narrow" w:cs="Aptos Narrow"/>
          <w:color w:val="000000" w:themeColor="text1"/>
        </w:rPr>
      </w:pPr>
    </w:p>
    <w:p w14:paraId="3A5516CD" w14:textId="55C9BB2F" w:rsidR="00067AAA" w:rsidRDefault="00696F6E" w:rsidP="00FE0FBD">
      <w:r w:rsidRPr="00E14E6B">
        <w:t xml:space="preserve">In the </w:t>
      </w:r>
      <w:r>
        <w:t xml:space="preserve">current </w:t>
      </w:r>
      <w:r w:rsidRPr="00E14E6B">
        <w:t>evolving workforce,</w:t>
      </w:r>
      <w:r>
        <w:t xml:space="preserve"> educators must foster students’ development</w:t>
      </w:r>
      <w:r w:rsidRPr="00E14E6B">
        <w:t xml:space="preserve"> </w:t>
      </w:r>
      <w:r>
        <w:t xml:space="preserve">of </w:t>
      </w:r>
      <w:r w:rsidRPr="00E14E6B">
        <w:t>transferable skill</w:t>
      </w:r>
      <w:r w:rsidR="005F08C6">
        <w:t>s</w:t>
      </w:r>
      <w:r>
        <w:t xml:space="preserve">. </w:t>
      </w:r>
      <w:r w:rsidR="00993C62" w:rsidRPr="00993C62">
        <w:t>Hosseinioun et al. (2025b) highlight that the changing workplace emphasizes soft skills for employees</w:t>
      </w:r>
      <w:r>
        <w:t>:</w:t>
      </w:r>
    </w:p>
    <w:p w14:paraId="20AF05A1" w14:textId="77777777" w:rsidR="00993C62" w:rsidRDefault="00993C62" w:rsidP="00FE0FBD"/>
    <w:p w14:paraId="7D148445" w14:textId="67583037" w:rsidR="00E14E6B" w:rsidRDefault="002F7CE0" w:rsidP="00696F6E">
      <w:pPr>
        <w:ind w:left="720"/>
      </w:pPr>
      <w:r w:rsidRPr="00984011">
        <w:t>In an age when technical expertise can become irrelevant in just a few years, foundational skills matter more than ever</w:t>
      </w:r>
      <w:r w:rsidR="00F22D3C">
        <w:t>…</w:t>
      </w:r>
      <w:r w:rsidR="008B5256">
        <w:t xml:space="preserve"> [these skills]</w:t>
      </w:r>
      <w:r w:rsidRPr="00984011">
        <w:t xml:space="preserve"> build</w:t>
      </w:r>
      <w:r w:rsidR="00FD7704">
        <w:t>s</w:t>
      </w:r>
      <w:r w:rsidRPr="00984011">
        <w:t xml:space="preserve"> a workforce that is resilient, quick to adapt, and prepared to thrive in a constantly evolving environment</w:t>
      </w:r>
      <w:r w:rsidR="00453C64">
        <w:t xml:space="preserve"> </w:t>
      </w:r>
      <w:r w:rsidRPr="00984011">
        <w:t>(</w:t>
      </w:r>
      <w:proofErr w:type="spellStart"/>
      <w:r>
        <w:t>n.p.</w:t>
      </w:r>
      <w:proofErr w:type="spellEnd"/>
      <w:r w:rsidRPr="00984011">
        <w:t>).</w:t>
      </w:r>
    </w:p>
    <w:p w14:paraId="244E1C42" w14:textId="77777777" w:rsidR="008B5256" w:rsidRDefault="008B5256" w:rsidP="00696F6E">
      <w:pPr>
        <w:ind w:left="720"/>
      </w:pPr>
    </w:p>
    <w:p w14:paraId="7302DBC3" w14:textId="64F93DF1" w:rsidR="37116EBB" w:rsidRPr="0072540C" w:rsidRDefault="007C3CF0" w:rsidP="0072540C">
      <w:r>
        <w:t>If a</w:t>
      </w:r>
      <w:r w:rsidR="008B5256">
        <w:t xml:space="preserve">griculture </w:t>
      </w:r>
      <w:r w:rsidR="00F22D3C">
        <w:t>educators</w:t>
      </w:r>
      <w:r w:rsidR="00E14E6B">
        <w:t xml:space="preserve"> and institutions </w:t>
      </w:r>
      <w:r w:rsidR="006212D1">
        <w:t xml:space="preserve">truly </w:t>
      </w:r>
      <w:r>
        <w:t xml:space="preserve">prioritize employability and </w:t>
      </w:r>
      <w:r w:rsidR="006212D1">
        <w:t xml:space="preserve">the development of </w:t>
      </w:r>
      <w:r>
        <w:t>transferable skills</w:t>
      </w:r>
      <w:r w:rsidR="00FF4BBF">
        <w:t>,</w:t>
      </w:r>
      <w:r w:rsidR="00F633C4">
        <w:t xml:space="preserve"> </w:t>
      </w:r>
      <w:r>
        <w:t xml:space="preserve">faculty members, </w:t>
      </w:r>
      <w:r w:rsidR="00FF4BBF">
        <w:t>colleges of agriculture</w:t>
      </w:r>
      <w:r>
        <w:t>, and institutions</w:t>
      </w:r>
      <w:r w:rsidR="006212D1">
        <w:t xml:space="preserve"> must</w:t>
      </w:r>
      <w:r>
        <w:t xml:space="preserve"> </w:t>
      </w:r>
      <w:r w:rsidR="00FF4BBF">
        <w:t>evaluate</w:t>
      </w:r>
      <w:r>
        <w:t xml:space="preserve"> their courses</w:t>
      </w:r>
      <w:r w:rsidR="00204921">
        <w:t xml:space="preserve"> and</w:t>
      </w:r>
      <w:r>
        <w:t xml:space="preserve"> pedagogical approaches</w:t>
      </w:r>
      <w:r w:rsidR="00D24227">
        <w:t>—</w:t>
      </w:r>
      <w:r w:rsidR="00204921">
        <w:t>including</w:t>
      </w:r>
      <w:r w:rsidR="00D24227">
        <w:t xml:space="preserve"> grading practices—</w:t>
      </w:r>
      <w:r>
        <w:t xml:space="preserve">for alignment with the skills </w:t>
      </w:r>
      <w:r w:rsidR="006212D1">
        <w:t>required for the next generation of workforce development.</w:t>
      </w:r>
    </w:p>
    <w:p w14:paraId="4CAB4D8B" w14:textId="49261A32" w:rsidR="00907D71" w:rsidRPr="00984011" w:rsidRDefault="00907D71" w:rsidP="00A14C77">
      <w:pPr>
        <w:jc w:val="center"/>
        <w:rPr>
          <w:b/>
          <w:bCs/>
        </w:rPr>
      </w:pPr>
      <w:r w:rsidRPr="00984011">
        <w:rPr>
          <w:b/>
          <w:bCs/>
        </w:rPr>
        <w:t>References</w:t>
      </w:r>
    </w:p>
    <w:p w14:paraId="23DFB7DD" w14:textId="77777777" w:rsidR="005F063A" w:rsidRDefault="005F063A" w:rsidP="00A14C77">
      <w:pPr>
        <w:ind w:left="720" w:hanging="720"/>
      </w:pPr>
    </w:p>
    <w:p w14:paraId="500139BF" w14:textId="2984FF0E" w:rsidR="00F37FCE" w:rsidRDefault="00F37FCE" w:rsidP="00A14C77">
      <w:pPr>
        <w:ind w:left="720" w:hanging="720"/>
      </w:pPr>
      <w:r w:rsidRPr="00F37FCE">
        <w:t>Belloc, S. (2024, July 11). </w:t>
      </w:r>
      <w:r w:rsidRPr="00F37FCE">
        <w:rPr>
          <w:i/>
          <w:iCs/>
        </w:rPr>
        <w:t>American employers call for employability</w:t>
      </w:r>
      <w:r w:rsidR="00C352C5">
        <w:rPr>
          <w:i/>
          <w:iCs/>
        </w:rPr>
        <w:t>.</w:t>
      </w:r>
      <w:r w:rsidR="001A0014">
        <w:rPr>
          <w:i/>
          <w:iCs/>
        </w:rPr>
        <w:t xml:space="preserve"> </w:t>
      </w:r>
      <w:r w:rsidR="001A0014">
        <w:t xml:space="preserve">Emerging. </w:t>
      </w:r>
    </w:p>
    <w:p w14:paraId="5F48F368" w14:textId="2BBF60DD" w:rsidR="001A0014" w:rsidRPr="001A0014" w:rsidRDefault="001A0014" w:rsidP="00A14C77">
      <w:pPr>
        <w:ind w:left="720" w:hanging="720"/>
      </w:pPr>
      <w:r w:rsidRPr="001A0014">
        <w:tab/>
      </w:r>
      <w:r w:rsidRPr="00E030BD">
        <w:t>https://www.emerging.fr/post/american-employers-call-for-employability</w:t>
      </w:r>
    </w:p>
    <w:p w14:paraId="0209BAAE" w14:textId="77777777" w:rsidR="00FB5020" w:rsidRDefault="00FB5020" w:rsidP="00A14C77">
      <w:pPr>
        <w:ind w:left="720" w:hanging="720"/>
      </w:pPr>
    </w:p>
    <w:p w14:paraId="0549B727" w14:textId="1CA506FC" w:rsidR="00FB5020" w:rsidRPr="00FB5020" w:rsidRDefault="00FB5020" w:rsidP="00A14C77">
      <w:pPr>
        <w:ind w:left="720" w:hanging="720"/>
      </w:pPr>
      <w:r w:rsidRPr="00FB5020">
        <w:t>Bright, D. S., Caza, A., Turesky, E. F., Putzel, R., Nelson, E., &amp; Luechtefeld, R. (2016). Constructivist meta-practices: When students design activities, lead others, and assess peers. </w:t>
      </w:r>
      <w:r w:rsidRPr="00FB5020">
        <w:rPr>
          <w:i/>
          <w:iCs/>
        </w:rPr>
        <w:t>Journal of Leadership Education, 15</w:t>
      </w:r>
      <w:r w:rsidRPr="00FB5020">
        <w:t>(4), 75–99. </w:t>
      </w:r>
    </w:p>
    <w:p w14:paraId="7F303EE3" w14:textId="6973DAFD" w:rsidR="00F37FCE" w:rsidRPr="00FB5020" w:rsidRDefault="00FB5020" w:rsidP="00FB5020">
      <w:pPr>
        <w:ind w:left="720"/>
      </w:pPr>
      <w:r w:rsidRPr="00FB5020">
        <w:t>https://doi.org/10.12806/V15/I4/R6</w:t>
      </w:r>
    </w:p>
    <w:p w14:paraId="3BBE64B5" w14:textId="77777777" w:rsidR="00FB5020" w:rsidRPr="00984011" w:rsidRDefault="00FB5020" w:rsidP="00A14C77">
      <w:pPr>
        <w:ind w:left="720" w:hanging="720"/>
      </w:pPr>
    </w:p>
    <w:p w14:paraId="074BE99C" w14:textId="7ABB2F1F" w:rsidR="00DC282A" w:rsidRPr="00984011" w:rsidRDefault="00DC282A" w:rsidP="00A14C77">
      <w:pPr>
        <w:ind w:left="720" w:hanging="720"/>
      </w:pPr>
      <w:r w:rsidRPr="00984011">
        <w:t xml:space="preserve">Cain, J., Medina, M., Romanelli, F., &amp; Persky, A. (2022). Deficiencies of traditional grading systems and recommendations for the future. </w:t>
      </w:r>
      <w:r w:rsidRPr="00984011">
        <w:rPr>
          <w:i/>
          <w:iCs/>
        </w:rPr>
        <w:t>American Journal of Pharmaceutical Education, 86</w:t>
      </w:r>
      <w:r w:rsidRPr="00984011">
        <w:t>(7), 8850.</w:t>
      </w:r>
      <w:r w:rsidR="00216BAA" w:rsidRPr="00984011">
        <w:t xml:space="preserve"> </w:t>
      </w:r>
      <w:r w:rsidR="00216BAA" w:rsidRPr="00E030BD">
        <w:t>https://doi.org/10.5688/ajpe8850</w:t>
      </w:r>
      <w:r w:rsidR="00216BAA" w:rsidRPr="00984011">
        <w:t xml:space="preserve"> </w:t>
      </w:r>
    </w:p>
    <w:p w14:paraId="71319C8A" w14:textId="77777777" w:rsidR="00DC282A" w:rsidRPr="00984011" w:rsidRDefault="00DC282A" w:rsidP="00A14C77">
      <w:pPr>
        <w:ind w:left="720" w:hanging="720"/>
      </w:pPr>
    </w:p>
    <w:p w14:paraId="34FA3572" w14:textId="064DC956" w:rsidR="00514E4D" w:rsidRPr="00984011" w:rsidRDefault="00514E4D" w:rsidP="00A14C77">
      <w:pPr>
        <w:ind w:left="720" w:hanging="720"/>
      </w:pPr>
      <w:r w:rsidRPr="00984011">
        <w:t>Council for the Advancement of Standards in Higher Education (2023). CAS learning and development outcomes. In J. B. Wells &amp; L. K. Crain (Eds.), </w:t>
      </w:r>
      <w:r w:rsidRPr="00984011">
        <w:rPr>
          <w:i/>
          <w:iCs/>
        </w:rPr>
        <w:t>CAS professional standards for higher education </w:t>
      </w:r>
      <w:r w:rsidRPr="00984011">
        <w:t xml:space="preserve">(Version 11). </w:t>
      </w:r>
    </w:p>
    <w:p w14:paraId="7636D08B" w14:textId="77777777" w:rsidR="0016162A" w:rsidRDefault="0016162A" w:rsidP="0016162A">
      <w:pPr>
        <w:rPr>
          <w:color w:val="212121"/>
        </w:rPr>
      </w:pPr>
    </w:p>
    <w:p w14:paraId="08EBCDA8" w14:textId="3B0CD43C" w:rsidR="0016162A" w:rsidRDefault="0016162A" w:rsidP="0016162A">
      <w:pPr>
        <w:rPr>
          <w:i/>
          <w:iCs/>
          <w:color w:val="212121"/>
        </w:rPr>
      </w:pPr>
      <w:r w:rsidRPr="00922401">
        <w:rPr>
          <w:color w:val="212121"/>
        </w:rPr>
        <w:t>Creswell, J. W., &amp; Creswell, J. D. (2017). </w:t>
      </w:r>
      <w:r w:rsidRPr="00922401">
        <w:rPr>
          <w:i/>
          <w:iCs/>
          <w:color w:val="212121"/>
        </w:rPr>
        <w:t xml:space="preserve">Research design: Qualitative, quantitative, and mixed </w:t>
      </w:r>
    </w:p>
    <w:p w14:paraId="04998837" w14:textId="100EF977" w:rsidR="00514E4D" w:rsidRPr="0016162A" w:rsidRDefault="0016162A" w:rsidP="0016162A">
      <w:pPr>
        <w:ind w:firstLine="720"/>
        <w:rPr>
          <w:color w:val="212121"/>
        </w:rPr>
      </w:pPr>
      <w:r w:rsidRPr="00922401">
        <w:rPr>
          <w:i/>
          <w:iCs/>
          <w:color w:val="212121"/>
        </w:rPr>
        <w:t>methods approaches</w:t>
      </w:r>
      <w:r w:rsidRPr="00922401">
        <w:rPr>
          <w:color w:val="212121"/>
        </w:rPr>
        <w:t xml:space="preserve">. Sage. </w:t>
      </w:r>
    </w:p>
    <w:p w14:paraId="0AEB88CD" w14:textId="77777777" w:rsidR="0016162A" w:rsidRPr="00984011" w:rsidRDefault="0016162A" w:rsidP="00A14C77">
      <w:pPr>
        <w:ind w:left="720" w:hanging="720"/>
      </w:pPr>
    </w:p>
    <w:p w14:paraId="4D548800" w14:textId="17798FD5" w:rsidR="00376A01" w:rsidRPr="00984011" w:rsidRDefault="007B1F3C" w:rsidP="00A14C77">
      <w:pPr>
        <w:ind w:left="720" w:hanging="720"/>
      </w:pPr>
      <w:r w:rsidRPr="00984011">
        <w:t xml:space="preserve">Hosseinioun, M., </w:t>
      </w:r>
      <w:proofErr w:type="spellStart"/>
      <w:r w:rsidRPr="00984011">
        <w:t>Neffke</w:t>
      </w:r>
      <w:proofErr w:type="spellEnd"/>
      <w:r w:rsidRPr="00984011">
        <w:t xml:space="preserve">, F., Zhang, L., &amp; Youn, H. (2025a). Skill dependencies uncover nested human capital. </w:t>
      </w:r>
      <w:r w:rsidRPr="00984011">
        <w:rPr>
          <w:i/>
          <w:iCs/>
        </w:rPr>
        <w:t xml:space="preserve">Nature Human </w:t>
      </w:r>
      <w:proofErr w:type="spellStart"/>
      <w:r w:rsidRPr="00984011">
        <w:rPr>
          <w:i/>
          <w:iCs/>
        </w:rPr>
        <w:t>Behaviour</w:t>
      </w:r>
      <w:proofErr w:type="spellEnd"/>
      <w:r w:rsidRPr="00984011">
        <w:rPr>
          <w:i/>
          <w:iCs/>
        </w:rPr>
        <w:t>,</w:t>
      </w:r>
      <w:r w:rsidR="009D7F2E" w:rsidRPr="00984011">
        <w:rPr>
          <w:i/>
          <w:iCs/>
        </w:rPr>
        <w:t xml:space="preserve"> 9,</w:t>
      </w:r>
      <w:r w:rsidRPr="00984011">
        <w:t xml:space="preserve"> </w:t>
      </w:r>
      <w:r w:rsidR="009D7F2E" w:rsidRPr="00984011">
        <w:t>673-687</w:t>
      </w:r>
      <w:r w:rsidR="00F36847" w:rsidRPr="00984011">
        <w:t xml:space="preserve">. </w:t>
      </w:r>
      <w:r w:rsidR="00F36847" w:rsidRPr="00E030BD">
        <w:t>https://doi.org/10.1038/s41562-024-02093-2</w:t>
      </w:r>
      <w:r w:rsidR="00F36847" w:rsidRPr="00984011">
        <w:t xml:space="preserve"> </w:t>
      </w:r>
    </w:p>
    <w:p w14:paraId="226853EE" w14:textId="77777777" w:rsidR="007B1F3C" w:rsidRPr="00984011" w:rsidRDefault="007B1F3C" w:rsidP="00A14C77">
      <w:pPr>
        <w:ind w:left="720" w:hanging="720"/>
      </w:pPr>
    </w:p>
    <w:p w14:paraId="19FB0357" w14:textId="76B81BCA" w:rsidR="001D5E87" w:rsidRPr="00984011" w:rsidRDefault="001D5E87" w:rsidP="00A14C77">
      <w:pPr>
        <w:ind w:left="720" w:hanging="720"/>
        <w:rPr>
          <w:i/>
          <w:iCs/>
        </w:rPr>
      </w:pPr>
      <w:r w:rsidRPr="00984011">
        <w:t>Hosseinioun</w:t>
      </w:r>
      <w:r w:rsidR="007C2A9A" w:rsidRPr="00984011">
        <w:t xml:space="preserve">, M., </w:t>
      </w:r>
      <w:proofErr w:type="spellStart"/>
      <w:r w:rsidR="007C2A9A" w:rsidRPr="00984011">
        <w:t>Neffke</w:t>
      </w:r>
      <w:proofErr w:type="spellEnd"/>
      <w:r w:rsidR="007C2A9A" w:rsidRPr="00984011">
        <w:t>, F., Youn, H., &amp; Zhang, L</w:t>
      </w:r>
      <w:r w:rsidR="00C352C5">
        <w:t>.</w:t>
      </w:r>
      <w:r w:rsidR="007C2A9A" w:rsidRPr="00984011">
        <w:t xml:space="preserve"> (2025</w:t>
      </w:r>
      <w:r w:rsidR="004D763D" w:rsidRPr="00984011">
        <w:t xml:space="preserve">b). Soft skills matter now more than ever, according to new research. </w:t>
      </w:r>
      <w:r w:rsidR="004D763D" w:rsidRPr="00984011">
        <w:rPr>
          <w:i/>
          <w:iCs/>
        </w:rPr>
        <w:t>Harvard Business Review</w:t>
      </w:r>
      <w:r w:rsidR="00865E5E" w:rsidRPr="00984011">
        <w:t xml:space="preserve">. </w:t>
      </w:r>
      <w:r w:rsidR="00376A01" w:rsidRPr="00E030BD">
        <w:t>https://hbr.org/2025/08/soft-skills-matter-now-more-than-ever-according-to-new-research</w:t>
      </w:r>
      <w:r w:rsidR="00376A01" w:rsidRPr="00984011">
        <w:t xml:space="preserve"> </w:t>
      </w:r>
    </w:p>
    <w:p w14:paraId="5737F658" w14:textId="77777777" w:rsidR="001D5E87" w:rsidRPr="00984011" w:rsidRDefault="001D5E87" w:rsidP="00A14C77">
      <w:pPr>
        <w:ind w:left="720" w:hanging="720"/>
      </w:pPr>
    </w:p>
    <w:p w14:paraId="45542881" w14:textId="3DE00BF8" w:rsidR="00DC282A" w:rsidRDefault="00DC282A" w:rsidP="00A14C77">
      <w:pPr>
        <w:ind w:left="720" w:hanging="720"/>
      </w:pPr>
      <w:r w:rsidRPr="00984011">
        <w:t>Kohn, A. (2006). The trouble with rubrics. </w:t>
      </w:r>
      <w:r w:rsidRPr="00984011">
        <w:rPr>
          <w:i/>
          <w:iCs/>
        </w:rPr>
        <w:t>English Journal</w:t>
      </w:r>
      <w:r w:rsidRPr="00984011">
        <w:t>, </w:t>
      </w:r>
      <w:r w:rsidRPr="00984011">
        <w:rPr>
          <w:i/>
          <w:iCs/>
        </w:rPr>
        <w:t>95</w:t>
      </w:r>
      <w:r w:rsidRPr="00984011">
        <w:t>(4), 12-15.</w:t>
      </w:r>
    </w:p>
    <w:p w14:paraId="657F43BF" w14:textId="77777777" w:rsidR="00E030BD" w:rsidRPr="00984011" w:rsidRDefault="00E030BD" w:rsidP="00A14C77">
      <w:pPr>
        <w:ind w:left="720" w:hanging="720"/>
      </w:pPr>
    </w:p>
    <w:p w14:paraId="0921E782" w14:textId="424F0B38" w:rsidR="00E030BD" w:rsidRDefault="005A5FC5" w:rsidP="00A14C77">
      <w:pPr>
        <w:ind w:left="720" w:hanging="720"/>
      </w:pPr>
      <w:r w:rsidRPr="005A5FC5">
        <w:t>Long, J. R. (2018). </w:t>
      </w:r>
      <w:r w:rsidRPr="005A5FC5">
        <w:rPr>
          <w:i/>
          <w:iCs/>
        </w:rPr>
        <w:t>Critical thinking in context: An examination of how humanities faculty and prospective employers define and assess a broad career-readiness competency</w:t>
      </w:r>
      <w:r w:rsidRPr="005A5FC5">
        <w:t> (Order No. 13814523) [Doctoral dissertation, Virginia Tech]. </w:t>
      </w:r>
      <w:r w:rsidRPr="008F5E23">
        <w:rPr>
          <w:i/>
          <w:iCs/>
        </w:rPr>
        <w:t>ProQuest Dissertations &amp; Theses Global.</w:t>
      </w:r>
      <w:r w:rsidRPr="005A5FC5">
        <w:t> </w:t>
      </w:r>
      <w:r w:rsidR="00EE04E4" w:rsidRPr="00EE04E4">
        <w:t>http://login.ezproxy.lib.vt.edu/login?url=https://www.proquest.com/dissertations-theses/critical-thinking-context-examination-how/docview/2226253270/se-2</w:t>
      </w:r>
    </w:p>
    <w:p w14:paraId="14ABF269" w14:textId="77777777" w:rsidR="007D56C9" w:rsidRPr="00EE04E4" w:rsidRDefault="007D56C9" w:rsidP="0065435F"/>
    <w:p w14:paraId="59B2EEAC" w14:textId="55476722" w:rsidR="00D6603F" w:rsidRDefault="00EE04E4" w:rsidP="00A14C77">
      <w:pPr>
        <w:ind w:left="720" w:hanging="720"/>
      </w:pPr>
      <w:r w:rsidRPr="00EE04E4">
        <w:t>National Association of Colleges and Employers. (2024). </w:t>
      </w:r>
      <w:r w:rsidRPr="00EE04E4">
        <w:rPr>
          <w:i/>
          <w:iCs/>
        </w:rPr>
        <w:t>Job outlook 2024</w:t>
      </w:r>
      <w:r w:rsidR="003B3A2B">
        <w:rPr>
          <w:i/>
          <w:iCs/>
        </w:rPr>
        <w:t xml:space="preserve">: </w:t>
      </w:r>
      <w:r w:rsidRPr="00EE04E4">
        <w:t>[Report]. </w:t>
      </w:r>
      <w:r w:rsidR="00D6603F">
        <w:t xml:space="preserve"> </w:t>
      </w:r>
    </w:p>
    <w:p w14:paraId="3F293D59" w14:textId="1D9E370F" w:rsidR="00EE04E4" w:rsidRPr="00EE04E4" w:rsidRDefault="00D6603F" w:rsidP="00D6603F">
      <w:pPr>
        <w:ind w:left="720"/>
      </w:pPr>
      <w:r w:rsidRPr="00D6603F">
        <w:t>https://www.naceweb.org/docs/default-source/default-document-library/2023/publication/research-report/2024-nace-job-outlook.pdf</w:t>
      </w:r>
    </w:p>
    <w:p w14:paraId="7ED6279F" w14:textId="77777777" w:rsidR="0067152A" w:rsidRPr="00984011" w:rsidRDefault="0067152A" w:rsidP="002349B9"/>
    <w:p w14:paraId="075ED20E" w14:textId="5522C9DD" w:rsidR="003C16FA" w:rsidRPr="00984011" w:rsidRDefault="007078F9" w:rsidP="002349B9">
      <w:pPr>
        <w:ind w:left="720" w:hanging="720"/>
      </w:pPr>
      <w:r w:rsidRPr="007078F9">
        <w:t>McCormick, D. F., &amp; Whittington, M. S. (2000). Assessing academic challenges for their contribution to cognitive development. </w:t>
      </w:r>
      <w:r w:rsidRPr="007078F9">
        <w:rPr>
          <w:i/>
          <w:iCs/>
        </w:rPr>
        <w:t>Journal of Agricultural Education, 41</w:t>
      </w:r>
      <w:r w:rsidRPr="007078F9">
        <w:t>(3), 114–122.</w:t>
      </w:r>
      <w:r w:rsidR="002349B9">
        <w:t xml:space="preserve"> </w:t>
      </w:r>
      <w:r w:rsidR="002349B9" w:rsidRPr="002349B9">
        <w:t>https://doi.org/10.5032/jae.2000.03114</w:t>
      </w:r>
    </w:p>
    <w:p w14:paraId="5128562B" w14:textId="77777777" w:rsidR="0065435F" w:rsidRDefault="0065435F" w:rsidP="0065435F">
      <w:pPr>
        <w:ind w:left="720" w:hanging="720"/>
      </w:pPr>
    </w:p>
    <w:p w14:paraId="3B439921" w14:textId="2B82BA0D" w:rsidR="0065435F" w:rsidRDefault="0065435F" w:rsidP="0065435F">
      <w:pPr>
        <w:ind w:left="720" w:hanging="720"/>
      </w:pPr>
      <w:r w:rsidRPr="0065435F">
        <w:t xml:space="preserve">Phillips, D. C. (1995). The good, the bad, and the ugly: The many faces of constructivism. </w:t>
      </w:r>
      <w:r w:rsidRPr="00DA28F5">
        <w:rPr>
          <w:i/>
          <w:iCs/>
        </w:rPr>
        <w:t>Educational Researcher</w:t>
      </w:r>
      <w:r w:rsidRPr="0065435F">
        <w:t xml:space="preserve">, </w:t>
      </w:r>
      <w:r w:rsidRPr="00C352C5">
        <w:rPr>
          <w:i/>
          <w:iCs/>
        </w:rPr>
        <w:t>24</w:t>
      </w:r>
      <w:r w:rsidRPr="0065435F">
        <w:t>(7), 5-12. https://doi.org/10.3102/0013189X024007005</w:t>
      </w:r>
    </w:p>
    <w:p w14:paraId="4658950C" w14:textId="77777777" w:rsidR="00DA28F5" w:rsidRDefault="00DA28F5" w:rsidP="0065435F"/>
    <w:p w14:paraId="6AB24903" w14:textId="77777777" w:rsidR="00DA28F5" w:rsidRPr="00DA28F5" w:rsidRDefault="00DA28F5" w:rsidP="0065435F">
      <w:pPr>
        <w:rPr>
          <w:i/>
          <w:iCs/>
        </w:rPr>
      </w:pPr>
      <w:r w:rsidRPr="00DA28F5">
        <w:t xml:space="preserve">Piaget, J. (1977). </w:t>
      </w:r>
      <w:r w:rsidRPr="00DA28F5">
        <w:rPr>
          <w:i/>
          <w:iCs/>
        </w:rPr>
        <w:t xml:space="preserve">The development of thought: Equilibration of cognitive structures (A. Rosin, </w:t>
      </w:r>
    </w:p>
    <w:p w14:paraId="6AEB1354" w14:textId="6C58128D" w:rsidR="00352D0F" w:rsidRDefault="00DA28F5" w:rsidP="00DA28F5">
      <w:pPr>
        <w:ind w:firstLine="720"/>
      </w:pPr>
      <w:r w:rsidRPr="00DA28F5">
        <w:rPr>
          <w:i/>
          <w:iCs/>
        </w:rPr>
        <w:t xml:space="preserve">Trans.). </w:t>
      </w:r>
      <w:r w:rsidRPr="00DA28F5">
        <w:t xml:space="preserve">Viking. </w:t>
      </w:r>
    </w:p>
    <w:p w14:paraId="41CE8204" w14:textId="77777777" w:rsidR="00AC5B48" w:rsidRDefault="00AC5B48" w:rsidP="00A14C77">
      <w:pPr>
        <w:ind w:left="720" w:hanging="720"/>
      </w:pPr>
    </w:p>
    <w:p w14:paraId="5C15BF10" w14:textId="77777777" w:rsidR="00784295" w:rsidRDefault="00784295" w:rsidP="00A14C77">
      <w:pPr>
        <w:ind w:left="720" w:hanging="720"/>
      </w:pPr>
      <w:r w:rsidRPr="00784295">
        <w:t>Ramsey, S., &amp; Fitzgibbons, S. (2005). The facilitator’s role in constructivist learning environments. </w:t>
      </w:r>
      <w:r w:rsidRPr="00C352C5">
        <w:rPr>
          <w:i/>
          <w:iCs/>
        </w:rPr>
        <w:t>Teaching and Teacher Education, 21</w:t>
      </w:r>
      <w:r w:rsidRPr="00784295">
        <w:t>(2), 207–218. </w:t>
      </w:r>
    </w:p>
    <w:p w14:paraId="02273C92" w14:textId="4983B078" w:rsidR="00AC5B48" w:rsidRDefault="00784295" w:rsidP="00784295">
      <w:pPr>
        <w:ind w:left="720"/>
      </w:pPr>
      <w:r w:rsidRPr="00784295">
        <w:t>https://doi.org/10.1016/j.tate.2004.12.005</w:t>
      </w:r>
    </w:p>
    <w:p w14:paraId="70632D56" w14:textId="77777777" w:rsidR="004F5C7B" w:rsidRDefault="004F5C7B" w:rsidP="00A14C77">
      <w:pPr>
        <w:ind w:left="720" w:hanging="720"/>
      </w:pPr>
    </w:p>
    <w:p w14:paraId="1280FC4C" w14:textId="13D869E5" w:rsidR="00FF1890" w:rsidRPr="00984011" w:rsidRDefault="00FF1890" w:rsidP="00A14C77">
      <w:pPr>
        <w:ind w:left="720" w:hanging="720"/>
      </w:pPr>
      <w:r w:rsidRPr="00984011">
        <w:t>Riebe, L., &amp; Jackson, D. (2014). The use of rubrics in benchmarking and assessing employability skills. </w:t>
      </w:r>
      <w:r w:rsidRPr="00984011">
        <w:rPr>
          <w:i/>
          <w:iCs/>
        </w:rPr>
        <w:t>Journal of Management Education</w:t>
      </w:r>
      <w:r w:rsidRPr="00984011">
        <w:t>, </w:t>
      </w:r>
      <w:r w:rsidRPr="00984011">
        <w:rPr>
          <w:i/>
          <w:iCs/>
        </w:rPr>
        <w:t>38</w:t>
      </w:r>
      <w:r w:rsidRPr="00984011">
        <w:t>(3), 319-344.</w:t>
      </w:r>
      <w:r w:rsidR="005A5FC5">
        <w:t xml:space="preserve"> </w:t>
      </w:r>
      <w:r w:rsidR="00352D0F" w:rsidRPr="00984011">
        <w:t>https://doi.org/10.1177/1052562913511437</w:t>
      </w:r>
    </w:p>
    <w:p w14:paraId="4A6CE199" w14:textId="77777777" w:rsidR="00FF1890" w:rsidRPr="00984011" w:rsidRDefault="00FF1890" w:rsidP="00A14C77">
      <w:pPr>
        <w:ind w:left="720" w:hanging="720"/>
      </w:pPr>
    </w:p>
    <w:p w14:paraId="2664D472" w14:textId="7D848E52" w:rsidR="00AF2D1F" w:rsidRDefault="00E66161" w:rsidP="00A14C77">
      <w:pPr>
        <w:ind w:left="720" w:hanging="720"/>
      </w:pPr>
      <w:r w:rsidRPr="00E66161">
        <w:t>Simonsen, J. C., &amp; Birkenholz, R. J. (2010). Leadership courses required in agricultural teacher</w:t>
      </w:r>
      <w:r>
        <w:t xml:space="preserve"> </w:t>
      </w:r>
      <w:r w:rsidRPr="00E66161">
        <w:t xml:space="preserve">education programs. </w:t>
      </w:r>
      <w:r w:rsidRPr="00E66161">
        <w:rPr>
          <w:i/>
          <w:iCs/>
        </w:rPr>
        <w:t>Journal of Agricultural Education</w:t>
      </w:r>
      <w:r w:rsidRPr="00E66161">
        <w:t xml:space="preserve">, </w:t>
      </w:r>
      <w:r w:rsidRPr="00C352C5">
        <w:rPr>
          <w:i/>
          <w:iCs/>
        </w:rPr>
        <w:t>51</w:t>
      </w:r>
      <w:r w:rsidRPr="00E66161">
        <w:t>(3), 114-124.</w:t>
      </w:r>
    </w:p>
    <w:p w14:paraId="70DE865D" w14:textId="77777777" w:rsidR="00124696" w:rsidRPr="00984011" w:rsidRDefault="00124696" w:rsidP="00124696"/>
    <w:p w14:paraId="23D58124" w14:textId="77777777" w:rsidR="00124696" w:rsidRDefault="00124696" w:rsidP="00124696">
      <w:r w:rsidRPr="00124696">
        <w:rPr>
          <w:i/>
          <w:iCs/>
        </w:rPr>
        <w:t>Standards for School-Based Agricultural Education Teacher Preparation Programs. </w:t>
      </w:r>
      <w:r w:rsidRPr="00124696">
        <w:t xml:space="preserve">(2017). The </w:t>
      </w:r>
    </w:p>
    <w:p w14:paraId="20BBA0BB" w14:textId="2AA30149" w:rsidR="00124696" w:rsidRDefault="00124696" w:rsidP="00124696">
      <w:pPr>
        <w:ind w:left="720"/>
      </w:pPr>
      <w:r w:rsidRPr="00124696">
        <w:t>American Association for Agricultural Education. </w:t>
      </w:r>
      <w:r w:rsidR="002F7D75" w:rsidRPr="002F7D75">
        <w:t>https://aaaeonline.org/Standards-for-Teacher-Preparation</w:t>
      </w:r>
    </w:p>
    <w:p w14:paraId="57BD4D13" w14:textId="77777777" w:rsidR="002F7D75" w:rsidRDefault="002F7D75" w:rsidP="00124696">
      <w:pPr>
        <w:ind w:left="720"/>
      </w:pPr>
    </w:p>
    <w:p w14:paraId="72160B40" w14:textId="3BC34B42" w:rsidR="002F7D75" w:rsidRDefault="002F7D75" w:rsidP="002F7D75">
      <w:r w:rsidRPr="002F7D75">
        <w:t>Sunderman, H. M. (2025). Growth-based grading: a non-traditional approach to grading in</w:t>
      </w:r>
    </w:p>
    <w:p w14:paraId="09B8E49B" w14:textId="09D5C7ED" w:rsidR="002F7D75" w:rsidRDefault="002F7D75" w:rsidP="002F7D75">
      <w:pPr>
        <w:ind w:left="720"/>
      </w:pPr>
      <w:r>
        <w:t>l</w:t>
      </w:r>
      <w:r w:rsidRPr="002F7D75">
        <w:t>eadership education. </w:t>
      </w:r>
      <w:r w:rsidRPr="002F7D75">
        <w:rPr>
          <w:i/>
          <w:iCs/>
        </w:rPr>
        <w:t>Journal of Leadership Education</w:t>
      </w:r>
      <w:r w:rsidRPr="002F7D75">
        <w:t>, 1-1</w:t>
      </w:r>
      <w:r>
        <w:t xml:space="preserve">6. </w:t>
      </w:r>
      <w:r w:rsidRPr="002F7D75">
        <w:t>https://doi.org/10.1108/JOLE-06-2025-0060</w:t>
      </w:r>
    </w:p>
    <w:p w14:paraId="2209E68D" w14:textId="77777777" w:rsidR="00124696" w:rsidRPr="00984011" w:rsidRDefault="00124696" w:rsidP="00A14C77">
      <w:pPr>
        <w:ind w:left="720" w:hanging="720"/>
      </w:pPr>
    </w:p>
    <w:p w14:paraId="4D492ABB" w14:textId="1B2D2CD7" w:rsidR="00907D71" w:rsidRDefault="00907D71" w:rsidP="00A14C77">
      <w:pPr>
        <w:ind w:left="720" w:hanging="720"/>
      </w:pPr>
      <w:r w:rsidRPr="00984011">
        <w:t xml:space="preserve">Tight, M. (2023). Employability: </w:t>
      </w:r>
      <w:r w:rsidR="00C352C5">
        <w:t>A</w:t>
      </w:r>
      <w:r w:rsidRPr="00984011">
        <w:t xml:space="preserve"> core role of higher education? </w:t>
      </w:r>
      <w:r w:rsidRPr="00984011">
        <w:rPr>
          <w:i/>
          <w:iCs/>
        </w:rPr>
        <w:t>Research in Post-Compulsory Education</w:t>
      </w:r>
      <w:r w:rsidRPr="00984011">
        <w:t>, </w:t>
      </w:r>
      <w:r w:rsidRPr="00984011">
        <w:rPr>
          <w:i/>
          <w:iCs/>
        </w:rPr>
        <w:t>28</w:t>
      </w:r>
      <w:r w:rsidRPr="00984011">
        <w:t xml:space="preserve">(4), 551–571. </w:t>
      </w:r>
      <w:r w:rsidR="002F7D75" w:rsidRPr="002F7D75">
        <w:t>https://doi.org/10.1080/13596748.2023.2253649</w:t>
      </w:r>
    </w:p>
    <w:p w14:paraId="01391378" w14:textId="77777777" w:rsidR="002F7D75" w:rsidRDefault="002F7D75" w:rsidP="00A14C77">
      <w:pPr>
        <w:ind w:left="720" w:hanging="720"/>
      </w:pPr>
    </w:p>
    <w:p w14:paraId="19D5672D" w14:textId="4E2AEA15" w:rsidR="002F7D75" w:rsidRPr="00984011" w:rsidRDefault="002F7D75" w:rsidP="00A14C77">
      <w:pPr>
        <w:ind w:left="720" w:hanging="720"/>
      </w:pPr>
    </w:p>
    <w:sectPr w:rsidR="002F7D75" w:rsidRPr="00984011" w:rsidSect="00CC0250">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A8029" w14:textId="77777777" w:rsidR="00E539DC" w:rsidRDefault="00E539DC" w:rsidP="009A1C92">
      <w:r>
        <w:separator/>
      </w:r>
    </w:p>
  </w:endnote>
  <w:endnote w:type="continuationSeparator" w:id="0">
    <w:p w14:paraId="4F23A501" w14:textId="77777777" w:rsidR="00E539DC" w:rsidRDefault="00E539DC" w:rsidP="009A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Narrow">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3752324"/>
      <w:docPartObj>
        <w:docPartGallery w:val="Page Numbers (Bottom of Page)"/>
        <w:docPartUnique/>
      </w:docPartObj>
    </w:sdtPr>
    <w:sdtEndPr>
      <w:rPr>
        <w:rStyle w:val="PageNumber"/>
      </w:rPr>
    </w:sdtEndPr>
    <w:sdtContent>
      <w:p w14:paraId="6F05CF3A" w14:textId="0DDE02FE" w:rsidR="009764D1" w:rsidRDefault="009764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624BE0" w14:textId="77777777" w:rsidR="009764D1" w:rsidRDefault="00976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8619212"/>
      <w:docPartObj>
        <w:docPartGallery w:val="Page Numbers (Bottom of Page)"/>
        <w:docPartUnique/>
      </w:docPartObj>
    </w:sdtPr>
    <w:sdtEndPr>
      <w:rPr>
        <w:rStyle w:val="PageNumber"/>
      </w:rPr>
    </w:sdtEndPr>
    <w:sdtContent>
      <w:p w14:paraId="3B28CFFE" w14:textId="618E2975" w:rsidR="009764D1" w:rsidRDefault="009764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523E32" w14:textId="77777777" w:rsidR="009764D1" w:rsidRDefault="00976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E8CD2" w14:textId="77777777" w:rsidR="00E539DC" w:rsidRDefault="00E539DC" w:rsidP="009A1C92">
      <w:r>
        <w:separator/>
      </w:r>
    </w:p>
  </w:footnote>
  <w:footnote w:type="continuationSeparator" w:id="0">
    <w:p w14:paraId="0B59017B" w14:textId="77777777" w:rsidR="00E539DC" w:rsidRDefault="00E539DC" w:rsidP="009A1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34BFA" w14:textId="076D81C3" w:rsidR="009A1C92" w:rsidRDefault="009A1C92">
    <w:pPr>
      <w:pStyle w:val="Header"/>
    </w:pPr>
    <w:r w:rsidRPr="009A1C92">
      <w:t>Scholarship of Teaching and Learning</w:t>
    </w:r>
  </w:p>
</w:hdr>
</file>

<file path=word/intelligence2.xml><?xml version="1.0" encoding="utf-8"?>
<int2:intelligence xmlns:int2="http://schemas.microsoft.com/office/intelligence/2020/intelligence" xmlns:oel="http://schemas.microsoft.com/office/2019/extlst">
  <int2:observations>
    <int2:textHash int2:hashCode="NRyMzcl3JhVKh8" int2:id="9EAc2dZ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67E84"/>
    <w:multiLevelType w:val="hybridMultilevel"/>
    <w:tmpl w:val="FFFFFFFF"/>
    <w:lvl w:ilvl="0" w:tplc="6E3E9A06">
      <w:start w:val="1"/>
      <w:numFmt w:val="bullet"/>
      <w:lvlText w:val=""/>
      <w:lvlJc w:val="left"/>
      <w:pPr>
        <w:ind w:left="720" w:hanging="360"/>
      </w:pPr>
      <w:rPr>
        <w:rFonts w:ascii="Symbol" w:hAnsi="Symbol" w:hint="default"/>
      </w:rPr>
    </w:lvl>
    <w:lvl w:ilvl="1" w:tplc="822419F8">
      <w:start w:val="1"/>
      <w:numFmt w:val="bullet"/>
      <w:lvlText w:val="o"/>
      <w:lvlJc w:val="left"/>
      <w:pPr>
        <w:ind w:left="1440" w:hanging="360"/>
      </w:pPr>
      <w:rPr>
        <w:rFonts w:ascii="Courier New" w:hAnsi="Courier New" w:hint="default"/>
      </w:rPr>
    </w:lvl>
    <w:lvl w:ilvl="2" w:tplc="C61CCB8E">
      <w:start w:val="1"/>
      <w:numFmt w:val="bullet"/>
      <w:lvlText w:val=""/>
      <w:lvlJc w:val="left"/>
      <w:pPr>
        <w:ind w:left="2160" w:hanging="360"/>
      </w:pPr>
      <w:rPr>
        <w:rFonts w:ascii="Wingdings" w:hAnsi="Wingdings" w:hint="default"/>
      </w:rPr>
    </w:lvl>
    <w:lvl w:ilvl="3" w:tplc="90627F9A">
      <w:start w:val="1"/>
      <w:numFmt w:val="bullet"/>
      <w:lvlText w:val=""/>
      <w:lvlJc w:val="left"/>
      <w:pPr>
        <w:ind w:left="2880" w:hanging="360"/>
      </w:pPr>
      <w:rPr>
        <w:rFonts w:ascii="Symbol" w:hAnsi="Symbol" w:hint="default"/>
      </w:rPr>
    </w:lvl>
    <w:lvl w:ilvl="4" w:tplc="D592FA4E">
      <w:start w:val="1"/>
      <w:numFmt w:val="bullet"/>
      <w:lvlText w:val="o"/>
      <w:lvlJc w:val="left"/>
      <w:pPr>
        <w:ind w:left="3600" w:hanging="360"/>
      </w:pPr>
      <w:rPr>
        <w:rFonts w:ascii="Courier New" w:hAnsi="Courier New" w:hint="default"/>
      </w:rPr>
    </w:lvl>
    <w:lvl w:ilvl="5" w:tplc="1F7E9CF8">
      <w:start w:val="1"/>
      <w:numFmt w:val="bullet"/>
      <w:lvlText w:val=""/>
      <w:lvlJc w:val="left"/>
      <w:pPr>
        <w:ind w:left="4320" w:hanging="360"/>
      </w:pPr>
      <w:rPr>
        <w:rFonts w:ascii="Wingdings" w:hAnsi="Wingdings" w:hint="default"/>
      </w:rPr>
    </w:lvl>
    <w:lvl w:ilvl="6" w:tplc="5A9A434A">
      <w:start w:val="1"/>
      <w:numFmt w:val="bullet"/>
      <w:lvlText w:val=""/>
      <w:lvlJc w:val="left"/>
      <w:pPr>
        <w:ind w:left="5040" w:hanging="360"/>
      </w:pPr>
      <w:rPr>
        <w:rFonts w:ascii="Symbol" w:hAnsi="Symbol" w:hint="default"/>
      </w:rPr>
    </w:lvl>
    <w:lvl w:ilvl="7" w:tplc="CDE2DF34">
      <w:start w:val="1"/>
      <w:numFmt w:val="bullet"/>
      <w:lvlText w:val="o"/>
      <w:lvlJc w:val="left"/>
      <w:pPr>
        <w:ind w:left="5760" w:hanging="360"/>
      </w:pPr>
      <w:rPr>
        <w:rFonts w:ascii="Courier New" w:hAnsi="Courier New" w:hint="default"/>
      </w:rPr>
    </w:lvl>
    <w:lvl w:ilvl="8" w:tplc="810E8C48">
      <w:start w:val="1"/>
      <w:numFmt w:val="bullet"/>
      <w:lvlText w:val=""/>
      <w:lvlJc w:val="left"/>
      <w:pPr>
        <w:ind w:left="6480" w:hanging="360"/>
      </w:pPr>
      <w:rPr>
        <w:rFonts w:ascii="Wingdings" w:hAnsi="Wingdings" w:hint="default"/>
      </w:rPr>
    </w:lvl>
  </w:abstractNum>
  <w:abstractNum w:abstractNumId="1" w15:restartNumberingAfterBreak="0">
    <w:nsid w:val="2BA17E72"/>
    <w:multiLevelType w:val="hybridMultilevel"/>
    <w:tmpl w:val="FFFFFFFF"/>
    <w:lvl w:ilvl="0" w:tplc="FFD8C50C">
      <w:start w:val="1"/>
      <w:numFmt w:val="decimal"/>
      <w:lvlText w:val="(%1)"/>
      <w:lvlJc w:val="left"/>
      <w:pPr>
        <w:ind w:left="1080" w:hanging="360"/>
      </w:pPr>
    </w:lvl>
    <w:lvl w:ilvl="1" w:tplc="11C659A2">
      <w:start w:val="1"/>
      <w:numFmt w:val="lowerLetter"/>
      <w:lvlText w:val="%2."/>
      <w:lvlJc w:val="left"/>
      <w:pPr>
        <w:ind w:left="1800" w:hanging="360"/>
      </w:pPr>
    </w:lvl>
    <w:lvl w:ilvl="2" w:tplc="0EBECC1C">
      <w:start w:val="1"/>
      <w:numFmt w:val="lowerRoman"/>
      <w:lvlText w:val="%3."/>
      <w:lvlJc w:val="right"/>
      <w:pPr>
        <w:ind w:left="2520" w:hanging="180"/>
      </w:pPr>
    </w:lvl>
    <w:lvl w:ilvl="3" w:tplc="CFEC1344">
      <w:start w:val="1"/>
      <w:numFmt w:val="decimal"/>
      <w:lvlText w:val="%4."/>
      <w:lvlJc w:val="left"/>
      <w:pPr>
        <w:ind w:left="3240" w:hanging="360"/>
      </w:pPr>
    </w:lvl>
    <w:lvl w:ilvl="4" w:tplc="6730F940">
      <w:start w:val="1"/>
      <w:numFmt w:val="lowerLetter"/>
      <w:lvlText w:val="%5."/>
      <w:lvlJc w:val="left"/>
      <w:pPr>
        <w:ind w:left="3960" w:hanging="360"/>
      </w:pPr>
    </w:lvl>
    <w:lvl w:ilvl="5" w:tplc="8DC679B8">
      <w:start w:val="1"/>
      <w:numFmt w:val="lowerRoman"/>
      <w:lvlText w:val="%6."/>
      <w:lvlJc w:val="right"/>
      <w:pPr>
        <w:ind w:left="4680" w:hanging="180"/>
      </w:pPr>
    </w:lvl>
    <w:lvl w:ilvl="6" w:tplc="2F0C290C">
      <w:start w:val="1"/>
      <w:numFmt w:val="decimal"/>
      <w:lvlText w:val="%7."/>
      <w:lvlJc w:val="left"/>
      <w:pPr>
        <w:ind w:left="5400" w:hanging="360"/>
      </w:pPr>
    </w:lvl>
    <w:lvl w:ilvl="7" w:tplc="25D4C388">
      <w:start w:val="1"/>
      <w:numFmt w:val="lowerLetter"/>
      <w:lvlText w:val="%8."/>
      <w:lvlJc w:val="left"/>
      <w:pPr>
        <w:ind w:left="6120" w:hanging="360"/>
      </w:pPr>
    </w:lvl>
    <w:lvl w:ilvl="8" w:tplc="ED241BF0">
      <w:start w:val="1"/>
      <w:numFmt w:val="lowerRoman"/>
      <w:lvlText w:val="%9."/>
      <w:lvlJc w:val="right"/>
      <w:pPr>
        <w:ind w:left="6840" w:hanging="180"/>
      </w:pPr>
    </w:lvl>
  </w:abstractNum>
  <w:abstractNum w:abstractNumId="2" w15:restartNumberingAfterBreak="0">
    <w:nsid w:val="3F9322AF"/>
    <w:multiLevelType w:val="multilevel"/>
    <w:tmpl w:val="9D68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0E0210"/>
    <w:multiLevelType w:val="hybridMultilevel"/>
    <w:tmpl w:val="8BEA18D8"/>
    <w:lvl w:ilvl="0" w:tplc="9996B5F8">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555698">
    <w:abstractNumId w:val="1"/>
  </w:num>
  <w:num w:numId="2" w16cid:durableId="772634295">
    <w:abstractNumId w:val="0"/>
  </w:num>
  <w:num w:numId="3" w16cid:durableId="1950699437">
    <w:abstractNumId w:val="3"/>
  </w:num>
  <w:num w:numId="4" w16cid:durableId="932469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A6"/>
    <w:rsid w:val="000041CA"/>
    <w:rsid w:val="00005F07"/>
    <w:rsid w:val="00010945"/>
    <w:rsid w:val="00013DE0"/>
    <w:rsid w:val="0001D769"/>
    <w:rsid w:val="00020546"/>
    <w:rsid w:val="000229CB"/>
    <w:rsid w:val="00024F6D"/>
    <w:rsid w:val="00027C32"/>
    <w:rsid w:val="00035D2A"/>
    <w:rsid w:val="00037A42"/>
    <w:rsid w:val="00043ABF"/>
    <w:rsid w:val="0004400B"/>
    <w:rsid w:val="000443A8"/>
    <w:rsid w:val="00046648"/>
    <w:rsid w:val="00051A2E"/>
    <w:rsid w:val="00053388"/>
    <w:rsid w:val="000568EC"/>
    <w:rsid w:val="000617A0"/>
    <w:rsid w:val="00065047"/>
    <w:rsid w:val="00067AAA"/>
    <w:rsid w:val="00082F00"/>
    <w:rsid w:val="00083E06"/>
    <w:rsid w:val="00087609"/>
    <w:rsid w:val="000A4C3F"/>
    <w:rsid w:val="000A5437"/>
    <w:rsid w:val="000A624B"/>
    <w:rsid w:val="000A6D86"/>
    <w:rsid w:val="000C184E"/>
    <w:rsid w:val="000C7DAD"/>
    <w:rsid w:val="000D0198"/>
    <w:rsid w:val="000D08FF"/>
    <w:rsid w:val="000D44F0"/>
    <w:rsid w:val="000D79BE"/>
    <w:rsid w:val="000D7B99"/>
    <w:rsid w:val="000E172B"/>
    <w:rsid w:val="000E1EBF"/>
    <w:rsid w:val="000E3889"/>
    <w:rsid w:val="000E753C"/>
    <w:rsid w:val="000F5BD5"/>
    <w:rsid w:val="000F6F74"/>
    <w:rsid w:val="00101787"/>
    <w:rsid w:val="00101EC6"/>
    <w:rsid w:val="001041B5"/>
    <w:rsid w:val="0010540A"/>
    <w:rsid w:val="00105A3D"/>
    <w:rsid w:val="00105D02"/>
    <w:rsid w:val="00107AED"/>
    <w:rsid w:val="00111E35"/>
    <w:rsid w:val="001126A2"/>
    <w:rsid w:val="00114876"/>
    <w:rsid w:val="00115AF9"/>
    <w:rsid w:val="00124696"/>
    <w:rsid w:val="0012635C"/>
    <w:rsid w:val="0013243B"/>
    <w:rsid w:val="001355E2"/>
    <w:rsid w:val="00140492"/>
    <w:rsid w:val="00144F2D"/>
    <w:rsid w:val="00154F41"/>
    <w:rsid w:val="001563B2"/>
    <w:rsid w:val="0016162A"/>
    <w:rsid w:val="00173F40"/>
    <w:rsid w:val="00190320"/>
    <w:rsid w:val="00190881"/>
    <w:rsid w:val="001A0014"/>
    <w:rsid w:val="001A44E8"/>
    <w:rsid w:val="001A5498"/>
    <w:rsid w:val="001A6A2C"/>
    <w:rsid w:val="001B0E16"/>
    <w:rsid w:val="001B5A89"/>
    <w:rsid w:val="001C2108"/>
    <w:rsid w:val="001C379C"/>
    <w:rsid w:val="001C51F1"/>
    <w:rsid w:val="001D1872"/>
    <w:rsid w:val="001D1DB3"/>
    <w:rsid w:val="001D5E87"/>
    <w:rsid w:val="001D673A"/>
    <w:rsid w:val="001E46F6"/>
    <w:rsid w:val="001E4892"/>
    <w:rsid w:val="001E4B06"/>
    <w:rsid w:val="001E59A2"/>
    <w:rsid w:val="001E59BE"/>
    <w:rsid w:val="001F34AC"/>
    <w:rsid w:val="001F3A6D"/>
    <w:rsid w:val="00204921"/>
    <w:rsid w:val="0020729D"/>
    <w:rsid w:val="00213E56"/>
    <w:rsid w:val="00216BAA"/>
    <w:rsid w:val="00223699"/>
    <w:rsid w:val="002250FE"/>
    <w:rsid w:val="0022688F"/>
    <w:rsid w:val="00226E1D"/>
    <w:rsid w:val="00230988"/>
    <w:rsid w:val="00231430"/>
    <w:rsid w:val="002349B9"/>
    <w:rsid w:val="0023534B"/>
    <w:rsid w:val="00243294"/>
    <w:rsid w:val="0024485D"/>
    <w:rsid w:val="002448E8"/>
    <w:rsid w:val="002505E5"/>
    <w:rsid w:val="00253134"/>
    <w:rsid w:val="00263AF2"/>
    <w:rsid w:val="00266494"/>
    <w:rsid w:val="00267833"/>
    <w:rsid w:val="00273E02"/>
    <w:rsid w:val="0027660E"/>
    <w:rsid w:val="0028073C"/>
    <w:rsid w:val="002925E4"/>
    <w:rsid w:val="002A1360"/>
    <w:rsid w:val="002B1658"/>
    <w:rsid w:val="002B543B"/>
    <w:rsid w:val="002C0ECA"/>
    <w:rsid w:val="002D5E3D"/>
    <w:rsid w:val="002D67E5"/>
    <w:rsid w:val="002F354B"/>
    <w:rsid w:val="002F3BA9"/>
    <w:rsid w:val="002F78D2"/>
    <w:rsid w:val="002F7CE0"/>
    <w:rsid w:val="002F7D75"/>
    <w:rsid w:val="00300B73"/>
    <w:rsid w:val="0030362A"/>
    <w:rsid w:val="003136B6"/>
    <w:rsid w:val="00320E37"/>
    <w:rsid w:val="003211E9"/>
    <w:rsid w:val="003323D9"/>
    <w:rsid w:val="00347232"/>
    <w:rsid w:val="00351C2E"/>
    <w:rsid w:val="00352D0F"/>
    <w:rsid w:val="0035400A"/>
    <w:rsid w:val="00356B7E"/>
    <w:rsid w:val="0036096F"/>
    <w:rsid w:val="00361AAF"/>
    <w:rsid w:val="00363F8C"/>
    <w:rsid w:val="003717D6"/>
    <w:rsid w:val="00376A01"/>
    <w:rsid w:val="00382DC9"/>
    <w:rsid w:val="003904E9"/>
    <w:rsid w:val="00392359"/>
    <w:rsid w:val="003951FE"/>
    <w:rsid w:val="003952E8"/>
    <w:rsid w:val="003A4130"/>
    <w:rsid w:val="003A79B1"/>
    <w:rsid w:val="003B3968"/>
    <w:rsid w:val="003B3A2B"/>
    <w:rsid w:val="003B4325"/>
    <w:rsid w:val="003B528F"/>
    <w:rsid w:val="003C16FA"/>
    <w:rsid w:val="003C5624"/>
    <w:rsid w:val="003C75A1"/>
    <w:rsid w:val="003D57FF"/>
    <w:rsid w:val="003D660C"/>
    <w:rsid w:val="003D7066"/>
    <w:rsid w:val="003E7866"/>
    <w:rsid w:val="003F11BE"/>
    <w:rsid w:val="003F11F9"/>
    <w:rsid w:val="003F7916"/>
    <w:rsid w:val="003F7FBD"/>
    <w:rsid w:val="004051B0"/>
    <w:rsid w:val="0040676B"/>
    <w:rsid w:val="00406D5F"/>
    <w:rsid w:val="00416706"/>
    <w:rsid w:val="00421118"/>
    <w:rsid w:val="004277B2"/>
    <w:rsid w:val="004344E6"/>
    <w:rsid w:val="00435145"/>
    <w:rsid w:val="00435DE9"/>
    <w:rsid w:val="00453C64"/>
    <w:rsid w:val="00455003"/>
    <w:rsid w:val="00461DF2"/>
    <w:rsid w:val="00462C27"/>
    <w:rsid w:val="0046597E"/>
    <w:rsid w:val="0048430F"/>
    <w:rsid w:val="00494EF2"/>
    <w:rsid w:val="00497D0A"/>
    <w:rsid w:val="004A4808"/>
    <w:rsid w:val="004A4C91"/>
    <w:rsid w:val="004A5849"/>
    <w:rsid w:val="004B5033"/>
    <w:rsid w:val="004C2708"/>
    <w:rsid w:val="004D0144"/>
    <w:rsid w:val="004D2126"/>
    <w:rsid w:val="004D3910"/>
    <w:rsid w:val="004D763D"/>
    <w:rsid w:val="004E2F12"/>
    <w:rsid w:val="004E4AE8"/>
    <w:rsid w:val="004F36BD"/>
    <w:rsid w:val="004F4D66"/>
    <w:rsid w:val="004F5C7B"/>
    <w:rsid w:val="00503422"/>
    <w:rsid w:val="005054D1"/>
    <w:rsid w:val="00505CC2"/>
    <w:rsid w:val="005115A6"/>
    <w:rsid w:val="00514E4D"/>
    <w:rsid w:val="00515C06"/>
    <w:rsid w:val="0052413E"/>
    <w:rsid w:val="005268A8"/>
    <w:rsid w:val="00526908"/>
    <w:rsid w:val="00527A1F"/>
    <w:rsid w:val="00527AA0"/>
    <w:rsid w:val="00535AF0"/>
    <w:rsid w:val="005362D3"/>
    <w:rsid w:val="00537F03"/>
    <w:rsid w:val="00540CD6"/>
    <w:rsid w:val="00552E69"/>
    <w:rsid w:val="0056164E"/>
    <w:rsid w:val="00561DD1"/>
    <w:rsid w:val="00570664"/>
    <w:rsid w:val="00575346"/>
    <w:rsid w:val="0058157E"/>
    <w:rsid w:val="005921D5"/>
    <w:rsid w:val="005A06AA"/>
    <w:rsid w:val="005A26BB"/>
    <w:rsid w:val="005A5FC5"/>
    <w:rsid w:val="005A6B2F"/>
    <w:rsid w:val="005B4FDF"/>
    <w:rsid w:val="005B7B64"/>
    <w:rsid w:val="005D0288"/>
    <w:rsid w:val="005D14DE"/>
    <w:rsid w:val="005D2E4D"/>
    <w:rsid w:val="005E20CB"/>
    <w:rsid w:val="005E38FB"/>
    <w:rsid w:val="005E4A14"/>
    <w:rsid w:val="005F063A"/>
    <w:rsid w:val="005F08C6"/>
    <w:rsid w:val="005F6EF3"/>
    <w:rsid w:val="00604E95"/>
    <w:rsid w:val="006055B8"/>
    <w:rsid w:val="006212D1"/>
    <w:rsid w:val="0062356F"/>
    <w:rsid w:val="00626D64"/>
    <w:rsid w:val="00627021"/>
    <w:rsid w:val="006309D3"/>
    <w:rsid w:val="006372D4"/>
    <w:rsid w:val="00641E7B"/>
    <w:rsid w:val="006448EE"/>
    <w:rsid w:val="0064667A"/>
    <w:rsid w:val="0065214C"/>
    <w:rsid w:val="0065435F"/>
    <w:rsid w:val="006552D5"/>
    <w:rsid w:val="00656370"/>
    <w:rsid w:val="00656F43"/>
    <w:rsid w:val="00660D09"/>
    <w:rsid w:val="00660D2F"/>
    <w:rsid w:val="006629DD"/>
    <w:rsid w:val="0067152A"/>
    <w:rsid w:val="00677939"/>
    <w:rsid w:val="00677E03"/>
    <w:rsid w:val="006825A4"/>
    <w:rsid w:val="00685A19"/>
    <w:rsid w:val="00685C3C"/>
    <w:rsid w:val="006863D9"/>
    <w:rsid w:val="00693FE5"/>
    <w:rsid w:val="00696F6E"/>
    <w:rsid w:val="006A1E14"/>
    <w:rsid w:val="006A36A8"/>
    <w:rsid w:val="006A606C"/>
    <w:rsid w:val="006B10C0"/>
    <w:rsid w:val="006B5910"/>
    <w:rsid w:val="006B5953"/>
    <w:rsid w:val="006C16D5"/>
    <w:rsid w:val="006C4E7C"/>
    <w:rsid w:val="006D4461"/>
    <w:rsid w:val="006E6AC0"/>
    <w:rsid w:val="006E7018"/>
    <w:rsid w:val="006F71BB"/>
    <w:rsid w:val="00700AAB"/>
    <w:rsid w:val="007035E8"/>
    <w:rsid w:val="00703DBA"/>
    <w:rsid w:val="00703DEA"/>
    <w:rsid w:val="007048F0"/>
    <w:rsid w:val="007078F9"/>
    <w:rsid w:val="00713B88"/>
    <w:rsid w:val="00716AB8"/>
    <w:rsid w:val="00716C28"/>
    <w:rsid w:val="00722A20"/>
    <w:rsid w:val="00724E22"/>
    <w:rsid w:val="0072540C"/>
    <w:rsid w:val="00726181"/>
    <w:rsid w:val="00735CF4"/>
    <w:rsid w:val="00745629"/>
    <w:rsid w:val="007538DA"/>
    <w:rsid w:val="00760A48"/>
    <w:rsid w:val="0076168D"/>
    <w:rsid w:val="00771096"/>
    <w:rsid w:val="00777A9A"/>
    <w:rsid w:val="00784295"/>
    <w:rsid w:val="0079774B"/>
    <w:rsid w:val="007A3FD4"/>
    <w:rsid w:val="007A4263"/>
    <w:rsid w:val="007A7B65"/>
    <w:rsid w:val="007B0629"/>
    <w:rsid w:val="007B0E45"/>
    <w:rsid w:val="007B161D"/>
    <w:rsid w:val="007B1F3C"/>
    <w:rsid w:val="007B3F65"/>
    <w:rsid w:val="007B4246"/>
    <w:rsid w:val="007B7578"/>
    <w:rsid w:val="007B7DAD"/>
    <w:rsid w:val="007C2133"/>
    <w:rsid w:val="007C2A9A"/>
    <w:rsid w:val="007C3BF2"/>
    <w:rsid w:val="007C3CF0"/>
    <w:rsid w:val="007C428A"/>
    <w:rsid w:val="007C704B"/>
    <w:rsid w:val="007D440C"/>
    <w:rsid w:val="007D56C9"/>
    <w:rsid w:val="007D7354"/>
    <w:rsid w:val="007E262D"/>
    <w:rsid w:val="007E4770"/>
    <w:rsid w:val="007F67FE"/>
    <w:rsid w:val="00801576"/>
    <w:rsid w:val="0081212C"/>
    <w:rsid w:val="00824567"/>
    <w:rsid w:val="00831D83"/>
    <w:rsid w:val="00832066"/>
    <w:rsid w:val="0083304C"/>
    <w:rsid w:val="00834434"/>
    <w:rsid w:val="0083546A"/>
    <w:rsid w:val="00836350"/>
    <w:rsid w:val="00837284"/>
    <w:rsid w:val="00837E9E"/>
    <w:rsid w:val="008411FE"/>
    <w:rsid w:val="008458A1"/>
    <w:rsid w:val="008527C1"/>
    <w:rsid w:val="00856AE0"/>
    <w:rsid w:val="0086337D"/>
    <w:rsid w:val="00865E5E"/>
    <w:rsid w:val="00881770"/>
    <w:rsid w:val="00883CC4"/>
    <w:rsid w:val="00887FFC"/>
    <w:rsid w:val="008A508F"/>
    <w:rsid w:val="008A63BD"/>
    <w:rsid w:val="008A7008"/>
    <w:rsid w:val="008B5256"/>
    <w:rsid w:val="008C033E"/>
    <w:rsid w:val="008C1DE3"/>
    <w:rsid w:val="008C2DFD"/>
    <w:rsid w:val="008C681B"/>
    <w:rsid w:val="008D2857"/>
    <w:rsid w:val="008D43EE"/>
    <w:rsid w:val="008E1803"/>
    <w:rsid w:val="008E54DC"/>
    <w:rsid w:val="008F5E23"/>
    <w:rsid w:val="00905F7E"/>
    <w:rsid w:val="0090625F"/>
    <w:rsid w:val="00907D71"/>
    <w:rsid w:val="00910579"/>
    <w:rsid w:val="00914C17"/>
    <w:rsid w:val="00916CE5"/>
    <w:rsid w:val="00924F7A"/>
    <w:rsid w:val="00934A66"/>
    <w:rsid w:val="0093668A"/>
    <w:rsid w:val="00940BB7"/>
    <w:rsid w:val="00951965"/>
    <w:rsid w:val="009564F0"/>
    <w:rsid w:val="00956A32"/>
    <w:rsid w:val="009622A0"/>
    <w:rsid w:val="00963EE2"/>
    <w:rsid w:val="009671B9"/>
    <w:rsid w:val="00967552"/>
    <w:rsid w:val="009712C0"/>
    <w:rsid w:val="00972987"/>
    <w:rsid w:val="00972E00"/>
    <w:rsid w:val="009764D1"/>
    <w:rsid w:val="00984011"/>
    <w:rsid w:val="0098675F"/>
    <w:rsid w:val="0099132E"/>
    <w:rsid w:val="00991CC6"/>
    <w:rsid w:val="00992C97"/>
    <w:rsid w:val="00993C62"/>
    <w:rsid w:val="009A0AF3"/>
    <w:rsid w:val="009A1C92"/>
    <w:rsid w:val="009A50CD"/>
    <w:rsid w:val="009B3931"/>
    <w:rsid w:val="009B54C7"/>
    <w:rsid w:val="009C2687"/>
    <w:rsid w:val="009C7FE8"/>
    <w:rsid w:val="009D04D4"/>
    <w:rsid w:val="009D17A8"/>
    <w:rsid w:val="009D7F2E"/>
    <w:rsid w:val="009E3F19"/>
    <w:rsid w:val="009F0761"/>
    <w:rsid w:val="009F4251"/>
    <w:rsid w:val="009F59E4"/>
    <w:rsid w:val="009F739F"/>
    <w:rsid w:val="00A079F8"/>
    <w:rsid w:val="00A07A2B"/>
    <w:rsid w:val="00A11E0A"/>
    <w:rsid w:val="00A14C77"/>
    <w:rsid w:val="00A15C10"/>
    <w:rsid w:val="00A215CB"/>
    <w:rsid w:val="00A30ABD"/>
    <w:rsid w:val="00A30B10"/>
    <w:rsid w:val="00A31439"/>
    <w:rsid w:val="00A31B72"/>
    <w:rsid w:val="00A325E2"/>
    <w:rsid w:val="00A32DF5"/>
    <w:rsid w:val="00A345A5"/>
    <w:rsid w:val="00A35A0C"/>
    <w:rsid w:val="00A3724E"/>
    <w:rsid w:val="00A440F0"/>
    <w:rsid w:val="00A4728D"/>
    <w:rsid w:val="00A55EE1"/>
    <w:rsid w:val="00A618CE"/>
    <w:rsid w:val="00A6199B"/>
    <w:rsid w:val="00A62956"/>
    <w:rsid w:val="00A6505F"/>
    <w:rsid w:val="00A66A3D"/>
    <w:rsid w:val="00A73CEF"/>
    <w:rsid w:val="00A74F57"/>
    <w:rsid w:val="00A82BFE"/>
    <w:rsid w:val="00A87067"/>
    <w:rsid w:val="00A87D27"/>
    <w:rsid w:val="00A92CB2"/>
    <w:rsid w:val="00A96A82"/>
    <w:rsid w:val="00AA25F0"/>
    <w:rsid w:val="00AA7E3C"/>
    <w:rsid w:val="00AB4744"/>
    <w:rsid w:val="00AB781D"/>
    <w:rsid w:val="00AC41B1"/>
    <w:rsid w:val="00AC4CF2"/>
    <w:rsid w:val="00AC5B48"/>
    <w:rsid w:val="00AC7702"/>
    <w:rsid w:val="00AD6485"/>
    <w:rsid w:val="00AD6E52"/>
    <w:rsid w:val="00AF2D1F"/>
    <w:rsid w:val="00AF5276"/>
    <w:rsid w:val="00AF63CA"/>
    <w:rsid w:val="00B02CD4"/>
    <w:rsid w:val="00B102AA"/>
    <w:rsid w:val="00B12485"/>
    <w:rsid w:val="00B21272"/>
    <w:rsid w:val="00B24DD3"/>
    <w:rsid w:val="00B250EB"/>
    <w:rsid w:val="00B2615A"/>
    <w:rsid w:val="00B26C81"/>
    <w:rsid w:val="00B35D4D"/>
    <w:rsid w:val="00B36266"/>
    <w:rsid w:val="00B40BD4"/>
    <w:rsid w:val="00B50409"/>
    <w:rsid w:val="00B51308"/>
    <w:rsid w:val="00B530F7"/>
    <w:rsid w:val="00B6474B"/>
    <w:rsid w:val="00B66ECE"/>
    <w:rsid w:val="00B70FB6"/>
    <w:rsid w:val="00B71575"/>
    <w:rsid w:val="00B774F9"/>
    <w:rsid w:val="00B77CEB"/>
    <w:rsid w:val="00BA2FB1"/>
    <w:rsid w:val="00BA3405"/>
    <w:rsid w:val="00BA4465"/>
    <w:rsid w:val="00BA5D84"/>
    <w:rsid w:val="00BA6BD4"/>
    <w:rsid w:val="00BB1DFE"/>
    <w:rsid w:val="00BB6394"/>
    <w:rsid w:val="00BC4644"/>
    <w:rsid w:val="00BC66E4"/>
    <w:rsid w:val="00BC6A7F"/>
    <w:rsid w:val="00BD04A7"/>
    <w:rsid w:val="00BD6863"/>
    <w:rsid w:val="00BE130E"/>
    <w:rsid w:val="00BE2502"/>
    <w:rsid w:val="00BE5EA8"/>
    <w:rsid w:val="00BE6493"/>
    <w:rsid w:val="00BF0839"/>
    <w:rsid w:val="00BF357C"/>
    <w:rsid w:val="00BF43AC"/>
    <w:rsid w:val="00C00062"/>
    <w:rsid w:val="00C04300"/>
    <w:rsid w:val="00C05651"/>
    <w:rsid w:val="00C1429C"/>
    <w:rsid w:val="00C23D38"/>
    <w:rsid w:val="00C318CF"/>
    <w:rsid w:val="00C352C5"/>
    <w:rsid w:val="00C3799F"/>
    <w:rsid w:val="00C41F74"/>
    <w:rsid w:val="00C42133"/>
    <w:rsid w:val="00C4250B"/>
    <w:rsid w:val="00C4326C"/>
    <w:rsid w:val="00C4364D"/>
    <w:rsid w:val="00C51980"/>
    <w:rsid w:val="00C51C56"/>
    <w:rsid w:val="00C54370"/>
    <w:rsid w:val="00C5568C"/>
    <w:rsid w:val="00C5784F"/>
    <w:rsid w:val="00C57D87"/>
    <w:rsid w:val="00C61C48"/>
    <w:rsid w:val="00C625B1"/>
    <w:rsid w:val="00C6325D"/>
    <w:rsid w:val="00C6459C"/>
    <w:rsid w:val="00C70609"/>
    <w:rsid w:val="00C71248"/>
    <w:rsid w:val="00C73479"/>
    <w:rsid w:val="00C751F6"/>
    <w:rsid w:val="00C821E2"/>
    <w:rsid w:val="00C825CF"/>
    <w:rsid w:val="00C871E2"/>
    <w:rsid w:val="00C97849"/>
    <w:rsid w:val="00CA356D"/>
    <w:rsid w:val="00CA4E4F"/>
    <w:rsid w:val="00CC0250"/>
    <w:rsid w:val="00CC09B9"/>
    <w:rsid w:val="00CC1ED2"/>
    <w:rsid w:val="00CD0D26"/>
    <w:rsid w:val="00CE1F6D"/>
    <w:rsid w:val="00CE30CF"/>
    <w:rsid w:val="00CE4F74"/>
    <w:rsid w:val="00CF4C27"/>
    <w:rsid w:val="00CF5130"/>
    <w:rsid w:val="00D161CA"/>
    <w:rsid w:val="00D24227"/>
    <w:rsid w:val="00D260E5"/>
    <w:rsid w:val="00D27947"/>
    <w:rsid w:val="00D5119D"/>
    <w:rsid w:val="00D55B15"/>
    <w:rsid w:val="00D60090"/>
    <w:rsid w:val="00D6603F"/>
    <w:rsid w:val="00D81A22"/>
    <w:rsid w:val="00D82024"/>
    <w:rsid w:val="00D9369C"/>
    <w:rsid w:val="00DA1A1E"/>
    <w:rsid w:val="00DA1CF7"/>
    <w:rsid w:val="00DA23A5"/>
    <w:rsid w:val="00DA28F5"/>
    <w:rsid w:val="00DB0B76"/>
    <w:rsid w:val="00DB32E9"/>
    <w:rsid w:val="00DB3A8A"/>
    <w:rsid w:val="00DC282A"/>
    <w:rsid w:val="00DD2EE4"/>
    <w:rsid w:val="00DE166D"/>
    <w:rsid w:val="00DE18F5"/>
    <w:rsid w:val="00DE2710"/>
    <w:rsid w:val="00DE5A64"/>
    <w:rsid w:val="00E007F8"/>
    <w:rsid w:val="00E01CCB"/>
    <w:rsid w:val="00E030BD"/>
    <w:rsid w:val="00E038C6"/>
    <w:rsid w:val="00E07364"/>
    <w:rsid w:val="00E13932"/>
    <w:rsid w:val="00E14E6B"/>
    <w:rsid w:val="00E15B50"/>
    <w:rsid w:val="00E2072B"/>
    <w:rsid w:val="00E30B2A"/>
    <w:rsid w:val="00E32358"/>
    <w:rsid w:val="00E3261A"/>
    <w:rsid w:val="00E3300D"/>
    <w:rsid w:val="00E452ED"/>
    <w:rsid w:val="00E45613"/>
    <w:rsid w:val="00E46EAD"/>
    <w:rsid w:val="00E539DC"/>
    <w:rsid w:val="00E6008C"/>
    <w:rsid w:val="00E6585A"/>
    <w:rsid w:val="00E66161"/>
    <w:rsid w:val="00E70A87"/>
    <w:rsid w:val="00E74EF0"/>
    <w:rsid w:val="00E76595"/>
    <w:rsid w:val="00E801E8"/>
    <w:rsid w:val="00E822FD"/>
    <w:rsid w:val="00E82CE0"/>
    <w:rsid w:val="00E845EA"/>
    <w:rsid w:val="00E9194F"/>
    <w:rsid w:val="00E92DA3"/>
    <w:rsid w:val="00E939DB"/>
    <w:rsid w:val="00E969EA"/>
    <w:rsid w:val="00EA04F6"/>
    <w:rsid w:val="00EA73A3"/>
    <w:rsid w:val="00EA76B2"/>
    <w:rsid w:val="00EB1E17"/>
    <w:rsid w:val="00EC4087"/>
    <w:rsid w:val="00ED0FBE"/>
    <w:rsid w:val="00ED1727"/>
    <w:rsid w:val="00ED3602"/>
    <w:rsid w:val="00ED511D"/>
    <w:rsid w:val="00EE04E4"/>
    <w:rsid w:val="00EE20FC"/>
    <w:rsid w:val="00EE3212"/>
    <w:rsid w:val="00EE50BF"/>
    <w:rsid w:val="00EE71AF"/>
    <w:rsid w:val="00EF18F6"/>
    <w:rsid w:val="00EF25C8"/>
    <w:rsid w:val="00EF597A"/>
    <w:rsid w:val="00F00329"/>
    <w:rsid w:val="00F0449C"/>
    <w:rsid w:val="00F06003"/>
    <w:rsid w:val="00F22D3C"/>
    <w:rsid w:val="00F34610"/>
    <w:rsid w:val="00F3482E"/>
    <w:rsid w:val="00F36847"/>
    <w:rsid w:val="00F37FCE"/>
    <w:rsid w:val="00F42244"/>
    <w:rsid w:val="00F42EE4"/>
    <w:rsid w:val="00F4F0E3"/>
    <w:rsid w:val="00F54480"/>
    <w:rsid w:val="00F54CDE"/>
    <w:rsid w:val="00F55495"/>
    <w:rsid w:val="00F619A3"/>
    <w:rsid w:val="00F633C4"/>
    <w:rsid w:val="00F64056"/>
    <w:rsid w:val="00F74822"/>
    <w:rsid w:val="00F80B4C"/>
    <w:rsid w:val="00F87EF2"/>
    <w:rsid w:val="00F92245"/>
    <w:rsid w:val="00F973D9"/>
    <w:rsid w:val="00F97C5E"/>
    <w:rsid w:val="00FA19FB"/>
    <w:rsid w:val="00FA4A68"/>
    <w:rsid w:val="00FA4E4D"/>
    <w:rsid w:val="00FA72F1"/>
    <w:rsid w:val="00FB2030"/>
    <w:rsid w:val="00FB4B1C"/>
    <w:rsid w:val="00FB5020"/>
    <w:rsid w:val="00FC2F39"/>
    <w:rsid w:val="00FC3995"/>
    <w:rsid w:val="00FD14AC"/>
    <w:rsid w:val="00FD5D44"/>
    <w:rsid w:val="00FD7434"/>
    <w:rsid w:val="00FD7704"/>
    <w:rsid w:val="00FE0FBD"/>
    <w:rsid w:val="00FE5911"/>
    <w:rsid w:val="00FF1890"/>
    <w:rsid w:val="00FF22C8"/>
    <w:rsid w:val="00FF4BBF"/>
    <w:rsid w:val="01472859"/>
    <w:rsid w:val="015E551C"/>
    <w:rsid w:val="01A6E9E2"/>
    <w:rsid w:val="023FAC74"/>
    <w:rsid w:val="02C3FCC6"/>
    <w:rsid w:val="02E76B9C"/>
    <w:rsid w:val="031B6438"/>
    <w:rsid w:val="0345FC0E"/>
    <w:rsid w:val="035FE689"/>
    <w:rsid w:val="0361EBBA"/>
    <w:rsid w:val="036D050E"/>
    <w:rsid w:val="0399F853"/>
    <w:rsid w:val="03F8AC8F"/>
    <w:rsid w:val="047D85A4"/>
    <w:rsid w:val="048E1C28"/>
    <w:rsid w:val="05425E6A"/>
    <w:rsid w:val="0598E11B"/>
    <w:rsid w:val="05EED00B"/>
    <w:rsid w:val="0669BFED"/>
    <w:rsid w:val="06B0BB42"/>
    <w:rsid w:val="06FBDBE4"/>
    <w:rsid w:val="070A019A"/>
    <w:rsid w:val="075196F2"/>
    <w:rsid w:val="0855E291"/>
    <w:rsid w:val="08A3E749"/>
    <w:rsid w:val="090C3D81"/>
    <w:rsid w:val="090F93AC"/>
    <w:rsid w:val="09287A92"/>
    <w:rsid w:val="09341439"/>
    <w:rsid w:val="098EE4D2"/>
    <w:rsid w:val="09BAE306"/>
    <w:rsid w:val="0A3C851E"/>
    <w:rsid w:val="0A43EF99"/>
    <w:rsid w:val="0AC43A2A"/>
    <w:rsid w:val="0B11EDC5"/>
    <w:rsid w:val="0B27EE14"/>
    <w:rsid w:val="0B8D08C4"/>
    <w:rsid w:val="0B9D646F"/>
    <w:rsid w:val="0BD35C39"/>
    <w:rsid w:val="0BF13370"/>
    <w:rsid w:val="0BF2D2EA"/>
    <w:rsid w:val="0BF30F3C"/>
    <w:rsid w:val="0C53DBDA"/>
    <w:rsid w:val="0CBBED64"/>
    <w:rsid w:val="0CEDB26F"/>
    <w:rsid w:val="0D222018"/>
    <w:rsid w:val="0D4869F4"/>
    <w:rsid w:val="0DDB0EF8"/>
    <w:rsid w:val="0DE0EBE8"/>
    <w:rsid w:val="0DE63A06"/>
    <w:rsid w:val="0DEA35DB"/>
    <w:rsid w:val="0E378954"/>
    <w:rsid w:val="0E741399"/>
    <w:rsid w:val="0ECED16C"/>
    <w:rsid w:val="0EF65893"/>
    <w:rsid w:val="0F2AC228"/>
    <w:rsid w:val="0F2D3A2C"/>
    <w:rsid w:val="0F3AB85E"/>
    <w:rsid w:val="0FA925D3"/>
    <w:rsid w:val="104184EA"/>
    <w:rsid w:val="10A4F46A"/>
    <w:rsid w:val="10ADD57D"/>
    <w:rsid w:val="118BC138"/>
    <w:rsid w:val="1197B659"/>
    <w:rsid w:val="11EE4050"/>
    <w:rsid w:val="12359639"/>
    <w:rsid w:val="124FD025"/>
    <w:rsid w:val="129D3D42"/>
    <w:rsid w:val="12AD9A14"/>
    <w:rsid w:val="12B4B044"/>
    <w:rsid w:val="137B5591"/>
    <w:rsid w:val="13CFB40E"/>
    <w:rsid w:val="13D15C49"/>
    <w:rsid w:val="13F7999E"/>
    <w:rsid w:val="1421C361"/>
    <w:rsid w:val="1467FF03"/>
    <w:rsid w:val="14749054"/>
    <w:rsid w:val="1485FCA2"/>
    <w:rsid w:val="148E18DE"/>
    <w:rsid w:val="14B3F0DC"/>
    <w:rsid w:val="14EBFBCB"/>
    <w:rsid w:val="151963E8"/>
    <w:rsid w:val="159BBCBA"/>
    <w:rsid w:val="15C58D4D"/>
    <w:rsid w:val="15CEED8F"/>
    <w:rsid w:val="162E8EA4"/>
    <w:rsid w:val="163DE941"/>
    <w:rsid w:val="165E58D2"/>
    <w:rsid w:val="1693C108"/>
    <w:rsid w:val="17033D63"/>
    <w:rsid w:val="1705113C"/>
    <w:rsid w:val="174B0DFB"/>
    <w:rsid w:val="176896DC"/>
    <w:rsid w:val="17CE2912"/>
    <w:rsid w:val="18732F78"/>
    <w:rsid w:val="18C38AE4"/>
    <w:rsid w:val="18D35233"/>
    <w:rsid w:val="1A371512"/>
    <w:rsid w:val="1A923420"/>
    <w:rsid w:val="1AE19FEA"/>
    <w:rsid w:val="1B4B4384"/>
    <w:rsid w:val="1B6187D2"/>
    <w:rsid w:val="1B6B31C1"/>
    <w:rsid w:val="1B96FDD1"/>
    <w:rsid w:val="1B9A1C34"/>
    <w:rsid w:val="1BC2309C"/>
    <w:rsid w:val="1C34D9BE"/>
    <w:rsid w:val="1C73012D"/>
    <w:rsid w:val="1C91CA51"/>
    <w:rsid w:val="1C9C4684"/>
    <w:rsid w:val="1CB29EA8"/>
    <w:rsid w:val="1CB35519"/>
    <w:rsid w:val="1D06140D"/>
    <w:rsid w:val="1D2FF065"/>
    <w:rsid w:val="1D41D864"/>
    <w:rsid w:val="1D5C0701"/>
    <w:rsid w:val="1DDD5A4D"/>
    <w:rsid w:val="1DF462AE"/>
    <w:rsid w:val="1E2A89C3"/>
    <w:rsid w:val="1EEF82DF"/>
    <w:rsid w:val="1F2050AC"/>
    <w:rsid w:val="1F7A3F01"/>
    <w:rsid w:val="1F7AD385"/>
    <w:rsid w:val="1FBCD1DF"/>
    <w:rsid w:val="1FDDDDFD"/>
    <w:rsid w:val="1FE44BEF"/>
    <w:rsid w:val="1FF5C15B"/>
    <w:rsid w:val="204F86AE"/>
    <w:rsid w:val="20705E1E"/>
    <w:rsid w:val="207A6654"/>
    <w:rsid w:val="21163FF3"/>
    <w:rsid w:val="211D5ABA"/>
    <w:rsid w:val="213064C3"/>
    <w:rsid w:val="213B6268"/>
    <w:rsid w:val="21528718"/>
    <w:rsid w:val="21836491"/>
    <w:rsid w:val="2283BF29"/>
    <w:rsid w:val="22B01C4F"/>
    <w:rsid w:val="231FD6F1"/>
    <w:rsid w:val="24683957"/>
    <w:rsid w:val="24F6F898"/>
    <w:rsid w:val="2545EAFB"/>
    <w:rsid w:val="257D366A"/>
    <w:rsid w:val="25A93AB6"/>
    <w:rsid w:val="25D7554D"/>
    <w:rsid w:val="268CBAA8"/>
    <w:rsid w:val="26ACD6F2"/>
    <w:rsid w:val="26C8546D"/>
    <w:rsid w:val="26D04347"/>
    <w:rsid w:val="2715AA27"/>
    <w:rsid w:val="27312059"/>
    <w:rsid w:val="2744ABF9"/>
    <w:rsid w:val="27565522"/>
    <w:rsid w:val="276C8579"/>
    <w:rsid w:val="27B840E5"/>
    <w:rsid w:val="285931EB"/>
    <w:rsid w:val="2893F14E"/>
    <w:rsid w:val="29076F11"/>
    <w:rsid w:val="2924B470"/>
    <w:rsid w:val="29557794"/>
    <w:rsid w:val="2959B3BC"/>
    <w:rsid w:val="2985DE21"/>
    <w:rsid w:val="29F6505F"/>
    <w:rsid w:val="2A3017FF"/>
    <w:rsid w:val="2A7A4CB1"/>
    <w:rsid w:val="2B033E39"/>
    <w:rsid w:val="2B5362EB"/>
    <w:rsid w:val="2B8E0371"/>
    <w:rsid w:val="2BE7E092"/>
    <w:rsid w:val="2C284755"/>
    <w:rsid w:val="2C9F6A19"/>
    <w:rsid w:val="2CD6B0CC"/>
    <w:rsid w:val="2CEFC734"/>
    <w:rsid w:val="2D19C38A"/>
    <w:rsid w:val="2D739B68"/>
    <w:rsid w:val="2E3A7837"/>
    <w:rsid w:val="2EF841E0"/>
    <w:rsid w:val="2F451402"/>
    <w:rsid w:val="2FD56FFB"/>
    <w:rsid w:val="310E42FF"/>
    <w:rsid w:val="31342608"/>
    <w:rsid w:val="3137F8FF"/>
    <w:rsid w:val="314EF4F9"/>
    <w:rsid w:val="316653DF"/>
    <w:rsid w:val="31D8C613"/>
    <w:rsid w:val="32098F11"/>
    <w:rsid w:val="323748BF"/>
    <w:rsid w:val="324DD648"/>
    <w:rsid w:val="32F06678"/>
    <w:rsid w:val="335AFB70"/>
    <w:rsid w:val="33A76231"/>
    <w:rsid w:val="33B5DF1E"/>
    <w:rsid w:val="33CC944F"/>
    <w:rsid w:val="3425EF39"/>
    <w:rsid w:val="343F8CB0"/>
    <w:rsid w:val="344FE664"/>
    <w:rsid w:val="34F72FBA"/>
    <w:rsid w:val="3536A3F6"/>
    <w:rsid w:val="357F3182"/>
    <w:rsid w:val="35CF2D26"/>
    <w:rsid w:val="35E2D273"/>
    <w:rsid w:val="36150B14"/>
    <w:rsid w:val="3654129A"/>
    <w:rsid w:val="36B5AB11"/>
    <w:rsid w:val="36FA0994"/>
    <w:rsid w:val="37116EBB"/>
    <w:rsid w:val="372E0440"/>
    <w:rsid w:val="373B1528"/>
    <w:rsid w:val="37622F0F"/>
    <w:rsid w:val="37C04A6C"/>
    <w:rsid w:val="37D96DA4"/>
    <w:rsid w:val="3810471E"/>
    <w:rsid w:val="388BC899"/>
    <w:rsid w:val="38AB5E15"/>
    <w:rsid w:val="38D1DB62"/>
    <w:rsid w:val="38F9DA3C"/>
    <w:rsid w:val="39208105"/>
    <w:rsid w:val="39218634"/>
    <w:rsid w:val="393E5DC4"/>
    <w:rsid w:val="39B21484"/>
    <w:rsid w:val="39B723FD"/>
    <w:rsid w:val="39F386FE"/>
    <w:rsid w:val="3A42C6F2"/>
    <w:rsid w:val="3A79C2BF"/>
    <w:rsid w:val="3AFE6926"/>
    <w:rsid w:val="3B222786"/>
    <w:rsid w:val="3B4F66D8"/>
    <w:rsid w:val="3B811C44"/>
    <w:rsid w:val="3B8EB9E5"/>
    <w:rsid w:val="3B974452"/>
    <w:rsid w:val="3BA2704D"/>
    <w:rsid w:val="3BC98CAE"/>
    <w:rsid w:val="3C450487"/>
    <w:rsid w:val="3C456860"/>
    <w:rsid w:val="3CB76218"/>
    <w:rsid w:val="3CC10691"/>
    <w:rsid w:val="3CE03B4A"/>
    <w:rsid w:val="3CE4D88E"/>
    <w:rsid w:val="3CF7AB62"/>
    <w:rsid w:val="3D41DFDA"/>
    <w:rsid w:val="3D8AF491"/>
    <w:rsid w:val="3DF79208"/>
    <w:rsid w:val="3E3F3FD9"/>
    <w:rsid w:val="3E918C56"/>
    <w:rsid w:val="3EC7C01C"/>
    <w:rsid w:val="3F6D80C1"/>
    <w:rsid w:val="3F6E62D2"/>
    <w:rsid w:val="3F85CBBC"/>
    <w:rsid w:val="40F17741"/>
    <w:rsid w:val="412BA064"/>
    <w:rsid w:val="415497FC"/>
    <w:rsid w:val="418E2AD2"/>
    <w:rsid w:val="41C6A73A"/>
    <w:rsid w:val="41DB5787"/>
    <w:rsid w:val="4215AAA6"/>
    <w:rsid w:val="42700C14"/>
    <w:rsid w:val="42A8F68A"/>
    <w:rsid w:val="42F183D1"/>
    <w:rsid w:val="4300CC36"/>
    <w:rsid w:val="4319FE37"/>
    <w:rsid w:val="43516A62"/>
    <w:rsid w:val="4449D7D1"/>
    <w:rsid w:val="4469FC0D"/>
    <w:rsid w:val="447D7B64"/>
    <w:rsid w:val="44D92740"/>
    <w:rsid w:val="453C5A44"/>
    <w:rsid w:val="455C459B"/>
    <w:rsid w:val="458D8B56"/>
    <w:rsid w:val="45996B68"/>
    <w:rsid w:val="45C03C42"/>
    <w:rsid w:val="4627FF3E"/>
    <w:rsid w:val="4639EF44"/>
    <w:rsid w:val="46F14CFD"/>
    <w:rsid w:val="4704DD49"/>
    <w:rsid w:val="473A6A56"/>
    <w:rsid w:val="4796B780"/>
    <w:rsid w:val="47E686BD"/>
    <w:rsid w:val="485FAD76"/>
    <w:rsid w:val="489E0A63"/>
    <w:rsid w:val="48AF6CC6"/>
    <w:rsid w:val="4961AD9E"/>
    <w:rsid w:val="49C2DAD2"/>
    <w:rsid w:val="49E04A2F"/>
    <w:rsid w:val="4A439E55"/>
    <w:rsid w:val="4ACE829E"/>
    <w:rsid w:val="4B349AF9"/>
    <w:rsid w:val="4BD28FEE"/>
    <w:rsid w:val="4C386E30"/>
    <w:rsid w:val="4C4F1298"/>
    <w:rsid w:val="4C6B4873"/>
    <w:rsid w:val="4C794B94"/>
    <w:rsid w:val="4D4AD335"/>
    <w:rsid w:val="4DDA9575"/>
    <w:rsid w:val="4E10E526"/>
    <w:rsid w:val="4E22C3B5"/>
    <w:rsid w:val="4E379AC1"/>
    <w:rsid w:val="4E958B7A"/>
    <w:rsid w:val="4ED1354A"/>
    <w:rsid w:val="4ED1A765"/>
    <w:rsid w:val="4F9792C6"/>
    <w:rsid w:val="4FD9204A"/>
    <w:rsid w:val="4FEB33A7"/>
    <w:rsid w:val="502E41AE"/>
    <w:rsid w:val="504EE2CE"/>
    <w:rsid w:val="5059EAF6"/>
    <w:rsid w:val="508890ED"/>
    <w:rsid w:val="50F15618"/>
    <w:rsid w:val="512CC0BE"/>
    <w:rsid w:val="5158EFC6"/>
    <w:rsid w:val="51D388D3"/>
    <w:rsid w:val="524E965B"/>
    <w:rsid w:val="5272D265"/>
    <w:rsid w:val="5277EFB9"/>
    <w:rsid w:val="5291BDF9"/>
    <w:rsid w:val="52D6DAC2"/>
    <w:rsid w:val="53054AB2"/>
    <w:rsid w:val="533656B4"/>
    <w:rsid w:val="53AB78DC"/>
    <w:rsid w:val="53F5B34A"/>
    <w:rsid w:val="5442573A"/>
    <w:rsid w:val="547B594A"/>
    <w:rsid w:val="55C0C9D2"/>
    <w:rsid w:val="55EB20CB"/>
    <w:rsid w:val="56977F14"/>
    <w:rsid w:val="56BA7952"/>
    <w:rsid w:val="56C4E1C8"/>
    <w:rsid w:val="56E982F1"/>
    <w:rsid w:val="56ED11AF"/>
    <w:rsid w:val="571302F4"/>
    <w:rsid w:val="5714DEA8"/>
    <w:rsid w:val="571B9303"/>
    <w:rsid w:val="574F89DF"/>
    <w:rsid w:val="57678A3B"/>
    <w:rsid w:val="57985FCC"/>
    <w:rsid w:val="57DC9F34"/>
    <w:rsid w:val="57E85BDE"/>
    <w:rsid w:val="5829B9C9"/>
    <w:rsid w:val="58494F0B"/>
    <w:rsid w:val="584D33A6"/>
    <w:rsid w:val="584F4041"/>
    <w:rsid w:val="58688730"/>
    <w:rsid w:val="587F9362"/>
    <w:rsid w:val="58809B3A"/>
    <w:rsid w:val="5886E8E0"/>
    <w:rsid w:val="58E14D8E"/>
    <w:rsid w:val="5907F8E8"/>
    <w:rsid w:val="59191516"/>
    <w:rsid w:val="59F1FD91"/>
    <w:rsid w:val="5A4F927C"/>
    <w:rsid w:val="5AA3F461"/>
    <w:rsid w:val="5AF6F2A9"/>
    <w:rsid w:val="5B1C6CE4"/>
    <w:rsid w:val="5B4CF377"/>
    <w:rsid w:val="5C4161F1"/>
    <w:rsid w:val="5CEF24D8"/>
    <w:rsid w:val="5CF2A302"/>
    <w:rsid w:val="5CFB92B8"/>
    <w:rsid w:val="5D4C6CBF"/>
    <w:rsid w:val="5D9574D7"/>
    <w:rsid w:val="5DBFB8A7"/>
    <w:rsid w:val="5DF4CF36"/>
    <w:rsid w:val="5ECD31C1"/>
    <w:rsid w:val="5EE0B2D7"/>
    <w:rsid w:val="5EF36C86"/>
    <w:rsid w:val="5EFAE491"/>
    <w:rsid w:val="5F4CA4D5"/>
    <w:rsid w:val="5F829D7C"/>
    <w:rsid w:val="5FA16E12"/>
    <w:rsid w:val="5FE1F2F7"/>
    <w:rsid w:val="5FE3D337"/>
    <w:rsid w:val="601E7488"/>
    <w:rsid w:val="603E31C6"/>
    <w:rsid w:val="60410571"/>
    <w:rsid w:val="6045EBEA"/>
    <w:rsid w:val="6047B583"/>
    <w:rsid w:val="6103E4D7"/>
    <w:rsid w:val="61350247"/>
    <w:rsid w:val="613851DC"/>
    <w:rsid w:val="622AA1B7"/>
    <w:rsid w:val="628904E7"/>
    <w:rsid w:val="62A5D911"/>
    <w:rsid w:val="62BCAA70"/>
    <w:rsid w:val="62E03D8B"/>
    <w:rsid w:val="63194DB8"/>
    <w:rsid w:val="6367C003"/>
    <w:rsid w:val="6386B34C"/>
    <w:rsid w:val="63913477"/>
    <w:rsid w:val="64808B55"/>
    <w:rsid w:val="64FD5CB1"/>
    <w:rsid w:val="650647C4"/>
    <w:rsid w:val="6519A420"/>
    <w:rsid w:val="656B937B"/>
    <w:rsid w:val="659569B9"/>
    <w:rsid w:val="65CC0542"/>
    <w:rsid w:val="662FA0DD"/>
    <w:rsid w:val="67336D91"/>
    <w:rsid w:val="675CFCE5"/>
    <w:rsid w:val="67667971"/>
    <w:rsid w:val="678BA275"/>
    <w:rsid w:val="6832C439"/>
    <w:rsid w:val="688A7D2F"/>
    <w:rsid w:val="6929FC9C"/>
    <w:rsid w:val="692B78F7"/>
    <w:rsid w:val="6957F051"/>
    <w:rsid w:val="69842932"/>
    <w:rsid w:val="69937909"/>
    <w:rsid w:val="69B92CFC"/>
    <w:rsid w:val="6A23F995"/>
    <w:rsid w:val="6A2685D9"/>
    <w:rsid w:val="6A29D20F"/>
    <w:rsid w:val="6BECA055"/>
    <w:rsid w:val="6C64B53A"/>
    <w:rsid w:val="6C663C5D"/>
    <w:rsid w:val="6C90DA19"/>
    <w:rsid w:val="6C9C0103"/>
    <w:rsid w:val="6CD00AA1"/>
    <w:rsid w:val="6CE5C9D9"/>
    <w:rsid w:val="6D1832AD"/>
    <w:rsid w:val="6D45E318"/>
    <w:rsid w:val="6D4BCEC3"/>
    <w:rsid w:val="6D7D6228"/>
    <w:rsid w:val="6D8F9EBC"/>
    <w:rsid w:val="6DC66129"/>
    <w:rsid w:val="6DE573FE"/>
    <w:rsid w:val="6DF05C4C"/>
    <w:rsid w:val="6E2FEAFB"/>
    <w:rsid w:val="6E48AFA8"/>
    <w:rsid w:val="6E5A0A52"/>
    <w:rsid w:val="6E66317D"/>
    <w:rsid w:val="6E9102B5"/>
    <w:rsid w:val="6EC01406"/>
    <w:rsid w:val="6ED012BA"/>
    <w:rsid w:val="6F32E09E"/>
    <w:rsid w:val="6F829402"/>
    <w:rsid w:val="6F87EE5C"/>
    <w:rsid w:val="6F90EB73"/>
    <w:rsid w:val="6FCBA83A"/>
    <w:rsid w:val="7045F950"/>
    <w:rsid w:val="704C814A"/>
    <w:rsid w:val="708CE9A5"/>
    <w:rsid w:val="70EF5C95"/>
    <w:rsid w:val="70FCCDEA"/>
    <w:rsid w:val="7119E8EC"/>
    <w:rsid w:val="71A132CE"/>
    <w:rsid w:val="728D7C1E"/>
    <w:rsid w:val="72BCD264"/>
    <w:rsid w:val="72C5AD7E"/>
    <w:rsid w:val="730EFD30"/>
    <w:rsid w:val="7316190F"/>
    <w:rsid w:val="732EFECC"/>
    <w:rsid w:val="73C8E117"/>
    <w:rsid w:val="7404B1AB"/>
    <w:rsid w:val="740671C0"/>
    <w:rsid w:val="74068DEB"/>
    <w:rsid w:val="748D31F5"/>
    <w:rsid w:val="748DE669"/>
    <w:rsid w:val="74DCBAC1"/>
    <w:rsid w:val="75DDD395"/>
    <w:rsid w:val="75EC8309"/>
    <w:rsid w:val="75F408AF"/>
    <w:rsid w:val="763AFBB2"/>
    <w:rsid w:val="76808E90"/>
    <w:rsid w:val="768F5AAC"/>
    <w:rsid w:val="76FCBDB0"/>
    <w:rsid w:val="7723E97E"/>
    <w:rsid w:val="777763EF"/>
    <w:rsid w:val="778494F1"/>
    <w:rsid w:val="77859BD3"/>
    <w:rsid w:val="77A6727A"/>
    <w:rsid w:val="7846B2AB"/>
    <w:rsid w:val="78519A94"/>
    <w:rsid w:val="78D50121"/>
    <w:rsid w:val="790AB993"/>
    <w:rsid w:val="79279A6E"/>
    <w:rsid w:val="79295D68"/>
    <w:rsid w:val="79334A87"/>
    <w:rsid w:val="793C30C9"/>
    <w:rsid w:val="7A28180D"/>
    <w:rsid w:val="7B2B2D1C"/>
    <w:rsid w:val="7B3C0EF0"/>
    <w:rsid w:val="7B510F4E"/>
    <w:rsid w:val="7BA40FDA"/>
    <w:rsid w:val="7BB85791"/>
    <w:rsid w:val="7BD0AAEC"/>
    <w:rsid w:val="7BF87264"/>
    <w:rsid w:val="7C86DF81"/>
    <w:rsid w:val="7DCD4B4C"/>
    <w:rsid w:val="7DE3C687"/>
    <w:rsid w:val="7E080086"/>
    <w:rsid w:val="7E3AF33F"/>
    <w:rsid w:val="7E417495"/>
    <w:rsid w:val="7E49343A"/>
    <w:rsid w:val="7E4A76F4"/>
    <w:rsid w:val="7E5419DE"/>
    <w:rsid w:val="7E9F1FD5"/>
    <w:rsid w:val="7EFF067A"/>
    <w:rsid w:val="7F26EB9B"/>
    <w:rsid w:val="7F4E59BB"/>
    <w:rsid w:val="7F64BBFA"/>
    <w:rsid w:val="7F67F9BB"/>
    <w:rsid w:val="7F6F1212"/>
    <w:rsid w:val="7FB59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CEB8C8"/>
  <w15:chartTrackingRefBased/>
  <w15:docId w15:val="{ECD3F698-D3C2-4691-B60D-ADB4D1655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5A6"/>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115A6"/>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115A6"/>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115A6"/>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115A6"/>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115A6"/>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115A6"/>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115A6"/>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115A6"/>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115A6"/>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5A6"/>
    <w:rPr>
      <w:rFonts w:eastAsiaTheme="majorEastAsia" w:cstheme="majorBidi"/>
      <w:color w:val="272727" w:themeColor="text1" w:themeTint="D8"/>
    </w:rPr>
  </w:style>
  <w:style w:type="paragraph" w:styleId="Title">
    <w:name w:val="Title"/>
    <w:basedOn w:val="Normal"/>
    <w:next w:val="Normal"/>
    <w:link w:val="TitleChar"/>
    <w:uiPriority w:val="10"/>
    <w:qFormat/>
    <w:rsid w:val="005115A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11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5A6"/>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11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5A6"/>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115A6"/>
    <w:rPr>
      <w:i/>
      <w:iCs/>
      <w:color w:val="404040" w:themeColor="text1" w:themeTint="BF"/>
    </w:rPr>
  </w:style>
  <w:style w:type="paragraph" w:styleId="ListParagraph">
    <w:name w:val="List Paragraph"/>
    <w:basedOn w:val="Normal"/>
    <w:uiPriority w:val="34"/>
    <w:qFormat/>
    <w:rsid w:val="005115A6"/>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5115A6"/>
    <w:rPr>
      <w:i/>
      <w:iCs/>
      <w:color w:val="0F4761" w:themeColor="accent1" w:themeShade="BF"/>
    </w:rPr>
  </w:style>
  <w:style w:type="paragraph" w:styleId="IntenseQuote">
    <w:name w:val="Intense Quote"/>
    <w:basedOn w:val="Normal"/>
    <w:next w:val="Normal"/>
    <w:link w:val="IntenseQuoteChar"/>
    <w:uiPriority w:val="30"/>
    <w:qFormat/>
    <w:rsid w:val="005115A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115A6"/>
    <w:rPr>
      <w:i/>
      <w:iCs/>
      <w:color w:val="0F4761" w:themeColor="accent1" w:themeShade="BF"/>
    </w:rPr>
  </w:style>
  <w:style w:type="character" w:styleId="IntenseReference">
    <w:name w:val="Intense Reference"/>
    <w:basedOn w:val="DefaultParagraphFont"/>
    <w:uiPriority w:val="32"/>
    <w:qFormat/>
    <w:rsid w:val="005115A6"/>
    <w:rPr>
      <w:b/>
      <w:bCs/>
      <w:smallCaps/>
      <w:color w:val="0F4761" w:themeColor="accent1" w:themeShade="BF"/>
      <w:spacing w:val="5"/>
    </w:rPr>
  </w:style>
  <w:style w:type="character" w:styleId="CommentReference">
    <w:name w:val="annotation reference"/>
    <w:basedOn w:val="DefaultParagraphFont"/>
    <w:uiPriority w:val="99"/>
    <w:semiHidden/>
    <w:unhideWhenUsed/>
    <w:rsid w:val="00455003"/>
    <w:rPr>
      <w:sz w:val="16"/>
      <w:szCs w:val="16"/>
    </w:rPr>
  </w:style>
  <w:style w:type="paragraph" w:styleId="CommentText">
    <w:name w:val="annotation text"/>
    <w:basedOn w:val="Normal"/>
    <w:link w:val="CommentTextChar"/>
    <w:uiPriority w:val="99"/>
    <w:semiHidden/>
    <w:unhideWhenUsed/>
    <w:rsid w:val="00455003"/>
    <w:rPr>
      <w:sz w:val="20"/>
      <w:szCs w:val="20"/>
    </w:rPr>
  </w:style>
  <w:style w:type="character" w:customStyle="1" w:styleId="CommentTextChar">
    <w:name w:val="Comment Text Char"/>
    <w:basedOn w:val="DefaultParagraphFont"/>
    <w:link w:val="CommentText"/>
    <w:uiPriority w:val="99"/>
    <w:semiHidden/>
    <w:rsid w:val="0045500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55003"/>
    <w:rPr>
      <w:b/>
      <w:bCs/>
    </w:rPr>
  </w:style>
  <w:style w:type="character" w:customStyle="1" w:styleId="CommentSubjectChar">
    <w:name w:val="Comment Subject Char"/>
    <w:basedOn w:val="CommentTextChar"/>
    <w:link w:val="CommentSubject"/>
    <w:uiPriority w:val="99"/>
    <w:semiHidden/>
    <w:rsid w:val="00455003"/>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7A7B65"/>
    <w:rPr>
      <w:rFonts w:ascii="Times New Roman" w:eastAsia="Times New Roman" w:hAnsi="Times New Roman" w:cs="Times New Roman"/>
      <w:kern w:val="0"/>
      <w14:ligatures w14:val="non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E46EAD"/>
    <w:rPr>
      <w:color w:val="467886" w:themeColor="hyperlink"/>
      <w:u w:val="single"/>
    </w:rPr>
  </w:style>
  <w:style w:type="character" w:styleId="UnresolvedMention">
    <w:name w:val="Unresolved Mention"/>
    <w:basedOn w:val="DefaultParagraphFont"/>
    <w:uiPriority w:val="99"/>
    <w:semiHidden/>
    <w:unhideWhenUsed/>
    <w:rsid w:val="00E46EAD"/>
    <w:rPr>
      <w:color w:val="605E5C"/>
      <w:shd w:val="clear" w:color="auto" w:fill="E1DFDD"/>
    </w:rPr>
  </w:style>
  <w:style w:type="paragraph" w:styleId="Header">
    <w:name w:val="header"/>
    <w:basedOn w:val="Normal"/>
    <w:link w:val="HeaderChar"/>
    <w:uiPriority w:val="99"/>
    <w:unhideWhenUsed/>
    <w:rsid w:val="009A1C92"/>
    <w:pPr>
      <w:tabs>
        <w:tab w:val="center" w:pos="4680"/>
        <w:tab w:val="right" w:pos="9360"/>
      </w:tabs>
    </w:pPr>
  </w:style>
  <w:style w:type="character" w:customStyle="1" w:styleId="HeaderChar">
    <w:name w:val="Header Char"/>
    <w:basedOn w:val="DefaultParagraphFont"/>
    <w:link w:val="Header"/>
    <w:uiPriority w:val="99"/>
    <w:rsid w:val="009A1C92"/>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A1C92"/>
    <w:pPr>
      <w:tabs>
        <w:tab w:val="center" w:pos="4680"/>
        <w:tab w:val="right" w:pos="9360"/>
      </w:tabs>
    </w:pPr>
  </w:style>
  <w:style w:type="character" w:customStyle="1" w:styleId="FooterChar">
    <w:name w:val="Footer Char"/>
    <w:basedOn w:val="DefaultParagraphFont"/>
    <w:link w:val="Footer"/>
    <w:uiPriority w:val="99"/>
    <w:rsid w:val="009A1C92"/>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764D1"/>
  </w:style>
  <w:style w:type="character" w:customStyle="1" w:styleId="normaltextrun">
    <w:name w:val="normaltextrun"/>
    <w:basedOn w:val="DefaultParagraphFont"/>
    <w:rsid w:val="008C033E"/>
  </w:style>
  <w:style w:type="character" w:styleId="FollowedHyperlink">
    <w:name w:val="FollowedHyperlink"/>
    <w:basedOn w:val="DefaultParagraphFont"/>
    <w:uiPriority w:val="99"/>
    <w:semiHidden/>
    <w:unhideWhenUsed/>
    <w:rsid w:val="00F37F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2973</Words>
  <Characters>19834</Characters>
  <Application>Microsoft Office Word</Application>
  <DocSecurity>0</DocSecurity>
  <Lines>360</Lines>
  <Paragraphs>116</Paragraphs>
  <ScaleCrop>false</ScaleCrop>
  <Company/>
  <LinksUpToDate>false</LinksUpToDate>
  <CharactersWithSpaces>22691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Abby</dc:creator>
  <cp:keywords/>
  <dc:description/>
  <cp:lastModifiedBy>Cheng, Abby</cp:lastModifiedBy>
  <cp:revision>547</cp:revision>
  <dcterms:created xsi:type="dcterms:W3CDTF">2025-09-19T05:46:00Z</dcterms:created>
  <dcterms:modified xsi:type="dcterms:W3CDTF">2026-01-09T20:52:00Z</dcterms:modified>
</cp:coreProperties>
</file>