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82251" w14:textId="50D1F861" w:rsidR="00431B23" w:rsidRPr="00AD2FC5" w:rsidRDefault="006B7C04" w:rsidP="00C60F5F">
      <w:pPr>
        <w:spacing w:line="480" w:lineRule="auto"/>
        <w:jc w:val="center"/>
        <w:rPr>
          <w:rFonts w:ascii="Times New Roman" w:hAnsi="Times New Roman" w:cs="Times New Roman"/>
          <w:b/>
          <w:bCs/>
        </w:rPr>
      </w:pPr>
      <w:r w:rsidRPr="34A2B61D">
        <w:rPr>
          <w:rFonts w:ascii="Times New Roman" w:hAnsi="Times New Roman" w:cs="Times New Roman"/>
          <w:b/>
          <w:bCs/>
        </w:rPr>
        <w:t xml:space="preserve">Developing Researcher Identity Through </w:t>
      </w:r>
      <w:r w:rsidR="3D6D8C91" w:rsidRPr="34A2B61D">
        <w:rPr>
          <w:rFonts w:ascii="Times New Roman" w:hAnsi="Times New Roman" w:cs="Times New Roman"/>
          <w:b/>
          <w:bCs/>
        </w:rPr>
        <w:t xml:space="preserve">a </w:t>
      </w:r>
      <w:r w:rsidR="0F962EC3" w:rsidRPr="34A2B61D">
        <w:rPr>
          <w:rFonts w:ascii="Times New Roman" w:hAnsi="Times New Roman" w:cs="Times New Roman"/>
          <w:b/>
          <w:bCs/>
        </w:rPr>
        <w:t>Novic</w:t>
      </w:r>
      <w:r w:rsidRPr="34A2B61D">
        <w:rPr>
          <w:rFonts w:ascii="Times New Roman" w:hAnsi="Times New Roman" w:cs="Times New Roman"/>
          <w:b/>
          <w:bCs/>
        </w:rPr>
        <w:t>e Research</w:t>
      </w:r>
      <w:r w:rsidR="73B7B182" w:rsidRPr="34A2B61D">
        <w:rPr>
          <w:rFonts w:ascii="Times New Roman" w:hAnsi="Times New Roman" w:cs="Times New Roman"/>
          <w:b/>
          <w:bCs/>
        </w:rPr>
        <w:t>er Program</w:t>
      </w:r>
    </w:p>
    <w:p w14:paraId="4018E20B" w14:textId="66833F71" w:rsidR="0097762A" w:rsidRPr="00AD2FC5" w:rsidRDefault="006C721C" w:rsidP="311AFB26">
      <w:pPr>
        <w:spacing w:line="240" w:lineRule="auto"/>
        <w:rPr>
          <w:rFonts w:ascii="Times New Roman" w:hAnsi="Times New Roman" w:cs="Times New Roman"/>
        </w:rPr>
      </w:pPr>
      <w:r w:rsidRPr="00AD2FC5">
        <w:rPr>
          <w:rFonts w:ascii="Times New Roman" w:hAnsi="Times New Roman" w:cs="Times New Roman"/>
          <w:b/>
          <w:bCs/>
        </w:rPr>
        <w:tab/>
      </w:r>
      <w:r w:rsidR="4DBF3598" w:rsidRPr="00AD2FC5">
        <w:rPr>
          <w:rFonts w:ascii="Times New Roman" w:hAnsi="Times New Roman" w:cs="Times New Roman"/>
        </w:rPr>
        <w:t>I</w:t>
      </w:r>
      <w:r w:rsidR="3E5E0A22" w:rsidRPr="00AD2FC5">
        <w:rPr>
          <w:rFonts w:ascii="Times New Roman" w:hAnsi="Times New Roman" w:cs="Times New Roman"/>
        </w:rPr>
        <w:t>nstitutions</w:t>
      </w:r>
      <w:r w:rsidR="4DBF3598" w:rsidRPr="00AD2FC5">
        <w:rPr>
          <w:rFonts w:ascii="Times New Roman" w:hAnsi="Times New Roman" w:cs="Times New Roman"/>
        </w:rPr>
        <w:t xml:space="preserve"> of</w:t>
      </w:r>
      <w:r w:rsidR="3E5E0A22" w:rsidRPr="00AD2FC5">
        <w:rPr>
          <w:rFonts w:ascii="Times New Roman" w:hAnsi="Times New Roman" w:cs="Times New Roman"/>
        </w:rPr>
        <w:t xml:space="preserve"> </w:t>
      </w:r>
      <w:r w:rsidR="1C88DB0A" w:rsidRPr="00AD2FC5">
        <w:rPr>
          <w:rFonts w:ascii="Times New Roman" w:hAnsi="Times New Roman" w:cs="Times New Roman"/>
        </w:rPr>
        <w:t>h</w:t>
      </w:r>
      <w:r w:rsidR="41DB5F5F" w:rsidRPr="00AD2FC5">
        <w:rPr>
          <w:rFonts w:ascii="Times New Roman" w:hAnsi="Times New Roman" w:cs="Times New Roman"/>
        </w:rPr>
        <w:t xml:space="preserve">igher education have promoted increased research exposure </w:t>
      </w:r>
      <w:r w:rsidR="280E97E4" w:rsidRPr="00AD2FC5">
        <w:rPr>
          <w:rFonts w:ascii="Times New Roman" w:hAnsi="Times New Roman" w:cs="Times New Roman"/>
        </w:rPr>
        <w:t>for</w:t>
      </w:r>
      <w:r w:rsidR="41DB5F5F" w:rsidRPr="00AD2FC5">
        <w:rPr>
          <w:rFonts w:ascii="Times New Roman" w:hAnsi="Times New Roman" w:cs="Times New Roman"/>
        </w:rPr>
        <w:t xml:space="preserve"> undergraduate students </w:t>
      </w:r>
      <w:r w:rsidR="193E4050" w:rsidRPr="00AD2FC5">
        <w:rPr>
          <w:rFonts w:ascii="Times New Roman" w:hAnsi="Times New Roman" w:cs="Times New Roman"/>
        </w:rPr>
        <w:t xml:space="preserve">since the 1970s, </w:t>
      </w:r>
      <w:r w:rsidR="280E97E4" w:rsidRPr="00AD2FC5">
        <w:rPr>
          <w:rFonts w:ascii="Times New Roman" w:hAnsi="Times New Roman" w:cs="Times New Roman"/>
        </w:rPr>
        <w:t>with significant growth</w:t>
      </w:r>
      <w:r w:rsidR="5713643F" w:rsidRPr="00AD2FC5">
        <w:rPr>
          <w:rFonts w:ascii="Times New Roman" w:hAnsi="Times New Roman" w:cs="Times New Roman"/>
        </w:rPr>
        <w:t xml:space="preserve"> </w:t>
      </w:r>
      <w:r w:rsidR="5F944105" w:rsidRPr="00AD2FC5">
        <w:rPr>
          <w:rFonts w:ascii="Times New Roman" w:hAnsi="Times New Roman" w:cs="Times New Roman"/>
        </w:rPr>
        <w:t>predominantly</w:t>
      </w:r>
      <w:r w:rsidR="193E4050" w:rsidRPr="00AD2FC5">
        <w:rPr>
          <w:rFonts w:ascii="Times New Roman" w:hAnsi="Times New Roman" w:cs="Times New Roman"/>
        </w:rPr>
        <w:t xml:space="preserve"> </w:t>
      </w:r>
      <w:r w:rsidR="5713643F" w:rsidRPr="00AD2FC5">
        <w:rPr>
          <w:rFonts w:ascii="Times New Roman" w:hAnsi="Times New Roman" w:cs="Times New Roman"/>
        </w:rPr>
        <w:t>over</w:t>
      </w:r>
      <w:r w:rsidR="193E4050" w:rsidRPr="00AD2FC5">
        <w:rPr>
          <w:rFonts w:ascii="Times New Roman" w:hAnsi="Times New Roman" w:cs="Times New Roman"/>
        </w:rPr>
        <w:t xml:space="preserve"> the last two decades</w:t>
      </w:r>
      <w:r w:rsidR="1C88DB0A" w:rsidRPr="00AD2FC5">
        <w:rPr>
          <w:rFonts w:ascii="Times New Roman" w:hAnsi="Times New Roman" w:cs="Times New Roman"/>
        </w:rPr>
        <w:t xml:space="preserve"> </w:t>
      </w:r>
      <w:r w:rsidR="00865690"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{"citationID":"cxVXOX6O","properties":{"formattedCitation":"(Adebisi, 2022; Peterella &amp; Jung, 2008; Russell et al., 2007)","plainCitation":"(Adebisi, 2022; Peterella &amp; Jung, 2008; Russell et al., 2007)","noteIndex":0},"citationItems":[{"id":1090,"uris":["http://zotero.org/users/17290334/items/4SCIV5JX"],"itemData":{"id":1090,"type":"article-journal","abstract":"Developing, maintaining, and sustaining undergraduate research initiatives can benefit academic institutions, faculty mentors, and students. As the world evolves, more research is required to advance knowledge and innovation in all fields. This implies that students must be prepared for today's knowledge-driven world. Research in the medical and health sciences has stalled in many developing countries, where a dual burden of communicable and noncommunicable diseases is prevalent. In this article, I discuss the values and benefits of undergraduate healthcare students participating in research and scientific publishing, as well as the challenges they face. I also make recommendations to encourage undergraduates to get involved in research. The potential of undergraduate research has not yet been fully realized. Undergraduate research's main objectives are to teach students how to do research and to help them acquire skills that they can use beyond the academic environment. Undergraduate research will complement rather than conflict with university education and should go beyond the mandatory terminal year thesis and must cover the entire course of their studies. The key to successful undergraduate research participation is for students to see and understand the importance of rigor, academic integrity, and responsible research conduct. This means academic institutions should carefully plan research programs, activities, and courses for students. Building capacity in research has a long-term impact on valuable learning outcomes as undergraduate students prepare for professional service. Stakeholders and educational authorities must invest in strengthening undergraduate involvement in research.","container-title":"Annals of Medicine and Surgery","DOI":"10.1016/j.amsu.2022.104384","ISSN":"2049-0801","journalAbbreviation":"Annals of Medicine and Surgery","page":"104384","source":"ScienceDirect","title":"Undergraduate students' involvement in research: Values, benefits, barriers and recommendations","title-short":"Undergraduate students' involvement in research","volume":"81","author":[{"family":"Adebisi","given":"Yusuff Adebayo"}],"issued":{"date-parts":[["2022",9,1]]}}},{"id":1091,"uris":["http://zotero.org/users/17290334/items/QAPTYZ44"],"itemData":{"id":1091,"type":"article-journal","abstract":"Developing and maintaining undergraduate research programs benefits students, faculty mentors, and the university. Incorporating a research component along with a sound academic foundation enables students to develop independent critical thinking skills along with oral and written communication skills. The research process impacts valuable learning objectives that have lasting influence as undergraduates prepare for professional service. Faculty members at teaching intensive institutions can enhance learning experiences for students while benefiting from a productive research agenda. The university in turn benefits from presentations and publications that serve to increase visibility in the scientific community. Whether projects are derived through student-generated or mentor-generated means, students benefit from completion of exposure to the hypothesis-driven scientific method.","container-title":"International Journal of Exercise Science","DOI":"10.70252/MXRI7483","ISSN":"1939-795X","issue":"3","journalAbbreviation":"Int J Exerc Sci","note":"PMID: 27182299\nPMCID: PMC4739295","page":"91-95","source":"PubMed Central","title":"Undergraduate Research: Importance, Benefits, and Challenges","title-short":"Undergraduate Research","volume":"1","author":[{"family":"Peterella","given":"John K."},{"family":"Jung","given":"Alan P."}],"issued":{"date-parts":[["2008",7,15]]}}},{"id":246,"uris":["http://zotero.org/users/17290334/items/452NW6EU"],"itemData":{"id":246,"type":"article-journal","container-title":"Science (New York, N.Y.)","DOI":"10.1126/science.1140384","ISSN":"1095-9203","issue":"5824","journalAbbreviation":"Science","language":"eng","note":"PMID: 17463273","page":"548-549","source":"PubMed","title":"The pipeline. Benefits of undergraduate research experiences","volume":"316","author":[{"family":"Russell","given":"Susan H."},{"family":"Hancock","given":"Mary P."},{"family":"McCullough","given":"James"}],"issued":{"date-parts":[["2007",4,27]]}}}],"schema":"https://github.com/citation-style-language/schema/raw/master/csl-citation.json"} </w:instrText>
      </w:r>
      <w:r w:rsidR="00865690" w:rsidRPr="00AD2FC5">
        <w:rPr>
          <w:rFonts w:ascii="Times New Roman" w:hAnsi="Times New Roman" w:cs="Times New Roman"/>
        </w:rPr>
        <w:fldChar w:fldCharType="separate"/>
      </w:r>
      <w:r w:rsidR="16976CA3" w:rsidRPr="00AD2FC5">
        <w:rPr>
          <w:rFonts w:ascii="Times New Roman" w:hAnsi="Times New Roman" w:cs="Times New Roman"/>
          <w:noProof/>
        </w:rPr>
        <w:t>(Adebisi, 2022; Peterella &amp; Jung, 2008; Russell et al., 2007)</w:t>
      </w:r>
      <w:r w:rsidR="00865690" w:rsidRPr="00AD2FC5">
        <w:rPr>
          <w:rFonts w:ascii="Times New Roman" w:hAnsi="Times New Roman" w:cs="Times New Roman"/>
        </w:rPr>
        <w:fldChar w:fldCharType="end"/>
      </w:r>
      <w:r w:rsidR="41DB5F5F" w:rsidRPr="00AD2FC5">
        <w:rPr>
          <w:rFonts w:ascii="Times New Roman" w:hAnsi="Times New Roman" w:cs="Times New Roman"/>
        </w:rPr>
        <w:t>.</w:t>
      </w:r>
      <w:r w:rsidR="280E97E4" w:rsidRPr="00AD2FC5">
        <w:rPr>
          <w:rFonts w:ascii="Times New Roman" w:hAnsi="Times New Roman" w:cs="Times New Roman"/>
        </w:rPr>
        <w:t xml:space="preserve"> </w:t>
      </w:r>
      <w:r w:rsidR="6E17B74F" w:rsidRPr="00AD2FC5">
        <w:rPr>
          <w:rFonts w:ascii="Times New Roman" w:hAnsi="Times New Roman" w:cs="Times New Roman"/>
        </w:rPr>
        <w:t xml:space="preserve">Now, in 2025, undergraduate research plays “an integral part in higher education” </w:t>
      </w:r>
      <w:r w:rsidR="004661A0"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{"citationID":"i72ZWKye","properties":{"formattedCitation":"(Brewer et al., 2012, p. 212)","plainCitation":"(Brewer et al., 2012, p. 212)","noteIndex":0},"citationItems":[{"id":1089,"uris":["http://zotero.org/users/17290334/items/XBH6A2GX"],"itemData":{"id":1089,"type":"article-journal","abstract":"Undergraduate research forms an integral part of higher education, and the research project in particular represents an important component of the undergraduate degree. This study investigated current practice and student and supervisor perceptions of undergraduate research, using both online surveys and telephone interviews. Important differences between student and supervisor perceptions of undergraduate research were identified. In particular, whilst both students and supervisors viewed the research project as a collaborative process, students reported that the project was more student led than supervisors rated it as being. Students were also more likely than supervisors to view activities as part of the supervisor role or to believe that the supervisor should act as a mentor. Students were less likely than supervisors to report that the research project enhanced skill development or that they were members of the departmental or psychological research community. There were no differences between supervisor estimates and direct student ratings of student satisfaction. Students were more satisfied if they believed that their project was student (as opposed to supervisor) led and that it advanced knowledge in the subject area.","container-title":"Psychology Learning &amp; Teaching","DOI":"10.2304/plat.2012.11.2.208","ISSN":"1475-7257","issue":"2","language":"EN","note":"publisher: SAGE Publications","page":"208-217","source":"SAGE Journals","title":"Undergraduate Research Projects: Practice and Perceptions","title-short":"Undergraduate Research Projects","volume":"11","author":[{"family":"Brewer","given":"Gayle"},{"family":"Dewhurst","given":"Anne M."},{"family":"Doran","given":"Dawn"}],"issued":{"date-parts":[["2012",6,1]]}},"locator":"212","label":"page"}],"schema":"https://github.com/citation-style-language/schema/raw/master/csl-citation.json"} </w:instrText>
      </w:r>
      <w:r w:rsidR="004661A0" w:rsidRPr="00AD2FC5">
        <w:rPr>
          <w:rFonts w:ascii="Times New Roman" w:hAnsi="Times New Roman" w:cs="Times New Roman"/>
        </w:rPr>
        <w:fldChar w:fldCharType="separate"/>
      </w:r>
      <w:r w:rsidR="566C028E" w:rsidRPr="00AD2FC5">
        <w:rPr>
          <w:rFonts w:ascii="Times New Roman" w:hAnsi="Times New Roman" w:cs="Times New Roman"/>
        </w:rPr>
        <w:t>(Brewer et al., 2012, p. 212)</w:t>
      </w:r>
      <w:r w:rsidR="004661A0" w:rsidRPr="00AD2FC5">
        <w:rPr>
          <w:rFonts w:ascii="Times New Roman" w:hAnsi="Times New Roman" w:cs="Times New Roman"/>
        </w:rPr>
        <w:fldChar w:fldCharType="end"/>
      </w:r>
      <w:r w:rsidR="30CE0A77" w:rsidRPr="00AD2FC5">
        <w:rPr>
          <w:rFonts w:ascii="Times New Roman" w:hAnsi="Times New Roman" w:cs="Times New Roman"/>
        </w:rPr>
        <w:t xml:space="preserve">, as it has been shown to foster enthusiasm for postgraduate study </w:t>
      </w:r>
      <w:r w:rsidR="004913AA"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{"citationID":"7BDiQU8E","properties":{"formattedCitation":"(Linn et al., 2015)","plainCitation":"(Linn et al., 2015)","noteIndex":0},"citationItems":[{"id":244,"uris":["http://zotero.org/users/17290334/items/C9WBPTXD"],"itemData":{"id":244,"type":"article-journal","abstract":"Most undergraduates give high ratings to research experiences. Studies report that these experiences improve participation and persistence, often by strengthening students’ views of themselves as scientists. Yet, the evidence for these claims is weak. More than half the 60 studies reviewed rely on self-report surveys or interviews. Rather than introducing new images of science, research experiences may reinforce flawed images especially of research practices and conceptual understanding. The most convincing studies show benefits for mentoring and for communicating the nature of science, but the ideas that students learn are often isolated or fragmented rather than integrated and coherent. Rigorous research is needed to identify ways to design research experiences so that they promote integrated understanding. These studies need powerful and generalizable assessments that can document student progress, help distinguish effective and ineffective aspects of the experiences, and illustrate how students interpret the research experiences they encounter. To create research experiences that meet the needs of interested students and make effective use of scarce resources, we encourage systematic, iterative studies with multiple indicators of success.","container-title":"Science","DOI":"10.1126/science.1261757","issue":"6222","note":"publisher: American Association for the Advancement of Science","page":"1261757","source":"science.org (Atypon)","title":"Undergraduate research experiences: Impacts and opportunities","title-short":"Undergraduate research experiences","volume":"347","author":[{"family":"Linn","given":"Marcia C."},{"family":"Palmer","given":"Erin"},{"family":"Baranger","given":"Anne"},{"family":"Gerard","given":"Elizabeth"},{"family":"Stone","given":"Elisa"}],"issued":{"date-parts":[["2015",2,6]]}}}],"schema":"https://github.com/citation-style-language/schema/raw/master/csl-citation.json"} </w:instrText>
      </w:r>
      <w:r w:rsidR="004913AA" w:rsidRPr="00AD2FC5">
        <w:rPr>
          <w:rFonts w:ascii="Times New Roman" w:hAnsi="Times New Roman" w:cs="Times New Roman"/>
        </w:rPr>
        <w:fldChar w:fldCharType="separate"/>
      </w:r>
      <w:r w:rsidR="2F8CD848" w:rsidRPr="00AD2FC5">
        <w:rPr>
          <w:rFonts w:ascii="Times New Roman" w:hAnsi="Times New Roman" w:cs="Times New Roman"/>
          <w:noProof/>
        </w:rPr>
        <w:t>(Linn et al., 2015)</w:t>
      </w:r>
      <w:r w:rsidR="004913AA" w:rsidRPr="00AD2FC5">
        <w:rPr>
          <w:rFonts w:ascii="Times New Roman" w:hAnsi="Times New Roman" w:cs="Times New Roman"/>
        </w:rPr>
        <w:fldChar w:fldCharType="end"/>
      </w:r>
      <w:r w:rsidR="1AEEF9A5" w:rsidRPr="00AD2FC5">
        <w:rPr>
          <w:rFonts w:ascii="Times New Roman" w:hAnsi="Times New Roman" w:cs="Times New Roman"/>
        </w:rPr>
        <w:t xml:space="preserve">, </w:t>
      </w:r>
      <w:r w:rsidR="0170364A" w:rsidRPr="00AD2FC5">
        <w:rPr>
          <w:rFonts w:ascii="Times New Roman" w:hAnsi="Times New Roman" w:cs="Times New Roman"/>
        </w:rPr>
        <w:t xml:space="preserve">enrich the undergraduate experience, and increase student retention </w:t>
      </w:r>
      <w:r w:rsidR="00FB06C4"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{"citationID":"zgXesmEs","properties":{"formattedCitation":"(Kaul et al., 2016)","plainCitation":"(Kaul et al., 2016)","noteIndex":0},"citationItems":[{"id":252,"uris":["http://zotero.org/users/17290334/items/XFQ2UXIS"],"itemData":{"id":252,"type":"paper-conference","event-title":"2016 ASEE Annual Conference &amp; Exposition","ISBN":"978-0-692-68565-5","note":"ISSN: 2153-5965","source":"peer.asee.org","title":"Importance of Undergraduate Research: Efficacy and Student Perceptions","title-short":"Importance of Undergraduate Research","URL":"https://peer.asee.org/importance-of-undergraduate-research-efficacy-and-student-perceptions","author":[{"family":"Kaul","given":"Sudhir"},{"family":"Ferguson","given":"Chip W."},{"family":"Yanik","given":"Paul M."},{"family":"Yan","given":"Yanjun"}],"accessed":{"date-parts":[["2025",8,24]]},"issued":{"date-parts":[["2016",6,26]]}}}],"schema":"https://github.com/citation-style-language/schema/raw/master/csl-citation.json"} </w:instrText>
      </w:r>
      <w:r w:rsidR="00FB06C4" w:rsidRPr="00AD2FC5">
        <w:rPr>
          <w:rFonts w:ascii="Times New Roman" w:hAnsi="Times New Roman" w:cs="Times New Roman"/>
        </w:rPr>
        <w:fldChar w:fldCharType="separate"/>
      </w:r>
      <w:r w:rsidR="0E12A631" w:rsidRPr="00AD2FC5">
        <w:rPr>
          <w:rFonts w:ascii="Times New Roman" w:hAnsi="Times New Roman" w:cs="Times New Roman"/>
          <w:noProof/>
        </w:rPr>
        <w:t>(Kaul et al., 2016)</w:t>
      </w:r>
      <w:r w:rsidR="00FB06C4" w:rsidRPr="00AD2FC5">
        <w:rPr>
          <w:rFonts w:ascii="Times New Roman" w:hAnsi="Times New Roman" w:cs="Times New Roman"/>
        </w:rPr>
        <w:fldChar w:fldCharType="end"/>
      </w:r>
      <w:r w:rsidR="2F8CD848" w:rsidRPr="00AD2FC5">
        <w:rPr>
          <w:rFonts w:ascii="Times New Roman" w:hAnsi="Times New Roman" w:cs="Times New Roman"/>
        </w:rPr>
        <w:t>.</w:t>
      </w:r>
      <w:r w:rsidR="2C997B21" w:rsidRPr="00AD2FC5">
        <w:rPr>
          <w:rFonts w:ascii="Times New Roman" w:hAnsi="Times New Roman" w:cs="Times New Roman"/>
        </w:rPr>
        <w:t xml:space="preserve"> </w:t>
      </w:r>
      <w:r w:rsidR="33B9E065" w:rsidRPr="00AD2FC5">
        <w:rPr>
          <w:rFonts w:ascii="Times New Roman" w:hAnsi="Times New Roman" w:cs="Times New Roman"/>
        </w:rPr>
        <w:t>Furthermore</w:t>
      </w:r>
      <w:r w:rsidR="726EB0C4" w:rsidRPr="00AD2FC5">
        <w:rPr>
          <w:rFonts w:ascii="Times New Roman" w:hAnsi="Times New Roman" w:cs="Times New Roman"/>
        </w:rPr>
        <w:t xml:space="preserve">, </w:t>
      </w:r>
      <w:r w:rsidR="4A186D86" w:rsidRPr="00AD2FC5">
        <w:rPr>
          <w:rFonts w:ascii="Times New Roman" w:hAnsi="Times New Roman" w:cs="Times New Roman"/>
        </w:rPr>
        <w:t>it</w:t>
      </w:r>
      <w:r w:rsidR="50FC0EBF" w:rsidRPr="00AD2FC5">
        <w:rPr>
          <w:rFonts w:ascii="Times New Roman" w:hAnsi="Times New Roman" w:cs="Times New Roman"/>
        </w:rPr>
        <w:t xml:space="preserve"> </w:t>
      </w:r>
      <w:r w:rsidR="726EB0C4" w:rsidRPr="00AD2FC5">
        <w:rPr>
          <w:rFonts w:ascii="Times New Roman" w:hAnsi="Times New Roman" w:cs="Times New Roman"/>
        </w:rPr>
        <w:t>serves as a valuable educational strategy, enhancing students’ learning outcomes</w:t>
      </w:r>
      <w:r w:rsidR="34686F67" w:rsidRPr="00AD2FC5">
        <w:rPr>
          <w:rFonts w:ascii="Times New Roman" w:hAnsi="Times New Roman" w:cs="Times New Roman"/>
        </w:rPr>
        <w:t xml:space="preserve">, all while </w:t>
      </w:r>
      <w:r w:rsidR="726EB0C4" w:rsidRPr="00AD2FC5">
        <w:rPr>
          <w:rFonts w:ascii="Times New Roman" w:hAnsi="Times New Roman" w:cs="Times New Roman"/>
        </w:rPr>
        <w:t xml:space="preserve">preparing them to contribute meaningfully to society and pursue further </w:t>
      </w:r>
      <w:r w:rsidR="17F1CE20" w:rsidRPr="00AD2FC5">
        <w:rPr>
          <w:rFonts w:ascii="Times New Roman" w:hAnsi="Times New Roman" w:cs="Times New Roman"/>
        </w:rPr>
        <w:t>profession</w:t>
      </w:r>
      <w:r w:rsidR="743D3CF4" w:rsidRPr="00AD2FC5">
        <w:rPr>
          <w:rFonts w:ascii="Times New Roman" w:hAnsi="Times New Roman" w:cs="Times New Roman"/>
        </w:rPr>
        <w:t>al development</w:t>
      </w:r>
      <w:r w:rsidR="726EB0C4" w:rsidRPr="00AD2FC5">
        <w:rPr>
          <w:rFonts w:ascii="Times New Roman" w:hAnsi="Times New Roman" w:cs="Times New Roman"/>
        </w:rPr>
        <w:t xml:space="preserve"> </w:t>
      </w:r>
      <w:r w:rsidR="743D3CF4" w:rsidRPr="00AD2FC5">
        <w:rPr>
          <w:rFonts w:ascii="Times New Roman" w:hAnsi="Times New Roman" w:cs="Times New Roman"/>
        </w:rPr>
        <w:t xml:space="preserve">and aspirations </w:t>
      </w:r>
      <w:r w:rsidR="00CE3AC5"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{"citationID":"a20fllddo9s","properties":{"formattedCitation":"(Adebisi, 2022; Linn et al., 2015; Palmer et al., 2018; Seifan et al., 2022)","plainCitation":"(Adebisi, 2022; Linn et al., 2015; Palmer et al., 2018; Seifan et al., 2022)","noteIndex":0},"citationItems":[{"id":1090,"uris":["http://zotero.org/users/17290334/items/4SCIV5JX"],"itemData":{"id":1090,"type":"article-journal","abstract":"Developing, maintaining, and sustaining undergraduate research initiatives can benefit academic institutions, faculty mentors, and students. As the world evolves, more research is required to advance knowledge and innovation in all fields. This implies that students must be prepared for today's knowledge-driven world. Research in the medical and health sciences has stalled in many developing countries, where a dual burden of communicable and noncommunicable diseases is prevalent. In this article, I discuss the values and benefits of undergraduate healthcare students participating in research and scientific publishing, as well as the challenges they face. I also make recommendations to encourage undergraduates to get involved in research. The potential of undergraduate research has not yet been fully realized. Undergraduate research's main objectives are to teach students how to do research and to help them acquire skills that they can use beyond the academic environment. Undergraduate research will complement rather than conflict with university education and should go beyond the mandatory terminal year thesis and must cover the entire course of their studies. The key to successful undergraduate research participation is for students to see and understand the importance of rigor, academic integrity, and responsible research conduct. This means academic institutions should carefully plan research programs, activities, and courses for students. Building capacity in research has a long-term impact on valuable learning outcomes as undergraduate students prepare for professional service. Stakeholders and educational authorities must invest in strengthening undergraduate involvement in research.","container-title":"Annals of Medicine and Surgery","DOI":"10.1016/j.amsu.2022.104384","ISSN":"2049-0801","journalAbbreviation":"Annals of Medicine and Surgery","page":"104384","source":"ScienceDirect","title":"Undergraduate students' involvement in research: Values, benefits, barriers and recommendations","title-short":"Undergraduate students' involvement in research","volume":"81","author":[{"family":"Adebisi","given":"Yusuff Adebayo"}],"issued":{"date-parts":[["2022",9,1]]}},"label":"page"},{"id":244,"uris":["http://zotero.org/users/17290334/items/C9WBPTXD"],"itemData":{"id":244,"type":"article-journal","abstract":"Most undergraduates give high ratings to research experiences. Studies report that these experiences improve participation and persistence, often by strengthening students’ views of themselves as scientists. Yet, the evidence for these claims is weak. More than half the 60 studies reviewed rely on self-report surveys or interviews. Rather than introducing new images of science, research experiences may reinforce flawed images especially of research practices and conceptual understanding. The most convincing studies show benefits for mentoring and for communicating the nature of science, but the ideas that students learn are often isolated or fragmented rather than integrated and coherent. Rigorous research is needed to identify ways to design research experiences so that they promote integrated understanding. These studies need powerful and generalizable assessments that can document student progress, help distinguish effective and ineffective aspects of the experiences, and illustrate how students interpret the research experiences they encounter. To create research experiences that meet the needs of interested students and make effective use of scarce resources, we encourage systematic, iterative studies with multiple indicators of success.","container-title":"Science","DOI":"10.1126/science.1261757","issue":"6222","note":"publisher: American Association for the Advancement of Science","page":"1261757","source":"science.org (Atypon)","title":"Undergraduate research experiences: Impacts and opportunities","title-short":"Undergraduate research experiences","volume":"347","author":[{"family":"Linn","given":"Marcia C."},{"family":"Palmer","given":"Erin"},{"family":"Baranger","given":"Anne"},{"family":"Gerard","given":"Elizabeth"},{"family":"Stone","given":"Elisa"}],"issued":{"date-parts":[["2015",2,6]]}},"label":"page"},{"id":1063,"uris":["http://zotero.org/users/17290334/items/9J7A2YGJ"],"itemData":{"id":1063,"type":"article-journal","abstract":"This article presents the results of an investigation into undergraduate students' perceptions of the influences of their mentored research experiences on their identity development. Data from a 2015 survey were analyzed using summative and inductive approaches. The results indicated that participants had access to multiple opportunities for mentored undergraduate research. Second, participants identified a constellation of mentor types that facilitated students' initial and long-term engagement in undergraduate research experiences. The inductive analysis of openended responses uncovered five categories of elements identified by participants as influencing their identity shifts and three domains of students' perceived identity shifts: disciplinary/professional, academic/researcher, and personal/cultural. The findings extend the literature related to outcomes of mentored undergraduate research and suggest a need for additional investigations into mentoring models that accommodate arrays of mentors and identity shifts associated with mentored undergraduate research.","container-title":"Scholarship and Practice of Undergraduate Research","DOI":"10.18833/spur/2/2/1","ISSN":"2476101X","issue":"2","language":"English","license":"Copyright Council on Undergraduate Research  Winter 2018","note":"number-of-pages: 4-14\npublisher-place: Washington, United States\npublisher: Council on Undergraduate Research\nsection: ASSESSMENT","page":"4-14","source":"ProQuest","title":"The Influence of Mentored Undergraduate Research on Students' Identity Development","volume":"2","contributor":[{"family":"Vygotsky","given":"Lev"}],"author":[{"family":"Palmer","given":"Ruth J."},{"family":"Hunt","given":"Andrea N."},{"family":"Neal","given":"Michael R."},{"family":"Wuetherick","given":"Brad"}],"issued":{"date-parts":[["2018"]],"season":"Winter"}},"label":"page"},{"id":1072,"uris":["http://zotero.org/users/17290334/items/4KLM3EEI"],"itemData":{"id":1072,"type":"article-journal","abstract":"Effective engineering undergraduate programs should be well-structured to respond to the needs of students and prepare them for the workforce or further studies. Undoubtedly, the teaching and learning process should be student-centred to promote problem-solving skills and facilitate the generation of new knowledge by students. A capstone research project is one of the practices that aim to enable students to successfully move into either employment or graduate studies. In this study, a survey containing different categories was prepared to assess the usefulness of a capstone research project in achieving various outcomes, including personal, learning, and research perceptions, as well as other aspects such as supervision, career aspirations, safety matters, and hands-on experience . The survey was sent out to honours students who were carrying out an engineering capstone research project. The results suggested that an undergraduate research program can be an efficient tool in the teaching and learning process. Interestingly, the results showed that undergraduate research was unable to prompt students to choose their future career pathway or encourage them to pursue postgraduate studies. Defining projects that reflect the industry's needs with focusing on the society’s demands could present a possible solution to this issue.","container-title":"International Journal of Mechanical Engineering Education","DOI":"10.1177/0306419021988962","ISSN":"0306-4190","issue":"2","language":"EN","note":"publisher: SAGE Publications Ltd STM","page":"326-348","source":"SAGE Journals","title":"Effect of undergraduate research on students’ learning and engagement","volume":"50","author":[{"family":"Seifan","given":"Mostafa"},{"family":"Lal","given":"Neha"},{"family":"Berenjian","given":"Aydin"}],"issued":{"date-parts":[["2022",4,1]]}},"label":"page"}],"schema":"https://github.com/citation-style-language/schema/raw/master/csl-citation.json"} </w:instrText>
      </w:r>
      <w:r w:rsidR="00CE3AC5" w:rsidRPr="00AD2FC5">
        <w:rPr>
          <w:rFonts w:ascii="Times New Roman" w:hAnsi="Times New Roman" w:cs="Times New Roman"/>
        </w:rPr>
        <w:fldChar w:fldCharType="separate"/>
      </w:r>
      <w:r w:rsidR="00F12E71" w:rsidRPr="00AD2FC5">
        <w:rPr>
          <w:rFonts w:ascii="Times New Roman" w:hAnsi="Times New Roman" w:cs="Times New Roman"/>
          <w:kern w:val="0"/>
        </w:rPr>
        <w:t>(Adebisi, 2022; Linn et al., 2015; Palmer et al., 2018; Seifan et al., 2022)</w:t>
      </w:r>
      <w:r w:rsidR="00CE3AC5" w:rsidRPr="00AD2FC5">
        <w:rPr>
          <w:rFonts w:ascii="Times New Roman" w:hAnsi="Times New Roman" w:cs="Times New Roman"/>
        </w:rPr>
        <w:fldChar w:fldCharType="end"/>
      </w:r>
      <w:r w:rsidR="33272698" w:rsidRPr="00AD2FC5">
        <w:rPr>
          <w:rFonts w:ascii="Times New Roman" w:hAnsi="Times New Roman" w:cs="Times New Roman"/>
        </w:rPr>
        <w:t>.</w:t>
      </w:r>
    </w:p>
    <w:p w14:paraId="3A9DDCE9" w14:textId="51764F75" w:rsidR="001312F8" w:rsidRDefault="00BD6DC0" w:rsidP="311AFB26">
      <w:pPr>
        <w:spacing w:line="240" w:lineRule="auto"/>
        <w:ind w:firstLine="720"/>
        <w:rPr>
          <w:rFonts w:ascii="Times New Roman" w:hAnsi="Times New Roman" w:cs="Times New Roman"/>
        </w:rPr>
      </w:pPr>
      <w:r>
        <w:rPr>
          <w:rFonts w:ascii="Times New Roman" w:hAnsi="Times New Roman" w:cs="Times New Roman"/>
        </w:rPr>
        <w:t>D</w:t>
      </w:r>
      <w:r w:rsidR="007B4161" w:rsidRPr="00AD2FC5">
        <w:rPr>
          <w:rFonts w:ascii="Times New Roman" w:hAnsi="Times New Roman" w:cs="Times New Roman"/>
        </w:rPr>
        <w:t>espite these benefits</w:t>
      </w:r>
      <w:r w:rsidR="001838C4" w:rsidRPr="00AD2FC5">
        <w:rPr>
          <w:rFonts w:ascii="Times New Roman" w:hAnsi="Times New Roman" w:cs="Times New Roman"/>
        </w:rPr>
        <w:t>,</w:t>
      </w:r>
      <w:r w:rsidR="007B4161" w:rsidRPr="00AD2FC5">
        <w:rPr>
          <w:rFonts w:ascii="Times New Roman" w:hAnsi="Times New Roman" w:cs="Times New Roman"/>
        </w:rPr>
        <w:t xml:space="preserve"> </w:t>
      </w:r>
      <w:r w:rsidR="007B0129" w:rsidRPr="00AD2FC5">
        <w:rPr>
          <w:rFonts w:ascii="Times New Roman" w:hAnsi="Times New Roman" w:cs="Times New Roman"/>
        </w:rPr>
        <w:t xml:space="preserve">previous studies examining the relationship between undergraduate research and student </w:t>
      </w:r>
      <w:r w:rsidR="00DF5590" w:rsidRPr="00AD2FC5">
        <w:rPr>
          <w:rFonts w:ascii="Times New Roman" w:hAnsi="Times New Roman" w:cs="Times New Roman"/>
        </w:rPr>
        <w:t>success</w:t>
      </w:r>
      <w:r w:rsidR="007B0129" w:rsidRPr="00AD2FC5">
        <w:rPr>
          <w:rFonts w:ascii="Times New Roman" w:hAnsi="Times New Roman" w:cs="Times New Roman"/>
        </w:rPr>
        <w:t xml:space="preserve"> have highlighted a strong disconnec</w:t>
      </w:r>
      <w:r>
        <w:rPr>
          <w:rFonts w:ascii="Times New Roman" w:hAnsi="Times New Roman" w:cs="Times New Roman"/>
        </w:rPr>
        <w:t>t</w:t>
      </w:r>
      <w:r w:rsidR="007B0129" w:rsidRPr="00AD2FC5">
        <w:rPr>
          <w:rFonts w:ascii="Times New Roman" w:hAnsi="Times New Roman" w:cs="Times New Roman"/>
        </w:rPr>
        <w:t xml:space="preserve"> between students and the broader research culture of universities </w:t>
      </w:r>
      <w:r w:rsidR="007B0129"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{"citationID":"TYyp0bAK","properties":{"formattedCitation":"(Zamorski, 2002)","plainCitation":"(Zamorski, 2002)","noteIndex":0},"citationItems":[{"id":1065,"uris":["http://zotero.org/users/17290334/items/W4SYYFME"],"itemData":{"id":1065,"type":"article-journal","abstract":"This paper reports on one aspect the Research-led Teaching and Learning (RLTL) Project, which set out to investigate the reality of the university rhetoric concerning the relationship of research to teaching. The university, like many others, bases some of its claims to the excellence of its teaching and the quality of the learning experience enjoyed by its students on the close connection that is made between its research, and teaching and learning. The project was initiated to explore this relationship through evidence from students, academics and other members of the university. In doing so, we hoped to gain a clearer and deeper understanding of what the university means by research-led teaching and learning. The findings of the research and the report covered a wider range of issues than had been originally envisaged. This paper focuses on the first part of the report: what academics and undergraduate students understand and experience as research-led teaching and learning.","container-title":"Teaching in Higher Education","DOI":"10.1080/135625102760553919","ISSN":"1356-2517","issue":"4","note":"publisher: SRHE Website\n_eprint: https://doi.org/10.1080/135625102760553919","page":"411-427","source":"Taylor and Francis+NEJM","title":"Research-led Teaching and Learning in Higher Education: A case","title-short":"Research-led Teaching and Learning in Higher Education","volume":"7","author":[{"family":"Zamorski","given":"Barbara"}],"issued":{"date-parts":[["2002",10,1]]}}}],"schema":"https://github.com/citation-style-language/schema/raw/master/csl-citation.json"} </w:instrText>
      </w:r>
      <w:r w:rsidR="007B0129" w:rsidRPr="00AD2FC5">
        <w:rPr>
          <w:rFonts w:ascii="Times New Roman" w:hAnsi="Times New Roman" w:cs="Times New Roman"/>
        </w:rPr>
        <w:fldChar w:fldCharType="separate"/>
      </w:r>
      <w:r w:rsidR="00A6458D" w:rsidRPr="00AD2FC5">
        <w:rPr>
          <w:rFonts w:ascii="Times New Roman" w:hAnsi="Times New Roman" w:cs="Times New Roman"/>
          <w:noProof/>
        </w:rPr>
        <w:t>(Zamorski, 2002)</w:t>
      </w:r>
      <w:r w:rsidR="007B0129" w:rsidRPr="00AD2FC5">
        <w:rPr>
          <w:rFonts w:ascii="Times New Roman" w:hAnsi="Times New Roman" w:cs="Times New Roman"/>
        </w:rPr>
        <w:fldChar w:fldCharType="end"/>
      </w:r>
      <w:r w:rsidR="00A6458D" w:rsidRPr="00AD2FC5">
        <w:rPr>
          <w:rFonts w:ascii="Times New Roman" w:hAnsi="Times New Roman" w:cs="Times New Roman"/>
        </w:rPr>
        <w:t>.</w:t>
      </w:r>
      <w:r w:rsidR="00714857" w:rsidRPr="00AD2FC5">
        <w:rPr>
          <w:rFonts w:ascii="Times New Roman" w:hAnsi="Times New Roman" w:cs="Times New Roman"/>
        </w:rPr>
        <w:t xml:space="preserve"> </w:t>
      </w:r>
      <w:r w:rsidR="007B25FF" w:rsidRPr="00AD2FC5">
        <w:rPr>
          <w:rFonts w:ascii="Times New Roman" w:hAnsi="Times New Roman" w:cs="Times New Roman"/>
        </w:rPr>
        <w:t xml:space="preserve">This </w:t>
      </w:r>
      <w:r w:rsidR="003131BE" w:rsidRPr="00AD2FC5">
        <w:rPr>
          <w:rFonts w:ascii="Times New Roman" w:hAnsi="Times New Roman" w:cs="Times New Roman"/>
        </w:rPr>
        <w:t>detachment</w:t>
      </w:r>
      <w:r w:rsidR="007B25FF" w:rsidRPr="00AD2FC5">
        <w:rPr>
          <w:rFonts w:ascii="Times New Roman" w:hAnsi="Times New Roman" w:cs="Times New Roman"/>
        </w:rPr>
        <w:t xml:space="preserve"> </w:t>
      </w:r>
      <w:r w:rsidR="003131BE" w:rsidRPr="00AD2FC5">
        <w:rPr>
          <w:rFonts w:ascii="Times New Roman" w:hAnsi="Times New Roman" w:cs="Times New Roman"/>
        </w:rPr>
        <w:t xml:space="preserve">is </w:t>
      </w:r>
      <w:r w:rsidR="007B25FF" w:rsidRPr="00AD2FC5">
        <w:rPr>
          <w:rFonts w:ascii="Times New Roman" w:hAnsi="Times New Roman" w:cs="Times New Roman"/>
        </w:rPr>
        <w:t>often caused by barriers undergraduate students face, such as limited research skills, a lack of mentorship, insufficient funding, and heavy workload</w:t>
      </w:r>
      <w:r w:rsidR="00C44E01" w:rsidRPr="00AD2FC5">
        <w:rPr>
          <w:rFonts w:ascii="Times New Roman" w:hAnsi="Times New Roman" w:cs="Times New Roman"/>
        </w:rPr>
        <w:t>s</w:t>
      </w:r>
      <w:r w:rsidR="00EA5537" w:rsidRPr="00AD2FC5">
        <w:rPr>
          <w:rFonts w:ascii="Times New Roman" w:hAnsi="Times New Roman" w:cs="Times New Roman"/>
        </w:rPr>
        <w:t xml:space="preserve"> </w:t>
      </w:r>
      <w:r w:rsidR="007B0129"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{"citationID":"xpMf9zZ2","properties":{"formattedCitation":"(Adebisi, 2022; Keast et al., 2012)","plainCitation":"(Adebisi, 2022; Keast et al., 2012)","noteIndex":0},"citationItems":[{"id":1090,"uris":["http://zotero.org/users/17290334/items/4SCIV5JX"],"itemData":{"id":1090,"type":"article-journal","abstract":"Developing, maintaining, and sustaining undergraduate research initiatives can benefit academic institutions, faculty mentors, and students. As the world evolves, more research is required to advance knowledge and innovation in all fields. This implies that students must be prepared for today's knowledge-driven world. Research in the medical and health sciences has stalled in many developing countries, where a dual burden of communicable and noncommunicable diseases is prevalent. In this article, I discuss the values and benefits of undergraduate healthcare students participating in research and scientific publishing, as well as the challenges they face. I also make recommendations to encourage undergraduates to get involved in research. The potential of undergraduate research has not yet been fully realized. Undergraduate research's main objectives are to teach students how to do research and to help them acquire skills that they can use beyond the academic environment. Undergraduate research will complement rather than conflict with university education and should go beyond the mandatory terminal year thesis and must cover the entire course of their studies. The key to successful undergraduate research participation is for students to see and understand the importance of rigor, academic integrity, and responsible research conduct. This means academic institutions should carefully plan research programs, activities, and courses for students. Building capacity in research has a long-term impact on valuable learning outcomes as undergraduate students prepare for professional service. Stakeholders and educational authorities must invest in strengthening undergraduate involvement in research.","container-title":"Annals of Medicine and Surgery","DOI":"10.1016/j.amsu.2022.104384","ISSN":"2049-0801","journalAbbreviation":"Annals of Medicine and Surgery","page":"104384","source":"ScienceDirect","title":"Undergraduate students' involvement in research: Values, benefits, barriers and recommendations","title-short":"Undergraduate students' involvement in research","volume":"81","author":[{"family":"Adebisi","given":"Yusuff Adebayo"}],"issued":{"date-parts":[["2022",9,1]]}}},{"id":1067,"uris":["http://zotero.org/users/17290334/items/KS765LUL"],"itemData":{"id":1067,"type":"article-journal","abstract":"Previous research has indicated that undergraduate student learning can be enhanced through active involvement in research. Furthermore, creating an academic environment where teaching and research are intimately linked can facilitate the induction of students into a community of learners where new knowledge is created, explored and critiqued. Scaffolding and supporting student learning via engagement in authentic research experiences can work to ensure graduating students have the capacity to generate and investigate important questions that contributes to the development of new knowledge. This paper presents a case study that outlines curriculum design and pedagogical strategies aimed at integrating teaching and research within the first year of an undergraduate course. First year Food and Nutrition students were asked to partake in a research project where they were asked to complete a series of diet and food related questionnaires, analyse, interpret and critique the resulting data. Students were supported through this learning activity via small group tutorial support and question and answer sessions within the learning management system. Anonymous evaluation of the teaching and learning experience was conducted at the end of the teaching period and the results indicate that the students welcomed the opportunity to engage in an authentic, research based learning activity. Students’ found the assessment tasks were clearly explained to them (88% agreeing), and felt well supported in approaching this research based assessment task. Furthermore, the qualitative comments indicated that the students’ found the learning environment to be meaningful and relevant. This case study indicates that it is possible to effectively incorporate authentic research experiences within the curriculum of a first year course. The experiential, inquiry based learning approach used supported the students’ participation in a systematic, rigorous data collection process required in a structured research environment and blended these requirements with authentic learning of discipline specific skills and knowledge.","container-title":"Creative Education","DOI":"10.4236/ce.2012.38199","issue":"8","language":"en","license":"http://creativecommons.org/licenses/by/4.0/","note":"publisher: Scientific Research Publishing","page":"1366-1370","source":"www.scirp.org","title":"Effective Integration of Teaching and Research in a First Year Food and Nutrition Course","volume":"3","author":[{"family":"Keast","given":"Russell"},{"family":"Macfarlane","given":"Susie"},{"family":"Riddell","given":"Lynn"}],"issued":{"date-parts":[["2012",12,25]]}}}],"schema":"https://github.com/citation-style-language/schema/raw/master/csl-citation.json"} </w:instrText>
      </w:r>
      <w:r w:rsidR="007B0129" w:rsidRPr="00AD2FC5">
        <w:rPr>
          <w:rFonts w:ascii="Times New Roman" w:hAnsi="Times New Roman" w:cs="Times New Roman"/>
        </w:rPr>
        <w:fldChar w:fldCharType="separate"/>
      </w:r>
      <w:r w:rsidR="00EA5537" w:rsidRPr="00AD2FC5">
        <w:rPr>
          <w:rFonts w:ascii="Times New Roman" w:hAnsi="Times New Roman" w:cs="Times New Roman"/>
          <w:noProof/>
        </w:rPr>
        <w:t>(Adebisi, 2022; Keast et al., 2012)</w:t>
      </w:r>
      <w:r w:rsidR="007B0129" w:rsidRPr="00AD2FC5">
        <w:rPr>
          <w:rFonts w:ascii="Times New Roman" w:hAnsi="Times New Roman" w:cs="Times New Roman"/>
        </w:rPr>
        <w:fldChar w:fldCharType="end"/>
      </w:r>
      <w:r w:rsidR="007B25FF" w:rsidRPr="00AD2FC5">
        <w:rPr>
          <w:rFonts w:ascii="Times New Roman" w:hAnsi="Times New Roman" w:cs="Times New Roman"/>
        </w:rPr>
        <w:t xml:space="preserve">. </w:t>
      </w:r>
      <w:r w:rsidR="00CD1BFF" w:rsidRPr="00AD2FC5">
        <w:rPr>
          <w:rFonts w:ascii="Times New Roman" w:hAnsi="Times New Roman" w:cs="Times New Roman"/>
        </w:rPr>
        <w:t>Moreover, many undergraduates struggle to develop a clear identity as a researcher</w:t>
      </w:r>
      <w:r w:rsidR="00DF5590" w:rsidRPr="00AD2FC5">
        <w:rPr>
          <w:rFonts w:ascii="Times New Roman" w:hAnsi="Times New Roman" w:cs="Times New Roman"/>
        </w:rPr>
        <w:t xml:space="preserve">, and this </w:t>
      </w:r>
      <w:r w:rsidR="00FB382F" w:rsidRPr="00AD2FC5">
        <w:rPr>
          <w:rFonts w:ascii="Times New Roman" w:hAnsi="Times New Roman" w:cs="Times New Roman"/>
        </w:rPr>
        <w:t xml:space="preserve">limited self-efficacy in science </w:t>
      </w:r>
      <w:r w:rsidR="0028589C" w:rsidRPr="00AD2FC5">
        <w:rPr>
          <w:rFonts w:ascii="Times New Roman" w:hAnsi="Times New Roman" w:cs="Times New Roman"/>
        </w:rPr>
        <w:t xml:space="preserve">can further hinder their engagement in scholarly research, sometimes diminishing their interest in pursuing graduate study or academic careers </w:t>
      </w:r>
      <w:r w:rsidR="007B0129"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{"citationID":"9Pj5b3Fq","properties":{"formattedCitation":"(Chemers et al., 2011; Hu et al., 2022; Robnett et al., 2015; Syed et al., 2019)","plainCitation":"(Chemers et al., 2011; Hu et al., 2022; Robnett et al., 2015; Syed et al., 2019)","noteIndex":0},"citationItems":[{"id":274,"uris":["http://zotero.org/users/17290334/items/3DMXL9DK"],"itemData":{"id":274,"type":"article-journal","abstract":"A web-based survey of members of the Society for the Advancement of Chicanos and Native Americans in Science tested a model that proposed that the effects of science support experiences on commitment to science careers would be mediated by science self-efficacy and identity as a scientist. A sample of 327 undergraduates and 338 graduate students and postdoctoral fellows described their science support experiences (research experience, mentoring, and community involvement); psychological variables (science self-efficacy, leadership/teamwork self-efficacy, and identity as a scientist); and commitment to pursue a career in scientific research. Structural equation model analyses supported our predictions. Among the undergraduates, science (but not leadership/teamwork), self-efficacy, and identity as a scientist fully mediated the effects of science support experiences and were strong predictors of commitment. Results for the graduate/postdoctoral sample revealed a very similar pattern of results, with the added finding that all three psychological mediators, including leadership/teamwork self-efficacy, predicted commitment.","container-title":"Journal of Social Issues","DOI":"10.1111/j.1540-4560.2011.01710.x","ISSN":"1540-4560","issue":"3","language":"en","license":"© 2011 The Society for the Psychological Study of Social Issues","note":"_eprint: https://spssi.onlinelibrary.wiley.com/doi/pdf/10.1111/j.1540-4560.2011.01710.x","page":"469-491","source":"Wiley Online Library","title":"The Role of Efficacy and Identity in Science Career Commitment Among Underrepresented Minority Students","volume":"67","author":[{"family":"Chemers","given":"Martin M."},{"family":"Zurbriggen","given":"Eileen L."},{"family":"Syed","given":"Moin"},{"family":"Goza","given":"Barbara K."},{"family":"Bearman","given":"Steve"}],"issued":{"date-parts":[["2011"]]}}},{"id":1064,"uris":["http://zotero.org/users/17290334/items/4VVJ92EH"],"itemData":{"id":1064,"type":"article-journal","abstract":"In many countries and regions, such as the United States, Europe and China, a trend has emerged in which students’ enthusiasm for STEM is declining. This decline may be related to students’ lack of science self-efficacy. An accurate examination of students’ science self-efficacy can provide a research foundation for how to cultivate it. This paper used mixed methods to develop a valid science self-efficacy scale for high school students, focusing on the perceived competence dimension. A cross-sectional analysis exploring and interpreting differences across grades and genders in science self-efficacy among high school students was conducted. Subsequently, a 1-year longitudinal study was conducted on the development of science self-efficacy in China.","container-title":"International Journal of STEM Education","DOI":"10.1186/s40594-022-00363-x","ISSN":"2196-7822","issue":"1","journalAbbreviation":"International Journal of STEM Education","page":"47","source":"BioMed Central","title":"Measuring science self-efficacy with a focus on the perceived competence dimension: using mixed methods to develop an instrument and explore changes through cross-sectional and longitudinal analyses in high school","title-short":"Measuring science self-efficacy with a focus on the perceived competence dimension","volume":"9","author":[{"family":"Hu","given":"Xinyang"},{"family":"Jiang","given":"Yanxia"},{"family":"Bi","given":"Hualin"}],"issued":{"date-parts":[["2022",7,16]]}}},{"id":242,"uris":["http://zotero.org/users/17290334/items/LLHSMEZM"],"itemData":{"id":242,"type":"article-journal","abstract":"Prior research shows that undergraduates tend to identify more strongly with the field of science after participating in scientific research. However, mediators that might account for this association are not well understood. In the current study, we propose that science self-efficacy may serve this mediational function. Specifically, data from a 2-year longitudinal study were used to test a model in which science self-efficacy was expected to mediate the association between research involvement and identity as a scientist. The ethnically diverse sample included 251 undergraduates who were recruited from colleges and universities across the United States. The hypothesized mediation model was tested with a cross-lagged panel analysis. As expected, greater levels of research experience at Time 1 predicted higher identity as a scientist at Time 3, and this association was mediated by science self-efficacy at Time 2. Exploratory analyses testing for ethnic and gender differences in the model suggested that the associations in the model were similar for undergraduates from diverse backgrounds. From a theoretical standpoint, the current study provides novel insight into how research experience, efficacy, and identity relate to one another over time. Applied implications center on the importance of involving undergraduates in research that has the potential to bolster their science self-efficacy. © 2015 Wiley Periodicals, Inc. J Res Sci Teach 52: 847–867, 2015.","container-title":"Journal of Research in Science Teaching","DOI":"10.1002/tea.21221","ISSN":"1098-2736","issue":"6","language":"en","license":"© 2015 Wiley Periodicals, Inc.","note":"_eprint: https://onlinelibrary.wiley.com/doi/pdf/10.1002/tea.21221","page":"847-867","source":"Wiley Online Library","title":"Longitudinal associations among undergraduates' research experience, self-efficacy, and identity","volume":"52","author":[{"family":"Robnett","given":"Rachael D."},{"family":"Chemers","given":"Martin M."},{"family":"Zurbriggen","given":"Eileen L."}],"issued":{"date-parts":[["2015"]]}}},{"id":273,"uris":["http://zotero.org/users/17290334/items/ZYIH6DIB"],"itemData":{"id":273,"type":"article-journal","abstract":"We report results from two studies testing the Mediation Model of Research Experiences, which posits that science (or engineering) self-efficacy and identity as a scientist (or engineer) mediate the association between support programs and students’ commitment to science, technology, engineering, and mathematics (STEM) careers. Study 1 included 502 matriculated and recently graduated undergraduate STEM students. Structural equation modeling analyses indicated that research experience, instrumental mentoring, and involvement in a community of scientists were associated with commitment to a STEM career, mediated through science/engineering self-efficacy and identity as a scientist/engineer. There were few interactions with ethnicity and none with gender. In Study 2, 63 undergraduate students in science/engineering support programs were surveyed with a similar instrument at the beginning and end of their programs. Pre–post analyses indicated that increases over time in community involvement were associated with increases in science/engineering self-efficacy, and increases over time in science/engineering identity were associated with increased commitment to a STEM career. Taken together, these two studies show the importance of psychological processes such as identity and self-efficacy in understanding the specific ways in which science/engineering support programs lead to enhanced commitment to a career in STEM among White and underrepresented minority undergraduate students.","container-title":"Analyses of Social Issues and Public Policy","DOI":"10.1111/asap.12170","ISSN":"1530-2415","issue":"1","language":"en","license":"© 2018 The Society for the Psychological Study of Social Issues","note":"_eprint: https://spssi.onlinelibrary.wiley.com/doi/pdf/10.1111/asap.12170","page":"7-49","source":"Wiley Online Library","title":"The Role of Self-Efficacy and Identity in Mediating the Effects of STEM Support Experiences","volume":"19","author":[{"family":"Syed","given":"Moin"},{"family":"Zurbriggen","given":"Eileen L."},{"family":"Chemers","given":"Martin M."},{"family":"Goza","given":"Barbara K."},{"family":"Bearman","given":"Steve"},{"family":"Crosby","given":"Faye J."},{"family":"Shaw","given":"Jerome M."},{"family":"Hunter","given":"Lisa"},{"family":"Morgan","given":"Elizabeth M."}],"issued":{"date-parts":[["2019"]]}}}],"schema":"https://github.com/citation-style-language/schema/raw/master/csl-citation.json"} </w:instrText>
      </w:r>
      <w:r w:rsidR="007B0129" w:rsidRPr="00AD2FC5">
        <w:rPr>
          <w:rFonts w:ascii="Times New Roman" w:hAnsi="Times New Roman" w:cs="Times New Roman"/>
        </w:rPr>
        <w:fldChar w:fldCharType="separate"/>
      </w:r>
      <w:r w:rsidR="008A6CDD" w:rsidRPr="00AD2FC5">
        <w:rPr>
          <w:rFonts w:ascii="Times New Roman" w:hAnsi="Times New Roman" w:cs="Times New Roman"/>
          <w:noProof/>
        </w:rPr>
        <w:t>(Chemers et al., 2011; Hu et al., 2022; Robnett et al., 2015; Syed et al., 2019)</w:t>
      </w:r>
      <w:r w:rsidR="007B0129" w:rsidRPr="00AD2FC5">
        <w:rPr>
          <w:rFonts w:ascii="Times New Roman" w:hAnsi="Times New Roman" w:cs="Times New Roman"/>
        </w:rPr>
        <w:fldChar w:fldCharType="end"/>
      </w:r>
      <w:r w:rsidR="007B25FF" w:rsidRPr="00AD2FC5">
        <w:rPr>
          <w:rFonts w:ascii="Times New Roman" w:hAnsi="Times New Roman" w:cs="Times New Roman"/>
        </w:rPr>
        <w:t>.</w:t>
      </w:r>
      <w:r w:rsidR="00484E6D" w:rsidRPr="00AD2FC5">
        <w:rPr>
          <w:rFonts w:ascii="Times New Roman" w:hAnsi="Times New Roman" w:cs="Times New Roman"/>
        </w:rPr>
        <w:t xml:space="preserve"> Attempting to </w:t>
      </w:r>
      <w:r>
        <w:rPr>
          <w:rFonts w:ascii="Times New Roman" w:hAnsi="Times New Roman" w:cs="Times New Roman"/>
        </w:rPr>
        <w:t>reduce</w:t>
      </w:r>
      <w:r w:rsidR="00484E6D" w:rsidRPr="00AD2FC5">
        <w:rPr>
          <w:rFonts w:ascii="Times New Roman" w:hAnsi="Times New Roman" w:cs="Times New Roman"/>
        </w:rPr>
        <w:t xml:space="preserve"> these barriers is vital, as the development of researcher identity and self-efficacy underpins students’ long-term engagement in research</w:t>
      </w:r>
      <w:r w:rsidR="00F71A74" w:rsidRPr="00AD2FC5">
        <w:rPr>
          <w:rFonts w:ascii="Times New Roman" w:hAnsi="Times New Roman" w:cs="Times New Roman"/>
        </w:rPr>
        <w:t xml:space="preserve"> </w:t>
      </w:r>
      <w:r w:rsidR="00E83359"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{"citationID":"aqremhkpag","properties":{"formattedCitation":"(Robnett et al., 2015)","plainCitation":"(Robnett et al., 2015)","noteIndex":0},"citationItems":[{"id":242,"uris":["http://zotero.org/users/17290334/items/LLHSMEZM"],"itemData":{"id":242,"type":"article-journal","abstract":"Prior research shows that undergraduates tend to identify more strongly with the field of science after participating in scientific research. However, mediators that might account for this association are not well understood. In the current study, we propose that science self-efficacy may serve this mediational function. Specifically, data from a 2-year longitudinal study were used to test a model in which science self-efficacy was expected to mediate the association between research involvement and identity as a scientist. The ethnically diverse sample included 251 undergraduates who were recruited from colleges and universities across the United States. The hypothesized mediation model was tested with a cross-lagged panel analysis. As expected, greater levels of research experience at Time 1 predicted higher identity as a scientist at Time 3, and this association was mediated by science self-efficacy at Time 2. Exploratory analyses testing for ethnic and gender differences in the model suggested that the associations in the model were similar for undergraduates from diverse backgrounds. From a theoretical standpoint, the current study provides novel insight into how research experience, efficacy, and identity relate to one another over time. Applied implications center on the importance of involving undergraduates in research that has the potential to bolster their science self-efficacy. © 2015 Wiley Periodicals, Inc. J Res Sci Teach 52: 847–867, 2015.","container-title":"Journal of Research in Science Teaching","DOI":"10.1002/tea.21221","ISSN":"1098-2736","issue":"6","language":"en","license":"© 2015 Wiley Periodicals, Inc.","note":"_eprint: https://onlinelibrary.wiley.com/doi/pdf/10.1002/tea.21221","page":"847-867","source":"Wiley Online Library","title":"Longitudinal associations among undergraduates' research experience, self-efficacy, and identity","volume":"52","author":[{"family":"Robnett","given":"Rachael D."},{"family":"Chemers","given":"Martin M."},{"family":"Zurbriggen","given":"Eileen L."}],"issued":{"date-parts":[["2015"]]}}}],"schema":"https://github.com/citation-style-language/schema/raw/master/csl-citation.json"} </w:instrText>
      </w:r>
      <w:r w:rsidR="00E83359" w:rsidRPr="00AD2FC5">
        <w:rPr>
          <w:rFonts w:ascii="Times New Roman" w:hAnsi="Times New Roman" w:cs="Times New Roman"/>
        </w:rPr>
        <w:fldChar w:fldCharType="separate"/>
      </w:r>
      <w:r w:rsidR="00F12E71" w:rsidRPr="00AD2FC5">
        <w:rPr>
          <w:rFonts w:ascii="Times New Roman" w:hAnsi="Times New Roman" w:cs="Times New Roman"/>
          <w:kern w:val="0"/>
        </w:rPr>
        <w:t>(Robnett et al., 2015)</w:t>
      </w:r>
      <w:r w:rsidR="00E83359" w:rsidRPr="00AD2FC5">
        <w:rPr>
          <w:rFonts w:ascii="Times New Roman" w:hAnsi="Times New Roman" w:cs="Times New Roman"/>
        </w:rPr>
        <w:fldChar w:fldCharType="end"/>
      </w:r>
      <w:r w:rsidR="00DF74F4" w:rsidRPr="00AD2FC5">
        <w:rPr>
          <w:rFonts w:ascii="Times New Roman" w:hAnsi="Times New Roman" w:cs="Times New Roman"/>
        </w:rPr>
        <w:t>.</w:t>
      </w:r>
    </w:p>
    <w:p w14:paraId="1D8DE6F6" w14:textId="282C4C36" w:rsidR="00181063" w:rsidRPr="00181063" w:rsidRDefault="6813D0F2" w:rsidP="00181063">
      <w:pPr>
        <w:spacing w:line="240" w:lineRule="auto"/>
        <w:ind w:firstLine="720"/>
        <w:rPr>
          <w:rFonts w:ascii="Times New Roman" w:hAnsi="Times New Roman" w:cs="Times New Roman"/>
          <w:kern w:val="0"/>
          <w14:ligatures w14:val="none"/>
        </w:rPr>
      </w:pPr>
      <w:r w:rsidRPr="00AD2FC5">
        <w:rPr>
          <w:rFonts w:ascii="Times New Roman" w:hAnsi="Times New Roman" w:cs="Times New Roman"/>
          <w:kern w:val="0"/>
          <w14:ligatures w14:val="none"/>
        </w:rPr>
        <w:t xml:space="preserve">In response to these barriers and the need for solutions, researchers have highlighted the importance of developing scientific identity and self-efficacy, suggesting these factors are crucial for students’ integration into the research community </w:t>
      </w:r>
      <w:r w:rsidR="00D2359E" w:rsidRPr="00AD2FC5">
        <w:rPr>
          <w:rFonts w:ascii="Times New Roman" w:hAnsi="Times New Roman" w:cs="Times New Roman"/>
          <w:kern w:val="0"/>
          <w14:ligatures w14:val="none"/>
        </w:rPr>
        <w:fldChar w:fldCharType="begin"/>
      </w:r>
      <w:r w:rsidR="00F12E71" w:rsidRPr="00AD2FC5">
        <w:rPr>
          <w:rFonts w:ascii="Times New Roman" w:hAnsi="Times New Roman" w:cs="Times New Roman"/>
          <w:kern w:val="0"/>
          <w14:ligatures w14:val="none"/>
        </w:rPr>
        <w:instrText xml:space="preserve"> ADDIN ZOTERO_ITEM CSL_CITATION {"citationID":"ac6rgnbeg","properties":{"formattedCitation":"(Robnett et al., 2015)","plainCitation":"(Robnett et al., 2015)","noteIndex":0},"citationItems":[{"id":242,"uris":["http://zotero.org/users/17290334/items/LLHSMEZM"],"itemData":{"id":242,"type":"article-journal","abstract":"Prior research shows that undergraduates tend to identify more strongly with the field of science after participating in scientific research. However, mediators that might account for this association are not well understood. In the current study, we propose that science self-efficacy may serve this mediational function. Specifically, data from a 2-year longitudinal study were used to test a model in which science self-efficacy was expected to mediate the association between research involvement and identity as a scientist. The ethnically diverse sample included 251 undergraduates who were recruited from colleges and universities across the United States. The hypothesized mediation model was tested with a cross-lagged panel analysis. As expected, greater levels of research experience at Time 1 predicted higher identity as a scientist at Time 3, and this association was mediated by science self-efficacy at Time 2. Exploratory analyses testing for ethnic and gender differences in the model suggested that the associations in the model were similar for undergraduates from diverse backgrounds. From a theoretical standpoint, the current study provides novel insight into how research experience, efficacy, and identity relate to one another over time. Applied implications center on the importance of involving undergraduates in research that has the potential to bolster their science self-efficacy. © 2015 Wiley Periodicals, Inc. J Res Sci Teach 52: 847–867, 2015.","container-title":"Journal of Research in Science Teaching","DOI":"10.1002/tea.21221","ISSN":"1098-2736","issue":"6","language":"en","license":"© 2015 Wiley Periodicals, Inc.","note":"_eprint: https://onlinelibrary.wiley.com/doi/pdf/10.1002/tea.21221","page":"847-867","source":"Wiley Online Library","title":"Longitudinal associations among undergraduates' research experience, self-efficacy, and identity","volume":"52","author":[{"family":"Robnett","given":"Rachael D."},{"family":"Chemers","given":"Martin M."},{"family":"Zurbriggen","given":"Eileen L."}],"issued":{"date-parts":[["2015"]]}}}],"schema":"https://github.com/citation-style-language/schema/raw/master/csl-citation.json"} </w:instrText>
      </w:r>
      <w:r w:rsidR="00D2359E" w:rsidRPr="00AD2FC5">
        <w:rPr>
          <w:rFonts w:ascii="Times New Roman" w:hAnsi="Times New Roman" w:cs="Times New Roman"/>
          <w:kern w:val="0"/>
          <w14:ligatures w14:val="none"/>
        </w:rPr>
        <w:fldChar w:fldCharType="separate"/>
      </w:r>
      <w:r w:rsidR="00F12E71" w:rsidRPr="00AD2FC5">
        <w:rPr>
          <w:rFonts w:ascii="Times New Roman" w:hAnsi="Times New Roman" w:cs="Times New Roman"/>
          <w:kern w:val="0"/>
        </w:rPr>
        <w:t>(Robnett et al., 2015)</w:t>
      </w:r>
      <w:r w:rsidR="00D2359E" w:rsidRPr="00AD2FC5">
        <w:rPr>
          <w:rFonts w:ascii="Times New Roman" w:hAnsi="Times New Roman" w:cs="Times New Roman"/>
          <w:kern w:val="0"/>
          <w14:ligatures w14:val="none"/>
        </w:rPr>
        <w:fldChar w:fldCharType="end"/>
      </w:r>
      <w:r w:rsidRPr="00AD2FC5">
        <w:rPr>
          <w:rFonts w:ascii="Times New Roman" w:hAnsi="Times New Roman" w:cs="Times New Roman"/>
          <w:kern w:val="0"/>
          <w14:ligatures w14:val="none"/>
        </w:rPr>
        <w:t xml:space="preserve">. </w:t>
      </w:r>
      <w:r w:rsidR="00181063" w:rsidRPr="00181063">
        <w:rPr>
          <w:rFonts w:ascii="Times New Roman" w:eastAsia="Times New Roman" w:hAnsi="Times New Roman" w:cs="Times New Roman"/>
          <w:color w:val="000000"/>
          <w:kern w:val="0"/>
          <w14:ligatures w14:val="none"/>
        </w:rPr>
        <w:t>Building on this focus, the present study investigates how participation in a structured undergraduate research program, the Rural Scholars Program, supports the development of researcher identity and self-efficacy among students in rural settings.</w:t>
      </w:r>
    </w:p>
    <w:p w14:paraId="5E1DC7F1" w14:textId="3459A879" w:rsidR="00492C81" w:rsidRPr="00AD2FC5" w:rsidRDefault="00213B60" w:rsidP="311AFB26">
      <w:pPr>
        <w:spacing w:line="240" w:lineRule="auto"/>
        <w:ind w:firstLine="720"/>
        <w:rPr>
          <w:rFonts w:ascii="Times New Roman" w:hAnsi="Times New Roman" w:cs="Times New Roman"/>
        </w:rPr>
      </w:pPr>
      <w:r w:rsidRPr="00AD2FC5">
        <w:rPr>
          <w:rFonts w:ascii="Times New Roman" w:hAnsi="Times New Roman" w:cs="Times New Roman"/>
          <w:kern w:val="0"/>
          <w14:ligatures w14:val="none"/>
        </w:rPr>
        <w:t xml:space="preserve">The </w:t>
      </w:r>
      <w:r w:rsidR="00111223">
        <w:rPr>
          <w:rFonts w:ascii="Times New Roman" w:eastAsia="Times New Roman" w:hAnsi="Times New Roman" w:cs="Times New Roman"/>
          <w:color w:val="000000" w:themeColor="text1"/>
          <w:kern w:val="0"/>
          <w14:ligatures w14:val="none"/>
        </w:rPr>
        <w:t>Rural Scholars Program</w:t>
      </w:r>
      <w:r w:rsidRPr="001312F8">
        <w:rPr>
          <w:rFonts w:ascii="Times New Roman" w:hAnsi="Times New Roman" w:cs="Times New Roman"/>
          <w:color w:val="000000" w:themeColor="text1"/>
          <w:kern w:val="0"/>
          <w14:ligatures w14:val="none"/>
        </w:rPr>
        <w:t xml:space="preserve"> </w:t>
      </w:r>
      <w:r w:rsidRPr="00AD2FC5">
        <w:rPr>
          <w:rFonts w:ascii="Times New Roman" w:hAnsi="Times New Roman" w:cs="Times New Roman"/>
          <w:kern w:val="0"/>
          <w14:ligatures w14:val="none"/>
        </w:rPr>
        <w:t xml:space="preserve">administered at </w:t>
      </w:r>
      <w:r w:rsidR="00111223">
        <w:rPr>
          <w:rFonts w:ascii="Times New Roman" w:hAnsi="Times New Roman" w:cs="Times New Roman"/>
          <w:kern w:val="0"/>
          <w14:ligatures w14:val="none"/>
        </w:rPr>
        <w:t xml:space="preserve">Oklahoma State </w:t>
      </w:r>
      <w:r w:rsidR="00311D76">
        <w:rPr>
          <w:rFonts w:ascii="Times New Roman" w:hAnsi="Times New Roman" w:cs="Times New Roman"/>
          <w:kern w:val="0"/>
          <w14:ligatures w14:val="none"/>
        </w:rPr>
        <w:t>University</w:t>
      </w:r>
      <w:r w:rsidRPr="00AD2FC5">
        <w:rPr>
          <w:rFonts w:ascii="Times New Roman" w:hAnsi="Times New Roman" w:cs="Times New Roman"/>
          <w:kern w:val="0"/>
          <w14:ligatures w14:val="none"/>
        </w:rPr>
        <w:t>, is a 10-week summer research program that places undergraduate and graduate students in rural communities to work with faculty and local mentors on applied research projects address</w:t>
      </w:r>
      <w:r w:rsidR="001F08C7">
        <w:rPr>
          <w:rFonts w:ascii="Times New Roman" w:hAnsi="Times New Roman" w:cs="Times New Roman"/>
          <w:kern w:val="0"/>
          <w14:ligatures w14:val="none"/>
        </w:rPr>
        <w:t>ing</w:t>
      </w:r>
      <w:r w:rsidRPr="00AD2FC5">
        <w:rPr>
          <w:rFonts w:ascii="Times New Roman" w:hAnsi="Times New Roman" w:cs="Times New Roman"/>
          <w:kern w:val="0"/>
          <w14:ligatures w14:val="none"/>
        </w:rPr>
        <w:t xml:space="preserve"> real-world challenges. Since little is known about the impact of structured programs intentionally designed to boost scientific self-efficacy among undergraduate students, such as </w:t>
      </w:r>
      <w:r w:rsidRPr="001312F8">
        <w:rPr>
          <w:rFonts w:ascii="Times New Roman" w:hAnsi="Times New Roman" w:cs="Times New Roman"/>
          <w:color w:val="000000" w:themeColor="text1"/>
          <w:kern w:val="0"/>
          <w14:ligatures w14:val="none"/>
        </w:rPr>
        <w:t xml:space="preserve">the </w:t>
      </w:r>
      <w:r w:rsidR="009A1FF5">
        <w:rPr>
          <w:rFonts w:ascii="Times New Roman" w:eastAsia="Times New Roman" w:hAnsi="Times New Roman" w:cs="Times New Roman"/>
          <w:color w:val="000000" w:themeColor="text1"/>
          <w:kern w:val="0"/>
          <w14:ligatures w14:val="none"/>
        </w:rPr>
        <w:t>Rural Scholars Program</w:t>
      </w:r>
      <w:r w:rsidRPr="001312F8">
        <w:rPr>
          <w:rFonts w:ascii="Times New Roman" w:hAnsi="Times New Roman" w:cs="Times New Roman"/>
          <w:color w:val="000000" w:themeColor="text1"/>
          <w:kern w:val="0"/>
          <w14:ligatures w14:val="none"/>
        </w:rPr>
        <w:t xml:space="preserve">, </w:t>
      </w:r>
      <w:r w:rsidRPr="00AD2FC5">
        <w:rPr>
          <w:rFonts w:ascii="Times New Roman" w:hAnsi="Times New Roman" w:cs="Times New Roman"/>
          <w:kern w:val="0"/>
          <w14:ligatures w14:val="none"/>
        </w:rPr>
        <w:t xml:space="preserve">this study explored how participants’ scientific identities developed over the 10-week summer research experience. The following objectives guided this research study: </w:t>
      </w:r>
    </w:p>
    <w:p w14:paraId="17E3D880" w14:textId="517881D6" w:rsidR="00213B60" w:rsidRPr="00AD2FC5" w:rsidRDefault="00213B60" w:rsidP="311AFB26">
      <w:pPr>
        <w:pStyle w:val="ListParagraph"/>
        <w:numPr>
          <w:ilvl w:val="0"/>
          <w:numId w:val="4"/>
        </w:numPr>
        <w:spacing w:line="240" w:lineRule="auto"/>
        <w:rPr>
          <w:rFonts w:ascii="Times New Roman" w:hAnsi="Times New Roman" w:cs="Times New Roman"/>
        </w:rPr>
      </w:pPr>
      <w:r w:rsidRPr="311AFB26">
        <w:rPr>
          <w:rFonts w:ascii="Times New Roman" w:hAnsi="Times New Roman" w:cs="Times New Roman"/>
        </w:rPr>
        <w:t>Describe the participants’ research identity scores over the 10-week experience.</w:t>
      </w:r>
    </w:p>
    <w:p w14:paraId="69253AF9" w14:textId="54811EAB" w:rsidR="00213B60" w:rsidRPr="00AD2FC5" w:rsidRDefault="00213B60" w:rsidP="311AFB26">
      <w:pPr>
        <w:pStyle w:val="ListParagraph"/>
        <w:numPr>
          <w:ilvl w:val="0"/>
          <w:numId w:val="4"/>
        </w:numPr>
        <w:spacing w:line="240" w:lineRule="auto"/>
        <w:rPr>
          <w:rFonts w:ascii="Times New Roman" w:hAnsi="Times New Roman" w:cs="Times New Roman"/>
        </w:rPr>
      </w:pPr>
      <w:r w:rsidRPr="311AFB26">
        <w:rPr>
          <w:rFonts w:ascii="Times New Roman" w:hAnsi="Times New Roman" w:cs="Times New Roman"/>
        </w:rPr>
        <w:t>Examine the variance in undergraduate participants’ researcher identity development over the 10-week experience.</w:t>
      </w:r>
    </w:p>
    <w:p w14:paraId="20D07F2B" w14:textId="007BEAC3" w:rsidR="007B07EB" w:rsidRPr="00AD2FC5" w:rsidRDefault="0050479B" w:rsidP="001312F8">
      <w:pPr>
        <w:spacing w:line="240" w:lineRule="auto"/>
        <w:jc w:val="center"/>
        <w:rPr>
          <w:rFonts w:ascii="Times New Roman" w:hAnsi="Times New Roman" w:cs="Times New Roman"/>
          <w:b/>
          <w:bCs/>
        </w:rPr>
      </w:pPr>
      <w:r w:rsidRPr="00AD2FC5">
        <w:rPr>
          <w:rFonts w:ascii="Times New Roman" w:hAnsi="Times New Roman" w:cs="Times New Roman"/>
          <w:b/>
          <w:bCs/>
        </w:rPr>
        <w:t>Theor</w:t>
      </w:r>
      <w:r w:rsidR="00E939C4" w:rsidRPr="00AD2FC5">
        <w:rPr>
          <w:rFonts w:ascii="Times New Roman" w:hAnsi="Times New Roman" w:cs="Times New Roman"/>
          <w:b/>
          <w:bCs/>
        </w:rPr>
        <w:t>e</w:t>
      </w:r>
      <w:r w:rsidR="00BA690F" w:rsidRPr="00AD2FC5">
        <w:rPr>
          <w:rFonts w:ascii="Times New Roman" w:hAnsi="Times New Roman" w:cs="Times New Roman"/>
          <w:b/>
          <w:bCs/>
        </w:rPr>
        <w:t>tical</w:t>
      </w:r>
      <w:r w:rsidR="00AF522B" w:rsidRPr="00AD2FC5">
        <w:rPr>
          <w:rFonts w:ascii="Times New Roman" w:hAnsi="Times New Roman" w:cs="Times New Roman"/>
          <w:b/>
          <w:bCs/>
        </w:rPr>
        <w:t xml:space="preserve">, </w:t>
      </w:r>
      <w:r w:rsidR="00795B95" w:rsidRPr="00AD2FC5">
        <w:rPr>
          <w:rFonts w:ascii="Times New Roman" w:hAnsi="Times New Roman" w:cs="Times New Roman"/>
          <w:b/>
          <w:bCs/>
        </w:rPr>
        <w:t>C</w:t>
      </w:r>
      <w:r w:rsidR="00BA690F" w:rsidRPr="00AD2FC5">
        <w:rPr>
          <w:rFonts w:ascii="Times New Roman" w:hAnsi="Times New Roman" w:cs="Times New Roman"/>
          <w:b/>
          <w:bCs/>
        </w:rPr>
        <w:t>oncep</w:t>
      </w:r>
      <w:r w:rsidR="00AF522B" w:rsidRPr="00AD2FC5">
        <w:rPr>
          <w:rFonts w:ascii="Times New Roman" w:hAnsi="Times New Roman" w:cs="Times New Roman"/>
          <w:b/>
          <w:bCs/>
        </w:rPr>
        <w:t xml:space="preserve">tual </w:t>
      </w:r>
      <w:r w:rsidR="00795B95" w:rsidRPr="00AD2FC5">
        <w:rPr>
          <w:rFonts w:ascii="Times New Roman" w:hAnsi="Times New Roman" w:cs="Times New Roman"/>
          <w:b/>
          <w:bCs/>
        </w:rPr>
        <w:t>Fr</w:t>
      </w:r>
      <w:r w:rsidR="00AF522B" w:rsidRPr="00AD2FC5">
        <w:rPr>
          <w:rFonts w:ascii="Times New Roman" w:hAnsi="Times New Roman" w:cs="Times New Roman"/>
          <w:b/>
          <w:bCs/>
        </w:rPr>
        <w:t>amework,</w:t>
      </w:r>
      <w:r w:rsidR="00795B95" w:rsidRPr="00AD2FC5">
        <w:rPr>
          <w:rFonts w:ascii="Times New Roman" w:hAnsi="Times New Roman" w:cs="Times New Roman"/>
          <w:b/>
          <w:bCs/>
        </w:rPr>
        <w:t xml:space="preserve"> and</w:t>
      </w:r>
      <w:r w:rsidR="00AF522B" w:rsidRPr="00AD2FC5">
        <w:rPr>
          <w:rFonts w:ascii="Times New Roman" w:hAnsi="Times New Roman" w:cs="Times New Roman"/>
          <w:b/>
          <w:bCs/>
        </w:rPr>
        <w:t xml:space="preserve"> </w:t>
      </w:r>
      <w:r w:rsidR="00795B95" w:rsidRPr="00AD2FC5">
        <w:rPr>
          <w:rFonts w:ascii="Times New Roman" w:hAnsi="Times New Roman" w:cs="Times New Roman"/>
          <w:b/>
          <w:bCs/>
        </w:rPr>
        <w:t>P</w:t>
      </w:r>
      <w:r w:rsidR="00AF522B" w:rsidRPr="00AD2FC5">
        <w:rPr>
          <w:rFonts w:ascii="Times New Roman" w:hAnsi="Times New Roman" w:cs="Times New Roman"/>
          <w:b/>
          <w:bCs/>
        </w:rPr>
        <w:t>erspective</w:t>
      </w:r>
    </w:p>
    <w:p w14:paraId="567E443B" w14:textId="1542B6C5" w:rsidR="002168B3" w:rsidRPr="00AD2FC5" w:rsidRDefault="002168B3" w:rsidP="311AFB26">
      <w:pPr>
        <w:spacing w:line="240" w:lineRule="auto"/>
        <w:ind w:firstLine="720"/>
        <w:rPr>
          <w:rFonts w:ascii="Times New Roman" w:hAnsi="Times New Roman" w:cs="Times New Roman"/>
        </w:rPr>
      </w:pPr>
      <w:r w:rsidRPr="00AD2FC5">
        <w:rPr>
          <w:rFonts w:ascii="Times New Roman" w:hAnsi="Times New Roman" w:cs="Times New Roman"/>
        </w:rPr>
        <w:t xml:space="preserve">Historically, universities have aimed to educate people: intellectuals, leaders, and statesmen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{"citationID":"rwoUy97j","properties":{"formattedCitation":"(Scott, 2006)","plainCitation":"(Scott, 2006)","noteIndex":0},"citationItems":[{"id":268,"uris":["http://zotero.org/users/17290334/items/BDKTRART"],"itemData":{"id":268,"type":"article-journal","abstract":"Mission transformation, multiplicity, and complexity are analyzed. The medieval university emphasizes teaching. Thereafter, the early modern university adopts nationalization (service to the nation-state). The formative U.S. college advances democratization. Simultaneously, the German university promotes research. The modern American university elevates public service. Today's rapid globalization suggests a new mission: internationalization.","container-title":"The Journal of Higher Education","ISSN":"0022-1546","issue":"1","note":"publisher: Taylor &amp; Francis, Ltd.","page":"1-39","source":"JSTOR","title":"The Mission of the University: Medieval to Postmodern Transformations","title-short":"The Mission of the University","volume":"77","author":[{"family":"Scott","given":"John C."}],"issued":{"date-parts":[["2006"]]}}}],"schema":"https://github.com/citation-style-language/schema/raw/master/csl-citation.json"}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(Scott, 2006)</w:t>
      </w:r>
      <w:r w:rsidRPr="00AD2FC5">
        <w:rPr>
          <w:rFonts w:ascii="Times New Roman" w:hAnsi="Times New Roman" w:cs="Times New Roman"/>
        </w:rPr>
        <w:fldChar w:fldCharType="end"/>
      </w:r>
      <w:r w:rsidRPr="00AD2FC5">
        <w:rPr>
          <w:rFonts w:ascii="Times New Roman" w:hAnsi="Times New Roman" w:cs="Times New Roman"/>
        </w:rPr>
        <w:t xml:space="preserve">. Before the 19th century, this was to produce highly literate people for </w:t>
      </w:r>
      <w:r w:rsidRPr="00AD2FC5">
        <w:rPr>
          <w:rFonts w:ascii="Times New Roman" w:hAnsi="Times New Roman" w:cs="Times New Roman"/>
        </w:rPr>
        <w:lastRenderedPageBreak/>
        <w:t xml:space="preserve">city-state chancelleries and leaders for new political arenas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{"citationID":"GdOBo0xW","properties":{"formattedCitation":"(Lukashchuk, 2023; Scott, 2006)","plainCitation":"(Lukashchuk, 2023; Scott, 2006)","noteIndex":0},"citationItems":[{"id":266,"uris":["http://zotero.org/users/17290334/items/RHLPMJGN"],"itemData":{"id":266,"type":"article-journal","abstract":"This article discusses topical issues of the formation and transformation of the university’s mission in accordance with the needs of society in different historical epochs. It is shown that the main components of the university’s mission were and remain education, scientific research and service to society, to which other concepts were added at different times in accordance with public requests. It is noted that in the twentieth century the mission of the university was formed under the influence of significant conceptual changes in the social role of higher education associated with the transition from an elite model of university education to a mass one. It was aimed at meeting the needs of industry, producing humanitarian knowledge for the development of culture, intelligence and spirituality. It is shown that the mission of a modern university is transformed in accordance with the needs of a global society with a market economy by adding a number of other components related to economic, social and globalization factors to its classical components. It is emphasized that in the current realities, in connection with the conduct of a special military operation, the main task of university education is not only to convey information to students, but also to teach them how to work with it using modern scientific methods. The needs of modern Russian society encourage universities, in addition to scientific and educational, to fulfill a social mission.","container-title":"Alma mater. Vestnik Vysshey Shkoly","DOI":"10.20339/AM.08-23.027","ISSN":"1026955X","issue":"8","journalAbbreviation":"Alma mater (Moskva)","page":"27-32","source":"Semantic Scholar","title":"Mission of the university as a response to the challenges of the time","author":[{"family":"Lukashchuk","given":"Vitalii I."}],"issued":{"date-parts":[["2023",8]]}}},{"id":268,"uris":["http://zotero.org/users/17290334/items/BDKTRART"],"itemData":{"id":268,"type":"article-journal","abstract":"Mission transformation, multiplicity, and complexity are analyzed. The medieval university emphasizes teaching. Thereafter, the early modern university adopts nationalization (service to the nation-state). The formative U.S. college advances democratization. Simultaneously, the German university promotes research. The modern American university elevates public service. Today's rapid globalization suggests a new mission: internationalization.","container-title":"The Journal of Higher Education","ISSN":"0022-1546","issue":"1","note":"publisher: Taylor &amp; Francis, Ltd.","page":"1-39","source":"JSTOR","title":"The Mission of the University: Medieval to Postmodern Transformations","title-short":"The Mission of the University","volume":"77","author":[{"family":"Scott","given":"John C."}],"issued":{"date-parts":[["2006"]]}}}],"schema":"https://github.com/citation-style-language/schema/raw/master/csl-citation.json"}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(Lukashchuk, 2023; Scott, 2006)</w:t>
      </w:r>
      <w:r w:rsidRPr="00AD2FC5">
        <w:rPr>
          <w:rFonts w:ascii="Times New Roman" w:hAnsi="Times New Roman" w:cs="Times New Roman"/>
        </w:rPr>
        <w:fldChar w:fldCharType="end"/>
      </w:r>
      <w:r w:rsidRPr="00AD2FC5">
        <w:rPr>
          <w:rFonts w:ascii="Times New Roman" w:hAnsi="Times New Roman" w:cs="Times New Roman"/>
        </w:rPr>
        <w:t xml:space="preserve">. In the </w:t>
      </w:r>
      <w:r w:rsidR="009F64FA">
        <w:rPr>
          <w:rFonts w:ascii="Times New Roman" w:hAnsi="Times New Roman" w:cs="Times New Roman"/>
        </w:rPr>
        <w:t>20th</w:t>
      </w:r>
      <w:r w:rsidRPr="00AD2FC5">
        <w:rPr>
          <w:rFonts w:ascii="Times New Roman" w:hAnsi="Times New Roman" w:cs="Times New Roman"/>
        </w:rPr>
        <w:t xml:space="preserve"> century, however, this role transitioned to one focused on the mass education of a nation’s populace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{"citationID":"CxARDCM7","properties":{"formattedCitation":"(Lukashchuk, 2023)","plainCitation":"(Lukashchuk, 2023)","noteIndex":0},"citationItems":[{"id":266,"uris":["http://zotero.org/users/17290334/items/RHLPMJGN"],"itemData":{"id":266,"type":"article-journal","abstract":"This article discusses topical issues of the formation and transformation of the university’s mission in accordance with the needs of society in different historical epochs. It is shown that the main components of the university’s mission were and remain education, scientific research and service to society, to which other concepts were added at different times in accordance with public requests. It is noted that in the twentieth century the mission of the university was formed under the influence of significant conceptual changes in the social role of higher education associated with the transition from an elite model of university education to a mass one. It was aimed at meeting the needs of industry, producing humanitarian knowledge for the development of culture, intelligence and spirituality. It is shown that the mission of a modern university is transformed in accordance with the needs of a global society with a market economy by adding a number of other components related to economic, social and globalization factors to its classical components. It is emphasized that in the current realities, in connection with the conduct of a special military operation, the main task of university education is not only to convey information to students, but also to teach them how to work with it using modern scientific methods. The needs of modern Russian society encourage universities, in addition to scientific and educational, to fulfill a social mission.","container-title":"Alma mater. Vestnik Vysshey Shkoly","DOI":"10.20339/AM.08-23.027","ISSN":"1026955X","issue":"8","journalAbbreviation":"Alma mater (Moskva)","page":"27-32","source":"Semantic Scholar","title":"Mission of the university as a response to the challenges of the time","author":[{"family":"Lukashchuk","given":"Vitalii I."}],"issued":{"date-parts":[["2023",8]]}}}],"schema":"https://github.com/citation-style-language/schema/raw/master/csl-citation.json"}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(Lukashchuk, 2023)</w:t>
      </w:r>
      <w:r w:rsidRPr="00AD2FC5">
        <w:rPr>
          <w:rFonts w:ascii="Times New Roman" w:hAnsi="Times New Roman" w:cs="Times New Roman"/>
        </w:rPr>
        <w:fldChar w:fldCharType="end"/>
      </w:r>
      <w:r w:rsidRPr="00AD2FC5">
        <w:rPr>
          <w:rFonts w:ascii="Times New Roman" w:hAnsi="Times New Roman" w:cs="Times New Roman"/>
        </w:rPr>
        <w:t xml:space="preserve">. Thus, in contemporary times, the functions of a university now encompass research, teaching, and the cultural mission of extending knowledge to a broader society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{"citationID":"lfzGcnEg","properties":{"formattedCitation":"(Rueda Beltr\\uc0\\u225{}n, 2018)","plainCitation":"(Rueda Beltrán, 2018)","dontUpdate":true,"noteIndex":0},"citationItems":[{"id":267,"uris":["http://zotero.org/users/17290334/items/TALCWIZ2"],"itemData":{"id":267,"type":"paper-conference","abstract":"Este artículo trata de las funciones de la Universidad en nuestros días, destacando sus principales objetivos: la investigación, la docencia y la extensión de la cultura. La organización de las universidades se centra principalmente en la producción de conocimiento o la impartición de la docencia, aunque además de valorarse los aprendizajes de los estudiantes se tiene en cuenta el trabajo del propio profesorado y del sistema educativo en sí, realizándose evaluaciones periódicas al profesorado, para así mejorar la calidad educativa. De ésta forma, los docentes reconocen la importancia de la planeación académica colegiada y las dificultades para llevarla a cabo, así como la necesidad de un mayor conocimiento de la didáctica.","container-title":"PUBLICACIONES","DOI":"10.30827/publicaciones.v48i1.7334","note":"ISSN: 2530-9269, 1577-4147\nissue: 1\njournalAbbreviation: publicaciones","page":"143-159","source":"Semantic Scholar","title":"Los retos de la evaluación docente en la Universidad","URL":"https://revistaseug.ugr.es/index.php/publicaciones/article/view/7334","volume":"48","author":[{"family":"Rueda Beltrán","given":"Mario"}],"accessed":{"date-parts":[["2025",8,23]]},"issued":{"date-parts":[["2018",4,12]]}}}],"schema":"https://github.com/citation-style-language/schema/raw/master/csl-citation.json"}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kern w:val="0"/>
        </w:rPr>
        <w:t>(Lehmann, 2009; Rueda Beltrán, 2018)</w:t>
      </w:r>
      <w:r w:rsidRPr="00AD2FC5">
        <w:rPr>
          <w:rFonts w:ascii="Times New Roman" w:hAnsi="Times New Roman" w:cs="Times New Roman"/>
        </w:rPr>
        <w:fldChar w:fldCharType="end"/>
      </w:r>
      <w:r w:rsidRPr="00AD2FC5">
        <w:rPr>
          <w:rFonts w:ascii="Times New Roman" w:hAnsi="Times New Roman" w:cs="Times New Roman"/>
        </w:rPr>
        <w:t xml:space="preserve">. In the United States, this growing recognition of higher education extending beyond elites to the masses was advanced by Abraham Lincoln, who, through the signing of the Morrill Act of 1862, laid the foundation for the nation’s land-grant university system (Geiger, 2014). Designed to serve the ordinary person, at the time, farmers, “with an education appropriate for the management of farm resources”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{"citationID":"LntZ1z5N","properties":{"formattedCitation":"(Sternberg, 2014, p. 5)","plainCitation":"(Sternberg, 2014, p. 5)","noteIndex":0},"citationItems":[{"id":261,"uris":["http://zotero.org/users/17290334/items/RTWUE75F"],"itemData":{"id":261,"type":"book","abstract":"In an increasingly competitive higher education environment, Americas public universities are seeking ways to differentiate themselves. This book suggests that a hopeful vision of what a university should be lies in a reexamination of the land-grant mission, the common system of values originally set forth in the Morrill Land Grant Acts of 1862 and 1890, which established a new system of practically oriented higher learning across the United States. While hard to define, these values are often expressed by the one hundred or so institutions that currently define themselves as land grants under the three pillars of research, teaching, and engagement/extension.In order to understand the unique character of a modern land-grant institution, this book focuses especially but not exclusively on the multiple components of a single organization, Oklahoma State University, founded in 1890 and currently enrolling 35,000 students across five campuses. Contributors from across the university focus on what the land-grant mission means to them in their daily endeavors, whether that be crafting the undergraduate academic experience, stimulating research, or engaging with the community through extension activities. The twenty contributions are divided into four parts, exploring in turn the core mission of the modern land-grant university, the university environment, the universitys public value, and its accountability. The volume ends with an epilogue by the editor, which summarizes the values underlying the activities of land-grant institutions.In a time of uncertainty in higher education, this volume provides a helpful overview of the many different types of value public universities bring to American society. It also offers a powerful vision of a future founded on land-grant ideas that will be inspiring to university administrators and trustees, other educational policymakers, and faculty and staff, especially those fortunate enough to be part of land-grant institutions.","ISBN":"978-1-61249-336-7","language":"en","note":"Google-Books-ID: Vl7yDwAAQBAJ","number-of-pages":"444","publisher":"Purdue University Press","source":"Google Books","title":"The Modern Land-Grant University","author":[{"family":"Sternberg","given":"Robert J."}],"issued":{"date-parts":[["2014",11,15]]}},"locator":"5","label":"page"}],"schema":"https://github.com/citation-style-language/schema/raw/master/csl-citation.json"}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(Sternberg, 2014, p. 5)</w:t>
      </w:r>
      <w:r w:rsidRPr="00AD2FC5">
        <w:rPr>
          <w:rFonts w:ascii="Times New Roman" w:hAnsi="Times New Roman" w:cs="Times New Roman"/>
        </w:rPr>
        <w:fldChar w:fldCharType="end"/>
      </w:r>
      <w:r w:rsidRPr="00AD2FC5">
        <w:rPr>
          <w:rFonts w:ascii="Times New Roman" w:hAnsi="Times New Roman" w:cs="Times New Roman"/>
        </w:rPr>
        <w:t>, these institutions were some of the first of their kind. Additionally, they extended higher education beyond classical fields to practical training in agriculture, mechanics, and the applied sciences, while maintaining a civic mission to serve the broader needs of a democratic society (Geiger, 2014).</w:t>
      </w:r>
    </w:p>
    <w:p w14:paraId="3BD39E08" w14:textId="56C8B5EA" w:rsidR="001312F8" w:rsidRDefault="002168B3" w:rsidP="311AFB26">
      <w:pPr>
        <w:spacing w:line="240" w:lineRule="auto"/>
        <w:ind w:firstLine="720"/>
        <w:rPr>
          <w:rFonts w:ascii="Times New Roman" w:hAnsi="Times New Roman" w:cs="Times New Roman"/>
        </w:rPr>
      </w:pPr>
      <w:r w:rsidRPr="00AD2FC5">
        <w:rPr>
          <w:rFonts w:ascii="Times New Roman" w:hAnsi="Times New Roman" w:cs="Times New Roman"/>
        </w:rPr>
        <w:t xml:space="preserve">However, as higher education expanded from educating elite men to ordinary farmers (Geiger, 2014), the focus on the quality of learning changed. This new version of higher education was now expected to develop and practice pedagogical forms </w:t>
      </w:r>
      <w:r w:rsidR="00910905">
        <w:rPr>
          <w:rFonts w:ascii="Times New Roman" w:hAnsi="Times New Roman" w:cs="Times New Roman"/>
        </w:rPr>
        <w:t xml:space="preserve">that </w:t>
      </w:r>
      <w:r w:rsidRPr="00AD2FC5">
        <w:rPr>
          <w:rFonts w:ascii="Times New Roman" w:hAnsi="Times New Roman" w:cs="Times New Roman"/>
        </w:rPr>
        <w:t xml:space="preserve">students, often from underrepresented or working-class backgrounds, could understand and apply in their communities in the service of the state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{"citationID":"lqwWYdyW","properties":{"formattedCitation":"(Geiger, 2014; Trow, 1973)","plainCitation":"(Geiger, 2014; Trow, 1973)","noteIndex":0},"citationItems":[{"id":263,"uris":["http://zotero.org/users/17290334/items/MISP86AP"],"itemData":{"id":263,"type":"book","abstract":"An authoritative one-volume history of the origins and development of American higher educationThis book tells the compelling saga of American higher education from the founding of Harvard College in 1636 to the outbreak of World War II. The most in-depth and authoritative history of the subject available, The History of American Higher Education traces how colleges and universities were shaped by the shifting influences of culture, the emergence of new career opportunities, and the unrelenting advancement of knowledge.Roger Geiger, arguably today's leading historian of American higher education, vividly describes how colonial colleges developed a unified yet diverse educational tradition capable of weathering the social upheaval of the Revolution as well as the evangelical fervor of the Second Great Awakening. He shows how the character of college education in different regions diverged significantly in the years leading up to the Civil War—for example, the state universities of the antebellum South were dominated by the sons of planters and their culture—and how higher education was later revolutionized by the land-grant movement, the growth of academic professionalism, and the transformation of campus life by students. By the beginning of the Second World War, the standard American university had taken shape, setting the stage for the postwar education boom.Breathtaking in scope and rich in narrative detail, The History of American Higher Education is the most comprehensive single-volume history of the origins and development of of higher education in the United States.","ISBN":"978-1-4008-5205-5","language":"en","note":"Google-Books-ID: LFMCBAAAQBAJ","number-of-pages":"585","publisher":"Princeton University Press","source":"Google Books","title":"The History of American Higher Education: Learning and Culture from the Founding to World War II","title-short":"The History of American Higher Education","author":[{"family":"Geiger","given":"Roger L."}],"issued":{"date-parts":[["2014",11,9]]}}},{"id":1057,"uris":["http://zotero.org/users/17290334/items/HVX5NBYW"],"itemData":{"id":1057,"type":"report","abstract":"In every advanced society the problems of higher education are problems associated with growth. Growth poses a variety of problems for the education systems that experience it and for the societies that support them. These problems arise in every part of higher education--in its finance, in its government and administration; in its recruitment and selection of students; in its curriculum and forms of instruction; in its recruitment, training, and socialization of staff--growth has its impact on every form of activity and manifestation of higher education. This essay argues that the problems facing higher education can be understood better as different manifestations of a related cluster of problems, and that they arise out of the transition from one phase to another in a broad  pattern of development of higher education, a transition from elite to mass higher education, and subsequently to universal access. Underlying this pattern of development are growth and expansion. (Author/MJM)","language":"en","note":"ERIC Number: ED091983","publisher":"Carnegie Commission on Higher Education, 1947 Center Street, Berkeley, California 94704 (Free)","source":"ERIC","title":"Problems in the Transition from Elite to Mass Higher Education","URL":"https://eric.ed.gov/?id=ED091983","author":[{"family":"Trow","given":"Martin"}],"accessed":{"date-parts":[["2025",10,1]]},"issued":{"date-parts":[["1973"]]}}}],"schema":"https://github.com/citation-style-language/schema/raw/master/csl-citation.json"}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(Geiger, 2014; Trow, 1973)</w:t>
      </w:r>
      <w:r w:rsidRPr="00AD2FC5">
        <w:rPr>
          <w:rFonts w:ascii="Times New Roman" w:hAnsi="Times New Roman" w:cs="Times New Roman"/>
        </w:rPr>
        <w:fldChar w:fldCharType="end"/>
      </w:r>
      <w:r w:rsidRPr="00AD2FC5">
        <w:rPr>
          <w:rFonts w:ascii="Times New Roman" w:hAnsi="Times New Roman" w:cs="Times New Roman"/>
        </w:rPr>
        <w:t xml:space="preserve">. Thinkers and education reformers such as John Dewey championed this approach, emphasizing the need for learning that connects the classroom to real-world experiences, rather than relying on rote memorization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{"citationID":"hcsN4eMg","properties":{"formattedCitation":"(Dewey, 1938)","plainCitation":"(Dewey, 1938)","noteIndex":0},"citationItems":[{"id":264,"uris":["http://zotero.org/users/17290334/items/J868XTY9"],"itemData":{"id":264,"type":"book","abstract":"Experience and Education is the best concise statement on education ever published by John Dewey, the man acknowledged to be the pre-eminent educational theorist of the twentieth century. Written more than two decades after Democracy and Education (Dewey's most comprehensive statement of his position in educational philosophy), this book demonstrates how Dewey reformulated his ideas as a result of his intervening experience with the progressive schools and in the light of the criticisms his theories had received.   Analyzing both \"traditional\" and \"progressive\" education, Dr. Dewey here insists that neither the old nor the new education is adequate and that each is miseducative because neither of them applies the principles of a carefully developed philosophy of experience. Many pages of this volume illustrate Dr. Dewey's ideas for a philosophy of experience and its relation to education. He particularly urges that all teachers and educators looking for a new movement in education should think in terms of the deeped and larger issues of education rather than in terms of some divisive \"ism\" about education, even such an \"ism\" as \"progressivism.\" His philosophy, here expressed in its most essential, most readable form, predicates an American educational system that respects all sources of experience, on that offers a true learning situation that is both historical and social, both orderly and dynamic.","ISBN":"978-1-4165-8727-9","language":"en","note":"Google-Books-ID: JhjPK4FKpCcC","number-of-pages":"98","publisher":"Simon and Schuster","source":"Google Books","title":"Experience And Education","author":[{"family":"Dewey","given":"John"}],"issued":{"date-parts":[["1938"]]}}}],"schema":"https://github.com/citation-style-language/schema/raw/master/csl-citation.json"}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(Dewey, 1938)</w:t>
      </w:r>
      <w:r w:rsidRPr="00AD2FC5">
        <w:rPr>
          <w:rFonts w:ascii="Times New Roman" w:hAnsi="Times New Roman" w:cs="Times New Roman"/>
        </w:rPr>
        <w:fldChar w:fldCharType="end"/>
      </w:r>
      <w:r w:rsidRPr="00AD2FC5">
        <w:rPr>
          <w:rFonts w:ascii="Times New Roman" w:hAnsi="Times New Roman" w:cs="Times New Roman"/>
        </w:rPr>
        <w:t xml:space="preserve">. Later in the 1960s and 1970s, pedagogical </w:t>
      </w:r>
      <w:r w:rsidRPr="00AD2FC5">
        <w:rPr>
          <w:rFonts w:ascii="Times New Roman" w:hAnsi="Times New Roman" w:cs="Times New Roman"/>
          <w:kern w:val="0"/>
          <w14:ligatures w14:val="none"/>
        </w:rPr>
        <w:t>practices such as service learning emerged in universities across the country, aiming to connect academic knowledge with</w:t>
      </w:r>
      <w:r w:rsidRPr="00AD2FC5">
        <w:rPr>
          <w:rFonts w:ascii="Times New Roman" w:hAnsi="Times New Roman" w:cs="Times New Roman"/>
        </w:rPr>
        <w:t xml:space="preserve"> civic engagement and modern workplace practices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{"citationID":"3YweD2Vh","properties":{"formattedCitation":"(Eyler &amp; Giles, 1999; Kuh, 2008)","plainCitation":"(Eyler &amp; Giles, 1999; Kuh, 2008)","noteIndex":0},"citationItems":[{"id":243,"uris":["http://zotero.org/users/17290334/items/3ZGJEV72"],"itemData":{"id":243,"type":"book","abstract":"This book focuses on the enormous potential of service learning to enhance the learning process for college students by melding cognitive learning and affective service. Conclusions are based primarily on data from two national research projects, one which compared models of service learning using survey data and intensive student interviews, and the other, a project which examined students' experience in service-learning through in-depth interviews with 67 students at seven institutions. Chapter 1 is an overview of the book's main themes and outlines how service-learning helps students achieve important outcomes of a college education. Chapters 2 through 7 show how service-learning can develop these outcomes, which are: personal and interpersonal development; understanding and  applying knowledge; engagement, curiosity, and reflective practice; critical thinking; perspective transformation; and citizenship. Chapter 8 examines program characteristics and summarizes the impact of key program characteristics on the outcomes identified earlier. Implications for practice are discussed in chapter 9. Appendixes include a list of study participants, the study methodology, survey and interview instruments, and survey regression tables. (Contains approximately 175 references.) (DB)","ISBN":"978-0-7879-4483-4","language":"en","note":"ERIC Number: ED430433","publisher":"Jossey-Bass, Inc","source":"ERIC","title":"Where's the Learning in Service-Learning? Jossey-Bass Higher and Adult Education Series","title-short":"Where's the Learning in Service-Learning?","author":[{"family":"Eyler","given":"Janet"},{"family":"Giles","given":"Dwight E."}],"accessed":{"date-parts":[["2025",8,24]]},"issued":{"date-parts":[["1999"]]}}},{"id":6,"uris":["http://zotero.org/users/17290334/items/WHHY3KRQ"],"itemData":{"id":6,"type":"book","abstract":"This publication¿the latest report from AAC&amp;U¿s Liberal Education and America¿s Promise (LEAP) initiative¿defines a set of educational practices that research has demonstrated have a significant impact on student success. Author George Kuh presents data from the National Survey of Student Engagement about these practices and explains why they benefit all students, but also seem to benefit underserved students even more than their more advantaged peers. The report also presents data that show definitively that underserved students are the least likely students, on average, to have access to these practices.","ISBN":"978-0-9796181-4-7","language":"en","number-of-pages":"50","publisher":"Association of American Colleges and Universities","source":"Google Books","title":"High-impact Educational Practices: What They Are, who Has Access to Them, and why They Matter","title-short":"High-impact Educational Practices","author":[{"family":"Kuh","given":"George D."}],"issued":{"date-parts":[["2008"]]}}}],"schema":"https://github.com/citation-style-language/schema/raw/master/csl-citation.json"}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(Eyler &amp; Giles, 1999; Kuh, 2008)</w:t>
      </w:r>
      <w:r w:rsidRPr="00AD2FC5">
        <w:rPr>
          <w:rFonts w:ascii="Times New Roman" w:hAnsi="Times New Roman" w:cs="Times New Roman"/>
        </w:rPr>
        <w:fldChar w:fldCharType="end"/>
      </w:r>
      <w:r w:rsidRPr="00AD2FC5">
        <w:rPr>
          <w:rFonts w:ascii="Times New Roman" w:hAnsi="Times New Roman" w:cs="Times New Roman"/>
        </w:rPr>
        <w:t xml:space="preserve">. However, as these new methods emerged, many students began to struggle in academics, often not making it to graduation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{"citationID":"a1kqfl35g3l","properties":{"formattedCitation":"(Chen, 2012)","plainCitation":"(Chen, 2012)","noteIndex":0},"citationItems":[{"id":1056,"uris":["http://zotero.org/users/17290334/items/SQV48C6X"],"itemData":{"id":1056,"type":"article-journal","abstract":"In the past two decades, although access to higher education for American students has improved, student persistence in 4-year institutions is far from assured. There have been a number of research studies on student persistence/dropout in higher education, but most have focused on the characteristics and behavior of students as illustrated by the “student-centered research tradition”. This study focuses on what institutional characteristics contribute to conditions that reduce student dropout risks. By analyzing longitudinal and hierarchical data, this research proposes and tests a multilevel event history model that identifies the major institutional attributes related to student dropout risk in a longitudinal process. Evidence indicates that institutional expenditure on student services is negatively associated with student dropout behavior. Implications of the results for institutional practices and future research are discussed.","container-title":"Research in Higher Education","DOI":"10.1007/s11162-011-9241-4","ISSN":"1573-188X","issue":"5","journalAbbreviation":"Res High Educ","language":"en","page":"487-505","source":"Springer Link","title":"Institutional Characteristics and College Student Dropout Risks: A Multilevel Event History Analysis","title-short":"Institutional Characteristics and College Student Dropout Risks","volume":"53","author":[{"family":"Chen","given":"Rong"}],"issued":{"date-parts":[["2012",8,1]]}}}],"schema":"https://github.com/citation-style-language/schema/raw/master/csl-citation.json"}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kern w:val="0"/>
        </w:rPr>
        <w:t>(Chen, 2012)</w:t>
      </w:r>
      <w:r w:rsidRPr="00AD2FC5">
        <w:rPr>
          <w:rFonts w:ascii="Times New Roman" w:hAnsi="Times New Roman" w:cs="Times New Roman"/>
        </w:rPr>
        <w:fldChar w:fldCharType="end"/>
      </w:r>
      <w:r w:rsidRPr="00AD2FC5">
        <w:rPr>
          <w:rFonts w:ascii="Times New Roman" w:hAnsi="Times New Roman" w:cs="Times New Roman"/>
        </w:rPr>
        <w:t xml:space="preserve">. Thus, the focus of higher education changed from access to degree completion and student success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{"citationID":"BowtznTs","properties":{"formattedCitation":"(Chen, 2012)","plainCitation":"(Chen, 2012)","noteIndex":0},"citationItems":[{"id":1056,"uris":["http://zotero.org/users/17290334/items/SQV48C6X"],"itemData":{"id":1056,"type":"article-journal","abstract":"In the past two decades, although access to higher education for American students has improved, student persistence in 4-year institutions is far from assured. There have been a number of research studies on student persistence/dropout in higher education, but most have focused on the characteristics and behavior of students as illustrated by the “student-centered research tradition”. This study focuses on what institutional characteristics contribute to conditions that reduce student dropout risks. By analyzing longitudinal and hierarchical data, this research proposes and tests a multilevel event history model that identifies the major institutional attributes related to student dropout risk in a longitudinal process. Evidence indicates that institutional expenditure on student services is negatively associated with student dropout behavior. Implications of the results for institutional practices and future research are discussed.","container-title":"Research in Higher Education","DOI":"10.1007/s11162-011-9241-4","ISSN":"1573-188X","issue":"5","journalAbbreviation":"Res High Educ","language":"en","page":"487-505","source":"Springer Link","title":"Institutional Characteristics and College Student Dropout Risks: A Multilevel Event History Analysis","title-short":"Institutional Characteristics and College Student Dropout Risks","volume":"53","author":[{"family":"Chen","given":"Rong"}],"issued":{"date-parts":[["2012",8,1]]}}}],"schema":"https://github.com/citation-style-language/schema/raw/master/csl-citation.json"}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(Chen, 2012)</w:t>
      </w:r>
      <w:r w:rsidRPr="00AD2FC5">
        <w:rPr>
          <w:rFonts w:ascii="Times New Roman" w:hAnsi="Times New Roman" w:cs="Times New Roman"/>
        </w:rPr>
        <w:fldChar w:fldCharType="end"/>
      </w:r>
      <w:r w:rsidRPr="00AD2FC5">
        <w:rPr>
          <w:rFonts w:ascii="Times New Roman" w:hAnsi="Times New Roman" w:cs="Times New Roman"/>
        </w:rPr>
        <w:t xml:space="preserve">. </w:t>
      </w:r>
    </w:p>
    <w:p w14:paraId="450C73F5" w14:textId="78F222AD" w:rsidR="002168B3" w:rsidRPr="00AD2FC5" w:rsidRDefault="002168B3" w:rsidP="311AFB26">
      <w:pPr>
        <w:spacing w:line="240" w:lineRule="auto"/>
        <w:ind w:firstLine="720"/>
        <w:rPr>
          <w:rFonts w:ascii="Times New Roman" w:hAnsi="Times New Roman" w:cs="Times New Roman"/>
        </w:rPr>
      </w:pPr>
      <w:r w:rsidRPr="311AFB26">
        <w:rPr>
          <w:rFonts w:ascii="Times New Roman" w:hAnsi="Times New Roman" w:cs="Times New Roman"/>
        </w:rPr>
        <w:t xml:space="preserve">By the early 2000s, research in higher education showed student persistence and development were shaped by multiple forces, including involvement and engagement </w:t>
      </w:r>
      <w:r w:rsidRPr="311AFB26">
        <w:rPr>
          <w:rFonts w:ascii="Times New Roman" w:hAnsi="Times New Roman" w:cs="Times New Roman"/>
        </w:rPr>
        <w:fldChar w:fldCharType="begin"/>
      </w:r>
      <w:r w:rsidRPr="311AFB26">
        <w:rPr>
          <w:rFonts w:ascii="Times New Roman" w:hAnsi="Times New Roman" w:cs="Times New Roman"/>
        </w:rPr>
        <w:instrText xml:space="preserve"> ADDIN ZOTERO_ITEM CSL_CITATION {"citationID":"Z9jCTnY3","properties":{"formattedCitation":"(Astin, 1993; Chen, 2012)","plainCitation":"(Astin, 1993; Chen, 2012)","noteIndex":0},"citationItems":[{"id":257,"uris":["http://zotero.org/users/17290334/items/E4PDWV7A"],"itemData":{"id":257,"type":"book","abstract":"The book is intended for a wide audience. Faculty and student affairs professionals should find the results of considerable interest, since the study not only addresses a wide range of cognitive and affective outcomes of college but also attempts to show how these outcomes are affected by the student's peer group experiences and by the faculty's values, interests, and preferred styles of teaching. Findings of particular relevance for administrators and policy makers include the effects (on students) of different kinds of institutions, patterns of resource utilization, and the campus \"climate.\" Finally, in choosing a college, students and their parents may find many of the results useful, especially those having to do with type of college attended and patterns of student involvement. (PsycInfo Database Record (c) 2022 APA, all rights reserved)","collection-title":"What matters in college?  Four critical years revisited","event-place":"Hoboken, NJ, US","ISBN":"978-1-55542-492-3","note":"page: xxi, 482","number-of-pages":"xxi, 482","publisher":"Jossey-Bass/Wiley","publisher-place":"Hoboken, NJ, US","source":"APA PsycNet","title":"What matters in college?  Four critical years revisited","title-short":"What matters in college?","author":[{"family":"Astin","given":"Alexander W."}],"issued":{"date-parts":[["1993"]]}}},{"id":1056,"uris":["http://zotero.org/users/17290334/items/SQV48C6X"],"itemData":{"id":1056,"type":"article-journal","abstract":"In the past two decades, although access to higher education for American students has improved, student persistence in 4-year institutions is far from assured. There have been a number of research studies on student persistence/dropout in higher education, but most have focused on the characteristics and behavior of students as illustrated by the “student-centered research tradition”. This study focuses on what institutional characteristics contribute to conditions that reduce student dropout risks. By analyzing longitudinal and hierarchical data, this research proposes and tests a multilevel event history model that identifies the major institutional attributes related to student dropout risk in a longitudinal process. Evidence indicates that institutional expenditure on student services is negatively associated with student dropout behavior. Implications of the results for institutional practices and future research are discussed.","container-title":"Research in Higher Education","DOI":"10.1007/s11162-011-9241-4","ISSN":"1573-188X","issue":"5","journalAbbreviation":"Res High Educ","language":"en","page":"487-505","source":"Springer Link","title":"Institutional Characteristics and College Student Dropout Risks: A Multilevel Event History Analysis","title-short":"Institutional Characteristics and College Student Dropout Risks","volume":"53","author":[{"family":"Chen","given":"Rong"}],"issued":{"date-parts":[["2012",8,1]]}}}],"schema":"https://github.com/citation-style-language/schema/raw/master/csl-citation.json"} </w:instrText>
      </w:r>
      <w:r w:rsidRPr="311AFB26">
        <w:rPr>
          <w:rFonts w:ascii="Times New Roman" w:hAnsi="Times New Roman" w:cs="Times New Roman"/>
        </w:rPr>
        <w:fldChar w:fldCharType="separate"/>
      </w:r>
      <w:r w:rsidRPr="311AFB26">
        <w:rPr>
          <w:rFonts w:ascii="Times New Roman" w:hAnsi="Times New Roman" w:cs="Times New Roman"/>
          <w:noProof/>
        </w:rPr>
        <w:t>(Astin, 1993; Chen, 2012)</w:t>
      </w:r>
      <w:r w:rsidRPr="311AFB26">
        <w:rPr>
          <w:rFonts w:ascii="Times New Roman" w:hAnsi="Times New Roman" w:cs="Times New Roman"/>
        </w:rPr>
        <w:fldChar w:fldCharType="end"/>
      </w:r>
      <w:r w:rsidRPr="311AFB26">
        <w:rPr>
          <w:rFonts w:ascii="Times New Roman" w:hAnsi="Times New Roman" w:cs="Times New Roman"/>
        </w:rPr>
        <w:t xml:space="preserve">, effective leadership and active learning </w:t>
      </w:r>
      <w:r w:rsidRPr="311AFB26">
        <w:rPr>
          <w:rFonts w:ascii="Times New Roman" w:hAnsi="Times New Roman" w:cs="Times New Roman"/>
        </w:rPr>
        <w:fldChar w:fldCharType="begin"/>
      </w:r>
      <w:r w:rsidRPr="311AFB26">
        <w:rPr>
          <w:rFonts w:ascii="Times New Roman" w:hAnsi="Times New Roman" w:cs="Times New Roman"/>
        </w:rPr>
        <w:instrText xml:space="preserve"> ADDIN ZOTERO_ITEM CSL_CITATION {"citationID":"3tqPIjlU","properties":{"formattedCitation":"(Chickering &amp; Gamson, 1987; Freeman et al., 2014)","plainCitation":"(Chickering &amp; Gamson, 1987; Freeman et al., 2014)","noteIndex":0},"citationItems":[{"id":256,"uris":["http://zotero.org/users/17290334/items/QU6HRCCB"],"itemData":{"id":256,"type":"report","abstract":"Seven principles that can help to improve undergraduate education are identified. Based on research on college teaching and learning, good practice in undergraduate education: (1) encourages contacts between students and faculty; (2) develops reciprocity and cooperation among students; (3) uses active learning techniques; (4) gives prompt feedback; (5) emphasizes time on task; (6) communicates high expectations; and (7) respects diverse talents and ways of learning. Examples of approaches that have been used in different kinds of college in the last few years are described. In addition, the implications of these principles for the way states fund and govern higher education and for the way institutions are run are briefly discussed. Examples of good approaches include: freshman  seminars on important topics taught by senior faculty; learning groups of five to seven students who meet regularly during class to solve problems set by the instructor; active learning using structured exercises, discussions, team projects, and peer critiques, as well as internships and independent study; and mastery learning, contract learning, and computer-assisted instruction approaches, which required adequate time on learning. (SW)","language":"en","note":"container-title: AAHE Bulletin\nERIC Number: ED282491","source":"ERIC","title":"Seven Principles for Good Practice in Undergraduate Education","URL":"https://eric.ed.gov/?id=ED282491","author":[{"family":"Chickering","given":"Arthur W."},{"family":"Gamson","given":"Zelda F."}],"accessed":{"date-parts":[["2025",8,24]]},"issued":{"date-parts":[["1987",3]]}}},{"id":1054,"uris":["http://zotero.org/users/17290334/items/E9WH4HYH"],"itemData":{"id":1054,"type":"article-journal","abstract":"To test the hypothesis that lecturing maximizes learning and course performance, we metaanalyzed 225 studies that reported data on examination scores or failure rates when comparing student performance in undergraduate science, technology, engineering, and mathematics (STEM) courses under traditional lecturing versus active learning. The effect sizes indicate that on average, student performance on examinations and concept inventories increased by 0.47 SDs under active learning (n = 158 studies), and that the odds ratio for failing was 1.95 under traditional lecturing (n = 67 studies). These results indicate that average examination scores improved by about 6% in active learning sections, and that students in classes with traditional lecturing were 1.5 times more likely to fail than were students in classes with active learning. Heterogeneity analyses indicated that both results hold across the STEM disciplines, that active learning increases scores on concept inventories more than on course examinations, and that active learning appears effective across all class sizes—although the greatest effects are in small (n ≤ 50) classes. Trim and fill analyses and fail-safe n calculations suggest that the results are not due to publication bias. The results also appear robust to variation in the methodological rigor of the included studies, based on the quality of controls over student quality and instructor identity. This is the largest and most comprehensive metaanalysis of undergraduate STEM education published to date. The results raise questions about the continued use of traditional lecturing as a control in research studies, and support active learning as the preferred, empirically validated teaching practice in regular classrooms.","container-title":"Proceedings of the National Academy of Sciences","DOI":"10.1073/pnas.1319030111","issue":"23","note":"publisher: Proceedings of the National Academy of Sciences","page":"8410-8415","source":"pnas.org (Atypon)","title":"Active learning increases student performance in science, engineering, and mathematics","volume":"111","author":[{"family":"Freeman","given":"Scott"},{"family":"Eddy","given":"Sarah L."},{"family":"McDonough","given":"Miles"},{"family":"Smith","given":"Michelle K."},{"family":"Okoroafor","given":"Nnadozie"},{"family":"Jordt","given":"Hannah"},{"family":"Wenderoth","given":"Mary Pat"}],"issued":{"date-parts":[["2014",6,10]]}}}],"schema":"https://github.com/citation-style-language/schema/raw/master/csl-citation.json"} </w:instrText>
      </w:r>
      <w:r w:rsidRPr="311AFB26">
        <w:rPr>
          <w:rFonts w:ascii="Times New Roman" w:hAnsi="Times New Roman" w:cs="Times New Roman"/>
        </w:rPr>
        <w:fldChar w:fldCharType="separate"/>
      </w:r>
      <w:r w:rsidRPr="311AFB26">
        <w:rPr>
          <w:rFonts w:ascii="Times New Roman" w:hAnsi="Times New Roman" w:cs="Times New Roman"/>
          <w:noProof/>
        </w:rPr>
        <w:t>(Chickering &amp; Gamson, 1987; Freeman et al., 2014)</w:t>
      </w:r>
      <w:r w:rsidRPr="311AFB26">
        <w:rPr>
          <w:rFonts w:ascii="Times New Roman" w:hAnsi="Times New Roman" w:cs="Times New Roman"/>
        </w:rPr>
        <w:fldChar w:fldCharType="end"/>
      </w:r>
      <w:r w:rsidR="50F1C8AB" w:rsidRPr="311AFB26">
        <w:rPr>
          <w:rFonts w:ascii="Times New Roman" w:hAnsi="Times New Roman" w:cs="Times New Roman"/>
        </w:rPr>
        <w:t>,</w:t>
      </w:r>
      <w:r w:rsidRPr="311AFB26">
        <w:rPr>
          <w:rFonts w:ascii="Times New Roman" w:hAnsi="Times New Roman" w:cs="Times New Roman"/>
        </w:rPr>
        <w:t xml:space="preserve"> and integrative and applied experiences </w:t>
      </w:r>
      <w:r w:rsidRPr="311AFB26">
        <w:rPr>
          <w:rFonts w:ascii="Times New Roman" w:hAnsi="Times New Roman" w:cs="Times New Roman"/>
        </w:rPr>
        <w:fldChar w:fldCharType="begin"/>
      </w:r>
      <w:r w:rsidRPr="311AFB26">
        <w:rPr>
          <w:rFonts w:ascii="Times New Roman" w:hAnsi="Times New Roman" w:cs="Times New Roman"/>
        </w:rPr>
        <w:instrText xml:space="preserve"> ADDIN ZOTERO_ITEM CSL_CITATION {"citationID":"BOMfJT9t","properties":{"formattedCitation":"(Pascarella &amp; Terenzini, 2005)","plainCitation":"(Pascarella &amp; Terenzini, 2005)","noteIndex":0},"citationItems":[{"id":255,"uris":["http://zotero.org/users/17290334/items/SI2W5CKN"],"itemData":{"id":255,"type":"book","abstract":"This is the long-awaited second volume of Pascarella and Terenzini's 1991 award-winning review of the research on the impacts of college on students. The authors review their earlier findings and then synthesize what has been learned since 1990 about college's influences on students' learning. The book also discusses the implications of the findings for research, practice, and public policy. This authoritative and comprehensive analysis of the literature on college-impact is required reading for anyone interested in higher education practice, policy, and promise--faculty, administrators, researchers, policy analysts, and decision-makers at every level. [For the 1991 volume of this book, see ED330287.]","ISBN":"978-0-7879-1044-0","language":"en","note":"container-title: Jossey-Bass, An Imprint of Wiley\nERIC Number: ED498537","publisher":"Jossey-Bass, An Imprint of Wiley","source":"ERIC","title":"How College Affects Students: A Third Decade of Research. Volume 2","title-short":"How College Affects Students","author":[{"family":"Pascarella","given":"Ernest T."},{"family":"Terenzini","given":"Patrick T."}],"accessed":{"date-parts":[["2025",8,24]]},"issued":{"date-parts":[["2005",2]]}}}],"schema":"https://github.com/citation-style-language/schema/raw/master/csl-citation.json"} </w:instrText>
      </w:r>
      <w:r w:rsidRPr="311AFB26">
        <w:rPr>
          <w:rFonts w:ascii="Times New Roman" w:hAnsi="Times New Roman" w:cs="Times New Roman"/>
        </w:rPr>
        <w:fldChar w:fldCharType="separate"/>
      </w:r>
      <w:r w:rsidRPr="311AFB26">
        <w:rPr>
          <w:rFonts w:ascii="Times New Roman" w:hAnsi="Times New Roman" w:cs="Times New Roman"/>
          <w:noProof/>
        </w:rPr>
        <w:t>(Pascarella &amp; Terenzini, 2005)</w:t>
      </w:r>
      <w:r w:rsidRPr="311AFB26">
        <w:rPr>
          <w:rFonts w:ascii="Times New Roman" w:hAnsi="Times New Roman" w:cs="Times New Roman"/>
        </w:rPr>
        <w:fldChar w:fldCharType="end"/>
      </w:r>
      <w:r w:rsidRPr="311AFB26">
        <w:rPr>
          <w:rFonts w:ascii="Times New Roman" w:hAnsi="Times New Roman" w:cs="Times New Roman"/>
        </w:rPr>
        <w:t xml:space="preserve">. This recognition laid the foundation for the idea and structure of “High-Impact Learning” (HIL) as a central and effective </w:t>
      </w:r>
      <w:r w:rsidR="50F1C8AB" w:rsidRPr="311AFB26">
        <w:rPr>
          <w:rFonts w:ascii="Times New Roman" w:hAnsi="Times New Roman" w:cs="Times New Roman"/>
        </w:rPr>
        <w:t>exercise</w:t>
      </w:r>
      <w:r w:rsidRPr="311AFB26">
        <w:rPr>
          <w:rFonts w:ascii="Times New Roman" w:hAnsi="Times New Roman" w:cs="Times New Roman"/>
        </w:rPr>
        <w:t xml:space="preserve"> for modern higher education </w:t>
      </w:r>
      <w:r w:rsidRPr="311AFB26">
        <w:rPr>
          <w:rFonts w:ascii="Times New Roman" w:hAnsi="Times New Roman" w:cs="Times New Roman"/>
        </w:rPr>
        <w:fldChar w:fldCharType="begin"/>
      </w:r>
      <w:r w:rsidRPr="311AFB26">
        <w:rPr>
          <w:rFonts w:ascii="Times New Roman" w:hAnsi="Times New Roman" w:cs="Times New Roman"/>
        </w:rPr>
        <w:instrText xml:space="preserve"> ADDIN ZOTERO_ITEM CSL_CITATION {"citationID":"DaM6ohEl","properties":{"formattedCitation":"(Kilgo et al., 2015; Kuh, 2008)","plainCitation":"(Kilgo et al., 2015; Kuh, 2008)","noteIndex":0},"citationItems":[{"id":7,"uris":["http://zotero.org/users/17290334/items/5SBBJKC3"],"itemData":{"id":7,"type":"article-journal","abstract":"The current paper used data from the Wabash National Study of Liberal Arts Education—a longitudinal, pretest/posttest design—to estimate the effects of participation in the ten “high-impact” educational practices put forth and endorsed by the Association of American Colleges and Universities (AAC&amp;U) on a variety of liberal arts educational outcomes. The high-impact practices included in the study were: first-year seminars, academic learning communities, writing-intensive courses, active and collaborative learning, undergraduate research, study abroad, service learning, internships, and capstone courses/experiences. Findings from ordinary least squares regression analyses suggested that active and collaborative learning as well as undergraduate research had broad-reaching positive effects across multiple liberal arts learning outcomes, such as critical thinking, need for cognition, and intercultural effectiveness. Several other high-impact practices—including study abroad, internship, service learning, and capstone course/experience—had more narrowly focused positive effects on student learning. Overall, this study’s findings support AAC&amp;U’s advocacy of high-impact practices as pathways to student success.","container-title":"Higher Education","DOI":"10.1007/s10734-014-9788-z","ISSN":"1573-174X","issue":"4","journalAbbreviation":"High Educ","language":"en","page":"509-525","source":"Springer Link","title":"The link between high-impact practices and student learning: some longitudinal evidence","title-short":"The link between high-impact practices and student learning","volume":"69","author":[{"family":"Kilgo","given":"Cindy A."},{"family":"Ezell Sheets","given":"Jessica K."},{"family":"Pascarella","given":"Ernest T."}],"issued":{"date-parts":[["2015",4,1]]}}},{"id":6,"uris":["http://zotero.org/users/17290334/items/WHHY3KRQ"],"itemData":{"id":6,"type":"book","abstract":"This publication¿the latest report from AAC&amp;U¿s Liberal Education and America¿s Promise (LEAP) initiative¿defines a set of educational practices that research has demonstrated have a significant impact on student success. Author George Kuh presents data from the National Survey of Student Engagement about these practices and explains why they benefit all students, but also seem to benefit underserved students even more than their more advantaged peers. The report also presents data that show definitively that underserved students are the least likely students, on average, to have access to these practices.","ISBN":"978-0-9796181-4-7","language":"en","number-of-pages":"50","publisher":"Association of American Colleges and Universities","source":"Google Books","title":"High-impact Educational Practices: What They Are, who Has Access to Them, and why They Matter","title-short":"High-impact Educational Practices","author":[{"family":"Kuh","given":"George D."}],"issued":{"date-parts":[["2008"]]}}}],"schema":"https://github.com/citation-style-language/schema/raw/master/csl-citation.json"} </w:instrText>
      </w:r>
      <w:r w:rsidRPr="311AFB26">
        <w:rPr>
          <w:rFonts w:ascii="Times New Roman" w:hAnsi="Times New Roman" w:cs="Times New Roman"/>
        </w:rPr>
        <w:fldChar w:fldCharType="separate"/>
      </w:r>
      <w:r w:rsidRPr="311AFB26">
        <w:rPr>
          <w:rFonts w:ascii="Times New Roman" w:hAnsi="Times New Roman" w:cs="Times New Roman"/>
          <w:noProof/>
        </w:rPr>
        <w:t>(Kilgo et al., 2015; Kuh, 2008)</w:t>
      </w:r>
      <w:r w:rsidRPr="311AFB26">
        <w:rPr>
          <w:rFonts w:ascii="Times New Roman" w:hAnsi="Times New Roman" w:cs="Times New Roman"/>
        </w:rPr>
        <w:fldChar w:fldCharType="end"/>
      </w:r>
      <w:r w:rsidRPr="311AFB26">
        <w:rPr>
          <w:rFonts w:ascii="Times New Roman" w:hAnsi="Times New Roman" w:cs="Times New Roman"/>
        </w:rPr>
        <w:t>.</w:t>
      </w:r>
    </w:p>
    <w:p w14:paraId="40788240" w14:textId="2358CE3C" w:rsidR="006A3A09" w:rsidRPr="00AD2FC5" w:rsidRDefault="002168B3" w:rsidP="311AFB26">
      <w:pPr>
        <w:spacing w:line="240" w:lineRule="auto"/>
        <w:ind w:firstLine="720"/>
        <w:rPr>
          <w:rFonts w:ascii="Times New Roman" w:hAnsi="Times New Roman" w:cs="Times New Roman"/>
        </w:rPr>
      </w:pPr>
      <w:r w:rsidRPr="00AD2FC5">
        <w:rPr>
          <w:rFonts w:ascii="Times New Roman" w:hAnsi="Times New Roman" w:cs="Times New Roman"/>
        </w:rPr>
        <w:t xml:space="preserve">HIL is an educational pedagogical tool employed in contemporary universities that promotes deep and active learning by fostering student engagement </w:t>
      </w:r>
      <w:r w:rsidRPr="00AD2FC5">
        <w:rPr>
          <w:rFonts w:ascii="Times New Roman" w:hAnsi="Times New Roman" w:cs="Times New Roman"/>
        </w:rPr>
        <w:fldChar w:fldCharType="begin"/>
      </w:r>
      <w:r w:rsidR="00CB34E7" w:rsidRPr="00AD2FC5">
        <w:rPr>
          <w:rFonts w:ascii="Times New Roman" w:hAnsi="Times New Roman" w:cs="Times New Roman"/>
        </w:rPr>
        <w:instrText xml:space="preserve"> ADDIN ZOTERO_ITEM CSL_CITATION {"citationID":"YV3Sk879","properties":{"formattedCitation":"(Kuh, 2008; Kuh &amp; O\\uc0\\u8217{}Donnell, 2013)","plainCitation":"(Kuh, 2008; Kuh &amp; O’Donnell, 2013)","noteIndex":0},"citationItems":[{"id":6,"uris":["http://zotero.org/users/17290334/items/WHHY3KRQ"],"itemData":{"id":6,"type":"book","abstract":"This publication¿the latest report from AAC&amp;U¿s Liberal Education and America¿s Promise (LEAP) initiative¿defines a set of educational practices that research has demonstrated have a significant impact on student success. Author George Kuh presents data from the National Survey of Student Engagement about these practices and explains why they benefit all students, but also seem to benefit underserved students even more than their more advantaged peers. The report also presents data that show definitively that underserved students are the least likely students, on average, to have access to these practices.","ISBN":"978-0-9796181-4-7","language":"en","number-of-pages":"50","publisher":"Association of American Colleges and Universities","source":"Google Books","title":"High-impact Educational Practices: What They Are, who Has Access to Them, and why They Matter","title-short":"High-impact Educational Practices","author":[{"family":"Kuh","given":"George D."}],"issued":{"date-parts":[["2008"]]}}},{"id":250,"uris":["http://zotero.org/users/17290334/items/697PXHWB"],"itemData":{"id":250,"type":"article-journal","abstract":"&lt;em&gt;Gale&lt;/em&gt; Academic OneFile includes Ensuring Quality and Taking High-Impact Practices to Sc by George D. Kuh and Ken O'Donnell. Click to explore.","container-title":"Peer Review","ISSN":"15411389","issue":"2","language":"English","note":"publisher: Association of American Colleges and Universities","page":"32-33","source":"go.gale.com","title":"Ensuring Quality and Taking High-Impact Practices to Scale","volume":"15","author":[{"family":"Kuh","given":"George D."},{"family":"O'Donnell","given":"k"}],"issued":{"date-parts":[["2013",3,22]]}}}],"schema":"https://github.com/citation-style-language/schema/raw/master/csl-citation.json"} </w:instrText>
      </w:r>
      <w:r w:rsidRPr="00AD2FC5">
        <w:rPr>
          <w:rFonts w:ascii="Times New Roman" w:hAnsi="Times New Roman" w:cs="Times New Roman"/>
        </w:rPr>
        <w:fldChar w:fldCharType="separate"/>
      </w:r>
      <w:r w:rsidR="7F1C2E98" w:rsidRPr="00AD2FC5">
        <w:rPr>
          <w:rFonts w:ascii="Times New Roman" w:hAnsi="Times New Roman" w:cs="Times New Roman"/>
          <w:kern w:val="0"/>
        </w:rPr>
        <w:t>(Kuh, 2008; Kuh &amp; O’Donnell, 2013)</w:t>
      </w:r>
      <w:r w:rsidRPr="00AD2FC5">
        <w:rPr>
          <w:rFonts w:ascii="Times New Roman" w:hAnsi="Times New Roman" w:cs="Times New Roman"/>
        </w:rPr>
        <w:fldChar w:fldCharType="end"/>
      </w:r>
      <w:r w:rsidRPr="00AD2FC5">
        <w:rPr>
          <w:rFonts w:ascii="Times New Roman" w:hAnsi="Times New Roman" w:cs="Times New Roman"/>
        </w:rPr>
        <w:t xml:space="preserve">. Moreover, HIL practices have moved from an individual narrative in scholarship to broad, systematic documentation and use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{"citationID":"Ouq8ZpAs","properties":{"formattedCitation":"(Lopatto, 2004, 2010)","plainCitation":"(Lopatto, 2004, 2010)","noteIndex":0},"citationItems":[{"id":2,"uris":["http://zotero.org/users/17290334/items/BWSHZ945"],"itemData":{"id":2,"type":"article-journal","abstract":"In this study, I examined the hypothesis that undergraduate research enhances the educational experience of science undergraduates, attracts and retains talented students to careers in science, and acts as a pathway for minority students into science careers. Undergraduates from 41 institutions participated in an online survey on the benefits of undergraduate research experiences. Participants indicated gains on 20 potential benefits and reported on career plans. Over 83% of 1,135 participants began or continued to plan for postgraduate education in the sciences. A group of 51 students who discontinued their plans for postgraduate science education reported significantly lower gains than continuing students. Women and men reported similar levels of benefits and similar patterns of career plans. Ethnic groups did not significantly differ in reported levels of benefits or plans to continue with postgraduate education.","container-title":"Cell Biology Education","DOI":"10.1187/cbe.04-07-0045","issue":"4","journalAbbreviation":"CBE","note":"publisher: American Society for Cell Biology (lse)","page":"270-277","source":"lifescied.org (Atypon)","title":"Survey of Undergraduate Research Experiences (SURE): First Findings","title-short":"Survey of Undergraduate Research Experiences (SURE)","volume":"3","author":[{"family":"Lopatto","given":"David"}],"issued":{"date-parts":[["2004",12]]}}},{"id":4,"uris":["http://zotero.org/users/17290334/items/BSXE9CUD"],"itemData":{"id":4,"type":"article-journal","abstract":"The article discusses the effects of undergraduate research experience on student learning, attitude, and career choice. Educators claim that the documented undergraduate research proved to be a high-impact educational practice in liberal education. To gain better perspective on the subject, an online survey focusing on the student's experience in undergraduate research has been conducted, centralizing on communication, data analysis, and other components. It presents the process, analysis, and findings of the survey, as well as the benefits of the undergraduate and interdisciplinary research experiences.","archive_location":"52225829","container-title":"Peer Review","ISSN":"1541-1389","issue":"2","journalAbbreviation":"Peer Review","language":"eng","note":"publisher: American Association of Colleges &amp; Universities","page":"27-30","source":"EBSCOhost","title":"Undergraduate Research as a High-Impact Student Experience.","volume":"12","author":[{"family":"Lopatto","given":"David"}],"issued":{"date-parts":[["2010",3,1]]}}}],"schema":"https://github.com/citation-style-language/schema/raw/master/csl-citation.json"}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(Lopatto, 2004, 2010)</w:t>
      </w:r>
      <w:r w:rsidRPr="00AD2FC5">
        <w:rPr>
          <w:rFonts w:ascii="Times New Roman" w:hAnsi="Times New Roman" w:cs="Times New Roman"/>
        </w:rPr>
        <w:fldChar w:fldCharType="end"/>
      </w:r>
      <w:r w:rsidRPr="00AD2FC5">
        <w:rPr>
          <w:rFonts w:ascii="Times New Roman" w:hAnsi="Times New Roman" w:cs="Times New Roman"/>
        </w:rPr>
        <w:t>. </w:t>
      </w:r>
      <w:r w:rsidR="00C17042" w:rsidRPr="00AD2FC5">
        <w:rPr>
          <w:rFonts w:ascii="Times New Roman" w:hAnsi="Times New Roman" w:cs="Times New Roman"/>
        </w:rPr>
        <w:t>In this way, forms of HIL pedagogy represent the culmination of centuries-long transformation in higher education, from the cultivation of the elites to a model aimed at developing engaged citizens.</w:t>
      </w:r>
    </w:p>
    <w:p w14:paraId="0E77D168" w14:textId="2086350E" w:rsidR="002168B3" w:rsidRPr="00AD2FC5" w:rsidRDefault="00C17042" w:rsidP="311AFB26">
      <w:pPr>
        <w:spacing w:line="240" w:lineRule="auto"/>
        <w:ind w:firstLine="720"/>
        <w:rPr>
          <w:rFonts w:ascii="Times New Roman" w:hAnsi="Times New Roman" w:cs="Times New Roman"/>
          <w:color w:val="000000"/>
        </w:rPr>
      </w:pPr>
      <w:r w:rsidRPr="00AD2FC5">
        <w:rPr>
          <w:rFonts w:ascii="Times New Roman" w:hAnsi="Times New Roman" w:cs="Times New Roman"/>
        </w:rPr>
        <w:t xml:space="preserve"> </w:t>
      </w:r>
      <w:r w:rsidR="002168B3" w:rsidRPr="00AD2FC5">
        <w:rPr>
          <w:rFonts w:ascii="Times New Roman" w:hAnsi="Times New Roman" w:cs="Times New Roman"/>
        </w:rPr>
        <w:t xml:space="preserve">Recent scholarship has shown HIL opportunities, such as research, internships, or service learning, foster greater academic interest </w:t>
      </w:r>
      <w:r w:rsidR="002168B3"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{"citationID":"njKMUDqc","properties":{"formattedCitation":"(Miller et al., 2011; Zydney et al., 2002)","plainCitation":"(Miller et al., 2011; Zydney et al., 2002)","noteIndex":0},"citationItems":[{"id":5,"uris":["http://zotero.org/users/17290334/items/HB8PFYXU"],"itemData":{"id":5,"type":"article-journal","abstract":"Student engagement includes skills engagement, participation engagement, emotional engagement, and performance engagement. Handlesman et al., (2005) created a questionnaire (SCEQ) that measures these forms of engagement. The purpose of this study was to determine the extent to which each form is promoted by different learning experiences. One hundred an twenty-seven students involved in (a) undergraduate research, (b) learning communities, (c) internships, or (d) service learning completed the SCEQ. The results indicated that undergraduate research and internships promoted greater student engagement. Key factors contributing to engagement included perceived career relevance, faculty/student collaboration and the focus and intensity of the learning experience.","collection-title":"3rd World Conference on Educational Sciences - 2011","container-title":"Procedia - Social and Behavioral Sciences","DOI":"10.1016/j.sbspro.2011.03.050","ISSN":"1877-0428","journalAbbreviation":"Procedia - Social and Behavioral Sciences","page":"53-59","source":"ScienceDirect","title":"The effects of high impact learning experiences on student engagement","volume":"15","author":[{"family":"Miller","given":"Richard L."},{"family":"Rycek","given":"Robert F."},{"family":"Fritson","given":"Krista"}],"issued":{"date-parts":[["2011",1,1]]}}},{"id":1051,"uris":["http://zotero.org/users/17290334/items/SC72NRLQ"],"itemData":{"id":1051,"type":"article-journal","abstract":"A survey of alumni from the College of Engineering at the University of Delaware was conducted to assess the impact of the undergraduate research experience. Students who had participated in undergraduate research were matched with a comparable group of alumni who had no research experience. Alumni were unaware that their responses would be used to assess the impact of undergraduate research. Respondents who had participated in research indicated that this experience was “very” or “extremely” important, with a greater perceived benefit for students who had participated in research for a longer time. Alumni with research experience were more likely to pursue graduate degrees, and they reported greater enhancement of important cognitive and personal skills. In addition, respondents who had been involved in research were much more likely to have reported that they had a faculty member play an important role in their career choice.","container-title":"Journal of Engineering Education","DOI":"10.1002/j.2168-9830.2002.tb00687.x","ISSN":"2168-9830","issue":"2","language":"en","note":"_eprint: https://onlinelibrary.wiley.com/doi/pdf/10.1002/j.2168-9830.2002.tb00687.x","page":"151-157","source":"Wiley Online Library","title":"Impact of Undergraduate Research Experience in Engineering","volume":"91","author":[{"family":"Zydney","given":"Andrew L."},{"family":"Bennett","given":"Joan S."},{"family":"Shahid","given":"Abdus"},{"family":"Bauer","given":"Karen W."}],"issued":{"date-parts":[["2002"]]}}}],"schema":"https://github.com/citation-style-language/schema/raw/master/csl-citation.json"} </w:instrText>
      </w:r>
      <w:r w:rsidR="002168B3" w:rsidRPr="00AD2FC5">
        <w:rPr>
          <w:rFonts w:ascii="Times New Roman" w:hAnsi="Times New Roman" w:cs="Times New Roman"/>
        </w:rPr>
        <w:fldChar w:fldCharType="separate"/>
      </w:r>
      <w:r w:rsidR="002168B3" w:rsidRPr="00AD2FC5">
        <w:rPr>
          <w:rFonts w:ascii="Times New Roman" w:hAnsi="Times New Roman" w:cs="Times New Roman"/>
          <w:noProof/>
        </w:rPr>
        <w:t>(Miller et al., 2011; Zydney et al., 2002)</w:t>
      </w:r>
      <w:r w:rsidR="002168B3" w:rsidRPr="00AD2FC5">
        <w:rPr>
          <w:rFonts w:ascii="Times New Roman" w:hAnsi="Times New Roman" w:cs="Times New Roman"/>
        </w:rPr>
        <w:fldChar w:fldCharType="end"/>
      </w:r>
      <w:r w:rsidR="002168B3" w:rsidRPr="00AD2FC5">
        <w:rPr>
          <w:rFonts w:ascii="Times New Roman" w:hAnsi="Times New Roman" w:cs="Times New Roman"/>
        </w:rPr>
        <w:t xml:space="preserve"> and are often described as among the most transformative experiences students undertake during their time at university (</w:t>
      </w:r>
      <w:proofErr w:type="spellStart"/>
      <w:r w:rsidR="002168B3" w:rsidRPr="00AD2FC5">
        <w:rPr>
          <w:rFonts w:ascii="Times New Roman" w:hAnsi="Times New Roman" w:cs="Times New Roman"/>
        </w:rPr>
        <w:t>Lopatto</w:t>
      </w:r>
      <w:proofErr w:type="spellEnd"/>
      <w:r w:rsidR="002168B3" w:rsidRPr="00AD2FC5">
        <w:rPr>
          <w:rFonts w:ascii="Times New Roman" w:hAnsi="Times New Roman" w:cs="Times New Roman"/>
        </w:rPr>
        <w:t>,</w:t>
      </w:r>
      <w:r w:rsidR="13020826" w:rsidRPr="00AD2FC5">
        <w:rPr>
          <w:rFonts w:ascii="Times New Roman" w:hAnsi="Times New Roman" w:cs="Times New Roman"/>
        </w:rPr>
        <w:t xml:space="preserve"> </w:t>
      </w:r>
      <w:r w:rsidR="002168B3" w:rsidRPr="00AD2FC5">
        <w:rPr>
          <w:rFonts w:ascii="Times New Roman" w:hAnsi="Times New Roman" w:cs="Times New Roman"/>
        </w:rPr>
        <w:t>2010).</w:t>
      </w:r>
      <w:r w:rsidR="006A3A09" w:rsidRPr="00AD2FC5">
        <w:rPr>
          <w:rFonts w:ascii="Times New Roman" w:hAnsi="Times New Roman" w:cs="Times New Roman"/>
          <w:color w:val="000000"/>
        </w:rPr>
        <w:t xml:space="preserve"> </w:t>
      </w:r>
      <w:r w:rsidR="008051F8" w:rsidRPr="008051F8">
        <w:rPr>
          <w:rFonts w:ascii="Times New Roman" w:hAnsi="Times New Roman" w:cs="Times New Roman"/>
        </w:rPr>
        <w:t xml:space="preserve">Among HIL practices, </w:t>
      </w:r>
      <w:r w:rsidR="008051F8">
        <w:rPr>
          <w:rFonts w:ascii="Times New Roman" w:hAnsi="Times New Roman" w:cs="Times New Roman"/>
        </w:rPr>
        <w:t xml:space="preserve">however, </w:t>
      </w:r>
      <w:r w:rsidR="008051F8" w:rsidRPr="008051F8">
        <w:rPr>
          <w:rFonts w:ascii="Times New Roman" w:hAnsi="Times New Roman" w:cs="Times New Roman"/>
        </w:rPr>
        <w:t>undergraduate research has consistently been recognized as one of the most impactful</w:t>
      </w:r>
      <w:r w:rsidR="008051F8">
        <w:rPr>
          <w:rFonts w:ascii="Times New Roman" w:hAnsi="Times New Roman" w:cs="Times New Roman"/>
        </w:rPr>
        <w:t xml:space="preserve"> </w:t>
      </w:r>
      <w:r w:rsidR="002168B3"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{"citationID":"ati354apng","properties":{"formattedCitation":"(Hunter et al., 2007; Zydney et al., 2002)","plainCitation":"(Hunter et al., 2007; Zydney et al., 2002)","noteIndex":0},"citationItems":[{"id":1,"uris":["http://zotero.org/users/17290334/items/6I64EAF8"],"itemData":{"id":1,"type":"article-journal","abstract":"In this ethnographic study of summer undergraduate research (UR) experiences at four liberal arts colleges, where faculty and students work collaboratively on a project of mutual interest in an apprenticeship of authentic science research work, analysis of the accounts of faculty and student participants yields comparative insights into the structural elements of this form of UR program and its benefits for students. Comparison of the perspectives of faculty and their students revealed considerable agreement on the nature, range, and extent of students' UR gains. Specific student gains relating to the process of “becoming a scientist” were described and illustrated by both groups. Faculty framed these gains as part of professional socialization into the sciences. In contrast, students emphasized their personal and intellectual development, with little awareness of their socialization into professional practice. Viewing study findings through the lens of social constructivist learning theories demonstrates that the characteristics of these UR programs, how faculty practice UR in these colleges, and students' outcomes—including cognitive and personal growth and the development of a professional identity—strongly exemplify many facets of these theories, particularly, student-centered and situated learning as part of cognitive apprenticeship in a community of practice. © 2006 Wiley Periodicals, Inc. Sci Ed 91:36–74, 2007","container-title":"Science Education","DOI":"10.1002/sce.20173","ISSN":"1098-237X","issue":"1","language":"en","license":"Copyright © 2006 Wiley Periodicals, Inc.","note":"_eprint: https://onlinelibrary.wiley.com/doi/pdf/10.1002/sce.20173","page":"36-74","source":"Wiley Online Library","title":"Becoming a scientist: The role of undergraduate research in students' cognitive, personal, and professional development","title-short":"Becoming a scientist","volume":"91","author":[{"family":"Hunter","given":"Anne-Barrie"},{"family":"Laursen","given":"Sandra L."},{"family":"Seymour","given":"Elaine"}],"issued":{"date-parts":[["2007"]]}},"label":"page"},{"id":1051,"uris":["http://zotero.org/users/17290334/items/SC72NRLQ"],"itemData":{"id":1051,"type":"article-journal","abstract":"A survey of alumni from the College of Engineering at the University of Delaware was conducted to assess the impact of the undergraduate research experience. Students who had participated in undergraduate research were matched with a comparable group of alumni who had no research experience. Alumni were unaware that their responses would be used to assess the impact of undergraduate research. Respondents who had participated in research indicated that this experience was “very” or “extremely” important, with a greater perceived benefit for students who had participated in research for a longer time. Alumni with research experience were more likely to pursue graduate degrees, and they reported greater enhancement of important cognitive and personal skills. In addition, respondents who had been involved in research were much more likely to have reported that they had a faculty member play an important role in their career choice.","container-title":"Journal of Engineering Education","DOI":"10.1002/j.2168-9830.2002.tb00687.x","ISSN":"2168-9830","issue":"2","language":"en","note":"_eprint: https://onlinelibrary.wiley.com/doi/pdf/10.1002/j.2168-9830.2002.tb00687.x","page":"151-157","source":"Wiley Online Library","title":"Impact of Undergraduate Research Experience in Engineering","volume":"91","author":[{"family":"Zydney","given":"Andrew L."},{"family":"Bennett","given":"Joan S."},{"family":"Shahid","given":"Abdus"},{"family":"Bauer","given":"Karen W."}],"issued":{"date-parts":[["2002"]]}},"label":"page"}],"schema":"https://github.com/citation-style-language/schema/raw/master/csl-citation.json"} </w:instrText>
      </w:r>
      <w:r w:rsidR="002168B3" w:rsidRPr="00AD2FC5">
        <w:rPr>
          <w:rFonts w:ascii="Times New Roman" w:hAnsi="Times New Roman" w:cs="Times New Roman"/>
        </w:rPr>
        <w:fldChar w:fldCharType="separate"/>
      </w:r>
      <w:r w:rsidR="00F12E71" w:rsidRPr="00AD2FC5">
        <w:rPr>
          <w:rFonts w:ascii="Times New Roman" w:hAnsi="Times New Roman" w:cs="Times New Roman"/>
          <w:kern w:val="0"/>
        </w:rPr>
        <w:t>(Hunter et al., 2007; Zydney et al., 2002)</w:t>
      </w:r>
      <w:r w:rsidR="002168B3" w:rsidRPr="00AD2FC5">
        <w:rPr>
          <w:rFonts w:ascii="Times New Roman" w:hAnsi="Times New Roman" w:cs="Times New Roman"/>
        </w:rPr>
        <w:fldChar w:fldCharType="end"/>
      </w:r>
      <w:r w:rsidR="002168B3" w:rsidRPr="00AD2FC5">
        <w:rPr>
          <w:rFonts w:ascii="Times New Roman" w:hAnsi="Times New Roman" w:cs="Times New Roman"/>
        </w:rPr>
        <w:t xml:space="preserve">. </w:t>
      </w:r>
      <w:r w:rsidR="00E96498">
        <w:rPr>
          <w:rFonts w:ascii="Times New Roman" w:hAnsi="Times New Roman" w:cs="Times New Roman"/>
        </w:rPr>
        <w:t>Scholarship</w:t>
      </w:r>
      <w:r w:rsidR="002168B3" w:rsidRPr="00AD2FC5">
        <w:rPr>
          <w:rFonts w:ascii="Times New Roman" w:hAnsi="Times New Roman" w:cs="Times New Roman"/>
        </w:rPr>
        <w:t xml:space="preserve"> has </w:t>
      </w:r>
      <w:r w:rsidR="00E96498">
        <w:rPr>
          <w:rFonts w:ascii="Times New Roman" w:hAnsi="Times New Roman" w:cs="Times New Roman"/>
        </w:rPr>
        <w:t xml:space="preserve">increasingly </w:t>
      </w:r>
      <w:r w:rsidR="002168B3" w:rsidRPr="00AD2FC5">
        <w:rPr>
          <w:rFonts w:ascii="Times New Roman" w:hAnsi="Times New Roman" w:cs="Times New Roman"/>
        </w:rPr>
        <w:t>shown</w:t>
      </w:r>
      <w:r w:rsidR="00084E8B">
        <w:rPr>
          <w:rFonts w:ascii="Times New Roman" w:hAnsi="Times New Roman" w:cs="Times New Roman"/>
        </w:rPr>
        <w:t xml:space="preserve"> </w:t>
      </w:r>
      <w:r w:rsidR="002168B3" w:rsidRPr="00AD2FC5">
        <w:rPr>
          <w:rFonts w:ascii="Times New Roman" w:hAnsi="Times New Roman" w:cs="Times New Roman"/>
        </w:rPr>
        <w:t xml:space="preserve">the practice has far-reaching positive effects on </w:t>
      </w:r>
      <w:r w:rsidR="002168B3" w:rsidRPr="00AD2FC5">
        <w:rPr>
          <w:rFonts w:ascii="Times New Roman" w:hAnsi="Times New Roman" w:cs="Times New Roman"/>
        </w:rPr>
        <w:lastRenderedPageBreak/>
        <w:t xml:space="preserve">learning outcomes </w:t>
      </w:r>
      <w:r w:rsidR="002168B3"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{"citationID":"6IPt7fO6","properties":{"formattedCitation":"(Lopatto, 2004, 2010; Russell et al., 2007; Seymour et al., 2004)","plainCitation":"(Lopatto, 2004, 2010; Russell et al., 2007; Seymour et al., 2004)","noteIndex":0},"citationItems":[{"id":2,"uris":["http://zotero.org/users/17290334/items/BWSHZ945"],"itemData":{"id":2,"type":"article-journal","abstract":"In this study, I examined the hypothesis that undergraduate research enhances the educational experience of science undergraduates, attracts and retains talented students to careers in science, and acts as a pathway for minority students into science careers. Undergraduates from 41 institutions participated in an online survey on the benefits of undergraduate research experiences. Participants indicated gains on 20 potential benefits and reported on career plans. Over 83% of 1,135 participants began or continued to plan for postgraduate education in the sciences. A group of 51 students who discontinued their plans for postgraduate science education reported significantly lower gains than continuing students. Women and men reported similar levels of benefits and similar patterns of career plans. Ethnic groups did not significantly differ in reported levels of benefits or plans to continue with postgraduate education.","container-title":"Cell Biology Education","DOI":"10.1187/cbe.04-07-0045","issue":"4","journalAbbreviation":"CBE","note":"publisher: American Society for Cell Biology (lse)","page":"270-277","source":"lifescied.org (Atypon)","title":"Survey of Undergraduate Research Experiences (SURE): First Findings","title-short":"Survey of Undergraduate Research Experiences (SURE)","volume":"3","author":[{"family":"Lopatto","given":"David"}],"issued":{"date-parts":[["2004",12]]}}},{"id":4,"uris":["http://zotero.org/users/17290334/items/BSXE9CUD"],"itemData":{"id":4,"type":"article-journal","abstract":"The article discusses the effects of undergraduate research experience on student learning, attitude, and career choice. Educators claim that the documented undergraduate research proved to be a high-impact educational practice in liberal education. To gain better perspective on the subject, an online survey focusing on the student's experience in undergraduate research has been conducted, centralizing on communication, data analysis, and other components. It presents the process, analysis, and findings of the survey, as well as the benefits of the undergraduate and interdisciplinary research experiences.","archive_location":"52225829","container-title":"Peer Review","ISSN":"1541-1389","issue":"2","journalAbbreviation":"Peer Review","language":"eng","note":"publisher: American Association of Colleges &amp; Universities","page":"27-30","source":"EBSCOhost","title":"Undergraduate Research as a High-Impact Student Experience.","volume":"12","author":[{"family":"Lopatto","given":"David"}],"issued":{"date-parts":[["2010",3,1]]}}},{"id":246,"uris":["http://zotero.org/users/17290334/items/452NW6EU"],"itemData":{"id":246,"type":"article-journal","container-title":"Science (New York, N.Y.)","DOI":"10.1126/science.1140384","ISSN":"1095-9203","issue":"5824","journalAbbreviation":"Science","language":"eng","note":"PMID: 17463273","page":"548-549","source":"PubMed","title":"The pipeline. Benefits of undergraduate research experiences","volume":"316","author":[{"family":"Russell","given":"Susan H."},{"family":"Hancock","given":"Mary P."},{"family":"McCullough","given":"James"}],"issued":{"date-parts":[["2007",4,27]]}}},{"id":245,"uris":["http://zotero.org/users/17290334/items/HKGB3GIY"],"itemData":{"id":245,"type":"article-journal","abstract":"Descriptions of student-identified benefits of undergraduate research experiences are drawn from analysis of 76 first-round student interviews gathered at the end of summer 2000 at four participating liberal arts colleges (Grinnell, Harvey Mudd, Hope, and Wellesley). As part of the interview protocol, students commented on a checklist of possible benefits derived from the literature. They also added gains that were not on this list. Students were overwhelmingly positive: 91% of all statements referenced gains from their experiences. Few negative, ambivalent, or qualified assessments of their research experiences were offered. The benefits described were of seven different kinds. Expressed as percentages of all reported gains, they were personal/professional gains (28%); \"thinking and working like a scientist\" (28%); gains in various skills (19%); clarification/confirmation of career plans (including graduate school) (12%); enhanced career/graduate school preparation (9%); shifts in attitudes to learning and working as a researcher (4%); and other benefits (1%). (PsycINFO Database Record (c) 2016 APA, all rights reserved)","container-title":"Science Education","DOI":"10.1002/sce.10131","ISSN":"1098-237X","issue":"4","note":"publisher-place: US\npublisher: John Wiley &amp; Sons","page":"493-534","source":"APA PsycNet","title":"Establishing the Benefits of Research Experiences for Undergraduates in the Sciences: First Findings from a Three-Year Study","title-short":"Establishing the Benefits of Research Experiences for Undergraduates in the Sciences","volume":"88","author":[{"family":"Seymour","given":"Elaine"},{"family":"Hunter","given":"Anne-Barrie"},{"family":"Laursen","given":"Sandra L."},{"family":"Deantoni","given":"Tracee"}],"issued":{"date-parts":[["2004"]]}}}],"schema":"https://github.com/citation-style-language/schema/raw/master/csl-citation.json"} </w:instrText>
      </w:r>
      <w:r w:rsidR="002168B3" w:rsidRPr="00AD2FC5">
        <w:rPr>
          <w:rFonts w:ascii="Times New Roman" w:hAnsi="Times New Roman" w:cs="Times New Roman"/>
        </w:rPr>
        <w:fldChar w:fldCharType="separate"/>
      </w:r>
      <w:r w:rsidR="002168B3" w:rsidRPr="00AD2FC5">
        <w:rPr>
          <w:rFonts w:ascii="Times New Roman" w:hAnsi="Times New Roman" w:cs="Times New Roman"/>
          <w:noProof/>
        </w:rPr>
        <w:t>(Lopatto, 2004, 2010; Russell et al., 2007; Seymour et al., 2004)</w:t>
      </w:r>
      <w:r w:rsidR="002168B3" w:rsidRPr="00AD2FC5">
        <w:rPr>
          <w:rFonts w:ascii="Times New Roman" w:hAnsi="Times New Roman" w:cs="Times New Roman"/>
        </w:rPr>
        <w:fldChar w:fldCharType="end"/>
      </w:r>
      <w:r w:rsidR="002168B3" w:rsidRPr="00AD2FC5">
        <w:rPr>
          <w:rFonts w:ascii="Times New Roman" w:hAnsi="Times New Roman" w:cs="Times New Roman"/>
        </w:rPr>
        <w:t xml:space="preserve">, fostering persistence, self-efficacy, and a sense of identity as a scientist </w:t>
      </w:r>
      <w:r w:rsidR="002168B3"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{"citationID":"dciTtIKG","properties":{"formattedCitation":"(Mraz-Craig et al., 2018)","plainCitation":"(Mraz-Craig et al., 2018)","noteIndex":0},"citationItems":[{"id":1052,"uris":["http://zotero.org/users/17290334/items/4IUD4BSI"],"itemData":{"id":1052,"type":"article-journal","container-title":"Journal of College Science Teaching","ISSN":"0047-231X","issue":"1","note":"publisher: National Science Teachers Association","page":"68-75","source":"JSTOR","title":"Student Identities in Authentic Course-Based Undergraduate Research Experience","volume":"48","author":[{"family":"Mraz-Craig","given":"Jennifer A."},{"family":"Daniel","given":"Kristy L."},{"family":"Bucklin","given":"Carrie J."},{"family":"Mishra","given":"Chandrani"},{"family":"Ali","given":"Laila"},{"family":"Clase","given":"Kari L."}],"issued":{"date-parts":[["2018"]]}}}],"schema":"https://github.com/citation-style-language/schema/raw/master/csl-citation.json"} </w:instrText>
      </w:r>
      <w:r w:rsidR="002168B3" w:rsidRPr="00AD2FC5">
        <w:rPr>
          <w:rFonts w:ascii="Times New Roman" w:hAnsi="Times New Roman" w:cs="Times New Roman"/>
        </w:rPr>
        <w:fldChar w:fldCharType="separate"/>
      </w:r>
      <w:r w:rsidR="002168B3" w:rsidRPr="00AD2FC5">
        <w:rPr>
          <w:rFonts w:ascii="Times New Roman" w:hAnsi="Times New Roman" w:cs="Times New Roman"/>
          <w:noProof/>
        </w:rPr>
        <w:t>(Mraz-Craig et al., 2018)</w:t>
      </w:r>
      <w:r w:rsidR="002168B3" w:rsidRPr="00AD2FC5">
        <w:rPr>
          <w:rFonts w:ascii="Times New Roman" w:hAnsi="Times New Roman" w:cs="Times New Roman"/>
        </w:rPr>
        <w:fldChar w:fldCharType="end"/>
      </w:r>
      <w:r w:rsidR="002168B3" w:rsidRPr="00AD2FC5">
        <w:rPr>
          <w:rFonts w:ascii="Times New Roman" w:hAnsi="Times New Roman" w:cs="Times New Roman"/>
        </w:rPr>
        <w:t xml:space="preserve">. Moreover, undergraduate research offers a valuable developmental practice that helps students build self-efficacy and begin to view themselves as researchers </w:t>
      </w:r>
      <w:r w:rsidR="002168B3" w:rsidRPr="00E96498">
        <w:rPr>
          <w:rFonts w:ascii="Times New Roman" w:hAnsi="Times New Roman" w:cs="Times New Roman"/>
        </w:rPr>
        <w:fldChar w:fldCharType="begin"/>
      </w:r>
      <w:r w:rsidR="00F12E71" w:rsidRPr="00E96498">
        <w:rPr>
          <w:rFonts w:ascii="Times New Roman" w:hAnsi="Times New Roman" w:cs="Times New Roman"/>
        </w:rPr>
        <w:instrText xml:space="preserve"> ADDIN ZOTERO_ITEM CSL_CITATION {"citationID":"7KHlrDEp","properties":{"formattedCitation":"(Chemers et al., 2011; Hunter et al., 2007; Linn et al., 2015)","plainCitation":"(Chemers et al., 2011; Hunter et al., 2007; Linn et al., 2015)","noteIndex":0},"citationItems":[{"id":274,"uris":["http://zotero.org/users/17290334/items/3DMXL9DK"],"itemData":{"id":274,"type":"article-journal","abstract":"A web-based survey of members of the Society for the Advancement of Chicanos and Native Americans in Science tested a model that proposed that the effects of science support experiences on commitment to science careers would be mediated by science self-efficacy and identity as a scientist. A sample of 327 undergraduates and 338 graduate students and postdoctoral fellows described their science support experiences (research experience, mentoring, and community involvement); psychological variables (science self-efficacy, leadership/teamwork self-efficacy, and identity as a scientist); and commitment to pursue a career in scientific research. Structural equation model analyses supported our predictions. Among the undergraduates, science (but not leadership/teamwork), self-efficacy, and identity as a scientist fully mediated the effects of science support experiences and were strong predictors of commitment. Results for the graduate/postdoctoral sample revealed a very similar pattern of results, with the added finding that all three psychological mediators, including leadership/teamwork self-efficacy, predicted commitment.","container-title":"Journal of Social Issues","DOI":"10.1111/j.1540-4560.2011.01710.x","ISSN":"1540-4560","issue":"3","language":"en","license":"© 2011 The Society for the Psychological Study of Social Issues","note":"_eprint: https://spssi.onlinelibrary.wiley.com/doi/pdf/10.1111/j.1540-4560.2011.01710.x","page":"469-491","source":"Wiley Online Library","title":"The Role of Efficacy and Identity in Science Career Commitment Among Underrepresented Minority Students","volume":"67","author":[{"family":"Chemers","given":"Martin M."},{"family":"Zurbriggen","given":"Eileen L."},{"family":"Syed","given":"Moin"},{"family":"Goza","given":"Barbara K."},{"family":"Bearman","given":"Steve"}],"issued":{"date-parts":[["2011"]]}}},{"id":1,"uris":["http://zotero.org/users/17290334/items/6I64EAF8"],"itemData":{"id":1,"type":"article-journal","abstract":"In this ethnographic study of summer undergraduate research (UR) experiences at four liberal arts colleges, where faculty and students work collaboratively on a project of mutual interest in an apprenticeship of authentic science research work, analysis of the accounts of faculty and student participants yields comparative insights into the structural elements of this form of UR program and its benefits for students. Comparison of the perspectives of faculty and their students revealed considerable agreement on the nature, range, and extent of students' UR gains. Specific student gains relating to the process of “becoming a scientist” were described and illustrated by both groups. Faculty framed these gains as part of professional socialization into the sciences. In contrast, students emphasized their personal and intellectual development, with little awareness of their socialization into professional practice. Viewing study findings through the lens of social constructivist learning theories demonstrates that the characteristics of these UR programs, how faculty practice UR in these colleges, and students' outcomes—including cognitive and personal growth and the development of a professional identity—strongly exemplify many facets of these theories, particularly, student-centered and situated learning as part of cognitive apprenticeship in a community of practice. © 2006 Wiley Periodicals, Inc. Sci Ed 91:36–74, 2007","container-title":"Science Education","DOI":"10.1002/sce.20173","ISSN":"1098-237X","issue":"1","language":"en","license":"Copyright © 2006 Wiley Periodicals, Inc.","note":"_eprint: https://onlinelibrary.wiley.com/doi/pdf/10.1002/sce.20173","page":"36-74","source":"Wiley Online Library","title":"Becoming a scientist: The role of undergraduate research in students' cognitive, personal, and professional development","title-short":"Becoming a scientist","volume":"91","author":[{"family":"Hunter","given":"Anne-Barrie"},{"family":"Laursen","given":"Sandra L."},{"family":"Seymour","given":"Elaine"}],"issued":{"date-parts":[["2007"]]}}},{"id":244,"uris":["http://zotero.org/users/17290334/items/C9WBPTXD"],"itemData":{"id":244,"type":"article-journal","abstract":"Most undergraduates give high ratings to research experiences. Studies report that these experiences improve participation and persistence, often by strengthening students’ views of themselves as scientists. Yet, the evidence for these claims is weak. More than half the 60 studies reviewed rely on self-report surveys or interviews. Rather than introducing new images of science, research experiences may reinforce flawed images especially of research practices and conceptual understanding. The most convincing studies show benefits for mentoring and for communicating the nature of science, but the ideas that students learn are often isolated or fragmented rather than integrated and coherent. Rigorous research is needed to identify ways to design research experiences so that they promote integrated understanding. These studies need powerful and generalizable assessments that can document student progress, help distinguish effective and ineffective aspects of the experiences, and illustrate how students interpret the research experiences they encounter. To create research experiences that meet the needs of interested students and make effective use of scarce resources, we encourage systematic, iterative studies with multiple indicators of success.","container-title":"Science","DOI":"10.1126/science.1261757","issue":"6222","note":"publisher: American Association for the Advancement of Science","page":"1261757","source":"science.org (Atypon)","title":"Undergraduate research experiences: Impacts and opportunities","title-short":"Undergraduate research experiences","volume":"347","author":[{"family":"Linn","given":"Marcia C."},{"family":"Palmer","given":"Erin"},{"family":"Baranger","given":"Anne"},{"family":"Gerard","given":"Elizabeth"},{"family":"Stone","given":"Elisa"}],"issued":{"date-parts":[["2015",2,6]]}}}],"schema":"https://github.com/citation-style-language/schema/raw/master/csl-citation.json"} </w:instrText>
      </w:r>
      <w:r w:rsidR="002168B3" w:rsidRPr="00E96498">
        <w:rPr>
          <w:rFonts w:ascii="Times New Roman" w:hAnsi="Times New Roman" w:cs="Times New Roman"/>
        </w:rPr>
        <w:fldChar w:fldCharType="separate"/>
      </w:r>
      <w:r w:rsidR="002168B3" w:rsidRPr="00E96498">
        <w:rPr>
          <w:rFonts w:ascii="Times New Roman" w:hAnsi="Times New Roman" w:cs="Times New Roman"/>
          <w:noProof/>
        </w:rPr>
        <w:t>(Chemers et al., 2011; Hunter et al., 2007; Linn et al., 2015)</w:t>
      </w:r>
      <w:r w:rsidR="002168B3" w:rsidRPr="00E96498">
        <w:rPr>
          <w:rFonts w:ascii="Times New Roman" w:hAnsi="Times New Roman" w:cs="Times New Roman"/>
        </w:rPr>
        <w:fldChar w:fldCharType="end"/>
      </w:r>
      <w:r w:rsidR="002168B3" w:rsidRPr="00E96498">
        <w:rPr>
          <w:rFonts w:ascii="Times New Roman" w:hAnsi="Times New Roman" w:cs="Times New Roman"/>
        </w:rPr>
        <w:t xml:space="preserve">. As put by </w:t>
      </w:r>
      <w:proofErr w:type="spellStart"/>
      <w:r w:rsidR="002168B3" w:rsidRPr="00E96498">
        <w:rPr>
          <w:rFonts w:ascii="Times New Roman" w:hAnsi="Times New Roman" w:cs="Times New Roman"/>
        </w:rPr>
        <w:t>Zydney</w:t>
      </w:r>
      <w:proofErr w:type="spellEnd"/>
      <w:r w:rsidR="002168B3" w:rsidRPr="00E96498">
        <w:rPr>
          <w:rFonts w:ascii="Times New Roman" w:hAnsi="Times New Roman" w:cs="Times New Roman"/>
        </w:rPr>
        <w:t xml:space="preserve"> et al. (2002)</w:t>
      </w:r>
      <w:r w:rsidR="00E96498" w:rsidRPr="00E96498">
        <w:rPr>
          <w:rFonts w:ascii="Times New Roman" w:hAnsi="Times New Roman" w:cs="Times New Roman"/>
        </w:rPr>
        <w:t>:</w:t>
      </w:r>
    </w:p>
    <w:p w14:paraId="25A94DB6" w14:textId="77777777" w:rsidR="002168B3" w:rsidRPr="00AD2FC5" w:rsidRDefault="002168B3" w:rsidP="311AFB26">
      <w:pPr>
        <w:spacing w:line="240" w:lineRule="auto"/>
        <w:ind w:left="720"/>
        <w:rPr>
          <w:rFonts w:ascii="Times New Roman" w:hAnsi="Times New Roman" w:cs="Times New Roman"/>
        </w:rPr>
      </w:pPr>
      <w:r w:rsidRPr="311AFB26">
        <w:rPr>
          <w:rFonts w:ascii="Times New Roman" w:hAnsi="Times New Roman" w:cs="Times New Roman"/>
        </w:rPr>
        <w:t>[Students] who participated in undergraduate research reported significantly greater enhancement of … important cognitive and personal skills … and … were also more likely to pursue graduate degrees … [and] to have reported that they had a faculty member play an important role in their career choice (p. 156).</w:t>
      </w:r>
    </w:p>
    <w:p w14:paraId="6B170B2B" w14:textId="18F7BCC9" w:rsidR="002168B3" w:rsidRPr="00AD2FC5" w:rsidRDefault="181B3575" w:rsidP="311AFB26">
      <w:pPr>
        <w:spacing w:line="240" w:lineRule="auto"/>
        <w:rPr>
          <w:rFonts w:ascii="Times New Roman" w:hAnsi="Times New Roman" w:cs="Times New Roman"/>
        </w:rPr>
      </w:pPr>
      <w:r w:rsidRPr="00AD2FC5">
        <w:rPr>
          <w:rFonts w:ascii="Times New Roman" w:hAnsi="Times New Roman" w:cs="Times New Roman"/>
          <w:kern w:val="0"/>
          <w14:ligatures w14:val="none"/>
        </w:rPr>
        <w:t xml:space="preserve">Given the transformative power of undergraduate research, scholars have recently concentrated on developing reliable methods to measure its impact on student growth. This issue was addressed by </w:t>
      </w:r>
      <w:proofErr w:type="spellStart"/>
      <w:r w:rsidRPr="00AD2FC5">
        <w:rPr>
          <w:rFonts w:ascii="Times New Roman" w:hAnsi="Times New Roman" w:cs="Times New Roman"/>
          <w:kern w:val="0"/>
          <w14:ligatures w14:val="none"/>
        </w:rPr>
        <w:t>Chemers</w:t>
      </w:r>
      <w:proofErr w:type="spellEnd"/>
      <w:r w:rsidRPr="00AD2FC5">
        <w:rPr>
          <w:rFonts w:ascii="Times New Roman" w:hAnsi="Times New Roman" w:cs="Times New Roman"/>
          <w:kern w:val="0"/>
          <w14:ligatures w14:val="none"/>
        </w:rPr>
        <w:t xml:space="preserve"> et al. (2011), who developed three validated scales that assess aspects of student development in undergraduate research: research experience, science self-efficacy, and identity as a scientist </w:t>
      </w:r>
      <w:r w:rsidR="00BF7BF8" w:rsidRPr="00AD2FC5">
        <w:rPr>
          <w:rFonts w:ascii="Times New Roman" w:hAnsi="Times New Roman" w:cs="Times New Roman"/>
          <w:kern w:val="0"/>
          <w14:ligatures w14:val="none"/>
        </w:rPr>
        <w:fldChar w:fldCharType="begin"/>
      </w:r>
      <w:r w:rsidR="00F12E71" w:rsidRPr="00AD2FC5">
        <w:rPr>
          <w:rFonts w:ascii="Times New Roman" w:hAnsi="Times New Roman" w:cs="Times New Roman"/>
          <w:kern w:val="0"/>
          <w14:ligatures w14:val="none"/>
        </w:rPr>
        <w:instrText xml:space="preserve"> ADDIN ZOTERO_ITEM CSL_CITATION {"citationID":"OProHqdC","properties":{"formattedCitation":"(Robnett et al., 2015, 2018)","plainCitation":"(Robnett et al., 2015, 2018)","noteIndex":0},"citationItems":[{"id":242,"uris":["http://zotero.org/users/17290334/items/LLHSMEZM"],"itemData":{"id":242,"type":"article-journal","abstract":"Prior research shows that undergraduates tend to identify more strongly with the field of science after participating in scientific research. However, mediators that might account for this association are not well understood. In the current study, we propose that science self-efficacy may serve this mediational function. Specifically, data from a 2-year longitudinal study were used to test a model in which science self-efficacy was expected to mediate the association between research involvement and identity as a scientist. The ethnically diverse sample included 251 undergraduates who were recruited from colleges and universities across the United States. The hypothesized mediation model was tested with a cross-lagged panel analysis. As expected, greater levels of research experience at Time 1 predicted higher identity as a scientist at Time 3, and this association was mediated by science self-efficacy at Time 2. Exploratory analyses testing for ethnic and gender differences in the model suggested that the associations in the model were similar for undergraduates from diverse backgrounds. From a theoretical standpoint, the current study provides novel insight into how research experience, efficacy, and identity relate to one another over time. Applied implications center on the importance of involving undergraduates in research that has the potential to bolster their science self-efficacy. © 2015 Wiley Periodicals, Inc. J Res Sci Teach 52: 847–867, 2015.","container-title":"Journal of Research in Science Teaching","DOI":"10.1002/tea.21221","ISSN":"1098-2736","issue":"6","language":"en","license":"© 2015 Wiley Periodicals, Inc.","note":"_eprint: https://onlinelibrary.wiley.com/doi/pdf/10.1002/tea.21221","page":"847-867","source":"Wiley Online Library","title":"Longitudinal associations among undergraduates' research experience, self-efficacy, and identity","volume":"52","author":[{"family":"Robnett","given":"Rachael D."},{"family":"Chemers","given":"Martin M."},{"family":"Zurbriggen","given":"Eileen L."}],"issued":{"date-parts":[["2015"]]}}},{"id":241,"uris":["http://zotero.org/users/17290334/items/LDPRFX5Z"],"itemData":{"id":241,"type":"article-journal","abstract":"Mentored research apprenticeships are a common feature of academic outreach programs that aim to promote diversity in science fields. The current study tests for links between three forms of mentoring (instrumental, socioemotional, and negative) and the degree to which undergraduates psychologically identify with science. Participants were 66 undergraduate-mentor dyads who worked together in a research apprenticeship. The undergraduate sample was predominantly composed of women, first-generation college students, and members of ethnic groups that are historically underrepresented in science.","container-title":"International Journal of STEM Education","DOI":"10.1186/s40594-018-0139-y","ISSN":"2196-7822","issue":"1","journalAbbreviation":"IJ STEM Ed","language":"en","page":"41","source":"Springer Link","title":"Research mentoring and scientist identity: insights from undergraduates and their mentors","title-short":"Research mentoring and scientist identity","volume":"5","author":[{"family":"Robnett","given":"Rachael D."},{"family":"Nelson","given":"Paul A."},{"family":"Zurbriggen","given":"Eileen L."},{"family":"Crosby","given":"Faye J."},{"family":"Chemers","given":"Martin M."}],"issued":{"date-parts":[["2018",11,30]]}}}],"schema":"https://github.com/citation-style-language/schema/raw/master/csl-citation.json"} </w:instrText>
      </w:r>
      <w:r w:rsidR="00BF7BF8" w:rsidRPr="00AD2FC5">
        <w:rPr>
          <w:rFonts w:ascii="Times New Roman" w:hAnsi="Times New Roman" w:cs="Times New Roman"/>
          <w:kern w:val="0"/>
          <w14:ligatures w14:val="none"/>
        </w:rPr>
        <w:fldChar w:fldCharType="separate"/>
      </w:r>
      <w:r w:rsidRPr="00AD2FC5">
        <w:rPr>
          <w:rFonts w:ascii="Times New Roman" w:hAnsi="Times New Roman" w:cs="Times New Roman"/>
          <w:noProof/>
          <w:kern w:val="0"/>
          <w14:ligatures w14:val="none"/>
        </w:rPr>
        <w:t>(Robnett et al., 2015, 2018)</w:t>
      </w:r>
      <w:r w:rsidR="00BF7BF8" w:rsidRPr="00AD2FC5">
        <w:rPr>
          <w:rFonts w:ascii="Times New Roman" w:hAnsi="Times New Roman" w:cs="Times New Roman"/>
          <w:kern w:val="0"/>
          <w14:ligatures w14:val="none"/>
        </w:rPr>
        <w:fldChar w:fldCharType="end"/>
      </w:r>
      <w:r w:rsidRPr="00AD2FC5">
        <w:rPr>
          <w:rFonts w:ascii="Times New Roman" w:hAnsi="Times New Roman" w:cs="Times New Roman"/>
          <w:kern w:val="0"/>
          <w14:ligatures w14:val="none"/>
        </w:rPr>
        <w:t>. </w:t>
      </w:r>
    </w:p>
    <w:p w14:paraId="22D3B26E" w14:textId="066E540E" w:rsidR="001312F8" w:rsidRDefault="002168B3" w:rsidP="311AFB26">
      <w:pPr>
        <w:spacing w:line="240" w:lineRule="auto"/>
        <w:ind w:firstLine="720"/>
        <w:rPr>
          <w:rFonts w:ascii="Times New Roman" w:eastAsia="Aptos" w:hAnsi="Times New Roman" w:cs="Times New Roman"/>
        </w:rPr>
      </w:pPr>
      <w:r w:rsidRPr="00AD2FC5">
        <w:rPr>
          <w:rFonts w:ascii="Times New Roman" w:hAnsi="Times New Roman" w:cs="Times New Roman"/>
        </w:rPr>
        <w:t xml:space="preserve">One of these scales, the </w:t>
      </w:r>
      <w:r w:rsidRPr="00AD2FC5">
        <w:rPr>
          <w:rFonts w:ascii="Times New Roman" w:hAnsi="Times New Roman" w:cs="Times New Roman"/>
          <w:kern w:val="0"/>
          <w14:ligatures w14:val="none"/>
        </w:rPr>
        <w:t>Identity as a Scientist Scale (ISS)</w:t>
      </w:r>
      <w:r w:rsidRPr="00AD2FC5">
        <w:rPr>
          <w:rFonts w:ascii="Times New Roman" w:hAnsi="Times New Roman" w:cs="Times New Roman"/>
        </w:rPr>
        <w:t>, measures the extent to which students perceive themselves as scientists </w:t>
      </w:r>
      <w:r w:rsidRPr="00AD2FC5">
        <w:rPr>
          <w:rFonts w:ascii="Times New Roman" w:hAnsi="Times New Roman" w:cs="Times New Roman"/>
        </w:rPr>
        <w:fldChar w:fldCharType="begin"/>
      </w:r>
      <w:r w:rsidR="00F12E71" w:rsidRPr="00AD2FC5">
        <w:rPr>
          <w:rFonts w:ascii="Times New Roman" w:hAnsi="Times New Roman" w:cs="Times New Roman"/>
        </w:rPr>
        <w:instrText xml:space="preserve"> ADDIN ZOTERO_ITEM CSL_CITATION {"citationID":"PcNNiSzF","properties":{"formattedCitation":"(Carlone &amp; Johnson, 2007; Chemers et al., 2011; Estrada et al., 2018; Stets et al., 2017)","plainCitation":"(Carlone &amp; Johnson, 2007; Chemers et al., 2011; Estrada et al., 2018; Stets et al., 2017)","noteIndex":0},"citationItems":[{"id":235,"uris":["http://zotero.org/users/17290334/items/IRQ3R2CE"],"itemData":{"id":235,"type":"article-journal","abstract":"In this study, we develop a model of science identity to make sense of the science experiences of 15 successful women of color over the course of their undergraduate and graduate studies in science and into science-related careers. In our view, science identity accounts both for how women make meaning of science experiences and how society structures possible meanings. Primary data included ethnographic interviews during students' undergraduate careers, follow-up interviews 6 years later, and ongoing member-checking. Our results highlight the importance of recognition by others for women in the three science identity trajectories: research scientist; altruistic scientist; and disrupted scientist. The women with research scientist identities were passionate about science and recognized themselves and were recognized by science faculty as science people. The women with altruistic scientist identities regarded science as a vehicle for altruism and created innovative meanings of “science,” “recognition by others,” and “woman of color in science.” The women with disrupted scientist identities sought, but did not often receive, recognition by meaningful scientific others. Although they were ultimately successful, their trajectories were more difficult because, in part, their bids for recognition were disrupted by the interaction with gendered, ethnic, and racial factors. This study clarifies theoretical conceptions of science identity, promotes a rethinking of recruitment and retention efforts, and illuminates various ways women of color experience, make meaning of, and negotiate the culture of science. © 2007 Wiley Periodicals, Inc. J Res Sci Teach 44: 1187–1218, 2007","container-title":"Journal of Research in Science Teaching","DOI":"10.1002/tea.20237","ISSN":"1098-2736","issue":"8","language":"en","license":"Copyright © 2007 Wiley Periodicals, Inc.","note":"_eprint: https://onlinelibrary.wiley.com/doi/pdf/10.1002/tea.20237","page":"1187-1218","source":"Wiley Online Library","title":"Understanding the science experiences of successful women of color: Science identity as an analytic lens","title-short":"Understanding the science experiences of successful women of color","volume":"44","author":[{"family":"Carlone","given":"Heidi B."},{"family":"Johnson","given":"Angela"}],"issued":{"date-parts":[["2007"]]}}},{"id":274,"uris":["http://zotero.org/users/17290334/items/3DMXL9DK"],"itemData":{"id":274,"type":"article-journal","abstract":"A web-based survey of members of the Society for the Advancement of Chicanos and Native Americans in Science tested a model that proposed that the effects of science support experiences on commitment to science careers would be mediated by science self-efficacy and identity as a scientist. A sample of 327 undergraduates and 338 graduate students and postdoctoral fellows described their science support experiences (research experience, mentoring, and community involvement); psychological variables (science self-efficacy, leadership/teamwork self-efficacy, and identity as a scientist); and commitment to pursue a career in scientific research. Structural equation model analyses supported our predictions. Among the undergraduates, science (but not leadership/teamwork), self-efficacy, and identity as a scientist fully mediated the effects of science support experiences and were strong predictors of commitment. Results for the graduate/postdoctoral sample revealed a very similar pattern of results, with the added finding that all three psychological mediators, including leadership/teamwork self-efficacy, predicted commitment.","container-title":"Journal of Social Issues","DOI":"10.1111/j.1540-4560.2011.01710.x","ISSN":"1540-4560","issue":"3","language":"en","license":"© 2011 The Society for the Psychological Study of Social Issues","note":"_eprint: https://spssi.onlinelibrary.wiley.com/doi/pdf/10.1111/j.1540-4560.2011.01710.x","page":"469-491","source":"Wiley Online Library","title":"The Role of Efficacy and Identity in Science Career Commitment Among Underrepresented Minority Students","volume":"67","author":[{"family":"Chemers","given":"Martin M."},{"family":"Zurbriggen","given":"Eileen L."},{"family":"Syed","given":"Moin"},{"family":"Goza","given":"Barbara K."},{"family":"Bearman","given":"Steve"}],"issued":{"date-parts":[["2011"]]}}},{"id":233,"uris":["http://zotero.org/users/17290334/items/ARCSU9Y2"],"itemData":{"id":233,"type":"article-journal","abstract":"African Americans, Latinos, and Native Americans are historically underrepresented minorities (URMs) among science, technology, engineering, and mathematics (STEM) degree earners. Viewed from a perspective of social influence, this pattern suggests that URMs do not integrate into the STEM academic community at the same rate as non-URM students. Estrada and colleagues recently showed that Kelman's tripartite integration model of social influence (TIMSI) predicted URM persistence into science fields. In this paper, we longitudinally examine the integration of URMs into the STEM community by using growth-curve analyses to measure the development of TIMIS's key variables (science efficacy, identity, and values) from junior year through the postbaccalaureate year. Results showed that quality mentorship and research experience occurring in the junior and senior years were positively related to student science efficacy, identity, and values at that same time period. Longitudinal modeling of TIMSI further shows that, while efficacy is important, and perhaps a necessary predictor of moving toward a STEM career, past experiences of efficacy may not be sufficient for maintaining longer-term persistence. In contrast, science identity and values do continue to be predictive of STEM career pathway persistence up to 4 years after graduation.","container-title":"CBE life sciences education","DOI":"10.1187/cbe.17-04-0066","ISSN":"1931-7913","issue":"1","journalAbbreviation":"CBE Life Sci Educ","language":"eng","note":"PMID: 29351912\nPMCID: PMC6007776","page":"ar9","source":"PubMed","title":"A Longitudinal Study of How Quality Mentorship and Research Experience Integrate Underrepresented Minorities into STEM Careers","volume":"17","author":[{"family":"Estrada","given":"Mica"},{"family":"Hernandez","given":"Paul R."},{"family":"Schultz","given":"P. Wesley"}],"issued":{"date-parts":[["2018"]]}}},{"id":234,"uris":["http://zotero.org/users/17290334/items/CDD9VLRE"],"itemData":{"id":234,"type":"article-journal","abstract":"The initiative to increase the number of students in STEM disciplines and train them for a science-related job is a current national focus. Using longitudinal panel data from a national study that followed underrepresented college students in STEM fields, we investigate the neglected role that social psychological processes play in influencing science activity among the young. We study the impact of identity processes related to being a science student on entering a science occupation. More broadly, we examine whether an identity formulated in one institutional setting (education) has effects that persist to another institutional setting (the economy). We find that the science identity positively impacts the likelihood of entering a science occupation. It also serves as a mediator for other factors that are related to educational success. This provides insight into how an identity can guide behavior to move persons into structural positions across institutional domains.","container-title":"Social Science Research","DOI":"10.1016/j.ssresearch.2016.10.016","ISSN":"1096-0317","journalAbbreviation":"Soc Sci Res","language":"eng","note":"PMID: 28364837\nPMCID: PMC5380151","page":"1-14","source":"PubMed","title":"The science identity and entering a science occupation","volume":"64","author":[{"family":"Stets","given":"Jan E."},{"family":"Brenner","given":"Philip S."},{"family":"Burke","given":"Peter J."},{"family":"Serpe","given":"Richard T."}],"issued":{"date-parts":[["2017",5]]}}}],"schema":"https://github.com/citation-style-language/schema/raw/master/csl-citation.json"} </w:instrText>
      </w:r>
      <w:r w:rsidRPr="00AD2FC5">
        <w:rPr>
          <w:rFonts w:ascii="Times New Roman" w:hAnsi="Times New Roman" w:cs="Times New Roman"/>
        </w:rPr>
        <w:fldChar w:fldCharType="separate"/>
      </w:r>
      <w:r w:rsidRPr="00AD2FC5">
        <w:rPr>
          <w:rFonts w:ascii="Times New Roman" w:hAnsi="Times New Roman" w:cs="Times New Roman"/>
          <w:noProof/>
        </w:rPr>
        <w:t>(Carlone &amp; Johnson, 2007; Chemers et al., 2011; Estrada et al., 2018; Stets et al., 2017)</w:t>
      </w:r>
      <w:r w:rsidRPr="00AD2FC5">
        <w:rPr>
          <w:rFonts w:ascii="Times New Roman" w:hAnsi="Times New Roman" w:cs="Times New Roman"/>
        </w:rPr>
        <w:fldChar w:fldCharType="end"/>
      </w:r>
      <w:r w:rsidRPr="00AD2FC5">
        <w:rPr>
          <w:rFonts w:ascii="Times New Roman" w:hAnsi="Times New Roman" w:cs="Times New Roman"/>
        </w:rPr>
        <w:t xml:space="preserve">. ISS, first developed by </w:t>
      </w:r>
      <w:proofErr w:type="spellStart"/>
      <w:r w:rsidRPr="00AD2FC5">
        <w:rPr>
          <w:rFonts w:ascii="Times New Roman" w:hAnsi="Times New Roman" w:cs="Times New Roman"/>
        </w:rPr>
        <w:t>Chemers</w:t>
      </w:r>
      <w:proofErr w:type="spellEnd"/>
      <w:r w:rsidRPr="00AD2FC5">
        <w:rPr>
          <w:rFonts w:ascii="Times New Roman" w:hAnsi="Times New Roman" w:cs="Times New Roman"/>
        </w:rPr>
        <w:t xml:space="preserve"> et al. (2011) and further validated by Robnett et al. (2015), reflects the idea </w:t>
      </w:r>
      <w:r w:rsidR="00CE4C6E">
        <w:rPr>
          <w:rFonts w:ascii="Times New Roman" w:hAnsi="Times New Roman" w:cs="Times New Roman"/>
        </w:rPr>
        <w:t>that,</w:t>
      </w:r>
      <w:r w:rsidRPr="00AD2FC5">
        <w:rPr>
          <w:rFonts w:ascii="Times New Roman" w:hAnsi="Times New Roman" w:cs="Times New Roman"/>
        </w:rPr>
        <w:t xml:space="preserve"> beyond technical skill, successful acceptance, engagement, and emergence in a scientific field requires the internalization of the scientific identity, or seeing oneself as a lifelong member of the scientific community (Robnett et al., 2015). The</w:t>
      </w:r>
      <w:r w:rsidRPr="00AD2FC5">
        <w:rPr>
          <w:rFonts w:ascii="Times New Roman" w:eastAsia="Aptos" w:hAnsi="Times New Roman" w:cs="Times New Roman"/>
        </w:rPr>
        <w:t xml:space="preserve"> ISS captures distinct yet complementary dimensions: technical skill, collaboration, leadership, and the students' sense of identity </w:t>
      </w:r>
      <w:r w:rsidRPr="00AD2FC5">
        <w:rPr>
          <w:rFonts w:ascii="Times New Roman" w:eastAsia="Aptos" w:hAnsi="Times New Roman" w:cs="Times New Roman"/>
        </w:rPr>
        <w:fldChar w:fldCharType="begin"/>
      </w:r>
      <w:r w:rsidR="00F12E71" w:rsidRPr="00AD2FC5">
        <w:rPr>
          <w:rFonts w:ascii="Times New Roman" w:eastAsia="Aptos" w:hAnsi="Times New Roman" w:cs="Times New Roman"/>
        </w:rPr>
        <w:instrText xml:space="preserve"> ADDIN ZOTERO_ITEM CSL_CITATION {"citationID":"a181avqhucq","properties":{"formattedCitation":"(Robnett et al., 2015)","plainCitation":"(Robnett et al., 2015)","noteIndex":0},"citationItems":[{"id":242,"uris":["http://zotero.org/users/17290334/items/LLHSMEZM"],"itemData":{"id":242,"type":"article-journal","abstract":"Prior research shows that undergraduates tend to identify more strongly with the field of science after participating in scientific research. However, mediators that might account for this association are not well understood. In the current study, we propose that science self-efficacy may serve this mediational function. Specifically, data from a 2-year longitudinal study were used to test a model in which science self-efficacy was expected to mediate the association between research involvement and identity as a scientist. The ethnically diverse sample included 251 undergraduates who were recruited from colleges and universities across the United States. The hypothesized mediation model was tested with a cross-lagged panel analysis. As expected, greater levels of research experience at Time 1 predicted higher identity as a scientist at Time 3, and this association was mediated by science self-efficacy at Time 2. Exploratory analyses testing for ethnic and gender differences in the model suggested that the associations in the model were similar for undergraduates from diverse backgrounds. From a theoretical standpoint, the current study provides novel insight into how research experience, efficacy, and identity relate to one another over time. Applied implications center on the importance of involving undergraduates in research that has the potential to bolster their science self-efficacy. © 2015 Wiley Periodicals, Inc. J Res Sci Teach 52: 847–867, 2015.","container-title":"Journal of Research in Science Teaching","DOI":"10.1002/tea.21221","ISSN":"1098-2736","issue":"6","language":"en","license":"© 2015 Wiley Periodicals, Inc.","note":"_eprint: https://onlinelibrary.wiley.com/doi/pdf/10.1002/tea.21221","page":"847-867","source":"Wiley Online Library","title":"Longitudinal associations among undergraduates' research experience, self-efficacy, and identity","volume":"52","author":[{"family":"Robnett","given":"Rachael D."},{"family":"Chemers","given":"Martin M."},{"family":"Zurbriggen","given":"Eileen L."}],"issued":{"date-parts":[["2015"]]}}}],"schema":"https://github.com/citation-style-language/schema/raw/master/csl-citation.json"} </w:instrText>
      </w:r>
      <w:r w:rsidRPr="00AD2FC5">
        <w:rPr>
          <w:rFonts w:ascii="Times New Roman" w:eastAsia="Aptos" w:hAnsi="Times New Roman" w:cs="Times New Roman"/>
        </w:rPr>
        <w:fldChar w:fldCharType="separate"/>
      </w:r>
      <w:r w:rsidRPr="00AD2FC5">
        <w:rPr>
          <w:rFonts w:ascii="Times New Roman" w:hAnsi="Times New Roman" w:cs="Times New Roman"/>
          <w:kern w:val="0"/>
        </w:rPr>
        <w:t>(Robnett et al., 2015)</w:t>
      </w:r>
      <w:r w:rsidRPr="00AD2FC5">
        <w:rPr>
          <w:rFonts w:ascii="Times New Roman" w:eastAsia="Aptos" w:hAnsi="Times New Roman" w:cs="Times New Roman"/>
        </w:rPr>
        <w:fldChar w:fldCharType="end"/>
      </w:r>
      <w:r w:rsidRPr="00AD2FC5">
        <w:rPr>
          <w:rFonts w:ascii="Times New Roman" w:eastAsia="Aptos" w:hAnsi="Times New Roman" w:cs="Times New Roman"/>
        </w:rPr>
        <w:t>.</w:t>
      </w:r>
      <w:r w:rsidR="00CE4C6E">
        <w:rPr>
          <w:rFonts w:ascii="Times New Roman" w:eastAsia="Aptos" w:hAnsi="Times New Roman" w:cs="Times New Roman"/>
        </w:rPr>
        <w:t xml:space="preserve"> I</w:t>
      </w:r>
      <w:r w:rsidRPr="00AD2FC5">
        <w:rPr>
          <w:rFonts w:ascii="Times New Roman" w:eastAsia="Aptos" w:hAnsi="Times New Roman" w:cs="Times New Roman"/>
        </w:rPr>
        <w:t xml:space="preserve">t allows researchers to trace possible development pathways for undergraduate researchers from experience to confidence to independence </w:t>
      </w:r>
      <w:r w:rsidRPr="00AD2FC5">
        <w:rPr>
          <w:rFonts w:ascii="Times New Roman" w:eastAsia="Aptos" w:hAnsi="Times New Roman" w:cs="Times New Roman"/>
        </w:rPr>
        <w:fldChar w:fldCharType="begin"/>
      </w:r>
      <w:r w:rsidR="00F12E71" w:rsidRPr="00AD2FC5">
        <w:rPr>
          <w:rFonts w:ascii="Times New Roman" w:eastAsia="Aptos" w:hAnsi="Times New Roman" w:cs="Times New Roman"/>
        </w:rPr>
        <w:instrText xml:space="preserve"> ADDIN ZOTERO_ITEM CSL_CITATION {"citationID":"SZB2ITe6","properties":{"formattedCitation":"(Chemers et al., 2011)","plainCitation":"(Chemers et al., 2011)","noteIndex":0},"citationItems":[{"id":274,"uris":["http://zotero.org/users/17290334/items/3DMXL9DK"],"itemData":{"id":274,"type":"article-journal","abstract":"A web-based survey of members of the Society for the Advancement of Chicanos and Native Americans in Science tested a model that proposed that the effects of science support experiences on commitment to science careers would be mediated by science self-efficacy and identity as a scientist. A sample of 327 undergraduates and 338 graduate students and postdoctoral fellows described their science support experiences (research experience, mentoring, and community involvement); psychological variables (science self-efficacy, leadership/teamwork self-efficacy, and identity as a scientist); and commitment to pursue a career in scientific research. Structural equation model analyses supported our predictions. Among the undergraduates, science (but not leadership/teamwork), self-efficacy, and identity as a scientist fully mediated the effects of science support experiences and were strong predictors of commitment. Results for the graduate/postdoctoral sample revealed a very similar pattern of results, with the added finding that all three psychological mediators, including leadership/teamwork self-efficacy, predicted commitment.","container-title":"Journal of Social Issues","DOI":"10.1111/j.1540-4560.2011.01710.x","ISSN":"1540-4560","issue":"3","language":"en","license":"© 2011 The Society for the Psychological Study of Social Issues","note":"_eprint: https://spssi.onlinelibrary.wiley.com/doi/pdf/10.1111/j.1540-4560.2011.01710.x","page":"469-491","source":"Wiley Online Library","title":"The Role of Efficacy and Identity in Science Career Commitment Among Underrepresented Minority Students","volume":"67","author":[{"family":"Chemers","given":"Martin M."},{"family":"Zurbriggen","given":"Eileen L."},{"family":"Syed","given":"Moin"},{"family":"Goza","given":"Barbara K."},{"family":"Bearman","given":"Steve"}],"issued":{"date-parts":[["2011"]]}}}],"schema":"https://github.com/citation-style-language/schema/raw/master/csl-citation.json"} </w:instrText>
      </w:r>
      <w:r w:rsidRPr="00AD2FC5">
        <w:rPr>
          <w:rFonts w:ascii="Times New Roman" w:eastAsia="Aptos" w:hAnsi="Times New Roman" w:cs="Times New Roman"/>
        </w:rPr>
        <w:fldChar w:fldCharType="separate"/>
      </w:r>
      <w:r w:rsidRPr="00AD2FC5">
        <w:rPr>
          <w:rFonts w:ascii="Times New Roman" w:eastAsia="Aptos" w:hAnsi="Times New Roman" w:cs="Times New Roman"/>
          <w:noProof/>
        </w:rPr>
        <w:t>(Chemers et al., 2011)</w:t>
      </w:r>
      <w:r w:rsidRPr="00AD2FC5">
        <w:rPr>
          <w:rFonts w:ascii="Times New Roman" w:eastAsia="Aptos" w:hAnsi="Times New Roman" w:cs="Times New Roman"/>
        </w:rPr>
        <w:fldChar w:fldCharType="end"/>
      </w:r>
      <w:r w:rsidRPr="00AD2FC5">
        <w:rPr>
          <w:rFonts w:ascii="Times New Roman" w:eastAsia="Aptos" w:hAnsi="Times New Roman" w:cs="Times New Roman"/>
        </w:rPr>
        <w:t>.</w:t>
      </w:r>
      <w:r w:rsidR="00185D7D" w:rsidRPr="00AD2FC5">
        <w:rPr>
          <w:rFonts w:ascii="Times New Roman" w:eastAsia="Aptos" w:hAnsi="Times New Roman" w:cs="Times New Roman"/>
        </w:rPr>
        <w:t xml:space="preserve"> Moreover, subsequent scholarship has affirmed </w:t>
      </w:r>
      <w:proofErr w:type="spellStart"/>
      <w:r w:rsidR="00185D7D" w:rsidRPr="00AD2FC5">
        <w:rPr>
          <w:rFonts w:ascii="Times New Roman" w:eastAsia="Aptos" w:hAnsi="Times New Roman" w:cs="Times New Roman"/>
        </w:rPr>
        <w:t>Chemers</w:t>
      </w:r>
      <w:proofErr w:type="spellEnd"/>
      <w:r w:rsidR="00185D7D" w:rsidRPr="00AD2FC5">
        <w:rPr>
          <w:rFonts w:ascii="Times New Roman" w:eastAsia="Aptos" w:hAnsi="Times New Roman" w:cs="Times New Roman"/>
        </w:rPr>
        <w:t xml:space="preserve"> et al.’s (2011) scales.</w:t>
      </w:r>
      <w:r w:rsidRPr="00AD2FC5">
        <w:rPr>
          <w:rFonts w:ascii="Times New Roman" w:eastAsia="Aptos" w:hAnsi="Times New Roman" w:cs="Times New Roman"/>
        </w:rPr>
        <w:t xml:space="preserve"> </w:t>
      </w:r>
    </w:p>
    <w:p w14:paraId="1D92EA82" w14:textId="45D7A2FE" w:rsidR="002168B3" w:rsidRPr="00AD2FC5" w:rsidRDefault="002168B3" w:rsidP="311AFB26">
      <w:pPr>
        <w:spacing w:line="240" w:lineRule="auto"/>
        <w:ind w:firstLine="720"/>
        <w:rPr>
          <w:rFonts w:ascii="Times New Roman" w:eastAsia="Aptos" w:hAnsi="Times New Roman" w:cs="Times New Roman"/>
        </w:rPr>
      </w:pPr>
      <w:r w:rsidRPr="311AFB26">
        <w:rPr>
          <w:rFonts w:ascii="Times New Roman" w:eastAsia="Aptos" w:hAnsi="Times New Roman" w:cs="Times New Roman"/>
        </w:rPr>
        <w:t>Using the ISS, Robnett et al. (2015) found participation in research experiences predicted gains in students’ ability to identify themselves as scientists a</w:t>
      </w:r>
      <w:r w:rsidR="00C27D7D" w:rsidRPr="311AFB26">
        <w:rPr>
          <w:rFonts w:ascii="Times New Roman" w:eastAsia="Aptos" w:hAnsi="Times New Roman" w:cs="Times New Roman"/>
        </w:rPr>
        <w:t>nd</w:t>
      </w:r>
      <w:r w:rsidRPr="311AFB26">
        <w:rPr>
          <w:rFonts w:ascii="Times New Roman" w:eastAsia="Aptos" w:hAnsi="Times New Roman" w:cs="Times New Roman"/>
        </w:rPr>
        <w:t xml:space="preserve"> stronger self-efficacy. These findings indicate the development of scientific identity occurs through a staged process: research participation builds self-efficacy, which then supports students’ recognition of themselves as emerging scientists. Robnett et al. (2015) longitudinal findings provide evidence</w:t>
      </w:r>
      <w:r w:rsidR="004B42BA" w:rsidRPr="311AFB26">
        <w:rPr>
          <w:rFonts w:ascii="Times New Roman" w:eastAsia="Aptos" w:hAnsi="Times New Roman" w:cs="Times New Roman"/>
        </w:rPr>
        <w:t xml:space="preserve"> that</w:t>
      </w:r>
      <w:r w:rsidRPr="311AFB26">
        <w:rPr>
          <w:rFonts w:ascii="Times New Roman" w:eastAsia="Aptos" w:hAnsi="Times New Roman" w:cs="Times New Roman"/>
        </w:rPr>
        <w:t xml:space="preserve"> sustained research engagement can guide students along this developmental trajectory. Furthermore, Robnett et al. (2018) highlighted that strong mentorship plays a critical role in strengthening scientific identity. </w:t>
      </w:r>
      <w:r w:rsidR="00827DEE" w:rsidRPr="311AFB26">
        <w:rPr>
          <w:rFonts w:ascii="Times New Roman" w:eastAsia="Aptos" w:hAnsi="Times New Roman" w:cs="Times New Roman"/>
        </w:rPr>
        <w:t xml:space="preserve">When </w:t>
      </w:r>
      <w:r w:rsidR="005066A2" w:rsidRPr="311AFB26">
        <w:rPr>
          <w:rFonts w:ascii="Times New Roman" w:eastAsia="Aptos" w:hAnsi="Times New Roman" w:cs="Times New Roman"/>
        </w:rPr>
        <w:t>considered</w:t>
      </w:r>
      <w:r w:rsidR="00827DEE" w:rsidRPr="311AFB26">
        <w:rPr>
          <w:rFonts w:ascii="Times New Roman" w:eastAsia="Aptos" w:hAnsi="Times New Roman" w:cs="Times New Roman"/>
        </w:rPr>
        <w:t xml:space="preserve"> together, these studies highlight structured research experiences and meaningful mentorship are essential for fostering undergraduate students’ scientific identity.</w:t>
      </w:r>
    </w:p>
    <w:p w14:paraId="1A079D54" w14:textId="35C31F7A" w:rsidR="001B63A3" w:rsidRPr="00AD2FC5" w:rsidRDefault="00827DEE" w:rsidP="311AFB26">
      <w:pPr>
        <w:spacing w:line="240" w:lineRule="auto"/>
        <w:ind w:firstLine="720"/>
        <w:rPr>
          <w:rFonts w:ascii="Times New Roman" w:hAnsi="Times New Roman" w:cs="Times New Roman"/>
        </w:rPr>
      </w:pPr>
      <w:r w:rsidRPr="00AD2FC5">
        <w:rPr>
          <w:rFonts w:ascii="Times New Roman" w:eastAsia="Aptos" w:hAnsi="Times New Roman" w:cs="Times New Roman"/>
          <w:kern w:val="0"/>
          <w14:ligatures w14:val="none"/>
        </w:rPr>
        <w:t xml:space="preserve">One such program attempting to do this is the </w:t>
      </w:r>
      <w:r w:rsidR="00A51CA7">
        <w:rPr>
          <w:rFonts w:ascii="Times New Roman" w:eastAsia="Times New Roman" w:hAnsi="Times New Roman" w:cs="Times New Roman"/>
          <w:color w:val="000000" w:themeColor="text1"/>
          <w:kern w:val="0"/>
          <w14:ligatures w14:val="none"/>
        </w:rPr>
        <w:t>Rural Scholars Program</w:t>
      </w:r>
      <w:r w:rsidRPr="001312F8">
        <w:rPr>
          <w:rFonts w:ascii="Times New Roman" w:hAnsi="Times New Roman" w:cs="Times New Roman"/>
          <w:color w:val="000000" w:themeColor="text1"/>
          <w:kern w:val="0"/>
          <w14:ligatures w14:val="none"/>
        </w:rPr>
        <w:t xml:space="preserve">, </w:t>
      </w:r>
      <w:r w:rsidRPr="001312F8">
        <w:rPr>
          <w:rFonts w:ascii="Times New Roman" w:eastAsia="Aptos" w:hAnsi="Times New Roman" w:cs="Times New Roman"/>
          <w:color w:val="000000" w:themeColor="text1"/>
          <w:kern w:val="0"/>
          <w14:ligatures w14:val="none"/>
        </w:rPr>
        <w:t xml:space="preserve">which places undergraduates and graduates in rural communities to participate in collaborative, faculty-guided research to tackle real-world challenges. Each fall, a group of students is paired with a faculty member at </w:t>
      </w:r>
      <w:r w:rsidR="00A51CA7">
        <w:rPr>
          <w:rFonts w:ascii="Times New Roman" w:eastAsia="Aptos" w:hAnsi="Times New Roman" w:cs="Times New Roman"/>
          <w:color w:val="000000" w:themeColor="text1"/>
          <w:kern w:val="0"/>
          <w14:ligatures w14:val="none"/>
        </w:rPr>
        <w:t xml:space="preserve">Oklahoma State University </w:t>
      </w:r>
      <w:r w:rsidRPr="001312F8">
        <w:rPr>
          <w:rFonts w:ascii="Times New Roman" w:eastAsia="Aptos" w:hAnsi="Times New Roman" w:cs="Times New Roman"/>
          <w:color w:val="000000" w:themeColor="text1"/>
          <w:kern w:val="0"/>
          <w14:ligatures w14:val="none"/>
        </w:rPr>
        <w:t xml:space="preserve">and a mentor from a rural community. These students typically take a 16-week spring course focused on rural engagement, research methods, and science communication. However, participants from other universities complete an intensive one-week course before beginning the 10-week </w:t>
      </w:r>
      <w:r w:rsidR="00A51CA7">
        <w:rPr>
          <w:rFonts w:ascii="Times New Roman" w:eastAsia="Times New Roman" w:hAnsi="Times New Roman" w:cs="Times New Roman"/>
          <w:color w:val="000000" w:themeColor="text1"/>
          <w:kern w:val="0"/>
          <w14:ligatures w14:val="none"/>
        </w:rPr>
        <w:t>Rural Scholars Program</w:t>
      </w:r>
      <w:r w:rsidRPr="001312F8">
        <w:rPr>
          <w:rFonts w:ascii="Times New Roman" w:hAnsi="Times New Roman" w:cs="Times New Roman"/>
          <w:color w:val="000000" w:themeColor="text1"/>
          <w:kern w:val="0"/>
          <w14:ligatures w14:val="none"/>
        </w:rPr>
        <w:t xml:space="preserve">. </w:t>
      </w:r>
      <w:r w:rsidRPr="00AD2FC5">
        <w:rPr>
          <w:rFonts w:ascii="Times New Roman" w:eastAsia="Aptos" w:hAnsi="Times New Roman" w:cs="Times New Roman"/>
          <w:kern w:val="0"/>
          <w14:ligatures w14:val="none"/>
        </w:rPr>
        <w:t xml:space="preserve">During the 10-week program, rural scholars work with community mentors to design and implement service projects and conduct applied research under the supervision of their faculty guide. The program </w:t>
      </w:r>
      <w:r w:rsidRPr="00AD2FC5">
        <w:rPr>
          <w:rFonts w:ascii="Times New Roman" w:eastAsia="Aptos" w:hAnsi="Times New Roman" w:cs="Times New Roman"/>
          <w:kern w:val="0"/>
          <w14:ligatures w14:val="none"/>
        </w:rPr>
        <w:lastRenderedPageBreak/>
        <w:t xml:space="preserve">concludes with the analysis of collected data and a public presentation of findings at the annual </w:t>
      </w:r>
      <w:r w:rsidR="00332DFA">
        <w:rPr>
          <w:rFonts w:ascii="Times New Roman" w:eastAsia="Aptos" w:hAnsi="Times New Roman" w:cs="Times New Roman"/>
          <w:kern w:val="0"/>
          <w14:ligatures w14:val="none"/>
        </w:rPr>
        <w:t>Rural Renewal Symposium.</w:t>
      </w:r>
    </w:p>
    <w:p w14:paraId="72FC28AF" w14:textId="28AA349E" w:rsidR="007B07EB" w:rsidRPr="00AD2FC5" w:rsidRDefault="007B07EB" w:rsidP="001312F8">
      <w:pPr>
        <w:spacing w:line="240" w:lineRule="auto"/>
        <w:jc w:val="center"/>
        <w:rPr>
          <w:rFonts w:ascii="Times New Roman" w:hAnsi="Times New Roman" w:cs="Times New Roman"/>
          <w:b/>
          <w:bCs/>
        </w:rPr>
      </w:pPr>
      <w:r w:rsidRPr="00AD2FC5">
        <w:rPr>
          <w:rFonts w:ascii="Times New Roman" w:hAnsi="Times New Roman" w:cs="Times New Roman"/>
          <w:b/>
          <w:bCs/>
        </w:rPr>
        <w:t>Methods</w:t>
      </w:r>
    </w:p>
    <w:p w14:paraId="7F94CB0B" w14:textId="4AC0513F" w:rsidR="00683CE7" w:rsidRPr="00AD2FC5" w:rsidRDefault="00683CE7" w:rsidP="00AA4BE7">
      <w:pPr>
        <w:spacing w:line="240" w:lineRule="auto"/>
        <w:ind w:firstLine="720"/>
        <w:rPr>
          <w:rFonts w:ascii="Times New Roman" w:hAnsi="Times New Roman" w:cs="Times New Roman"/>
        </w:rPr>
      </w:pPr>
      <w:r w:rsidRPr="311AFB26">
        <w:rPr>
          <w:rFonts w:ascii="Times New Roman" w:hAnsi="Times New Roman" w:cs="Times New Roman"/>
        </w:rPr>
        <w:t>Although prior work has validated scales for science self-efficacy, leadership, and teamwork (</w:t>
      </w:r>
      <w:proofErr w:type="spellStart"/>
      <w:r w:rsidRPr="311AFB26">
        <w:rPr>
          <w:rFonts w:ascii="Times New Roman" w:hAnsi="Times New Roman" w:cs="Times New Roman"/>
        </w:rPr>
        <w:t>Chemers</w:t>
      </w:r>
      <w:proofErr w:type="spellEnd"/>
      <w:r w:rsidRPr="311AFB26">
        <w:rPr>
          <w:rFonts w:ascii="Times New Roman" w:hAnsi="Times New Roman" w:cs="Times New Roman"/>
        </w:rPr>
        <w:t xml:space="preserve"> et al., 2011; Deemer et al., 2022), the present study focused specifically on </w:t>
      </w:r>
      <w:r w:rsidRPr="311AFB26">
        <w:rPr>
          <w:rFonts w:ascii="Times New Roman" w:hAnsi="Times New Roman" w:cs="Times New Roman"/>
          <w:i/>
          <w:iCs/>
        </w:rPr>
        <w:t>identity as a scientist</w:t>
      </w:r>
      <w:r w:rsidRPr="311AFB26">
        <w:rPr>
          <w:rFonts w:ascii="Times New Roman" w:hAnsi="Times New Roman" w:cs="Times New Roman"/>
        </w:rPr>
        <w:t xml:space="preserve">, as this construct is most directly tied to persistence and long-term scientist </w:t>
      </w:r>
      <w:proofErr w:type="gramStart"/>
      <w:r w:rsidRPr="311AFB26">
        <w:rPr>
          <w:rFonts w:ascii="Times New Roman" w:hAnsi="Times New Roman" w:cs="Times New Roman"/>
        </w:rPr>
        <w:t>development</w:t>
      </w:r>
      <w:r w:rsidR="00E944C8" w:rsidRPr="311AFB26">
        <w:rPr>
          <w:rFonts w:ascii="Times New Roman" w:hAnsi="Times New Roman" w:cs="Times New Roman"/>
        </w:rPr>
        <w:t xml:space="preserve"> </w:t>
      </w:r>
      <w:r w:rsidRPr="311AFB26">
        <w:rPr>
          <w:rFonts w:ascii="Times New Roman" w:hAnsi="Times New Roman" w:cs="Times New Roman"/>
        </w:rPr>
        <w:t xml:space="preserve"> (</w:t>
      </w:r>
      <w:proofErr w:type="gramEnd"/>
      <w:r w:rsidRPr="311AFB26">
        <w:rPr>
          <w:rFonts w:ascii="Times New Roman" w:hAnsi="Times New Roman" w:cs="Times New Roman"/>
        </w:rPr>
        <w:t>Robnett et al., 2015; Syed et al., 2019).</w:t>
      </w:r>
    </w:p>
    <w:p w14:paraId="3F83EC39" w14:textId="593F4708" w:rsidR="00847636" w:rsidRPr="00AD2FC5" w:rsidRDefault="00C56B63" w:rsidP="00AA4BE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We</w:t>
      </w:r>
      <w:r w:rsidR="00847636" w:rsidRPr="00AD2FC5">
        <w:rPr>
          <w:rFonts w:ascii="Times New Roman" w:eastAsia="Times New Roman" w:hAnsi="Times New Roman" w:cs="Times New Roman"/>
        </w:rPr>
        <w:t xml:space="preserve"> employed a tailored-design survey methodology (Dillman et al., 2014). Participants included all students (</w:t>
      </w:r>
      <w:r w:rsidR="00847636" w:rsidRPr="311AFB26">
        <w:rPr>
          <w:rFonts w:ascii="Times New Roman" w:eastAsia="Times New Roman" w:hAnsi="Times New Roman" w:cs="Times New Roman"/>
          <w:i/>
          <w:iCs/>
        </w:rPr>
        <w:t xml:space="preserve">N </w:t>
      </w:r>
      <w:r w:rsidR="00847636" w:rsidRPr="00AD2FC5">
        <w:rPr>
          <w:rFonts w:ascii="Times New Roman" w:eastAsia="Times New Roman" w:hAnsi="Times New Roman" w:cs="Times New Roman"/>
        </w:rPr>
        <w:t xml:space="preserve">= 20) who were enrolled in the </w:t>
      </w:r>
      <w:r w:rsidR="000C3CFF">
        <w:rPr>
          <w:rFonts w:ascii="Times New Roman" w:eastAsia="Times New Roman" w:hAnsi="Times New Roman" w:cs="Times New Roman"/>
          <w:color w:val="000000" w:themeColor="text1"/>
          <w:kern w:val="0"/>
          <w14:ligatures w14:val="none"/>
        </w:rPr>
        <w:t>Rural Scholars Program</w:t>
      </w:r>
      <w:r w:rsidR="000C3CFF" w:rsidRPr="00AD2FC5">
        <w:rPr>
          <w:rFonts w:ascii="Times New Roman" w:eastAsia="Times New Roman" w:hAnsi="Times New Roman" w:cs="Times New Roman"/>
        </w:rPr>
        <w:t xml:space="preserve"> </w:t>
      </w:r>
      <w:r w:rsidR="00847636" w:rsidRPr="00AD2FC5">
        <w:rPr>
          <w:rFonts w:ascii="Times New Roman" w:eastAsia="Times New Roman" w:hAnsi="Times New Roman" w:cs="Times New Roman"/>
        </w:rPr>
        <w:t xml:space="preserve">in the summer of 2025. The </w:t>
      </w:r>
      <w:r w:rsidR="000C3CFF">
        <w:rPr>
          <w:rFonts w:ascii="Times New Roman" w:eastAsia="Times New Roman" w:hAnsi="Times New Roman" w:cs="Times New Roman"/>
          <w:color w:val="000000" w:themeColor="text1"/>
          <w:kern w:val="0"/>
          <w14:ligatures w14:val="none"/>
        </w:rPr>
        <w:t>Rural Scholars Program</w:t>
      </w:r>
      <w:r w:rsidR="000C3CFF" w:rsidRPr="00AD2FC5">
        <w:rPr>
          <w:rFonts w:ascii="Times New Roman" w:eastAsia="Times New Roman" w:hAnsi="Times New Roman" w:cs="Times New Roman"/>
        </w:rPr>
        <w:t xml:space="preserve"> </w:t>
      </w:r>
      <w:r w:rsidR="00847636" w:rsidRPr="00AD2FC5">
        <w:rPr>
          <w:rFonts w:ascii="Times New Roman" w:eastAsia="Times New Roman" w:hAnsi="Times New Roman" w:cs="Times New Roman"/>
        </w:rPr>
        <w:t xml:space="preserve">connects research mentors (i.e., university faculty) with undergraduate and graduate students who are novices in research. </w:t>
      </w:r>
      <w:r w:rsidR="00305BBF">
        <w:rPr>
          <w:rFonts w:ascii="Times New Roman" w:eastAsia="Times New Roman" w:hAnsi="Times New Roman" w:cs="Times New Roman"/>
        </w:rPr>
        <w:t xml:space="preserve">Of the 20 participants, </w:t>
      </w:r>
      <w:r w:rsidR="00CD1607">
        <w:rPr>
          <w:rFonts w:ascii="Times New Roman" w:eastAsia="Times New Roman" w:hAnsi="Times New Roman" w:cs="Times New Roman"/>
        </w:rPr>
        <w:t>1</w:t>
      </w:r>
      <w:r w:rsidR="008D0345">
        <w:rPr>
          <w:rFonts w:ascii="Times New Roman" w:eastAsia="Times New Roman" w:hAnsi="Times New Roman" w:cs="Times New Roman"/>
        </w:rPr>
        <w:t xml:space="preserve">6 </w:t>
      </w:r>
      <w:r w:rsidR="00CD1607">
        <w:rPr>
          <w:rFonts w:ascii="Times New Roman" w:eastAsia="Times New Roman" w:hAnsi="Times New Roman" w:cs="Times New Roman"/>
        </w:rPr>
        <w:t xml:space="preserve">were undergraduate students and four were graduate students. </w:t>
      </w:r>
      <w:r w:rsidR="00847636" w:rsidRPr="00AD2FC5">
        <w:rPr>
          <w:rFonts w:ascii="Times New Roman" w:eastAsia="Times New Roman" w:hAnsi="Times New Roman" w:cs="Times New Roman"/>
        </w:rPr>
        <w:t xml:space="preserve">Over the 10-week summer experience, participants are placed in rural communities across </w:t>
      </w:r>
      <w:r w:rsidR="00211417">
        <w:rPr>
          <w:rFonts w:ascii="Times New Roman" w:eastAsia="Times New Roman" w:hAnsi="Times New Roman" w:cs="Times New Roman"/>
        </w:rPr>
        <w:t>Oklahoma</w:t>
      </w:r>
      <w:r w:rsidR="00847636" w:rsidRPr="00AD2FC5">
        <w:rPr>
          <w:rFonts w:ascii="Times New Roman" w:eastAsia="Times New Roman" w:hAnsi="Times New Roman" w:cs="Times New Roman"/>
        </w:rPr>
        <w:t xml:space="preserve"> with local community partners to assist in implementing a research project focused on strengthening rural communities. </w:t>
      </w:r>
    </w:p>
    <w:p w14:paraId="430A2AD0" w14:textId="7342A5C1" w:rsidR="00847636" w:rsidRPr="00AD2FC5" w:rsidRDefault="00847636" w:rsidP="00AA4BE7">
      <w:pPr>
        <w:spacing w:line="240" w:lineRule="auto"/>
        <w:ind w:firstLine="720"/>
        <w:rPr>
          <w:rFonts w:ascii="Times New Roman" w:eastAsia="Times New Roman" w:hAnsi="Times New Roman" w:cs="Times New Roman"/>
        </w:rPr>
      </w:pPr>
      <w:r w:rsidRPr="311AFB26">
        <w:rPr>
          <w:rFonts w:ascii="Times New Roman" w:eastAsia="Times New Roman" w:hAnsi="Times New Roman" w:cs="Times New Roman"/>
        </w:rPr>
        <w:t xml:space="preserve">We used the researcher identity scale developed by Robnett et al. (2015) to </w:t>
      </w:r>
      <w:r w:rsidR="00C97EC1" w:rsidRPr="311AFB26">
        <w:rPr>
          <w:rFonts w:ascii="Times New Roman" w:eastAsia="Times New Roman" w:hAnsi="Times New Roman" w:cs="Times New Roman"/>
        </w:rPr>
        <w:t>assess</w:t>
      </w:r>
      <w:r w:rsidRPr="311AFB26">
        <w:rPr>
          <w:rFonts w:ascii="Times New Roman" w:eastAsia="Times New Roman" w:hAnsi="Times New Roman" w:cs="Times New Roman"/>
        </w:rPr>
        <w:t xml:space="preserve"> students' perceived growth in their identity as </w:t>
      </w:r>
      <w:r w:rsidR="00C97EC1" w:rsidRPr="311AFB26">
        <w:rPr>
          <w:rFonts w:ascii="Times New Roman" w:eastAsia="Times New Roman" w:hAnsi="Times New Roman" w:cs="Times New Roman"/>
        </w:rPr>
        <w:t>scientists</w:t>
      </w:r>
      <w:r w:rsidRPr="311AFB26">
        <w:rPr>
          <w:rFonts w:ascii="Times New Roman" w:eastAsia="Times New Roman" w:hAnsi="Times New Roman" w:cs="Times New Roman"/>
        </w:rPr>
        <w:t xml:space="preserve"> over the 10-week experience. The five-item scale for the construct of </w:t>
      </w:r>
      <w:r w:rsidRPr="311AFB26">
        <w:rPr>
          <w:rFonts w:ascii="Times New Roman" w:eastAsia="Times New Roman" w:hAnsi="Times New Roman" w:cs="Times New Roman"/>
          <w:i/>
          <w:iCs/>
        </w:rPr>
        <w:t>identity as a scientist</w:t>
      </w:r>
      <w:r w:rsidRPr="311AFB26">
        <w:rPr>
          <w:rFonts w:ascii="Times New Roman" w:eastAsia="Times New Roman" w:hAnsi="Times New Roman" w:cs="Times New Roman"/>
        </w:rPr>
        <w:t xml:space="preserve"> was developed and validated, with measures of internal consistency, as indicated by Cronbach’s alpha, as follows: </w:t>
      </w:r>
      <w:r w:rsidRPr="311AFB26">
        <w:rPr>
          <w:rFonts w:ascii="Times New Roman" w:eastAsia="Times New Roman" w:hAnsi="Times New Roman" w:cs="Times New Roman"/>
          <w:i/>
          <w:iCs/>
        </w:rPr>
        <w:t>α</w:t>
      </w:r>
      <w:r w:rsidRPr="311AFB26">
        <w:rPr>
          <w:rFonts w:ascii="Times New Roman" w:eastAsia="Times New Roman" w:hAnsi="Times New Roman" w:cs="Times New Roman"/>
        </w:rPr>
        <w:t xml:space="preserve"> = 0.96 (Robnett et al., 2015). Among our participants, the internal consistency was </w:t>
      </w:r>
      <w:r w:rsidRPr="311AFB26">
        <w:rPr>
          <w:rFonts w:ascii="Times New Roman" w:eastAsia="Times New Roman" w:hAnsi="Times New Roman" w:cs="Times New Roman"/>
          <w:i/>
          <w:iCs/>
        </w:rPr>
        <w:t>α</w:t>
      </w:r>
      <w:r w:rsidRPr="311AFB26">
        <w:rPr>
          <w:rFonts w:ascii="Times New Roman" w:eastAsia="Times New Roman" w:hAnsi="Times New Roman" w:cs="Times New Roman"/>
        </w:rPr>
        <w:t xml:space="preserve"> = 0.93, which was deemed reliable. </w:t>
      </w:r>
    </w:p>
    <w:p w14:paraId="4669E9B8" w14:textId="5E67C71D" w:rsidR="00847636" w:rsidRPr="001312F8" w:rsidRDefault="00847636" w:rsidP="00AA4BE7">
      <w:pPr>
        <w:spacing w:line="240" w:lineRule="auto"/>
        <w:ind w:firstLine="720"/>
        <w:rPr>
          <w:rFonts w:ascii="Times New Roman" w:eastAsia="Times New Roman" w:hAnsi="Times New Roman" w:cs="Times New Roman"/>
        </w:rPr>
      </w:pPr>
      <w:r w:rsidRPr="311AFB26">
        <w:rPr>
          <w:rFonts w:ascii="Times New Roman" w:eastAsia="Times New Roman" w:hAnsi="Times New Roman" w:cs="Times New Roman"/>
        </w:rPr>
        <w:t xml:space="preserve">Data were collected via a weekly Qualtrics questionnaire that included reflective questions and the five-item researcher identity scale. The Likert-type scale ranged from one to five (i.e., 1 = </w:t>
      </w:r>
      <w:r w:rsidRPr="311AFB26">
        <w:rPr>
          <w:rFonts w:ascii="Times New Roman" w:eastAsia="Times New Roman" w:hAnsi="Times New Roman" w:cs="Times New Roman"/>
          <w:i/>
          <w:iCs/>
        </w:rPr>
        <w:t>strongly disagree</w:t>
      </w:r>
      <w:r w:rsidRPr="311AFB26">
        <w:rPr>
          <w:rFonts w:ascii="Times New Roman" w:eastAsia="Times New Roman" w:hAnsi="Times New Roman" w:cs="Times New Roman"/>
        </w:rPr>
        <w:t xml:space="preserve">, 5 = </w:t>
      </w:r>
      <w:r w:rsidRPr="311AFB26">
        <w:rPr>
          <w:rFonts w:ascii="Times New Roman" w:eastAsia="Times New Roman" w:hAnsi="Times New Roman" w:cs="Times New Roman"/>
          <w:i/>
          <w:iCs/>
        </w:rPr>
        <w:t>strongly agree</w:t>
      </w:r>
      <w:r w:rsidRPr="311AFB26">
        <w:rPr>
          <w:rFonts w:ascii="Times New Roman" w:eastAsia="Times New Roman" w:hAnsi="Times New Roman" w:cs="Times New Roman"/>
        </w:rPr>
        <w:t xml:space="preserve">). Responses for scale items were analyzed using descriptive statistics and a linear mixed model (LMM; West et al., 2014) using SPSS. LMM was selected </w:t>
      </w:r>
      <w:r w:rsidR="00C97EC1" w:rsidRPr="311AFB26">
        <w:rPr>
          <w:rFonts w:ascii="Times New Roman" w:eastAsia="Times New Roman" w:hAnsi="Times New Roman" w:cs="Times New Roman"/>
        </w:rPr>
        <w:t>because</w:t>
      </w:r>
      <w:r w:rsidRPr="311AFB26">
        <w:rPr>
          <w:rFonts w:ascii="Times New Roman" w:eastAsia="Times New Roman" w:hAnsi="Times New Roman" w:cs="Times New Roman"/>
        </w:rPr>
        <w:t xml:space="preserve"> the </w:t>
      </w:r>
      <w:r w:rsidR="00C97EC1" w:rsidRPr="311AFB26">
        <w:rPr>
          <w:rFonts w:ascii="Times New Roman" w:eastAsia="Times New Roman" w:hAnsi="Times New Roman" w:cs="Times New Roman"/>
        </w:rPr>
        <w:t>data</w:t>
      </w:r>
      <w:r w:rsidRPr="311AFB26">
        <w:rPr>
          <w:rFonts w:ascii="Times New Roman" w:eastAsia="Times New Roman" w:hAnsi="Times New Roman" w:cs="Times New Roman"/>
        </w:rPr>
        <w:t xml:space="preserve"> </w:t>
      </w:r>
      <w:r w:rsidR="00C97EC1" w:rsidRPr="311AFB26">
        <w:rPr>
          <w:rFonts w:ascii="Times New Roman" w:eastAsia="Times New Roman" w:hAnsi="Times New Roman" w:cs="Times New Roman"/>
        </w:rPr>
        <w:t>wer</w:t>
      </w:r>
      <w:r w:rsidRPr="311AFB26">
        <w:rPr>
          <w:rFonts w:ascii="Times New Roman" w:eastAsia="Times New Roman" w:hAnsi="Times New Roman" w:cs="Times New Roman"/>
        </w:rPr>
        <w:t xml:space="preserve">e </w:t>
      </w:r>
      <w:proofErr w:type="gramStart"/>
      <w:r w:rsidR="00C97EC1" w:rsidRPr="311AFB26">
        <w:rPr>
          <w:rFonts w:ascii="Times New Roman" w:eastAsia="Times New Roman" w:hAnsi="Times New Roman" w:cs="Times New Roman"/>
        </w:rPr>
        <w:t>repeated-measures</w:t>
      </w:r>
      <w:proofErr w:type="gramEnd"/>
      <w:r w:rsidRPr="311AFB26">
        <w:rPr>
          <w:rFonts w:ascii="Times New Roman" w:eastAsia="Times New Roman" w:hAnsi="Times New Roman" w:cs="Times New Roman"/>
        </w:rPr>
        <w:t xml:space="preserve"> (i.e., one observation per week per participant). Furthermore, LMM is robust to missing data. Although our proportion of mission data was small (1.6%; Schafer, 1999; Schafer &amp; Graham, 2002), other analyses, such as a repeated</w:t>
      </w:r>
      <w:r w:rsidR="00C97EC1" w:rsidRPr="311AFB26">
        <w:rPr>
          <w:rFonts w:ascii="Times New Roman" w:eastAsia="Times New Roman" w:hAnsi="Times New Roman" w:cs="Times New Roman"/>
        </w:rPr>
        <w:t>-</w:t>
      </w:r>
      <w:r w:rsidRPr="311AFB26">
        <w:rPr>
          <w:rFonts w:ascii="Times New Roman" w:eastAsia="Times New Roman" w:hAnsi="Times New Roman" w:cs="Times New Roman"/>
        </w:rPr>
        <w:t>measures ANOVA, would have employed complete</w:t>
      </w:r>
      <w:r w:rsidR="00C97EC1" w:rsidRPr="311AFB26">
        <w:rPr>
          <w:rFonts w:ascii="Times New Roman" w:eastAsia="Times New Roman" w:hAnsi="Times New Roman" w:cs="Times New Roman"/>
        </w:rPr>
        <w:t>-</w:t>
      </w:r>
      <w:r w:rsidRPr="311AFB26">
        <w:rPr>
          <w:rFonts w:ascii="Times New Roman" w:eastAsia="Times New Roman" w:hAnsi="Times New Roman" w:cs="Times New Roman"/>
        </w:rPr>
        <w:t xml:space="preserve">case analysis, </w:t>
      </w:r>
      <w:r w:rsidR="00F7268C" w:rsidRPr="311AFB26">
        <w:rPr>
          <w:rFonts w:ascii="Times New Roman" w:eastAsia="Times New Roman" w:hAnsi="Times New Roman" w:cs="Times New Roman"/>
        </w:rPr>
        <w:t>thereby</w:t>
      </w:r>
      <w:r w:rsidRPr="311AFB26">
        <w:rPr>
          <w:rFonts w:ascii="Times New Roman" w:eastAsia="Times New Roman" w:hAnsi="Times New Roman" w:cs="Times New Roman"/>
        </w:rPr>
        <w:t xml:space="preserve"> exclu</w:t>
      </w:r>
      <w:r w:rsidR="00F7268C" w:rsidRPr="311AFB26">
        <w:rPr>
          <w:rFonts w:ascii="Times New Roman" w:eastAsia="Times New Roman" w:hAnsi="Times New Roman" w:cs="Times New Roman"/>
        </w:rPr>
        <w:t>ding</w:t>
      </w:r>
      <w:r w:rsidRPr="311AFB26">
        <w:rPr>
          <w:rFonts w:ascii="Times New Roman" w:eastAsia="Times New Roman" w:hAnsi="Times New Roman" w:cs="Times New Roman"/>
        </w:rPr>
        <w:t xml:space="preserve"> participants. Therefore, we opted for an LMM procedure using the restricted maximum likelihood (REML)</w:t>
      </w:r>
      <w:r w:rsidR="00C97EC1" w:rsidRPr="311AFB26">
        <w:rPr>
          <w:rFonts w:ascii="Times New Roman" w:eastAsia="Times New Roman" w:hAnsi="Times New Roman" w:cs="Times New Roman"/>
        </w:rPr>
        <w:t xml:space="preserve"> method</w:t>
      </w:r>
      <w:r w:rsidRPr="311AFB26">
        <w:rPr>
          <w:rFonts w:ascii="Times New Roman" w:eastAsia="Times New Roman" w:hAnsi="Times New Roman" w:cs="Times New Roman"/>
        </w:rPr>
        <w:t xml:space="preserve">. </w:t>
      </w:r>
      <w:r w:rsidR="00570BC7">
        <w:rPr>
          <w:rFonts w:ascii="Times New Roman" w:eastAsia="Times New Roman" w:hAnsi="Times New Roman" w:cs="Times New Roman"/>
        </w:rPr>
        <w:t xml:space="preserve">This data, although </w:t>
      </w:r>
      <w:r w:rsidR="00F46857">
        <w:rPr>
          <w:rFonts w:ascii="Times New Roman" w:eastAsia="Times New Roman" w:hAnsi="Times New Roman" w:cs="Times New Roman"/>
        </w:rPr>
        <w:t xml:space="preserve">beneficial for the development of our program, cannot be generalized beyond our sample. </w:t>
      </w:r>
      <w:r w:rsidRPr="311AFB26">
        <w:rPr>
          <w:rFonts w:ascii="Times New Roman" w:eastAsia="Times New Roman" w:hAnsi="Times New Roman" w:cs="Times New Roman"/>
        </w:rPr>
        <w:t xml:space="preserve"> </w:t>
      </w:r>
    </w:p>
    <w:p w14:paraId="62E55E7B" w14:textId="77777777" w:rsidR="00492C81" w:rsidRPr="00AD2FC5" w:rsidRDefault="00492C81" w:rsidP="001312F8">
      <w:pPr>
        <w:tabs>
          <w:tab w:val="left" w:pos="720"/>
        </w:tabs>
        <w:spacing w:line="240" w:lineRule="auto"/>
        <w:jc w:val="center"/>
        <w:rPr>
          <w:rFonts w:ascii="Times New Roman" w:hAnsi="Times New Roman" w:cs="Times New Roman"/>
          <w:b/>
          <w:bCs/>
        </w:rPr>
      </w:pPr>
      <w:r w:rsidRPr="00AD2FC5">
        <w:rPr>
          <w:rFonts w:ascii="Times New Roman" w:hAnsi="Times New Roman" w:cs="Times New Roman"/>
          <w:b/>
          <w:bCs/>
        </w:rPr>
        <w:t>Results/Findings</w:t>
      </w:r>
    </w:p>
    <w:p w14:paraId="67D42150" w14:textId="48AC9587" w:rsidR="00F7268C" w:rsidRDefault="00A92C4A" w:rsidP="004C6BBE">
      <w:pPr>
        <w:tabs>
          <w:tab w:val="left" w:pos="720"/>
        </w:tabs>
        <w:spacing w:line="240" w:lineRule="auto"/>
        <w:ind w:firstLine="720"/>
        <w:rPr>
          <w:rFonts w:ascii="Times New Roman" w:eastAsia="Times New Roman" w:hAnsi="Times New Roman" w:cs="Times New Roman"/>
        </w:rPr>
      </w:pPr>
      <w:r w:rsidRPr="00AD2FC5">
        <w:rPr>
          <w:rFonts w:ascii="Times New Roman" w:eastAsia="Times New Roman" w:hAnsi="Times New Roman" w:cs="Times New Roman"/>
        </w:rPr>
        <w:t xml:space="preserve">Means and standard deviations for the </w:t>
      </w:r>
      <w:r w:rsidRPr="00AD2FC5">
        <w:rPr>
          <w:rFonts w:ascii="Times New Roman" w:eastAsia="Times New Roman" w:hAnsi="Times New Roman" w:cs="Times New Roman"/>
          <w:i/>
          <w:iCs/>
        </w:rPr>
        <w:t>identity</w:t>
      </w:r>
      <w:r w:rsidR="004C6BBE">
        <w:rPr>
          <w:rFonts w:ascii="Times New Roman" w:eastAsia="Times New Roman" w:hAnsi="Times New Roman" w:cs="Times New Roman"/>
          <w:i/>
          <w:iCs/>
        </w:rPr>
        <w:t>-as-</w:t>
      </w:r>
      <w:r w:rsidRPr="00AD2FC5">
        <w:rPr>
          <w:rFonts w:ascii="Times New Roman" w:eastAsia="Times New Roman" w:hAnsi="Times New Roman" w:cs="Times New Roman"/>
          <w:i/>
          <w:iCs/>
        </w:rPr>
        <w:t>scientist</w:t>
      </w:r>
      <w:r w:rsidRPr="00AD2FC5">
        <w:rPr>
          <w:rFonts w:ascii="Times New Roman" w:eastAsia="Times New Roman" w:hAnsi="Times New Roman" w:cs="Times New Roman"/>
        </w:rPr>
        <w:t xml:space="preserve"> construct </w:t>
      </w:r>
      <w:r w:rsidR="004C6BBE">
        <w:rPr>
          <w:rFonts w:ascii="Times New Roman" w:eastAsia="Times New Roman" w:hAnsi="Times New Roman" w:cs="Times New Roman"/>
        </w:rPr>
        <w:t>across</w:t>
      </w:r>
      <w:r w:rsidRPr="00AD2FC5">
        <w:rPr>
          <w:rFonts w:ascii="Times New Roman" w:eastAsia="Times New Roman" w:hAnsi="Times New Roman" w:cs="Times New Roman"/>
        </w:rPr>
        <w:t xml:space="preserve"> the 10-week experience are </w:t>
      </w:r>
      <w:r w:rsidR="001312F8">
        <w:rPr>
          <w:rFonts w:ascii="Times New Roman" w:eastAsia="Times New Roman" w:hAnsi="Times New Roman" w:cs="Times New Roman"/>
        </w:rPr>
        <w:t xml:space="preserve">presented in Table 1. </w:t>
      </w:r>
      <w:r w:rsidR="004C6BBE" w:rsidRPr="00AD2FC5">
        <w:rPr>
          <w:rFonts w:ascii="Times New Roman" w:eastAsia="Times New Roman" w:hAnsi="Times New Roman" w:cs="Times New Roman"/>
        </w:rPr>
        <w:t xml:space="preserve">The repeated measures model included fixed effects for the identity construct and time (in weeks), with random intercepts for participants. The overall model was significant, </w:t>
      </w:r>
      <w:proofErr w:type="gramStart"/>
      <w:r w:rsidR="004C6BBE" w:rsidRPr="00AD2FC5">
        <w:rPr>
          <w:rFonts w:ascii="Times New Roman" w:eastAsia="Times New Roman" w:hAnsi="Times New Roman" w:cs="Times New Roman"/>
          <w:i/>
          <w:iCs/>
        </w:rPr>
        <w:t>F</w:t>
      </w:r>
      <w:r w:rsidR="004C6BBE" w:rsidRPr="00AD2FC5">
        <w:rPr>
          <w:rFonts w:ascii="Times New Roman" w:eastAsia="Times New Roman" w:hAnsi="Times New Roman" w:cs="Times New Roman"/>
        </w:rPr>
        <w:t>(</w:t>
      </w:r>
      <w:proofErr w:type="gramEnd"/>
      <w:r w:rsidR="004C6BBE" w:rsidRPr="00AD2FC5">
        <w:rPr>
          <w:rFonts w:ascii="Times New Roman" w:eastAsia="Times New Roman" w:hAnsi="Times New Roman" w:cs="Times New Roman"/>
        </w:rPr>
        <w:t xml:space="preserve">1, 19.27) = 243.81, </w:t>
      </w:r>
      <w:r w:rsidR="004C6BBE" w:rsidRPr="00AD2FC5">
        <w:rPr>
          <w:rFonts w:ascii="Times New Roman" w:eastAsia="Times New Roman" w:hAnsi="Times New Roman" w:cs="Times New Roman"/>
          <w:i/>
          <w:iCs/>
        </w:rPr>
        <w:t>p</w:t>
      </w:r>
      <w:r w:rsidR="004C6BBE" w:rsidRPr="00AD2FC5">
        <w:rPr>
          <w:rFonts w:ascii="Times New Roman" w:eastAsia="Times New Roman" w:hAnsi="Times New Roman" w:cs="Times New Roman"/>
        </w:rPr>
        <w:t xml:space="preserve"> &lt; .001, with measures of model fit reported as AIC = 231.18 and BIC = 266.67. This indicates a significant increase in </w:t>
      </w:r>
      <w:proofErr w:type="gramStart"/>
      <w:r w:rsidR="004C6BBE" w:rsidRPr="00AD2FC5">
        <w:rPr>
          <w:rFonts w:ascii="Times New Roman" w:eastAsia="Times New Roman" w:hAnsi="Times New Roman" w:cs="Times New Roman"/>
        </w:rPr>
        <w:t>participants’</w:t>
      </w:r>
      <w:proofErr w:type="gramEnd"/>
      <w:r w:rsidR="004C6BBE" w:rsidRPr="00AD2FC5">
        <w:rPr>
          <w:rFonts w:ascii="Times New Roman" w:eastAsia="Times New Roman" w:hAnsi="Times New Roman" w:cs="Times New Roman"/>
        </w:rPr>
        <w:t xml:space="preserve"> perceived </w:t>
      </w:r>
      <w:r w:rsidR="004C6BBE" w:rsidRPr="00AD2FC5">
        <w:rPr>
          <w:rFonts w:ascii="Times New Roman" w:eastAsia="Times New Roman" w:hAnsi="Times New Roman" w:cs="Times New Roman"/>
          <w:i/>
          <w:iCs/>
        </w:rPr>
        <w:t>identity as scientist</w:t>
      </w:r>
      <w:r w:rsidR="004C6BBE" w:rsidRPr="00AD2FC5">
        <w:rPr>
          <w:rFonts w:ascii="Times New Roman" w:eastAsia="Times New Roman" w:hAnsi="Times New Roman" w:cs="Times New Roman"/>
        </w:rPr>
        <w:t xml:space="preserve">s over the 10-week research scholar experience.  </w:t>
      </w:r>
    </w:p>
    <w:p w14:paraId="04790798" w14:textId="77777777" w:rsidR="004C6BBE" w:rsidRDefault="004C6BBE" w:rsidP="004C6BBE">
      <w:pPr>
        <w:tabs>
          <w:tab w:val="left" w:pos="720"/>
        </w:tabs>
        <w:spacing w:line="240" w:lineRule="auto"/>
        <w:ind w:firstLine="720"/>
        <w:rPr>
          <w:rFonts w:ascii="Times New Roman" w:eastAsia="Times New Roman" w:hAnsi="Times New Roman" w:cs="Times New Roman"/>
        </w:rPr>
      </w:pPr>
    </w:p>
    <w:p w14:paraId="536C1769" w14:textId="77777777" w:rsidR="004C6BBE" w:rsidRDefault="004C6BBE" w:rsidP="004C6BBE">
      <w:pPr>
        <w:tabs>
          <w:tab w:val="left" w:pos="720"/>
        </w:tabs>
        <w:spacing w:line="240" w:lineRule="auto"/>
        <w:ind w:firstLine="720"/>
        <w:rPr>
          <w:rFonts w:ascii="Times New Roman" w:eastAsia="Times New Roman" w:hAnsi="Times New Roman" w:cs="Times New Roman"/>
        </w:rPr>
      </w:pPr>
    </w:p>
    <w:p w14:paraId="68AC9F7F" w14:textId="77777777" w:rsidR="00F7268C" w:rsidRDefault="00F7268C" w:rsidP="001312F8">
      <w:pPr>
        <w:tabs>
          <w:tab w:val="left" w:pos="720"/>
        </w:tabs>
        <w:spacing w:line="240" w:lineRule="auto"/>
        <w:ind w:firstLine="720"/>
        <w:rPr>
          <w:rFonts w:ascii="Times New Roman" w:eastAsia="Times New Roman" w:hAnsi="Times New Roman" w:cs="Times New Roman"/>
        </w:rPr>
      </w:pPr>
    </w:p>
    <w:p w14:paraId="0F2A0449" w14:textId="2A917FA0" w:rsidR="001312F8" w:rsidRPr="001312F8" w:rsidRDefault="001312F8" w:rsidP="001312F8">
      <w:pPr>
        <w:tabs>
          <w:tab w:val="left" w:pos="720"/>
        </w:tabs>
        <w:spacing w:line="240" w:lineRule="auto"/>
        <w:rPr>
          <w:rFonts w:ascii="Times New Roman" w:eastAsia="Times New Roman" w:hAnsi="Times New Roman" w:cs="Times New Roman"/>
          <w:b/>
          <w:bCs/>
        </w:rPr>
      </w:pPr>
      <w:r w:rsidRPr="001312F8">
        <w:rPr>
          <w:rFonts w:ascii="Times New Roman" w:eastAsia="Times New Roman" w:hAnsi="Times New Roman" w:cs="Times New Roman"/>
          <w:b/>
          <w:bCs/>
        </w:rPr>
        <w:lastRenderedPageBreak/>
        <w:t>Table 1</w:t>
      </w:r>
    </w:p>
    <w:p w14:paraId="01DC6D58" w14:textId="148BAF6F" w:rsidR="001312F8" w:rsidRDefault="001F08EA" w:rsidP="001312F8">
      <w:pPr>
        <w:tabs>
          <w:tab w:val="left" w:pos="720"/>
        </w:tabs>
        <w:spacing w:line="240" w:lineRule="auto"/>
        <w:rPr>
          <w:rFonts w:ascii="Times New Roman" w:eastAsia="Times New Roman" w:hAnsi="Times New Roman" w:cs="Times New Roman"/>
          <w:i/>
          <w:iCs/>
        </w:rPr>
      </w:pPr>
      <w:r w:rsidRPr="001F08EA">
        <w:rPr>
          <w:rFonts w:ascii="Times New Roman" w:eastAsia="Times New Roman" w:hAnsi="Times New Roman" w:cs="Times New Roman"/>
          <w:i/>
          <w:iCs/>
        </w:rPr>
        <w:t xml:space="preserve">Means and Standard Deviations for the Identity-as-Scientist </w:t>
      </w:r>
      <w:r>
        <w:rPr>
          <w:rFonts w:ascii="Times New Roman" w:eastAsia="Times New Roman" w:hAnsi="Times New Roman" w:cs="Times New Roman"/>
          <w:i/>
          <w:iCs/>
        </w:rPr>
        <w:t>Scale</w:t>
      </w:r>
      <w:r w:rsidRPr="001F08EA">
        <w:rPr>
          <w:rFonts w:ascii="Times New Roman" w:eastAsia="Times New Roman" w:hAnsi="Times New Roman" w:cs="Times New Roman"/>
          <w:i/>
          <w:iCs/>
        </w:rPr>
        <w:t xml:space="preserve"> Over the 10-Week Program</w:t>
      </w:r>
    </w:p>
    <w:tbl>
      <w:tblPr>
        <w:tblStyle w:val="PlainTable2"/>
        <w:tblW w:w="0" w:type="auto"/>
        <w:jc w:val="center"/>
        <w:tblLook w:val="04A0" w:firstRow="1" w:lastRow="0" w:firstColumn="1" w:lastColumn="0" w:noHBand="0" w:noVBand="1"/>
      </w:tblPr>
      <w:tblGrid>
        <w:gridCol w:w="1980"/>
        <w:gridCol w:w="1710"/>
        <w:gridCol w:w="2340"/>
      </w:tblGrid>
      <w:tr w:rsidR="00F7268C" w:rsidRPr="00F7268C" w14:paraId="3B77DE1E" w14:textId="77777777" w:rsidTr="311AFB26">
        <w:trPr>
          <w:cnfStyle w:val="100000000000" w:firstRow="1" w:lastRow="0" w:firstColumn="0" w:lastColumn="0" w:oddVBand="0" w:evenVBand="0" w:oddHBand="0"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vAlign w:val="center"/>
            <w:hideMark/>
          </w:tcPr>
          <w:p w14:paraId="5651334E" w14:textId="77777777" w:rsidR="00F7268C" w:rsidRPr="00F7268C" w:rsidRDefault="00F7268C" w:rsidP="0051285D">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Week</w:t>
            </w:r>
          </w:p>
        </w:tc>
        <w:tc>
          <w:tcPr>
            <w:tcW w:w="1710" w:type="dxa"/>
            <w:tcBorders>
              <w:top w:val="single" w:sz="4" w:space="0" w:color="auto"/>
              <w:bottom w:val="single" w:sz="4" w:space="0" w:color="auto"/>
            </w:tcBorders>
            <w:vAlign w:val="center"/>
            <w:hideMark/>
          </w:tcPr>
          <w:p w14:paraId="042A16B9" w14:textId="0B699795" w:rsidR="00F7268C" w:rsidRPr="00F7268C" w:rsidRDefault="00F7268C" w:rsidP="311AFB26">
            <w:pPr>
              <w:tabs>
                <w:tab w:val="left" w:pos="720"/>
              </w:tabs>
              <w:spacing w:after="1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i/>
                <w:iCs/>
              </w:rPr>
            </w:pPr>
            <w:r w:rsidRPr="311AFB26">
              <w:rPr>
                <w:rFonts w:ascii="Times New Roman" w:eastAsia="Times New Roman" w:hAnsi="Times New Roman" w:cs="Times New Roman"/>
                <w:b w:val="0"/>
                <w:bCs w:val="0"/>
                <w:i/>
                <w:iCs/>
              </w:rPr>
              <w:t>M</w:t>
            </w:r>
          </w:p>
        </w:tc>
        <w:tc>
          <w:tcPr>
            <w:tcW w:w="2340" w:type="dxa"/>
            <w:tcBorders>
              <w:top w:val="single" w:sz="4" w:space="0" w:color="auto"/>
              <w:bottom w:val="single" w:sz="4" w:space="0" w:color="auto"/>
            </w:tcBorders>
            <w:vAlign w:val="center"/>
            <w:hideMark/>
          </w:tcPr>
          <w:p w14:paraId="5DB67373" w14:textId="53C54D80" w:rsidR="00F7268C" w:rsidRPr="00F7268C" w:rsidRDefault="7E431066" w:rsidP="311AFB26">
            <w:pPr>
              <w:tabs>
                <w:tab w:val="left" w:pos="720"/>
              </w:tabs>
              <w:spacing w:after="1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i/>
                <w:iCs/>
              </w:rPr>
            </w:pPr>
            <w:r w:rsidRPr="311AFB26">
              <w:rPr>
                <w:rFonts w:ascii="Times New Roman" w:eastAsia="Times New Roman" w:hAnsi="Times New Roman" w:cs="Times New Roman"/>
                <w:b w:val="0"/>
                <w:bCs w:val="0"/>
                <w:i/>
                <w:iCs/>
              </w:rPr>
              <w:t>SD</w:t>
            </w:r>
          </w:p>
        </w:tc>
      </w:tr>
      <w:tr w:rsidR="00F7268C" w:rsidRPr="00F7268C" w14:paraId="1E43DC89" w14:textId="77777777" w:rsidTr="311AFB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nil"/>
            </w:tcBorders>
            <w:vAlign w:val="center"/>
            <w:hideMark/>
          </w:tcPr>
          <w:p w14:paraId="0090E87D"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1</w:t>
            </w:r>
          </w:p>
        </w:tc>
        <w:tc>
          <w:tcPr>
            <w:tcW w:w="1710" w:type="dxa"/>
            <w:tcBorders>
              <w:top w:val="single" w:sz="4" w:space="0" w:color="auto"/>
              <w:bottom w:val="nil"/>
            </w:tcBorders>
            <w:vAlign w:val="center"/>
            <w:hideMark/>
          </w:tcPr>
          <w:p w14:paraId="5233B0BE"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3.13</w:t>
            </w:r>
          </w:p>
        </w:tc>
        <w:tc>
          <w:tcPr>
            <w:tcW w:w="2340" w:type="dxa"/>
            <w:tcBorders>
              <w:top w:val="single" w:sz="4" w:space="0" w:color="auto"/>
              <w:bottom w:val="nil"/>
            </w:tcBorders>
            <w:vAlign w:val="center"/>
            <w:hideMark/>
          </w:tcPr>
          <w:p w14:paraId="24103EBF"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0.80</w:t>
            </w:r>
          </w:p>
        </w:tc>
      </w:tr>
      <w:tr w:rsidR="00F7268C" w:rsidRPr="00F7268C" w14:paraId="28E27F35" w14:textId="77777777" w:rsidTr="311AFB26">
        <w:trPr>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2C70419F"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2</w:t>
            </w:r>
          </w:p>
        </w:tc>
        <w:tc>
          <w:tcPr>
            <w:tcW w:w="1710" w:type="dxa"/>
            <w:tcBorders>
              <w:top w:val="nil"/>
              <w:bottom w:val="nil"/>
            </w:tcBorders>
            <w:vAlign w:val="center"/>
            <w:hideMark/>
          </w:tcPr>
          <w:p w14:paraId="69924009"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3.38</w:t>
            </w:r>
          </w:p>
        </w:tc>
        <w:tc>
          <w:tcPr>
            <w:tcW w:w="2340" w:type="dxa"/>
            <w:tcBorders>
              <w:top w:val="nil"/>
              <w:bottom w:val="nil"/>
            </w:tcBorders>
            <w:vAlign w:val="center"/>
            <w:hideMark/>
          </w:tcPr>
          <w:p w14:paraId="2AAF79DB"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0.97</w:t>
            </w:r>
          </w:p>
        </w:tc>
      </w:tr>
      <w:tr w:rsidR="00F7268C" w:rsidRPr="00F7268C" w14:paraId="074D9B83" w14:textId="77777777" w:rsidTr="311AFB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1436D405"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3</w:t>
            </w:r>
          </w:p>
        </w:tc>
        <w:tc>
          <w:tcPr>
            <w:tcW w:w="1710" w:type="dxa"/>
            <w:tcBorders>
              <w:top w:val="nil"/>
              <w:bottom w:val="nil"/>
            </w:tcBorders>
            <w:vAlign w:val="center"/>
            <w:hideMark/>
          </w:tcPr>
          <w:p w14:paraId="16708D66"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3.38</w:t>
            </w:r>
          </w:p>
        </w:tc>
        <w:tc>
          <w:tcPr>
            <w:tcW w:w="2340" w:type="dxa"/>
            <w:tcBorders>
              <w:top w:val="nil"/>
              <w:bottom w:val="nil"/>
            </w:tcBorders>
            <w:vAlign w:val="center"/>
            <w:hideMark/>
          </w:tcPr>
          <w:p w14:paraId="76ED43C4"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1.02</w:t>
            </w:r>
          </w:p>
        </w:tc>
      </w:tr>
      <w:tr w:rsidR="00F7268C" w:rsidRPr="00F7268C" w14:paraId="509C0C35" w14:textId="77777777" w:rsidTr="311AFB26">
        <w:trPr>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475393E2"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4</w:t>
            </w:r>
          </w:p>
        </w:tc>
        <w:tc>
          <w:tcPr>
            <w:tcW w:w="1710" w:type="dxa"/>
            <w:tcBorders>
              <w:top w:val="nil"/>
              <w:bottom w:val="nil"/>
            </w:tcBorders>
            <w:vAlign w:val="center"/>
            <w:hideMark/>
          </w:tcPr>
          <w:p w14:paraId="6C5D0DC8"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3.47</w:t>
            </w:r>
          </w:p>
        </w:tc>
        <w:tc>
          <w:tcPr>
            <w:tcW w:w="2340" w:type="dxa"/>
            <w:tcBorders>
              <w:top w:val="nil"/>
              <w:bottom w:val="nil"/>
            </w:tcBorders>
            <w:vAlign w:val="center"/>
            <w:hideMark/>
          </w:tcPr>
          <w:p w14:paraId="48E692D7"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1.04</w:t>
            </w:r>
          </w:p>
        </w:tc>
      </w:tr>
      <w:tr w:rsidR="00F7268C" w:rsidRPr="00F7268C" w14:paraId="7654D1C7" w14:textId="77777777" w:rsidTr="311AFB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0D8D3FBF"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5</w:t>
            </w:r>
          </w:p>
        </w:tc>
        <w:tc>
          <w:tcPr>
            <w:tcW w:w="1710" w:type="dxa"/>
            <w:tcBorders>
              <w:top w:val="nil"/>
              <w:bottom w:val="nil"/>
            </w:tcBorders>
            <w:vAlign w:val="center"/>
            <w:hideMark/>
          </w:tcPr>
          <w:p w14:paraId="7ED34AD7"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3.41</w:t>
            </w:r>
          </w:p>
        </w:tc>
        <w:tc>
          <w:tcPr>
            <w:tcW w:w="2340" w:type="dxa"/>
            <w:tcBorders>
              <w:top w:val="nil"/>
              <w:bottom w:val="nil"/>
            </w:tcBorders>
            <w:vAlign w:val="center"/>
            <w:hideMark/>
          </w:tcPr>
          <w:p w14:paraId="0AEB0CC0"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1.03</w:t>
            </w:r>
          </w:p>
        </w:tc>
      </w:tr>
      <w:tr w:rsidR="00F7268C" w:rsidRPr="00F7268C" w14:paraId="60BA0613" w14:textId="77777777" w:rsidTr="311AFB26">
        <w:trPr>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2F00A9B1"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6</w:t>
            </w:r>
          </w:p>
        </w:tc>
        <w:tc>
          <w:tcPr>
            <w:tcW w:w="1710" w:type="dxa"/>
            <w:tcBorders>
              <w:top w:val="nil"/>
              <w:bottom w:val="nil"/>
            </w:tcBorders>
            <w:vAlign w:val="center"/>
            <w:hideMark/>
          </w:tcPr>
          <w:p w14:paraId="477AC271"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3.52</w:t>
            </w:r>
          </w:p>
        </w:tc>
        <w:tc>
          <w:tcPr>
            <w:tcW w:w="2340" w:type="dxa"/>
            <w:tcBorders>
              <w:top w:val="nil"/>
              <w:bottom w:val="nil"/>
            </w:tcBorders>
            <w:vAlign w:val="center"/>
            <w:hideMark/>
          </w:tcPr>
          <w:p w14:paraId="4B824C68"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0.92</w:t>
            </w:r>
          </w:p>
        </w:tc>
      </w:tr>
      <w:tr w:rsidR="00F7268C" w:rsidRPr="00F7268C" w14:paraId="33C68334" w14:textId="77777777" w:rsidTr="311AFB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5B87EE01"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7</w:t>
            </w:r>
          </w:p>
        </w:tc>
        <w:tc>
          <w:tcPr>
            <w:tcW w:w="1710" w:type="dxa"/>
            <w:tcBorders>
              <w:top w:val="nil"/>
              <w:bottom w:val="nil"/>
            </w:tcBorders>
            <w:vAlign w:val="center"/>
            <w:hideMark/>
          </w:tcPr>
          <w:p w14:paraId="08C273CF"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3.42</w:t>
            </w:r>
          </w:p>
        </w:tc>
        <w:tc>
          <w:tcPr>
            <w:tcW w:w="2340" w:type="dxa"/>
            <w:tcBorders>
              <w:top w:val="nil"/>
              <w:bottom w:val="nil"/>
            </w:tcBorders>
            <w:vAlign w:val="center"/>
            <w:hideMark/>
          </w:tcPr>
          <w:p w14:paraId="26E17EB4"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1.08</w:t>
            </w:r>
          </w:p>
        </w:tc>
      </w:tr>
      <w:tr w:rsidR="00F7268C" w:rsidRPr="00F7268C" w14:paraId="7D46CE61" w14:textId="77777777" w:rsidTr="311AFB26">
        <w:trPr>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61A42420"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8</w:t>
            </w:r>
          </w:p>
        </w:tc>
        <w:tc>
          <w:tcPr>
            <w:tcW w:w="1710" w:type="dxa"/>
            <w:tcBorders>
              <w:top w:val="nil"/>
              <w:bottom w:val="nil"/>
            </w:tcBorders>
            <w:vAlign w:val="center"/>
            <w:hideMark/>
          </w:tcPr>
          <w:p w14:paraId="710ACF57"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3.52</w:t>
            </w:r>
          </w:p>
        </w:tc>
        <w:tc>
          <w:tcPr>
            <w:tcW w:w="2340" w:type="dxa"/>
            <w:tcBorders>
              <w:top w:val="nil"/>
              <w:bottom w:val="nil"/>
            </w:tcBorders>
            <w:vAlign w:val="center"/>
            <w:hideMark/>
          </w:tcPr>
          <w:p w14:paraId="46C13624"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1.05</w:t>
            </w:r>
          </w:p>
        </w:tc>
      </w:tr>
      <w:tr w:rsidR="00F7268C" w:rsidRPr="00F7268C" w14:paraId="7F0E01F7" w14:textId="77777777" w:rsidTr="311AFB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vAlign w:val="center"/>
            <w:hideMark/>
          </w:tcPr>
          <w:p w14:paraId="20684E22"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9</w:t>
            </w:r>
          </w:p>
        </w:tc>
        <w:tc>
          <w:tcPr>
            <w:tcW w:w="1710" w:type="dxa"/>
            <w:tcBorders>
              <w:top w:val="nil"/>
              <w:bottom w:val="nil"/>
            </w:tcBorders>
            <w:vAlign w:val="center"/>
            <w:hideMark/>
          </w:tcPr>
          <w:p w14:paraId="5C8A4198"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3.67</w:t>
            </w:r>
          </w:p>
        </w:tc>
        <w:tc>
          <w:tcPr>
            <w:tcW w:w="2340" w:type="dxa"/>
            <w:tcBorders>
              <w:top w:val="nil"/>
              <w:bottom w:val="nil"/>
            </w:tcBorders>
            <w:vAlign w:val="center"/>
            <w:hideMark/>
          </w:tcPr>
          <w:p w14:paraId="3F035CDB" w14:textId="77777777" w:rsidR="00F7268C" w:rsidRPr="00F7268C" w:rsidRDefault="00F7268C" w:rsidP="002468A6">
            <w:pPr>
              <w:tabs>
                <w:tab w:val="left" w:pos="720"/>
              </w:tabs>
              <w:spacing w:after="1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0.99</w:t>
            </w:r>
          </w:p>
        </w:tc>
      </w:tr>
      <w:tr w:rsidR="00F7268C" w:rsidRPr="00F7268C" w14:paraId="4E4ED770" w14:textId="77777777" w:rsidTr="311AFB26">
        <w:trPr>
          <w:jc w:val="center"/>
        </w:trPr>
        <w:tc>
          <w:tcPr>
            <w:cnfStyle w:val="001000000000" w:firstRow="0" w:lastRow="0" w:firstColumn="1" w:lastColumn="0" w:oddVBand="0" w:evenVBand="0" w:oddHBand="0" w:evenHBand="0" w:firstRowFirstColumn="0" w:firstRowLastColumn="0" w:lastRowFirstColumn="0" w:lastRowLastColumn="0"/>
            <w:tcW w:w="1980" w:type="dxa"/>
            <w:tcBorders>
              <w:top w:val="nil"/>
              <w:bottom w:val="single" w:sz="4" w:space="0" w:color="auto"/>
            </w:tcBorders>
            <w:vAlign w:val="center"/>
            <w:hideMark/>
          </w:tcPr>
          <w:p w14:paraId="576E5AB6" w14:textId="77777777" w:rsidR="00F7268C" w:rsidRPr="00F7268C" w:rsidRDefault="00F7268C" w:rsidP="002468A6">
            <w:pPr>
              <w:tabs>
                <w:tab w:val="left" w:pos="720"/>
              </w:tabs>
              <w:spacing w:after="160"/>
              <w:jc w:val="center"/>
              <w:rPr>
                <w:rFonts w:ascii="Times New Roman" w:eastAsia="Times New Roman" w:hAnsi="Times New Roman" w:cs="Times New Roman"/>
                <w:b w:val="0"/>
                <w:bCs w:val="0"/>
              </w:rPr>
            </w:pPr>
            <w:r w:rsidRPr="00F7268C">
              <w:rPr>
                <w:rFonts w:ascii="Times New Roman" w:eastAsia="Times New Roman" w:hAnsi="Times New Roman" w:cs="Times New Roman"/>
                <w:b w:val="0"/>
                <w:bCs w:val="0"/>
              </w:rPr>
              <w:t>10</w:t>
            </w:r>
          </w:p>
        </w:tc>
        <w:tc>
          <w:tcPr>
            <w:tcW w:w="1710" w:type="dxa"/>
            <w:tcBorders>
              <w:top w:val="nil"/>
              <w:bottom w:val="single" w:sz="4" w:space="0" w:color="auto"/>
            </w:tcBorders>
            <w:vAlign w:val="center"/>
            <w:hideMark/>
          </w:tcPr>
          <w:p w14:paraId="3F9AED3B"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3.78</w:t>
            </w:r>
          </w:p>
        </w:tc>
        <w:tc>
          <w:tcPr>
            <w:tcW w:w="2340" w:type="dxa"/>
            <w:tcBorders>
              <w:top w:val="nil"/>
              <w:bottom w:val="single" w:sz="4" w:space="0" w:color="auto"/>
            </w:tcBorders>
            <w:vAlign w:val="center"/>
            <w:hideMark/>
          </w:tcPr>
          <w:p w14:paraId="358BC69A" w14:textId="77777777" w:rsidR="00F7268C" w:rsidRPr="00F7268C" w:rsidRDefault="00F7268C" w:rsidP="002468A6">
            <w:pPr>
              <w:tabs>
                <w:tab w:val="left" w:pos="720"/>
              </w:tabs>
              <w:spacing w:after="1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F7268C">
              <w:rPr>
                <w:rFonts w:ascii="Times New Roman" w:eastAsia="Times New Roman" w:hAnsi="Times New Roman" w:cs="Times New Roman"/>
              </w:rPr>
              <w:t>1.02</w:t>
            </w:r>
          </w:p>
        </w:tc>
      </w:tr>
    </w:tbl>
    <w:p w14:paraId="613C814B" w14:textId="77777777" w:rsidR="001312F8" w:rsidRPr="001312F8" w:rsidRDefault="001312F8" w:rsidP="001312F8">
      <w:pPr>
        <w:tabs>
          <w:tab w:val="left" w:pos="720"/>
        </w:tabs>
        <w:spacing w:line="240" w:lineRule="auto"/>
        <w:rPr>
          <w:rFonts w:ascii="Times New Roman" w:eastAsia="Times New Roman" w:hAnsi="Times New Roman" w:cs="Times New Roman"/>
        </w:rPr>
      </w:pPr>
    </w:p>
    <w:p w14:paraId="47F264B8" w14:textId="3B25BBC2" w:rsidR="00492C81" w:rsidRPr="001312F8" w:rsidRDefault="00492C81" w:rsidP="001312F8">
      <w:pPr>
        <w:spacing w:line="240" w:lineRule="auto"/>
        <w:jc w:val="center"/>
        <w:rPr>
          <w:rFonts w:ascii="Times New Roman" w:eastAsia="Times New Roman" w:hAnsi="Times New Roman" w:cs="Times New Roman"/>
          <w:b/>
          <w:bCs/>
        </w:rPr>
      </w:pPr>
      <w:r w:rsidRPr="001312F8">
        <w:rPr>
          <w:rFonts w:ascii="Times New Roman" w:eastAsia="Times New Roman" w:hAnsi="Times New Roman" w:cs="Times New Roman"/>
          <w:b/>
          <w:bCs/>
        </w:rPr>
        <w:t>Conclusions</w:t>
      </w:r>
      <w:r w:rsidR="00CC2469">
        <w:rPr>
          <w:rFonts w:ascii="Times New Roman" w:eastAsia="Times New Roman" w:hAnsi="Times New Roman" w:cs="Times New Roman"/>
          <w:b/>
          <w:bCs/>
        </w:rPr>
        <w:t xml:space="preserve">, </w:t>
      </w:r>
      <w:r w:rsidRPr="001312F8">
        <w:rPr>
          <w:rFonts w:ascii="Times New Roman" w:eastAsia="Times New Roman" w:hAnsi="Times New Roman" w:cs="Times New Roman"/>
          <w:b/>
          <w:bCs/>
        </w:rPr>
        <w:t>Discussion</w:t>
      </w:r>
      <w:r w:rsidR="00CC2469">
        <w:rPr>
          <w:rFonts w:ascii="Times New Roman" w:eastAsia="Times New Roman" w:hAnsi="Times New Roman" w:cs="Times New Roman"/>
          <w:b/>
          <w:bCs/>
        </w:rPr>
        <w:t xml:space="preserve">, </w:t>
      </w:r>
      <w:r w:rsidRPr="001312F8">
        <w:rPr>
          <w:rFonts w:ascii="Times New Roman" w:eastAsia="Times New Roman" w:hAnsi="Times New Roman" w:cs="Times New Roman"/>
          <w:b/>
          <w:bCs/>
        </w:rPr>
        <w:t>Implications</w:t>
      </w:r>
      <w:r w:rsidR="00CC2469">
        <w:rPr>
          <w:rFonts w:ascii="Times New Roman" w:eastAsia="Times New Roman" w:hAnsi="Times New Roman" w:cs="Times New Roman"/>
          <w:b/>
          <w:bCs/>
        </w:rPr>
        <w:t xml:space="preserve">, </w:t>
      </w:r>
      <w:r w:rsidRPr="001312F8">
        <w:rPr>
          <w:rFonts w:ascii="Times New Roman" w:eastAsia="Times New Roman" w:hAnsi="Times New Roman" w:cs="Times New Roman"/>
          <w:b/>
          <w:bCs/>
        </w:rPr>
        <w:t>Recommendations</w:t>
      </w:r>
    </w:p>
    <w:p w14:paraId="5971295C" w14:textId="6516220B" w:rsidR="00BA70ED" w:rsidRDefault="00777E27" w:rsidP="001312F8">
      <w:pPr>
        <w:spacing w:line="240" w:lineRule="auto"/>
        <w:ind w:firstLine="720"/>
        <w:rPr>
          <w:rFonts w:ascii="Times New Roman" w:eastAsia="Times New Roman" w:hAnsi="Times New Roman" w:cs="Times New Roman"/>
        </w:rPr>
      </w:pPr>
      <w:r w:rsidRPr="00AD2FC5">
        <w:rPr>
          <w:rFonts w:ascii="Times New Roman" w:eastAsia="Times New Roman" w:hAnsi="Times New Roman" w:cs="Times New Roman"/>
        </w:rPr>
        <w:t>The fi</w:t>
      </w:r>
      <w:r w:rsidR="00AD2FC5" w:rsidRPr="00AD2FC5">
        <w:rPr>
          <w:rFonts w:ascii="Times New Roman" w:eastAsia="Times New Roman" w:hAnsi="Times New Roman" w:cs="Times New Roman"/>
        </w:rPr>
        <w:t>nding</w:t>
      </w:r>
      <w:r w:rsidRPr="00AD2FC5">
        <w:rPr>
          <w:rFonts w:ascii="Times New Roman" w:eastAsia="Times New Roman" w:hAnsi="Times New Roman" w:cs="Times New Roman"/>
        </w:rPr>
        <w:t xml:space="preserve">s of this </w:t>
      </w:r>
      <w:r w:rsidR="00AD2FC5" w:rsidRPr="00AD2FC5">
        <w:rPr>
          <w:rFonts w:ascii="Times New Roman" w:eastAsia="Times New Roman" w:hAnsi="Times New Roman" w:cs="Times New Roman"/>
        </w:rPr>
        <w:t>stud</w:t>
      </w:r>
      <w:r w:rsidRPr="00AD2FC5">
        <w:rPr>
          <w:rFonts w:ascii="Times New Roman" w:eastAsia="Times New Roman" w:hAnsi="Times New Roman" w:cs="Times New Roman"/>
        </w:rPr>
        <w:t xml:space="preserve">y provide strong evidence that </w:t>
      </w:r>
      <w:r w:rsidR="00AD2FC5" w:rsidRPr="00AD2FC5">
        <w:rPr>
          <w:rFonts w:ascii="Times New Roman" w:eastAsia="Times New Roman" w:hAnsi="Times New Roman" w:cs="Times New Roman"/>
          <w:kern w:val="0"/>
          <w14:ligatures w14:val="none"/>
        </w:rPr>
        <w:t xml:space="preserve">structured community-engagement research experiences, such as the </w:t>
      </w:r>
      <w:r w:rsidR="009C2720">
        <w:rPr>
          <w:rFonts w:ascii="Times New Roman" w:hAnsi="Times New Roman" w:cs="Times New Roman"/>
          <w:color w:val="000000"/>
          <w:kern w:val="0"/>
          <w14:ligatures w14:val="none"/>
        </w:rPr>
        <w:t>Rural Scholars Program</w:t>
      </w:r>
      <w:r w:rsidR="00AD2FC5" w:rsidRPr="00AD2FC5">
        <w:rPr>
          <w:rFonts w:ascii="Times New Roman" w:hAnsi="Times New Roman" w:cs="Times New Roman"/>
          <w:color w:val="000000"/>
          <w:kern w:val="0"/>
          <w14:ligatures w14:val="none"/>
        </w:rPr>
        <w:t>,</w:t>
      </w:r>
      <w:r w:rsidR="00AD2FC5" w:rsidRPr="00AD2FC5">
        <w:rPr>
          <w:rFonts w:ascii="Times New Roman" w:hAnsi="Times New Roman" w:cs="Times New Roman"/>
          <w:color w:val="000000"/>
        </w:rPr>
        <w:t xml:space="preserve"> </w:t>
      </w:r>
      <w:r w:rsidR="00AD2FC5" w:rsidRPr="00AD2FC5">
        <w:rPr>
          <w:rFonts w:ascii="Times New Roman" w:hAnsi="Times New Roman" w:cs="Times New Roman"/>
          <w:color w:val="000000"/>
          <w:kern w:val="0"/>
          <w14:ligatures w14:val="none"/>
        </w:rPr>
        <w:t>can significantly contribute to the development of undergraduate students</w:t>
      </w:r>
      <w:r w:rsidR="00386465">
        <w:rPr>
          <w:rFonts w:ascii="Times New Roman" w:hAnsi="Times New Roman" w:cs="Times New Roman"/>
          <w:color w:val="000000"/>
          <w:kern w:val="0"/>
          <w14:ligatures w14:val="none"/>
        </w:rPr>
        <w:t xml:space="preserve">’ </w:t>
      </w:r>
      <w:r w:rsidR="00AD2FC5" w:rsidRPr="00AD2FC5">
        <w:rPr>
          <w:rFonts w:ascii="Times New Roman" w:hAnsi="Times New Roman" w:cs="Times New Roman"/>
          <w:color w:val="000000"/>
          <w:kern w:val="0"/>
          <w14:ligatures w14:val="none"/>
        </w:rPr>
        <w:t>identit</w:t>
      </w:r>
      <w:r w:rsidR="0051285D">
        <w:rPr>
          <w:rFonts w:ascii="Times New Roman" w:hAnsi="Times New Roman" w:cs="Times New Roman"/>
          <w:color w:val="000000"/>
          <w:kern w:val="0"/>
          <w14:ligatures w14:val="none"/>
        </w:rPr>
        <w:t>ies</w:t>
      </w:r>
      <w:r w:rsidR="001312F8">
        <w:rPr>
          <w:rFonts w:ascii="Times New Roman" w:hAnsi="Times New Roman" w:cs="Times New Roman"/>
          <w:color w:val="000000"/>
          <w:kern w:val="0"/>
          <w14:ligatures w14:val="none"/>
        </w:rPr>
        <w:t xml:space="preserve"> as </w:t>
      </w:r>
      <w:r w:rsidR="0051285D">
        <w:rPr>
          <w:rFonts w:ascii="Times New Roman" w:hAnsi="Times New Roman" w:cs="Times New Roman"/>
          <w:color w:val="000000"/>
          <w:kern w:val="0"/>
          <w14:ligatures w14:val="none"/>
        </w:rPr>
        <w:t>scientists</w:t>
      </w:r>
      <w:r w:rsidR="00AD2FC5" w:rsidRPr="00AD2FC5">
        <w:rPr>
          <w:rFonts w:ascii="Times New Roman" w:hAnsi="Times New Roman" w:cs="Times New Roman"/>
          <w:color w:val="000000"/>
        </w:rPr>
        <w:t>. Moreove</w:t>
      </w:r>
      <w:r w:rsidR="00AD2FC5">
        <w:rPr>
          <w:rFonts w:ascii="Times New Roman" w:hAnsi="Times New Roman" w:cs="Times New Roman"/>
          <w:color w:val="000000"/>
        </w:rPr>
        <w:t>r</w:t>
      </w:r>
      <w:r w:rsidR="00AD2FC5" w:rsidRPr="00AD2FC5">
        <w:rPr>
          <w:rFonts w:ascii="Times New Roman" w:hAnsi="Times New Roman" w:cs="Times New Roman"/>
          <w:color w:val="000000"/>
        </w:rPr>
        <w:t>, these fi</w:t>
      </w:r>
      <w:r w:rsidR="00AD2FC5">
        <w:rPr>
          <w:rFonts w:ascii="Times New Roman" w:hAnsi="Times New Roman" w:cs="Times New Roman"/>
          <w:color w:val="000000"/>
        </w:rPr>
        <w:t>nding</w:t>
      </w:r>
      <w:r w:rsidR="00AD2FC5" w:rsidRPr="00AD2FC5">
        <w:rPr>
          <w:rFonts w:ascii="Times New Roman" w:hAnsi="Times New Roman" w:cs="Times New Roman"/>
          <w:color w:val="000000"/>
        </w:rPr>
        <w:t>s</w:t>
      </w:r>
      <w:r w:rsidR="00AD2FC5" w:rsidRPr="00AD2FC5">
        <w:rPr>
          <w:rFonts w:ascii="Times New Roman" w:eastAsia="Times New Roman" w:hAnsi="Times New Roman" w:cs="Times New Roman"/>
        </w:rPr>
        <w:t xml:space="preserve"> </w:t>
      </w:r>
      <w:r w:rsidR="00A92C4A" w:rsidRPr="00AD2FC5">
        <w:rPr>
          <w:rFonts w:ascii="Times New Roman" w:eastAsia="Times New Roman" w:hAnsi="Times New Roman" w:cs="Times New Roman"/>
        </w:rPr>
        <w:t>reinforce prior research</w:t>
      </w:r>
      <w:r w:rsidR="00AD2FC5">
        <w:rPr>
          <w:rFonts w:ascii="Times New Roman" w:eastAsia="Times New Roman" w:hAnsi="Times New Roman" w:cs="Times New Roman"/>
        </w:rPr>
        <w:t xml:space="preserve"> showing</w:t>
      </w:r>
      <w:r w:rsidR="00A92C4A" w:rsidRPr="00AD2FC5">
        <w:rPr>
          <w:rFonts w:ascii="Times New Roman" w:eastAsia="Times New Roman" w:hAnsi="Times New Roman" w:cs="Times New Roman"/>
        </w:rPr>
        <w:t xml:space="preserve"> structured undergraduate research experiences foster persistence, confidence, and identity formation</w:t>
      </w:r>
      <w:r w:rsidR="00AD2FC5">
        <w:rPr>
          <w:rFonts w:ascii="Times New Roman" w:eastAsia="Times New Roman" w:hAnsi="Times New Roman" w:cs="Times New Roman"/>
        </w:rPr>
        <w:t xml:space="preserve"> </w:t>
      </w:r>
      <w:r w:rsidR="00AD2FC5" w:rsidRPr="00AD2FC5">
        <w:rPr>
          <w:rFonts w:ascii="Times New Roman" w:eastAsia="Times New Roman" w:hAnsi="Times New Roman" w:cs="Times New Roman"/>
        </w:rPr>
        <w:fldChar w:fldCharType="begin"/>
      </w:r>
      <w:r w:rsidR="00AD2FC5" w:rsidRPr="00AD2FC5">
        <w:rPr>
          <w:rFonts w:ascii="Times New Roman" w:eastAsia="Times New Roman" w:hAnsi="Times New Roman" w:cs="Times New Roman"/>
        </w:rPr>
        <w:instrText xml:space="preserve"> ADDIN ZOTERO_ITEM CSL_CITATION {"citationID":"91TStjXn","properties":{"formattedCitation":"(Chemers et al., 2011; Hu et al., 2022; Robnett et al., 2018)","plainCitation":"(Chemers et al., 2011; Hu et al., 2022; Robnett et al., 2018)","noteIndex":0},"citationItems":[{"id":274,"uris":["http://zotero.org/users/17290334/items/3DMXL9DK"],"itemData":{"id":274,"type":"article-journal","abstract":"A web-based survey of members of the Society for the Advancement of Chicanos and Native Americans in Science tested a model that proposed that the effects of science support experiences on commitment to science careers would be mediated by science self-efficacy and identity as a scientist. A sample of 327 undergraduates and 338 graduate students and postdoctoral fellows described their science support experiences (research experience, mentoring, and community involvement); psychological variables (science self-efficacy, leadership/teamwork self-efficacy, and identity as a scientist); and commitment to pursue a career in scientific research. Structural equation model analyses supported our predictions. Among the undergraduates, science (but not leadership/teamwork), self-efficacy, and identity as a scientist fully mediated the effects of science support experiences and were strong predictors of commitment. Results for the graduate/postdoctoral sample revealed a very similar pattern of results, with the added finding that all three psychological mediators, including leadership/teamwork self-efficacy, predicted commitment.","container-title":"Journal of Social Issues","DOI":"10.1111/j.1540-4560.2011.01710.x","ISSN":"1540-4560","issue":"3","language":"en","license":"© 2011 The Society for the Psychological Study of Social Issues","note":"_eprint: https://spssi.onlinelibrary.wiley.com/doi/pdf/10.1111/j.1540-4560.2011.01710.x","page":"469-491","source":"Wiley Online Library","title":"The Role of Efficacy and Identity in Science Career Commitment Among Underrepresented Minority Students","volume":"67","author":[{"family":"Chemers","given":"Martin M."},{"family":"Zurbriggen","given":"Eileen L."},{"family":"Syed","given":"Moin"},{"family":"Goza","given":"Barbara K."},{"family":"Bearman","given":"Steve"}],"issued":{"date-parts":[["2011"]]}}},{"id":1064,"uris":["http://zotero.org/users/17290334/items/4VVJ92EH"],"itemData":{"id":1064,"type":"article-journal","abstract":"In many countries and regions, such as the United States, Europe and China, a trend has emerged in which students’ enthusiasm for STEM is declining. This decline may be related to students’ lack of science self-efficacy. An accurate examination of students’ science self-efficacy can provide a research foundation for how to cultivate it. This paper used mixed methods to develop a valid science self-efficacy scale for high school students, focusing on the perceived competence dimension. A cross-sectional analysis exploring and interpreting differences across grades and genders in science self-efficacy among high school students was conducted. Subsequently, a 1-year longitudinal study was conducted on the development of science self-efficacy in China.","container-title":"International Journal of STEM Education","DOI":"10.1186/s40594-022-00363-x","ISSN":"2196-7822","issue":"1","journalAbbreviation":"International Journal of STEM Education","page":"47","source":"BioMed Central","title":"Measuring science self-efficacy with a focus on the perceived competence dimension: using mixed methods to develop an instrument and explore changes through cross-sectional and longitudinal analyses in high school","title-short":"Measuring science self-efficacy with a focus on the perceived competence dimension","volume":"9","author":[{"family":"Hu","given":"Xinyang"},{"family":"Jiang","given":"Yanxia"},{"family":"Bi","given":"Hualin"}],"issued":{"date-parts":[["2022",7,16]]}}},{"id":241,"uris":["http://zotero.org/users/17290334/items/LDPRFX5Z"],"itemData":{"id":241,"type":"article-journal","abstract":"Mentored research apprenticeships are a common feature of academic outreach programs that aim to promote diversity in science fields. The current study tests for links between three forms of mentoring (instrumental, socioemotional, and negative) and the degree to which undergraduates psychologically identify with science. Participants were 66 undergraduate-mentor dyads who worked together in a research apprenticeship. The undergraduate sample was predominantly composed of women, first-generation college students, and members of ethnic groups that are historically underrepresented in science.","container-title":"International Journal of STEM Education","DOI":"10.1186/s40594-018-0139-y","ISSN":"2196-7822","issue":"1","journalAbbreviation":"IJ STEM Ed","language":"en","page":"41","source":"Springer Link","title":"Research mentoring and scientist identity: insights from undergraduates and their mentors","title-short":"Research mentoring and scientist identity","volume":"5","author":[{"family":"Robnett","given":"Rachael D."},{"family":"Nelson","given":"Paul A."},{"family":"Zurbriggen","given":"Eileen L."},{"family":"Crosby","given":"Faye J."},{"family":"Chemers","given":"Martin M."}],"issued":{"date-parts":[["2018",11,30]]}}}],"schema":"https://github.com/citation-style-language/schema/raw/master/csl-citation.json"} </w:instrText>
      </w:r>
      <w:r w:rsidR="00AD2FC5" w:rsidRPr="00AD2FC5">
        <w:rPr>
          <w:rFonts w:ascii="Times New Roman" w:eastAsia="Times New Roman" w:hAnsi="Times New Roman" w:cs="Times New Roman"/>
        </w:rPr>
        <w:fldChar w:fldCharType="separate"/>
      </w:r>
      <w:r w:rsidR="00AD2FC5" w:rsidRPr="00AD2FC5">
        <w:rPr>
          <w:rFonts w:ascii="Times New Roman" w:eastAsia="Times New Roman" w:hAnsi="Times New Roman" w:cs="Times New Roman"/>
          <w:noProof/>
        </w:rPr>
        <w:t>(Chemers et al., 2011; Hu et al., 2022; Robnett et al., 2018)</w:t>
      </w:r>
      <w:r w:rsidR="00AD2FC5" w:rsidRPr="00AD2FC5">
        <w:rPr>
          <w:rFonts w:ascii="Times New Roman" w:eastAsia="Times New Roman" w:hAnsi="Times New Roman" w:cs="Times New Roman"/>
        </w:rPr>
        <w:fldChar w:fldCharType="end"/>
      </w:r>
      <w:r w:rsidR="00AD2FC5">
        <w:rPr>
          <w:rFonts w:ascii="Times New Roman" w:eastAsia="Times New Roman" w:hAnsi="Times New Roman" w:cs="Times New Roman"/>
        </w:rPr>
        <w:t>.</w:t>
      </w:r>
      <w:r w:rsidR="00622940" w:rsidRPr="00622940">
        <w:t xml:space="preserve"> </w:t>
      </w:r>
      <w:r w:rsidR="00622940" w:rsidRPr="00622940">
        <w:rPr>
          <w:rFonts w:ascii="Times New Roman" w:eastAsia="Times New Roman" w:hAnsi="Times New Roman" w:cs="Times New Roman"/>
        </w:rPr>
        <w:t>Participants demonstrated significant, measurable growth in scientific identity over the 10-week program, suggesting immersive research experiences can effectively bridge the gap between novice students and the broader research community in academia</w:t>
      </w:r>
      <w:r w:rsidR="00BA70ED">
        <w:rPr>
          <w:rFonts w:ascii="Times New Roman" w:eastAsia="Times New Roman" w:hAnsi="Times New Roman" w:cs="Times New Roman"/>
        </w:rPr>
        <w:t xml:space="preserve"> </w:t>
      </w:r>
      <w:r w:rsidR="00BA70ED" w:rsidRPr="00AD2FC5">
        <w:rPr>
          <w:rFonts w:ascii="Times New Roman" w:eastAsia="Times New Roman" w:hAnsi="Times New Roman" w:cs="Times New Roman"/>
        </w:rPr>
        <w:fldChar w:fldCharType="begin"/>
      </w:r>
      <w:r w:rsidR="00BA70ED" w:rsidRPr="00AD2FC5">
        <w:rPr>
          <w:rFonts w:ascii="Times New Roman" w:eastAsia="Times New Roman" w:hAnsi="Times New Roman" w:cs="Times New Roman"/>
        </w:rPr>
        <w:instrText xml:space="preserve"> ADDIN ZOTERO_ITEM CSL_CITATION {"citationID":"8D3cdZYe","properties":{"formattedCitation":"(Hu et al., 2022; Syed et al., 2019; Tas et al., 2023)","plainCitation":"(Hu et al., 2022; Syed et al., 2019; Tas et al., 2023)","noteIndex":0},"citationItems":[{"id":1064,"uris":["http://zotero.org/users/17290334/items/4VVJ92EH"],"itemData":{"id":1064,"type":"article-journal","abstract":"In many countries and regions, such as the United States, Europe and China, a trend has emerged in which students’ enthusiasm for STEM is declining. This decline may be related to students’ lack of science self-efficacy. An accurate examination of students’ science self-efficacy can provide a research foundation for how to cultivate it. This paper used mixed methods to develop a valid science self-efficacy scale for high school students, focusing on the perceived competence dimension. A cross-sectional analysis exploring and interpreting differences across grades and genders in science self-efficacy among high school students was conducted. Subsequently, a 1-year longitudinal study was conducted on the development of science self-efficacy in China.","container-title":"International Journal of STEM Education","DOI":"10.1186/s40594-022-00363-x","ISSN":"2196-7822","issue":"1","journalAbbreviation":"International Journal of STEM Education","page":"47","source":"BioMed Central","title":"Measuring science self-efficacy with a focus on the perceived competence dimension: using mixed methods to develop an instrument and explore changes through cross-sectional and longitudinal analyses in high school","title-short":"Measuring science self-efficacy with a focus on the perceived competence dimension","volume":"9","author":[{"family":"Hu","given":"Xinyang"},{"family":"Jiang","given":"Yanxia"},{"family":"Bi","given":"Hualin"}],"issued":{"date-parts":[["2022",7,16]]}}},{"id":273,"uris":["http://zotero.org/users/17290334/items/ZYIH6DIB"],"itemData":{"id":273,"type":"article-journal","abstract":"We report results from two studies testing the Mediation Model of Research Experiences, which posits that science (or engineering) self-efficacy and identity as a scientist (or engineer) mediate the association between support programs and students’ commitment to science, technology, engineering, and mathematics (STEM) careers. Study 1 included 502 matriculated and recently graduated undergraduate STEM students. Structural equation modeling analyses indicated that research experience, instrumental mentoring, and involvement in a community of scientists were associated with commitment to a STEM career, mediated through science/engineering self-efficacy and identity as a scientist/engineer. There were few interactions with ethnicity and none with gender. In Study 2, 63 undergraduate students in science/engineering support programs were surveyed with a similar instrument at the beginning and end of their programs. Pre–post analyses indicated that increases over time in community involvement were associated with increases in science/engineering self-efficacy, and increases over time in science/engineering identity were associated with increased commitment to a STEM career. Taken together, these two studies show the importance of psychological processes such as identity and self-efficacy in understanding the specific ways in which science/engineering support programs lead to enhanced commitment to a career in STEM among White and underrepresented minority undergraduate students.","container-title":"Analyses of Social Issues and Public Policy","DOI":"10.1111/asap.12170","ISSN":"1530-2415","issue":"1","language":"en","license":"© 2018 The Society for the Psychological Study of Social Issues","note":"_eprint: https://spssi.onlinelibrary.wiley.com/doi/pdf/10.1111/asap.12170","page":"7-49","source":"Wiley Online Library","title":"The Role of Self-Efficacy and Identity in Mediating the Effects of STEM Support Experiences","volume":"19","author":[{"family":"Syed","given":"Moin"},{"family":"Zurbriggen","given":"Eileen L."},{"family":"Chemers","given":"Martin M."},{"family":"Goza","given":"Barbara K."},{"family":"Bearman","given":"Steve"},{"family":"Crosby","given":"Faye J."},{"family":"Shaw","given":"Jerome M."},{"family":"Hunter","given":"Lisa"},{"family":"Morgan","given":"Elizabeth M."}],"issued":{"date-parts":[["2019"]]}}},{"id":240,"uris":["http://zotero.org/users/17290334/items/DZ93ERHD"],"itemData":{"id":240,"type":"article-journal","abstract":"This study aimed to develop and validate a comprehensive research self-efficacy scale (C-RSES) to measure the research self-efficacy of both graduate students and academics in any discipline. Data were gathered nationwide in Turkey from 1301 researchers including graduate students and academics. Exploratory factor analysis revealed a 28-item C-RSES with six factors, namely Literature Review and Research Problem, Discussion, Data Analysis, Research Plan, Research Ethics, and Conceptual/Theoretical Framework. Confirmatory factor analysis supported the proposed factor structure. Factorial invariance of the C-RSES across males and females was shown. Cronbach’s alpha reliabilities for the subscales ranged from .85 to .94, which indicates high internal consistency for the scores obtained from the scale. Additionally, using multivariate analysis of variance, researchers with and without a Ph.D. were compared regarding their research self-efficacy aspects. The findings of the study provided evidence for the validity and reliability of the C-RSES. It is suggested that C-RSES is promising to measure the research self-efficacy of graduate students and academics.","container-title":"International Journal on Social and Education Sciences","DOI":"10.46328/ijonses.472","ISSN":"2688-7061","issue":"2","language":"en","license":"Copyright (c) 2023 International Journal on Social and Education Sciences","page":"275-294","source":"ijonses.net","title":"Self-Efficacy for Research: Development and Validation of a Comprehensive Research Self-Efficacy Scale (C-RSES)","title-short":"Self-Efficacy for Research","volume":"5","author":[{"family":"Tas","given":"Yasemin"},{"family":"Demiral-Uzan","given":"Muruvvet"},{"family":"Uzan","given":"Erol"}],"issued":{"date-parts":[["2023",6,3]]}}}],"schema":"https://github.com/citation-style-language/schema/raw/master/csl-citation.json"} </w:instrText>
      </w:r>
      <w:r w:rsidR="00BA70ED" w:rsidRPr="00AD2FC5">
        <w:rPr>
          <w:rFonts w:ascii="Times New Roman" w:eastAsia="Times New Roman" w:hAnsi="Times New Roman" w:cs="Times New Roman"/>
        </w:rPr>
        <w:fldChar w:fldCharType="separate"/>
      </w:r>
      <w:r w:rsidR="00BA70ED" w:rsidRPr="00AD2FC5">
        <w:rPr>
          <w:rFonts w:ascii="Times New Roman" w:eastAsia="Times New Roman" w:hAnsi="Times New Roman" w:cs="Times New Roman"/>
          <w:noProof/>
        </w:rPr>
        <w:t>(Hu et al., 2022; Syed et al., 2019; Tas et al., 2023)</w:t>
      </w:r>
      <w:r w:rsidR="00BA70ED" w:rsidRPr="00AD2FC5">
        <w:rPr>
          <w:rFonts w:ascii="Times New Roman" w:eastAsia="Times New Roman" w:hAnsi="Times New Roman" w:cs="Times New Roman"/>
        </w:rPr>
        <w:fldChar w:fldCharType="end"/>
      </w:r>
      <w:r w:rsidR="00BA70ED" w:rsidRPr="00AD2FC5">
        <w:rPr>
          <w:rFonts w:ascii="Times New Roman" w:eastAsia="Times New Roman" w:hAnsi="Times New Roman" w:cs="Times New Roman"/>
        </w:rPr>
        <w:t>.</w:t>
      </w:r>
      <w:r w:rsidR="00622940" w:rsidRPr="00622940">
        <w:rPr>
          <w:rFonts w:ascii="Times New Roman" w:eastAsia="Times New Roman" w:hAnsi="Times New Roman" w:cs="Times New Roman"/>
        </w:rPr>
        <w:t xml:space="preserve"> This aligns with the principles of </w:t>
      </w:r>
      <w:r w:rsidR="002707C0">
        <w:rPr>
          <w:rFonts w:ascii="Times New Roman" w:eastAsia="Times New Roman" w:hAnsi="Times New Roman" w:cs="Times New Roman"/>
        </w:rPr>
        <w:t>HIL</w:t>
      </w:r>
      <w:r w:rsidR="00622940" w:rsidRPr="00622940">
        <w:rPr>
          <w:rFonts w:ascii="Times New Roman" w:eastAsia="Times New Roman" w:hAnsi="Times New Roman" w:cs="Times New Roman"/>
        </w:rPr>
        <w:t>, demonstrating applied</w:t>
      </w:r>
      <w:r w:rsidR="002707C0">
        <w:rPr>
          <w:rFonts w:ascii="Times New Roman" w:eastAsia="Times New Roman" w:hAnsi="Times New Roman" w:cs="Times New Roman"/>
        </w:rPr>
        <w:t xml:space="preserve"> </w:t>
      </w:r>
      <w:r w:rsidR="00622940" w:rsidRPr="00622940">
        <w:rPr>
          <w:rFonts w:ascii="Times New Roman" w:eastAsia="Times New Roman" w:hAnsi="Times New Roman" w:cs="Times New Roman"/>
        </w:rPr>
        <w:t>experiential programs not only build technical skills but also cultivate self-efficacy, confidence, and a sense of belonging within the scientific field</w:t>
      </w:r>
      <w:r w:rsidR="00622940">
        <w:rPr>
          <w:rFonts w:ascii="Times New Roman" w:eastAsia="Times New Roman" w:hAnsi="Times New Roman" w:cs="Times New Roman"/>
        </w:rPr>
        <w:t xml:space="preserve"> </w:t>
      </w:r>
      <w:r w:rsidR="009A7986">
        <w:rPr>
          <w:rFonts w:ascii="Times New Roman" w:eastAsia="Times New Roman" w:hAnsi="Times New Roman" w:cs="Times New Roman"/>
        </w:rPr>
        <w:fldChar w:fldCharType="begin"/>
      </w:r>
      <w:r w:rsidR="00116DC6">
        <w:rPr>
          <w:rFonts w:ascii="Times New Roman" w:eastAsia="Times New Roman" w:hAnsi="Times New Roman" w:cs="Times New Roman"/>
        </w:rPr>
        <w:instrText xml:space="preserve"> ADDIN ZOTERO_ITEM CSL_CITATION {"citationID":"a1bhi9nbfnt","properties":{"formattedCitation":"(Hunter et al., 2007; Miller et al., 2011; Thiry et al., 2011)","plainCitation":"(Hunter et al., 2007; Miller et al., 2011; Thiry et al., 2011)","noteIndex":0},"citationItems":[{"id":1,"uris":["http://zotero.org/users/17290334/items/6I64EAF8"],"itemData":{"id":1,"type":"article-journal","abstract":"In this ethnographic study of summer undergraduate research (UR) experiences at four liberal arts colleges, where faculty and students work collaboratively on a project of mutual interest in an apprenticeship of authentic science research work, analysis of the accounts of faculty and student participants yields comparative insights into the structural elements of this form of UR program and its benefits for students. Comparison of the perspectives of faculty and their students revealed considerable agreement on the nature, range, and extent of students' UR gains. Specific student gains relating to the process of “becoming a scientist” were described and illustrated by both groups. Faculty framed these gains as part of professional socialization into the sciences. In contrast, students emphasized their personal and intellectual development, with little awareness of their socialization into professional practice. Viewing study findings through the lens of social constructivist learning theories demonstrates that the characteristics of these UR programs, how faculty practice UR in these colleges, and students' outcomes—including cognitive and personal growth and the development of a professional identity—strongly exemplify many facets of these theories, particularly, student-centered and situated learning as part of cognitive apprenticeship in a community of practice. © 2006 Wiley Periodicals, Inc. Sci Ed 91:36–74, 2007","container-title":"Science Education","DOI":"10.1002/sce.20173","ISSN":"1098-237X","issue":"1","language":"en","license":"Copyright © 2006 Wiley Periodicals, Inc.","note":"_eprint: https://onlinelibrary.wiley.com/doi/pdf/10.1002/sce.20173","page":"36-74","source":"Wiley Online Library","title":"Becoming a scientist: The role of undergraduate research in students' cognitive, personal, and professional development","title-short":"Becoming a scientist","volume":"91","author":[{"family":"Hunter","given":"Anne-Barrie"},{"family":"Laursen","given":"Sandra L."},{"family":"Seymour","given":"Elaine"}],"issued":{"date-parts":[["2007"]]}},"label":"page"},{"id":5,"uris":["http://zotero.org/users/17290334/items/HB8PFYXU"],"itemData":{"id":5,"type":"article-journal","abstract":"Student engagement includes skills engagement, participation engagement, emotional engagement, and performance engagement. Handlesman et al., (2005) created a questionnaire (SCEQ) that measures these forms of engagement. The purpose of this study was to determine the extent to which each form is promoted by different learning experiences. One hundred an twenty-seven students involved in (a) undergraduate research, (b) learning communities, (c) internships, or (d) service learning completed the SCEQ. The results indicated that undergraduate research and internships promoted greater student engagement. Key factors contributing to engagement included perceived career relevance, faculty/student collaboration and the focus and intensity of the learning experience.","collection-title":"3rd World Conference on Educational Sciences - 2011","container-title":"Procedia - Social and Behavioral Sciences","DOI":"10.1016/j.sbspro.2011.03.050","ISSN":"1877-0428","journalAbbreviation":"Procedia - Social and Behavioral Sciences","page":"53-59","source":"ScienceDirect","title":"The effects of high impact learning experiences on student engagement","volume":"15","author":[{"family":"Miller","given":"Richard L."},{"family":"Rycek","given":"Robert F."},{"family":"Fritson","given":"Krista"}],"issued":{"date-parts":[["2011",1,1]]}},"label":"page"},{"id":269,"uris":["http://zotero.org/users/17290334/items/N6CHIEZ3"],"itemData":{"id":269,"type":"article-journal","container-title":"The Journal of Higher Education","DOI":"10.1080/00221546.2011.11777209","ISSN":"0022-1546","issue":"4","note":"publisher: Routledge\n_eprint: https://doi.org/10.1080/00221546.2011.11777209","page":"357-388","source":"Taylor and Francis+NEJM","title":"What Experiences Help Students Become Scientists? A Comparative Study of Research and other Sources of Personal and Professional Gains for STEM Undergraduates","title-short":"What Experiences Help Students Become Scientists?","volume":"82","author":[{"family":"Thiry","given":"Heather"},{"family":"Laursen","given":"Sandra L."},{"family":"Hunter","given":"Anne-Barrie"}],"issued":{"date-parts":[["2011",7,1]]}},"label":"page"}],"schema":"https://github.com/citation-style-language/schema/raw/master/csl-citation.json"} </w:instrText>
      </w:r>
      <w:r w:rsidR="009A7986">
        <w:rPr>
          <w:rFonts w:ascii="Times New Roman" w:eastAsia="Times New Roman" w:hAnsi="Times New Roman" w:cs="Times New Roman"/>
        </w:rPr>
        <w:fldChar w:fldCharType="separate"/>
      </w:r>
      <w:r w:rsidR="00116DC6" w:rsidRPr="00116DC6">
        <w:rPr>
          <w:rFonts w:ascii="Times New Roman" w:hAnsi="Times New Roman" w:cs="Times New Roman"/>
          <w:kern w:val="0"/>
        </w:rPr>
        <w:t>(Hunter et al., 2007; Miller et al., 2011; Thiry et al., 2011)</w:t>
      </w:r>
      <w:r w:rsidR="009A7986">
        <w:rPr>
          <w:rFonts w:ascii="Times New Roman" w:eastAsia="Times New Roman" w:hAnsi="Times New Roman" w:cs="Times New Roman"/>
        </w:rPr>
        <w:fldChar w:fldCharType="end"/>
      </w:r>
      <w:r w:rsidR="00BA70ED">
        <w:rPr>
          <w:rFonts w:ascii="Times New Roman" w:eastAsia="Times New Roman" w:hAnsi="Times New Roman" w:cs="Times New Roman"/>
        </w:rPr>
        <w:t>.</w:t>
      </w:r>
      <w:r w:rsidR="009D5AF0">
        <w:rPr>
          <w:rFonts w:ascii="Times New Roman" w:eastAsia="Times New Roman" w:hAnsi="Times New Roman" w:cs="Times New Roman"/>
        </w:rPr>
        <w:t xml:space="preserve"> </w:t>
      </w:r>
      <w:r w:rsidR="00BA70ED">
        <w:rPr>
          <w:rFonts w:ascii="Times New Roman" w:eastAsia="Times New Roman" w:hAnsi="Times New Roman" w:cs="Times New Roman"/>
        </w:rPr>
        <w:t xml:space="preserve">Moreover, by </w:t>
      </w:r>
      <w:r w:rsidR="00DA57B6">
        <w:rPr>
          <w:rFonts w:ascii="Times New Roman" w:eastAsia="Times New Roman" w:hAnsi="Times New Roman" w:cs="Times New Roman"/>
          <w:kern w:val="0"/>
          <w14:ligatures w14:val="none"/>
        </w:rPr>
        <w:t>situating emerging scientists within rural communities alongside engineering applied research,</w:t>
      </w:r>
      <w:r w:rsidR="00BA70ED">
        <w:rPr>
          <w:rFonts w:ascii="Times New Roman" w:eastAsia="Times New Roman" w:hAnsi="Times New Roman" w:cs="Times New Roman"/>
        </w:rPr>
        <w:t xml:space="preserve"> the </w:t>
      </w:r>
      <w:r w:rsidR="00332DFA">
        <w:rPr>
          <w:rFonts w:ascii="Times New Roman" w:hAnsi="Times New Roman" w:cs="Times New Roman"/>
          <w:color w:val="000000"/>
          <w:kern w:val="0"/>
          <w14:ligatures w14:val="none"/>
        </w:rPr>
        <w:t>Rural Scholars Program</w:t>
      </w:r>
      <w:r w:rsidR="00332DFA" w:rsidRPr="00DA57B6">
        <w:rPr>
          <w:rFonts w:ascii="Times New Roman" w:eastAsia="Times New Roman" w:hAnsi="Times New Roman" w:cs="Times New Roman"/>
        </w:rPr>
        <w:t xml:space="preserve"> </w:t>
      </w:r>
      <w:r w:rsidR="00DA57B6" w:rsidRPr="00DA57B6">
        <w:rPr>
          <w:rFonts w:ascii="Times New Roman" w:eastAsia="Times New Roman" w:hAnsi="Times New Roman" w:cs="Times New Roman"/>
        </w:rPr>
        <w:t>operationalizes Dewey</w:t>
      </w:r>
      <w:r w:rsidR="00DA57B6">
        <w:rPr>
          <w:rFonts w:ascii="Times New Roman" w:eastAsia="Times New Roman" w:hAnsi="Times New Roman" w:cs="Times New Roman"/>
        </w:rPr>
        <w:t xml:space="preserve">’s (1938) </w:t>
      </w:r>
      <w:r w:rsidR="00DA57B6" w:rsidRPr="00DA57B6">
        <w:rPr>
          <w:rFonts w:ascii="Times New Roman" w:eastAsia="Times New Roman" w:hAnsi="Times New Roman" w:cs="Times New Roman"/>
        </w:rPr>
        <w:t>vision of learning through real-world experiences while advancing contemporary pedagogical strategies</w:t>
      </w:r>
      <w:r w:rsidR="00DA57B6">
        <w:rPr>
          <w:rFonts w:ascii="Times New Roman" w:eastAsia="Times New Roman" w:hAnsi="Times New Roman" w:cs="Times New Roman"/>
        </w:rPr>
        <w:t xml:space="preserve">. Such </w:t>
      </w:r>
      <w:r w:rsidR="009D5AF0">
        <w:rPr>
          <w:rFonts w:ascii="Times New Roman" w:eastAsia="Times New Roman" w:hAnsi="Times New Roman" w:cs="Times New Roman"/>
        </w:rPr>
        <w:t>a</w:t>
      </w:r>
      <w:r w:rsidR="00DA57B6">
        <w:rPr>
          <w:rFonts w:ascii="Times New Roman" w:eastAsia="Times New Roman" w:hAnsi="Times New Roman" w:cs="Times New Roman"/>
        </w:rPr>
        <w:t xml:space="preserve"> </w:t>
      </w:r>
      <w:r w:rsidR="009D5AF0">
        <w:rPr>
          <w:rFonts w:ascii="Times New Roman" w:eastAsia="Times New Roman" w:hAnsi="Times New Roman" w:cs="Times New Roman"/>
        </w:rPr>
        <w:t xml:space="preserve">contemporary approach, such as undergraduate research, could support the development of engaged citizens and emerging professionals from programs like </w:t>
      </w:r>
      <w:r w:rsidR="00332DFA">
        <w:rPr>
          <w:rFonts w:ascii="Times New Roman" w:hAnsi="Times New Roman" w:cs="Times New Roman"/>
          <w:color w:val="000000"/>
          <w:kern w:val="0"/>
          <w14:ligatures w14:val="none"/>
        </w:rPr>
        <w:t>Rural Scholars Program</w:t>
      </w:r>
      <w:r w:rsidR="009D5AF0">
        <w:rPr>
          <w:rFonts w:ascii="Times New Roman" w:eastAsia="Times New Roman" w:hAnsi="Times New Roman" w:cs="Times New Roman"/>
        </w:rPr>
        <w:t>.</w:t>
      </w:r>
    </w:p>
    <w:p w14:paraId="275BDD66" w14:textId="77777777" w:rsidR="00026AD3" w:rsidRDefault="00A92C4A" w:rsidP="00754C21">
      <w:pPr>
        <w:spacing w:line="240" w:lineRule="auto"/>
        <w:ind w:firstLine="720"/>
        <w:rPr>
          <w:rFonts w:ascii="Times New Roman" w:eastAsia="Times New Roman" w:hAnsi="Times New Roman" w:cs="Times New Roman"/>
        </w:rPr>
      </w:pPr>
      <w:r w:rsidRPr="00AD2FC5">
        <w:rPr>
          <w:rFonts w:ascii="Times New Roman" w:eastAsia="Times New Roman" w:hAnsi="Times New Roman" w:cs="Times New Roman"/>
        </w:rPr>
        <w:t>Several recommendations arise from these findings. Firstly, institutions of higher education should continue to prioritize HIL practices</w:t>
      </w:r>
      <w:r w:rsidR="0013304E" w:rsidRPr="00AD2FC5">
        <w:rPr>
          <w:rFonts w:ascii="Times New Roman" w:eastAsia="Times New Roman" w:hAnsi="Times New Roman" w:cs="Times New Roman"/>
        </w:rPr>
        <w:t>,</w:t>
      </w:r>
      <w:r w:rsidRPr="00AD2FC5">
        <w:rPr>
          <w:rFonts w:ascii="Times New Roman" w:eastAsia="Times New Roman" w:hAnsi="Times New Roman" w:cs="Times New Roman"/>
        </w:rPr>
        <w:t xml:space="preserve"> such as undergraduate research, especially in contexts </w:t>
      </w:r>
      <w:r w:rsidR="00AB60C4">
        <w:rPr>
          <w:rFonts w:ascii="Times New Roman" w:eastAsia="Times New Roman" w:hAnsi="Times New Roman" w:cs="Times New Roman"/>
        </w:rPr>
        <w:t>combining</w:t>
      </w:r>
      <w:r w:rsidRPr="00AD2FC5">
        <w:rPr>
          <w:rFonts w:ascii="Times New Roman" w:eastAsia="Times New Roman" w:hAnsi="Times New Roman" w:cs="Times New Roman"/>
        </w:rPr>
        <w:t xml:space="preserve"> faculty mentorship, community engagement, and extended time. </w:t>
      </w:r>
      <w:r w:rsidR="00B13C83" w:rsidRPr="00847EA7">
        <w:rPr>
          <w:rFonts w:ascii="Times New Roman" w:eastAsia="Times New Roman" w:hAnsi="Times New Roman" w:cs="Times New Roman"/>
        </w:rPr>
        <w:t>Equal</w:t>
      </w:r>
      <w:r w:rsidR="00847EA7" w:rsidRPr="00847EA7">
        <w:rPr>
          <w:rFonts w:ascii="Times New Roman" w:eastAsia="Times New Roman" w:hAnsi="Times New Roman" w:cs="Times New Roman"/>
        </w:rPr>
        <w:t>l</w:t>
      </w:r>
      <w:r w:rsidR="00B13C83" w:rsidRPr="00847EA7">
        <w:rPr>
          <w:rFonts w:ascii="Times New Roman" w:eastAsia="Times New Roman" w:hAnsi="Times New Roman" w:cs="Times New Roman"/>
        </w:rPr>
        <w:t xml:space="preserve">y important </w:t>
      </w:r>
      <w:r w:rsidR="00847EA7" w:rsidRPr="00847EA7">
        <w:rPr>
          <w:rFonts w:ascii="Times New Roman" w:eastAsia="Times New Roman" w:hAnsi="Times New Roman" w:cs="Times New Roman"/>
        </w:rPr>
        <w:t>is ensuring that faculty mentorship is not only present but also responsibly and intentionally structured. </w:t>
      </w:r>
      <w:r w:rsidR="00B324CA" w:rsidRPr="00B324CA">
        <w:rPr>
          <w:rFonts w:ascii="Times New Roman" w:eastAsia="Times New Roman" w:hAnsi="Times New Roman" w:cs="Times New Roman"/>
        </w:rPr>
        <w:t xml:space="preserve">Practical faculty guidance can provide students with the feedback and </w:t>
      </w:r>
      <w:r w:rsidR="00B324CA" w:rsidRPr="00B324CA">
        <w:rPr>
          <w:rFonts w:ascii="Times New Roman" w:eastAsia="Times New Roman" w:hAnsi="Times New Roman" w:cs="Times New Roman"/>
        </w:rPr>
        <w:lastRenderedPageBreak/>
        <w:t>emotional support necessary to develop confidence and identity as emerging scholars. When mentors actively build students</w:t>
      </w:r>
      <w:r w:rsidR="00B324CA">
        <w:rPr>
          <w:rFonts w:ascii="Times New Roman" w:eastAsia="Times New Roman" w:hAnsi="Times New Roman" w:cs="Times New Roman"/>
        </w:rPr>
        <w:t>’</w:t>
      </w:r>
      <w:r w:rsidR="00B324CA" w:rsidRPr="00B324CA">
        <w:rPr>
          <w:rFonts w:ascii="Times New Roman" w:eastAsia="Times New Roman" w:hAnsi="Times New Roman" w:cs="Times New Roman"/>
        </w:rPr>
        <w:t xml:space="preserve"> skills and foster respectful relationships, these experiences can become transformative rather than transactional.</w:t>
      </w:r>
      <w:r w:rsidR="00754C21">
        <w:rPr>
          <w:rFonts w:ascii="Times New Roman" w:eastAsia="Times New Roman" w:hAnsi="Times New Roman" w:cs="Times New Roman"/>
        </w:rPr>
        <w:t xml:space="preserve"> </w:t>
      </w:r>
      <w:r w:rsidR="00026AD3" w:rsidRPr="00026AD3">
        <w:rPr>
          <w:rFonts w:ascii="Times New Roman" w:eastAsia="Times New Roman" w:hAnsi="Times New Roman" w:cs="Times New Roman"/>
        </w:rPr>
        <w:t>The design of undergraduate research programs should integrate mentoring structures that provide both scientific training and guidance</w:t>
      </w:r>
      <w:r w:rsidR="00026AD3">
        <w:rPr>
          <w:rFonts w:ascii="Times New Roman" w:eastAsia="Times New Roman" w:hAnsi="Times New Roman" w:cs="Times New Roman"/>
        </w:rPr>
        <w:t>,</w:t>
      </w:r>
      <w:r w:rsidR="00026AD3" w:rsidRPr="00026AD3">
        <w:rPr>
          <w:rFonts w:ascii="Times New Roman" w:eastAsia="Times New Roman" w:hAnsi="Times New Roman" w:cs="Times New Roman"/>
        </w:rPr>
        <w:t xml:space="preserve"> </w:t>
      </w:r>
      <w:r w:rsidR="00026AD3">
        <w:rPr>
          <w:rFonts w:ascii="Times New Roman" w:eastAsia="Times New Roman" w:hAnsi="Times New Roman" w:cs="Times New Roman"/>
        </w:rPr>
        <w:t>reinforcing</w:t>
      </w:r>
      <w:r w:rsidR="00026AD3" w:rsidRPr="00026AD3">
        <w:rPr>
          <w:rFonts w:ascii="Times New Roman" w:eastAsia="Times New Roman" w:hAnsi="Times New Roman" w:cs="Times New Roman"/>
        </w:rPr>
        <w:t xml:space="preserve"> students’ identities as emerging scholars.</w:t>
      </w:r>
    </w:p>
    <w:p w14:paraId="1774FC2E" w14:textId="678A3D68" w:rsidR="00AB60C4" w:rsidRDefault="00026AD3" w:rsidP="007718EF">
      <w:pPr>
        <w:spacing w:line="240" w:lineRule="auto"/>
        <w:ind w:firstLine="720"/>
        <w:rPr>
          <w:rFonts w:ascii="Times New Roman" w:eastAsia="Times New Roman" w:hAnsi="Times New Roman" w:cs="Times New Roman"/>
        </w:rPr>
        <w:sectPr w:rsidR="00AB60C4">
          <w:footerReference w:type="even" r:id="rId8"/>
          <w:footerReference w:type="default" r:id="rId9"/>
          <w:pgSz w:w="12240" w:h="15840"/>
          <w:pgMar w:top="1440" w:right="1440" w:bottom="1440" w:left="1440" w:header="720" w:footer="720" w:gutter="0"/>
          <w:cols w:space="720"/>
          <w:docGrid w:linePitch="360"/>
        </w:sectPr>
      </w:pPr>
      <w:r>
        <w:rPr>
          <w:rFonts w:ascii="Times New Roman" w:eastAsia="Times New Roman" w:hAnsi="Times New Roman" w:cs="Times New Roman"/>
        </w:rPr>
        <w:t>Additionally</w:t>
      </w:r>
      <w:r w:rsidR="00A92C4A" w:rsidRPr="00AD2FC5">
        <w:rPr>
          <w:rFonts w:ascii="Times New Roman" w:eastAsia="Times New Roman" w:hAnsi="Times New Roman" w:cs="Times New Roman"/>
        </w:rPr>
        <w:t xml:space="preserve">, </w:t>
      </w:r>
      <w:r w:rsidR="00AB60C4">
        <w:rPr>
          <w:rFonts w:ascii="Times New Roman" w:eastAsia="Times New Roman" w:hAnsi="Times New Roman" w:cs="Times New Roman"/>
        </w:rPr>
        <w:t>a</w:t>
      </w:r>
      <w:r w:rsidR="00A92C4A" w:rsidRPr="00AD2FC5">
        <w:rPr>
          <w:rFonts w:ascii="Times New Roman" w:eastAsia="Times New Roman" w:hAnsi="Times New Roman" w:cs="Times New Roman"/>
        </w:rPr>
        <w:t xml:space="preserve">ssessment of identity development should be a routine part of undergraduate research programs, as validated scales (e.g., </w:t>
      </w:r>
      <w:proofErr w:type="spellStart"/>
      <w:r w:rsidR="00A92C4A" w:rsidRPr="00AD2FC5">
        <w:rPr>
          <w:rFonts w:ascii="Times New Roman" w:eastAsia="Times New Roman" w:hAnsi="Times New Roman" w:cs="Times New Roman"/>
        </w:rPr>
        <w:t>Chemers</w:t>
      </w:r>
      <w:proofErr w:type="spellEnd"/>
      <w:r w:rsidR="00A92C4A" w:rsidRPr="00AD2FC5">
        <w:rPr>
          <w:rFonts w:ascii="Times New Roman" w:eastAsia="Times New Roman" w:hAnsi="Times New Roman" w:cs="Times New Roman"/>
        </w:rPr>
        <w:t xml:space="preserve"> et al., 2011; Robnett et al., 2018) offer reliable measures of student growth. </w:t>
      </w:r>
      <w:r w:rsidR="00E52E42" w:rsidRPr="00E52E42">
        <w:rPr>
          <w:rFonts w:ascii="Times New Roman" w:eastAsia="Times New Roman" w:hAnsi="Times New Roman" w:cs="Times New Roman"/>
        </w:rPr>
        <w:t xml:space="preserve">Although this study used only the ISS scale, future research should incorporate other </w:t>
      </w:r>
      <w:r w:rsidR="00E52E42">
        <w:rPr>
          <w:rFonts w:ascii="Times New Roman" w:eastAsia="Times New Roman" w:hAnsi="Times New Roman" w:cs="Times New Roman"/>
        </w:rPr>
        <w:t xml:space="preserve">validated </w:t>
      </w:r>
      <w:r w:rsidR="00E52E42" w:rsidRPr="00E52E42">
        <w:rPr>
          <w:rFonts w:ascii="Times New Roman" w:eastAsia="Times New Roman" w:hAnsi="Times New Roman" w:cs="Times New Roman"/>
        </w:rPr>
        <w:t>scales, either individually or in combination, and ideally track students longitudinally across programs.</w:t>
      </w:r>
      <w:r w:rsidR="007718EF">
        <w:rPr>
          <w:rFonts w:ascii="Times New Roman" w:eastAsia="Times New Roman" w:hAnsi="Times New Roman" w:cs="Times New Roman"/>
        </w:rPr>
        <w:t xml:space="preserve"> </w:t>
      </w:r>
      <w:r w:rsidR="00A92C4A" w:rsidRPr="00AD2FC5">
        <w:rPr>
          <w:rFonts w:ascii="Times New Roman" w:eastAsia="Times New Roman" w:hAnsi="Times New Roman" w:cs="Times New Roman"/>
        </w:rPr>
        <w:t xml:space="preserve">While limited by a small sample size, </w:t>
      </w:r>
      <w:r w:rsidR="0013304E" w:rsidRPr="00AD2FC5">
        <w:rPr>
          <w:rFonts w:ascii="Times New Roman" w:eastAsia="Times New Roman" w:hAnsi="Times New Roman" w:cs="Times New Roman"/>
        </w:rPr>
        <w:t xml:space="preserve">the </w:t>
      </w:r>
      <w:r w:rsidR="00A92C4A" w:rsidRPr="00AD2FC5">
        <w:rPr>
          <w:rFonts w:ascii="Times New Roman" w:eastAsia="Times New Roman" w:hAnsi="Times New Roman" w:cs="Times New Roman"/>
        </w:rPr>
        <w:t>results suggest struct</w:t>
      </w:r>
      <w:r w:rsidR="0013304E" w:rsidRPr="00AD2FC5">
        <w:rPr>
          <w:rFonts w:ascii="Times New Roman" w:eastAsia="Times New Roman" w:hAnsi="Times New Roman" w:cs="Times New Roman"/>
        </w:rPr>
        <w:t>ur</w:t>
      </w:r>
      <w:r w:rsidR="00A92C4A" w:rsidRPr="00AD2FC5">
        <w:rPr>
          <w:rFonts w:ascii="Times New Roman" w:eastAsia="Times New Roman" w:hAnsi="Times New Roman" w:cs="Times New Roman"/>
        </w:rPr>
        <w:t>ed, community-engaged research can pl</w:t>
      </w:r>
      <w:r w:rsidR="0013304E" w:rsidRPr="00AD2FC5">
        <w:rPr>
          <w:rFonts w:ascii="Times New Roman" w:eastAsia="Times New Roman" w:hAnsi="Times New Roman" w:cs="Times New Roman"/>
        </w:rPr>
        <w:t>a</w:t>
      </w:r>
      <w:r w:rsidR="00A92C4A" w:rsidRPr="00AD2FC5">
        <w:rPr>
          <w:rFonts w:ascii="Times New Roman" w:eastAsia="Times New Roman" w:hAnsi="Times New Roman" w:cs="Times New Roman"/>
        </w:rPr>
        <w:t>y a vital role in ret</w:t>
      </w:r>
      <w:r w:rsidR="0013304E" w:rsidRPr="00AD2FC5">
        <w:rPr>
          <w:rFonts w:ascii="Times New Roman" w:eastAsia="Times New Roman" w:hAnsi="Times New Roman" w:cs="Times New Roman"/>
        </w:rPr>
        <w:t>aining</w:t>
      </w:r>
      <w:r w:rsidR="00A92C4A" w:rsidRPr="00AD2FC5">
        <w:rPr>
          <w:rFonts w:ascii="Times New Roman" w:eastAsia="Times New Roman" w:hAnsi="Times New Roman" w:cs="Times New Roman"/>
        </w:rPr>
        <w:t xml:space="preserve"> undergraduate students, particularly </w:t>
      </w:r>
      <w:r w:rsidR="0013304E" w:rsidRPr="00AD2FC5">
        <w:rPr>
          <w:rFonts w:ascii="Times New Roman" w:eastAsia="Times New Roman" w:hAnsi="Times New Roman" w:cs="Times New Roman"/>
        </w:rPr>
        <w:t>those</w:t>
      </w:r>
      <w:r w:rsidR="00A92C4A" w:rsidRPr="00AD2FC5">
        <w:rPr>
          <w:rFonts w:ascii="Times New Roman" w:eastAsia="Times New Roman" w:hAnsi="Times New Roman" w:cs="Times New Roman"/>
        </w:rPr>
        <w:t xml:space="preserve"> from underrepresented backgrounds. </w:t>
      </w:r>
      <w:r w:rsidR="004F6AF4" w:rsidRPr="004F6AF4">
        <w:rPr>
          <w:rFonts w:ascii="Times New Roman" w:eastAsia="Times New Roman" w:hAnsi="Times New Roman" w:cs="Times New Roman"/>
        </w:rPr>
        <w:t xml:space="preserve">This study has created several avenues for future research. Variations in program structure, discipline, and mentorship models influence scientific identity development and should be explored in depth by future studies. </w:t>
      </w:r>
      <w:r w:rsidR="00AB60C4">
        <w:rPr>
          <w:rFonts w:ascii="Times New Roman" w:eastAsia="Times New Roman" w:hAnsi="Times New Roman" w:cs="Times New Roman"/>
        </w:rPr>
        <w:t>Further</w:t>
      </w:r>
      <w:r w:rsidR="004F6AF4" w:rsidRPr="004F6AF4">
        <w:rPr>
          <w:rFonts w:ascii="Times New Roman" w:eastAsia="Times New Roman" w:hAnsi="Times New Roman" w:cs="Times New Roman"/>
        </w:rPr>
        <w:t>, longitudinal studies tracking students into graduate programs, or even professional careers, could provide much-needed insights into the sustained impact of undergraduate research.</w:t>
      </w:r>
    </w:p>
    <w:p w14:paraId="10D33363" w14:textId="77777777" w:rsidR="00E408C5" w:rsidRPr="00E408C5" w:rsidRDefault="00E408C5" w:rsidP="00E408C5">
      <w:pPr>
        <w:autoSpaceDE w:val="0"/>
        <w:autoSpaceDN w:val="0"/>
        <w:spacing w:after="0" w:line="240" w:lineRule="auto"/>
        <w:ind w:left="720" w:hanging="720"/>
        <w:mirrorIndents/>
        <w:jc w:val="center"/>
        <w:rPr>
          <w:rFonts w:ascii="Times New Roman" w:hAnsi="Times New Roman" w:cs="Times New Roman"/>
          <w:b/>
          <w:bCs/>
          <w:kern w:val="0"/>
        </w:rPr>
      </w:pPr>
      <w:r w:rsidRPr="00E408C5">
        <w:rPr>
          <w:rFonts w:ascii="Times New Roman" w:hAnsi="Times New Roman" w:cs="Times New Roman"/>
          <w:b/>
          <w:bCs/>
          <w:kern w:val="0"/>
        </w:rPr>
        <w:lastRenderedPageBreak/>
        <w:t>References</w:t>
      </w:r>
    </w:p>
    <w:p w14:paraId="417138BC" w14:textId="77777777" w:rsidR="00E408C5" w:rsidRDefault="00E408C5" w:rsidP="00AB60C4">
      <w:pPr>
        <w:autoSpaceDE w:val="0"/>
        <w:autoSpaceDN w:val="0"/>
        <w:spacing w:after="0" w:line="240" w:lineRule="auto"/>
        <w:ind w:left="720" w:hanging="720"/>
        <w:mirrorIndents/>
        <w:rPr>
          <w:rFonts w:ascii="Times New Roman" w:hAnsi="Times New Roman" w:cs="Times New Roman"/>
          <w:kern w:val="0"/>
        </w:rPr>
      </w:pPr>
    </w:p>
    <w:p w14:paraId="1F0366A7" w14:textId="0CDE2655" w:rsidR="00900072" w:rsidRPr="00AD2FC5" w:rsidRDefault="00900072" w:rsidP="00AB60C4">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Adebisi, Y. A. (2022). Undergraduate students’ involvement in research: Values, benefits, barriers, and recommendations. </w:t>
      </w:r>
      <w:r w:rsidRPr="00AD2FC5">
        <w:rPr>
          <w:rFonts w:ascii="Times New Roman" w:hAnsi="Times New Roman" w:cs="Times New Roman"/>
          <w:i/>
          <w:iCs/>
          <w:kern w:val="0"/>
        </w:rPr>
        <w:t>Annals of Medicine and Surgery, 81</w:t>
      </w:r>
      <w:r w:rsidRPr="00AD2FC5">
        <w:rPr>
          <w:rFonts w:ascii="Times New Roman" w:hAnsi="Times New Roman" w:cs="Times New Roman"/>
          <w:kern w:val="0"/>
        </w:rPr>
        <w:t xml:space="preserve">, 104384. </w:t>
      </w:r>
      <w:hyperlink r:id="rId10" w:history="1">
        <w:r w:rsidRPr="00AD2FC5">
          <w:rPr>
            <w:rFonts w:ascii="Times New Roman" w:hAnsi="Times New Roman" w:cs="Times New Roman"/>
            <w:kern w:val="0"/>
            <w:u w:val="single"/>
          </w:rPr>
          <w:t>https://doi.org/10.1016/j.amsu.2022.104384</w:t>
        </w:r>
      </w:hyperlink>
    </w:p>
    <w:p w14:paraId="09C8E92F" w14:textId="1A2435F2"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Astin, A. W. (1993). </w:t>
      </w:r>
      <w:r w:rsidRPr="00AD2FC5">
        <w:rPr>
          <w:rFonts w:ascii="Times New Roman" w:hAnsi="Times New Roman" w:cs="Times New Roman"/>
          <w:i/>
          <w:iCs/>
          <w:kern w:val="0"/>
        </w:rPr>
        <w:t>What matters in college? Four critical years revisited</w:t>
      </w:r>
      <w:r w:rsidRPr="00AD2FC5">
        <w:rPr>
          <w:rFonts w:ascii="Times New Roman" w:hAnsi="Times New Roman" w:cs="Times New Roman"/>
          <w:kern w:val="0"/>
        </w:rPr>
        <w:t xml:space="preserve"> (pp. xxi, 482). Jossey-Bass/Wiley.</w:t>
      </w:r>
    </w:p>
    <w:p w14:paraId="3809B81F" w14:textId="0885D1EC"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Brewer, G., Dewhurst, A. M., &amp; Doran, D. (2012). Undergraduate research projects: Practice and perceptions. </w:t>
      </w:r>
      <w:r w:rsidRPr="00AD2FC5">
        <w:rPr>
          <w:rFonts w:ascii="Times New Roman" w:hAnsi="Times New Roman" w:cs="Times New Roman"/>
          <w:i/>
          <w:iCs/>
          <w:kern w:val="0"/>
        </w:rPr>
        <w:t>Psychology Learning &amp; Teaching, 11</w:t>
      </w:r>
      <w:r w:rsidRPr="00AD2FC5">
        <w:rPr>
          <w:rFonts w:ascii="Times New Roman" w:hAnsi="Times New Roman" w:cs="Times New Roman"/>
          <w:kern w:val="0"/>
        </w:rPr>
        <w:t xml:space="preserve">(2), 208–217. </w:t>
      </w:r>
      <w:hyperlink r:id="rId11" w:history="1">
        <w:r w:rsidRPr="00AD2FC5">
          <w:rPr>
            <w:rFonts w:ascii="Times New Roman" w:hAnsi="Times New Roman" w:cs="Times New Roman"/>
            <w:kern w:val="0"/>
            <w:u w:val="single"/>
          </w:rPr>
          <w:t>https://doi.org/10.2304/plat.2012.11.2.208</w:t>
        </w:r>
      </w:hyperlink>
    </w:p>
    <w:p w14:paraId="7C9FDF0C" w14:textId="10F2766D"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Carlone, H. B., &amp; Johnson, A. (2007). Understanding the science experiences of successful women of color: Science identity as an analytic lens. </w:t>
      </w:r>
      <w:r w:rsidRPr="00AD2FC5">
        <w:rPr>
          <w:rFonts w:ascii="Times New Roman" w:hAnsi="Times New Roman" w:cs="Times New Roman"/>
          <w:i/>
          <w:iCs/>
          <w:kern w:val="0"/>
        </w:rPr>
        <w:t>Journal of Research in Science Teaching, 44</w:t>
      </w:r>
      <w:r w:rsidRPr="00AD2FC5">
        <w:rPr>
          <w:rFonts w:ascii="Times New Roman" w:hAnsi="Times New Roman" w:cs="Times New Roman"/>
          <w:kern w:val="0"/>
        </w:rPr>
        <w:t xml:space="preserve">(8), 1187–1218. </w:t>
      </w:r>
      <w:hyperlink r:id="rId12" w:history="1">
        <w:r w:rsidRPr="00AD2FC5">
          <w:rPr>
            <w:rFonts w:ascii="Times New Roman" w:hAnsi="Times New Roman" w:cs="Times New Roman"/>
            <w:kern w:val="0"/>
            <w:u w:val="single"/>
          </w:rPr>
          <w:t>https://doi.org/10.1002/tea.20237</w:t>
        </w:r>
      </w:hyperlink>
    </w:p>
    <w:p w14:paraId="6266EAE8" w14:textId="7D919471"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proofErr w:type="spellStart"/>
      <w:r w:rsidRPr="00AD2FC5">
        <w:rPr>
          <w:rFonts w:ascii="Times New Roman" w:hAnsi="Times New Roman" w:cs="Times New Roman"/>
          <w:kern w:val="0"/>
        </w:rPr>
        <w:t>Chemers</w:t>
      </w:r>
      <w:proofErr w:type="spellEnd"/>
      <w:r w:rsidRPr="00AD2FC5">
        <w:rPr>
          <w:rFonts w:ascii="Times New Roman" w:hAnsi="Times New Roman" w:cs="Times New Roman"/>
          <w:kern w:val="0"/>
        </w:rPr>
        <w:t xml:space="preserve">, M. M., Zurbriggen, E. L., Syed, M., Goza, B. K., &amp; Bearman, S. (2011). The role of efficacy and identity in science career commitment among underrepresented minority students. </w:t>
      </w:r>
      <w:r w:rsidRPr="00AD2FC5">
        <w:rPr>
          <w:rFonts w:ascii="Times New Roman" w:hAnsi="Times New Roman" w:cs="Times New Roman"/>
          <w:i/>
          <w:iCs/>
          <w:kern w:val="0"/>
        </w:rPr>
        <w:t>Journal of Social Issues, 67</w:t>
      </w:r>
      <w:r w:rsidRPr="00AD2FC5">
        <w:rPr>
          <w:rFonts w:ascii="Times New Roman" w:hAnsi="Times New Roman" w:cs="Times New Roman"/>
          <w:kern w:val="0"/>
        </w:rPr>
        <w:t xml:space="preserve">(3), 469–491. </w:t>
      </w:r>
      <w:hyperlink r:id="rId13" w:history="1">
        <w:r w:rsidRPr="00AD2FC5">
          <w:rPr>
            <w:rFonts w:ascii="Times New Roman" w:hAnsi="Times New Roman" w:cs="Times New Roman"/>
            <w:kern w:val="0"/>
            <w:u w:val="single"/>
          </w:rPr>
          <w:t>https://doi.org/10.1111/j.1540-4560.2011.01710.x</w:t>
        </w:r>
      </w:hyperlink>
    </w:p>
    <w:p w14:paraId="6058F752" w14:textId="57D7D021"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Chen, R. (2012). Institutional characteristics and college student dropout risks: A multilevel event history analysis. </w:t>
      </w:r>
      <w:r w:rsidRPr="00AD2FC5">
        <w:rPr>
          <w:rFonts w:ascii="Times New Roman" w:hAnsi="Times New Roman" w:cs="Times New Roman"/>
          <w:i/>
          <w:iCs/>
          <w:kern w:val="0"/>
        </w:rPr>
        <w:t>Research in Higher Education, 53</w:t>
      </w:r>
      <w:r w:rsidRPr="00AD2FC5">
        <w:rPr>
          <w:rFonts w:ascii="Times New Roman" w:hAnsi="Times New Roman" w:cs="Times New Roman"/>
          <w:kern w:val="0"/>
        </w:rPr>
        <w:t xml:space="preserve">(5), 487–505. </w:t>
      </w:r>
      <w:hyperlink r:id="rId14" w:history="1">
        <w:r w:rsidRPr="00AD2FC5">
          <w:rPr>
            <w:rFonts w:ascii="Times New Roman" w:hAnsi="Times New Roman" w:cs="Times New Roman"/>
            <w:kern w:val="0"/>
            <w:u w:val="single"/>
          </w:rPr>
          <w:t>https://doi.org/10.1007/s11162-011-9241-4</w:t>
        </w:r>
      </w:hyperlink>
    </w:p>
    <w:p w14:paraId="5014EA8B" w14:textId="77777777" w:rsidR="00900072" w:rsidRDefault="00900072" w:rsidP="001312F8">
      <w:pPr>
        <w:autoSpaceDE w:val="0"/>
        <w:autoSpaceDN w:val="0"/>
        <w:spacing w:after="0" w:line="240" w:lineRule="auto"/>
        <w:ind w:left="720" w:hanging="720"/>
        <w:mirrorIndents/>
      </w:pPr>
      <w:r w:rsidRPr="00AD2FC5">
        <w:rPr>
          <w:rFonts w:ascii="Times New Roman" w:hAnsi="Times New Roman" w:cs="Times New Roman"/>
          <w:kern w:val="0"/>
        </w:rPr>
        <w:t xml:space="preserve">Chickering, A. W., &amp; Gamson, Z. F. (1987). Seven principles for good practice in undergraduate education. </w:t>
      </w:r>
      <w:r w:rsidRPr="00AD2FC5">
        <w:rPr>
          <w:rFonts w:ascii="Times New Roman" w:hAnsi="Times New Roman" w:cs="Times New Roman"/>
          <w:i/>
          <w:iCs/>
          <w:kern w:val="0"/>
        </w:rPr>
        <w:t>AAHE Bulletin.</w:t>
      </w:r>
      <w:r w:rsidRPr="00AD2FC5">
        <w:rPr>
          <w:rFonts w:ascii="Times New Roman" w:hAnsi="Times New Roman" w:cs="Times New Roman"/>
          <w:kern w:val="0"/>
        </w:rPr>
        <w:t xml:space="preserve"> </w:t>
      </w:r>
      <w:hyperlink r:id="rId15" w:history="1">
        <w:r w:rsidRPr="00AD2FC5">
          <w:rPr>
            <w:rFonts w:ascii="Times New Roman" w:hAnsi="Times New Roman" w:cs="Times New Roman"/>
            <w:kern w:val="0"/>
            <w:u w:val="single"/>
          </w:rPr>
          <w:t>https://eric.ed.gov/?id=ED282491</w:t>
        </w:r>
      </w:hyperlink>
    </w:p>
    <w:p w14:paraId="70F7C50B" w14:textId="1B88F982" w:rsidR="007A7B0B" w:rsidRDefault="007A7B0B" w:rsidP="001312F8">
      <w:pPr>
        <w:autoSpaceDE w:val="0"/>
        <w:autoSpaceDN w:val="0"/>
        <w:spacing w:after="0" w:line="240" w:lineRule="auto"/>
        <w:ind w:left="720" w:hanging="720"/>
        <w:mirrorIndents/>
        <w:rPr>
          <w:rFonts w:ascii="Times New Roman" w:hAnsi="Times New Roman" w:cs="Times New Roman"/>
          <w:kern w:val="0"/>
        </w:rPr>
      </w:pPr>
      <w:r w:rsidRPr="007A7B0B">
        <w:rPr>
          <w:rFonts w:ascii="Times New Roman" w:hAnsi="Times New Roman" w:cs="Times New Roman"/>
          <w:kern w:val="0"/>
        </w:rPr>
        <w:t>Deemer, E. D., Thoman, D. B., &amp; Chase, J. P. (2022). </w:t>
      </w:r>
      <w:r w:rsidRPr="007A7B0B">
        <w:rPr>
          <w:rFonts w:ascii="Times New Roman" w:hAnsi="Times New Roman" w:cs="Times New Roman"/>
          <w:i/>
          <w:iCs/>
          <w:kern w:val="0"/>
        </w:rPr>
        <w:t>Developing science identity among first-generation college students: The role of motivational beliefs and research engagement</w:t>
      </w:r>
      <w:r w:rsidRPr="007A7B0B">
        <w:rPr>
          <w:rFonts w:ascii="Times New Roman" w:hAnsi="Times New Roman" w:cs="Times New Roman"/>
          <w:kern w:val="0"/>
        </w:rPr>
        <w:t>. </w:t>
      </w:r>
      <w:r w:rsidRPr="007A7B0B">
        <w:rPr>
          <w:rFonts w:ascii="Times New Roman" w:hAnsi="Times New Roman" w:cs="Times New Roman"/>
          <w:i/>
          <w:iCs/>
          <w:kern w:val="0"/>
        </w:rPr>
        <w:t>Journal of Career Development, 49</w:t>
      </w:r>
      <w:r w:rsidRPr="007A7B0B">
        <w:rPr>
          <w:rFonts w:ascii="Times New Roman" w:hAnsi="Times New Roman" w:cs="Times New Roman"/>
          <w:kern w:val="0"/>
        </w:rPr>
        <w:t>(6), 1315–1328. </w:t>
      </w:r>
      <w:hyperlink r:id="rId16" w:history="1">
        <w:r w:rsidRPr="00B165E0">
          <w:rPr>
            <w:rStyle w:val="Hyperlink"/>
            <w:rFonts w:ascii="Times New Roman" w:hAnsi="Times New Roman" w:cs="Times New Roman"/>
            <w:kern w:val="0"/>
          </w:rPr>
          <w:t>https://doi.org/10.1177/08948453211024414</w:t>
        </w:r>
      </w:hyperlink>
    </w:p>
    <w:p w14:paraId="04128085" w14:textId="6910B198" w:rsidR="007A7B0B" w:rsidRPr="00AD2FC5" w:rsidRDefault="007A7B0B" w:rsidP="007A7B0B">
      <w:pPr>
        <w:autoSpaceDE w:val="0"/>
        <w:autoSpaceDN w:val="0"/>
        <w:spacing w:after="0" w:line="240" w:lineRule="auto"/>
        <w:ind w:left="720" w:hanging="720"/>
        <w:mirrorIndents/>
        <w:rPr>
          <w:rFonts w:ascii="Times New Roman" w:hAnsi="Times New Roman" w:cs="Times New Roman"/>
          <w:kern w:val="0"/>
        </w:rPr>
      </w:pPr>
      <w:r w:rsidRPr="007A7B0B">
        <w:rPr>
          <w:rFonts w:ascii="Times New Roman" w:hAnsi="Times New Roman" w:cs="Times New Roman"/>
          <w:kern w:val="0"/>
        </w:rPr>
        <w:t>Dillman, D. A., Smyth, J. D., &amp; Christian, L. M. (2014). </w:t>
      </w:r>
      <w:r w:rsidRPr="007A7B0B">
        <w:rPr>
          <w:rFonts w:ascii="Times New Roman" w:hAnsi="Times New Roman" w:cs="Times New Roman"/>
          <w:i/>
          <w:iCs/>
          <w:kern w:val="0"/>
        </w:rPr>
        <w:t>Internet, phone, mail, and mixed-mode surveys: The tailored design method</w:t>
      </w:r>
      <w:r w:rsidRPr="007A7B0B">
        <w:rPr>
          <w:rFonts w:ascii="Times New Roman" w:hAnsi="Times New Roman" w:cs="Times New Roman"/>
          <w:kern w:val="0"/>
        </w:rPr>
        <w:t> (4th ed.). Wiley.</w:t>
      </w:r>
    </w:p>
    <w:p w14:paraId="5B6EFAE6" w14:textId="45666812" w:rsidR="00900072" w:rsidRPr="00AD2FC5" w:rsidRDefault="00900072" w:rsidP="007A7B0B">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Dewey, J. (1938). </w:t>
      </w:r>
      <w:r w:rsidRPr="00AD2FC5">
        <w:rPr>
          <w:rFonts w:ascii="Times New Roman" w:hAnsi="Times New Roman" w:cs="Times New Roman"/>
          <w:i/>
          <w:iCs/>
          <w:kern w:val="0"/>
        </w:rPr>
        <w:t>Experience and education.</w:t>
      </w:r>
      <w:r w:rsidRPr="00AD2FC5">
        <w:rPr>
          <w:rFonts w:ascii="Times New Roman" w:hAnsi="Times New Roman" w:cs="Times New Roman"/>
          <w:kern w:val="0"/>
        </w:rPr>
        <w:t xml:space="preserve"> Simon and Schuster.</w:t>
      </w:r>
    </w:p>
    <w:p w14:paraId="41769ACF" w14:textId="7D63D676"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Estrada, M., Hernandez, P. R., &amp; Schultz, P. W. (2018). A longitudinal study of how quality mentorship and research experience integrate underrepresented minorities into STEM careers. </w:t>
      </w:r>
      <w:r w:rsidRPr="00AD2FC5">
        <w:rPr>
          <w:rFonts w:ascii="Times New Roman" w:hAnsi="Times New Roman" w:cs="Times New Roman"/>
          <w:i/>
          <w:iCs/>
          <w:kern w:val="0"/>
        </w:rPr>
        <w:t>CBE—Life Sciences Education, 17</w:t>
      </w:r>
      <w:r w:rsidRPr="00AD2FC5">
        <w:rPr>
          <w:rFonts w:ascii="Times New Roman" w:hAnsi="Times New Roman" w:cs="Times New Roman"/>
          <w:kern w:val="0"/>
        </w:rPr>
        <w:t xml:space="preserve">(1), ar9. </w:t>
      </w:r>
      <w:hyperlink r:id="rId17" w:history="1">
        <w:r w:rsidRPr="00AD2FC5">
          <w:rPr>
            <w:rFonts w:ascii="Times New Roman" w:hAnsi="Times New Roman" w:cs="Times New Roman"/>
            <w:kern w:val="0"/>
            <w:u w:val="single"/>
          </w:rPr>
          <w:t>https://doi.org/10.1187/cbe.17-04-0066</w:t>
        </w:r>
      </w:hyperlink>
    </w:p>
    <w:p w14:paraId="5A47EE87" w14:textId="1CB661A9"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Eyler, J., &amp; Giles, D. E. (1999). </w:t>
      </w:r>
      <w:r w:rsidRPr="00AD2FC5">
        <w:rPr>
          <w:rFonts w:ascii="Times New Roman" w:hAnsi="Times New Roman" w:cs="Times New Roman"/>
          <w:i/>
          <w:iCs/>
          <w:kern w:val="0"/>
        </w:rPr>
        <w:t>Where’s the learning in service-learning?</w:t>
      </w:r>
      <w:r w:rsidRPr="00AD2FC5">
        <w:rPr>
          <w:rFonts w:ascii="Times New Roman" w:hAnsi="Times New Roman" w:cs="Times New Roman"/>
          <w:kern w:val="0"/>
        </w:rPr>
        <w:t xml:space="preserve"> Jossey-Bass Higher and Adult Education Series. Jossey-Bass.</w:t>
      </w:r>
    </w:p>
    <w:p w14:paraId="6DAE5988" w14:textId="370ACF96"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Freeman, S., Eddy, S. L., McDonough, M., Smith, M. K., Okoroafor, N., Jordt, H., &amp; Wenderoth, M. P. (2014). Active learning increases student performance in science, engineering, and mathematics. </w:t>
      </w:r>
      <w:r w:rsidRPr="00AD2FC5">
        <w:rPr>
          <w:rFonts w:ascii="Times New Roman" w:hAnsi="Times New Roman" w:cs="Times New Roman"/>
          <w:i/>
          <w:iCs/>
          <w:kern w:val="0"/>
        </w:rPr>
        <w:t>Proceedings of the National Academy of Sciences, 111</w:t>
      </w:r>
      <w:r w:rsidRPr="00AD2FC5">
        <w:rPr>
          <w:rFonts w:ascii="Times New Roman" w:hAnsi="Times New Roman" w:cs="Times New Roman"/>
          <w:kern w:val="0"/>
        </w:rPr>
        <w:t xml:space="preserve">(23), 8410–8415. </w:t>
      </w:r>
      <w:hyperlink r:id="rId18" w:history="1">
        <w:r w:rsidRPr="00AD2FC5">
          <w:rPr>
            <w:rFonts w:ascii="Times New Roman" w:hAnsi="Times New Roman" w:cs="Times New Roman"/>
            <w:kern w:val="0"/>
            <w:u w:val="single"/>
          </w:rPr>
          <w:t>https://doi.org/10.1073/pnas.1319030111</w:t>
        </w:r>
      </w:hyperlink>
    </w:p>
    <w:p w14:paraId="2401B5ED" w14:textId="46FF44D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Geiger, R. L. (2014). </w:t>
      </w:r>
      <w:r w:rsidRPr="00AD2FC5">
        <w:rPr>
          <w:rFonts w:ascii="Times New Roman" w:hAnsi="Times New Roman" w:cs="Times New Roman"/>
          <w:i/>
          <w:iCs/>
          <w:kern w:val="0"/>
        </w:rPr>
        <w:t xml:space="preserve">The history of American higher education: Learning and culture from the founding to World War </w:t>
      </w:r>
      <w:proofErr w:type="spellStart"/>
      <w:proofErr w:type="gramStart"/>
      <w:r w:rsidRPr="00AD2FC5">
        <w:rPr>
          <w:rFonts w:ascii="Times New Roman" w:hAnsi="Times New Roman" w:cs="Times New Roman"/>
          <w:i/>
          <w:iCs/>
          <w:kern w:val="0"/>
        </w:rPr>
        <w:t>II.</w:t>
      </w:r>
      <w:r w:rsidRPr="00AD2FC5">
        <w:rPr>
          <w:rFonts w:ascii="Times New Roman" w:hAnsi="Times New Roman" w:cs="Times New Roman"/>
          <w:kern w:val="0"/>
        </w:rPr>
        <w:t>Princeton</w:t>
      </w:r>
      <w:proofErr w:type="spellEnd"/>
      <w:proofErr w:type="gramEnd"/>
      <w:r w:rsidRPr="00AD2FC5">
        <w:rPr>
          <w:rFonts w:ascii="Times New Roman" w:hAnsi="Times New Roman" w:cs="Times New Roman"/>
          <w:kern w:val="0"/>
        </w:rPr>
        <w:t xml:space="preserve"> University Press.</w:t>
      </w:r>
    </w:p>
    <w:p w14:paraId="38A33BBC" w14:textId="3D06E311"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Hu, X., Jiang, Y., &amp; Bi, H. (2022). Measuring science self-efficacy with a focus on the perceived competence dimension: Using mixed methods to develop an instrument and explore changes through cross-sectional and longitudinal analyses in high school. </w:t>
      </w:r>
      <w:r w:rsidRPr="00AD2FC5">
        <w:rPr>
          <w:rFonts w:ascii="Times New Roman" w:hAnsi="Times New Roman" w:cs="Times New Roman"/>
          <w:i/>
          <w:iCs/>
          <w:kern w:val="0"/>
        </w:rPr>
        <w:t>International Journal of STEM Education, 9</w:t>
      </w:r>
      <w:r w:rsidRPr="00AD2FC5">
        <w:rPr>
          <w:rFonts w:ascii="Times New Roman" w:hAnsi="Times New Roman" w:cs="Times New Roman"/>
          <w:kern w:val="0"/>
        </w:rPr>
        <w:t xml:space="preserve">(1), 47. </w:t>
      </w:r>
      <w:hyperlink r:id="rId19" w:history="1">
        <w:r w:rsidRPr="00AD2FC5">
          <w:rPr>
            <w:rFonts w:ascii="Times New Roman" w:hAnsi="Times New Roman" w:cs="Times New Roman"/>
            <w:kern w:val="0"/>
            <w:u w:val="single"/>
          </w:rPr>
          <w:t>https://doi.org/10.1186/s40594-022-00363-x</w:t>
        </w:r>
      </w:hyperlink>
    </w:p>
    <w:p w14:paraId="111C7FCD" w14:textId="67E5647D"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lastRenderedPageBreak/>
        <w:t xml:space="preserve">Hunter, A.-B., Laursen, S. L., &amp; Seymour, E. (2007). Becoming a scientist: The role of undergraduate research in students’ cognitive, personal, and professional development. </w:t>
      </w:r>
      <w:r w:rsidRPr="00AD2FC5">
        <w:rPr>
          <w:rFonts w:ascii="Times New Roman" w:hAnsi="Times New Roman" w:cs="Times New Roman"/>
          <w:i/>
          <w:iCs/>
          <w:kern w:val="0"/>
        </w:rPr>
        <w:t>Science Education, 91</w:t>
      </w:r>
      <w:r w:rsidRPr="00AD2FC5">
        <w:rPr>
          <w:rFonts w:ascii="Times New Roman" w:hAnsi="Times New Roman" w:cs="Times New Roman"/>
          <w:kern w:val="0"/>
        </w:rPr>
        <w:t xml:space="preserve">(1), 36–74. </w:t>
      </w:r>
      <w:hyperlink r:id="rId20" w:history="1">
        <w:r w:rsidRPr="00AD2FC5">
          <w:rPr>
            <w:rFonts w:ascii="Times New Roman" w:hAnsi="Times New Roman" w:cs="Times New Roman"/>
            <w:kern w:val="0"/>
            <w:u w:val="single"/>
          </w:rPr>
          <w:t>https://doi.org/10.1002/sce.20173</w:t>
        </w:r>
      </w:hyperlink>
    </w:p>
    <w:p w14:paraId="282978DD" w14:textId="2D103D7F"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Kaul, S., Ferguson, C. W., Yanik, P. M., &amp; Yan, Y. (2016, June 26). Importance of undergraduate research: Efficacy and student perceptions. In </w:t>
      </w:r>
      <w:r w:rsidRPr="00AD2FC5">
        <w:rPr>
          <w:rFonts w:ascii="Times New Roman" w:hAnsi="Times New Roman" w:cs="Times New Roman"/>
          <w:i/>
          <w:iCs/>
          <w:kern w:val="0"/>
        </w:rPr>
        <w:t>2016 ASEE Annual Conference &amp; Exposition.</w:t>
      </w:r>
      <w:r w:rsidRPr="00AD2FC5">
        <w:rPr>
          <w:rFonts w:ascii="Times New Roman" w:hAnsi="Times New Roman" w:cs="Times New Roman"/>
          <w:kern w:val="0"/>
        </w:rPr>
        <w:t xml:space="preserve"> </w:t>
      </w:r>
      <w:hyperlink r:id="rId21" w:history="1">
        <w:r w:rsidRPr="00AD2FC5">
          <w:rPr>
            <w:rFonts w:ascii="Times New Roman" w:hAnsi="Times New Roman" w:cs="Times New Roman"/>
            <w:kern w:val="0"/>
            <w:u w:val="single"/>
          </w:rPr>
          <w:t>https://peer.asee.org/importance-of-undergraduate-research-efficacy-and-student-perceptions</w:t>
        </w:r>
      </w:hyperlink>
    </w:p>
    <w:p w14:paraId="76D6A5AE" w14:textId="5083E992"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Keast, R., Macfarlane, S., &amp; Riddell, L. (2012). Effective integration of teaching and research in a first-year food and nutrition course. </w:t>
      </w:r>
      <w:r w:rsidRPr="00AD2FC5">
        <w:rPr>
          <w:rFonts w:ascii="Times New Roman" w:hAnsi="Times New Roman" w:cs="Times New Roman"/>
          <w:i/>
          <w:iCs/>
          <w:kern w:val="0"/>
        </w:rPr>
        <w:t>Creative Education, 3</w:t>
      </w:r>
      <w:r w:rsidRPr="00AD2FC5">
        <w:rPr>
          <w:rFonts w:ascii="Times New Roman" w:hAnsi="Times New Roman" w:cs="Times New Roman"/>
          <w:kern w:val="0"/>
        </w:rPr>
        <w:t xml:space="preserve">(8), 1366–1370. </w:t>
      </w:r>
      <w:hyperlink r:id="rId22" w:history="1">
        <w:r w:rsidRPr="00AD2FC5">
          <w:rPr>
            <w:rFonts w:ascii="Times New Roman" w:hAnsi="Times New Roman" w:cs="Times New Roman"/>
            <w:kern w:val="0"/>
            <w:u w:val="single"/>
          </w:rPr>
          <w:t>https://doi.org/10.4236/ce.2012.38199</w:t>
        </w:r>
      </w:hyperlink>
    </w:p>
    <w:p w14:paraId="257673E5" w14:textId="57AB0AB4"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Kilgo, C. A., Ezell Sheets, J. K., &amp; Pascarella, E. T. (2015). The link between high-impact practices and student learning: Some longitudinal evidence. </w:t>
      </w:r>
      <w:r w:rsidRPr="00AD2FC5">
        <w:rPr>
          <w:rFonts w:ascii="Times New Roman" w:hAnsi="Times New Roman" w:cs="Times New Roman"/>
          <w:i/>
          <w:iCs/>
          <w:kern w:val="0"/>
        </w:rPr>
        <w:t>Higher Education, 69</w:t>
      </w:r>
      <w:r w:rsidRPr="00AD2FC5">
        <w:rPr>
          <w:rFonts w:ascii="Times New Roman" w:hAnsi="Times New Roman" w:cs="Times New Roman"/>
          <w:kern w:val="0"/>
        </w:rPr>
        <w:t xml:space="preserve">(4), 509–525. </w:t>
      </w:r>
      <w:hyperlink r:id="rId23" w:history="1">
        <w:r w:rsidRPr="00AD2FC5">
          <w:rPr>
            <w:rFonts w:ascii="Times New Roman" w:hAnsi="Times New Roman" w:cs="Times New Roman"/>
            <w:kern w:val="0"/>
            <w:u w:val="single"/>
          </w:rPr>
          <w:t>https://doi.org/10.1007/s10734-014-9788-z</w:t>
        </w:r>
      </w:hyperlink>
    </w:p>
    <w:p w14:paraId="248B5950" w14:textId="386DFB50"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Kuh, G. D. (2008). </w:t>
      </w:r>
      <w:r w:rsidRPr="00AD2FC5">
        <w:rPr>
          <w:rFonts w:ascii="Times New Roman" w:hAnsi="Times New Roman" w:cs="Times New Roman"/>
          <w:i/>
          <w:iCs/>
          <w:kern w:val="0"/>
        </w:rPr>
        <w:t xml:space="preserve">High-impact educational practices: What they are, who has access to them, and why they </w:t>
      </w:r>
      <w:r w:rsidR="0013304E" w:rsidRPr="00AD2FC5">
        <w:rPr>
          <w:rFonts w:ascii="Times New Roman" w:hAnsi="Times New Roman" w:cs="Times New Roman"/>
          <w:i/>
          <w:iCs/>
          <w:kern w:val="0"/>
        </w:rPr>
        <w:t>matter.</w:t>
      </w:r>
      <w:r w:rsidR="0013304E" w:rsidRPr="00AD2FC5">
        <w:rPr>
          <w:rFonts w:ascii="Times New Roman" w:hAnsi="Times New Roman" w:cs="Times New Roman"/>
          <w:kern w:val="0"/>
        </w:rPr>
        <w:t xml:space="preserve"> Association</w:t>
      </w:r>
      <w:r w:rsidRPr="00AD2FC5">
        <w:rPr>
          <w:rFonts w:ascii="Times New Roman" w:hAnsi="Times New Roman" w:cs="Times New Roman"/>
          <w:kern w:val="0"/>
        </w:rPr>
        <w:t xml:space="preserve"> of American Colleges and Universities.</w:t>
      </w:r>
    </w:p>
    <w:p w14:paraId="1B8A34EE" w14:textId="58150923"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Kuh, G. D., &amp; O’Donnell, K. (2013). Ensuring quality and taking high-impact practices to scale. </w:t>
      </w:r>
      <w:r w:rsidRPr="00AD2FC5">
        <w:rPr>
          <w:rFonts w:ascii="Times New Roman" w:hAnsi="Times New Roman" w:cs="Times New Roman"/>
          <w:i/>
          <w:iCs/>
          <w:kern w:val="0"/>
        </w:rPr>
        <w:t>Peer Review, 15</w:t>
      </w:r>
      <w:r w:rsidRPr="00AD2FC5">
        <w:rPr>
          <w:rFonts w:ascii="Times New Roman" w:hAnsi="Times New Roman" w:cs="Times New Roman"/>
          <w:kern w:val="0"/>
        </w:rPr>
        <w:t>(2), 32–33.</w:t>
      </w:r>
    </w:p>
    <w:p w14:paraId="1EEA352E" w14:textId="39C5DADD"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Linn, M. C., Palmer, E., </w:t>
      </w:r>
      <w:proofErr w:type="spellStart"/>
      <w:r w:rsidRPr="00AD2FC5">
        <w:rPr>
          <w:rFonts w:ascii="Times New Roman" w:hAnsi="Times New Roman" w:cs="Times New Roman"/>
          <w:kern w:val="0"/>
        </w:rPr>
        <w:t>Baranger</w:t>
      </w:r>
      <w:proofErr w:type="spellEnd"/>
      <w:r w:rsidRPr="00AD2FC5">
        <w:rPr>
          <w:rFonts w:ascii="Times New Roman" w:hAnsi="Times New Roman" w:cs="Times New Roman"/>
          <w:kern w:val="0"/>
        </w:rPr>
        <w:t xml:space="preserve">, A., Gerard, E., &amp; Stone, E. (2015). Undergraduate research experiences: Impacts and opportunities. </w:t>
      </w:r>
      <w:r w:rsidRPr="00AD2FC5">
        <w:rPr>
          <w:rFonts w:ascii="Times New Roman" w:hAnsi="Times New Roman" w:cs="Times New Roman"/>
          <w:i/>
          <w:iCs/>
          <w:kern w:val="0"/>
        </w:rPr>
        <w:t>Science, 347</w:t>
      </w:r>
      <w:r w:rsidRPr="00AD2FC5">
        <w:rPr>
          <w:rFonts w:ascii="Times New Roman" w:hAnsi="Times New Roman" w:cs="Times New Roman"/>
          <w:kern w:val="0"/>
        </w:rPr>
        <w:t xml:space="preserve">(6222), 1261757. </w:t>
      </w:r>
      <w:hyperlink r:id="rId24" w:history="1">
        <w:r w:rsidRPr="00AD2FC5">
          <w:rPr>
            <w:rFonts w:ascii="Times New Roman" w:hAnsi="Times New Roman" w:cs="Times New Roman"/>
            <w:kern w:val="0"/>
            <w:u w:val="single"/>
          </w:rPr>
          <w:t>https://doi.org/10.1126/science.1261757</w:t>
        </w:r>
      </w:hyperlink>
    </w:p>
    <w:p w14:paraId="14876F73" w14:textId="26A6E9FB"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proofErr w:type="spellStart"/>
      <w:r w:rsidRPr="00AD2FC5">
        <w:rPr>
          <w:rFonts w:ascii="Times New Roman" w:hAnsi="Times New Roman" w:cs="Times New Roman"/>
          <w:kern w:val="0"/>
        </w:rPr>
        <w:t>Lopatto</w:t>
      </w:r>
      <w:proofErr w:type="spellEnd"/>
      <w:r w:rsidRPr="00AD2FC5">
        <w:rPr>
          <w:rFonts w:ascii="Times New Roman" w:hAnsi="Times New Roman" w:cs="Times New Roman"/>
          <w:kern w:val="0"/>
        </w:rPr>
        <w:t xml:space="preserve">, D. (2004). Survey of undergraduate research experiences (SURE): First findings. </w:t>
      </w:r>
      <w:r w:rsidRPr="00AD2FC5">
        <w:rPr>
          <w:rFonts w:ascii="Times New Roman" w:hAnsi="Times New Roman" w:cs="Times New Roman"/>
          <w:i/>
          <w:iCs/>
          <w:kern w:val="0"/>
        </w:rPr>
        <w:t>Cell Biology Education, 3</w:t>
      </w:r>
      <w:r w:rsidRPr="00AD2FC5">
        <w:rPr>
          <w:rFonts w:ascii="Times New Roman" w:hAnsi="Times New Roman" w:cs="Times New Roman"/>
          <w:kern w:val="0"/>
        </w:rPr>
        <w:t xml:space="preserve">(4), 270–277. </w:t>
      </w:r>
      <w:hyperlink r:id="rId25" w:history="1">
        <w:r w:rsidRPr="00AD2FC5">
          <w:rPr>
            <w:rFonts w:ascii="Times New Roman" w:hAnsi="Times New Roman" w:cs="Times New Roman"/>
            <w:kern w:val="0"/>
            <w:u w:val="single"/>
          </w:rPr>
          <w:t>https://doi.org/10.1187/cbe.04-07-0045</w:t>
        </w:r>
      </w:hyperlink>
    </w:p>
    <w:p w14:paraId="5185F71F" w14:textId="7B33A961"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proofErr w:type="spellStart"/>
      <w:r w:rsidRPr="00AD2FC5">
        <w:rPr>
          <w:rFonts w:ascii="Times New Roman" w:hAnsi="Times New Roman" w:cs="Times New Roman"/>
          <w:kern w:val="0"/>
        </w:rPr>
        <w:t>Lopatto</w:t>
      </w:r>
      <w:proofErr w:type="spellEnd"/>
      <w:r w:rsidRPr="00AD2FC5">
        <w:rPr>
          <w:rFonts w:ascii="Times New Roman" w:hAnsi="Times New Roman" w:cs="Times New Roman"/>
          <w:kern w:val="0"/>
        </w:rPr>
        <w:t xml:space="preserve">, D. (2010). Undergraduate research as a high-impact student experience. </w:t>
      </w:r>
      <w:r w:rsidRPr="00AD2FC5">
        <w:rPr>
          <w:rFonts w:ascii="Times New Roman" w:hAnsi="Times New Roman" w:cs="Times New Roman"/>
          <w:i/>
          <w:iCs/>
          <w:kern w:val="0"/>
        </w:rPr>
        <w:t>Peer Review, 12</w:t>
      </w:r>
      <w:r w:rsidRPr="00AD2FC5">
        <w:rPr>
          <w:rFonts w:ascii="Times New Roman" w:hAnsi="Times New Roman" w:cs="Times New Roman"/>
          <w:kern w:val="0"/>
        </w:rPr>
        <w:t>(2), 27–30.</w:t>
      </w:r>
    </w:p>
    <w:p w14:paraId="3E95C92D" w14:textId="435C7200"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Lukashchuk, V. I. (2023). Mission of the university as a response to the challenges of the time. </w:t>
      </w:r>
      <w:r w:rsidRPr="00AD2FC5">
        <w:rPr>
          <w:rFonts w:ascii="Times New Roman" w:hAnsi="Times New Roman" w:cs="Times New Roman"/>
          <w:i/>
          <w:iCs/>
          <w:kern w:val="0"/>
        </w:rPr>
        <w:t xml:space="preserve">Alma Mater. </w:t>
      </w:r>
      <w:proofErr w:type="spellStart"/>
      <w:r w:rsidRPr="00AD2FC5">
        <w:rPr>
          <w:rFonts w:ascii="Times New Roman" w:hAnsi="Times New Roman" w:cs="Times New Roman"/>
          <w:i/>
          <w:iCs/>
          <w:kern w:val="0"/>
        </w:rPr>
        <w:t>Vestnik</w:t>
      </w:r>
      <w:proofErr w:type="spellEnd"/>
      <w:r w:rsidRPr="00AD2FC5">
        <w:rPr>
          <w:rFonts w:ascii="Times New Roman" w:hAnsi="Times New Roman" w:cs="Times New Roman"/>
          <w:i/>
          <w:iCs/>
          <w:kern w:val="0"/>
        </w:rPr>
        <w:t xml:space="preserve"> </w:t>
      </w:r>
      <w:proofErr w:type="spellStart"/>
      <w:r w:rsidRPr="00AD2FC5">
        <w:rPr>
          <w:rFonts w:ascii="Times New Roman" w:hAnsi="Times New Roman" w:cs="Times New Roman"/>
          <w:i/>
          <w:iCs/>
          <w:kern w:val="0"/>
        </w:rPr>
        <w:t>Vysshey</w:t>
      </w:r>
      <w:proofErr w:type="spellEnd"/>
      <w:r w:rsidRPr="00AD2FC5">
        <w:rPr>
          <w:rFonts w:ascii="Times New Roman" w:hAnsi="Times New Roman" w:cs="Times New Roman"/>
          <w:i/>
          <w:iCs/>
          <w:kern w:val="0"/>
        </w:rPr>
        <w:t xml:space="preserve"> </w:t>
      </w:r>
      <w:proofErr w:type="spellStart"/>
      <w:r w:rsidRPr="00AD2FC5">
        <w:rPr>
          <w:rFonts w:ascii="Times New Roman" w:hAnsi="Times New Roman" w:cs="Times New Roman"/>
          <w:i/>
          <w:iCs/>
          <w:kern w:val="0"/>
        </w:rPr>
        <w:t>Shkoly</w:t>
      </w:r>
      <w:proofErr w:type="spellEnd"/>
      <w:r w:rsidRPr="00AD2FC5">
        <w:rPr>
          <w:rFonts w:ascii="Times New Roman" w:hAnsi="Times New Roman" w:cs="Times New Roman"/>
          <w:i/>
          <w:iCs/>
          <w:kern w:val="0"/>
        </w:rPr>
        <w:t>, 8</w:t>
      </w:r>
      <w:r w:rsidRPr="00AD2FC5">
        <w:rPr>
          <w:rFonts w:ascii="Times New Roman" w:hAnsi="Times New Roman" w:cs="Times New Roman"/>
          <w:kern w:val="0"/>
        </w:rPr>
        <w:t xml:space="preserve">, 27–32. </w:t>
      </w:r>
      <w:hyperlink r:id="rId26" w:history="1">
        <w:r w:rsidRPr="00AD2FC5">
          <w:rPr>
            <w:rFonts w:ascii="Times New Roman" w:hAnsi="Times New Roman" w:cs="Times New Roman"/>
            <w:kern w:val="0"/>
            <w:u w:val="single"/>
          </w:rPr>
          <w:t>https://doi.org/10.20339/AM.08-23.027</w:t>
        </w:r>
      </w:hyperlink>
    </w:p>
    <w:p w14:paraId="06A01032" w14:textId="4F1E1526"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Miller, R. L., </w:t>
      </w:r>
      <w:proofErr w:type="spellStart"/>
      <w:r w:rsidRPr="00AD2FC5">
        <w:rPr>
          <w:rFonts w:ascii="Times New Roman" w:hAnsi="Times New Roman" w:cs="Times New Roman"/>
          <w:kern w:val="0"/>
        </w:rPr>
        <w:t>Rycek</w:t>
      </w:r>
      <w:proofErr w:type="spellEnd"/>
      <w:r w:rsidRPr="00AD2FC5">
        <w:rPr>
          <w:rFonts w:ascii="Times New Roman" w:hAnsi="Times New Roman" w:cs="Times New Roman"/>
          <w:kern w:val="0"/>
        </w:rPr>
        <w:t xml:space="preserve">, R. F., &amp; Fritson, K. (2011). The effects of high-impact learning experiences on student engagement. </w:t>
      </w:r>
      <w:r w:rsidRPr="00AD2FC5">
        <w:rPr>
          <w:rFonts w:ascii="Times New Roman" w:hAnsi="Times New Roman" w:cs="Times New Roman"/>
          <w:i/>
          <w:iCs/>
          <w:kern w:val="0"/>
        </w:rPr>
        <w:t>Procedia - Social and Behavioral Sciences, 15</w:t>
      </w:r>
      <w:r w:rsidRPr="00AD2FC5">
        <w:rPr>
          <w:rFonts w:ascii="Times New Roman" w:hAnsi="Times New Roman" w:cs="Times New Roman"/>
          <w:kern w:val="0"/>
        </w:rPr>
        <w:t xml:space="preserve">, 53–59. </w:t>
      </w:r>
      <w:hyperlink r:id="rId27" w:history="1">
        <w:r w:rsidRPr="00AD2FC5">
          <w:rPr>
            <w:rFonts w:ascii="Times New Roman" w:hAnsi="Times New Roman" w:cs="Times New Roman"/>
            <w:kern w:val="0"/>
            <w:u w:val="single"/>
          </w:rPr>
          <w:t>https://doi.org/10.1016/j.sbspro.2011.03.050</w:t>
        </w:r>
      </w:hyperlink>
    </w:p>
    <w:p w14:paraId="400164F7" w14:textId="24812228"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Mraz-Craig, J. A., Daniel, K. L., Bucklin, C. J., Mishra, C., Ali, L., &amp; Clase, K. L. (2018). Student identities in authentic course-based undergraduate research experiences. </w:t>
      </w:r>
      <w:r w:rsidRPr="00AD2FC5">
        <w:rPr>
          <w:rFonts w:ascii="Times New Roman" w:hAnsi="Times New Roman" w:cs="Times New Roman"/>
          <w:i/>
          <w:iCs/>
          <w:kern w:val="0"/>
        </w:rPr>
        <w:t>Journal of College Science Teaching, 48</w:t>
      </w:r>
      <w:r w:rsidRPr="00AD2FC5">
        <w:rPr>
          <w:rFonts w:ascii="Times New Roman" w:hAnsi="Times New Roman" w:cs="Times New Roman"/>
          <w:kern w:val="0"/>
        </w:rPr>
        <w:t>(1), 68–75.</w:t>
      </w:r>
    </w:p>
    <w:p w14:paraId="4860CF8C" w14:textId="77EA7A9B"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Palmer, R. J., Hunt, A. N., Neal, M. R., &amp; </w:t>
      </w:r>
      <w:proofErr w:type="spellStart"/>
      <w:r w:rsidRPr="00AD2FC5">
        <w:rPr>
          <w:rFonts w:ascii="Times New Roman" w:hAnsi="Times New Roman" w:cs="Times New Roman"/>
          <w:kern w:val="0"/>
        </w:rPr>
        <w:t>Wuetherick</w:t>
      </w:r>
      <w:proofErr w:type="spellEnd"/>
      <w:r w:rsidRPr="00AD2FC5">
        <w:rPr>
          <w:rFonts w:ascii="Times New Roman" w:hAnsi="Times New Roman" w:cs="Times New Roman"/>
          <w:kern w:val="0"/>
        </w:rPr>
        <w:t xml:space="preserve">, B. (2018). The influence of mentored undergraduate research on students’ identity development. </w:t>
      </w:r>
      <w:r w:rsidRPr="00AD2FC5">
        <w:rPr>
          <w:rFonts w:ascii="Times New Roman" w:hAnsi="Times New Roman" w:cs="Times New Roman"/>
          <w:i/>
          <w:iCs/>
          <w:kern w:val="0"/>
        </w:rPr>
        <w:t>Scholarship and Practice of Undergraduate Research, 2</w:t>
      </w:r>
      <w:r w:rsidRPr="00AD2FC5">
        <w:rPr>
          <w:rFonts w:ascii="Times New Roman" w:hAnsi="Times New Roman" w:cs="Times New Roman"/>
          <w:kern w:val="0"/>
        </w:rPr>
        <w:t xml:space="preserve">(2), 4–14. </w:t>
      </w:r>
      <w:hyperlink r:id="rId28" w:history="1">
        <w:r w:rsidRPr="00AD2FC5">
          <w:rPr>
            <w:rFonts w:ascii="Times New Roman" w:hAnsi="Times New Roman" w:cs="Times New Roman"/>
            <w:kern w:val="0"/>
            <w:u w:val="single"/>
          </w:rPr>
          <w:t>https://doi.org/10.18833/spur/2/2/1</w:t>
        </w:r>
      </w:hyperlink>
    </w:p>
    <w:p w14:paraId="37386CCC" w14:textId="616F590F"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Pascarella, E. T., &amp; </w:t>
      </w:r>
      <w:proofErr w:type="spellStart"/>
      <w:r w:rsidRPr="00AD2FC5">
        <w:rPr>
          <w:rFonts w:ascii="Times New Roman" w:hAnsi="Times New Roman" w:cs="Times New Roman"/>
          <w:kern w:val="0"/>
        </w:rPr>
        <w:t>Terenzini</w:t>
      </w:r>
      <w:proofErr w:type="spellEnd"/>
      <w:r w:rsidRPr="00AD2FC5">
        <w:rPr>
          <w:rFonts w:ascii="Times New Roman" w:hAnsi="Times New Roman" w:cs="Times New Roman"/>
          <w:kern w:val="0"/>
        </w:rPr>
        <w:t xml:space="preserve">, P. T. (2005). </w:t>
      </w:r>
      <w:r w:rsidRPr="00AD2FC5">
        <w:rPr>
          <w:rFonts w:ascii="Times New Roman" w:hAnsi="Times New Roman" w:cs="Times New Roman"/>
          <w:i/>
          <w:iCs/>
          <w:kern w:val="0"/>
        </w:rPr>
        <w:t>How college affects students: A third decade of research</w:t>
      </w:r>
      <w:r w:rsidRPr="00AD2FC5">
        <w:rPr>
          <w:rFonts w:ascii="Times New Roman" w:hAnsi="Times New Roman" w:cs="Times New Roman"/>
          <w:kern w:val="0"/>
        </w:rPr>
        <w:t xml:space="preserve"> (Vol. 2). Jossey-Bass.</w:t>
      </w:r>
    </w:p>
    <w:p w14:paraId="03CABC7A" w14:textId="476A38DD"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proofErr w:type="spellStart"/>
      <w:r w:rsidRPr="00AD2FC5">
        <w:rPr>
          <w:rFonts w:ascii="Times New Roman" w:hAnsi="Times New Roman" w:cs="Times New Roman"/>
          <w:kern w:val="0"/>
        </w:rPr>
        <w:t>Peterella</w:t>
      </w:r>
      <w:proofErr w:type="spellEnd"/>
      <w:r w:rsidRPr="00AD2FC5">
        <w:rPr>
          <w:rFonts w:ascii="Times New Roman" w:hAnsi="Times New Roman" w:cs="Times New Roman"/>
          <w:kern w:val="0"/>
        </w:rPr>
        <w:t xml:space="preserve">, J. K., &amp; Jung, A. P. (2008). Undergraduate research: Importance, benefits, and challenges. </w:t>
      </w:r>
      <w:r w:rsidRPr="00AD2FC5">
        <w:rPr>
          <w:rFonts w:ascii="Times New Roman" w:hAnsi="Times New Roman" w:cs="Times New Roman"/>
          <w:i/>
          <w:iCs/>
          <w:kern w:val="0"/>
        </w:rPr>
        <w:t>International Journal of Exercise Science, 1</w:t>
      </w:r>
      <w:r w:rsidRPr="00AD2FC5">
        <w:rPr>
          <w:rFonts w:ascii="Times New Roman" w:hAnsi="Times New Roman" w:cs="Times New Roman"/>
          <w:kern w:val="0"/>
        </w:rPr>
        <w:t xml:space="preserve">(3), 91–95. </w:t>
      </w:r>
      <w:hyperlink r:id="rId29" w:history="1">
        <w:r w:rsidRPr="00AD2FC5">
          <w:rPr>
            <w:rFonts w:ascii="Times New Roman" w:hAnsi="Times New Roman" w:cs="Times New Roman"/>
            <w:kern w:val="0"/>
            <w:u w:val="single"/>
          </w:rPr>
          <w:t>https://doi.org/10.70252/MXRI7483</w:t>
        </w:r>
      </w:hyperlink>
    </w:p>
    <w:p w14:paraId="7B4EBBC4" w14:textId="798EAD4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Robnett, R. D., </w:t>
      </w:r>
      <w:proofErr w:type="spellStart"/>
      <w:r w:rsidRPr="00AD2FC5">
        <w:rPr>
          <w:rFonts w:ascii="Times New Roman" w:hAnsi="Times New Roman" w:cs="Times New Roman"/>
          <w:kern w:val="0"/>
        </w:rPr>
        <w:t>Chemers</w:t>
      </w:r>
      <w:proofErr w:type="spellEnd"/>
      <w:r w:rsidRPr="00AD2FC5">
        <w:rPr>
          <w:rFonts w:ascii="Times New Roman" w:hAnsi="Times New Roman" w:cs="Times New Roman"/>
          <w:kern w:val="0"/>
        </w:rPr>
        <w:t xml:space="preserve">, M. M., &amp; Zurbriggen, E. L. (2015). Longitudinal associations among undergraduates’ research experience, self-efficacy, and identity. </w:t>
      </w:r>
      <w:r w:rsidRPr="00AD2FC5">
        <w:rPr>
          <w:rFonts w:ascii="Times New Roman" w:hAnsi="Times New Roman" w:cs="Times New Roman"/>
          <w:i/>
          <w:iCs/>
          <w:kern w:val="0"/>
        </w:rPr>
        <w:t>Journal of Research in Science Teaching, 52</w:t>
      </w:r>
      <w:r w:rsidRPr="00AD2FC5">
        <w:rPr>
          <w:rFonts w:ascii="Times New Roman" w:hAnsi="Times New Roman" w:cs="Times New Roman"/>
          <w:kern w:val="0"/>
        </w:rPr>
        <w:t xml:space="preserve">(6), 847–867. </w:t>
      </w:r>
      <w:hyperlink r:id="rId30" w:history="1">
        <w:r w:rsidRPr="00AD2FC5">
          <w:rPr>
            <w:rFonts w:ascii="Times New Roman" w:hAnsi="Times New Roman" w:cs="Times New Roman"/>
            <w:kern w:val="0"/>
            <w:u w:val="single"/>
          </w:rPr>
          <w:t>https://doi.org/10.1002/tea.21221</w:t>
        </w:r>
      </w:hyperlink>
    </w:p>
    <w:p w14:paraId="3A9D1064" w14:textId="71C5CB82"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Robnett, R. D., Nelson, P. A., Zurbriggen, E. L., Crosby, F. J., &amp; </w:t>
      </w:r>
      <w:proofErr w:type="spellStart"/>
      <w:r w:rsidRPr="00AD2FC5">
        <w:rPr>
          <w:rFonts w:ascii="Times New Roman" w:hAnsi="Times New Roman" w:cs="Times New Roman"/>
          <w:kern w:val="0"/>
        </w:rPr>
        <w:t>Chemers</w:t>
      </w:r>
      <w:proofErr w:type="spellEnd"/>
      <w:r w:rsidRPr="00AD2FC5">
        <w:rPr>
          <w:rFonts w:ascii="Times New Roman" w:hAnsi="Times New Roman" w:cs="Times New Roman"/>
          <w:kern w:val="0"/>
        </w:rPr>
        <w:t xml:space="preserve">, M. M. (2018). Research mentoring and scientist identity: Insights from undergraduates and their </w:t>
      </w:r>
      <w:r w:rsidRPr="00AD2FC5">
        <w:rPr>
          <w:rFonts w:ascii="Times New Roman" w:hAnsi="Times New Roman" w:cs="Times New Roman"/>
          <w:kern w:val="0"/>
        </w:rPr>
        <w:lastRenderedPageBreak/>
        <w:t xml:space="preserve">mentors. </w:t>
      </w:r>
      <w:r w:rsidRPr="00AD2FC5">
        <w:rPr>
          <w:rFonts w:ascii="Times New Roman" w:hAnsi="Times New Roman" w:cs="Times New Roman"/>
          <w:i/>
          <w:iCs/>
          <w:kern w:val="0"/>
        </w:rPr>
        <w:t>International Journal of STEM Education, 5</w:t>
      </w:r>
      <w:r w:rsidRPr="00AD2FC5">
        <w:rPr>
          <w:rFonts w:ascii="Times New Roman" w:hAnsi="Times New Roman" w:cs="Times New Roman"/>
          <w:kern w:val="0"/>
        </w:rPr>
        <w:t xml:space="preserve">(1), 41. </w:t>
      </w:r>
      <w:hyperlink r:id="rId31" w:history="1">
        <w:r w:rsidRPr="00AD2FC5">
          <w:rPr>
            <w:rFonts w:ascii="Times New Roman" w:hAnsi="Times New Roman" w:cs="Times New Roman"/>
            <w:kern w:val="0"/>
            <w:u w:val="single"/>
          </w:rPr>
          <w:t>https://doi.org/10.1186/s40594-018-0139-y</w:t>
        </w:r>
      </w:hyperlink>
    </w:p>
    <w:p w14:paraId="00E1A81D" w14:textId="72F58AD0"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Rueda Beltrán, M. (2018). Los </w:t>
      </w:r>
      <w:proofErr w:type="spellStart"/>
      <w:r w:rsidRPr="00AD2FC5">
        <w:rPr>
          <w:rFonts w:ascii="Times New Roman" w:hAnsi="Times New Roman" w:cs="Times New Roman"/>
          <w:kern w:val="0"/>
        </w:rPr>
        <w:t>retos</w:t>
      </w:r>
      <w:proofErr w:type="spellEnd"/>
      <w:r w:rsidRPr="00AD2FC5">
        <w:rPr>
          <w:rFonts w:ascii="Times New Roman" w:hAnsi="Times New Roman" w:cs="Times New Roman"/>
          <w:kern w:val="0"/>
        </w:rPr>
        <w:t xml:space="preserve"> de la </w:t>
      </w:r>
      <w:proofErr w:type="spellStart"/>
      <w:r w:rsidRPr="00AD2FC5">
        <w:rPr>
          <w:rFonts w:ascii="Times New Roman" w:hAnsi="Times New Roman" w:cs="Times New Roman"/>
          <w:kern w:val="0"/>
        </w:rPr>
        <w:t>evaluación</w:t>
      </w:r>
      <w:proofErr w:type="spellEnd"/>
      <w:r w:rsidRPr="00AD2FC5">
        <w:rPr>
          <w:rFonts w:ascii="Times New Roman" w:hAnsi="Times New Roman" w:cs="Times New Roman"/>
          <w:kern w:val="0"/>
        </w:rPr>
        <w:t xml:space="preserve"> </w:t>
      </w:r>
      <w:proofErr w:type="spellStart"/>
      <w:r w:rsidRPr="00AD2FC5">
        <w:rPr>
          <w:rFonts w:ascii="Times New Roman" w:hAnsi="Times New Roman" w:cs="Times New Roman"/>
          <w:kern w:val="0"/>
        </w:rPr>
        <w:t>docente</w:t>
      </w:r>
      <w:proofErr w:type="spellEnd"/>
      <w:r w:rsidRPr="00AD2FC5">
        <w:rPr>
          <w:rFonts w:ascii="Times New Roman" w:hAnsi="Times New Roman" w:cs="Times New Roman"/>
          <w:kern w:val="0"/>
        </w:rPr>
        <w:t xml:space="preserve"> </w:t>
      </w:r>
      <w:proofErr w:type="spellStart"/>
      <w:r w:rsidRPr="00AD2FC5">
        <w:rPr>
          <w:rFonts w:ascii="Times New Roman" w:hAnsi="Times New Roman" w:cs="Times New Roman"/>
          <w:kern w:val="0"/>
        </w:rPr>
        <w:t>en</w:t>
      </w:r>
      <w:proofErr w:type="spellEnd"/>
      <w:r w:rsidRPr="00AD2FC5">
        <w:rPr>
          <w:rFonts w:ascii="Times New Roman" w:hAnsi="Times New Roman" w:cs="Times New Roman"/>
          <w:kern w:val="0"/>
        </w:rPr>
        <w:t xml:space="preserve"> la </w:t>
      </w:r>
      <w:proofErr w:type="spellStart"/>
      <w:r w:rsidRPr="00AD2FC5">
        <w:rPr>
          <w:rFonts w:ascii="Times New Roman" w:hAnsi="Times New Roman" w:cs="Times New Roman"/>
          <w:kern w:val="0"/>
        </w:rPr>
        <w:t>universidad</w:t>
      </w:r>
      <w:proofErr w:type="spellEnd"/>
      <w:r w:rsidRPr="00AD2FC5">
        <w:rPr>
          <w:rFonts w:ascii="Times New Roman" w:hAnsi="Times New Roman" w:cs="Times New Roman"/>
          <w:kern w:val="0"/>
        </w:rPr>
        <w:t xml:space="preserve">. </w:t>
      </w:r>
      <w:proofErr w:type="spellStart"/>
      <w:r w:rsidRPr="00AD2FC5">
        <w:rPr>
          <w:rFonts w:ascii="Times New Roman" w:hAnsi="Times New Roman" w:cs="Times New Roman"/>
          <w:i/>
          <w:iCs/>
          <w:kern w:val="0"/>
        </w:rPr>
        <w:t>Publicaciones</w:t>
      </w:r>
      <w:proofErr w:type="spellEnd"/>
      <w:r w:rsidRPr="00AD2FC5">
        <w:rPr>
          <w:rFonts w:ascii="Times New Roman" w:hAnsi="Times New Roman" w:cs="Times New Roman"/>
          <w:i/>
          <w:iCs/>
          <w:kern w:val="0"/>
        </w:rPr>
        <w:t>, 48</w:t>
      </w:r>
      <w:r w:rsidRPr="00AD2FC5">
        <w:rPr>
          <w:rFonts w:ascii="Times New Roman" w:hAnsi="Times New Roman" w:cs="Times New Roman"/>
          <w:kern w:val="0"/>
        </w:rPr>
        <w:t xml:space="preserve">(1), 143–159. </w:t>
      </w:r>
      <w:hyperlink r:id="rId32" w:history="1">
        <w:r w:rsidRPr="00AD2FC5">
          <w:rPr>
            <w:rFonts w:ascii="Times New Roman" w:hAnsi="Times New Roman" w:cs="Times New Roman"/>
            <w:kern w:val="0"/>
            <w:u w:val="single"/>
          </w:rPr>
          <w:t>https://doi.org/10.30827/publicaciones.v48i1.7334</w:t>
        </w:r>
      </w:hyperlink>
    </w:p>
    <w:p w14:paraId="6BFB21DF" w14:textId="7777777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Russell, S. H., Hancock, M. P., &amp; McCullough, J. (2007). The pipeline: Benefits of undergraduate research experiences. </w:t>
      </w:r>
      <w:r w:rsidRPr="00AD2FC5">
        <w:rPr>
          <w:rFonts w:ascii="Times New Roman" w:hAnsi="Times New Roman" w:cs="Times New Roman"/>
          <w:i/>
          <w:iCs/>
          <w:kern w:val="0"/>
        </w:rPr>
        <w:t>Science, 316</w:t>
      </w:r>
      <w:r w:rsidRPr="00AD2FC5">
        <w:rPr>
          <w:rFonts w:ascii="Times New Roman" w:hAnsi="Times New Roman" w:cs="Times New Roman"/>
          <w:kern w:val="0"/>
        </w:rPr>
        <w:t xml:space="preserve">(5824), 548–549. </w:t>
      </w:r>
      <w:hyperlink r:id="rId33" w:history="1">
        <w:r w:rsidRPr="00AD2FC5">
          <w:rPr>
            <w:rFonts w:ascii="Times New Roman" w:hAnsi="Times New Roman" w:cs="Times New Roman"/>
            <w:kern w:val="0"/>
            <w:u w:val="single"/>
          </w:rPr>
          <w:t>https://doi.org/10.1126/science.1140384</w:t>
        </w:r>
      </w:hyperlink>
    </w:p>
    <w:p w14:paraId="5EFAB182" w14:textId="77777777" w:rsidR="002823A3" w:rsidRPr="002823A3" w:rsidRDefault="002823A3" w:rsidP="002823A3">
      <w:pPr>
        <w:autoSpaceDE w:val="0"/>
        <w:autoSpaceDN w:val="0"/>
        <w:spacing w:after="0" w:line="240" w:lineRule="auto"/>
        <w:ind w:left="720" w:hanging="720"/>
        <w:mirrorIndents/>
        <w:rPr>
          <w:rFonts w:ascii="Times New Roman" w:hAnsi="Times New Roman" w:cs="Times New Roman"/>
          <w:kern w:val="0"/>
        </w:rPr>
      </w:pPr>
      <w:r w:rsidRPr="002823A3">
        <w:rPr>
          <w:rFonts w:ascii="Times New Roman" w:hAnsi="Times New Roman" w:cs="Times New Roman"/>
          <w:kern w:val="0"/>
        </w:rPr>
        <w:t>Schafer, J. L. (1999). </w:t>
      </w:r>
      <w:r w:rsidRPr="002823A3">
        <w:rPr>
          <w:rFonts w:ascii="Times New Roman" w:hAnsi="Times New Roman" w:cs="Times New Roman"/>
          <w:i/>
          <w:iCs/>
          <w:kern w:val="0"/>
        </w:rPr>
        <w:t>Multiple imputation: A primer</w:t>
      </w:r>
      <w:r w:rsidRPr="002823A3">
        <w:rPr>
          <w:rFonts w:ascii="Times New Roman" w:hAnsi="Times New Roman" w:cs="Times New Roman"/>
          <w:kern w:val="0"/>
        </w:rPr>
        <w:t>. </w:t>
      </w:r>
      <w:r w:rsidRPr="002823A3">
        <w:rPr>
          <w:rFonts w:ascii="Times New Roman" w:hAnsi="Times New Roman" w:cs="Times New Roman"/>
          <w:i/>
          <w:iCs/>
          <w:kern w:val="0"/>
        </w:rPr>
        <w:t>Statistical Methods in Medical Research, 8</w:t>
      </w:r>
      <w:r w:rsidRPr="002823A3">
        <w:rPr>
          <w:rFonts w:ascii="Times New Roman" w:hAnsi="Times New Roman" w:cs="Times New Roman"/>
          <w:kern w:val="0"/>
        </w:rPr>
        <w:t>(1), 3–15. https://doi.org/10.1177/096228029900800102</w:t>
      </w:r>
    </w:p>
    <w:p w14:paraId="681FEEF9" w14:textId="0AE5592F" w:rsidR="002823A3" w:rsidRPr="00AD2FC5" w:rsidRDefault="002823A3" w:rsidP="002823A3">
      <w:pPr>
        <w:autoSpaceDE w:val="0"/>
        <w:autoSpaceDN w:val="0"/>
        <w:spacing w:after="0" w:line="240" w:lineRule="auto"/>
        <w:ind w:left="720" w:hanging="720"/>
        <w:mirrorIndents/>
        <w:rPr>
          <w:rFonts w:ascii="Times New Roman" w:hAnsi="Times New Roman" w:cs="Times New Roman"/>
          <w:kern w:val="0"/>
        </w:rPr>
      </w:pPr>
      <w:r w:rsidRPr="002823A3">
        <w:rPr>
          <w:rFonts w:ascii="Times New Roman" w:hAnsi="Times New Roman" w:cs="Times New Roman"/>
          <w:kern w:val="0"/>
        </w:rPr>
        <w:t>Schafer, J. L., &amp; Graham, J. W. (2002). </w:t>
      </w:r>
      <w:r w:rsidRPr="002823A3">
        <w:rPr>
          <w:rFonts w:ascii="Times New Roman" w:hAnsi="Times New Roman" w:cs="Times New Roman"/>
          <w:i/>
          <w:iCs/>
          <w:kern w:val="0"/>
        </w:rPr>
        <w:t>Missing data: Our view of the state of the art</w:t>
      </w:r>
      <w:r w:rsidRPr="002823A3">
        <w:rPr>
          <w:rFonts w:ascii="Times New Roman" w:hAnsi="Times New Roman" w:cs="Times New Roman"/>
          <w:kern w:val="0"/>
        </w:rPr>
        <w:t>. </w:t>
      </w:r>
      <w:r w:rsidRPr="002823A3">
        <w:rPr>
          <w:rFonts w:ascii="Times New Roman" w:hAnsi="Times New Roman" w:cs="Times New Roman"/>
          <w:i/>
          <w:iCs/>
          <w:kern w:val="0"/>
        </w:rPr>
        <w:t>Psychological Methods, 7</w:t>
      </w:r>
      <w:r w:rsidRPr="002823A3">
        <w:rPr>
          <w:rFonts w:ascii="Times New Roman" w:hAnsi="Times New Roman" w:cs="Times New Roman"/>
          <w:kern w:val="0"/>
        </w:rPr>
        <w:t>(2), 147–177. </w:t>
      </w:r>
      <w:hyperlink r:id="rId34" w:history="1">
        <w:r w:rsidRPr="002823A3">
          <w:rPr>
            <w:rStyle w:val="Hyperlink"/>
            <w:rFonts w:ascii="Times New Roman" w:hAnsi="Times New Roman" w:cs="Times New Roman"/>
            <w:kern w:val="0"/>
          </w:rPr>
          <w:t>https://doi.org/10.1037/1082-989X.7.2.147</w:t>
        </w:r>
      </w:hyperlink>
    </w:p>
    <w:p w14:paraId="200DB963" w14:textId="45CC3556"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Scott, J. C. (2006). The mission of the university: Medieval to postmodern transformations. </w:t>
      </w:r>
      <w:r w:rsidRPr="00AD2FC5">
        <w:rPr>
          <w:rFonts w:ascii="Times New Roman" w:hAnsi="Times New Roman" w:cs="Times New Roman"/>
          <w:i/>
          <w:iCs/>
          <w:kern w:val="0"/>
        </w:rPr>
        <w:t>The Journal of Higher Education, 77</w:t>
      </w:r>
      <w:r w:rsidRPr="00AD2FC5">
        <w:rPr>
          <w:rFonts w:ascii="Times New Roman" w:hAnsi="Times New Roman" w:cs="Times New Roman"/>
          <w:kern w:val="0"/>
        </w:rPr>
        <w:t xml:space="preserve">(1), 1–39. </w:t>
      </w:r>
      <w:hyperlink r:id="rId35" w:history="1">
        <w:r w:rsidRPr="00AD2FC5">
          <w:rPr>
            <w:rFonts w:ascii="Times New Roman" w:hAnsi="Times New Roman" w:cs="Times New Roman"/>
            <w:kern w:val="0"/>
          </w:rPr>
          <w:t>https://doi.org/10.1353/jhe.2006.0001</w:t>
        </w:r>
      </w:hyperlink>
    </w:p>
    <w:p w14:paraId="5F0BF87F" w14:textId="05E0BAD3"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proofErr w:type="spellStart"/>
      <w:r w:rsidRPr="00AD2FC5">
        <w:rPr>
          <w:rFonts w:ascii="Times New Roman" w:hAnsi="Times New Roman" w:cs="Times New Roman"/>
          <w:kern w:val="0"/>
        </w:rPr>
        <w:t>Seifan</w:t>
      </w:r>
      <w:proofErr w:type="spellEnd"/>
      <w:r w:rsidRPr="00AD2FC5">
        <w:rPr>
          <w:rFonts w:ascii="Times New Roman" w:hAnsi="Times New Roman" w:cs="Times New Roman"/>
          <w:kern w:val="0"/>
        </w:rPr>
        <w:t xml:space="preserve">, M., Lal, N., &amp; </w:t>
      </w:r>
      <w:proofErr w:type="spellStart"/>
      <w:r w:rsidRPr="00AD2FC5">
        <w:rPr>
          <w:rFonts w:ascii="Times New Roman" w:hAnsi="Times New Roman" w:cs="Times New Roman"/>
          <w:kern w:val="0"/>
        </w:rPr>
        <w:t>Berenjian</w:t>
      </w:r>
      <w:proofErr w:type="spellEnd"/>
      <w:r w:rsidRPr="00AD2FC5">
        <w:rPr>
          <w:rFonts w:ascii="Times New Roman" w:hAnsi="Times New Roman" w:cs="Times New Roman"/>
          <w:kern w:val="0"/>
        </w:rPr>
        <w:t xml:space="preserve">, A. (2022). Effect of undergraduate research on students’ learning and engagement. </w:t>
      </w:r>
      <w:r w:rsidRPr="00AD2FC5">
        <w:rPr>
          <w:rFonts w:ascii="Times New Roman" w:hAnsi="Times New Roman" w:cs="Times New Roman"/>
          <w:i/>
          <w:iCs/>
          <w:kern w:val="0"/>
        </w:rPr>
        <w:t>International Journal of Mechanical Engineering Education, 50</w:t>
      </w:r>
      <w:r w:rsidRPr="00AD2FC5">
        <w:rPr>
          <w:rFonts w:ascii="Times New Roman" w:hAnsi="Times New Roman" w:cs="Times New Roman"/>
          <w:kern w:val="0"/>
        </w:rPr>
        <w:t xml:space="preserve">(2), 326–348. </w:t>
      </w:r>
      <w:hyperlink r:id="rId36" w:history="1">
        <w:r w:rsidRPr="00AD2FC5">
          <w:rPr>
            <w:rFonts w:ascii="Times New Roman" w:hAnsi="Times New Roman" w:cs="Times New Roman"/>
            <w:kern w:val="0"/>
            <w:u w:val="single"/>
          </w:rPr>
          <w:t>https://doi.org/10.1177/0306419021988962</w:t>
        </w:r>
      </w:hyperlink>
    </w:p>
    <w:p w14:paraId="30A7B21D" w14:textId="1C5A4DB8"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Seymour, E., Hunter, A.-B., Laursen, S. L., &amp; DeAntoni, T. (2004). Establishing the benefits of research experiences for undergraduates in the sciences: First findings from a three-year study. </w:t>
      </w:r>
      <w:r w:rsidRPr="00AD2FC5">
        <w:rPr>
          <w:rFonts w:ascii="Times New Roman" w:hAnsi="Times New Roman" w:cs="Times New Roman"/>
          <w:i/>
          <w:iCs/>
          <w:kern w:val="0"/>
        </w:rPr>
        <w:t>Science Education, 88</w:t>
      </w:r>
      <w:r w:rsidRPr="00AD2FC5">
        <w:rPr>
          <w:rFonts w:ascii="Times New Roman" w:hAnsi="Times New Roman" w:cs="Times New Roman"/>
          <w:kern w:val="0"/>
        </w:rPr>
        <w:t xml:space="preserve">(4), 493–534. </w:t>
      </w:r>
      <w:hyperlink r:id="rId37" w:history="1">
        <w:r w:rsidRPr="00AD2FC5">
          <w:rPr>
            <w:rFonts w:ascii="Times New Roman" w:hAnsi="Times New Roman" w:cs="Times New Roman"/>
            <w:kern w:val="0"/>
            <w:u w:val="single"/>
          </w:rPr>
          <w:t>https://doi.org/10.1002/sce.10131</w:t>
        </w:r>
      </w:hyperlink>
    </w:p>
    <w:p w14:paraId="4B2EFF53" w14:textId="1FEA9E63"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r w:rsidRPr="00AD2FC5">
        <w:rPr>
          <w:rFonts w:ascii="Times New Roman" w:hAnsi="Times New Roman" w:cs="Times New Roman"/>
          <w:kern w:val="0"/>
        </w:rPr>
        <w:t xml:space="preserve">Sternberg, R. J. (2014). </w:t>
      </w:r>
      <w:r w:rsidRPr="00AD2FC5">
        <w:rPr>
          <w:rFonts w:ascii="Times New Roman" w:hAnsi="Times New Roman" w:cs="Times New Roman"/>
          <w:i/>
          <w:iCs/>
          <w:kern w:val="0"/>
        </w:rPr>
        <w:t>The modern land-grant university</w:t>
      </w:r>
      <w:r w:rsidRPr="00AD2FC5">
        <w:rPr>
          <w:rFonts w:ascii="Times New Roman" w:hAnsi="Times New Roman" w:cs="Times New Roman"/>
          <w:kern w:val="0"/>
        </w:rPr>
        <w:t>. Purdue University Press.</w:t>
      </w:r>
    </w:p>
    <w:p w14:paraId="3291F938" w14:textId="5F167F64"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Stets, J. E., Brenner, P. S., Burke, P. J., &amp; Serpe, R. T. (2017). The science identity and entering a science occupation. </w:t>
      </w:r>
      <w:r w:rsidRPr="00AD2FC5">
        <w:rPr>
          <w:rFonts w:ascii="Times New Roman" w:hAnsi="Times New Roman" w:cs="Times New Roman"/>
          <w:i/>
          <w:iCs/>
          <w:kern w:val="0"/>
        </w:rPr>
        <w:t>Social Science Research, 64</w:t>
      </w:r>
      <w:r w:rsidRPr="00AD2FC5">
        <w:rPr>
          <w:rFonts w:ascii="Times New Roman" w:hAnsi="Times New Roman" w:cs="Times New Roman"/>
          <w:kern w:val="0"/>
        </w:rPr>
        <w:t xml:space="preserve">, 1–14. </w:t>
      </w:r>
      <w:hyperlink r:id="rId38" w:history="1">
        <w:r w:rsidRPr="00AD2FC5">
          <w:rPr>
            <w:rFonts w:ascii="Times New Roman" w:hAnsi="Times New Roman" w:cs="Times New Roman"/>
            <w:kern w:val="0"/>
            <w:u w:val="single"/>
          </w:rPr>
          <w:t>https://doi.org/10.1016/j.ssresearch.2016.10.016</w:t>
        </w:r>
      </w:hyperlink>
    </w:p>
    <w:p w14:paraId="56744625" w14:textId="4B400FCB"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Syed, M., Zurbriggen, E. L., </w:t>
      </w:r>
      <w:proofErr w:type="spellStart"/>
      <w:r w:rsidRPr="00AD2FC5">
        <w:rPr>
          <w:rFonts w:ascii="Times New Roman" w:hAnsi="Times New Roman" w:cs="Times New Roman"/>
          <w:kern w:val="0"/>
        </w:rPr>
        <w:t>Chemers</w:t>
      </w:r>
      <w:proofErr w:type="spellEnd"/>
      <w:r w:rsidRPr="00AD2FC5">
        <w:rPr>
          <w:rFonts w:ascii="Times New Roman" w:hAnsi="Times New Roman" w:cs="Times New Roman"/>
          <w:kern w:val="0"/>
        </w:rPr>
        <w:t xml:space="preserve">, M. M., Goza, B. K., Bearman, S., Crosby, F. J., Shaw, J. M., Hunter, L., &amp; Morgan, E. M. (2019). The role of self-efficacy and identity in mediating the effects of STEM support experiences. </w:t>
      </w:r>
      <w:r w:rsidRPr="00AD2FC5">
        <w:rPr>
          <w:rFonts w:ascii="Times New Roman" w:hAnsi="Times New Roman" w:cs="Times New Roman"/>
          <w:i/>
          <w:iCs/>
          <w:kern w:val="0"/>
        </w:rPr>
        <w:t>Analyses of Social Issues and Public Policy, 19</w:t>
      </w:r>
      <w:r w:rsidRPr="00AD2FC5">
        <w:rPr>
          <w:rFonts w:ascii="Times New Roman" w:hAnsi="Times New Roman" w:cs="Times New Roman"/>
          <w:kern w:val="0"/>
        </w:rPr>
        <w:t xml:space="preserve">(1), 7–49. </w:t>
      </w:r>
      <w:hyperlink r:id="rId39" w:history="1">
        <w:r w:rsidRPr="00AD2FC5">
          <w:rPr>
            <w:rFonts w:ascii="Times New Roman" w:hAnsi="Times New Roman" w:cs="Times New Roman"/>
            <w:kern w:val="0"/>
            <w:u w:val="single"/>
          </w:rPr>
          <w:t>https://doi.org/10.1111/asap.12170</w:t>
        </w:r>
      </w:hyperlink>
    </w:p>
    <w:p w14:paraId="21F91D96" w14:textId="2DF222F3"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Tas, Y., Demiral-Uzan, M., &amp; Uzan, E. (2023). Self-efficacy for research: Development and validation of a comprehensive research self-efficacy scale (C-RSES). </w:t>
      </w:r>
      <w:r w:rsidRPr="00AD2FC5">
        <w:rPr>
          <w:rFonts w:ascii="Times New Roman" w:hAnsi="Times New Roman" w:cs="Times New Roman"/>
          <w:i/>
          <w:iCs/>
          <w:kern w:val="0"/>
        </w:rPr>
        <w:t>International Journal on Social and Education Sciences, 5</w:t>
      </w:r>
      <w:r w:rsidRPr="00AD2FC5">
        <w:rPr>
          <w:rFonts w:ascii="Times New Roman" w:hAnsi="Times New Roman" w:cs="Times New Roman"/>
          <w:kern w:val="0"/>
        </w:rPr>
        <w:t xml:space="preserve">(2), 275–294. </w:t>
      </w:r>
      <w:hyperlink r:id="rId40" w:history="1">
        <w:r w:rsidRPr="00AD2FC5">
          <w:rPr>
            <w:rFonts w:ascii="Times New Roman" w:hAnsi="Times New Roman" w:cs="Times New Roman"/>
            <w:kern w:val="0"/>
            <w:u w:val="single"/>
          </w:rPr>
          <w:t>https://doi.org/10.46328/ijonses.472</w:t>
        </w:r>
      </w:hyperlink>
    </w:p>
    <w:p w14:paraId="6CF0B8EA" w14:textId="7777777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proofErr w:type="spellStart"/>
      <w:r w:rsidRPr="00AD2FC5">
        <w:rPr>
          <w:rFonts w:ascii="Times New Roman" w:hAnsi="Times New Roman" w:cs="Times New Roman"/>
          <w:kern w:val="0"/>
        </w:rPr>
        <w:t>Trow</w:t>
      </w:r>
      <w:proofErr w:type="spellEnd"/>
      <w:r w:rsidRPr="00AD2FC5">
        <w:rPr>
          <w:rFonts w:ascii="Times New Roman" w:hAnsi="Times New Roman" w:cs="Times New Roman"/>
          <w:kern w:val="0"/>
        </w:rPr>
        <w:t xml:space="preserve">, M. (1973). </w:t>
      </w:r>
      <w:r w:rsidRPr="00AD2FC5">
        <w:rPr>
          <w:rFonts w:ascii="Times New Roman" w:hAnsi="Times New Roman" w:cs="Times New Roman"/>
          <w:i/>
          <w:iCs/>
          <w:kern w:val="0"/>
        </w:rPr>
        <w:t>Problems in the transition from elite to mass higher education</w:t>
      </w:r>
      <w:r w:rsidRPr="00AD2FC5">
        <w:rPr>
          <w:rFonts w:ascii="Times New Roman" w:hAnsi="Times New Roman" w:cs="Times New Roman"/>
          <w:kern w:val="0"/>
        </w:rPr>
        <w:t xml:space="preserve">. Carnegie Commission on Higher Education. </w:t>
      </w:r>
      <w:hyperlink r:id="rId41" w:history="1">
        <w:r w:rsidRPr="00AD2FC5">
          <w:rPr>
            <w:rFonts w:ascii="Times New Roman" w:hAnsi="Times New Roman" w:cs="Times New Roman"/>
            <w:kern w:val="0"/>
            <w:u w:val="single"/>
          </w:rPr>
          <w:t>https://eric.ed.gov/?id=ED091983</w:t>
        </w:r>
      </w:hyperlink>
    </w:p>
    <w:p w14:paraId="69F2D667" w14:textId="2FE7371C" w:rsidR="00900072" w:rsidRPr="00AD2FC5" w:rsidRDefault="006078B2" w:rsidP="001312F8">
      <w:pPr>
        <w:autoSpaceDE w:val="0"/>
        <w:autoSpaceDN w:val="0"/>
        <w:spacing w:after="0" w:line="240" w:lineRule="auto"/>
        <w:ind w:left="720" w:hanging="720"/>
        <w:mirrorIndents/>
        <w:rPr>
          <w:rFonts w:ascii="Times New Roman" w:hAnsi="Times New Roman" w:cs="Times New Roman"/>
          <w:kern w:val="0"/>
        </w:rPr>
      </w:pPr>
      <w:r w:rsidRPr="006078B2">
        <w:rPr>
          <w:rFonts w:ascii="Times New Roman" w:hAnsi="Times New Roman" w:cs="Times New Roman"/>
          <w:kern w:val="0"/>
        </w:rPr>
        <w:t>West, B. T., Welch, K. B., &amp; Galecki, A. T. (2014). </w:t>
      </w:r>
      <w:r w:rsidRPr="006078B2">
        <w:rPr>
          <w:rFonts w:ascii="Times New Roman" w:hAnsi="Times New Roman" w:cs="Times New Roman"/>
          <w:i/>
          <w:iCs/>
          <w:kern w:val="0"/>
        </w:rPr>
        <w:t>Linear mixed models: A practical guide using statistical software</w:t>
      </w:r>
      <w:r w:rsidRPr="006078B2">
        <w:rPr>
          <w:rFonts w:ascii="Times New Roman" w:hAnsi="Times New Roman" w:cs="Times New Roman"/>
          <w:kern w:val="0"/>
        </w:rPr>
        <w:t> (2nd ed.). CRC Press.</w:t>
      </w:r>
    </w:p>
    <w:p w14:paraId="49FAB3B7" w14:textId="6059A0CB"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u w:val="single"/>
        </w:rPr>
      </w:pPr>
      <w:r w:rsidRPr="00AD2FC5">
        <w:rPr>
          <w:rFonts w:ascii="Times New Roman" w:hAnsi="Times New Roman" w:cs="Times New Roman"/>
          <w:kern w:val="0"/>
        </w:rPr>
        <w:t xml:space="preserve">Zamorski, B. (2002). Research-led teaching and learning in higher education: A case. </w:t>
      </w:r>
      <w:r w:rsidRPr="00AD2FC5">
        <w:rPr>
          <w:rFonts w:ascii="Times New Roman" w:hAnsi="Times New Roman" w:cs="Times New Roman"/>
          <w:i/>
          <w:iCs/>
          <w:kern w:val="0"/>
        </w:rPr>
        <w:t>Teaching in Higher Education, 7</w:t>
      </w:r>
      <w:r w:rsidRPr="00AD2FC5">
        <w:rPr>
          <w:rFonts w:ascii="Times New Roman" w:hAnsi="Times New Roman" w:cs="Times New Roman"/>
          <w:kern w:val="0"/>
        </w:rPr>
        <w:t xml:space="preserve">(4), 411–427. </w:t>
      </w:r>
      <w:hyperlink r:id="rId42" w:history="1">
        <w:r w:rsidRPr="00AD2FC5">
          <w:rPr>
            <w:rFonts w:ascii="Times New Roman" w:hAnsi="Times New Roman" w:cs="Times New Roman"/>
            <w:kern w:val="0"/>
            <w:u w:val="single"/>
          </w:rPr>
          <w:t>https://doi.org/10.1080/135625102760553919</w:t>
        </w:r>
      </w:hyperlink>
    </w:p>
    <w:p w14:paraId="31CD56C3" w14:textId="7777777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proofErr w:type="spellStart"/>
      <w:r w:rsidRPr="00AD2FC5">
        <w:rPr>
          <w:rFonts w:ascii="Times New Roman" w:hAnsi="Times New Roman" w:cs="Times New Roman"/>
          <w:kern w:val="0"/>
        </w:rPr>
        <w:t>Zydney</w:t>
      </w:r>
      <w:proofErr w:type="spellEnd"/>
      <w:r w:rsidRPr="00AD2FC5">
        <w:rPr>
          <w:rFonts w:ascii="Times New Roman" w:hAnsi="Times New Roman" w:cs="Times New Roman"/>
          <w:kern w:val="0"/>
        </w:rPr>
        <w:t xml:space="preserve">, A. L., Bennett, J. S., Shahid, A., &amp; Bauer, K. W. (2002). Impact of undergraduate research experience in engineering. </w:t>
      </w:r>
      <w:r w:rsidRPr="00AD2FC5">
        <w:rPr>
          <w:rFonts w:ascii="Times New Roman" w:hAnsi="Times New Roman" w:cs="Times New Roman"/>
          <w:i/>
          <w:iCs/>
          <w:kern w:val="0"/>
        </w:rPr>
        <w:t>Journal of Engineering Education, 91</w:t>
      </w:r>
      <w:r w:rsidRPr="00AD2FC5">
        <w:rPr>
          <w:rFonts w:ascii="Times New Roman" w:hAnsi="Times New Roman" w:cs="Times New Roman"/>
          <w:kern w:val="0"/>
        </w:rPr>
        <w:t xml:space="preserve">(2), 151–157. </w:t>
      </w:r>
      <w:hyperlink r:id="rId43" w:history="1">
        <w:r w:rsidRPr="00AD2FC5">
          <w:rPr>
            <w:rFonts w:ascii="Times New Roman" w:hAnsi="Times New Roman" w:cs="Times New Roman"/>
            <w:kern w:val="0"/>
            <w:u w:val="single"/>
          </w:rPr>
          <w:t>https://doi.org/10.1002/j.2168-9830.2002.tb00687.x</w:t>
        </w:r>
      </w:hyperlink>
    </w:p>
    <w:p w14:paraId="2D86442B" w14:textId="7777777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p>
    <w:p w14:paraId="12F1EA7C" w14:textId="77777777" w:rsidR="00900072" w:rsidRPr="00AD2FC5" w:rsidRDefault="00900072" w:rsidP="001312F8">
      <w:pPr>
        <w:autoSpaceDE w:val="0"/>
        <w:autoSpaceDN w:val="0"/>
        <w:spacing w:after="0" w:line="240" w:lineRule="auto"/>
        <w:ind w:left="720" w:hanging="720"/>
        <w:mirrorIndents/>
        <w:rPr>
          <w:rFonts w:ascii="Times New Roman" w:hAnsi="Times New Roman" w:cs="Times New Roman"/>
          <w:kern w:val="0"/>
        </w:rPr>
      </w:pPr>
    </w:p>
    <w:p w14:paraId="02ECACB3" w14:textId="77777777" w:rsidR="00DE492A" w:rsidRPr="00AD2FC5" w:rsidRDefault="00DE492A" w:rsidP="001312F8">
      <w:pPr>
        <w:spacing w:line="240" w:lineRule="auto"/>
        <w:rPr>
          <w:rFonts w:ascii="Times New Roman" w:hAnsi="Times New Roman" w:cs="Times New Roman"/>
        </w:rPr>
      </w:pPr>
    </w:p>
    <w:sectPr w:rsidR="00DE492A" w:rsidRPr="00AD2F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CC1B3" w14:textId="77777777" w:rsidR="002C5014" w:rsidRDefault="002C5014" w:rsidP="008C253A">
      <w:pPr>
        <w:spacing w:after="0" w:line="240" w:lineRule="auto"/>
      </w:pPr>
      <w:r>
        <w:separator/>
      </w:r>
    </w:p>
  </w:endnote>
  <w:endnote w:type="continuationSeparator" w:id="0">
    <w:p w14:paraId="211E749A" w14:textId="77777777" w:rsidR="002C5014" w:rsidRDefault="002C5014" w:rsidP="008C2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nstantia">
    <w:panose1 w:val="02030602050306030303"/>
    <w:charset w:val="00"/>
    <w:family w:val="roman"/>
    <w:pitch w:val="variable"/>
    <w:sig w:usb0="A00002EF" w:usb1="400020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Body CS)">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3575418"/>
      <w:docPartObj>
        <w:docPartGallery w:val="Page Numbers (Bottom of Page)"/>
        <w:docPartUnique/>
      </w:docPartObj>
    </w:sdtPr>
    <w:sdtEndPr>
      <w:rPr>
        <w:rStyle w:val="PageNumber"/>
      </w:rPr>
    </w:sdtEndPr>
    <w:sdtContent>
      <w:p w14:paraId="5C1A14CE" w14:textId="1FD6B1C6" w:rsidR="008C253A" w:rsidRDefault="008C25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A4BE7">
          <w:rPr>
            <w:rStyle w:val="PageNumber"/>
            <w:noProof/>
          </w:rPr>
          <w:t>4</w:t>
        </w:r>
        <w:r>
          <w:rPr>
            <w:rStyle w:val="PageNumber"/>
          </w:rPr>
          <w:fldChar w:fldCharType="end"/>
        </w:r>
      </w:p>
    </w:sdtContent>
  </w:sdt>
  <w:p w14:paraId="7D6D105F" w14:textId="77777777" w:rsidR="008C253A" w:rsidRDefault="008C25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209035727"/>
      <w:docPartObj>
        <w:docPartGallery w:val="Page Numbers (Bottom of Page)"/>
        <w:docPartUnique/>
      </w:docPartObj>
    </w:sdtPr>
    <w:sdtEndPr>
      <w:rPr>
        <w:rStyle w:val="PageNumber"/>
      </w:rPr>
    </w:sdtEndPr>
    <w:sdtContent>
      <w:p w14:paraId="52BF6435" w14:textId="6A85F018" w:rsidR="008C253A" w:rsidRPr="001312F8" w:rsidRDefault="008C253A">
        <w:pPr>
          <w:pStyle w:val="Footer"/>
          <w:framePr w:wrap="none" w:vAnchor="text" w:hAnchor="margin" w:xAlign="center" w:y="1"/>
          <w:rPr>
            <w:rStyle w:val="PageNumber"/>
            <w:rFonts w:ascii="Times New Roman" w:hAnsi="Times New Roman" w:cs="Times New Roman"/>
          </w:rPr>
        </w:pPr>
        <w:r w:rsidRPr="001312F8">
          <w:rPr>
            <w:rStyle w:val="PageNumber"/>
            <w:rFonts w:ascii="Times New Roman" w:hAnsi="Times New Roman" w:cs="Times New Roman"/>
          </w:rPr>
          <w:fldChar w:fldCharType="begin"/>
        </w:r>
        <w:r w:rsidRPr="001312F8">
          <w:rPr>
            <w:rStyle w:val="PageNumber"/>
            <w:rFonts w:ascii="Times New Roman" w:hAnsi="Times New Roman" w:cs="Times New Roman"/>
          </w:rPr>
          <w:instrText xml:space="preserve"> PAGE </w:instrText>
        </w:r>
        <w:r w:rsidRPr="001312F8">
          <w:rPr>
            <w:rStyle w:val="PageNumber"/>
            <w:rFonts w:ascii="Times New Roman" w:hAnsi="Times New Roman" w:cs="Times New Roman"/>
          </w:rPr>
          <w:fldChar w:fldCharType="separate"/>
        </w:r>
        <w:r w:rsidRPr="001312F8">
          <w:rPr>
            <w:rStyle w:val="PageNumber"/>
            <w:rFonts w:ascii="Times New Roman" w:hAnsi="Times New Roman" w:cs="Times New Roman"/>
            <w:noProof/>
          </w:rPr>
          <w:t>1</w:t>
        </w:r>
        <w:r w:rsidRPr="001312F8">
          <w:rPr>
            <w:rStyle w:val="PageNumber"/>
            <w:rFonts w:ascii="Times New Roman" w:hAnsi="Times New Roman" w:cs="Times New Roman"/>
          </w:rPr>
          <w:fldChar w:fldCharType="end"/>
        </w:r>
      </w:p>
    </w:sdtContent>
  </w:sdt>
  <w:p w14:paraId="6DCC5400" w14:textId="77777777" w:rsidR="008C253A" w:rsidRDefault="008C2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6A769" w14:textId="77777777" w:rsidR="002C5014" w:rsidRDefault="002C5014" w:rsidP="008C253A">
      <w:pPr>
        <w:spacing w:after="0" w:line="240" w:lineRule="auto"/>
      </w:pPr>
      <w:r>
        <w:separator/>
      </w:r>
    </w:p>
  </w:footnote>
  <w:footnote w:type="continuationSeparator" w:id="0">
    <w:p w14:paraId="14C1E8E1" w14:textId="77777777" w:rsidR="002C5014" w:rsidRDefault="002C5014" w:rsidP="008C2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45299"/>
    <w:multiLevelType w:val="hybridMultilevel"/>
    <w:tmpl w:val="E3C000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8E423E1"/>
    <w:multiLevelType w:val="hybridMultilevel"/>
    <w:tmpl w:val="33B2AF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C773085"/>
    <w:multiLevelType w:val="hybridMultilevel"/>
    <w:tmpl w:val="94E6AC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DD5A72"/>
    <w:multiLevelType w:val="hybridMultilevel"/>
    <w:tmpl w:val="AAF64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1594907">
    <w:abstractNumId w:val="2"/>
  </w:num>
  <w:num w:numId="2" w16cid:durableId="1500342195">
    <w:abstractNumId w:val="1"/>
  </w:num>
  <w:num w:numId="3" w16cid:durableId="1948272454">
    <w:abstractNumId w:val="0"/>
  </w:num>
  <w:num w:numId="4" w16cid:durableId="1167674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7EB"/>
    <w:rsid w:val="0000658D"/>
    <w:rsid w:val="00007402"/>
    <w:rsid w:val="00007B0F"/>
    <w:rsid w:val="00014066"/>
    <w:rsid w:val="00022615"/>
    <w:rsid w:val="000242B5"/>
    <w:rsid w:val="000245CC"/>
    <w:rsid w:val="00026AD3"/>
    <w:rsid w:val="0005094A"/>
    <w:rsid w:val="00057EA8"/>
    <w:rsid w:val="0006643B"/>
    <w:rsid w:val="00071926"/>
    <w:rsid w:val="00071C74"/>
    <w:rsid w:val="0007673A"/>
    <w:rsid w:val="000804D6"/>
    <w:rsid w:val="00081310"/>
    <w:rsid w:val="0008172C"/>
    <w:rsid w:val="000817D3"/>
    <w:rsid w:val="00082D50"/>
    <w:rsid w:val="00084E8B"/>
    <w:rsid w:val="00087787"/>
    <w:rsid w:val="000A4ED8"/>
    <w:rsid w:val="000B5D69"/>
    <w:rsid w:val="000B764D"/>
    <w:rsid w:val="000C140B"/>
    <w:rsid w:val="000C3CFF"/>
    <w:rsid w:val="000D4B28"/>
    <w:rsid w:val="000E178E"/>
    <w:rsid w:val="000E193F"/>
    <w:rsid w:val="000E6F3D"/>
    <w:rsid w:val="000F0EE4"/>
    <w:rsid w:val="000F11E4"/>
    <w:rsid w:val="000F4535"/>
    <w:rsid w:val="000F75FA"/>
    <w:rsid w:val="0010395B"/>
    <w:rsid w:val="00104A1E"/>
    <w:rsid w:val="00111223"/>
    <w:rsid w:val="00116DC6"/>
    <w:rsid w:val="0012453F"/>
    <w:rsid w:val="00125DE9"/>
    <w:rsid w:val="001312F8"/>
    <w:rsid w:val="0013304E"/>
    <w:rsid w:val="001347E3"/>
    <w:rsid w:val="00134D7B"/>
    <w:rsid w:val="00135A38"/>
    <w:rsid w:val="00143608"/>
    <w:rsid w:val="00145885"/>
    <w:rsid w:val="00166FA7"/>
    <w:rsid w:val="001731FA"/>
    <w:rsid w:val="00181063"/>
    <w:rsid w:val="001838C4"/>
    <w:rsid w:val="0018464D"/>
    <w:rsid w:val="00185D7D"/>
    <w:rsid w:val="00187E3B"/>
    <w:rsid w:val="001912C4"/>
    <w:rsid w:val="001923D8"/>
    <w:rsid w:val="00192D00"/>
    <w:rsid w:val="001A1A2C"/>
    <w:rsid w:val="001B2F90"/>
    <w:rsid w:val="001B3349"/>
    <w:rsid w:val="001B4EDD"/>
    <w:rsid w:val="001B63A3"/>
    <w:rsid w:val="001B7C08"/>
    <w:rsid w:val="001C2382"/>
    <w:rsid w:val="001C4A5E"/>
    <w:rsid w:val="001C6214"/>
    <w:rsid w:val="001D5BA9"/>
    <w:rsid w:val="001E66D4"/>
    <w:rsid w:val="001E7314"/>
    <w:rsid w:val="001F08C7"/>
    <w:rsid w:val="001F08EA"/>
    <w:rsid w:val="001F4FA4"/>
    <w:rsid w:val="00203113"/>
    <w:rsid w:val="00204573"/>
    <w:rsid w:val="00211417"/>
    <w:rsid w:val="00213B60"/>
    <w:rsid w:val="00215531"/>
    <w:rsid w:val="002168B3"/>
    <w:rsid w:val="00222719"/>
    <w:rsid w:val="00222B53"/>
    <w:rsid w:val="002258F6"/>
    <w:rsid w:val="00245804"/>
    <w:rsid w:val="002468A6"/>
    <w:rsid w:val="00247367"/>
    <w:rsid w:val="00267EFB"/>
    <w:rsid w:val="002707C0"/>
    <w:rsid w:val="00276841"/>
    <w:rsid w:val="002777A0"/>
    <w:rsid w:val="0028037E"/>
    <w:rsid w:val="002823A3"/>
    <w:rsid w:val="0028589C"/>
    <w:rsid w:val="00294AAD"/>
    <w:rsid w:val="0029526E"/>
    <w:rsid w:val="00296FBD"/>
    <w:rsid w:val="00297F49"/>
    <w:rsid w:val="002B15C3"/>
    <w:rsid w:val="002B1E1D"/>
    <w:rsid w:val="002B2693"/>
    <w:rsid w:val="002C0421"/>
    <w:rsid w:val="002C0ABE"/>
    <w:rsid w:val="002C1A0C"/>
    <w:rsid w:val="002C5014"/>
    <w:rsid w:val="002D2615"/>
    <w:rsid w:val="002D6533"/>
    <w:rsid w:val="002F1FE2"/>
    <w:rsid w:val="003053CB"/>
    <w:rsid w:val="0030568D"/>
    <w:rsid w:val="00305BBF"/>
    <w:rsid w:val="003102C3"/>
    <w:rsid w:val="003115EF"/>
    <w:rsid w:val="00311D76"/>
    <w:rsid w:val="003131BE"/>
    <w:rsid w:val="00320D0D"/>
    <w:rsid w:val="00332DFA"/>
    <w:rsid w:val="00334D77"/>
    <w:rsid w:val="003365D6"/>
    <w:rsid w:val="00352D35"/>
    <w:rsid w:val="00354D59"/>
    <w:rsid w:val="003553C3"/>
    <w:rsid w:val="0035764C"/>
    <w:rsid w:val="00357FF0"/>
    <w:rsid w:val="00360444"/>
    <w:rsid w:val="00370C4B"/>
    <w:rsid w:val="00375531"/>
    <w:rsid w:val="003821B0"/>
    <w:rsid w:val="00384581"/>
    <w:rsid w:val="00386465"/>
    <w:rsid w:val="00393D56"/>
    <w:rsid w:val="003A1367"/>
    <w:rsid w:val="003A6864"/>
    <w:rsid w:val="003A79AB"/>
    <w:rsid w:val="003B1013"/>
    <w:rsid w:val="003B3DFF"/>
    <w:rsid w:val="003B5080"/>
    <w:rsid w:val="003B5E44"/>
    <w:rsid w:val="003C61A3"/>
    <w:rsid w:val="003E3156"/>
    <w:rsid w:val="003E67D5"/>
    <w:rsid w:val="003F1E2D"/>
    <w:rsid w:val="004066DC"/>
    <w:rsid w:val="00420916"/>
    <w:rsid w:val="00425CB4"/>
    <w:rsid w:val="00426D89"/>
    <w:rsid w:val="00426FCD"/>
    <w:rsid w:val="00431B23"/>
    <w:rsid w:val="00435C50"/>
    <w:rsid w:val="00445F8D"/>
    <w:rsid w:val="00447AB8"/>
    <w:rsid w:val="00452255"/>
    <w:rsid w:val="00453DBE"/>
    <w:rsid w:val="00463B9F"/>
    <w:rsid w:val="004661A0"/>
    <w:rsid w:val="00467055"/>
    <w:rsid w:val="0047086F"/>
    <w:rsid w:val="00472CE3"/>
    <w:rsid w:val="00484E6D"/>
    <w:rsid w:val="00484FA1"/>
    <w:rsid w:val="004913AA"/>
    <w:rsid w:val="00492C81"/>
    <w:rsid w:val="004970E9"/>
    <w:rsid w:val="004A2A8F"/>
    <w:rsid w:val="004A2B2D"/>
    <w:rsid w:val="004A40D3"/>
    <w:rsid w:val="004A671E"/>
    <w:rsid w:val="004B42BA"/>
    <w:rsid w:val="004B70E1"/>
    <w:rsid w:val="004C20F6"/>
    <w:rsid w:val="004C5627"/>
    <w:rsid w:val="004C68C2"/>
    <w:rsid w:val="004C6BBE"/>
    <w:rsid w:val="004D2B21"/>
    <w:rsid w:val="004D3B50"/>
    <w:rsid w:val="004D461D"/>
    <w:rsid w:val="004E06F1"/>
    <w:rsid w:val="004E45CC"/>
    <w:rsid w:val="004E62A4"/>
    <w:rsid w:val="004F6AF4"/>
    <w:rsid w:val="0050007C"/>
    <w:rsid w:val="0050479B"/>
    <w:rsid w:val="005066A2"/>
    <w:rsid w:val="0051285D"/>
    <w:rsid w:val="00522F35"/>
    <w:rsid w:val="005338D2"/>
    <w:rsid w:val="00536DE9"/>
    <w:rsid w:val="00540155"/>
    <w:rsid w:val="00557106"/>
    <w:rsid w:val="005617FB"/>
    <w:rsid w:val="005663A6"/>
    <w:rsid w:val="00567BBD"/>
    <w:rsid w:val="00570BC7"/>
    <w:rsid w:val="005819C5"/>
    <w:rsid w:val="00582FEF"/>
    <w:rsid w:val="005863FA"/>
    <w:rsid w:val="0059610F"/>
    <w:rsid w:val="005A682A"/>
    <w:rsid w:val="005B2252"/>
    <w:rsid w:val="005B328A"/>
    <w:rsid w:val="005B5B75"/>
    <w:rsid w:val="005C6737"/>
    <w:rsid w:val="005D27AB"/>
    <w:rsid w:val="005D4DD3"/>
    <w:rsid w:val="005D5C3D"/>
    <w:rsid w:val="005D66DE"/>
    <w:rsid w:val="005D6EAC"/>
    <w:rsid w:val="005D729D"/>
    <w:rsid w:val="005E1A32"/>
    <w:rsid w:val="005F09D9"/>
    <w:rsid w:val="005F1B15"/>
    <w:rsid w:val="006078B2"/>
    <w:rsid w:val="00611B31"/>
    <w:rsid w:val="006120B1"/>
    <w:rsid w:val="0061462C"/>
    <w:rsid w:val="0061668F"/>
    <w:rsid w:val="00620910"/>
    <w:rsid w:val="00622940"/>
    <w:rsid w:val="00625420"/>
    <w:rsid w:val="00630964"/>
    <w:rsid w:val="006353DB"/>
    <w:rsid w:val="00640A55"/>
    <w:rsid w:val="006443F9"/>
    <w:rsid w:val="00652837"/>
    <w:rsid w:val="00660619"/>
    <w:rsid w:val="0066242D"/>
    <w:rsid w:val="00672A44"/>
    <w:rsid w:val="00674BB9"/>
    <w:rsid w:val="00683CE7"/>
    <w:rsid w:val="006A2910"/>
    <w:rsid w:val="006A3A09"/>
    <w:rsid w:val="006A5FC2"/>
    <w:rsid w:val="006A60CD"/>
    <w:rsid w:val="006B5187"/>
    <w:rsid w:val="006B582D"/>
    <w:rsid w:val="006B7C04"/>
    <w:rsid w:val="006C3D21"/>
    <w:rsid w:val="006C721C"/>
    <w:rsid w:val="006D1CD4"/>
    <w:rsid w:val="006D4783"/>
    <w:rsid w:val="006D5B2C"/>
    <w:rsid w:val="006D5F4E"/>
    <w:rsid w:val="006D7564"/>
    <w:rsid w:val="006E3D95"/>
    <w:rsid w:val="006E482F"/>
    <w:rsid w:val="006F18CD"/>
    <w:rsid w:val="006F59F1"/>
    <w:rsid w:val="00714857"/>
    <w:rsid w:val="00715819"/>
    <w:rsid w:val="007166E9"/>
    <w:rsid w:val="00717469"/>
    <w:rsid w:val="0072371A"/>
    <w:rsid w:val="007402FB"/>
    <w:rsid w:val="00754C21"/>
    <w:rsid w:val="00762BC4"/>
    <w:rsid w:val="00763C1A"/>
    <w:rsid w:val="007718EF"/>
    <w:rsid w:val="00774B5F"/>
    <w:rsid w:val="00777E27"/>
    <w:rsid w:val="00781431"/>
    <w:rsid w:val="007854B6"/>
    <w:rsid w:val="00793859"/>
    <w:rsid w:val="00795B95"/>
    <w:rsid w:val="007A111C"/>
    <w:rsid w:val="007A6E7E"/>
    <w:rsid w:val="007A7B0B"/>
    <w:rsid w:val="007B0129"/>
    <w:rsid w:val="007B0518"/>
    <w:rsid w:val="007B07EB"/>
    <w:rsid w:val="007B25FF"/>
    <w:rsid w:val="007B4161"/>
    <w:rsid w:val="007D1D4E"/>
    <w:rsid w:val="007F22B5"/>
    <w:rsid w:val="007F4C86"/>
    <w:rsid w:val="007F6E80"/>
    <w:rsid w:val="008051F8"/>
    <w:rsid w:val="00811AB1"/>
    <w:rsid w:val="00812AAC"/>
    <w:rsid w:val="00827DEE"/>
    <w:rsid w:val="00833101"/>
    <w:rsid w:val="00835758"/>
    <w:rsid w:val="00840754"/>
    <w:rsid w:val="00842FA1"/>
    <w:rsid w:val="00847636"/>
    <w:rsid w:val="00847EA7"/>
    <w:rsid w:val="008619F5"/>
    <w:rsid w:val="00862937"/>
    <w:rsid w:val="0086461D"/>
    <w:rsid w:val="00865690"/>
    <w:rsid w:val="0086649E"/>
    <w:rsid w:val="00870B72"/>
    <w:rsid w:val="00871DCF"/>
    <w:rsid w:val="00872D0A"/>
    <w:rsid w:val="0088010C"/>
    <w:rsid w:val="0088071B"/>
    <w:rsid w:val="0089428F"/>
    <w:rsid w:val="008A2520"/>
    <w:rsid w:val="008A6CDD"/>
    <w:rsid w:val="008C253A"/>
    <w:rsid w:val="008C3A76"/>
    <w:rsid w:val="008C4045"/>
    <w:rsid w:val="008D0345"/>
    <w:rsid w:val="008E0C36"/>
    <w:rsid w:val="008E4489"/>
    <w:rsid w:val="008F4921"/>
    <w:rsid w:val="008F568A"/>
    <w:rsid w:val="008F667C"/>
    <w:rsid w:val="00900072"/>
    <w:rsid w:val="00901DE3"/>
    <w:rsid w:val="00905010"/>
    <w:rsid w:val="00910905"/>
    <w:rsid w:val="009152F0"/>
    <w:rsid w:val="009266CA"/>
    <w:rsid w:val="00931F23"/>
    <w:rsid w:val="00933143"/>
    <w:rsid w:val="009340CE"/>
    <w:rsid w:val="00947E6B"/>
    <w:rsid w:val="009603AF"/>
    <w:rsid w:val="009648FE"/>
    <w:rsid w:val="00965D21"/>
    <w:rsid w:val="009664B6"/>
    <w:rsid w:val="009739C3"/>
    <w:rsid w:val="0097762A"/>
    <w:rsid w:val="00982EC5"/>
    <w:rsid w:val="009910B0"/>
    <w:rsid w:val="00996549"/>
    <w:rsid w:val="009A1FF5"/>
    <w:rsid w:val="009A7986"/>
    <w:rsid w:val="009B04D5"/>
    <w:rsid w:val="009B4EDB"/>
    <w:rsid w:val="009B618A"/>
    <w:rsid w:val="009C1A31"/>
    <w:rsid w:val="009C2720"/>
    <w:rsid w:val="009C6B49"/>
    <w:rsid w:val="009D5AF0"/>
    <w:rsid w:val="009D5B85"/>
    <w:rsid w:val="009D7AD7"/>
    <w:rsid w:val="009E30A8"/>
    <w:rsid w:val="009E3D6A"/>
    <w:rsid w:val="009F2417"/>
    <w:rsid w:val="009F64FA"/>
    <w:rsid w:val="00A067BE"/>
    <w:rsid w:val="00A11604"/>
    <w:rsid w:val="00A123D1"/>
    <w:rsid w:val="00A12E71"/>
    <w:rsid w:val="00A215E6"/>
    <w:rsid w:val="00A24712"/>
    <w:rsid w:val="00A32196"/>
    <w:rsid w:val="00A328D4"/>
    <w:rsid w:val="00A34195"/>
    <w:rsid w:val="00A35A02"/>
    <w:rsid w:val="00A364B0"/>
    <w:rsid w:val="00A4052B"/>
    <w:rsid w:val="00A50EC2"/>
    <w:rsid w:val="00A51CA7"/>
    <w:rsid w:val="00A54D3C"/>
    <w:rsid w:val="00A6458D"/>
    <w:rsid w:val="00A6500F"/>
    <w:rsid w:val="00A70998"/>
    <w:rsid w:val="00A72F0D"/>
    <w:rsid w:val="00A76A03"/>
    <w:rsid w:val="00A778F2"/>
    <w:rsid w:val="00A92510"/>
    <w:rsid w:val="00A92C4A"/>
    <w:rsid w:val="00AA24FA"/>
    <w:rsid w:val="00AA4BE7"/>
    <w:rsid w:val="00AA4E2C"/>
    <w:rsid w:val="00AA5E27"/>
    <w:rsid w:val="00AA63F9"/>
    <w:rsid w:val="00AB0927"/>
    <w:rsid w:val="00AB24F5"/>
    <w:rsid w:val="00AB3D18"/>
    <w:rsid w:val="00AB60C4"/>
    <w:rsid w:val="00AC35F2"/>
    <w:rsid w:val="00AC576E"/>
    <w:rsid w:val="00AC7C15"/>
    <w:rsid w:val="00AD2FC5"/>
    <w:rsid w:val="00AD62FE"/>
    <w:rsid w:val="00AE5A00"/>
    <w:rsid w:val="00AF2AC8"/>
    <w:rsid w:val="00AF522B"/>
    <w:rsid w:val="00AF53B8"/>
    <w:rsid w:val="00AF5FDB"/>
    <w:rsid w:val="00AF6C4B"/>
    <w:rsid w:val="00B11E10"/>
    <w:rsid w:val="00B123D4"/>
    <w:rsid w:val="00B13C83"/>
    <w:rsid w:val="00B152E5"/>
    <w:rsid w:val="00B17DBA"/>
    <w:rsid w:val="00B20B56"/>
    <w:rsid w:val="00B226A9"/>
    <w:rsid w:val="00B24AB4"/>
    <w:rsid w:val="00B324CA"/>
    <w:rsid w:val="00B40DA2"/>
    <w:rsid w:val="00B4446D"/>
    <w:rsid w:val="00B50D67"/>
    <w:rsid w:val="00B53A53"/>
    <w:rsid w:val="00B55287"/>
    <w:rsid w:val="00B555E3"/>
    <w:rsid w:val="00B71154"/>
    <w:rsid w:val="00B72E5A"/>
    <w:rsid w:val="00B747DD"/>
    <w:rsid w:val="00B801C1"/>
    <w:rsid w:val="00B844AE"/>
    <w:rsid w:val="00B930DC"/>
    <w:rsid w:val="00B941F1"/>
    <w:rsid w:val="00B971D3"/>
    <w:rsid w:val="00BA31A5"/>
    <w:rsid w:val="00BA594F"/>
    <w:rsid w:val="00BA690F"/>
    <w:rsid w:val="00BA70ED"/>
    <w:rsid w:val="00BC3535"/>
    <w:rsid w:val="00BD0DF8"/>
    <w:rsid w:val="00BD6DC0"/>
    <w:rsid w:val="00BE09A3"/>
    <w:rsid w:val="00BE453F"/>
    <w:rsid w:val="00BE708A"/>
    <w:rsid w:val="00BE759A"/>
    <w:rsid w:val="00BF7BF8"/>
    <w:rsid w:val="00C02933"/>
    <w:rsid w:val="00C02DCF"/>
    <w:rsid w:val="00C02F07"/>
    <w:rsid w:val="00C0797A"/>
    <w:rsid w:val="00C15E72"/>
    <w:rsid w:val="00C17042"/>
    <w:rsid w:val="00C24890"/>
    <w:rsid w:val="00C26048"/>
    <w:rsid w:val="00C27D7D"/>
    <w:rsid w:val="00C31C06"/>
    <w:rsid w:val="00C323EE"/>
    <w:rsid w:val="00C3500D"/>
    <w:rsid w:val="00C41D86"/>
    <w:rsid w:val="00C4288A"/>
    <w:rsid w:val="00C44E01"/>
    <w:rsid w:val="00C53A12"/>
    <w:rsid w:val="00C56B63"/>
    <w:rsid w:val="00C60F5F"/>
    <w:rsid w:val="00C62754"/>
    <w:rsid w:val="00C81A46"/>
    <w:rsid w:val="00C97015"/>
    <w:rsid w:val="00C97EC1"/>
    <w:rsid w:val="00CA1D62"/>
    <w:rsid w:val="00CA58A9"/>
    <w:rsid w:val="00CA6305"/>
    <w:rsid w:val="00CB1F96"/>
    <w:rsid w:val="00CB34E7"/>
    <w:rsid w:val="00CB6AD2"/>
    <w:rsid w:val="00CC18E0"/>
    <w:rsid w:val="00CC2469"/>
    <w:rsid w:val="00CD1607"/>
    <w:rsid w:val="00CD1BFF"/>
    <w:rsid w:val="00CD3992"/>
    <w:rsid w:val="00CE3AC5"/>
    <w:rsid w:val="00CE4C6E"/>
    <w:rsid w:val="00CF3644"/>
    <w:rsid w:val="00D13F59"/>
    <w:rsid w:val="00D15FB2"/>
    <w:rsid w:val="00D21AB9"/>
    <w:rsid w:val="00D22F7F"/>
    <w:rsid w:val="00D231B4"/>
    <w:rsid w:val="00D2359E"/>
    <w:rsid w:val="00D254A1"/>
    <w:rsid w:val="00D5522B"/>
    <w:rsid w:val="00D55C29"/>
    <w:rsid w:val="00D60708"/>
    <w:rsid w:val="00D63EC8"/>
    <w:rsid w:val="00D65E21"/>
    <w:rsid w:val="00D72A6B"/>
    <w:rsid w:val="00D820E2"/>
    <w:rsid w:val="00D822E4"/>
    <w:rsid w:val="00D84FAE"/>
    <w:rsid w:val="00D85E9C"/>
    <w:rsid w:val="00D93BA8"/>
    <w:rsid w:val="00D93E33"/>
    <w:rsid w:val="00DA1E34"/>
    <w:rsid w:val="00DA57B6"/>
    <w:rsid w:val="00DB234D"/>
    <w:rsid w:val="00DB5C56"/>
    <w:rsid w:val="00DC0AB8"/>
    <w:rsid w:val="00DD10F3"/>
    <w:rsid w:val="00DD522F"/>
    <w:rsid w:val="00DD5435"/>
    <w:rsid w:val="00DD7A74"/>
    <w:rsid w:val="00DE492A"/>
    <w:rsid w:val="00DF5065"/>
    <w:rsid w:val="00DF5590"/>
    <w:rsid w:val="00DF74F4"/>
    <w:rsid w:val="00E003DD"/>
    <w:rsid w:val="00E07107"/>
    <w:rsid w:val="00E105E3"/>
    <w:rsid w:val="00E11A81"/>
    <w:rsid w:val="00E146DE"/>
    <w:rsid w:val="00E15846"/>
    <w:rsid w:val="00E176EE"/>
    <w:rsid w:val="00E408C5"/>
    <w:rsid w:val="00E42B40"/>
    <w:rsid w:val="00E52E42"/>
    <w:rsid w:val="00E67075"/>
    <w:rsid w:val="00E703BE"/>
    <w:rsid w:val="00E75422"/>
    <w:rsid w:val="00E83359"/>
    <w:rsid w:val="00E83513"/>
    <w:rsid w:val="00E905F4"/>
    <w:rsid w:val="00E939C4"/>
    <w:rsid w:val="00E944C8"/>
    <w:rsid w:val="00E96498"/>
    <w:rsid w:val="00EA1458"/>
    <w:rsid w:val="00EA5537"/>
    <w:rsid w:val="00EB3254"/>
    <w:rsid w:val="00EB52CF"/>
    <w:rsid w:val="00EC4E19"/>
    <w:rsid w:val="00EC6A50"/>
    <w:rsid w:val="00ED2E83"/>
    <w:rsid w:val="00EE3EFF"/>
    <w:rsid w:val="00EF4487"/>
    <w:rsid w:val="00F00618"/>
    <w:rsid w:val="00F008E0"/>
    <w:rsid w:val="00F00D12"/>
    <w:rsid w:val="00F12930"/>
    <w:rsid w:val="00F12E71"/>
    <w:rsid w:val="00F151E6"/>
    <w:rsid w:val="00F16954"/>
    <w:rsid w:val="00F16A1F"/>
    <w:rsid w:val="00F309DB"/>
    <w:rsid w:val="00F32DBE"/>
    <w:rsid w:val="00F444DE"/>
    <w:rsid w:val="00F4601F"/>
    <w:rsid w:val="00F4642F"/>
    <w:rsid w:val="00F46857"/>
    <w:rsid w:val="00F6487E"/>
    <w:rsid w:val="00F673F9"/>
    <w:rsid w:val="00F71A74"/>
    <w:rsid w:val="00F7268C"/>
    <w:rsid w:val="00F74456"/>
    <w:rsid w:val="00F74532"/>
    <w:rsid w:val="00F908AF"/>
    <w:rsid w:val="00F92B2A"/>
    <w:rsid w:val="00F95A1F"/>
    <w:rsid w:val="00FA173E"/>
    <w:rsid w:val="00FB06C4"/>
    <w:rsid w:val="00FB382F"/>
    <w:rsid w:val="00FB47D5"/>
    <w:rsid w:val="00FC2587"/>
    <w:rsid w:val="00FD1237"/>
    <w:rsid w:val="00FD29CB"/>
    <w:rsid w:val="00FD746B"/>
    <w:rsid w:val="00FE0660"/>
    <w:rsid w:val="00FE3BE4"/>
    <w:rsid w:val="00FE5106"/>
    <w:rsid w:val="00FE5293"/>
    <w:rsid w:val="0170364A"/>
    <w:rsid w:val="01FBEB5D"/>
    <w:rsid w:val="02C069F6"/>
    <w:rsid w:val="02C5E2F2"/>
    <w:rsid w:val="0994379B"/>
    <w:rsid w:val="0D8BF4FC"/>
    <w:rsid w:val="0E12A631"/>
    <w:rsid w:val="0F962EC3"/>
    <w:rsid w:val="13020826"/>
    <w:rsid w:val="16976CA3"/>
    <w:rsid w:val="17F1CE20"/>
    <w:rsid w:val="181B3575"/>
    <w:rsid w:val="193E4050"/>
    <w:rsid w:val="1AEEF9A5"/>
    <w:rsid w:val="1C88DB0A"/>
    <w:rsid w:val="23008900"/>
    <w:rsid w:val="2325AE7C"/>
    <w:rsid w:val="261D80B2"/>
    <w:rsid w:val="280E97E4"/>
    <w:rsid w:val="2C997B21"/>
    <w:rsid w:val="2E843834"/>
    <w:rsid w:val="2F8CD848"/>
    <w:rsid w:val="30CE0A77"/>
    <w:rsid w:val="311AFB26"/>
    <w:rsid w:val="33272698"/>
    <w:rsid w:val="33B9E065"/>
    <w:rsid w:val="34686F67"/>
    <w:rsid w:val="34A2B61D"/>
    <w:rsid w:val="3D6D8C91"/>
    <w:rsid w:val="3E5E0A22"/>
    <w:rsid w:val="3F64ECB6"/>
    <w:rsid w:val="3FE5B5AF"/>
    <w:rsid w:val="41DB5F5F"/>
    <w:rsid w:val="4A186D86"/>
    <w:rsid w:val="4DBF3598"/>
    <w:rsid w:val="4F244F80"/>
    <w:rsid w:val="50F1C8AB"/>
    <w:rsid w:val="50FC0EBF"/>
    <w:rsid w:val="51B2841C"/>
    <w:rsid w:val="526337F9"/>
    <w:rsid w:val="5661BD48"/>
    <w:rsid w:val="566C028E"/>
    <w:rsid w:val="5713643F"/>
    <w:rsid w:val="5ABD6640"/>
    <w:rsid w:val="5F944105"/>
    <w:rsid w:val="60D7CADB"/>
    <w:rsid w:val="6813D0F2"/>
    <w:rsid w:val="6E17B74F"/>
    <w:rsid w:val="726EB0C4"/>
    <w:rsid w:val="73B7B182"/>
    <w:rsid w:val="743D3CF4"/>
    <w:rsid w:val="7E431066"/>
    <w:rsid w:val="7F1C2E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4BCDC3D"/>
  <w15:chartTrackingRefBased/>
  <w15:docId w15:val="{03F02F2B-DC8D-49E3-9E67-AC47DB12A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7EB"/>
    <w:rPr>
      <w:rFonts w:eastAsiaTheme="majorEastAsia" w:cstheme="majorBidi"/>
      <w:color w:val="272727" w:themeColor="text1" w:themeTint="D8"/>
    </w:rPr>
  </w:style>
  <w:style w:type="paragraph" w:styleId="Title">
    <w:name w:val="Title"/>
    <w:basedOn w:val="Normal"/>
    <w:next w:val="Normal"/>
    <w:link w:val="TitleChar"/>
    <w:uiPriority w:val="10"/>
    <w:qFormat/>
    <w:rsid w:val="007B0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7EB"/>
    <w:pPr>
      <w:spacing w:before="160"/>
      <w:jc w:val="center"/>
    </w:pPr>
    <w:rPr>
      <w:i/>
      <w:iCs/>
      <w:color w:val="404040" w:themeColor="text1" w:themeTint="BF"/>
    </w:rPr>
  </w:style>
  <w:style w:type="character" w:customStyle="1" w:styleId="QuoteChar">
    <w:name w:val="Quote Char"/>
    <w:basedOn w:val="DefaultParagraphFont"/>
    <w:link w:val="Quote"/>
    <w:uiPriority w:val="29"/>
    <w:rsid w:val="007B07EB"/>
    <w:rPr>
      <w:i/>
      <w:iCs/>
      <w:color w:val="404040" w:themeColor="text1" w:themeTint="BF"/>
    </w:rPr>
  </w:style>
  <w:style w:type="paragraph" w:styleId="ListParagraph">
    <w:name w:val="List Paragraph"/>
    <w:basedOn w:val="Normal"/>
    <w:uiPriority w:val="34"/>
    <w:qFormat/>
    <w:rsid w:val="007B07EB"/>
    <w:pPr>
      <w:ind w:left="720"/>
      <w:contextualSpacing/>
    </w:pPr>
  </w:style>
  <w:style w:type="character" w:styleId="IntenseEmphasis">
    <w:name w:val="Intense Emphasis"/>
    <w:basedOn w:val="DefaultParagraphFont"/>
    <w:uiPriority w:val="21"/>
    <w:qFormat/>
    <w:rsid w:val="007B07EB"/>
    <w:rPr>
      <w:i/>
      <w:iCs/>
      <w:color w:val="0F4761" w:themeColor="accent1" w:themeShade="BF"/>
    </w:rPr>
  </w:style>
  <w:style w:type="paragraph" w:styleId="IntenseQuote">
    <w:name w:val="Intense Quote"/>
    <w:basedOn w:val="Normal"/>
    <w:next w:val="Normal"/>
    <w:link w:val="IntenseQuoteChar"/>
    <w:uiPriority w:val="30"/>
    <w:qFormat/>
    <w:rsid w:val="007B0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7EB"/>
    <w:rPr>
      <w:i/>
      <w:iCs/>
      <w:color w:val="0F4761" w:themeColor="accent1" w:themeShade="BF"/>
    </w:rPr>
  </w:style>
  <w:style w:type="character" w:styleId="IntenseReference">
    <w:name w:val="Intense Reference"/>
    <w:basedOn w:val="DefaultParagraphFont"/>
    <w:uiPriority w:val="32"/>
    <w:qFormat/>
    <w:rsid w:val="007B07EB"/>
    <w:rPr>
      <w:b/>
      <w:bCs/>
      <w:smallCaps/>
      <w:color w:val="0F4761" w:themeColor="accent1" w:themeShade="BF"/>
      <w:spacing w:val="5"/>
    </w:rPr>
  </w:style>
  <w:style w:type="character" w:customStyle="1" w:styleId="apple-converted-space">
    <w:name w:val="apple-converted-space"/>
    <w:basedOn w:val="DefaultParagraphFont"/>
    <w:rsid w:val="3F64ECB6"/>
    <w:rPr>
      <w:rFonts w:ascii="Constantia" w:eastAsiaTheme="minorEastAsia" w:hAnsi="Constantia" w:cs="Times New Roman (Body CS)"/>
      <w:sz w:val="24"/>
      <w:szCs w:val="24"/>
    </w:rPr>
  </w:style>
  <w:style w:type="paragraph" w:styleId="Revision">
    <w:name w:val="Revision"/>
    <w:hidden/>
    <w:uiPriority w:val="99"/>
    <w:semiHidden/>
    <w:rsid w:val="00071C74"/>
    <w:pPr>
      <w:spacing w:after="0" w:line="240" w:lineRule="auto"/>
    </w:pPr>
  </w:style>
  <w:style w:type="paragraph" w:styleId="Footer">
    <w:name w:val="footer"/>
    <w:basedOn w:val="Normal"/>
    <w:link w:val="FooterChar"/>
    <w:uiPriority w:val="99"/>
    <w:unhideWhenUsed/>
    <w:rsid w:val="008C25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3A"/>
  </w:style>
  <w:style w:type="character" w:styleId="PageNumber">
    <w:name w:val="page number"/>
    <w:basedOn w:val="DefaultParagraphFont"/>
    <w:uiPriority w:val="99"/>
    <w:semiHidden/>
    <w:unhideWhenUsed/>
    <w:rsid w:val="008C253A"/>
  </w:style>
  <w:style w:type="paragraph" w:styleId="Header">
    <w:name w:val="header"/>
    <w:basedOn w:val="Normal"/>
    <w:link w:val="HeaderChar"/>
    <w:uiPriority w:val="99"/>
    <w:unhideWhenUsed/>
    <w:rsid w:val="008C25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3A"/>
  </w:style>
  <w:style w:type="character" w:styleId="CommentReference">
    <w:name w:val="annotation reference"/>
    <w:basedOn w:val="DefaultParagraphFont"/>
    <w:uiPriority w:val="99"/>
    <w:semiHidden/>
    <w:unhideWhenUsed/>
    <w:rsid w:val="00354D59"/>
    <w:rPr>
      <w:sz w:val="16"/>
      <w:szCs w:val="16"/>
    </w:rPr>
  </w:style>
  <w:style w:type="paragraph" w:styleId="CommentText">
    <w:name w:val="annotation text"/>
    <w:basedOn w:val="Normal"/>
    <w:link w:val="CommentTextChar"/>
    <w:uiPriority w:val="99"/>
    <w:semiHidden/>
    <w:unhideWhenUsed/>
    <w:rsid w:val="005D6EAC"/>
    <w:pPr>
      <w:spacing w:line="240" w:lineRule="auto"/>
    </w:pPr>
    <w:rPr>
      <w:sz w:val="20"/>
      <w:szCs w:val="20"/>
    </w:rPr>
  </w:style>
  <w:style w:type="character" w:customStyle="1" w:styleId="CommentTextChar">
    <w:name w:val="Comment Text Char"/>
    <w:basedOn w:val="DefaultParagraphFont"/>
    <w:link w:val="CommentText"/>
    <w:uiPriority w:val="99"/>
    <w:semiHidden/>
    <w:rsid w:val="005D6EAC"/>
    <w:rPr>
      <w:sz w:val="20"/>
      <w:szCs w:val="20"/>
    </w:rPr>
  </w:style>
  <w:style w:type="paragraph" w:styleId="CommentSubject">
    <w:name w:val="annotation subject"/>
    <w:basedOn w:val="CommentText"/>
    <w:next w:val="CommentText"/>
    <w:link w:val="CommentSubjectChar"/>
    <w:uiPriority w:val="99"/>
    <w:semiHidden/>
    <w:unhideWhenUsed/>
    <w:rsid w:val="005D6EAC"/>
    <w:rPr>
      <w:b/>
      <w:bCs/>
    </w:rPr>
  </w:style>
  <w:style w:type="character" w:customStyle="1" w:styleId="CommentSubjectChar">
    <w:name w:val="Comment Subject Char"/>
    <w:basedOn w:val="CommentTextChar"/>
    <w:link w:val="CommentSubject"/>
    <w:uiPriority w:val="99"/>
    <w:semiHidden/>
    <w:rsid w:val="005D6EAC"/>
    <w:rPr>
      <w:b/>
      <w:bCs/>
      <w:sz w:val="20"/>
      <w:szCs w:val="20"/>
    </w:rPr>
  </w:style>
  <w:style w:type="paragraph" w:styleId="Bibliography">
    <w:name w:val="Bibliography"/>
    <w:basedOn w:val="Normal"/>
    <w:next w:val="Normal"/>
    <w:uiPriority w:val="37"/>
    <w:unhideWhenUsed/>
    <w:rsid w:val="00F12E71"/>
    <w:pPr>
      <w:spacing w:after="0" w:line="480" w:lineRule="auto"/>
      <w:ind w:left="720" w:hanging="720"/>
    </w:pPr>
  </w:style>
  <w:style w:type="character" w:styleId="Hyperlink">
    <w:name w:val="Hyperlink"/>
    <w:basedOn w:val="DefaultParagraphFont"/>
    <w:uiPriority w:val="99"/>
    <w:unhideWhenUsed/>
    <w:rsid w:val="00900072"/>
    <w:rPr>
      <w:color w:val="467886" w:themeColor="hyperlink"/>
      <w:u w:val="single"/>
    </w:rPr>
  </w:style>
  <w:style w:type="character" w:styleId="UnresolvedMention">
    <w:name w:val="Unresolved Mention"/>
    <w:basedOn w:val="DefaultParagraphFont"/>
    <w:uiPriority w:val="99"/>
    <w:semiHidden/>
    <w:unhideWhenUsed/>
    <w:rsid w:val="00900072"/>
    <w:rPr>
      <w:color w:val="605E5C"/>
      <w:shd w:val="clear" w:color="auto" w:fill="E1DFDD"/>
    </w:rPr>
  </w:style>
  <w:style w:type="table" w:styleId="PlainTable2">
    <w:name w:val="Plain Table 2"/>
    <w:basedOn w:val="TableNormal"/>
    <w:uiPriority w:val="42"/>
    <w:rsid w:val="00F7268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540-4560.2011.01710.x" TargetMode="External"/><Relationship Id="rId18" Type="http://schemas.openxmlformats.org/officeDocument/2006/relationships/hyperlink" Target="https://doi.org/10.1073/pnas.1319030111" TargetMode="External"/><Relationship Id="rId26" Type="http://schemas.openxmlformats.org/officeDocument/2006/relationships/hyperlink" Target="https://doi.org/10.20339/AM.08-23.027" TargetMode="External"/><Relationship Id="rId39" Type="http://schemas.openxmlformats.org/officeDocument/2006/relationships/hyperlink" Target="https://doi.org/10.1111/asap.12170" TargetMode="External"/><Relationship Id="rId21" Type="http://schemas.openxmlformats.org/officeDocument/2006/relationships/hyperlink" Target="https://peer.asee.org/importance-of-undergraduate-research-efficacy-and-student-perceptions" TargetMode="External"/><Relationship Id="rId34" Type="http://schemas.openxmlformats.org/officeDocument/2006/relationships/hyperlink" Target="https://doi.org/10.1037/1082-989X.7.2.147" TargetMode="External"/><Relationship Id="rId42" Type="http://schemas.openxmlformats.org/officeDocument/2006/relationships/hyperlink" Target="https://doi.org/10.1080/1356251027605539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08948453211024414" TargetMode="External"/><Relationship Id="rId29" Type="http://schemas.openxmlformats.org/officeDocument/2006/relationships/hyperlink" Target="https://doi.org/10.70252/MXRI74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4/plat.2012.11.2.208" TargetMode="External"/><Relationship Id="rId24" Type="http://schemas.openxmlformats.org/officeDocument/2006/relationships/hyperlink" Target="https://doi.org/10.1126/science.1261757" TargetMode="External"/><Relationship Id="rId32" Type="http://schemas.openxmlformats.org/officeDocument/2006/relationships/hyperlink" Target="https://doi.org/10.30827/publicaciones.v48i1.7334" TargetMode="External"/><Relationship Id="rId37" Type="http://schemas.openxmlformats.org/officeDocument/2006/relationships/hyperlink" Target="https://doi.org/10.1002/sce.10131" TargetMode="External"/><Relationship Id="rId40" Type="http://schemas.openxmlformats.org/officeDocument/2006/relationships/hyperlink" Target="https://doi.org/10.46328/ijonses.472"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ic.ed.gov/?id=ED282491" TargetMode="External"/><Relationship Id="rId23" Type="http://schemas.openxmlformats.org/officeDocument/2006/relationships/hyperlink" Target="https://doi.org/10.1007/s10734-014-9788-z" TargetMode="External"/><Relationship Id="rId28" Type="http://schemas.openxmlformats.org/officeDocument/2006/relationships/hyperlink" Target="https://doi.org/10.18833/spur/2/2/1" TargetMode="External"/><Relationship Id="rId36" Type="http://schemas.openxmlformats.org/officeDocument/2006/relationships/hyperlink" Target="https://doi.org/10.1177/0306419021988962" TargetMode="External"/><Relationship Id="rId10" Type="http://schemas.openxmlformats.org/officeDocument/2006/relationships/hyperlink" Target="https://doi.org/10.1016/j.amsu.2022.104384" TargetMode="External"/><Relationship Id="rId19" Type="http://schemas.openxmlformats.org/officeDocument/2006/relationships/hyperlink" Target="https://doi.org/10.1186/s40594-022-00363-x" TargetMode="External"/><Relationship Id="rId31" Type="http://schemas.openxmlformats.org/officeDocument/2006/relationships/hyperlink" Target="https://doi.org/10.1186/s40594-018-0139-y"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doi.org/10.1007/s11162-011-9241-4" TargetMode="External"/><Relationship Id="rId22" Type="http://schemas.openxmlformats.org/officeDocument/2006/relationships/hyperlink" Target="https://doi.org/10.4236/ce.2012.38199" TargetMode="External"/><Relationship Id="rId27" Type="http://schemas.openxmlformats.org/officeDocument/2006/relationships/hyperlink" Target="https://doi.org/10.1016/j.sbspro.2011.03.050" TargetMode="External"/><Relationship Id="rId30" Type="http://schemas.openxmlformats.org/officeDocument/2006/relationships/hyperlink" Target="https://doi.org/10.1002/tea.21221" TargetMode="External"/><Relationship Id="rId35" Type="http://schemas.openxmlformats.org/officeDocument/2006/relationships/hyperlink" Target="https://doi.org/10.1353/jhe.2006.0001" TargetMode="External"/><Relationship Id="rId43" Type="http://schemas.openxmlformats.org/officeDocument/2006/relationships/hyperlink" Target="https://doi.org/10.1002/j.2168-9830.2002.tb00687.x"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doi.org/10.1002/tea.20237" TargetMode="External"/><Relationship Id="rId17" Type="http://schemas.openxmlformats.org/officeDocument/2006/relationships/hyperlink" Target="https://doi.org/10.1187/cbe.17-04-0066" TargetMode="External"/><Relationship Id="rId25" Type="http://schemas.openxmlformats.org/officeDocument/2006/relationships/hyperlink" Target="https://doi.org/10.1187/cbe.04-07-0045" TargetMode="External"/><Relationship Id="rId33" Type="http://schemas.openxmlformats.org/officeDocument/2006/relationships/hyperlink" Target="https://doi.org/10.1126/science.1140384" TargetMode="External"/><Relationship Id="rId38" Type="http://schemas.openxmlformats.org/officeDocument/2006/relationships/hyperlink" Target="https://doi.org/10.1016/j.ssresearch.2016.10.016" TargetMode="External"/><Relationship Id="rId20" Type="http://schemas.openxmlformats.org/officeDocument/2006/relationships/hyperlink" Target="https://doi.org/10.1002/sce.20173" TargetMode="External"/><Relationship Id="rId41" Type="http://schemas.openxmlformats.org/officeDocument/2006/relationships/hyperlink" Target="https://eric.ed.gov/?id=ED0919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file>

<file path=customXml/itemProps1.xml><?xml version="1.0" encoding="utf-8"?>
<ds:datastoreItem xmlns:ds="http://schemas.openxmlformats.org/officeDocument/2006/customXml" ds:itemID="{77BBC859-1BE6-734F-AEC8-2C650FAB0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22761</Words>
  <Characters>143167</Characters>
  <Application>Microsoft Office Word</Application>
  <DocSecurity>0</DocSecurity>
  <Lines>2309</Lines>
  <Paragraphs>782</Paragraphs>
  <ScaleCrop>false</ScaleCrop>
  <Company/>
  <LinksUpToDate>false</LinksUpToDate>
  <CharactersWithSpaces>165146</CharactersWithSpaces>
  <SharedDoc>false</SharedDoc>
  <HLinks>
    <vt:vector size="204" baseType="variant">
      <vt:variant>
        <vt:i4>3080315</vt:i4>
      </vt:variant>
      <vt:variant>
        <vt:i4>213</vt:i4>
      </vt:variant>
      <vt:variant>
        <vt:i4>0</vt:i4>
      </vt:variant>
      <vt:variant>
        <vt:i4>5</vt:i4>
      </vt:variant>
      <vt:variant>
        <vt:lpwstr>https://doi.org/10.1002/j.2168-9830.2002.tb00687.x</vt:lpwstr>
      </vt:variant>
      <vt:variant>
        <vt:lpwstr/>
      </vt:variant>
      <vt:variant>
        <vt:i4>2687086</vt:i4>
      </vt:variant>
      <vt:variant>
        <vt:i4>210</vt:i4>
      </vt:variant>
      <vt:variant>
        <vt:i4>0</vt:i4>
      </vt:variant>
      <vt:variant>
        <vt:i4>5</vt:i4>
      </vt:variant>
      <vt:variant>
        <vt:lpwstr>https://doi.org/10.1080/135625102760553919</vt:lpwstr>
      </vt:variant>
      <vt:variant>
        <vt:lpwstr/>
      </vt:variant>
      <vt:variant>
        <vt:i4>524304</vt:i4>
      </vt:variant>
      <vt:variant>
        <vt:i4>207</vt:i4>
      </vt:variant>
      <vt:variant>
        <vt:i4>0</vt:i4>
      </vt:variant>
      <vt:variant>
        <vt:i4>5</vt:i4>
      </vt:variant>
      <vt:variant>
        <vt:lpwstr>https://eric.ed.gov/?id=ED091983</vt:lpwstr>
      </vt:variant>
      <vt:variant>
        <vt:lpwstr/>
      </vt:variant>
      <vt:variant>
        <vt:i4>131081</vt:i4>
      </vt:variant>
      <vt:variant>
        <vt:i4>204</vt:i4>
      </vt:variant>
      <vt:variant>
        <vt:i4>0</vt:i4>
      </vt:variant>
      <vt:variant>
        <vt:i4>5</vt:i4>
      </vt:variant>
      <vt:variant>
        <vt:lpwstr>https://doi.org/10.46328/ijonses.472</vt:lpwstr>
      </vt:variant>
      <vt:variant>
        <vt:lpwstr/>
      </vt:variant>
      <vt:variant>
        <vt:i4>2162801</vt:i4>
      </vt:variant>
      <vt:variant>
        <vt:i4>201</vt:i4>
      </vt:variant>
      <vt:variant>
        <vt:i4>0</vt:i4>
      </vt:variant>
      <vt:variant>
        <vt:i4>5</vt:i4>
      </vt:variant>
      <vt:variant>
        <vt:lpwstr>https://doi.org/10.1111/asap.12170</vt:lpwstr>
      </vt:variant>
      <vt:variant>
        <vt:lpwstr/>
      </vt:variant>
      <vt:variant>
        <vt:i4>5111872</vt:i4>
      </vt:variant>
      <vt:variant>
        <vt:i4>198</vt:i4>
      </vt:variant>
      <vt:variant>
        <vt:i4>0</vt:i4>
      </vt:variant>
      <vt:variant>
        <vt:i4>5</vt:i4>
      </vt:variant>
      <vt:variant>
        <vt:lpwstr>https://doi.org/10.1016/j.ssresearch.2016.10.016</vt:lpwstr>
      </vt:variant>
      <vt:variant>
        <vt:lpwstr/>
      </vt:variant>
      <vt:variant>
        <vt:i4>6094926</vt:i4>
      </vt:variant>
      <vt:variant>
        <vt:i4>195</vt:i4>
      </vt:variant>
      <vt:variant>
        <vt:i4>0</vt:i4>
      </vt:variant>
      <vt:variant>
        <vt:i4>5</vt:i4>
      </vt:variant>
      <vt:variant>
        <vt:lpwstr>https://doi.org/10.1002/sce.10131</vt:lpwstr>
      </vt:variant>
      <vt:variant>
        <vt:lpwstr/>
      </vt:variant>
      <vt:variant>
        <vt:i4>1179732</vt:i4>
      </vt:variant>
      <vt:variant>
        <vt:i4>192</vt:i4>
      </vt:variant>
      <vt:variant>
        <vt:i4>0</vt:i4>
      </vt:variant>
      <vt:variant>
        <vt:i4>5</vt:i4>
      </vt:variant>
      <vt:variant>
        <vt:lpwstr>https://doi.org/10.1177/0306419021988962</vt:lpwstr>
      </vt:variant>
      <vt:variant>
        <vt:lpwstr/>
      </vt:variant>
      <vt:variant>
        <vt:i4>5636169</vt:i4>
      </vt:variant>
      <vt:variant>
        <vt:i4>189</vt:i4>
      </vt:variant>
      <vt:variant>
        <vt:i4>0</vt:i4>
      </vt:variant>
      <vt:variant>
        <vt:i4>5</vt:i4>
      </vt:variant>
      <vt:variant>
        <vt:lpwstr>https://doi.org/10.1353/jhe.2006.0001</vt:lpwstr>
      </vt:variant>
      <vt:variant>
        <vt:lpwstr/>
      </vt:variant>
      <vt:variant>
        <vt:i4>524301</vt:i4>
      </vt:variant>
      <vt:variant>
        <vt:i4>186</vt:i4>
      </vt:variant>
      <vt:variant>
        <vt:i4>0</vt:i4>
      </vt:variant>
      <vt:variant>
        <vt:i4>5</vt:i4>
      </vt:variant>
      <vt:variant>
        <vt:lpwstr>https://doi.org/10.1037/1082-989X.7.2.147</vt:lpwstr>
      </vt:variant>
      <vt:variant>
        <vt:lpwstr/>
      </vt:variant>
      <vt:variant>
        <vt:i4>6488186</vt:i4>
      </vt:variant>
      <vt:variant>
        <vt:i4>183</vt:i4>
      </vt:variant>
      <vt:variant>
        <vt:i4>0</vt:i4>
      </vt:variant>
      <vt:variant>
        <vt:i4>5</vt:i4>
      </vt:variant>
      <vt:variant>
        <vt:lpwstr>https://doi.org/10.1126/science.1140384</vt:lpwstr>
      </vt:variant>
      <vt:variant>
        <vt:lpwstr/>
      </vt:variant>
      <vt:variant>
        <vt:i4>1310730</vt:i4>
      </vt:variant>
      <vt:variant>
        <vt:i4>180</vt:i4>
      </vt:variant>
      <vt:variant>
        <vt:i4>0</vt:i4>
      </vt:variant>
      <vt:variant>
        <vt:i4>5</vt:i4>
      </vt:variant>
      <vt:variant>
        <vt:lpwstr>https://doi.org/10.30827/publicaciones.v48i1.7334</vt:lpwstr>
      </vt:variant>
      <vt:variant>
        <vt:lpwstr/>
      </vt:variant>
      <vt:variant>
        <vt:i4>524318</vt:i4>
      </vt:variant>
      <vt:variant>
        <vt:i4>177</vt:i4>
      </vt:variant>
      <vt:variant>
        <vt:i4>0</vt:i4>
      </vt:variant>
      <vt:variant>
        <vt:i4>5</vt:i4>
      </vt:variant>
      <vt:variant>
        <vt:lpwstr>https://doi.org/10.1186/s40594-018-0139-y</vt:lpwstr>
      </vt:variant>
      <vt:variant>
        <vt:lpwstr/>
      </vt:variant>
      <vt:variant>
        <vt:i4>5963853</vt:i4>
      </vt:variant>
      <vt:variant>
        <vt:i4>174</vt:i4>
      </vt:variant>
      <vt:variant>
        <vt:i4>0</vt:i4>
      </vt:variant>
      <vt:variant>
        <vt:i4>5</vt:i4>
      </vt:variant>
      <vt:variant>
        <vt:lpwstr>https://doi.org/10.1002/tea.21221</vt:lpwstr>
      </vt:variant>
      <vt:variant>
        <vt:lpwstr/>
      </vt:variant>
      <vt:variant>
        <vt:i4>1704021</vt:i4>
      </vt:variant>
      <vt:variant>
        <vt:i4>171</vt:i4>
      </vt:variant>
      <vt:variant>
        <vt:i4>0</vt:i4>
      </vt:variant>
      <vt:variant>
        <vt:i4>5</vt:i4>
      </vt:variant>
      <vt:variant>
        <vt:lpwstr>https://doi.org/10.70252/MXRI7483</vt:lpwstr>
      </vt:variant>
      <vt:variant>
        <vt:lpwstr/>
      </vt:variant>
      <vt:variant>
        <vt:i4>3014780</vt:i4>
      </vt:variant>
      <vt:variant>
        <vt:i4>168</vt:i4>
      </vt:variant>
      <vt:variant>
        <vt:i4>0</vt:i4>
      </vt:variant>
      <vt:variant>
        <vt:i4>5</vt:i4>
      </vt:variant>
      <vt:variant>
        <vt:lpwstr>https://doi.org/10.18833/spur/2/2/1</vt:lpwstr>
      </vt:variant>
      <vt:variant>
        <vt:lpwstr/>
      </vt:variant>
      <vt:variant>
        <vt:i4>6225984</vt:i4>
      </vt:variant>
      <vt:variant>
        <vt:i4>165</vt:i4>
      </vt:variant>
      <vt:variant>
        <vt:i4>0</vt:i4>
      </vt:variant>
      <vt:variant>
        <vt:i4>5</vt:i4>
      </vt:variant>
      <vt:variant>
        <vt:lpwstr>https://doi.org/10.1016/j.sbspro.2011.03.050</vt:lpwstr>
      </vt:variant>
      <vt:variant>
        <vt:lpwstr/>
      </vt:variant>
      <vt:variant>
        <vt:i4>6029317</vt:i4>
      </vt:variant>
      <vt:variant>
        <vt:i4>162</vt:i4>
      </vt:variant>
      <vt:variant>
        <vt:i4>0</vt:i4>
      </vt:variant>
      <vt:variant>
        <vt:i4>5</vt:i4>
      </vt:variant>
      <vt:variant>
        <vt:lpwstr>https://doi.org/10.20339/AM.08-23.027</vt:lpwstr>
      </vt:variant>
      <vt:variant>
        <vt:lpwstr/>
      </vt:variant>
      <vt:variant>
        <vt:i4>8061044</vt:i4>
      </vt:variant>
      <vt:variant>
        <vt:i4>159</vt:i4>
      </vt:variant>
      <vt:variant>
        <vt:i4>0</vt:i4>
      </vt:variant>
      <vt:variant>
        <vt:i4>5</vt:i4>
      </vt:variant>
      <vt:variant>
        <vt:lpwstr>https://doi.org/10.1187/cbe.04-07-0045</vt:lpwstr>
      </vt:variant>
      <vt:variant>
        <vt:lpwstr/>
      </vt:variant>
      <vt:variant>
        <vt:i4>7078012</vt:i4>
      </vt:variant>
      <vt:variant>
        <vt:i4>156</vt:i4>
      </vt:variant>
      <vt:variant>
        <vt:i4>0</vt:i4>
      </vt:variant>
      <vt:variant>
        <vt:i4>5</vt:i4>
      </vt:variant>
      <vt:variant>
        <vt:lpwstr>https://doi.org/10.1126/science.1261757</vt:lpwstr>
      </vt:variant>
      <vt:variant>
        <vt:lpwstr/>
      </vt:variant>
      <vt:variant>
        <vt:i4>589843</vt:i4>
      </vt:variant>
      <vt:variant>
        <vt:i4>153</vt:i4>
      </vt:variant>
      <vt:variant>
        <vt:i4>0</vt:i4>
      </vt:variant>
      <vt:variant>
        <vt:i4>5</vt:i4>
      </vt:variant>
      <vt:variant>
        <vt:lpwstr>https://doi.org/10.1007/s10734-014-9788-z</vt:lpwstr>
      </vt:variant>
      <vt:variant>
        <vt:lpwstr/>
      </vt:variant>
      <vt:variant>
        <vt:i4>6029331</vt:i4>
      </vt:variant>
      <vt:variant>
        <vt:i4>150</vt:i4>
      </vt:variant>
      <vt:variant>
        <vt:i4>0</vt:i4>
      </vt:variant>
      <vt:variant>
        <vt:i4>5</vt:i4>
      </vt:variant>
      <vt:variant>
        <vt:lpwstr>https://doi.org/10.4236/ce.2012.38199</vt:lpwstr>
      </vt:variant>
      <vt:variant>
        <vt:lpwstr/>
      </vt:variant>
      <vt:variant>
        <vt:i4>3801185</vt:i4>
      </vt:variant>
      <vt:variant>
        <vt:i4>147</vt:i4>
      </vt:variant>
      <vt:variant>
        <vt:i4>0</vt:i4>
      </vt:variant>
      <vt:variant>
        <vt:i4>5</vt:i4>
      </vt:variant>
      <vt:variant>
        <vt:lpwstr>https://peer.asee.org/importance-of-undergraduate-research-efficacy-and-student-perceptions</vt:lpwstr>
      </vt:variant>
      <vt:variant>
        <vt:lpwstr/>
      </vt:variant>
      <vt:variant>
        <vt:i4>5832781</vt:i4>
      </vt:variant>
      <vt:variant>
        <vt:i4>144</vt:i4>
      </vt:variant>
      <vt:variant>
        <vt:i4>0</vt:i4>
      </vt:variant>
      <vt:variant>
        <vt:i4>5</vt:i4>
      </vt:variant>
      <vt:variant>
        <vt:lpwstr>https://doi.org/10.1002/sce.20173</vt:lpwstr>
      </vt:variant>
      <vt:variant>
        <vt:lpwstr/>
      </vt:variant>
      <vt:variant>
        <vt:i4>6553662</vt:i4>
      </vt:variant>
      <vt:variant>
        <vt:i4>141</vt:i4>
      </vt:variant>
      <vt:variant>
        <vt:i4>0</vt:i4>
      </vt:variant>
      <vt:variant>
        <vt:i4>5</vt:i4>
      </vt:variant>
      <vt:variant>
        <vt:lpwstr>https://doi.org/10.1186/s40594-022-00363-x</vt:lpwstr>
      </vt:variant>
      <vt:variant>
        <vt:lpwstr/>
      </vt:variant>
      <vt:variant>
        <vt:i4>3670126</vt:i4>
      </vt:variant>
      <vt:variant>
        <vt:i4>138</vt:i4>
      </vt:variant>
      <vt:variant>
        <vt:i4>0</vt:i4>
      </vt:variant>
      <vt:variant>
        <vt:i4>5</vt:i4>
      </vt:variant>
      <vt:variant>
        <vt:lpwstr>https://doi.org/10.1073/pnas.1319030111</vt:lpwstr>
      </vt:variant>
      <vt:variant>
        <vt:lpwstr/>
      </vt:variant>
      <vt:variant>
        <vt:i4>8061044</vt:i4>
      </vt:variant>
      <vt:variant>
        <vt:i4>135</vt:i4>
      </vt:variant>
      <vt:variant>
        <vt:i4>0</vt:i4>
      </vt:variant>
      <vt:variant>
        <vt:i4>5</vt:i4>
      </vt:variant>
      <vt:variant>
        <vt:lpwstr>https://doi.org/10.1187/cbe.17-04-0066</vt:lpwstr>
      </vt:variant>
      <vt:variant>
        <vt:lpwstr/>
      </vt:variant>
      <vt:variant>
        <vt:i4>1769565</vt:i4>
      </vt:variant>
      <vt:variant>
        <vt:i4>132</vt:i4>
      </vt:variant>
      <vt:variant>
        <vt:i4>0</vt:i4>
      </vt:variant>
      <vt:variant>
        <vt:i4>5</vt:i4>
      </vt:variant>
      <vt:variant>
        <vt:lpwstr>https://doi.org/10.1177/08948453211024414</vt:lpwstr>
      </vt:variant>
      <vt:variant>
        <vt:lpwstr/>
      </vt:variant>
      <vt:variant>
        <vt:i4>393232</vt:i4>
      </vt:variant>
      <vt:variant>
        <vt:i4>129</vt:i4>
      </vt:variant>
      <vt:variant>
        <vt:i4>0</vt:i4>
      </vt:variant>
      <vt:variant>
        <vt:i4>5</vt:i4>
      </vt:variant>
      <vt:variant>
        <vt:lpwstr>https://eric.ed.gov/?id=ED282491</vt:lpwstr>
      </vt:variant>
      <vt:variant>
        <vt:lpwstr/>
      </vt:variant>
      <vt:variant>
        <vt:i4>27</vt:i4>
      </vt:variant>
      <vt:variant>
        <vt:i4>126</vt:i4>
      </vt:variant>
      <vt:variant>
        <vt:i4>0</vt:i4>
      </vt:variant>
      <vt:variant>
        <vt:i4>5</vt:i4>
      </vt:variant>
      <vt:variant>
        <vt:lpwstr>https://doi.org/10.1007/s11162-011-9241-4</vt:lpwstr>
      </vt:variant>
      <vt:variant>
        <vt:lpwstr/>
      </vt:variant>
      <vt:variant>
        <vt:i4>5963806</vt:i4>
      </vt:variant>
      <vt:variant>
        <vt:i4>123</vt:i4>
      </vt:variant>
      <vt:variant>
        <vt:i4>0</vt:i4>
      </vt:variant>
      <vt:variant>
        <vt:i4>5</vt:i4>
      </vt:variant>
      <vt:variant>
        <vt:lpwstr>https://doi.org/10.1111/j.1540-4560.2011.01710.x</vt:lpwstr>
      </vt:variant>
      <vt:variant>
        <vt:lpwstr/>
      </vt:variant>
      <vt:variant>
        <vt:i4>5963853</vt:i4>
      </vt:variant>
      <vt:variant>
        <vt:i4>120</vt:i4>
      </vt:variant>
      <vt:variant>
        <vt:i4>0</vt:i4>
      </vt:variant>
      <vt:variant>
        <vt:i4>5</vt:i4>
      </vt:variant>
      <vt:variant>
        <vt:lpwstr>https://doi.org/10.1002/tea.20237</vt:lpwstr>
      </vt:variant>
      <vt:variant>
        <vt:lpwstr/>
      </vt:variant>
      <vt:variant>
        <vt:i4>2883681</vt:i4>
      </vt:variant>
      <vt:variant>
        <vt:i4>117</vt:i4>
      </vt:variant>
      <vt:variant>
        <vt:i4>0</vt:i4>
      </vt:variant>
      <vt:variant>
        <vt:i4>5</vt:i4>
      </vt:variant>
      <vt:variant>
        <vt:lpwstr>https://doi.org/10.2304/plat.2012.11.2.208</vt:lpwstr>
      </vt:variant>
      <vt:variant>
        <vt:lpwstr/>
      </vt:variant>
      <vt:variant>
        <vt:i4>3997749</vt:i4>
      </vt:variant>
      <vt:variant>
        <vt:i4>114</vt:i4>
      </vt:variant>
      <vt:variant>
        <vt:i4>0</vt:i4>
      </vt:variant>
      <vt:variant>
        <vt:i4>5</vt:i4>
      </vt:variant>
      <vt:variant>
        <vt:lpwstr>https://doi.org/10.1016/j.amsu.2022.104384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Money, Natalie</dc:creator>
  <cp:keywords/>
  <dc:description/>
  <cp:lastModifiedBy>Caso, Colin C. Caso</cp:lastModifiedBy>
  <cp:revision>2</cp:revision>
  <cp:lastPrinted>2026-01-02T17:54:00Z</cp:lastPrinted>
  <dcterms:created xsi:type="dcterms:W3CDTF">2026-01-02T18:25:00Z</dcterms:created>
  <dcterms:modified xsi:type="dcterms:W3CDTF">2026-01-02T18:25:00Z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zotero-version="7.0.26"&gt;&lt;session id="aizjvxVK"/&gt;&lt;style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 name="delayCitationUpdates" value="true"/&gt;&lt;/prefs&gt;&lt;/data&gt;</vt:lpwstr>
  </property>
  <property fmtid="{D5CDD505-2E9C-101B-9397-08002B2CF9AE}" pid="4" name="grammarly_documentId">
    <vt:lpwstr>documentId_5956</vt:lpwstr>
  </property>
  <property fmtid="{D5CDD505-2E9C-101B-9397-08002B2CF9AE}" pid="5" name="grammarly_documentContext">
    <vt:lpwstr>{"goals":[],"domain":"general","emotions":[],"dialect":"american"}</vt:lpwstr>
  </property>
</Properties>
</file>