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D4D" w:rsidRDefault="00E74D4D" w:rsidP="00D82141">
      <w:pPr>
        <w:jc w:val="center"/>
        <w:rPr>
          <w:b/>
        </w:rPr>
      </w:pPr>
    </w:p>
    <w:p w:rsidR="00D82141" w:rsidRDefault="00D82141" w:rsidP="00D82141">
      <w:pPr>
        <w:jc w:val="center"/>
        <w:rPr>
          <w:b/>
        </w:rPr>
      </w:pPr>
      <w:r>
        <w:rPr>
          <w:b/>
        </w:rPr>
        <w:t>MENTORING “QUICK-STARTER” GRADUATE STUDENTS</w:t>
      </w:r>
    </w:p>
    <w:p w:rsidR="00C815F4" w:rsidRDefault="00C815F4" w:rsidP="00C815F4">
      <w:pPr>
        <w:pStyle w:val="NoSpacing"/>
        <w:jc w:val="center"/>
        <w:rPr>
          <w:b/>
        </w:rPr>
      </w:pPr>
    </w:p>
    <w:p w:rsidR="00C815F4" w:rsidRDefault="00C815F4" w:rsidP="00C815F4">
      <w:pPr>
        <w:pStyle w:val="NoSpacing"/>
        <w:jc w:val="center"/>
      </w:pPr>
      <w:r>
        <w:t xml:space="preserve">Karen </w:t>
      </w:r>
      <w:r w:rsidR="00D82141">
        <w:t xml:space="preserve">J. </w:t>
      </w:r>
      <w:r>
        <w:t>Cannon, Doctoral Student</w:t>
      </w:r>
    </w:p>
    <w:p w:rsidR="00C815F4" w:rsidRDefault="00C815F4" w:rsidP="00C815F4">
      <w:pPr>
        <w:pStyle w:val="NoSpacing"/>
        <w:jc w:val="center"/>
      </w:pPr>
      <w:r>
        <w:t xml:space="preserve">University of Florida </w:t>
      </w:r>
    </w:p>
    <w:p w:rsidR="00C815F4" w:rsidRDefault="00C815F4" w:rsidP="00C815F4">
      <w:pPr>
        <w:pStyle w:val="NoSpacing"/>
        <w:jc w:val="center"/>
      </w:pPr>
      <w:r>
        <w:t>PO Box 110540</w:t>
      </w:r>
    </w:p>
    <w:p w:rsidR="00C815F4" w:rsidRDefault="00C815F4" w:rsidP="00C815F4">
      <w:pPr>
        <w:pStyle w:val="NoSpacing"/>
        <w:jc w:val="center"/>
      </w:pPr>
      <w:r>
        <w:t>Gainesville, FL 32611</w:t>
      </w:r>
    </w:p>
    <w:p w:rsidR="007E3B6A" w:rsidRDefault="007E3B6A" w:rsidP="00C815F4">
      <w:pPr>
        <w:pStyle w:val="NoSpacing"/>
        <w:jc w:val="center"/>
      </w:pPr>
      <w:r>
        <w:t>(352) 392-0502 ext. 238</w:t>
      </w:r>
    </w:p>
    <w:p w:rsidR="00C815F4" w:rsidRDefault="00AA21C2" w:rsidP="00C815F4">
      <w:pPr>
        <w:pStyle w:val="NoSpacing"/>
        <w:jc w:val="center"/>
      </w:pPr>
      <w:hyperlink r:id="rId7" w:history="1">
        <w:r w:rsidR="00C815F4" w:rsidRPr="00F56580">
          <w:rPr>
            <w:rStyle w:val="Hyperlink"/>
          </w:rPr>
          <w:t>karenjcannon@ufl.edu</w:t>
        </w:r>
      </w:hyperlink>
    </w:p>
    <w:p w:rsidR="00C815F4" w:rsidRDefault="00C815F4" w:rsidP="00C815F4">
      <w:pPr>
        <w:pStyle w:val="NoSpacing"/>
        <w:jc w:val="center"/>
      </w:pPr>
    </w:p>
    <w:p w:rsidR="007E3B6A" w:rsidRDefault="007E3B6A" w:rsidP="00C815F4">
      <w:pPr>
        <w:pStyle w:val="NoSpacing"/>
        <w:jc w:val="center"/>
      </w:pPr>
      <w:r>
        <w:t>Alexa J. Lamm, Doctoral Student</w:t>
      </w:r>
    </w:p>
    <w:p w:rsidR="007E3B6A" w:rsidRDefault="007E3B6A" w:rsidP="007E3B6A">
      <w:pPr>
        <w:pStyle w:val="NoSpacing"/>
        <w:jc w:val="center"/>
      </w:pPr>
      <w:r>
        <w:t xml:space="preserve">University of Florida </w:t>
      </w:r>
    </w:p>
    <w:p w:rsidR="007E3B6A" w:rsidRDefault="007E3B6A" w:rsidP="007E3B6A">
      <w:pPr>
        <w:pStyle w:val="NoSpacing"/>
        <w:jc w:val="center"/>
      </w:pPr>
      <w:r>
        <w:t>PO Box 110540</w:t>
      </w:r>
    </w:p>
    <w:p w:rsidR="007E3B6A" w:rsidRDefault="007E3B6A" w:rsidP="007E3B6A">
      <w:pPr>
        <w:pStyle w:val="NoSpacing"/>
        <w:jc w:val="center"/>
      </w:pPr>
      <w:r>
        <w:t>Gainesville, FL 32611</w:t>
      </w:r>
    </w:p>
    <w:p w:rsidR="007E3B6A" w:rsidRDefault="007E3B6A" w:rsidP="007E3B6A">
      <w:pPr>
        <w:pStyle w:val="NoSpacing"/>
        <w:jc w:val="center"/>
      </w:pPr>
      <w:r>
        <w:t>(352) 392-0502 ext. 238</w:t>
      </w:r>
    </w:p>
    <w:p w:rsidR="007E3B6A" w:rsidRDefault="00AA21C2" w:rsidP="00C815F4">
      <w:pPr>
        <w:pStyle w:val="NoSpacing"/>
        <w:jc w:val="center"/>
      </w:pPr>
      <w:hyperlink r:id="rId8" w:history="1">
        <w:r w:rsidR="007E3B6A" w:rsidRPr="00452703">
          <w:rPr>
            <w:rStyle w:val="Hyperlink"/>
          </w:rPr>
          <w:t>alamm@ufl.edu</w:t>
        </w:r>
      </w:hyperlink>
    </w:p>
    <w:p w:rsidR="007E3B6A" w:rsidRDefault="007E3B6A" w:rsidP="00C815F4">
      <w:pPr>
        <w:pStyle w:val="NoSpacing"/>
        <w:jc w:val="center"/>
      </w:pPr>
    </w:p>
    <w:p w:rsidR="007E3B6A" w:rsidRDefault="007E3B6A" w:rsidP="00C815F4">
      <w:pPr>
        <w:pStyle w:val="NoSpacing"/>
        <w:jc w:val="center"/>
      </w:pPr>
      <w:r>
        <w:t>Andrew C. Thoron, Doctoral Candidate</w:t>
      </w:r>
    </w:p>
    <w:p w:rsidR="007E3B6A" w:rsidRDefault="007E3B6A" w:rsidP="007E3B6A">
      <w:pPr>
        <w:pStyle w:val="NoSpacing"/>
        <w:jc w:val="center"/>
      </w:pPr>
      <w:r>
        <w:t xml:space="preserve">University of Florida </w:t>
      </w:r>
    </w:p>
    <w:p w:rsidR="007E3B6A" w:rsidRDefault="007E3B6A" w:rsidP="007E3B6A">
      <w:pPr>
        <w:pStyle w:val="NoSpacing"/>
        <w:jc w:val="center"/>
      </w:pPr>
      <w:r>
        <w:t>PO Box 110540</w:t>
      </w:r>
    </w:p>
    <w:p w:rsidR="007E3B6A" w:rsidRDefault="007E3B6A" w:rsidP="007E3B6A">
      <w:pPr>
        <w:pStyle w:val="NoSpacing"/>
        <w:jc w:val="center"/>
      </w:pPr>
      <w:r>
        <w:t>Gainesville, FL 32611</w:t>
      </w:r>
    </w:p>
    <w:p w:rsidR="007E3B6A" w:rsidRDefault="007E3B6A" w:rsidP="007E3B6A">
      <w:pPr>
        <w:pStyle w:val="NoSpacing"/>
        <w:jc w:val="center"/>
      </w:pPr>
      <w:r>
        <w:t>(352) 392-0502 ext. 238</w:t>
      </w:r>
    </w:p>
    <w:p w:rsidR="007E3B6A" w:rsidRDefault="00AA21C2" w:rsidP="00C815F4">
      <w:pPr>
        <w:pStyle w:val="NoSpacing"/>
        <w:jc w:val="center"/>
      </w:pPr>
      <w:hyperlink r:id="rId9" w:history="1">
        <w:r w:rsidR="007E3B6A" w:rsidRPr="00452703">
          <w:rPr>
            <w:rStyle w:val="Hyperlink"/>
          </w:rPr>
          <w:t>athoron@ufl.edu</w:t>
        </w:r>
      </w:hyperlink>
    </w:p>
    <w:p w:rsidR="007E3B6A" w:rsidRDefault="007E3B6A" w:rsidP="00C815F4">
      <w:pPr>
        <w:pStyle w:val="NoSpacing"/>
        <w:jc w:val="center"/>
      </w:pPr>
    </w:p>
    <w:p w:rsidR="00C815F4" w:rsidRDefault="00C815F4" w:rsidP="00C815F4">
      <w:pPr>
        <w:pStyle w:val="NoSpacing"/>
        <w:jc w:val="center"/>
      </w:pPr>
    </w:p>
    <w:p w:rsidR="00C815F4" w:rsidRDefault="00C815F4" w:rsidP="00C815F4">
      <w:pPr>
        <w:pStyle w:val="NoSpacing"/>
        <w:jc w:val="center"/>
      </w:pPr>
    </w:p>
    <w:p w:rsidR="00C815F4" w:rsidRPr="00C815F4" w:rsidRDefault="00C815F4" w:rsidP="00C815F4">
      <w:pPr>
        <w:pStyle w:val="NoSpacing"/>
        <w:jc w:val="center"/>
      </w:pPr>
    </w:p>
    <w:p w:rsidR="000F4A9C" w:rsidRDefault="00C815F4" w:rsidP="000F4A9C">
      <w:pPr>
        <w:jc w:val="center"/>
        <w:rPr>
          <w:b/>
        </w:rPr>
      </w:pPr>
      <w:r>
        <w:br w:type="page"/>
      </w:r>
      <w:r w:rsidR="000F4A9C">
        <w:rPr>
          <w:b/>
        </w:rPr>
        <w:lastRenderedPageBreak/>
        <w:t>MENTORING “QUICK-STARTER” GRADUATE STUDENTS</w:t>
      </w:r>
    </w:p>
    <w:p w:rsidR="000F4A9C" w:rsidRDefault="000F4A9C" w:rsidP="000F4A9C">
      <w:pPr>
        <w:jc w:val="center"/>
        <w:rPr>
          <w:b/>
        </w:rPr>
      </w:pPr>
    </w:p>
    <w:p w:rsidR="000F4A9C" w:rsidRPr="006F37D7" w:rsidRDefault="000F4A9C" w:rsidP="000F4A9C">
      <w:pPr>
        <w:spacing w:after="120"/>
        <w:jc w:val="center"/>
        <w:rPr>
          <w:b/>
        </w:rPr>
      </w:pPr>
      <w:r w:rsidRPr="00E751EF">
        <w:rPr>
          <w:b/>
        </w:rPr>
        <w:t>Introduction/Need for Innovation</w:t>
      </w:r>
    </w:p>
    <w:p w:rsidR="000F4A9C" w:rsidRDefault="000F4A9C" w:rsidP="000F4A9C">
      <w:pPr>
        <w:spacing w:after="120"/>
      </w:pPr>
      <w:r>
        <w:tab/>
        <w:t xml:space="preserve">The agricultural education discipline utilizes mentoring relationships in teacher preparation programs (Peiter, Terry, &amp; Cartmell, 2005), extension education (Phillips &amp; Bradshaw, 1999; Rogers, 1997; Zimmer &amp; Smith, 1992), and in faculty development programs at the university level (Eastman &amp; Williams, 1993).  Mentors are those individuals knowledgeable in their field, established in an organization, and who serve to support the personal and professional development of a protégé (Lamm &amp; Harder, 2009; Mincemoyer &amp; Thomson, 1998).  Kram (1985) determined that mentoring relationships serve two distinct functions, career development support and psychosocial support.  </w:t>
      </w:r>
    </w:p>
    <w:p w:rsidR="000F4A9C" w:rsidRDefault="000F4A9C" w:rsidP="000F4A9C">
      <w:pPr>
        <w:spacing w:after="120"/>
        <w:ind w:firstLine="720"/>
      </w:pPr>
      <w:r>
        <w:t xml:space="preserve">Williams (1997) suggested that new agricultural education graduate students work diligently to identify mentors and seek their input. For graduate students, one of the most important mentoring relationships is between student and advisor. While these relationships vary widely, many include both career development and psychosocial support. Typically the advisor-graduate student pairing is similar to an apprenticeship, where the student is socialized into the profession by the advisor (Bieber &amp; Worley, 2006).  However, Allen, McManus and Russell (1999) found that career development and psychosocial mentoring provided by graduate student peers helped students cope with stress and successfully adjust to their new roles.  </w:t>
      </w:r>
    </w:p>
    <w:p w:rsidR="000F4A9C" w:rsidRDefault="000F4A9C" w:rsidP="000F4A9C">
      <w:pPr>
        <w:spacing w:after="120"/>
        <w:ind w:firstLine="720"/>
      </w:pPr>
      <w:r>
        <w:t>Diffley (2007) acknowledged that being new to the academic environment can be intimidating and recommended students build networks of peers.  Joining a graduate student support group offers psychological support, as well as a chance to obtain valuable feedback from more senior students (Peters, 1992).  Peters declared that new graduate students should look to their peers as the greatest source of support because the doctoral program experience can be isolating without it.</w:t>
      </w:r>
    </w:p>
    <w:p w:rsidR="000F4A9C" w:rsidRDefault="000F4A9C" w:rsidP="000F4A9C">
      <w:pPr>
        <w:spacing w:after="120"/>
        <w:ind w:firstLine="720"/>
      </w:pPr>
      <w:r>
        <w:t xml:space="preserve">Due to the importance of peer relationships among graduate students, a mentoring program was created in an agricultural education and communication department at STATE.  The program was developed in and continues to be managed by the departmental graduate student organization.  However, at the inception of the program, no written plan existed to help guide the mentor/protégé relationship.  As a result, generations of graduate student mentors have spent varying amounts of time, had varying levels of success, and uneven levels of commitment to the program.  The resulting relationships have therefore been inconsistent, and unfortunately sometimes unfulfilling. </w:t>
      </w:r>
    </w:p>
    <w:p w:rsidR="000F4A9C" w:rsidRDefault="000F4A9C" w:rsidP="000F4A9C">
      <w:pPr>
        <w:spacing w:after="120"/>
        <w:jc w:val="center"/>
        <w:rPr>
          <w:b/>
        </w:rPr>
      </w:pPr>
      <w:r>
        <w:rPr>
          <w:b/>
        </w:rPr>
        <w:t>How it Works/Steps</w:t>
      </w:r>
    </w:p>
    <w:p w:rsidR="000F4A9C" w:rsidRDefault="000F4A9C" w:rsidP="000F4A9C">
      <w:pPr>
        <w:spacing w:after="120"/>
        <w:ind w:firstLine="720"/>
      </w:pPr>
      <w:r>
        <w:t>In early summer 2009, the departmental graduate student association president paired incoming graduate students with mentors.  Assignments were based on the following criteria: 1) area of study of (communication, extension, leadership, or teacher preparation), 2) degree program (doctorate or masters), 3) previous professional experience of mentor and mentee, and 4) age.</w:t>
      </w:r>
    </w:p>
    <w:p w:rsidR="000F4A9C" w:rsidRDefault="000F4A9C" w:rsidP="000F4A9C">
      <w:pPr>
        <w:spacing w:after="120"/>
        <w:ind w:firstLine="720"/>
      </w:pPr>
      <w:r>
        <w:t xml:space="preserve">The association president then arranged a brainstorming session with the mentors where they were asked to reflect about the support they received as new departmental graduate students.  Thoughts and advice were offered on how to build strong mentor/protégé relationships based on the previous experiences of the participants, both as former mentors and protégés. At </w:t>
      </w:r>
      <w:r>
        <w:lastRenderedPageBreak/>
        <w:t>the conclusion session, consensus was reached on items believed to be essential in shaping positive mentoring relationships.  Subsequently, a mentoring handbook providing a set of guidelines to help mould graduate student mentor/protégé relationships was created and distributed to the mentors. The handbook outlines elements such as recommended introductory email information, meeting frequency, discussion topics, and other potential discussion topics.</w:t>
      </w:r>
    </w:p>
    <w:p w:rsidR="000F4A9C" w:rsidRDefault="000F4A9C" w:rsidP="000F4A9C">
      <w:pPr>
        <w:spacing w:after="120"/>
        <w:ind w:firstLine="720"/>
      </w:pPr>
      <w:r>
        <w:t xml:space="preserve">To assess the success of the brainstorming session and mentoring handbook, those graduate students assigned as mentors were asked to complete an on-line survey containing seven open-ended questions regarding their perceptions of how the session and handbook enhanced their mentoring experience. </w:t>
      </w:r>
    </w:p>
    <w:p w:rsidR="000F4A9C" w:rsidRDefault="000F4A9C" w:rsidP="000F4A9C">
      <w:pPr>
        <w:spacing w:after="120"/>
        <w:jc w:val="center"/>
        <w:rPr>
          <w:b/>
        </w:rPr>
      </w:pPr>
      <w:r w:rsidRPr="00D24241">
        <w:rPr>
          <w:b/>
        </w:rPr>
        <w:t>Results to Date/Implications</w:t>
      </w:r>
    </w:p>
    <w:p w:rsidR="000F4A9C" w:rsidRPr="00F23DB9" w:rsidRDefault="000F4A9C" w:rsidP="000F4A9C">
      <w:pPr>
        <w:spacing w:after="120"/>
      </w:pPr>
      <w:r>
        <w:tab/>
        <w:t xml:space="preserve">Mentors reported the brainstorming session assisted them in feeling more connected to the other graduate students within the department, strengthened their ability to see different perspectives in regards to entering graduate school, and assisted in further defining their role as a mentor. The handbook itself had mixed reviews. Several mentors said they used their notes from the meeting more than the handbook, and one reported not looking at it at all. Of those that did refer to the handbook, they felt it held them accountable and assisted them in continuing their mentor relationship long term. Maintaining open and honest discussions about the role of mentoring within the department, building consensus among those involved on what the mentoring process should entail, and keeping an open mind when working with new graduate students were the results of the brainstorming session and assisted in making the mentoring program even more successful. </w:t>
      </w:r>
    </w:p>
    <w:p w:rsidR="000F4A9C" w:rsidRPr="00D24241" w:rsidRDefault="000F4A9C" w:rsidP="000F4A9C">
      <w:pPr>
        <w:spacing w:after="120"/>
        <w:jc w:val="center"/>
        <w:rPr>
          <w:b/>
        </w:rPr>
      </w:pPr>
      <w:r w:rsidRPr="00D24241">
        <w:rPr>
          <w:b/>
        </w:rPr>
        <w:t>Future Plans/Advice to Others</w:t>
      </w:r>
    </w:p>
    <w:p w:rsidR="000F4A9C" w:rsidRDefault="000F4A9C" w:rsidP="000F4A9C">
      <w:pPr>
        <w:spacing w:after="120"/>
      </w:pPr>
      <w:r>
        <w:tab/>
        <w:t xml:space="preserve">The departmental mentoring program was enhanced by the process of creating the mentoring handbook.  Mentors commented that the brainstorming session offered a great deal of support and guidance for their relationships with protégés.  Because of this, the graduate student association plans to schedule an annual meeting where mentors can discuss strategies for making mentoring relationships successful and adding ideas to the handbook.   </w:t>
      </w:r>
    </w:p>
    <w:p w:rsidR="000F4A9C" w:rsidRDefault="000F4A9C" w:rsidP="000F4A9C">
      <w:pPr>
        <w:spacing w:after="120"/>
        <w:ind w:firstLine="720"/>
      </w:pPr>
      <w:r>
        <w:t>Antidotal evidence suggests that the process of discussing mentoring relationships has a positive impact.  The mentoring handbook serves as the guiding document for the annual process of brainstorming and incorporating new ideas, and is a resource for mentors year-round.  Other a</w:t>
      </w:r>
      <w:r w:rsidRPr="004A193A">
        <w:t>gricultural education departments may benefit from implementing similar mentor</w:t>
      </w:r>
      <w:r>
        <w:t>ing</w:t>
      </w:r>
      <w:r w:rsidRPr="004A193A">
        <w:t xml:space="preserve"> programs</w:t>
      </w:r>
      <w:r>
        <w:t xml:space="preserve">.  In doing so, these departments should </w:t>
      </w:r>
      <w:r w:rsidRPr="004A193A">
        <w:t>encourag</w:t>
      </w:r>
      <w:r>
        <w:t>e</w:t>
      </w:r>
      <w:r w:rsidRPr="004A193A">
        <w:t xml:space="preserve"> graduate student organizations to create </w:t>
      </w:r>
      <w:r>
        <w:t>similar handbooks tailored</w:t>
      </w:r>
      <w:r w:rsidRPr="004A193A">
        <w:t xml:space="preserve"> </w:t>
      </w:r>
      <w:r>
        <w:t>to meet the specific needs of new students in their respective departments.  The collaborative process of development achieves buy-in from mentors, while the annual brainstorming meeting provides limited but necessary structure, allowing (newly) former protégés and mentors alike to contribute to the program. Hopefully, former protégés then choose to serve as mentors themselves in future years due to their successful mentoring relationships.</w:t>
      </w:r>
    </w:p>
    <w:p w:rsidR="000F4A9C" w:rsidRDefault="000F4A9C" w:rsidP="000F4A9C">
      <w:pPr>
        <w:spacing w:after="120"/>
        <w:jc w:val="center"/>
        <w:rPr>
          <w:b/>
        </w:rPr>
      </w:pPr>
      <w:r w:rsidRPr="00D24241">
        <w:rPr>
          <w:b/>
        </w:rPr>
        <w:t>Costs/Resources Needed</w:t>
      </w:r>
    </w:p>
    <w:p w:rsidR="000F4A9C" w:rsidRPr="00AD21CC" w:rsidRDefault="000F4A9C" w:rsidP="000F4A9C">
      <w:pPr>
        <w:spacing w:after="120"/>
      </w:pPr>
      <w:r>
        <w:rPr>
          <w:b/>
        </w:rPr>
        <w:tab/>
      </w:r>
      <w:r>
        <w:t xml:space="preserve">Currently, the mentoring program operates at no direct cost to the mentors, protégés or department.  The primary resource needed to maintain the program is time.  While graduate students often do not have a wealth of this resource, time devoted to this relationship is beneficial to both mentor and protégé.  </w:t>
      </w:r>
    </w:p>
    <w:p w:rsidR="000F4A9C" w:rsidRDefault="000F4A9C" w:rsidP="000F4A9C">
      <w:pPr>
        <w:rPr>
          <w:b/>
        </w:rPr>
      </w:pPr>
      <w:r>
        <w:rPr>
          <w:b/>
        </w:rPr>
        <w:br w:type="page"/>
      </w:r>
    </w:p>
    <w:p w:rsidR="000F4A9C" w:rsidRDefault="000F4A9C" w:rsidP="000F4A9C">
      <w:pPr>
        <w:spacing w:after="240"/>
        <w:jc w:val="center"/>
        <w:rPr>
          <w:b/>
        </w:rPr>
      </w:pPr>
      <w:r>
        <w:rPr>
          <w:b/>
        </w:rPr>
        <w:lastRenderedPageBreak/>
        <w:t>References</w:t>
      </w:r>
    </w:p>
    <w:p w:rsidR="000F4A9C" w:rsidRDefault="000F4A9C" w:rsidP="000F4A9C">
      <w:pPr>
        <w:spacing w:before="240"/>
        <w:ind w:left="720" w:hanging="720"/>
      </w:pPr>
      <w:r>
        <w:t xml:space="preserve">Allen, T. D., McManus, S. E., &amp; Russell, J. E. A. (1999). Newcomer socialization and stress: Formal peer relationships as a source of support. </w:t>
      </w:r>
      <w:r>
        <w:rPr>
          <w:i/>
        </w:rPr>
        <w:t>Journal of Vocational Behavior, 54</w:t>
      </w:r>
      <w:r>
        <w:t>(3), 453-470.</w:t>
      </w:r>
    </w:p>
    <w:p w:rsidR="000F4A9C" w:rsidRDefault="000F4A9C" w:rsidP="000F4A9C">
      <w:pPr>
        <w:spacing w:before="240"/>
        <w:ind w:left="720" w:hanging="720"/>
      </w:pPr>
      <w:r>
        <w:t xml:space="preserve">Bieber, J. P., &amp; Worley, L. K. (2006). Conceptualizing the academic life: Graduate students’ perspectives. </w:t>
      </w:r>
      <w:r>
        <w:rPr>
          <w:i/>
        </w:rPr>
        <w:t>The Journal of Higher Education, 77</w:t>
      </w:r>
      <w:r>
        <w:t>(6), 1009-1035.</w:t>
      </w:r>
    </w:p>
    <w:p w:rsidR="000F4A9C" w:rsidRDefault="000F4A9C" w:rsidP="000F4A9C">
      <w:pPr>
        <w:spacing w:before="240"/>
        <w:ind w:left="720" w:hanging="720"/>
      </w:pPr>
      <w:r w:rsidRPr="002F67CE">
        <w:t>Diffley,</w:t>
      </w:r>
      <w:r>
        <w:t xml:space="preserve"> P. (2007). </w:t>
      </w:r>
      <w:r w:rsidRPr="002F67CE">
        <w:rPr>
          <w:i/>
        </w:rPr>
        <w:t>Graduate school companion</w:t>
      </w:r>
      <w:r>
        <w:t>. New York: Random House.</w:t>
      </w:r>
    </w:p>
    <w:p w:rsidR="000F4A9C" w:rsidRDefault="000F4A9C" w:rsidP="000F4A9C">
      <w:pPr>
        <w:spacing w:before="240"/>
        <w:ind w:left="720" w:hanging="720"/>
      </w:pPr>
      <w:r>
        <w:t xml:space="preserve">Eastman, K., &amp; Williams, D. L. (1993). Relationship between mentoring and career development of agricultural education faculty. </w:t>
      </w:r>
      <w:r>
        <w:rPr>
          <w:i/>
        </w:rPr>
        <w:t>Journal of Agricultural Education, 34</w:t>
      </w:r>
      <w:r>
        <w:t>(2), 71-76.</w:t>
      </w:r>
    </w:p>
    <w:p w:rsidR="000F4A9C" w:rsidRDefault="000F4A9C" w:rsidP="000F4A9C">
      <w:pPr>
        <w:ind w:left="720" w:hanging="720"/>
      </w:pPr>
    </w:p>
    <w:p w:rsidR="000F4A9C" w:rsidRDefault="000F4A9C" w:rsidP="000F4A9C">
      <w:pPr>
        <w:ind w:left="720" w:hanging="720"/>
      </w:pPr>
      <w:r>
        <w:t xml:space="preserve">Lamm, A. &amp; Harder, A. (2008). </w:t>
      </w:r>
      <w:r>
        <w:rPr>
          <w:i/>
          <w:iCs/>
        </w:rPr>
        <w:t>Using mentoring as a part of professional development</w:t>
      </w:r>
      <w:r>
        <w:t xml:space="preserve">. Florida Cooperative Extension Service Electronic Data Information Source, Document AEC 401. Retrieved February 10, 2010 from </w:t>
      </w:r>
      <w:r w:rsidRPr="00DE4814">
        <w:t>http://edis.ifas.ufl.edu/WC082</w:t>
      </w:r>
    </w:p>
    <w:p w:rsidR="000F4A9C" w:rsidRDefault="000F4A9C" w:rsidP="000F4A9C">
      <w:pPr>
        <w:ind w:left="720" w:hanging="720"/>
      </w:pPr>
    </w:p>
    <w:p w:rsidR="000F4A9C" w:rsidRDefault="000F4A9C" w:rsidP="000F4A9C">
      <w:pPr>
        <w:ind w:left="720" w:hanging="720"/>
      </w:pPr>
      <w:r>
        <w:t xml:space="preserve">Mincemoyer, C. C., &amp; Thomson, J. S. (1998). Establishing effective mentoring relationships for individual and organizational success. </w:t>
      </w:r>
      <w:r>
        <w:rPr>
          <w:i/>
        </w:rPr>
        <w:t>Journal of Extension, 36</w:t>
      </w:r>
      <w:r>
        <w:t>(2). Retrieved January 18, 2010, from http://www.joe.org/joe/1998april/a2.html</w:t>
      </w:r>
    </w:p>
    <w:p w:rsidR="000F4A9C" w:rsidRDefault="000F4A9C" w:rsidP="000F4A9C">
      <w:pPr>
        <w:ind w:left="720" w:hanging="720"/>
      </w:pPr>
    </w:p>
    <w:p w:rsidR="000F4A9C" w:rsidRDefault="000F4A9C" w:rsidP="000F4A9C">
      <w:pPr>
        <w:ind w:left="720" w:hanging="720"/>
      </w:pPr>
      <w:r w:rsidRPr="002F67CE">
        <w:t>Peters</w:t>
      </w:r>
      <w:r>
        <w:t xml:space="preserve">, R. L. (1992). </w:t>
      </w:r>
      <w:r w:rsidRPr="002F67CE">
        <w:rPr>
          <w:i/>
        </w:rPr>
        <w:t>Getting what you came for: The smart student’s guide to earning a master’s or a Ph. D.</w:t>
      </w:r>
      <w:r>
        <w:t xml:space="preserve"> New York: The Noonday Press.</w:t>
      </w:r>
    </w:p>
    <w:p w:rsidR="000F4A9C" w:rsidRDefault="000F4A9C" w:rsidP="000F4A9C">
      <w:pPr>
        <w:ind w:left="720" w:hanging="720"/>
      </w:pPr>
    </w:p>
    <w:p w:rsidR="000F4A9C" w:rsidRDefault="000F4A9C" w:rsidP="000F4A9C">
      <w:pPr>
        <w:ind w:left="720" w:hanging="720"/>
      </w:pPr>
      <w:r>
        <w:t xml:space="preserve">Pieter, R. L., Terry, R., Cartmell, D. D. (2005). Mentoring first year agricultural educators: Examining a state-mandated induction program. </w:t>
      </w:r>
      <w:r>
        <w:rPr>
          <w:i/>
        </w:rPr>
        <w:t>Journal of Agricultural Education, 46</w:t>
      </w:r>
      <w:r>
        <w:t>(1), 11-19.</w:t>
      </w:r>
    </w:p>
    <w:p w:rsidR="000F4A9C" w:rsidRDefault="000F4A9C" w:rsidP="000F4A9C">
      <w:pPr>
        <w:ind w:left="720" w:hanging="720"/>
      </w:pPr>
    </w:p>
    <w:p w:rsidR="000F4A9C" w:rsidRPr="00D10F38" w:rsidRDefault="000F4A9C" w:rsidP="000F4A9C">
      <w:pPr>
        <w:ind w:left="720" w:hanging="720"/>
      </w:pPr>
      <w:r>
        <w:t xml:space="preserve">Phillips, W., &amp; Bradshaw, J. (1999). Florida master gardener mentor program: A case study. </w:t>
      </w:r>
      <w:r>
        <w:rPr>
          <w:i/>
        </w:rPr>
        <w:t>Journal of Extension, 37</w:t>
      </w:r>
      <w:r>
        <w:t xml:space="preserve">(4). Retrieved January 31, 2010, from </w:t>
      </w:r>
      <w:r w:rsidRPr="00D10F38">
        <w:t>http://www.joe.org/joe/1999august/rb3.php</w:t>
      </w:r>
      <w:r>
        <w:t xml:space="preserve"> </w:t>
      </w:r>
    </w:p>
    <w:p w:rsidR="000F4A9C" w:rsidRDefault="000F4A9C" w:rsidP="000F4A9C">
      <w:pPr>
        <w:ind w:left="720" w:hanging="720"/>
      </w:pPr>
    </w:p>
    <w:p w:rsidR="000F4A9C" w:rsidRPr="00D10F38" w:rsidRDefault="000F4A9C" w:rsidP="000F4A9C">
      <w:pPr>
        <w:ind w:left="720" w:hanging="720"/>
      </w:pPr>
      <w:r>
        <w:t xml:space="preserve">Rogers, B. (1997). Developing a successful mentoring program for volunteer training. </w:t>
      </w:r>
      <w:r>
        <w:rPr>
          <w:i/>
        </w:rPr>
        <w:t>Journal of Extension, 35</w:t>
      </w:r>
      <w:r>
        <w:t xml:space="preserve">(5). Retrieved January 31, 2010 from </w:t>
      </w:r>
      <w:r w:rsidRPr="00D10F38">
        <w:t>http://www.joe.org/joe/1997october/tt1.php</w:t>
      </w:r>
    </w:p>
    <w:p w:rsidR="000F4A9C" w:rsidRDefault="000F4A9C" w:rsidP="000F4A9C">
      <w:pPr>
        <w:ind w:left="720" w:hanging="720"/>
      </w:pPr>
    </w:p>
    <w:p w:rsidR="000F4A9C" w:rsidRPr="00D10F38" w:rsidRDefault="000F4A9C" w:rsidP="000F4A9C">
      <w:pPr>
        <w:ind w:left="720" w:hanging="720"/>
      </w:pPr>
      <w:r>
        <w:t xml:space="preserve">Williams, D. L. (1997). Focusing agricultural education research: An agenda for the graduate student. </w:t>
      </w:r>
      <w:r>
        <w:rPr>
          <w:i/>
        </w:rPr>
        <w:t>Journal of Agricultural Education, 38</w:t>
      </w:r>
      <w:r>
        <w:t>(3), 28-35.</w:t>
      </w:r>
    </w:p>
    <w:p w:rsidR="000F4A9C" w:rsidRDefault="000F4A9C" w:rsidP="000F4A9C">
      <w:pPr>
        <w:ind w:left="720" w:hanging="720"/>
      </w:pPr>
    </w:p>
    <w:p w:rsidR="000F4A9C" w:rsidRDefault="000F4A9C" w:rsidP="000F4A9C">
      <w:pPr>
        <w:ind w:left="720" w:hanging="720"/>
      </w:pPr>
      <w:r>
        <w:t xml:space="preserve">Zimmer, B. P., &amp; Smith, K. L. (1992). Successful mentoring for new agents. </w:t>
      </w:r>
      <w:r>
        <w:rPr>
          <w:i/>
        </w:rPr>
        <w:t>Journal of Extension, 30</w:t>
      </w:r>
      <w:r>
        <w:t xml:space="preserve">(1). Retrieved January 31, 2010, from http://www.joe.org/joe/1992spring/a8.php </w:t>
      </w:r>
    </w:p>
    <w:p w:rsidR="000F4A9C" w:rsidRPr="00CB1F5D" w:rsidRDefault="000F4A9C" w:rsidP="000F4A9C">
      <w:pPr>
        <w:spacing w:after="240"/>
      </w:pPr>
    </w:p>
    <w:p w:rsidR="00C815F4" w:rsidRDefault="00C815F4" w:rsidP="000F4A9C">
      <w:pPr>
        <w:jc w:val="center"/>
      </w:pPr>
    </w:p>
    <w:sectPr w:rsidR="00C815F4" w:rsidSect="00D82141">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AD8" w:rsidRDefault="003C4AD8" w:rsidP="00C51052">
      <w:r>
        <w:separator/>
      </w:r>
    </w:p>
  </w:endnote>
  <w:endnote w:type="continuationSeparator" w:id="0">
    <w:p w:rsidR="003C4AD8" w:rsidRDefault="003C4AD8" w:rsidP="00C5105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AD8" w:rsidRDefault="003C4AD8" w:rsidP="00C51052">
      <w:r>
        <w:separator/>
      </w:r>
    </w:p>
  </w:footnote>
  <w:footnote w:type="continuationSeparator" w:id="0">
    <w:p w:rsidR="003C4AD8" w:rsidRDefault="003C4AD8" w:rsidP="00C510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141" w:rsidRDefault="00D82141" w:rsidP="00D82141">
    <w:pPr>
      <w:pStyle w:val="Header"/>
      <w:jc w:val="right"/>
    </w:pPr>
    <w:r>
      <w:t>Innovative Idea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3786D"/>
    <w:multiLevelType w:val="multilevel"/>
    <w:tmpl w:val="837484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AC3D63"/>
    <w:rsid w:val="00005DDA"/>
    <w:rsid w:val="000F4A9C"/>
    <w:rsid w:val="001023C7"/>
    <w:rsid w:val="00271653"/>
    <w:rsid w:val="00362DF3"/>
    <w:rsid w:val="00371599"/>
    <w:rsid w:val="003C4AD8"/>
    <w:rsid w:val="003C787E"/>
    <w:rsid w:val="00434028"/>
    <w:rsid w:val="00452CE8"/>
    <w:rsid w:val="004B19C9"/>
    <w:rsid w:val="004D4EC6"/>
    <w:rsid w:val="0053598B"/>
    <w:rsid w:val="005436C5"/>
    <w:rsid w:val="005905FE"/>
    <w:rsid w:val="00625A98"/>
    <w:rsid w:val="006A00E2"/>
    <w:rsid w:val="006B23D3"/>
    <w:rsid w:val="007307DF"/>
    <w:rsid w:val="007E3B6A"/>
    <w:rsid w:val="00805A71"/>
    <w:rsid w:val="00842D62"/>
    <w:rsid w:val="00843F36"/>
    <w:rsid w:val="008B0C39"/>
    <w:rsid w:val="00A747A1"/>
    <w:rsid w:val="00A86365"/>
    <w:rsid w:val="00AA21C2"/>
    <w:rsid w:val="00AB20A6"/>
    <w:rsid w:val="00AC3D63"/>
    <w:rsid w:val="00B90A0E"/>
    <w:rsid w:val="00C41628"/>
    <w:rsid w:val="00C51052"/>
    <w:rsid w:val="00C60743"/>
    <w:rsid w:val="00C815F4"/>
    <w:rsid w:val="00D40946"/>
    <w:rsid w:val="00D82141"/>
    <w:rsid w:val="00D85F0F"/>
    <w:rsid w:val="00DC1AEE"/>
    <w:rsid w:val="00DD6FAC"/>
    <w:rsid w:val="00DE53DA"/>
    <w:rsid w:val="00DE6280"/>
    <w:rsid w:val="00E74D4D"/>
    <w:rsid w:val="00F21567"/>
    <w:rsid w:val="00F7413C"/>
    <w:rsid w:val="00FB3642"/>
    <w:rsid w:val="00FF30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D63"/>
    <w:pPr>
      <w:spacing w:after="0" w:line="240" w:lineRule="auto"/>
    </w:pPr>
    <w:rPr>
      <w:rFonts w:ascii="Times New Roman"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3D63"/>
    <w:pPr>
      <w:spacing w:before="100" w:beforeAutospacing="1" w:after="100" w:afterAutospacing="1"/>
    </w:pPr>
  </w:style>
  <w:style w:type="paragraph" w:styleId="NoSpacing">
    <w:name w:val="No Spacing"/>
    <w:uiPriority w:val="1"/>
    <w:qFormat/>
    <w:rsid w:val="00C815F4"/>
    <w:pPr>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C815F4"/>
    <w:rPr>
      <w:color w:val="0000FF" w:themeColor="hyperlink"/>
      <w:u w:val="single"/>
    </w:rPr>
  </w:style>
  <w:style w:type="paragraph" w:styleId="Header">
    <w:name w:val="header"/>
    <w:basedOn w:val="Normal"/>
    <w:link w:val="HeaderChar"/>
    <w:uiPriority w:val="99"/>
    <w:unhideWhenUsed/>
    <w:rsid w:val="00C51052"/>
    <w:pPr>
      <w:tabs>
        <w:tab w:val="center" w:pos="4680"/>
        <w:tab w:val="right" w:pos="9360"/>
      </w:tabs>
    </w:pPr>
  </w:style>
  <w:style w:type="character" w:customStyle="1" w:styleId="HeaderChar">
    <w:name w:val="Header Char"/>
    <w:basedOn w:val="DefaultParagraphFont"/>
    <w:link w:val="Header"/>
    <w:uiPriority w:val="99"/>
    <w:rsid w:val="00C51052"/>
    <w:rPr>
      <w:rFonts w:ascii="Times New Roman" w:hAnsi="Times New Roman" w:cs="Times New Roman"/>
      <w:color w:val="000000"/>
      <w:sz w:val="24"/>
      <w:szCs w:val="24"/>
    </w:rPr>
  </w:style>
  <w:style w:type="paragraph" w:styleId="Footer">
    <w:name w:val="footer"/>
    <w:basedOn w:val="Normal"/>
    <w:link w:val="FooterChar"/>
    <w:uiPriority w:val="99"/>
    <w:semiHidden/>
    <w:unhideWhenUsed/>
    <w:rsid w:val="00C51052"/>
    <w:pPr>
      <w:tabs>
        <w:tab w:val="center" w:pos="4680"/>
        <w:tab w:val="right" w:pos="9360"/>
      </w:tabs>
    </w:pPr>
  </w:style>
  <w:style w:type="character" w:customStyle="1" w:styleId="FooterChar">
    <w:name w:val="Footer Char"/>
    <w:basedOn w:val="DefaultParagraphFont"/>
    <w:link w:val="Footer"/>
    <w:uiPriority w:val="99"/>
    <w:semiHidden/>
    <w:rsid w:val="00C51052"/>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C51052"/>
    <w:rPr>
      <w:rFonts w:ascii="Tahoma" w:hAnsi="Tahoma" w:cs="Tahoma"/>
      <w:sz w:val="16"/>
      <w:szCs w:val="16"/>
    </w:rPr>
  </w:style>
  <w:style w:type="character" w:customStyle="1" w:styleId="BalloonTextChar">
    <w:name w:val="Balloon Text Char"/>
    <w:basedOn w:val="DefaultParagraphFont"/>
    <w:link w:val="BalloonText"/>
    <w:uiPriority w:val="99"/>
    <w:semiHidden/>
    <w:rsid w:val="00C51052"/>
    <w:rPr>
      <w:rFonts w:ascii="Tahoma" w:hAnsi="Tahoma" w:cs="Tahoma"/>
      <w:color w:val="000000"/>
      <w:sz w:val="16"/>
      <w:szCs w:val="16"/>
    </w:rPr>
  </w:style>
  <w:style w:type="character" w:styleId="CommentReference">
    <w:name w:val="annotation reference"/>
    <w:basedOn w:val="DefaultParagraphFont"/>
    <w:uiPriority w:val="99"/>
    <w:semiHidden/>
    <w:unhideWhenUsed/>
    <w:rsid w:val="000F4A9C"/>
    <w:rPr>
      <w:sz w:val="16"/>
      <w:szCs w:val="16"/>
    </w:rPr>
  </w:style>
  <w:style w:type="paragraph" w:styleId="CommentText">
    <w:name w:val="annotation text"/>
    <w:basedOn w:val="Normal"/>
    <w:link w:val="CommentTextChar"/>
    <w:uiPriority w:val="99"/>
    <w:semiHidden/>
    <w:unhideWhenUsed/>
    <w:rsid w:val="000F4A9C"/>
    <w:rPr>
      <w:color w:val="auto"/>
      <w:sz w:val="20"/>
      <w:szCs w:val="20"/>
    </w:rPr>
  </w:style>
  <w:style w:type="character" w:customStyle="1" w:styleId="CommentTextChar">
    <w:name w:val="Comment Text Char"/>
    <w:basedOn w:val="DefaultParagraphFont"/>
    <w:link w:val="CommentText"/>
    <w:uiPriority w:val="99"/>
    <w:semiHidden/>
    <w:rsid w:val="000F4A9C"/>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49473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amm@ufl.edu" TargetMode="External"/><Relationship Id="rId3" Type="http://schemas.openxmlformats.org/officeDocument/2006/relationships/settings" Target="settings.xml"/><Relationship Id="rId7" Type="http://schemas.openxmlformats.org/officeDocument/2006/relationships/hyperlink" Target="mailto:karenjcannon@ufl.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thoron@ufl.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1428</Words>
  <Characters>8142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9551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ggifford</dc:creator>
  <cp:keywords/>
  <dc:description/>
  <cp:lastModifiedBy>Karen J. Cannon</cp:lastModifiedBy>
  <cp:revision>2</cp:revision>
  <cp:lastPrinted>2009-10-29T15:39:00Z</cp:lastPrinted>
  <dcterms:created xsi:type="dcterms:W3CDTF">2010-02-26T13:40:00Z</dcterms:created>
  <dcterms:modified xsi:type="dcterms:W3CDTF">2010-02-26T13:40:00Z</dcterms:modified>
</cp:coreProperties>
</file>