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69514" w14:textId="6A40D315" w:rsidR="00FD1F40" w:rsidRPr="00097577" w:rsidRDefault="00FD1F40" w:rsidP="00FD1F40">
      <w:pPr>
        <w:spacing w:after="0"/>
        <w:jc w:val="center"/>
        <w:rPr>
          <w:rFonts w:ascii="Times New Roman" w:hAnsi="Times New Roman" w:cs="Times New Roman"/>
          <w:b/>
          <w:bCs/>
          <w:color w:val="000000"/>
        </w:rPr>
      </w:pPr>
      <w:bookmarkStart w:id="0" w:name="OLE_LINK1"/>
      <w:r w:rsidRPr="00097577">
        <w:rPr>
          <w:rFonts w:ascii="Times New Roman" w:hAnsi="Times New Roman" w:cs="Times New Roman"/>
          <w:b/>
          <w:bCs/>
          <w:color w:val="000000"/>
        </w:rPr>
        <w:t>Adopters’ Perspectives on the Gains and Struggles of IPM Implementation: A Focus Group Study in the Eastern United States</w:t>
      </w:r>
      <w:bookmarkEnd w:id="0"/>
    </w:p>
    <w:p w14:paraId="54DE8F1B" w14:textId="7924EF7F" w:rsidR="00FD1F40" w:rsidRPr="00662E20" w:rsidRDefault="00D7633A" w:rsidP="00FD1F40">
      <w:pPr>
        <w:spacing w:before="100" w:beforeAutospacing="1" w:after="100" w:afterAutospacing="1" w:line="240" w:lineRule="auto"/>
        <w:jc w:val="center"/>
        <w:outlineLvl w:val="1"/>
        <w:rPr>
          <w:rFonts w:ascii="Times New Roman" w:eastAsia="Times New Roman" w:hAnsi="Times New Roman" w:cs="Times New Roman"/>
          <w:b/>
          <w:bCs/>
          <w:color w:val="000000"/>
          <w:kern w:val="0"/>
          <w14:ligatures w14:val="none"/>
        </w:rPr>
      </w:pPr>
      <w:r w:rsidRPr="00662E20">
        <w:rPr>
          <w:rFonts w:ascii="Times New Roman" w:eastAsia="Times New Roman" w:hAnsi="Times New Roman" w:cs="Times New Roman"/>
          <w:b/>
          <w:bCs/>
          <w:color w:val="000000"/>
          <w:kern w:val="0"/>
          <w14:ligatures w14:val="none"/>
        </w:rPr>
        <w:t>Introduction, Purpose, and Objectives</w:t>
      </w:r>
    </w:p>
    <w:p w14:paraId="35DBC098" w14:textId="50376BB8" w:rsidR="00D7633A" w:rsidRPr="00662E20" w:rsidRDefault="00D7633A" w:rsidP="00AD4746">
      <w:pPr>
        <w:spacing w:before="100" w:beforeAutospacing="1" w:after="100" w:afterAutospacing="1" w:line="240" w:lineRule="auto"/>
        <w:ind w:firstLine="720"/>
        <w:rPr>
          <w:rFonts w:ascii="Times New Roman" w:eastAsia="Times New Roman" w:hAnsi="Times New Roman" w:cs="Times New Roman"/>
          <w:color w:val="000000"/>
          <w:kern w:val="0"/>
          <w14:ligatures w14:val="none"/>
        </w:rPr>
      </w:pPr>
      <w:r w:rsidRPr="00662E20">
        <w:rPr>
          <w:rFonts w:ascii="Times New Roman" w:eastAsia="Times New Roman" w:hAnsi="Times New Roman" w:cs="Times New Roman"/>
          <w:color w:val="000000"/>
          <w:kern w:val="0"/>
          <w14:ligatures w14:val="none"/>
        </w:rPr>
        <w:t xml:space="preserve">Integrated Pest Management (IPM) has evolved from a pesticide-intensive practice to an ecologically sustainable approach designed to reduce environmental pollution, safeguard biodiversity, and protect human health. Modern IPM integrates technology, business, and sustainability, yet adoption continues to vary due to economic and educational barriers (Lane et al., 2023) and regional differences in crop systems (Han et al., 2024). </w:t>
      </w:r>
      <w:r w:rsidR="00D41DCB" w:rsidRPr="00662E20">
        <w:rPr>
          <w:rFonts w:ascii="Times New Roman" w:eastAsia="Times New Roman" w:hAnsi="Times New Roman" w:cs="Times New Roman"/>
          <w:color w:val="000000"/>
          <w:kern w:val="0"/>
          <w14:ligatures w14:val="none"/>
        </w:rPr>
        <w:t xml:space="preserve">Historically, </w:t>
      </w:r>
      <w:r w:rsidRPr="00662E20">
        <w:rPr>
          <w:rFonts w:ascii="Times New Roman" w:eastAsia="Times New Roman" w:hAnsi="Times New Roman" w:cs="Times New Roman"/>
          <w:color w:val="000000"/>
          <w:kern w:val="0"/>
          <w14:ligatures w14:val="none"/>
        </w:rPr>
        <w:t xml:space="preserve">pest management </w:t>
      </w:r>
      <w:r w:rsidR="00D41DCB" w:rsidRPr="00662E20">
        <w:rPr>
          <w:rFonts w:ascii="Times New Roman" w:eastAsia="Times New Roman" w:hAnsi="Times New Roman" w:cs="Times New Roman"/>
          <w:color w:val="000000"/>
          <w:kern w:val="0"/>
          <w14:ligatures w14:val="none"/>
        </w:rPr>
        <w:t xml:space="preserve">has </w:t>
      </w:r>
      <w:r w:rsidRPr="00662E20">
        <w:rPr>
          <w:rFonts w:ascii="Times New Roman" w:eastAsia="Times New Roman" w:hAnsi="Times New Roman" w:cs="Times New Roman"/>
          <w:color w:val="000000"/>
          <w:kern w:val="0"/>
          <w14:ligatures w14:val="none"/>
        </w:rPr>
        <w:t>relied on chemical control aimed at eliminating entire pest populations (</w:t>
      </w:r>
      <w:proofErr w:type="spellStart"/>
      <w:r w:rsidRPr="00662E20">
        <w:rPr>
          <w:rFonts w:ascii="Times New Roman" w:eastAsia="Times New Roman" w:hAnsi="Times New Roman" w:cs="Times New Roman"/>
          <w:color w:val="000000"/>
          <w:kern w:val="0"/>
          <w14:ligatures w14:val="none"/>
        </w:rPr>
        <w:t>Deguine</w:t>
      </w:r>
      <w:proofErr w:type="spellEnd"/>
      <w:r w:rsidRPr="00662E20">
        <w:rPr>
          <w:rFonts w:ascii="Times New Roman" w:eastAsia="Times New Roman" w:hAnsi="Times New Roman" w:cs="Times New Roman"/>
          <w:color w:val="000000"/>
          <w:kern w:val="0"/>
          <w14:ligatures w14:val="none"/>
        </w:rPr>
        <w:t xml:space="preserve"> et al., 2021; Lewis et al., 1997)</w:t>
      </w:r>
      <w:r w:rsidR="00F862CC">
        <w:rPr>
          <w:rFonts w:ascii="Times New Roman" w:eastAsia="Times New Roman" w:hAnsi="Times New Roman" w:cs="Times New Roman"/>
          <w:color w:val="000000"/>
          <w:kern w:val="0"/>
          <w14:ligatures w14:val="none"/>
        </w:rPr>
        <w:t>,</w:t>
      </w:r>
      <w:r w:rsidRPr="00662E20">
        <w:rPr>
          <w:rFonts w:ascii="Times New Roman" w:eastAsia="Times New Roman" w:hAnsi="Times New Roman" w:cs="Times New Roman"/>
          <w:color w:val="000000"/>
          <w:kern w:val="0"/>
          <w14:ligatures w14:val="none"/>
        </w:rPr>
        <w:t xml:space="preserve"> but such approaches have been linked to severe ecological effects and biodiversity loss (</w:t>
      </w:r>
      <w:r w:rsidR="00D41DCB" w:rsidRPr="00662E20">
        <w:rPr>
          <w:rFonts w:ascii="Times New Roman" w:eastAsia="Times New Roman" w:hAnsi="Times New Roman" w:cs="Times New Roman"/>
          <w:color w:val="000000"/>
          <w:kern w:val="0"/>
          <w14:ligatures w14:val="none"/>
        </w:rPr>
        <w:t xml:space="preserve">Onorati et al., 2022; </w:t>
      </w:r>
      <w:r w:rsidRPr="00662E20">
        <w:rPr>
          <w:rFonts w:ascii="Times New Roman" w:eastAsia="Times New Roman" w:hAnsi="Times New Roman" w:cs="Times New Roman"/>
          <w:color w:val="000000"/>
          <w:kern w:val="0"/>
          <w14:ligatures w14:val="none"/>
        </w:rPr>
        <w:t>Pathak et al., 2022; Srijana et al., 2022).</w:t>
      </w:r>
      <w:r w:rsidR="00BB1955" w:rsidRPr="00662E20">
        <w:rPr>
          <w:rFonts w:ascii="Times New Roman" w:eastAsia="Times New Roman" w:hAnsi="Times New Roman" w:cs="Times New Roman"/>
          <w:color w:val="000000"/>
          <w:kern w:val="0"/>
          <w14:ligatures w14:val="none"/>
        </w:rPr>
        <w:t xml:space="preserve"> In</w:t>
      </w:r>
      <w:r w:rsidRPr="00662E20">
        <w:rPr>
          <w:rFonts w:ascii="Times New Roman" w:eastAsia="Times New Roman" w:hAnsi="Times New Roman" w:cs="Times New Roman"/>
          <w:color w:val="000000"/>
          <w:kern w:val="0"/>
          <w14:ligatures w14:val="none"/>
        </w:rPr>
        <w:t xml:space="preserve"> contrast, IPM seeks to </w:t>
      </w:r>
      <w:r w:rsidR="00D41DCB" w:rsidRPr="00662E20">
        <w:rPr>
          <w:rFonts w:ascii="Times New Roman" w:eastAsia="Times New Roman" w:hAnsi="Times New Roman" w:cs="Times New Roman"/>
          <w:color w:val="000000"/>
          <w:kern w:val="0"/>
          <w14:ligatures w14:val="none"/>
        </w:rPr>
        <w:t xml:space="preserve">keep </w:t>
      </w:r>
      <w:r w:rsidRPr="00662E20">
        <w:rPr>
          <w:rFonts w:ascii="Times New Roman" w:eastAsia="Times New Roman" w:hAnsi="Times New Roman" w:cs="Times New Roman"/>
          <w:color w:val="000000"/>
          <w:kern w:val="0"/>
          <w14:ligatures w14:val="none"/>
        </w:rPr>
        <w:t>pest populations below damaging thresholds (</w:t>
      </w:r>
      <w:r w:rsidR="0003128E" w:rsidRPr="00662E20">
        <w:rPr>
          <w:rFonts w:ascii="Times New Roman" w:eastAsia="Times New Roman" w:hAnsi="Times New Roman" w:cs="Times New Roman"/>
          <w:color w:val="000000"/>
          <w:kern w:val="0"/>
          <w14:ligatures w14:val="none"/>
        </w:rPr>
        <w:t>Angon</w:t>
      </w:r>
      <w:r w:rsidR="00D82249" w:rsidRPr="00662E20">
        <w:rPr>
          <w:rFonts w:ascii="Times New Roman" w:eastAsia="Times New Roman" w:hAnsi="Times New Roman" w:cs="Times New Roman"/>
          <w:color w:val="000000"/>
          <w:kern w:val="0"/>
          <w14:ligatures w14:val="none"/>
        </w:rPr>
        <w:t xml:space="preserve"> et </w:t>
      </w:r>
      <w:proofErr w:type="spellStart"/>
      <w:r w:rsidR="00D82249" w:rsidRPr="00662E20">
        <w:rPr>
          <w:rFonts w:ascii="Times New Roman" w:eastAsia="Times New Roman" w:hAnsi="Times New Roman" w:cs="Times New Roman"/>
          <w:color w:val="000000"/>
          <w:kern w:val="0"/>
          <w14:ligatures w14:val="none"/>
        </w:rPr>
        <w:t>al.sta</w:t>
      </w:r>
      <w:proofErr w:type="spellEnd"/>
      <w:r w:rsidRPr="00662E20">
        <w:rPr>
          <w:rFonts w:ascii="Times New Roman" w:eastAsia="Times New Roman" w:hAnsi="Times New Roman" w:cs="Times New Roman"/>
          <w:color w:val="000000"/>
          <w:kern w:val="0"/>
          <w14:ligatures w14:val="none"/>
        </w:rPr>
        <w:t>, 202</w:t>
      </w:r>
      <w:r w:rsidR="0003128E" w:rsidRPr="00662E20">
        <w:rPr>
          <w:rFonts w:ascii="Times New Roman" w:eastAsia="Times New Roman" w:hAnsi="Times New Roman" w:cs="Times New Roman"/>
          <w:color w:val="000000"/>
          <w:kern w:val="0"/>
          <w14:ligatures w14:val="none"/>
        </w:rPr>
        <w:t>3</w:t>
      </w:r>
      <w:r w:rsidRPr="00662E20">
        <w:rPr>
          <w:rFonts w:ascii="Times New Roman" w:eastAsia="Times New Roman" w:hAnsi="Times New Roman" w:cs="Times New Roman"/>
          <w:color w:val="000000"/>
          <w:kern w:val="0"/>
          <w14:ligatures w14:val="none"/>
        </w:rPr>
        <w:t>) through prevention, monitoring, and informed decision-making that minimize chemical inputs. Techniques such as biological control</w:t>
      </w:r>
      <w:r w:rsidR="00D41DCB" w:rsidRPr="00662E20">
        <w:rPr>
          <w:rFonts w:ascii="Times New Roman" w:eastAsia="Times New Roman" w:hAnsi="Times New Roman" w:cs="Times New Roman"/>
          <w:color w:val="000000"/>
          <w:kern w:val="0"/>
          <w14:ligatures w14:val="none"/>
        </w:rPr>
        <w:t>s</w:t>
      </w:r>
      <w:r w:rsidRPr="00662E20">
        <w:rPr>
          <w:rFonts w:ascii="Times New Roman" w:eastAsia="Times New Roman" w:hAnsi="Times New Roman" w:cs="Times New Roman"/>
          <w:color w:val="000000"/>
          <w:kern w:val="0"/>
          <w14:ligatures w14:val="none"/>
        </w:rPr>
        <w:t xml:space="preserve"> (</w:t>
      </w:r>
      <w:proofErr w:type="spellStart"/>
      <w:r w:rsidRPr="00662E20">
        <w:rPr>
          <w:rFonts w:ascii="Times New Roman" w:eastAsia="Times New Roman" w:hAnsi="Times New Roman" w:cs="Times New Roman"/>
          <w:color w:val="000000"/>
          <w:kern w:val="0"/>
          <w14:ligatures w14:val="none"/>
        </w:rPr>
        <w:t>Moutsaras</w:t>
      </w:r>
      <w:proofErr w:type="spellEnd"/>
      <w:r w:rsidRPr="00662E20">
        <w:rPr>
          <w:rFonts w:ascii="Times New Roman" w:eastAsia="Times New Roman" w:hAnsi="Times New Roman" w:cs="Times New Roman"/>
          <w:color w:val="000000"/>
          <w:kern w:val="0"/>
          <w14:ligatures w14:val="none"/>
        </w:rPr>
        <w:t xml:space="preserve"> et al., 2025) and targeted pesticide use sustain productivity while protecting ecosystems (</w:t>
      </w:r>
      <w:r w:rsidR="00D41DCB" w:rsidRPr="00662E20">
        <w:rPr>
          <w:rFonts w:ascii="Times New Roman" w:eastAsia="Times New Roman" w:hAnsi="Times New Roman" w:cs="Times New Roman"/>
          <w:color w:val="000000"/>
          <w:kern w:val="0"/>
          <w14:ligatures w14:val="none"/>
        </w:rPr>
        <w:t xml:space="preserve">Bueno et al., 2021; </w:t>
      </w:r>
      <w:r w:rsidRPr="00662E20">
        <w:rPr>
          <w:rFonts w:ascii="Times New Roman" w:eastAsia="Times New Roman" w:hAnsi="Times New Roman" w:cs="Times New Roman"/>
          <w:color w:val="000000"/>
          <w:kern w:val="0"/>
          <w14:ligatures w14:val="none"/>
        </w:rPr>
        <w:t>Panda &amp; Sharma, 2025). Empirical evidence demonstrates that IPM can reduce pesticide applications by up to 95 % without compromising yields (</w:t>
      </w:r>
      <w:proofErr w:type="spellStart"/>
      <w:r w:rsidRPr="00662E20">
        <w:rPr>
          <w:rFonts w:ascii="Times New Roman" w:eastAsia="Times New Roman" w:hAnsi="Times New Roman" w:cs="Times New Roman"/>
          <w:color w:val="000000"/>
          <w:kern w:val="0"/>
          <w14:ligatures w14:val="none"/>
        </w:rPr>
        <w:t>Pacenka</w:t>
      </w:r>
      <w:proofErr w:type="spellEnd"/>
      <w:r w:rsidRPr="00662E20">
        <w:rPr>
          <w:rFonts w:ascii="Times New Roman" w:eastAsia="Times New Roman" w:hAnsi="Times New Roman" w:cs="Times New Roman"/>
          <w:color w:val="000000"/>
          <w:kern w:val="0"/>
          <w14:ligatures w14:val="none"/>
        </w:rPr>
        <w:t xml:space="preserve"> et al., 2021), improve economic returns (</w:t>
      </w:r>
      <w:proofErr w:type="spellStart"/>
      <w:r w:rsidRPr="00662E20">
        <w:rPr>
          <w:rFonts w:ascii="Times New Roman" w:eastAsia="Times New Roman" w:hAnsi="Times New Roman" w:cs="Times New Roman"/>
          <w:color w:val="000000"/>
          <w:kern w:val="0"/>
          <w14:ligatures w14:val="none"/>
        </w:rPr>
        <w:t>Grasswitz</w:t>
      </w:r>
      <w:proofErr w:type="spellEnd"/>
      <w:r w:rsidRPr="00662E20">
        <w:rPr>
          <w:rFonts w:ascii="Times New Roman" w:eastAsia="Times New Roman" w:hAnsi="Times New Roman" w:cs="Times New Roman"/>
          <w:color w:val="000000"/>
          <w:kern w:val="0"/>
          <w14:ligatures w14:val="none"/>
        </w:rPr>
        <w:t>, 2019), and enhance soil and ecological health (Fahad et al., 2018).</w:t>
      </w:r>
    </w:p>
    <w:p w14:paraId="03F4735F" w14:textId="57DA44FC" w:rsidR="00D7633A" w:rsidRPr="00662E20" w:rsidRDefault="00D7633A" w:rsidP="00AD4746">
      <w:pPr>
        <w:spacing w:before="100" w:beforeAutospacing="1" w:after="100" w:afterAutospacing="1" w:line="240" w:lineRule="auto"/>
        <w:ind w:firstLine="720"/>
        <w:rPr>
          <w:rFonts w:ascii="Times New Roman" w:eastAsia="Times New Roman" w:hAnsi="Times New Roman" w:cs="Times New Roman"/>
          <w:color w:val="000000"/>
          <w:kern w:val="0"/>
          <w14:ligatures w14:val="none"/>
        </w:rPr>
      </w:pPr>
      <w:r w:rsidRPr="00662E20">
        <w:rPr>
          <w:rFonts w:ascii="Times New Roman" w:eastAsia="Times New Roman" w:hAnsi="Times New Roman" w:cs="Times New Roman"/>
          <w:color w:val="000000"/>
          <w:kern w:val="0"/>
          <w14:ligatures w14:val="none"/>
        </w:rPr>
        <w:t xml:space="preserve">Despite these benefits, </w:t>
      </w:r>
      <w:r w:rsidR="00D41DCB" w:rsidRPr="00662E20">
        <w:rPr>
          <w:rFonts w:ascii="Times New Roman" w:eastAsia="Times New Roman" w:hAnsi="Times New Roman" w:cs="Times New Roman"/>
          <w:color w:val="000000"/>
          <w:kern w:val="0"/>
          <w14:ligatures w14:val="none"/>
        </w:rPr>
        <w:t xml:space="preserve">IPM </w:t>
      </w:r>
      <w:r w:rsidRPr="00662E20">
        <w:rPr>
          <w:rFonts w:ascii="Times New Roman" w:eastAsia="Times New Roman" w:hAnsi="Times New Roman" w:cs="Times New Roman"/>
          <w:color w:val="000000"/>
          <w:kern w:val="0"/>
          <w14:ligatures w14:val="none"/>
        </w:rPr>
        <w:t xml:space="preserve">adoption remains inconsistent and short-lived (Bottrell &amp; Schoenly, 2018) because growers perceive </w:t>
      </w:r>
      <w:r w:rsidR="00D41DCB" w:rsidRPr="00662E20">
        <w:rPr>
          <w:rFonts w:ascii="Times New Roman" w:eastAsia="Times New Roman" w:hAnsi="Times New Roman" w:cs="Times New Roman"/>
          <w:color w:val="000000"/>
          <w:kern w:val="0"/>
          <w14:ligatures w14:val="none"/>
        </w:rPr>
        <w:t xml:space="preserve">it </w:t>
      </w:r>
      <w:r w:rsidRPr="00662E20">
        <w:rPr>
          <w:rFonts w:ascii="Times New Roman" w:eastAsia="Times New Roman" w:hAnsi="Times New Roman" w:cs="Times New Roman"/>
          <w:color w:val="000000"/>
          <w:kern w:val="0"/>
          <w14:ligatures w14:val="none"/>
        </w:rPr>
        <w:t>as complex, costly, and risky (Creissen et al., 2021; Day et al., 2022). For tree-fruit growers, challenges are heightened by continuous pest pressures, stringent market standards, high labor costs, and year-round management requirements (Devadoss, 2021). Although quantitative studies have documented IPM adoption trends (</w:t>
      </w:r>
      <w:proofErr w:type="spellStart"/>
      <w:r w:rsidRPr="00662E20">
        <w:rPr>
          <w:rFonts w:ascii="Times New Roman" w:eastAsia="Times New Roman" w:hAnsi="Times New Roman" w:cs="Times New Roman"/>
          <w:color w:val="000000"/>
          <w:kern w:val="0"/>
          <w14:ligatures w14:val="none"/>
        </w:rPr>
        <w:t>Despotović</w:t>
      </w:r>
      <w:proofErr w:type="spellEnd"/>
      <w:r w:rsidRPr="00662E20">
        <w:rPr>
          <w:rFonts w:ascii="Times New Roman" w:eastAsia="Times New Roman" w:hAnsi="Times New Roman" w:cs="Times New Roman"/>
          <w:color w:val="000000"/>
          <w:kern w:val="0"/>
          <w14:ligatures w14:val="none"/>
        </w:rPr>
        <w:t xml:space="preserve"> et al., 2019; Lane et al., 2023; Marinko et al., 2023), fewer have qualitatively examined how </w:t>
      </w:r>
      <w:r w:rsidR="00D41DCB" w:rsidRPr="00662E20">
        <w:rPr>
          <w:rFonts w:ascii="Times New Roman" w:eastAsia="Times New Roman" w:hAnsi="Times New Roman" w:cs="Times New Roman"/>
          <w:color w:val="000000"/>
          <w:kern w:val="0"/>
          <w14:ligatures w14:val="none"/>
        </w:rPr>
        <w:t xml:space="preserve">potential </w:t>
      </w:r>
      <w:r w:rsidRPr="00662E20">
        <w:rPr>
          <w:rFonts w:ascii="Times New Roman" w:eastAsia="Times New Roman" w:hAnsi="Times New Roman" w:cs="Times New Roman"/>
          <w:color w:val="000000"/>
          <w:kern w:val="0"/>
          <w14:ligatures w14:val="none"/>
        </w:rPr>
        <w:t xml:space="preserve">adopters themselves perceive the benefits and constraints of IPM implementation. Understanding the lived experiences </w:t>
      </w:r>
      <w:r w:rsidR="00D41DCB" w:rsidRPr="00662E20">
        <w:rPr>
          <w:rFonts w:ascii="Times New Roman" w:eastAsia="Times New Roman" w:hAnsi="Times New Roman" w:cs="Times New Roman"/>
          <w:color w:val="000000"/>
          <w:kern w:val="0"/>
          <w14:ligatures w14:val="none"/>
        </w:rPr>
        <w:t xml:space="preserve">of tree-fruit growers </w:t>
      </w:r>
      <w:r w:rsidRPr="00662E20">
        <w:rPr>
          <w:rFonts w:ascii="Times New Roman" w:eastAsia="Times New Roman" w:hAnsi="Times New Roman" w:cs="Times New Roman"/>
          <w:color w:val="000000"/>
          <w:kern w:val="0"/>
          <w14:ligatures w14:val="none"/>
        </w:rPr>
        <w:t xml:space="preserve">is essential to strengthening communication, extension, and research strategies that support sustained </w:t>
      </w:r>
      <w:r w:rsidR="00F862CC">
        <w:rPr>
          <w:rFonts w:ascii="Times New Roman" w:eastAsia="Times New Roman" w:hAnsi="Times New Roman" w:cs="Times New Roman"/>
          <w:color w:val="000000"/>
          <w:kern w:val="0"/>
          <w14:ligatures w14:val="none"/>
        </w:rPr>
        <w:t>adoption</w:t>
      </w:r>
      <w:r w:rsidR="00D41DCB" w:rsidRPr="00662E20">
        <w:rPr>
          <w:rFonts w:ascii="Times New Roman" w:eastAsia="Times New Roman" w:hAnsi="Times New Roman" w:cs="Times New Roman"/>
          <w:color w:val="000000"/>
          <w:kern w:val="0"/>
          <w14:ligatures w14:val="none"/>
        </w:rPr>
        <w:t xml:space="preserve"> </w:t>
      </w:r>
      <w:r w:rsidR="00F862CC">
        <w:rPr>
          <w:rFonts w:ascii="Times New Roman" w:eastAsia="Times New Roman" w:hAnsi="Times New Roman" w:cs="Times New Roman"/>
          <w:color w:val="000000"/>
          <w:kern w:val="0"/>
          <w14:ligatures w14:val="none"/>
        </w:rPr>
        <w:t>of IPM</w:t>
      </w:r>
      <w:r w:rsidRPr="00662E20">
        <w:rPr>
          <w:rFonts w:ascii="Times New Roman" w:eastAsia="Times New Roman" w:hAnsi="Times New Roman" w:cs="Times New Roman"/>
          <w:color w:val="000000"/>
          <w:kern w:val="0"/>
          <w14:ligatures w14:val="none"/>
        </w:rPr>
        <w:t>.</w:t>
      </w:r>
      <w:r w:rsidR="00F86E5B" w:rsidRPr="00662E20">
        <w:rPr>
          <w:rFonts w:ascii="Times New Roman" w:eastAsia="Times New Roman" w:hAnsi="Times New Roman" w:cs="Times New Roman"/>
          <w:color w:val="000000"/>
          <w:kern w:val="0"/>
          <w14:ligatures w14:val="none"/>
        </w:rPr>
        <w:t xml:space="preserve"> </w:t>
      </w:r>
      <w:r w:rsidRPr="00662E20">
        <w:rPr>
          <w:rFonts w:ascii="Times New Roman" w:eastAsia="Times New Roman" w:hAnsi="Times New Roman" w:cs="Times New Roman"/>
          <w:color w:val="000000"/>
          <w:kern w:val="0"/>
          <w14:ligatures w14:val="none"/>
        </w:rPr>
        <w:t>Guided by Rogers’ (2003) Diffusion of Innovations </w:t>
      </w:r>
      <w:r w:rsidR="00B6076D">
        <w:rPr>
          <w:rFonts w:ascii="Times New Roman" w:hAnsi="Times New Roman" w:cs="Times New Roman" w:hint="eastAsia"/>
          <w:color w:val="000000"/>
          <w:kern w:val="0"/>
          <w:lang w:eastAsia="zh-TW"/>
          <w14:ligatures w14:val="none"/>
        </w:rPr>
        <w:t xml:space="preserve">(DOI) </w:t>
      </w:r>
      <w:r w:rsidRPr="00662E20">
        <w:rPr>
          <w:rFonts w:ascii="Times New Roman" w:eastAsia="Times New Roman" w:hAnsi="Times New Roman" w:cs="Times New Roman"/>
          <w:color w:val="000000"/>
          <w:kern w:val="0"/>
          <w14:ligatures w14:val="none"/>
        </w:rPr>
        <w:t>theory, which emphasizes how perceived attributes</w:t>
      </w:r>
      <w:r w:rsidR="00E047D5" w:rsidRPr="00662E20">
        <w:rPr>
          <w:rFonts w:ascii="Times New Roman" w:eastAsia="Times New Roman" w:hAnsi="Times New Roman" w:cs="Times New Roman"/>
          <w:i/>
          <w:iCs/>
          <w:color w:val="000000"/>
          <w:kern w:val="0"/>
          <w14:ligatures w14:val="none"/>
        </w:rPr>
        <w:t xml:space="preserve">: </w:t>
      </w:r>
      <w:r w:rsidR="00D41DCB" w:rsidRPr="00662E20">
        <w:rPr>
          <w:rFonts w:ascii="Times New Roman" w:eastAsia="Times New Roman" w:hAnsi="Times New Roman" w:cs="Times New Roman"/>
          <w:color w:val="000000"/>
          <w:kern w:val="0"/>
          <w14:ligatures w14:val="none"/>
        </w:rPr>
        <w:t>r</w:t>
      </w:r>
      <w:r w:rsidRPr="00662E20">
        <w:rPr>
          <w:rFonts w:ascii="Times New Roman" w:eastAsia="Times New Roman" w:hAnsi="Times New Roman" w:cs="Times New Roman"/>
          <w:color w:val="000000"/>
          <w:kern w:val="0"/>
          <w14:ligatures w14:val="none"/>
        </w:rPr>
        <w:t>elative advantage, compatibility, complexity, trialability, and observability</w:t>
      </w:r>
      <w:r w:rsidR="00C75608" w:rsidRPr="00662E20">
        <w:rPr>
          <w:rFonts w:ascii="Times New Roman" w:eastAsia="Times New Roman" w:hAnsi="Times New Roman" w:cs="Times New Roman"/>
          <w:color w:val="000000"/>
          <w:kern w:val="0"/>
          <w14:ligatures w14:val="none"/>
        </w:rPr>
        <w:t xml:space="preserve"> </w:t>
      </w:r>
      <w:r w:rsidRPr="00662E20">
        <w:rPr>
          <w:rFonts w:ascii="Times New Roman" w:eastAsia="Times New Roman" w:hAnsi="Times New Roman" w:cs="Times New Roman"/>
          <w:color w:val="000000"/>
          <w:kern w:val="0"/>
          <w14:ligatures w14:val="none"/>
        </w:rPr>
        <w:t>influence the acceptance of innovations, this study explores how tree-fruit growers in the eastern United States perceive and experience IPM adoption.</w:t>
      </w:r>
    </w:p>
    <w:p w14:paraId="336D9759" w14:textId="5ADEA639" w:rsidR="00622AEB" w:rsidRPr="00662E20" w:rsidRDefault="00882DA1" w:rsidP="005D6934">
      <w:pPr>
        <w:spacing w:line="240" w:lineRule="auto"/>
        <w:ind w:firstLine="720"/>
        <w:rPr>
          <w:rFonts w:ascii="Times New Roman" w:hAnsi="Times New Roman" w:cs="Times New Roman"/>
        </w:rPr>
      </w:pPr>
      <w:r w:rsidRPr="00662E20">
        <w:rPr>
          <w:rFonts w:ascii="Times New Roman" w:hAnsi="Times New Roman" w:cs="Times New Roman"/>
          <w:color w:val="000000"/>
        </w:rPr>
        <w:t xml:space="preserve">The purpose of this study was to </w:t>
      </w:r>
      <w:r w:rsidR="00F862CC">
        <w:rPr>
          <w:rFonts w:ascii="Times New Roman" w:hAnsi="Times New Roman" w:cs="Times New Roman"/>
          <w:color w:val="000000"/>
        </w:rPr>
        <w:t>examine</w:t>
      </w:r>
      <w:r w:rsidRPr="00662E20">
        <w:rPr>
          <w:rFonts w:ascii="Times New Roman" w:hAnsi="Times New Roman" w:cs="Times New Roman"/>
          <w:color w:val="000000"/>
        </w:rPr>
        <w:t xml:space="preserve"> the factors influencing the adoption of IPM practices among tree fruit growers in the eastern United States and </w:t>
      </w:r>
      <w:r w:rsidR="00F862CC">
        <w:rPr>
          <w:rFonts w:ascii="Times New Roman" w:hAnsi="Times New Roman" w:cs="Times New Roman"/>
          <w:color w:val="000000"/>
        </w:rPr>
        <w:t xml:space="preserve">to assess </w:t>
      </w:r>
      <w:r w:rsidRPr="00662E20">
        <w:rPr>
          <w:rFonts w:ascii="Times New Roman" w:hAnsi="Times New Roman" w:cs="Times New Roman"/>
          <w:color w:val="000000"/>
        </w:rPr>
        <w:t xml:space="preserve">how these factors relate to the perceived attributes of innovations </w:t>
      </w:r>
      <w:r w:rsidR="00F862CC">
        <w:rPr>
          <w:rFonts w:ascii="Times New Roman" w:hAnsi="Times New Roman" w:cs="Times New Roman"/>
          <w:color w:val="000000"/>
        </w:rPr>
        <w:t xml:space="preserve">as </w:t>
      </w:r>
      <w:r w:rsidRPr="00662E20">
        <w:rPr>
          <w:rFonts w:ascii="Times New Roman" w:hAnsi="Times New Roman" w:cs="Times New Roman"/>
          <w:color w:val="000000"/>
        </w:rPr>
        <w:t>described by DOI</w:t>
      </w:r>
      <w:r w:rsidRPr="00662E20">
        <w:rPr>
          <w:rStyle w:val="apple-converted-space"/>
          <w:rFonts w:ascii="Times New Roman" w:eastAsiaTheme="majorEastAsia" w:hAnsi="Times New Roman" w:cs="Times New Roman"/>
          <w:color w:val="000000"/>
        </w:rPr>
        <w:t> </w:t>
      </w:r>
      <w:r w:rsidRPr="00662E20">
        <w:rPr>
          <w:rFonts w:ascii="Times New Roman" w:hAnsi="Times New Roman" w:cs="Times New Roman"/>
          <w:color w:val="000000"/>
        </w:rPr>
        <w:t xml:space="preserve">theory. The specific </w:t>
      </w:r>
      <w:r w:rsidR="00D41DCB" w:rsidRPr="00662E20">
        <w:rPr>
          <w:rFonts w:ascii="Times New Roman" w:hAnsi="Times New Roman" w:cs="Times New Roman"/>
          <w:color w:val="000000"/>
        </w:rPr>
        <w:t xml:space="preserve">questions guiding </w:t>
      </w:r>
      <w:r w:rsidRPr="00662E20">
        <w:rPr>
          <w:rFonts w:ascii="Times New Roman" w:hAnsi="Times New Roman" w:cs="Times New Roman"/>
          <w:color w:val="000000"/>
        </w:rPr>
        <w:t>this study were</w:t>
      </w:r>
      <w:r w:rsidR="00D41DCB" w:rsidRPr="00662E20">
        <w:rPr>
          <w:rFonts w:ascii="Times New Roman" w:hAnsi="Times New Roman" w:cs="Times New Roman"/>
          <w:color w:val="000000"/>
        </w:rPr>
        <w:t xml:space="preserve">: </w:t>
      </w:r>
      <w:r w:rsidRPr="00662E20">
        <w:rPr>
          <w:rFonts w:ascii="Times New Roman" w:hAnsi="Times New Roman" w:cs="Times New Roman"/>
          <w:color w:val="000000"/>
        </w:rPr>
        <w:t xml:space="preserve">(a) </w:t>
      </w:r>
      <w:r w:rsidR="00D41DCB" w:rsidRPr="00662E20">
        <w:rPr>
          <w:rFonts w:ascii="Times New Roman" w:hAnsi="Times New Roman" w:cs="Times New Roman"/>
          <w:color w:val="000000"/>
        </w:rPr>
        <w:t xml:space="preserve">What </w:t>
      </w:r>
      <w:r w:rsidRPr="00662E20">
        <w:rPr>
          <w:rFonts w:ascii="Times New Roman" w:hAnsi="Times New Roman" w:cs="Times New Roman"/>
          <w:color w:val="000000"/>
        </w:rPr>
        <w:t xml:space="preserve">benefits </w:t>
      </w:r>
      <w:r w:rsidR="00D41DCB" w:rsidRPr="00662E20">
        <w:rPr>
          <w:rFonts w:ascii="Times New Roman" w:hAnsi="Times New Roman" w:cs="Times New Roman"/>
          <w:color w:val="000000"/>
        </w:rPr>
        <w:t xml:space="preserve">do </w:t>
      </w:r>
      <w:r w:rsidRPr="00662E20">
        <w:rPr>
          <w:rFonts w:ascii="Times New Roman" w:hAnsi="Times New Roman" w:cs="Times New Roman"/>
          <w:color w:val="000000"/>
        </w:rPr>
        <w:t>tree fruit growers associate with adopting IPM</w:t>
      </w:r>
      <w:r w:rsidR="00D41DCB" w:rsidRPr="00662E20">
        <w:rPr>
          <w:rFonts w:ascii="Times New Roman" w:hAnsi="Times New Roman" w:cs="Times New Roman"/>
          <w:color w:val="000000"/>
        </w:rPr>
        <w:t>?</w:t>
      </w:r>
      <w:r w:rsidRPr="00662E20">
        <w:rPr>
          <w:rFonts w:ascii="Times New Roman" w:hAnsi="Times New Roman" w:cs="Times New Roman"/>
          <w:color w:val="000000"/>
        </w:rPr>
        <w:t xml:space="preserve"> (b) </w:t>
      </w:r>
      <w:r w:rsidR="00D41DCB" w:rsidRPr="00662E20">
        <w:rPr>
          <w:rFonts w:ascii="Times New Roman" w:hAnsi="Times New Roman" w:cs="Times New Roman"/>
          <w:color w:val="000000"/>
        </w:rPr>
        <w:t xml:space="preserve">What </w:t>
      </w:r>
      <w:r w:rsidRPr="00662E20">
        <w:rPr>
          <w:rFonts w:ascii="Times New Roman" w:hAnsi="Times New Roman" w:cs="Times New Roman"/>
          <w:color w:val="000000"/>
        </w:rPr>
        <w:t xml:space="preserve">challenges </w:t>
      </w:r>
      <w:r w:rsidR="00D41DCB" w:rsidRPr="00662E20">
        <w:rPr>
          <w:rFonts w:ascii="Times New Roman" w:hAnsi="Times New Roman" w:cs="Times New Roman"/>
          <w:color w:val="000000"/>
        </w:rPr>
        <w:t xml:space="preserve">do tree fruit growers </w:t>
      </w:r>
      <w:r w:rsidRPr="00662E20">
        <w:rPr>
          <w:rFonts w:ascii="Times New Roman" w:hAnsi="Times New Roman" w:cs="Times New Roman"/>
          <w:color w:val="000000"/>
        </w:rPr>
        <w:t xml:space="preserve">encounter </w:t>
      </w:r>
      <w:r w:rsidR="00D41DCB" w:rsidRPr="00662E20">
        <w:rPr>
          <w:rFonts w:ascii="Times New Roman" w:hAnsi="Times New Roman" w:cs="Times New Roman"/>
          <w:color w:val="000000"/>
        </w:rPr>
        <w:t xml:space="preserve">when considering </w:t>
      </w:r>
      <w:r w:rsidRPr="00662E20">
        <w:rPr>
          <w:rFonts w:ascii="Times New Roman" w:hAnsi="Times New Roman" w:cs="Times New Roman"/>
          <w:color w:val="000000"/>
        </w:rPr>
        <w:t>adopting IPM practices</w:t>
      </w:r>
      <w:r w:rsidR="00D41DCB" w:rsidRPr="00662E20">
        <w:rPr>
          <w:rFonts w:ascii="Times New Roman" w:hAnsi="Times New Roman" w:cs="Times New Roman"/>
          <w:color w:val="000000"/>
        </w:rPr>
        <w:t xml:space="preserve">? </w:t>
      </w:r>
      <w:r w:rsidRPr="00662E20">
        <w:rPr>
          <w:rFonts w:ascii="Times New Roman" w:hAnsi="Times New Roman" w:cs="Times New Roman"/>
          <w:color w:val="000000"/>
        </w:rPr>
        <w:t xml:space="preserve">and (c) </w:t>
      </w:r>
      <w:r w:rsidR="00D41DCB" w:rsidRPr="00662E20">
        <w:rPr>
          <w:rFonts w:ascii="Times New Roman" w:hAnsi="Times New Roman" w:cs="Times New Roman"/>
          <w:color w:val="000000"/>
        </w:rPr>
        <w:t>H</w:t>
      </w:r>
      <w:r w:rsidRPr="00662E20">
        <w:rPr>
          <w:rFonts w:ascii="Times New Roman" w:hAnsi="Times New Roman" w:cs="Times New Roman"/>
          <w:color w:val="000000"/>
        </w:rPr>
        <w:t xml:space="preserve">ow </w:t>
      </w:r>
      <w:r w:rsidR="00D41DCB" w:rsidRPr="00662E20">
        <w:rPr>
          <w:rFonts w:ascii="Times New Roman" w:hAnsi="Times New Roman" w:cs="Times New Roman"/>
          <w:color w:val="000000"/>
        </w:rPr>
        <w:t xml:space="preserve">do </w:t>
      </w:r>
      <w:r w:rsidRPr="00662E20">
        <w:rPr>
          <w:rFonts w:ascii="Times New Roman" w:hAnsi="Times New Roman" w:cs="Times New Roman"/>
        </w:rPr>
        <w:t xml:space="preserve">the attributes of IPM influence </w:t>
      </w:r>
      <w:r w:rsidR="00577937">
        <w:rPr>
          <w:rFonts w:ascii="Times New Roman" w:hAnsi="Times New Roman" w:cs="Times New Roman"/>
        </w:rPr>
        <w:t xml:space="preserve">the </w:t>
      </w:r>
      <w:r w:rsidRPr="00662E20">
        <w:rPr>
          <w:rFonts w:ascii="Times New Roman" w:hAnsi="Times New Roman" w:cs="Times New Roman"/>
        </w:rPr>
        <w:t xml:space="preserve">adoption of IPM and </w:t>
      </w:r>
      <w:r w:rsidR="00D41DCB" w:rsidRPr="00662E20">
        <w:rPr>
          <w:rFonts w:ascii="Times New Roman" w:hAnsi="Times New Roman" w:cs="Times New Roman"/>
        </w:rPr>
        <w:t xml:space="preserve">guide </w:t>
      </w:r>
      <w:r w:rsidRPr="00662E20">
        <w:rPr>
          <w:rFonts w:ascii="Times New Roman" w:hAnsi="Times New Roman" w:cs="Times New Roman"/>
        </w:rPr>
        <w:t>decision</w:t>
      </w:r>
      <w:r w:rsidR="00D41DCB" w:rsidRPr="00662E20">
        <w:rPr>
          <w:rFonts w:ascii="Times New Roman" w:hAnsi="Times New Roman" w:cs="Times New Roman"/>
        </w:rPr>
        <w:t>s</w:t>
      </w:r>
      <w:r w:rsidRPr="00662E20">
        <w:rPr>
          <w:rFonts w:ascii="Times New Roman" w:hAnsi="Times New Roman" w:cs="Times New Roman"/>
        </w:rPr>
        <w:t xml:space="preserve"> </w:t>
      </w:r>
      <w:r w:rsidR="00D41DCB" w:rsidRPr="00662E20">
        <w:rPr>
          <w:rFonts w:ascii="Times New Roman" w:hAnsi="Times New Roman" w:cs="Times New Roman"/>
        </w:rPr>
        <w:t xml:space="preserve">regarding </w:t>
      </w:r>
      <w:r w:rsidRPr="00662E20">
        <w:rPr>
          <w:rFonts w:ascii="Times New Roman" w:hAnsi="Times New Roman" w:cs="Times New Roman"/>
        </w:rPr>
        <w:t xml:space="preserve">future research </w:t>
      </w:r>
      <w:r w:rsidR="00D41DCB" w:rsidRPr="00662E20">
        <w:rPr>
          <w:rFonts w:ascii="Times New Roman" w:hAnsi="Times New Roman" w:cs="Times New Roman"/>
        </w:rPr>
        <w:t xml:space="preserve">needed to </w:t>
      </w:r>
      <w:r w:rsidRPr="00662E20">
        <w:rPr>
          <w:rFonts w:ascii="Times New Roman" w:hAnsi="Times New Roman" w:cs="Times New Roman"/>
        </w:rPr>
        <w:t>enhance IPM tools</w:t>
      </w:r>
      <w:r w:rsidR="00577937">
        <w:rPr>
          <w:rFonts w:ascii="Times New Roman" w:hAnsi="Times New Roman" w:cs="Times New Roman"/>
        </w:rPr>
        <w:t>?</w:t>
      </w:r>
    </w:p>
    <w:p w14:paraId="178554BA" w14:textId="77777777" w:rsidR="005D6934" w:rsidRDefault="005D6934" w:rsidP="00AD4746">
      <w:pPr>
        <w:spacing w:line="240" w:lineRule="auto"/>
        <w:jc w:val="center"/>
        <w:rPr>
          <w:rFonts w:ascii="Times New Roman" w:hAnsi="Times New Roman" w:cs="Times New Roman"/>
          <w:b/>
          <w:bCs/>
        </w:rPr>
      </w:pPr>
    </w:p>
    <w:p w14:paraId="1173777C" w14:textId="77777777" w:rsidR="005D6934" w:rsidRDefault="005D6934" w:rsidP="00AD4746">
      <w:pPr>
        <w:spacing w:line="240" w:lineRule="auto"/>
        <w:jc w:val="center"/>
        <w:rPr>
          <w:rFonts w:ascii="Times New Roman" w:hAnsi="Times New Roman" w:cs="Times New Roman"/>
          <w:b/>
          <w:bCs/>
        </w:rPr>
      </w:pPr>
    </w:p>
    <w:p w14:paraId="73242E8F" w14:textId="711017F1" w:rsidR="00882DA1" w:rsidRPr="00662E20" w:rsidRDefault="00882DA1" w:rsidP="00AD4746">
      <w:pPr>
        <w:spacing w:line="240" w:lineRule="auto"/>
        <w:jc w:val="center"/>
        <w:rPr>
          <w:rFonts w:ascii="Times New Roman" w:hAnsi="Times New Roman" w:cs="Times New Roman"/>
          <w:b/>
          <w:bCs/>
        </w:rPr>
      </w:pPr>
      <w:r w:rsidRPr="00662E20">
        <w:rPr>
          <w:rFonts w:ascii="Times New Roman" w:hAnsi="Times New Roman" w:cs="Times New Roman"/>
          <w:b/>
          <w:bCs/>
        </w:rPr>
        <w:lastRenderedPageBreak/>
        <w:t>Theoretical Framework</w:t>
      </w:r>
    </w:p>
    <w:p w14:paraId="5D2DC6B7" w14:textId="4DF2A4DA" w:rsidR="00882DA1" w:rsidRPr="00662E20" w:rsidRDefault="00882DA1" w:rsidP="00AD4746">
      <w:pPr>
        <w:pStyle w:val="NormalWeb"/>
        <w:ind w:firstLine="720"/>
        <w:rPr>
          <w:color w:val="000000"/>
        </w:rPr>
      </w:pPr>
      <w:r w:rsidRPr="00662E20">
        <w:rPr>
          <w:rStyle w:val="apple-converted-space"/>
          <w:rFonts w:eastAsiaTheme="majorEastAsia"/>
          <w:color w:val="000000"/>
        </w:rPr>
        <w:t xml:space="preserve">DOI theory (Rogers, 2003) </w:t>
      </w:r>
      <w:r w:rsidRPr="00662E20">
        <w:rPr>
          <w:color w:val="000000"/>
        </w:rPr>
        <w:t xml:space="preserve">suggests five key attributes influence the rate and extent of innovation adoption. These attributes are relative advantages, compatibility, complexity, and observability. The attributes affect how potential adopters </w:t>
      </w:r>
      <w:r w:rsidR="00CA663E">
        <w:rPr>
          <w:color w:val="000000"/>
        </w:rPr>
        <w:t>perceive</w:t>
      </w:r>
      <w:r w:rsidRPr="00662E20">
        <w:rPr>
          <w:color w:val="000000"/>
        </w:rPr>
        <w:t xml:space="preserve"> an innovation’s usefulness, ease of use, and </w:t>
      </w:r>
      <w:r w:rsidR="00CA663E">
        <w:rPr>
          <w:color w:val="000000"/>
        </w:rPr>
        <w:t>alignment</w:t>
      </w:r>
      <w:r w:rsidRPr="00662E20">
        <w:rPr>
          <w:color w:val="000000"/>
        </w:rPr>
        <w:t xml:space="preserve"> with their values and </w:t>
      </w:r>
      <w:r w:rsidR="00CA663E">
        <w:rPr>
          <w:color w:val="000000"/>
        </w:rPr>
        <w:t>practices</w:t>
      </w:r>
      <w:r w:rsidRPr="00662E20">
        <w:rPr>
          <w:color w:val="000000"/>
        </w:rPr>
        <w:t xml:space="preserve">. </w:t>
      </w:r>
      <w:r w:rsidR="004D037D" w:rsidRPr="00662E20">
        <w:rPr>
          <w:color w:val="000000"/>
        </w:rPr>
        <w:t xml:space="preserve"> </w:t>
      </w:r>
      <w:r w:rsidRPr="00662E20">
        <w:rPr>
          <w:rStyle w:val="Strong"/>
          <w:rFonts w:eastAsiaTheme="majorEastAsia"/>
          <w:b w:val="0"/>
          <w:bCs w:val="0"/>
          <w:color w:val="000000"/>
        </w:rPr>
        <w:t xml:space="preserve">Within agricultural systems, DOI has been extensively used to explain farmers’ decisions to adopt innovations such as precision agricultural technologies </w:t>
      </w:r>
      <w:r w:rsidRPr="00662E20">
        <w:rPr>
          <w:rStyle w:val="Strong"/>
          <w:rFonts w:eastAsiaTheme="majorEastAsia"/>
          <w:b w:val="0"/>
          <w:bCs w:val="0"/>
          <w:noProof/>
          <w:color w:val="000000"/>
        </w:rPr>
        <w:t>(Greig et al., 2023; Nafar et al., 2025),</w:t>
      </w:r>
      <w:r w:rsidRPr="00662E20">
        <w:rPr>
          <w:rStyle w:val="Strong"/>
          <w:rFonts w:eastAsiaTheme="majorEastAsia"/>
          <w:b w:val="0"/>
          <w:bCs w:val="0"/>
          <w:color w:val="000000"/>
        </w:rPr>
        <w:t xml:space="preserve"> cultural practices </w:t>
      </w:r>
      <w:r w:rsidRPr="00662E20">
        <w:rPr>
          <w:rStyle w:val="Strong"/>
          <w:rFonts w:eastAsiaTheme="majorEastAsia"/>
          <w:b w:val="0"/>
          <w:bCs w:val="0"/>
          <w:noProof/>
          <w:color w:val="000000"/>
        </w:rPr>
        <w:t>(Lavoie et al., 2021)</w:t>
      </w:r>
      <w:r w:rsidRPr="00662E20">
        <w:rPr>
          <w:rStyle w:val="Strong"/>
          <w:rFonts w:eastAsiaTheme="majorEastAsia"/>
          <w:b w:val="0"/>
          <w:bCs w:val="0"/>
          <w:color w:val="000000"/>
        </w:rPr>
        <w:t xml:space="preserve">, soil conservation </w:t>
      </w:r>
      <w:r w:rsidRPr="00662E20">
        <w:rPr>
          <w:rStyle w:val="Strong"/>
          <w:rFonts w:eastAsiaTheme="majorEastAsia"/>
          <w:b w:val="0"/>
          <w:bCs w:val="0"/>
          <w:noProof/>
          <w:color w:val="000000"/>
        </w:rPr>
        <w:t>(Lee et al., 2025),</w:t>
      </w:r>
      <w:r w:rsidRPr="00662E20">
        <w:rPr>
          <w:rStyle w:val="Strong"/>
          <w:rFonts w:eastAsiaTheme="majorEastAsia"/>
          <w:b w:val="0"/>
          <w:bCs w:val="0"/>
          <w:color w:val="000000"/>
        </w:rPr>
        <w:t xml:space="preserve"> IPM in vegetable crop production </w:t>
      </w:r>
      <w:r w:rsidRPr="00662E20">
        <w:rPr>
          <w:rStyle w:val="Strong"/>
          <w:rFonts w:eastAsiaTheme="majorEastAsia"/>
          <w:b w:val="0"/>
          <w:bCs w:val="0"/>
          <w:noProof/>
          <w:color w:val="000000"/>
        </w:rPr>
        <w:t>(Tham-Agyekum et al., 2025),</w:t>
      </w:r>
      <w:r w:rsidRPr="00662E20">
        <w:rPr>
          <w:rStyle w:val="Strong"/>
          <w:rFonts w:eastAsiaTheme="majorEastAsia"/>
          <w:b w:val="0"/>
          <w:bCs w:val="0"/>
          <w:color w:val="000000"/>
        </w:rPr>
        <w:t xml:space="preserve"> and IPM adoption in general </w:t>
      </w:r>
      <w:r w:rsidRPr="00662E20">
        <w:rPr>
          <w:rStyle w:val="Strong"/>
          <w:rFonts w:eastAsiaTheme="majorEastAsia"/>
          <w:b w:val="0"/>
          <w:bCs w:val="0"/>
          <w:noProof/>
          <w:color w:val="000000"/>
        </w:rPr>
        <w:t>(Lane et al., 2023)</w:t>
      </w:r>
      <w:r w:rsidRPr="00662E20">
        <w:rPr>
          <w:b/>
          <w:bCs/>
          <w:color w:val="000000"/>
        </w:rPr>
        <w:t>.</w:t>
      </w:r>
      <w:r w:rsidRPr="00662E20">
        <w:rPr>
          <w:color w:val="000000"/>
        </w:rPr>
        <w:t xml:space="preserve"> In this study, relative advantage </w:t>
      </w:r>
      <w:r w:rsidR="00CA663E">
        <w:rPr>
          <w:color w:val="000000"/>
        </w:rPr>
        <w:t>refer</w:t>
      </w:r>
      <w:r w:rsidRPr="00662E20">
        <w:rPr>
          <w:color w:val="000000"/>
        </w:rPr>
        <w:t xml:space="preserve">s </w:t>
      </w:r>
      <w:r w:rsidR="00CA663E">
        <w:rPr>
          <w:color w:val="000000"/>
        </w:rPr>
        <w:t>to</w:t>
      </w:r>
      <w:r w:rsidRPr="00662E20">
        <w:rPr>
          <w:color w:val="000000"/>
        </w:rPr>
        <w:t xml:space="preserve"> </w:t>
      </w:r>
      <w:r w:rsidR="00CA663E">
        <w:rPr>
          <w:color w:val="000000"/>
        </w:rPr>
        <w:t>the extent to whi</w:t>
      </w:r>
      <w:r w:rsidRPr="00662E20">
        <w:rPr>
          <w:color w:val="000000"/>
        </w:rPr>
        <w:t xml:space="preserve">ch </w:t>
      </w:r>
      <w:r w:rsidR="00D41DCB" w:rsidRPr="00662E20">
        <w:rPr>
          <w:color w:val="000000"/>
        </w:rPr>
        <w:t xml:space="preserve">tree-fruit </w:t>
      </w:r>
      <w:r w:rsidRPr="00662E20">
        <w:rPr>
          <w:color w:val="000000"/>
        </w:rPr>
        <w:t xml:space="preserve">growers </w:t>
      </w:r>
      <w:r w:rsidR="00CA663E">
        <w:rPr>
          <w:color w:val="000000"/>
        </w:rPr>
        <w:t>perceiv</w:t>
      </w:r>
      <w:r w:rsidRPr="00662E20">
        <w:rPr>
          <w:color w:val="000000"/>
        </w:rPr>
        <w:t xml:space="preserve">e IPM as providing benefits over conventional pest control methods, such as </w:t>
      </w:r>
      <w:r w:rsidR="00CA663E">
        <w:rPr>
          <w:color w:val="000000"/>
        </w:rPr>
        <w:t>great</w:t>
      </w:r>
      <w:r w:rsidRPr="00662E20">
        <w:rPr>
          <w:color w:val="000000"/>
        </w:rPr>
        <w:t xml:space="preserve">er efficiency, lower pesticide use, or long-term economic savings. Compatibility refers to </w:t>
      </w:r>
      <w:r w:rsidR="00CA663E">
        <w:rPr>
          <w:color w:val="000000"/>
        </w:rPr>
        <w:t>the</w:t>
      </w:r>
      <w:r w:rsidRPr="00662E20">
        <w:rPr>
          <w:color w:val="000000"/>
        </w:rPr>
        <w:t xml:space="preserve"> </w:t>
      </w:r>
      <w:r w:rsidR="00CA663E">
        <w:rPr>
          <w:color w:val="000000"/>
        </w:rPr>
        <w:t>extent to which</w:t>
      </w:r>
      <w:r w:rsidRPr="00662E20">
        <w:rPr>
          <w:color w:val="000000"/>
        </w:rPr>
        <w:t xml:space="preserve"> IPM aligns with growers’ current production practices, knowledge, and management. Complexity measures the perceived difficulty of implementing IPM, which includes technical skills, timing, and decision-making. Trialability refers to the ability of growers to test IPM strategies on a small scale before full adoption. Lastly, observability </w:t>
      </w:r>
      <w:r w:rsidR="00CA663E">
        <w:rPr>
          <w:color w:val="000000"/>
        </w:rPr>
        <w:t>refer</w:t>
      </w:r>
      <w:r w:rsidRPr="00662E20">
        <w:rPr>
          <w:color w:val="000000"/>
        </w:rPr>
        <w:t xml:space="preserve">s </w:t>
      </w:r>
      <w:r w:rsidR="00CA663E">
        <w:rPr>
          <w:color w:val="000000"/>
        </w:rPr>
        <w:t>to</w:t>
      </w:r>
      <w:r w:rsidRPr="00662E20">
        <w:rPr>
          <w:color w:val="000000"/>
        </w:rPr>
        <w:t xml:space="preserve"> </w:t>
      </w:r>
      <w:r w:rsidR="00CA663E">
        <w:rPr>
          <w:color w:val="000000"/>
        </w:rPr>
        <w:t>the extent to which</w:t>
      </w:r>
      <w:r w:rsidRPr="00662E20">
        <w:rPr>
          <w:color w:val="000000"/>
        </w:rPr>
        <w:t xml:space="preserve"> the benefits of IPM are visible to </w:t>
      </w:r>
      <w:r w:rsidR="00D41DCB" w:rsidRPr="00662E20">
        <w:rPr>
          <w:color w:val="000000"/>
        </w:rPr>
        <w:t xml:space="preserve">tree-fruit </w:t>
      </w:r>
      <w:r w:rsidRPr="00662E20">
        <w:rPr>
          <w:color w:val="000000"/>
        </w:rPr>
        <w:t xml:space="preserve">growers, peers, or consumers, such as healthier crops or lower </w:t>
      </w:r>
      <w:r w:rsidR="00CA663E">
        <w:rPr>
          <w:color w:val="000000"/>
        </w:rPr>
        <w:t xml:space="preserve">environmental </w:t>
      </w:r>
      <w:r w:rsidRPr="00662E20">
        <w:rPr>
          <w:color w:val="000000"/>
        </w:rPr>
        <w:t>chemical residues</w:t>
      </w:r>
      <w:r w:rsidRPr="00662E20">
        <w:rPr>
          <w:rStyle w:val="apple-converted-space"/>
          <w:rFonts w:eastAsiaTheme="majorEastAsia"/>
          <w:color w:val="000000"/>
        </w:rPr>
        <w:t>.</w:t>
      </w:r>
    </w:p>
    <w:p w14:paraId="02D5C65F" w14:textId="506548B7" w:rsidR="00AC0DF0" w:rsidRPr="00662E20" w:rsidRDefault="00882DA1" w:rsidP="00AD4746">
      <w:pPr>
        <w:pStyle w:val="NormalWeb"/>
        <w:ind w:firstLine="720"/>
        <w:rPr>
          <w:color w:val="000000"/>
        </w:rPr>
      </w:pPr>
      <w:r w:rsidRPr="00662E20">
        <w:rPr>
          <w:color w:val="000000"/>
        </w:rPr>
        <w:t xml:space="preserve">The importance of DOI in this research lies in recognizing that adopting IPM in perennial fruit systems is not merely a technical decision but also involves social and psychological dimensions. </w:t>
      </w:r>
      <w:r w:rsidR="00622AEB" w:rsidRPr="00622AEB">
        <w:rPr>
          <w:color w:val="000000"/>
        </w:rPr>
        <w:t xml:space="preserve">Tree-fruit growers operate within networks of peers, consultants, and consumers, </w:t>
      </w:r>
      <w:r w:rsidR="00622AEB">
        <w:rPr>
          <w:color w:val="000000"/>
        </w:rPr>
        <w:t>influencing their perceptions</w:t>
      </w:r>
      <w:r w:rsidR="00622AEB" w:rsidRPr="00622AEB">
        <w:rPr>
          <w:color w:val="000000"/>
        </w:rPr>
        <w:t xml:space="preserve"> </w:t>
      </w:r>
      <w:r w:rsidR="00622AEB">
        <w:rPr>
          <w:color w:val="000000"/>
        </w:rPr>
        <w:t xml:space="preserve">of </w:t>
      </w:r>
      <w:r w:rsidR="00622AEB" w:rsidRPr="00622AEB">
        <w:rPr>
          <w:color w:val="000000"/>
        </w:rPr>
        <w:t>effective pest management (Scott‐Brown et al., 2025).</w:t>
      </w:r>
      <w:r w:rsidRPr="00662E20">
        <w:rPr>
          <w:color w:val="000000"/>
        </w:rPr>
        <w:t xml:space="preserve"> Moreover, successful IPM adoption depends on ongoing learning, monitoring, and adaptation</w:t>
      </w:r>
      <w:r w:rsidR="00801315">
        <w:rPr>
          <w:color w:val="000000"/>
        </w:rPr>
        <w:t>,</w:t>
      </w:r>
      <w:r w:rsidRPr="00662E20">
        <w:rPr>
          <w:color w:val="000000"/>
        </w:rPr>
        <w:t xml:space="preserve"> which means growers’ </w:t>
      </w:r>
      <w:r w:rsidR="00801315">
        <w:rPr>
          <w:color w:val="000000"/>
        </w:rPr>
        <w:t xml:space="preserve">perceptions </w:t>
      </w:r>
      <w:r w:rsidRPr="00662E20">
        <w:rPr>
          <w:color w:val="000000"/>
        </w:rPr>
        <w:t xml:space="preserve">of its qualities can change over time based on their experiences and conditions posed by the environment </w:t>
      </w:r>
      <w:r w:rsidRPr="00662E20">
        <w:rPr>
          <w:noProof/>
          <w:color w:val="000000"/>
        </w:rPr>
        <w:t>(Dara, 2019)</w:t>
      </w:r>
      <w:r w:rsidRPr="00662E20">
        <w:rPr>
          <w:color w:val="000000"/>
        </w:rPr>
        <w:t xml:space="preserve">. </w:t>
      </w:r>
    </w:p>
    <w:p w14:paraId="5F03CBCD" w14:textId="77777777" w:rsidR="00AC0DF0" w:rsidRPr="00662E20" w:rsidRDefault="00AC0DF0" w:rsidP="00AD4746">
      <w:pPr>
        <w:spacing w:before="100" w:beforeAutospacing="1" w:after="100" w:afterAutospacing="1" w:line="240" w:lineRule="auto"/>
        <w:jc w:val="center"/>
        <w:outlineLvl w:val="1"/>
        <w:rPr>
          <w:rFonts w:ascii="Times New Roman" w:eastAsia="Times New Roman" w:hAnsi="Times New Roman" w:cs="Times New Roman"/>
          <w:b/>
          <w:bCs/>
          <w:color w:val="000000"/>
          <w:kern w:val="0"/>
          <w14:ligatures w14:val="none"/>
        </w:rPr>
      </w:pPr>
      <w:r w:rsidRPr="00662E20">
        <w:rPr>
          <w:rFonts w:ascii="Times New Roman" w:eastAsia="Times New Roman" w:hAnsi="Times New Roman" w:cs="Times New Roman"/>
          <w:b/>
          <w:bCs/>
          <w:color w:val="000000"/>
          <w:kern w:val="0"/>
          <w14:ligatures w14:val="none"/>
        </w:rPr>
        <w:t>Methods</w:t>
      </w:r>
    </w:p>
    <w:p w14:paraId="7FE467CB" w14:textId="36CA0D8F" w:rsidR="003166D8" w:rsidRDefault="00B53AA7" w:rsidP="00AD4746">
      <w:pPr>
        <w:spacing w:after="0" w:line="240" w:lineRule="auto"/>
        <w:ind w:firstLine="720"/>
        <w:rPr>
          <w:rFonts w:ascii="Times New Roman" w:hAnsi="Times New Roman" w:cs="Times New Roman"/>
          <w:color w:val="000000"/>
        </w:rPr>
      </w:pPr>
      <w:r w:rsidRPr="00662E20">
        <w:rPr>
          <w:rFonts w:ascii="Times New Roman" w:hAnsi="Times New Roman" w:cs="Times New Roman"/>
          <w:color w:val="000000"/>
        </w:rPr>
        <w:t xml:space="preserve">This </w:t>
      </w:r>
      <w:r w:rsidR="00D41DCB" w:rsidRPr="00662E20">
        <w:rPr>
          <w:rFonts w:ascii="Times New Roman" w:hAnsi="Times New Roman" w:cs="Times New Roman"/>
          <w:color w:val="000000"/>
        </w:rPr>
        <w:t xml:space="preserve">qualitative </w:t>
      </w:r>
      <w:r w:rsidRPr="00662E20">
        <w:rPr>
          <w:rFonts w:ascii="Times New Roman" w:hAnsi="Times New Roman" w:cs="Times New Roman"/>
          <w:color w:val="000000"/>
        </w:rPr>
        <w:t xml:space="preserve">study used focus groups to gather rich data, encouraging participants to share experiences. Focus groups </w:t>
      </w:r>
      <w:r w:rsidR="00D41DCB" w:rsidRPr="00662E20">
        <w:rPr>
          <w:rFonts w:ascii="Times New Roman" w:hAnsi="Times New Roman" w:cs="Times New Roman"/>
          <w:color w:val="000000"/>
        </w:rPr>
        <w:t xml:space="preserve">typically </w:t>
      </w:r>
      <w:r w:rsidRPr="00662E20">
        <w:rPr>
          <w:rFonts w:ascii="Times New Roman" w:hAnsi="Times New Roman" w:cs="Times New Roman"/>
          <w:color w:val="000000"/>
        </w:rPr>
        <w:t xml:space="preserve">involve </w:t>
      </w:r>
      <w:r w:rsidR="00E3580F">
        <w:rPr>
          <w:rFonts w:ascii="Times New Roman" w:hAnsi="Times New Roman" w:cs="Times New Roman"/>
          <w:color w:val="000000"/>
        </w:rPr>
        <w:t xml:space="preserve">6 to 10 </w:t>
      </w:r>
      <w:r w:rsidRPr="00662E20">
        <w:rPr>
          <w:rFonts w:ascii="Times New Roman" w:hAnsi="Times New Roman" w:cs="Times New Roman"/>
          <w:color w:val="000000"/>
        </w:rPr>
        <w:t xml:space="preserve">people discussing perceptions and attitudes (Krueger, 2014). </w:t>
      </w:r>
      <w:r w:rsidR="00D41DCB" w:rsidRPr="00662E20">
        <w:rPr>
          <w:rFonts w:ascii="Times New Roman" w:hAnsi="Times New Roman" w:cs="Times New Roman"/>
          <w:color w:val="000000"/>
        </w:rPr>
        <w:t>Focus groups are</w:t>
      </w:r>
      <w:r w:rsidRPr="00662E20">
        <w:rPr>
          <w:rFonts w:ascii="Times New Roman" w:hAnsi="Times New Roman" w:cs="Times New Roman"/>
          <w:color w:val="000000"/>
        </w:rPr>
        <w:t xml:space="preserve"> effective for exploring collective experiences and </w:t>
      </w:r>
      <w:r w:rsidR="00D41DCB" w:rsidRPr="00662E20">
        <w:rPr>
          <w:rFonts w:ascii="Times New Roman" w:hAnsi="Times New Roman" w:cs="Times New Roman"/>
          <w:color w:val="000000"/>
        </w:rPr>
        <w:t xml:space="preserve">capturing </w:t>
      </w:r>
      <w:r w:rsidRPr="00662E20">
        <w:rPr>
          <w:rFonts w:ascii="Times New Roman" w:hAnsi="Times New Roman" w:cs="Times New Roman"/>
          <w:color w:val="000000"/>
        </w:rPr>
        <w:t>diverse views (</w:t>
      </w:r>
      <w:proofErr w:type="spellStart"/>
      <w:proofErr w:type="gramStart"/>
      <w:r w:rsidRPr="00662E20">
        <w:rPr>
          <w:rFonts w:ascii="Times New Roman" w:hAnsi="Times New Roman" w:cs="Times New Roman"/>
          <w:color w:val="000000"/>
        </w:rPr>
        <w:t>O.Nyumba</w:t>
      </w:r>
      <w:proofErr w:type="spellEnd"/>
      <w:proofErr w:type="gramEnd"/>
      <w:r w:rsidRPr="00662E20">
        <w:rPr>
          <w:rFonts w:ascii="Times New Roman" w:hAnsi="Times New Roman" w:cs="Times New Roman"/>
          <w:color w:val="000000"/>
        </w:rPr>
        <w:t xml:space="preserve"> et al., 2018).</w:t>
      </w:r>
      <w:r w:rsidRPr="00662E20">
        <w:rPr>
          <w:rFonts w:ascii="Times New Roman" w:eastAsia="Times New Roman" w:hAnsi="Times New Roman" w:cs="Times New Roman"/>
          <w:color w:val="000000"/>
          <w:kern w:val="0"/>
          <w14:ligatures w14:val="none"/>
        </w:rPr>
        <w:t xml:space="preserve"> </w:t>
      </w:r>
      <w:r w:rsidRPr="00662E20">
        <w:rPr>
          <w:rFonts w:ascii="Times New Roman" w:hAnsi="Times New Roman" w:cs="Times New Roman"/>
          <w:color w:val="000000"/>
        </w:rPr>
        <w:t>A moderator’s guide was used to facilitate</w:t>
      </w:r>
      <w:r w:rsidR="00D41DCB" w:rsidRPr="00662E20">
        <w:rPr>
          <w:rFonts w:ascii="Times New Roman" w:hAnsi="Times New Roman" w:cs="Times New Roman"/>
          <w:color w:val="000000"/>
        </w:rPr>
        <w:t xml:space="preserve"> the</w:t>
      </w:r>
      <w:r w:rsidRPr="00662E20">
        <w:rPr>
          <w:rFonts w:ascii="Times New Roman" w:hAnsi="Times New Roman" w:cs="Times New Roman"/>
          <w:color w:val="000000"/>
        </w:rPr>
        <w:t xml:space="preserve"> discussions. Three faculty members specializing in communication and education in the context of agriculture developed the moderator guide, which was then reviewed by a team of entomologists and </w:t>
      </w:r>
      <w:r w:rsidR="00431C5C">
        <w:rPr>
          <w:rFonts w:ascii="Times New Roman" w:hAnsi="Times New Roman" w:cs="Times New Roman"/>
          <w:color w:val="000000"/>
        </w:rPr>
        <w:t>e</w:t>
      </w:r>
      <w:r w:rsidRPr="00662E20">
        <w:rPr>
          <w:rFonts w:ascii="Times New Roman" w:hAnsi="Times New Roman" w:cs="Times New Roman"/>
          <w:color w:val="000000"/>
        </w:rPr>
        <w:t>xtension specialists to ensure content reliability and transferability (</w:t>
      </w:r>
      <w:r w:rsidRPr="00662E20">
        <w:rPr>
          <w:rFonts w:ascii="Times New Roman" w:hAnsi="Times New Roman" w:cs="Times New Roman"/>
          <w:color w:val="000000"/>
          <w:lang w:eastAsia="zh-TW"/>
        </w:rPr>
        <w:t>Archer, 2007</w:t>
      </w:r>
      <w:r w:rsidRPr="00662E20">
        <w:rPr>
          <w:rFonts w:ascii="Times New Roman" w:hAnsi="Times New Roman" w:cs="Times New Roman"/>
          <w:color w:val="000000"/>
        </w:rPr>
        <w:t>).</w:t>
      </w:r>
      <w:r w:rsidR="00CF67F8" w:rsidRPr="00662E20">
        <w:rPr>
          <w:rFonts w:ascii="Times New Roman" w:eastAsia="Times New Roman" w:hAnsi="Times New Roman" w:cs="Times New Roman"/>
          <w:color w:val="000000"/>
          <w:kern w:val="0"/>
          <w14:ligatures w14:val="none"/>
        </w:rPr>
        <w:t xml:space="preserve"> </w:t>
      </w:r>
      <w:r w:rsidR="007764BB" w:rsidRPr="00662E20">
        <w:rPr>
          <w:rFonts w:ascii="Times New Roman" w:eastAsia="Times New Roman" w:hAnsi="Times New Roman" w:cs="Times New Roman"/>
          <w:color w:val="000000"/>
          <w:kern w:val="0"/>
          <w14:ligatures w14:val="none"/>
        </w:rPr>
        <w:t xml:space="preserve">IRB approval was obtained. </w:t>
      </w:r>
      <w:r w:rsidR="00AC0DF0" w:rsidRPr="00662E20">
        <w:rPr>
          <w:rFonts w:ascii="Times New Roman" w:eastAsia="Times New Roman" w:hAnsi="Times New Roman" w:cs="Times New Roman"/>
          <w:color w:val="000000"/>
          <w:kern w:val="0"/>
          <w14:ligatures w14:val="none"/>
        </w:rPr>
        <w:t xml:space="preserve">Seven focus groups involving 82 participants were conducted from January to March 2025 across </w:t>
      </w:r>
      <w:r w:rsidR="000E783B">
        <w:rPr>
          <w:rFonts w:ascii="Times New Roman" w:eastAsia="Times New Roman" w:hAnsi="Times New Roman" w:cs="Times New Roman"/>
          <w:color w:val="000000"/>
          <w:kern w:val="0"/>
          <w14:ligatures w14:val="none"/>
        </w:rPr>
        <w:t>12</w:t>
      </w:r>
      <w:r w:rsidR="00AC0DF0" w:rsidRPr="00662E20">
        <w:rPr>
          <w:rFonts w:ascii="Times New Roman" w:eastAsia="Times New Roman" w:hAnsi="Times New Roman" w:cs="Times New Roman"/>
          <w:color w:val="000000"/>
          <w:kern w:val="0"/>
          <w14:ligatures w14:val="none"/>
        </w:rPr>
        <w:t xml:space="preserve"> eastern U.S. states. Participants were primarily apple and peach growers who actively implemented IPM practices. Six sessions were held in person, and one was conducted virtually via Zoom. In-person sessions occurred in conference room roundtable settings, facilitated by </w:t>
      </w:r>
      <w:r w:rsidR="007764BB" w:rsidRPr="00662E20">
        <w:rPr>
          <w:rFonts w:ascii="Times New Roman" w:eastAsia="Times New Roman" w:hAnsi="Times New Roman" w:cs="Times New Roman"/>
          <w:color w:val="000000"/>
          <w:kern w:val="0"/>
          <w14:ligatures w14:val="none"/>
        </w:rPr>
        <w:t xml:space="preserve">a </w:t>
      </w:r>
      <w:r w:rsidR="00AC0DF0" w:rsidRPr="00662E20">
        <w:rPr>
          <w:rFonts w:ascii="Times New Roman" w:eastAsia="Times New Roman" w:hAnsi="Times New Roman" w:cs="Times New Roman"/>
          <w:color w:val="000000"/>
          <w:kern w:val="0"/>
          <w14:ligatures w14:val="none"/>
        </w:rPr>
        <w:t xml:space="preserve">moderator and </w:t>
      </w:r>
      <w:r w:rsidR="007764BB" w:rsidRPr="00662E20">
        <w:rPr>
          <w:rFonts w:ascii="Times New Roman" w:eastAsia="Times New Roman" w:hAnsi="Times New Roman" w:cs="Times New Roman"/>
          <w:color w:val="000000"/>
          <w:kern w:val="0"/>
          <w14:ligatures w14:val="none"/>
        </w:rPr>
        <w:t xml:space="preserve">a </w:t>
      </w:r>
      <w:r w:rsidR="00AC0DF0" w:rsidRPr="00662E20">
        <w:rPr>
          <w:rFonts w:ascii="Times New Roman" w:eastAsia="Times New Roman" w:hAnsi="Times New Roman" w:cs="Times New Roman"/>
          <w:color w:val="000000"/>
          <w:kern w:val="0"/>
          <w14:ligatures w14:val="none"/>
        </w:rPr>
        <w:t>note-taker. Each session lasted between 45 minutes and 1.5 hours</w:t>
      </w:r>
      <w:r w:rsidR="007764BB" w:rsidRPr="00662E20">
        <w:rPr>
          <w:rFonts w:ascii="Times New Roman" w:eastAsia="Times New Roman" w:hAnsi="Times New Roman" w:cs="Times New Roman"/>
          <w:color w:val="000000"/>
          <w:kern w:val="0"/>
          <w14:ligatures w14:val="none"/>
        </w:rPr>
        <w:t xml:space="preserve"> and w</w:t>
      </w:r>
      <w:r w:rsidR="00D40879">
        <w:rPr>
          <w:rFonts w:ascii="Times New Roman" w:eastAsia="Times New Roman" w:hAnsi="Times New Roman" w:cs="Times New Roman"/>
          <w:color w:val="000000"/>
          <w:kern w:val="0"/>
          <w14:ligatures w14:val="none"/>
        </w:rPr>
        <w:t>as</w:t>
      </w:r>
      <w:r w:rsidR="007764BB" w:rsidRPr="00662E20">
        <w:rPr>
          <w:rFonts w:ascii="Times New Roman" w:eastAsia="Times New Roman" w:hAnsi="Times New Roman" w:cs="Times New Roman"/>
          <w:color w:val="000000"/>
          <w:kern w:val="0"/>
          <w14:ligatures w14:val="none"/>
        </w:rPr>
        <w:t xml:space="preserve"> audio recorded</w:t>
      </w:r>
      <w:r w:rsidR="00AC0DF0" w:rsidRPr="00662E20">
        <w:rPr>
          <w:rFonts w:ascii="Times New Roman" w:eastAsia="Times New Roman" w:hAnsi="Times New Roman" w:cs="Times New Roman"/>
          <w:color w:val="000000"/>
          <w:kern w:val="0"/>
          <w14:ligatures w14:val="none"/>
        </w:rPr>
        <w:t xml:space="preserve">. </w:t>
      </w:r>
      <w:r w:rsidR="00FD1F40">
        <w:rPr>
          <w:rFonts w:ascii="Times New Roman" w:eastAsia="Times New Roman" w:hAnsi="Times New Roman" w:cs="Times New Roman"/>
          <w:color w:val="000000"/>
          <w:kern w:val="0"/>
          <w14:ligatures w14:val="none"/>
        </w:rPr>
        <w:t>Participants discussed their IPM experiences, guided by the moderator but encouraged to converse. Audio recordings were transcribed verbatim with pseudonyms assigned for confidentiality.</w:t>
      </w:r>
    </w:p>
    <w:p w14:paraId="6B84EB8C" w14:textId="77777777" w:rsidR="00AD4746" w:rsidRDefault="00AD4746" w:rsidP="00AD4746">
      <w:pPr>
        <w:spacing w:after="0" w:line="240" w:lineRule="auto"/>
        <w:rPr>
          <w:rFonts w:ascii="Times New Roman" w:hAnsi="Times New Roman" w:cs="Times New Roman"/>
          <w:b/>
          <w:bCs/>
          <w:i/>
          <w:iCs/>
          <w:color w:val="000000"/>
        </w:rPr>
      </w:pPr>
    </w:p>
    <w:p w14:paraId="1048B609" w14:textId="77777777" w:rsidR="00A17A8A" w:rsidRDefault="00A17A8A" w:rsidP="00AD4746">
      <w:pPr>
        <w:spacing w:after="0" w:line="240" w:lineRule="auto"/>
        <w:rPr>
          <w:rFonts w:ascii="Times New Roman" w:hAnsi="Times New Roman" w:cs="Times New Roman"/>
          <w:b/>
          <w:bCs/>
          <w:i/>
          <w:iCs/>
          <w:color w:val="000000"/>
        </w:rPr>
      </w:pPr>
    </w:p>
    <w:p w14:paraId="6262968B" w14:textId="71EF9C36" w:rsidR="00AD4746" w:rsidRDefault="00AD4746" w:rsidP="00AD4746">
      <w:pPr>
        <w:spacing w:after="0" w:line="240" w:lineRule="auto"/>
        <w:rPr>
          <w:rFonts w:ascii="Times New Roman" w:hAnsi="Times New Roman" w:cs="Times New Roman"/>
          <w:b/>
          <w:bCs/>
          <w:i/>
          <w:iCs/>
          <w:color w:val="000000"/>
        </w:rPr>
      </w:pPr>
      <w:r w:rsidRPr="00662E20">
        <w:rPr>
          <w:rFonts w:ascii="Times New Roman" w:hAnsi="Times New Roman" w:cs="Times New Roman"/>
          <w:b/>
          <w:bCs/>
          <w:i/>
          <w:iCs/>
          <w:color w:val="000000"/>
        </w:rPr>
        <w:t>Coding Procedure &amp; Theme Development</w:t>
      </w:r>
    </w:p>
    <w:p w14:paraId="30A756D9" w14:textId="77777777" w:rsidR="00A17A8A" w:rsidRPr="005D6934" w:rsidRDefault="00A17A8A" w:rsidP="00AD4746">
      <w:pPr>
        <w:spacing w:after="0" w:line="240" w:lineRule="auto"/>
        <w:rPr>
          <w:rFonts w:ascii="Times New Roman" w:hAnsi="Times New Roman" w:cs="Times New Roman"/>
          <w:b/>
          <w:bCs/>
          <w:i/>
          <w:iCs/>
          <w:color w:val="000000"/>
        </w:rPr>
      </w:pPr>
    </w:p>
    <w:p w14:paraId="722A999E" w14:textId="340C001E" w:rsidR="00AD4746" w:rsidRDefault="00AD4746" w:rsidP="00AD4746">
      <w:pPr>
        <w:spacing w:after="0" w:line="240" w:lineRule="auto"/>
        <w:rPr>
          <w:rFonts w:ascii="Times New Roman" w:hAnsi="Times New Roman" w:cs="Times New Roman"/>
          <w:color w:val="000000"/>
        </w:rPr>
      </w:pPr>
      <w:r w:rsidRPr="00662E20">
        <w:rPr>
          <w:rFonts w:ascii="Times New Roman" w:hAnsi="Times New Roman" w:cs="Times New Roman"/>
          <w:color w:val="000000"/>
        </w:rPr>
        <w:t xml:space="preserve">Focus group transcripts were analyzed thematically using Boyatzis's (1998) codebook approach. Two coders independently open-coded for key concepts, then merged or eliminated duplicate codes via discussion, creating a preliminary codebook. This was repeated for each transcript, noting new insights. For the third, MAXQDA was used, resulting in 82% agreement after re-coding. The remaining transcripts were split between coders, who continued to discuss and update codes. After coding, </w:t>
      </w:r>
      <w:r w:rsidR="00920CF8">
        <w:rPr>
          <w:rFonts w:ascii="Times New Roman" w:hAnsi="Times New Roman" w:cs="Times New Roman"/>
          <w:color w:val="000000"/>
        </w:rPr>
        <w:t xml:space="preserve">the </w:t>
      </w:r>
      <w:r w:rsidRPr="00662E20">
        <w:rPr>
          <w:rFonts w:ascii="Times New Roman" w:hAnsi="Times New Roman" w:cs="Times New Roman"/>
          <w:color w:val="000000"/>
        </w:rPr>
        <w:t xml:space="preserve">authors identified overarching themes based on code frequency, co-occurrence, and research relevance. Thematic structure was refined through discussions, ensuring clarity. The process lasted about four months, following Boyatzis (1998). </w:t>
      </w:r>
      <w:r w:rsidR="00E83500" w:rsidRPr="00E83500">
        <w:rPr>
          <w:rFonts w:ascii="Times New Roman" w:hAnsi="Times New Roman" w:cs="Times New Roman"/>
          <w:color w:val="000000"/>
        </w:rPr>
        <w:t>Establishing and documenting this level of intercoder agreement strengthens the transparency, credibility, and communicability of qualitative analysis by demonstrating that the coding frame can be applied consistently across researchers (O’Connor &amp; Joffe, 2020).</w:t>
      </w:r>
      <w:r w:rsidR="00DD129E">
        <w:rPr>
          <w:rFonts w:ascii="Times New Roman" w:hAnsi="Times New Roman" w:cs="Times New Roman"/>
          <w:color w:val="000000"/>
        </w:rPr>
        <w:t xml:space="preserve"> </w:t>
      </w:r>
      <w:r w:rsidRPr="00662E20">
        <w:rPr>
          <w:rFonts w:ascii="Times New Roman" w:hAnsi="Times New Roman" w:cs="Times New Roman"/>
          <w:color w:val="000000"/>
        </w:rPr>
        <w:t xml:space="preserve">An audit trail was </w:t>
      </w:r>
      <w:r w:rsidR="00441909" w:rsidRPr="00662E20">
        <w:rPr>
          <w:rFonts w:ascii="Times New Roman" w:hAnsi="Times New Roman" w:cs="Times New Roman"/>
          <w:color w:val="000000"/>
        </w:rPr>
        <w:t>maintained,</w:t>
      </w:r>
      <w:r w:rsidRPr="00662E20">
        <w:rPr>
          <w:rFonts w:ascii="Times New Roman" w:hAnsi="Times New Roman" w:cs="Times New Roman"/>
          <w:color w:val="000000"/>
        </w:rPr>
        <w:t xml:space="preserve"> and the final codes were peer debriefed with a team of extension, communication and entomology faculty to ensure transferability (Lincoln &amp; Guba, 2002). </w:t>
      </w:r>
    </w:p>
    <w:p w14:paraId="71B2DD01" w14:textId="77777777" w:rsidR="00AD4746" w:rsidRPr="00AD4746" w:rsidRDefault="00AD4746" w:rsidP="00AD4746">
      <w:pPr>
        <w:spacing w:after="0" w:line="240" w:lineRule="auto"/>
        <w:rPr>
          <w:rFonts w:ascii="Times New Roman" w:hAnsi="Times New Roman" w:cs="Times New Roman"/>
          <w:color w:val="000000"/>
        </w:rPr>
      </w:pPr>
    </w:p>
    <w:p w14:paraId="2C4A2B66" w14:textId="4436A854" w:rsidR="00C52056" w:rsidRPr="00662E20" w:rsidRDefault="00C52056" w:rsidP="00AD4746">
      <w:pPr>
        <w:spacing w:after="0" w:line="240" w:lineRule="auto"/>
        <w:rPr>
          <w:rFonts w:ascii="Times New Roman" w:hAnsi="Times New Roman" w:cs="Times New Roman"/>
          <w:color w:val="000000"/>
        </w:rPr>
      </w:pPr>
      <w:r w:rsidRPr="00662E20">
        <w:rPr>
          <w:rFonts w:ascii="Times New Roman" w:hAnsi="Times New Roman" w:cs="Times New Roman"/>
          <w:b/>
          <w:bCs/>
          <w:color w:val="000000"/>
        </w:rPr>
        <w:t>Figure 1</w:t>
      </w:r>
    </w:p>
    <w:p w14:paraId="483ECCF8" w14:textId="2FB99653" w:rsidR="00C52056" w:rsidRPr="00662E20" w:rsidRDefault="00D41DCB" w:rsidP="00AD4746">
      <w:pPr>
        <w:spacing w:after="0" w:line="240" w:lineRule="auto"/>
        <w:rPr>
          <w:rFonts w:ascii="Times New Roman" w:hAnsi="Times New Roman" w:cs="Times New Roman"/>
          <w:color w:val="000000"/>
        </w:rPr>
      </w:pPr>
      <w:r w:rsidRPr="00662E20">
        <w:rPr>
          <w:rFonts w:ascii="Times New Roman" w:hAnsi="Times New Roman" w:cs="Times New Roman"/>
          <w:i/>
          <w:iCs/>
          <w:color w:val="000000"/>
        </w:rPr>
        <w:t>G</w:t>
      </w:r>
      <w:r w:rsidR="00C52056" w:rsidRPr="00662E20">
        <w:rPr>
          <w:rFonts w:ascii="Times New Roman" w:hAnsi="Times New Roman" w:cs="Times New Roman"/>
          <w:i/>
          <w:iCs/>
          <w:color w:val="000000"/>
        </w:rPr>
        <w:t>eographic distribution of focus group participants</w:t>
      </w:r>
    </w:p>
    <w:p w14:paraId="3DC8B085" w14:textId="55F28675" w:rsidR="00AD4746" w:rsidRPr="00662E20" w:rsidRDefault="00BF0EC3" w:rsidP="00AD4746">
      <w:pPr>
        <w:spacing w:before="100" w:beforeAutospacing="1" w:after="100" w:afterAutospacing="1" w:line="240" w:lineRule="auto"/>
        <w:jc w:val="center"/>
        <w:rPr>
          <w:rFonts w:ascii="Times New Roman" w:hAnsi="Times New Roman" w:cs="Times New Roman"/>
          <w:color w:val="000000"/>
        </w:rPr>
      </w:pPr>
      <w:r w:rsidRPr="00662E20">
        <w:rPr>
          <w:rFonts w:ascii="Times New Roman" w:hAnsi="Times New Roman" w:cs="Times New Roman"/>
          <w:noProof/>
          <w:color w:val="000000"/>
        </w:rPr>
        <w:drawing>
          <wp:inline distT="0" distB="0" distL="0" distR="0" wp14:anchorId="108CEA56" wp14:editId="4B6D56DD">
            <wp:extent cx="2997163" cy="1463040"/>
            <wp:effectExtent l="0" t="0" r="0" b="0"/>
            <wp:docPr id="2010509750" name="Picture 1" descr="A map of the united st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09750" name="Picture 1" descr="A map of the united states&#10;&#10;AI-generated content may be incorrect."/>
                    <pic:cNvPicPr/>
                  </pic:nvPicPr>
                  <pic:blipFill rotWithShape="1">
                    <a:blip r:embed="rId7" cstate="print">
                      <a:extLst>
                        <a:ext uri="{28A0092B-C50C-407E-A947-70E740481C1C}">
                          <a14:useLocalDpi xmlns:a14="http://schemas.microsoft.com/office/drawing/2010/main" val="0"/>
                        </a:ext>
                      </a:extLst>
                    </a:blip>
                    <a:srcRect t="6227" r="3590" b="11721"/>
                    <a:stretch>
                      <a:fillRect/>
                    </a:stretch>
                  </pic:blipFill>
                  <pic:spPr bwMode="auto">
                    <a:xfrm>
                      <a:off x="0" y="0"/>
                      <a:ext cx="3354953" cy="1637692"/>
                    </a:xfrm>
                    <a:prstGeom prst="rect">
                      <a:avLst/>
                    </a:prstGeom>
                    <a:ln>
                      <a:noFill/>
                    </a:ln>
                    <a:extLst>
                      <a:ext uri="{53640926-AAD7-44D8-BBD7-CCE9431645EC}">
                        <a14:shadowObscured xmlns:a14="http://schemas.microsoft.com/office/drawing/2010/main"/>
                      </a:ext>
                    </a:extLst>
                  </pic:spPr>
                </pic:pic>
              </a:graphicData>
            </a:graphic>
          </wp:inline>
        </w:drawing>
      </w:r>
    </w:p>
    <w:p w14:paraId="4990E8F2" w14:textId="5980A175" w:rsidR="003008C8" w:rsidRPr="00662E20" w:rsidRDefault="00605925" w:rsidP="00AD4746">
      <w:pPr>
        <w:spacing w:after="0" w:line="240" w:lineRule="auto"/>
        <w:jc w:val="center"/>
        <w:rPr>
          <w:rFonts w:ascii="Times New Roman" w:hAnsi="Times New Roman" w:cs="Times New Roman"/>
          <w:b/>
          <w:bCs/>
        </w:rPr>
      </w:pPr>
      <w:r w:rsidRPr="00662E20">
        <w:rPr>
          <w:rFonts w:ascii="Times New Roman" w:hAnsi="Times New Roman" w:cs="Times New Roman"/>
          <w:b/>
          <w:bCs/>
        </w:rPr>
        <w:t>Results</w:t>
      </w:r>
    </w:p>
    <w:p w14:paraId="211EC846" w14:textId="77777777" w:rsidR="00BF6522" w:rsidRPr="00662E20" w:rsidRDefault="00BF6522" w:rsidP="00AD4746">
      <w:pPr>
        <w:spacing w:before="100" w:beforeAutospacing="1" w:after="100" w:afterAutospacing="1" w:line="240" w:lineRule="auto"/>
        <w:outlineLvl w:val="2"/>
        <w:rPr>
          <w:rFonts w:ascii="Times New Roman" w:eastAsia="Times New Roman" w:hAnsi="Times New Roman" w:cs="Times New Roman"/>
          <w:b/>
          <w:bCs/>
          <w:color w:val="000000"/>
          <w:kern w:val="0"/>
          <w14:ligatures w14:val="none"/>
        </w:rPr>
      </w:pPr>
      <w:r w:rsidRPr="00662E20">
        <w:rPr>
          <w:rFonts w:ascii="Times New Roman" w:eastAsia="Times New Roman" w:hAnsi="Times New Roman" w:cs="Times New Roman"/>
          <w:b/>
          <w:bCs/>
          <w:color w:val="000000"/>
          <w:kern w:val="0"/>
          <w14:ligatures w14:val="none"/>
        </w:rPr>
        <w:t>Perceived Benefits of IPM Adoption</w:t>
      </w:r>
    </w:p>
    <w:p w14:paraId="34F5DA08" w14:textId="77777777" w:rsidR="00BF6522" w:rsidRPr="00662E20" w:rsidRDefault="00BF6522" w:rsidP="00AD4746">
      <w:pPr>
        <w:spacing w:before="100" w:beforeAutospacing="1" w:after="100" w:afterAutospacing="1" w:line="240" w:lineRule="auto"/>
        <w:ind w:firstLine="720"/>
        <w:rPr>
          <w:rFonts w:ascii="Times New Roman" w:eastAsia="Times New Roman" w:hAnsi="Times New Roman" w:cs="Times New Roman"/>
          <w:color w:val="000000"/>
          <w:kern w:val="0"/>
          <w14:ligatures w14:val="none"/>
        </w:rPr>
      </w:pPr>
      <w:r w:rsidRPr="00662E20">
        <w:rPr>
          <w:rFonts w:ascii="Times New Roman" w:eastAsia="Times New Roman" w:hAnsi="Times New Roman" w:cs="Times New Roman"/>
          <w:color w:val="000000"/>
          <w:kern w:val="0"/>
          <w14:ligatures w14:val="none"/>
        </w:rPr>
        <w:t>Two dominant themes emerged from the focus group discussions as perceived benefits of IPM adoption among growers: </w:t>
      </w:r>
      <w:r w:rsidRPr="00662E20">
        <w:rPr>
          <w:rFonts w:ascii="Times New Roman" w:eastAsia="Times New Roman" w:hAnsi="Times New Roman" w:cs="Times New Roman"/>
          <w:i/>
          <w:iCs/>
          <w:color w:val="000000"/>
          <w:kern w:val="0"/>
          <w14:ligatures w14:val="none"/>
        </w:rPr>
        <w:t>Flexible Application Boosts Pest Control Efficiency</w:t>
      </w:r>
      <w:r w:rsidRPr="00662E20">
        <w:rPr>
          <w:rFonts w:ascii="Times New Roman" w:eastAsia="Times New Roman" w:hAnsi="Times New Roman" w:cs="Times New Roman"/>
          <w:color w:val="000000"/>
          <w:kern w:val="0"/>
          <w14:ligatures w14:val="none"/>
        </w:rPr>
        <w:t> and </w:t>
      </w:r>
      <w:r w:rsidRPr="00662E20">
        <w:rPr>
          <w:rFonts w:ascii="Times New Roman" w:eastAsia="Times New Roman" w:hAnsi="Times New Roman" w:cs="Times New Roman"/>
          <w:i/>
          <w:iCs/>
          <w:color w:val="000000"/>
          <w:kern w:val="0"/>
          <w14:ligatures w14:val="none"/>
        </w:rPr>
        <w:t>Eco-conscious Management Approaches.</w:t>
      </w:r>
    </w:p>
    <w:p w14:paraId="283DEE19" w14:textId="6AE40C72" w:rsidR="003008C8" w:rsidRPr="00662E20" w:rsidRDefault="003008C8" w:rsidP="00AD4746">
      <w:pPr>
        <w:spacing w:line="240" w:lineRule="auto"/>
        <w:rPr>
          <w:rFonts w:ascii="Times New Roman" w:hAnsi="Times New Roman" w:cs="Times New Roman"/>
          <w:b/>
          <w:bCs/>
          <w:i/>
          <w:iCs/>
          <w:lang w:eastAsia="zh-TW"/>
        </w:rPr>
      </w:pPr>
      <w:r w:rsidRPr="00662E20">
        <w:rPr>
          <w:rFonts w:ascii="Times New Roman" w:hAnsi="Times New Roman" w:cs="Times New Roman"/>
          <w:b/>
          <w:bCs/>
          <w:i/>
          <w:iCs/>
          <w:lang w:eastAsia="zh-TW"/>
        </w:rPr>
        <w:t>Flexible Application Boosts Pest Control Efficiency</w:t>
      </w:r>
    </w:p>
    <w:p w14:paraId="78AB4DE9" w14:textId="615C316D" w:rsidR="00E6306F" w:rsidRPr="00662E20" w:rsidRDefault="00E6306F" w:rsidP="00AD4746">
      <w:pPr>
        <w:spacing w:line="240" w:lineRule="auto"/>
        <w:ind w:firstLine="720"/>
        <w:rPr>
          <w:rFonts w:ascii="Times New Roman" w:hAnsi="Times New Roman" w:cs="Times New Roman"/>
          <w:lang w:eastAsia="zh-TW"/>
        </w:rPr>
      </w:pPr>
      <w:r w:rsidRPr="00662E20">
        <w:rPr>
          <w:rFonts w:ascii="Times New Roman" w:hAnsi="Times New Roman" w:cs="Times New Roman"/>
          <w:lang w:eastAsia="zh-TW"/>
        </w:rPr>
        <w:t>This theme was supported by five interrelated codes</w:t>
      </w:r>
      <w:r w:rsidR="00441909">
        <w:rPr>
          <w:rFonts w:ascii="Times New Roman" w:hAnsi="Times New Roman" w:cs="Times New Roman"/>
          <w:lang w:eastAsia="zh-TW"/>
        </w:rPr>
        <w:t>,</w:t>
      </w:r>
      <w:r w:rsidRPr="00662E20">
        <w:rPr>
          <w:rFonts w:ascii="Times New Roman" w:hAnsi="Times New Roman" w:cs="Times New Roman"/>
          <w:lang w:eastAsia="zh-TW"/>
        </w:rPr>
        <w:t xml:space="preserve"> </w:t>
      </w:r>
      <w:r w:rsidR="00273B95" w:rsidRPr="00662E20">
        <w:rPr>
          <w:rFonts w:ascii="Times New Roman" w:hAnsi="Times New Roman" w:cs="Times New Roman"/>
          <w:lang w:eastAsia="zh-TW"/>
        </w:rPr>
        <w:t xml:space="preserve">which </w:t>
      </w:r>
      <w:r w:rsidRPr="00662E20">
        <w:rPr>
          <w:rFonts w:ascii="Times New Roman" w:hAnsi="Times New Roman" w:cs="Times New Roman"/>
          <w:lang w:eastAsia="zh-TW"/>
        </w:rPr>
        <w:t xml:space="preserve">collectively addressed the multifaceted positive aspects associated with IPM among </w:t>
      </w:r>
      <w:r w:rsidR="00273B95" w:rsidRPr="00662E20">
        <w:rPr>
          <w:rFonts w:ascii="Times New Roman" w:hAnsi="Times New Roman" w:cs="Times New Roman"/>
          <w:lang w:eastAsia="zh-TW"/>
        </w:rPr>
        <w:t>participants</w:t>
      </w:r>
      <w:r w:rsidRPr="00662E20">
        <w:rPr>
          <w:rFonts w:ascii="Times New Roman" w:hAnsi="Times New Roman" w:cs="Times New Roman"/>
          <w:lang w:eastAsia="zh-TW"/>
        </w:rPr>
        <w:t xml:space="preserve">. First, </w:t>
      </w:r>
      <w:r w:rsidR="00273B95" w:rsidRPr="00662E20">
        <w:rPr>
          <w:rFonts w:ascii="Times New Roman" w:hAnsi="Times New Roman" w:cs="Times New Roman"/>
          <w:lang w:eastAsia="zh-TW"/>
        </w:rPr>
        <w:t xml:space="preserve">participants </w:t>
      </w:r>
      <w:r w:rsidRPr="00662E20">
        <w:rPr>
          <w:rFonts w:ascii="Times New Roman" w:hAnsi="Times New Roman" w:cs="Times New Roman"/>
          <w:lang w:eastAsia="zh-TW"/>
        </w:rPr>
        <w:t xml:space="preserve">consistently emphasized the effectiveness and durability of IPM tools, such as mating disruption and targeted spraying. </w:t>
      </w:r>
      <w:r w:rsidR="00273B95" w:rsidRPr="00662E20">
        <w:rPr>
          <w:rFonts w:ascii="Times New Roman" w:hAnsi="Times New Roman" w:cs="Times New Roman"/>
          <w:lang w:eastAsia="zh-TW"/>
        </w:rPr>
        <w:t xml:space="preserve">Participants </w:t>
      </w:r>
      <w:r w:rsidRPr="00662E20">
        <w:rPr>
          <w:rFonts w:ascii="Times New Roman" w:hAnsi="Times New Roman" w:cs="Times New Roman"/>
          <w:lang w:eastAsia="zh-TW"/>
        </w:rPr>
        <w:t>perceived IPM methods as reliable and long-lasting solutions for pest control, often describing them as effective, having witnessed their success in managing persistent pest issues.</w:t>
      </w:r>
      <w:r w:rsidR="0016694B" w:rsidRPr="00662E20">
        <w:rPr>
          <w:rFonts w:ascii="Times New Roman" w:hAnsi="Times New Roman" w:cs="Times New Roman"/>
          <w:lang w:eastAsia="zh-TW"/>
        </w:rPr>
        <w:t xml:space="preserve"> </w:t>
      </w:r>
      <w:r w:rsidR="00273B95" w:rsidRPr="00662E20">
        <w:rPr>
          <w:rFonts w:ascii="Times New Roman" w:hAnsi="Times New Roman" w:cs="Times New Roman"/>
          <w:lang w:eastAsia="zh-TW"/>
        </w:rPr>
        <w:t xml:space="preserve">Participants </w:t>
      </w:r>
      <w:r w:rsidR="0016694B" w:rsidRPr="00662E20">
        <w:rPr>
          <w:rFonts w:ascii="Times New Roman" w:hAnsi="Times New Roman" w:cs="Times New Roman"/>
          <w:lang w:eastAsia="zh-TW"/>
        </w:rPr>
        <w:t xml:space="preserve">also reported the monitoring and tracking capabilities embedded in IPM practices. Tools such as pheromone traps or visual scouting, which enable </w:t>
      </w:r>
      <w:r w:rsidR="0016694B" w:rsidRPr="00662E20">
        <w:rPr>
          <w:rFonts w:ascii="Times New Roman" w:hAnsi="Times New Roman" w:cs="Times New Roman"/>
          <w:lang w:eastAsia="zh-TW"/>
        </w:rPr>
        <w:lastRenderedPageBreak/>
        <w:t xml:space="preserve">observation and prediction of pest activity, are regarded as critical elements for informed decision-making. These methods demonstrate the effectiveness of IPM by enhancing targeted control measures. For instance, a </w:t>
      </w:r>
      <w:r w:rsidR="00273B95" w:rsidRPr="00662E20">
        <w:rPr>
          <w:rFonts w:ascii="Times New Roman" w:hAnsi="Times New Roman" w:cs="Times New Roman"/>
          <w:lang w:eastAsia="zh-TW"/>
        </w:rPr>
        <w:t xml:space="preserve">participant </w:t>
      </w:r>
      <w:r w:rsidR="0016694B" w:rsidRPr="00662E20">
        <w:rPr>
          <w:rFonts w:ascii="Times New Roman" w:hAnsi="Times New Roman" w:cs="Times New Roman"/>
          <w:lang w:eastAsia="zh-TW"/>
        </w:rPr>
        <w:t>stated how he perceives IPM as a tool to prevent pest resistance, emphasizing the role of rotating modes of action to enhance the longevity of pesticide effectiveness</w:t>
      </w:r>
      <w:r w:rsidR="00FD1512" w:rsidRPr="00662E20">
        <w:rPr>
          <w:rFonts w:ascii="Times New Roman" w:hAnsi="Times New Roman" w:cs="Times New Roman"/>
          <w:lang w:eastAsia="zh-TW"/>
        </w:rPr>
        <w:t xml:space="preserve"> by saying that:</w:t>
      </w:r>
    </w:p>
    <w:p w14:paraId="3F382A76" w14:textId="662C3742" w:rsidR="00FD1512" w:rsidRPr="00662E20" w:rsidRDefault="00FD1512" w:rsidP="00AD4746">
      <w:pPr>
        <w:spacing w:line="240" w:lineRule="auto"/>
        <w:ind w:left="720" w:right="720"/>
        <w:rPr>
          <w:rFonts w:ascii="Times New Roman" w:hAnsi="Times New Roman" w:cs="Times New Roman"/>
          <w:lang w:eastAsia="zh-TW"/>
        </w:rPr>
      </w:pPr>
      <w:r w:rsidRPr="00662E20">
        <w:rPr>
          <w:rFonts w:ascii="Times New Roman" w:hAnsi="Times New Roman" w:cs="Times New Roman"/>
        </w:rPr>
        <w:t xml:space="preserve">And they have various models, insect and disease type of thing. You can utilize those models along with trapping to time your spray schedule and such. </w:t>
      </w:r>
      <w:proofErr w:type="gramStart"/>
      <w:r w:rsidRPr="00662E20">
        <w:rPr>
          <w:rFonts w:ascii="Times New Roman" w:hAnsi="Times New Roman" w:cs="Times New Roman"/>
        </w:rPr>
        <w:t>So</w:t>
      </w:r>
      <w:proofErr w:type="gramEnd"/>
      <w:r w:rsidRPr="00662E20">
        <w:rPr>
          <w:rFonts w:ascii="Times New Roman" w:hAnsi="Times New Roman" w:cs="Times New Roman"/>
        </w:rPr>
        <w:t xml:space="preserve"> it's very advantageous to utilize that, so you can know when the insect is there, to what level threshold it's at and what ...</w:t>
      </w:r>
    </w:p>
    <w:p w14:paraId="5DBE9854" w14:textId="73E6AC66" w:rsidR="0016694B" w:rsidRPr="00662E20" w:rsidRDefault="0016694B" w:rsidP="00AD4746">
      <w:pPr>
        <w:spacing w:line="240" w:lineRule="auto"/>
        <w:rPr>
          <w:rFonts w:ascii="Times New Roman" w:hAnsi="Times New Roman" w:cs="Times New Roman"/>
          <w:b/>
          <w:bCs/>
          <w:i/>
          <w:iCs/>
          <w:lang w:eastAsia="zh-TW"/>
        </w:rPr>
      </w:pPr>
      <w:r w:rsidRPr="00662E20">
        <w:rPr>
          <w:rFonts w:ascii="Times New Roman" w:hAnsi="Times New Roman" w:cs="Times New Roman"/>
          <w:b/>
          <w:bCs/>
          <w:i/>
          <w:iCs/>
          <w:lang w:eastAsia="zh-TW"/>
        </w:rPr>
        <w:t>Eco-conscious Management Approaches</w:t>
      </w:r>
    </w:p>
    <w:p w14:paraId="2B0341C0" w14:textId="1FE0CF39" w:rsidR="0016694B" w:rsidRPr="00662E20" w:rsidRDefault="0016694B" w:rsidP="00AD4746">
      <w:pPr>
        <w:spacing w:line="240" w:lineRule="auto"/>
        <w:ind w:firstLine="720"/>
        <w:rPr>
          <w:rFonts w:ascii="Times New Roman" w:hAnsi="Times New Roman" w:cs="Times New Roman"/>
          <w:lang w:eastAsia="zh-TW"/>
        </w:rPr>
      </w:pPr>
      <w:r w:rsidRPr="00662E20">
        <w:rPr>
          <w:rFonts w:ascii="Times New Roman" w:hAnsi="Times New Roman" w:cs="Times New Roman"/>
          <w:lang w:eastAsia="zh-TW"/>
        </w:rPr>
        <w:t xml:space="preserve">While </w:t>
      </w:r>
      <w:r w:rsidR="00273B95" w:rsidRPr="00662E20">
        <w:rPr>
          <w:rFonts w:ascii="Times New Roman" w:hAnsi="Times New Roman" w:cs="Times New Roman"/>
          <w:lang w:eastAsia="zh-TW"/>
        </w:rPr>
        <w:t xml:space="preserve">participants </w:t>
      </w:r>
      <w:r w:rsidRPr="00662E20">
        <w:rPr>
          <w:rFonts w:ascii="Times New Roman" w:hAnsi="Times New Roman" w:cs="Times New Roman"/>
          <w:lang w:eastAsia="zh-TW"/>
        </w:rPr>
        <w:t xml:space="preserve">emphasized IPM demonstrates effective and efficient strategies to manage pest issues, they also highlighted its environmentally and ecologically friendly characteristics. The core of this theme </w:t>
      </w:r>
      <w:r w:rsidR="00273B95" w:rsidRPr="00662E20">
        <w:rPr>
          <w:rFonts w:ascii="Times New Roman" w:hAnsi="Times New Roman" w:cs="Times New Roman"/>
          <w:lang w:eastAsia="zh-TW"/>
        </w:rPr>
        <w:t xml:space="preserve">was </w:t>
      </w:r>
      <w:r w:rsidRPr="00662E20">
        <w:rPr>
          <w:rFonts w:ascii="Times New Roman" w:hAnsi="Times New Roman" w:cs="Times New Roman"/>
          <w:lang w:eastAsia="zh-TW"/>
        </w:rPr>
        <w:t>that IPM practices reduce</w:t>
      </w:r>
      <w:r w:rsidR="00273B95" w:rsidRPr="00662E20">
        <w:rPr>
          <w:rFonts w:ascii="Times New Roman" w:hAnsi="Times New Roman" w:cs="Times New Roman"/>
          <w:lang w:eastAsia="zh-TW"/>
        </w:rPr>
        <w:t>d</w:t>
      </w:r>
      <w:r w:rsidRPr="00662E20">
        <w:rPr>
          <w:rFonts w:ascii="Times New Roman" w:hAnsi="Times New Roman" w:cs="Times New Roman"/>
          <w:lang w:eastAsia="zh-TW"/>
        </w:rPr>
        <w:t xml:space="preserve"> environmental harm. </w:t>
      </w:r>
      <w:r w:rsidR="00273B95" w:rsidRPr="00662E20">
        <w:rPr>
          <w:rFonts w:ascii="Times New Roman" w:hAnsi="Times New Roman" w:cs="Times New Roman"/>
          <w:lang w:eastAsia="zh-TW"/>
        </w:rPr>
        <w:t xml:space="preserve">Participants </w:t>
      </w:r>
      <w:r w:rsidRPr="00662E20">
        <w:rPr>
          <w:rFonts w:ascii="Times New Roman" w:hAnsi="Times New Roman" w:cs="Times New Roman"/>
          <w:lang w:eastAsia="zh-TW"/>
        </w:rPr>
        <w:t>reported strategies such as selective spraying, biological control, and mating disruption not only minimize</w:t>
      </w:r>
      <w:r w:rsidR="00273B95" w:rsidRPr="00662E20">
        <w:rPr>
          <w:rFonts w:ascii="Times New Roman" w:hAnsi="Times New Roman" w:cs="Times New Roman"/>
          <w:lang w:eastAsia="zh-TW"/>
        </w:rPr>
        <w:t>d</w:t>
      </w:r>
      <w:r w:rsidRPr="00662E20">
        <w:rPr>
          <w:rFonts w:ascii="Times New Roman" w:hAnsi="Times New Roman" w:cs="Times New Roman"/>
          <w:lang w:eastAsia="zh-TW"/>
        </w:rPr>
        <w:t xml:space="preserve"> toxic residues but also cause</w:t>
      </w:r>
      <w:r w:rsidR="00273B95" w:rsidRPr="00662E20">
        <w:rPr>
          <w:rFonts w:ascii="Times New Roman" w:hAnsi="Times New Roman" w:cs="Times New Roman"/>
          <w:lang w:eastAsia="zh-TW"/>
        </w:rPr>
        <w:t>d</w:t>
      </w:r>
      <w:r w:rsidRPr="00662E20">
        <w:rPr>
          <w:rFonts w:ascii="Times New Roman" w:hAnsi="Times New Roman" w:cs="Times New Roman"/>
          <w:lang w:eastAsia="zh-TW"/>
        </w:rPr>
        <w:t xml:space="preserve"> less disturbance to surrounding ecosystems. </w:t>
      </w:r>
      <w:r w:rsidR="00B56721" w:rsidRPr="00662E20">
        <w:rPr>
          <w:rFonts w:ascii="Times New Roman" w:hAnsi="Times New Roman" w:cs="Times New Roman"/>
          <w:lang w:eastAsia="zh-TW"/>
        </w:rPr>
        <w:t>One</w:t>
      </w:r>
      <w:r w:rsidRPr="00662E20">
        <w:rPr>
          <w:rFonts w:ascii="Times New Roman" w:hAnsi="Times New Roman" w:cs="Times New Roman"/>
          <w:lang w:eastAsia="zh-TW"/>
        </w:rPr>
        <w:t xml:space="preserve"> </w:t>
      </w:r>
      <w:r w:rsidR="00273B95" w:rsidRPr="00662E20">
        <w:rPr>
          <w:rFonts w:ascii="Times New Roman" w:hAnsi="Times New Roman" w:cs="Times New Roman"/>
          <w:lang w:eastAsia="zh-TW"/>
        </w:rPr>
        <w:t xml:space="preserve">participant </w:t>
      </w:r>
      <w:r w:rsidR="00287F67">
        <w:rPr>
          <w:rFonts w:ascii="Times New Roman" w:hAnsi="Times New Roman" w:cs="Times New Roman"/>
          <w:kern w:val="0"/>
          <w:lang w:eastAsia="zh-TW"/>
          <w14:ligatures w14:val="none"/>
        </w:rPr>
        <w:t>stated, “It's low toxicity to the consumer, the mammals, means you can use it,” and another stated,</w:t>
      </w:r>
      <w:r w:rsidRPr="00662E20">
        <w:rPr>
          <w:rFonts w:ascii="Times New Roman" w:hAnsi="Times New Roman" w:cs="Times New Roman"/>
          <w:lang w:eastAsia="zh-TW"/>
        </w:rPr>
        <w:t xml:space="preserve"> “Yeah. And even though materials are getting safer, they're safer, which makes everyone happy.”</w:t>
      </w:r>
      <w:r w:rsidR="006029AD" w:rsidRPr="00662E20">
        <w:rPr>
          <w:rFonts w:ascii="Times New Roman" w:hAnsi="Times New Roman" w:cs="Times New Roman"/>
          <w:lang w:eastAsia="zh-TW"/>
        </w:rPr>
        <w:t xml:space="preserve"> </w:t>
      </w:r>
      <w:r w:rsidR="00273B95" w:rsidRPr="00662E20">
        <w:rPr>
          <w:rFonts w:ascii="Times New Roman" w:hAnsi="Times New Roman" w:cs="Times New Roman"/>
          <w:lang w:eastAsia="zh-TW"/>
        </w:rPr>
        <w:t xml:space="preserve">Participants </w:t>
      </w:r>
      <w:r w:rsidRPr="00662E20">
        <w:rPr>
          <w:rFonts w:ascii="Times New Roman" w:hAnsi="Times New Roman" w:cs="Times New Roman"/>
          <w:lang w:eastAsia="zh-TW"/>
        </w:rPr>
        <w:t>recognize</w:t>
      </w:r>
      <w:r w:rsidR="00273B95" w:rsidRPr="00662E20">
        <w:rPr>
          <w:rFonts w:ascii="Times New Roman" w:hAnsi="Times New Roman" w:cs="Times New Roman"/>
          <w:lang w:eastAsia="zh-TW"/>
        </w:rPr>
        <w:t>d</w:t>
      </w:r>
      <w:r w:rsidRPr="00662E20">
        <w:rPr>
          <w:rFonts w:ascii="Times New Roman" w:hAnsi="Times New Roman" w:cs="Times New Roman"/>
          <w:lang w:eastAsia="zh-TW"/>
        </w:rPr>
        <w:t xml:space="preserve"> that this environmentally friendly pest management approach empower</w:t>
      </w:r>
      <w:r w:rsidR="00273B95" w:rsidRPr="00662E20">
        <w:rPr>
          <w:rFonts w:ascii="Times New Roman" w:hAnsi="Times New Roman" w:cs="Times New Roman"/>
          <w:lang w:eastAsia="zh-TW"/>
        </w:rPr>
        <w:t>ed</w:t>
      </w:r>
      <w:r w:rsidRPr="00662E20">
        <w:rPr>
          <w:rFonts w:ascii="Times New Roman" w:hAnsi="Times New Roman" w:cs="Times New Roman"/>
          <w:lang w:eastAsia="zh-TW"/>
        </w:rPr>
        <w:t xml:space="preserve"> them with the positive marketing benefits of using IPM. The </w:t>
      </w:r>
      <w:r w:rsidR="00273B95" w:rsidRPr="00662E20">
        <w:rPr>
          <w:rFonts w:ascii="Times New Roman" w:hAnsi="Times New Roman" w:cs="Times New Roman"/>
          <w:lang w:eastAsia="zh-TW"/>
        </w:rPr>
        <w:t xml:space="preserve">participants </w:t>
      </w:r>
      <w:r w:rsidRPr="00662E20">
        <w:rPr>
          <w:rFonts w:ascii="Times New Roman" w:hAnsi="Times New Roman" w:cs="Times New Roman"/>
          <w:lang w:eastAsia="zh-TW"/>
        </w:rPr>
        <w:t xml:space="preserve">noted they used IPM to communicate a positive message to consumers, such as “we’re using less fertilizer”, who value sustainability and health-conscious agricultural practices. </w:t>
      </w:r>
      <w:r w:rsidR="00273B95" w:rsidRPr="00662E20">
        <w:rPr>
          <w:rFonts w:ascii="Times New Roman" w:hAnsi="Times New Roman" w:cs="Times New Roman"/>
          <w:lang w:eastAsia="zh-TW"/>
        </w:rPr>
        <w:t xml:space="preserve">Participants </w:t>
      </w:r>
      <w:r w:rsidRPr="00662E20">
        <w:rPr>
          <w:rFonts w:ascii="Times New Roman" w:hAnsi="Times New Roman" w:cs="Times New Roman"/>
          <w:lang w:eastAsia="zh-TW"/>
        </w:rPr>
        <w:t>reported that they not only positioned IPM as a technical solution but also as a strategic tool for marketing differentiation and consumer engagement.</w:t>
      </w:r>
      <w:r w:rsidR="00547FF8" w:rsidRPr="00662E20">
        <w:rPr>
          <w:rFonts w:ascii="Times New Roman" w:hAnsi="Times New Roman" w:cs="Times New Roman"/>
          <w:lang w:eastAsia="zh-TW"/>
        </w:rPr>
        <w:t xml:space="preserve"> </w:t>
      </w:r>
    </w:p>
    <w:p w14:paraId="3526859F" w14:textId="77777777" w:rsidR="00600254" w:rsidRPr="00662E20" w:rsidRDefault="00600254" w:rsidP="00AD4746">
      <w:pPr>
        <w:spacing w:before="100" w:beforeAutospacing="1" w:after="100" w:afterAutospacing="1" w:line="240" w:lineRule="auto"/>
        <w:outlineLvl w:val="2"/>
        <w:rPr>
          <w:rFonts w:ascii="Times New Roman" w:eastAsia="Times New Roman" w:hAnsi="Times New Roman" w:cs="Times New Roman"/>
          <w:b/>
          <w:bCs/>
          <w:color w:val="000000"/>
          <w:kern w:val="0"/>
          <w14:ligatures w14:val="none"/>
        </w:rPr>
      </w:pPr>
      <w:r w:rsidRPr="00662E20">
        <w:rPr>
          <w:rFonts w:ascii="Times New Roman" w:eastAsia="Times New Roman" w:hAnsi="Times New Roman" w:cs="Times New Roman"/>
          <w:b/>
          <w:bCs/>
          <w:color w:val="000000"/>
          <w:kern w:val="0"/>
          <w14:ligatures w14:val="none"/>
        </w:rPr>
        <w:t>Perceived Challenges of IPM Adoption</w:t>
      </w:r>
    </w:p>
    <w:p w14:paraId="21E0E1AE" w14:textId="77777777" w:rsidR="00600254" w:rsidRPr="00662E20" w:rsidRDefault="00600254" w:rsidP="00AD4746">
      <w:pPr>
        <w:spacing w:before="100" w:beforeAutospacing="1" w:after="100" w:afterAutospacing="1" w:line="240" w:lineRule="auto"/>
        <w:ind w:firstLine="720"/>
        <w:rPr>
          <w:rFonts w:ascii="Times New Roman" w:eastAsia="Times New Roman" w:hAnsi="Times New Roman" w:cs="Times New Roman"/>
          <w:color w:val="000000"/>
          <w:kern w:val="0"/>
          <w14:ligatures w14:val="none"/>
        </w:rPr>
      </w:pPr>
      <w:r w:rsidRPr="00662E20">
        <w:rPr>
          <w:rFonts w:ascii="Times New Roman" w:eastAsia="Times New Roman" w:hAnsi="Times New Roman" w:cs="Times New Roman"/>
          <w:color w:val="000000"/>
          <w:kern w:val="0"/>
          <w14:ligatures w14:val="none"/>
        </w:rPr>
        <w:t>Two major themes emerged as perceived challenges of IPM adoption among growers: </w:t>
      </w:r>
      <w:r w:rsidRPr="00662E20">
        <w:rPr>
          <w:rFonts w:ascii="Times New Roman" w:eastAsia="Times New Roman" w:hAnsi="Times New Roman" w:cs="Times New Roman"/>
          <w:i/>
          <w:iCs/>
          <w:color w:val="000000"/>
          <w:kern w:val="0"/>
          <w14:ligatures w14:val="none"/>
        </w:rPr>
        <w:t>Effective Practice Carries a Cost Burden</w:t>
      </w:r>
      <w:r w:rsidRPr="00662E20">
        <w:rPr>
          <w:rFonts w:ascii="Times New Roman" w:eastAsia="Times New Roman" w:hAnsi="Times New Roman" w:cs="Times New Roman"/>
          <w:color w:val="000000"/>
          <w:kern w:val="0"/>
          <w14:ligatures w14:val="none"/>
        </w:rPr>
        <w:t> and </w:t>
      </w:r>
      <w:r w:rsidRPr="00662E20">
        <w:rPr>
          <w:rFonts w:ascii="Times New Roman" w:eastAsia="Times New Roman" w:hAnsi="Times New Roman" w:cs="Times New Roman"/>
          <w:i/>
          <w:iCs/>
          <w:color w:val="000000"/>
          <w:kern w:val="0"/>
          <w14:ligatures w14:val="none"/>
        </w:rPr>
        <w:t>Uncontrollable Pressures and Forced Adaptation.</w:t>
      </w:r>
    </w:p>
    <w:p w14:paraId="74A801E8" w14:textId="77777777" w:rsidR="00536C1B" w:rsidRPr="00662E20" w:rsidRDefault="009C39BB" w:rsidP="00AD4746">
      <w:pPr>
        <w:spacing w:line="240" w:lineRule="auto"/>
        <w:rPr>
          <w:rFonts w:ascii="Times New Roman" w:hAnsi="Times New Roman" w:cs="Times New Roman"/>
          <w:b/>
          <w:bCs/>
          <w:i/>
          <w:iCs/>
          <w:color w:val="000000" w:themeColor="text1"/>
          <w:lang w:eastAsia="zh-TW"/>
        </w:rPr>
      </w:pPr>
      <w:r w:rsidRPr="00662E20">
        <w:rPr>
          <w:rFonts w:ascii="Times New Roman" w:hAnsi="Times New Roman" w:cs="Times New Roman"/>
          <w:b/>
          <w:bCs/>
          <w:i/>
          <w:iCs/>
          <w:color w:val="000000" w:themeColor="text1"/>
          <w:lang w:eastAsia="zh-TW"/>
        </w:rPr>
        <w:t xml:space="preserve">Effective Practice Carries a Cost Burden </w:t>
      </w:r>
    </w:p>
    <w:p w14:paraId="7A66F274" w14:textId="56A27DBB" w:rsidR="00E6123D" w:rsidRPr="00662E20" w:rsidRDefault="00E6123D" w:rsidP="00AD4746">
      <w:pPr>
        <w:spacing w:line="240" w:lineRule="auto"/>
        <w:ind w:firstLine="720"/>
        <w:rPr>
          <w:rFonts w:ascii="Times New Roman" w:hAnsi="Times New Roman" w:cs="Times New Roman"/>
          <w:color w:val="000000" w:themeColor="text1"/>
          <w:lang w:eastAsia="zh-TW"/>
        </w:rPr>
      </w:pPr>
      <w:r w:rsidRPr="00662E20">
        <w:rPr>
          <w:rFonts w:ascii="Times New Roman" w:hAnsi="Times New Roman" w:cs="Times New Roman"/>
          <w:color w:val="000000" w:themeColor="text1"/>
          <w:lang w:eastAsia="zh-TW"/>
        </w:rPr>
        <w:t xml:space="preserve">This theme combined four related codes focused on high costs, inconsistent returns, and financial risks. </w:t>
      </w:r>
      <w:r w:rsidR="00273B95" w:rsidRPr="00662E20">
        <w:rPr>
          <w:rFonts w:ascii="Times New Roman" w:hAnsi="Times New Roman" w:cs="Times New Roman"/>
          <w:color w:val="000000" w:themeColor="text1"/>
          <w:lang w:eastAsia="zh-TW"/>
        </w:rPr>
        <w:t xml:space="preserve">Participants </w:t>
      </w:r>
      <w:r w:rsidRPr="00662E20">
        <w:rPr>
          <w:rFonts w:ascii="Times New Roman" w:hAnsi="Times New Roman" w:cs="Times New Roman"/>
          <w:color w:val="000000" w:themeColor="text1"/>
          <w:lang w:eastAsia="zh-TW"/>
        </w:rPr>
        <w:t>worried about input costs for effective IPM, noting rising expenses and their impact on operations.</w:t>
      </w:r>
      <w:r w:rsidR="00287F67">
        <w:rPr>
          <w:rFonts w:ascii="Times New Roman" w:hAnsi="Times New Roman" w:cs="Times New Roman"/>
          <w:color w:val="000000" w:themeColor="text1"/>
          <w:lang w:eastAsia="zh-TW"/>
        </w:rPr>
        <w:t xml:space="preserve"> </w:t>
      </w:r>
      <w:r w:rsidRPr="00662E20">
        <w:rPr>
          <w:rFonts w:ascii="Times New Roman" w:hAnsi="Times New Roman" w:cs="Times New Roman"/>
          <w:color w:val="000000" w:themeColor="text1"/>
          <w:lang w:eastAsia="zh-TW"/>
        </w:rPr>
        <w:t xml:space="preserve">When asked about major expenses, they listed labor, chemicals, and crop protectants. </w:t>
      </w:r>
      <w:r w:rsidR="00273B95" w:rsidRPr="00662E20">
        <w:rPr>
          <w:rFonts w:ascii="Times New Roman" w:hAnsi="Times New Roman" w:cs="Times New Roman"/>
          <w:color w:val="000000" w:themeColor="text1"/>
          <w:lang w:eastAsia="zh-TW"/>
        </w:rPr>
        <w:t xml:space="preserve">Participants </w:t>
      </w:r>
      <w:r w:rsidRPr="00662E20">
        <w:rPr>
          <w:rFonts w:ascii="Times New Roman" w:hAnsi="Times New Roman" w:cs="Times New Roman"/>
          <w:color w:val="000000" w:themeColor="text1"/>
          <w:lang w:eastAsia="zh-TW"/>
        </w:rPr>
        <w:t>also reported dec</w:t>
      </w:r>
      <w:r w:rsidR="00287F67">
        <w:rPr>
          <w:rFonts w:ascii="Times New Roman" w:hAnsi="Times New Roman" w:cs="Times New Roman"/>
          <w:color w:val="000000" w:themeColor="text1"/>
          <w:lang w:eastAsia="zh-TW"/>
        </w:rPr>
        <w:t>lin</w:t>
      </w:r>
      <w:r w:rsidRPr="00662E20">
        <w:rPr>
          <w:rFonts w:ascii="Times New Roman" w:hAnsi="Times New Roman" w:cs="Times New Roman"/>
          <w:color w:val="000000" w:themeColor="text1"/>
          <w:lang w:eastAsia="zh-TW"/>
        </w:rPr>
        <w:t xml:space="preserve">ing investments, which depend on profit outcomes, and hesitated to invest </w:t>
      </w:r>
      <w:r w:rsidR="00287F67">
        <w:rPr>
          <w:rFonts w:ascii="Times New Roman" w:hAnsi="Times New Roman" w:cs="Times New Roman"/>
          <w:color w:val="000000" w:themeColor="text1"/>
          <w:lang w:eastAsia="zh-TW"/>
        </w:rPr>
        <w:t>further</w:t>
      </w:r>
      <w:r w:rsidRPr="00662E20">
        <w:rPr>
          <w:rFonts w:ascii="Times New Roman" w:hAnsi="Times New Roman" w:cs="Times New Roman"/>
          <w:color w:val="000000" w:themeColor="text1"/>
          <w:lang w:eastAsia="zh-TW"/>
        </w:rPr>
        <w:t xml:space="preserve"> due to uncertain</w:t>
      </w:r>
      <w:r w:rsidR="00287F67">
        <w:rPr>
          <w:rFonts w:ascii="Times New Roman" w:hAnsi="Times New Roman" w:cs="Times New Roman"/>
          <w:color w:val="000000" w:themeColor="text1"/>
          <w:lang w:eastAsia="zh-TW"/>
        </w:rPr>
        <w:t>ty about</w:t>
      </w:r>
      <w:r w:rsidRPr="00662E20">
        <w:rPr>
          <w:rFonts w:ascii="Times New Roman" w:hAnsi="Times New Roman" w:cs="Times New Roman"/>
          <w:color w:val="000000" w:themeColor="text1"/>
          <w:lang w:eastAsia="zh-TW"/>
        </w:rPr>
        <w:t xml:space="preserve"> profits. This disincentivizes additional IPM efforts. Additionally, </w:t>
      </w:r>
      <w:r w:rsidR="00273B95" w:rsidRPr="00662E20">
        <w:rPr>
          <w:rFonts w:ascii="Times New Roman" w:hAnsi="Times New Roman" w:cs="Times New Roman"/>
          <w:color w:val="000000" w:themeColor="text1"/>
          <w:lang w:eastAsia="zh-TW"/>
        </w:rPr>
        <w:t xml:space="preserve">participants </w:t>
      </w:r>
      <w:r w:rsidRPr="00662E20">
        <w:rPr>
          <w:rFonts w:ascii="Times New Roman" w:hAnsi="Times New Roman" w:cs="Times New Roman"/>
          <w:color w:val="000000" w:themeColor="text1"/>
          <w:lang w:eastAsia="zh-TW"/>
        </w:rPr>
        <w:t>said maintaining smooth practices incurs social costs</w:t>
      </w:r>
      <w:r w:rsidR="00287F67">
        <w:rPr>
          <w:rFonts w:ascii="Times New Roman" w:hAnsi="Times New Roman" w:cs="Times New Roman"/>
          <w:color w:val="000000" w:themeColor="text1"/>
          <w:lang w:eastAsia="zh-TW"/>
        </w:rPr>
        <w:t>,</w:t>
      </w:r>
      <w:r w:rsidR="00751C72" w:rsidRPr="00662E20">
        <w:rPr>
          <w:rFonts w:ascii="Times New Roman" w:hAnsi="Times New Roman" w:cs="Times New Roman"/>
          <w:color w:val="000000" w:themeColor="text1"/>
          <w:lang w:eastAsia="zh-TW"/>
        </w:rPr>
        <w:t xml:space="preserve"> which are </w:t>
      </w:r>
      <w:r w:rsidRPr="00662E20">
        <w:rPr>
          <w:rFonts w:ascii="Times New Roman" w:hAnsi="Times New Roman" w:cs="Times New Roman"/>
          <w:color w:val="000000" w:themeColor="text1"/>
          <w:lang w:eastAsia="zh-TW"/>
        </w:rPr>
        <w:t>actions needed to prevent issues or conflicts, but which create unexpected challenges, waste time, and cost more than anticipated, affecting their ability to operate smoothly.</w:t>
      </w:r>
      <w:r w:rsidR="00FD1512" w:rsidRPr="00662E20">
        <w:rPr>
          <w:rFonts w:ascii="Times New Roman" w:hAnsi="Times New Roman" w:cs="Times New Roman"/>
          <w:color w:val="000000" w:themeColor="text1"/>
          <w:lang w:eastAsia="zh-TW"/>
        </w:rPr>
        <w:t xml:space="preserve"> A grower said:</w:t>
      </w:r>
    </w:p>
    <w:p w14:paraId="106776A5" w14:textId="15CE0C4F" w:rsidR="00E83500" w:rsidRDefault="006B4F7B" w:rsidP="00FA7A71">
      <w:pPr>
        <w:spacing w:after="0" w:line="240" w:lineRule="auto"/>
        <w:ind w:left="720" w:right="720"/>
        <w:rPr>
          <w:rFonts w:ascii="Times New Roman" w:hAnsi="Times New Roman" w:cs="Times New Roman"/>
          <w:i/>
          <w:iCs/>
          <w:color w:val="000000" w:themeColor="text1"/>
        </w:rPr>
      </w:pPr>
      <w:r w:rsidRPr="00662E20">
        <w:rPr>
          <w:rFonts w:ascii="Times New Roman" w:hAnsi="Times New Roman" w:cs="Times New Roman"/>
          <w:color w:val="000000" w:themeColor="text1"/>
        </w:rPr>
        <w:t>The market is probably the biggest problem with doing some of these things. If we can't get the return on the investment in the crop, it makes it very difficult to change up and do some of these new things that are a little more expensive</w:t>
      </w:r>
      <w:r w:rsidRPr="00662E20">
        <w:rPr>
          <w:rFonts w:ascii="Times New Roman" w:hAnsi="Times New Roman" w:cs="Times New Roman"/>
          <w:i/>
          <w:iCs/>
          <w:color w:val="000000" w:themeColor="text1"/>
        </w:rPr>
        <w:t>.</w:t>
      </w:r>
    </w:p>
    <w:p w14:paraId="49455C35" w14:textId="77777777" w:rsidR="00FA7A71" w:rsidRPr="00FA7A71" w:rsidRDefault="00FA7A71" w:rsidP="00FA7A71">
      <w:pPr>
        <w:spacing w:after="0" w:line="240" w:lineRule="auto"/>
        <w:ind w:left="720" w:right="720"/>
        <w:rPr>
          <w:rFonts w:ascii="Times New Roman" w:hAnsi="Times New Roman" w:cs="Times New Roman"/>
          <w:i/>
          <w:iCs/>
          <w:color w:val="000000" w:themeColor="text1"/>
        </w:rPr>
      </w:pPr>
    </w:p>
    <w:p w14:paraId="6BEDC50E" w14:textId="1F82C645" w:rsidR="0016694B" w:rsidRDefault="009C39BB" w:rsidP="00AD4746">
      <w:pPr>
        <w:spacing w:after="0" w:line="240" w:lineRule="auto"/>
        <w:rPr>
          <w:rFonts w:ascii="Times New Roman" w:hAnsi="Times New Roman" w:cs="Times New Roman"/>
          <w:b/>
          <w:bCs/>
          <w:i/>
          <w:iCs/>
          <w:color w:val="000000" w:themeColor="text1"/>
        </w:rPr>
      </w:pPr>
      <w:r w:rsidRPr="00662E20">
        <w:rPr>
          <w:rFonts w:ascii="Times New Roman" w:hAnsi="Times New Roman" w:cs="Times New Roman"/>
          <w:b/>
          <w:bCs/>
          <w:i/>
          <w:iCs/>
          <w:color w:val="000000" w:themeColor="text1"/>
        </w:rPr>
        <w:lastRenderedPageBreak/>
        <w:t>Uncontrollable Pressures and Forced Adaptation</w:t>
      </w:r>
    </w:p>
    <w:p w14:paraId="2BB02991" w14:textId="77777777" w:rsidR="00AD4746" w:rsidRPr="00662E20" w:rsidRDefault="00AD4746" w:rsidP="00AD4746">
      <w:pPr>
        <w:spacing w:after="0" w:line="240" w:lineRule="auto"/>
        <w:rPr>
          <w:rFonts w:ascii="Times New Roman" w:hAnsi="Times New Roman" w:cs="Times New Roman"/>
          <w:b/>
          <w:bCs/>
          <w:i/>
          <w:iCs/>
          <w:color w:val="000000" w:themeColor="text1"/>
        </w:rPr>
      </w:pPr>
    </w:p>
    <w:p w14:paraId="7BE78DE2" w14:textId="2D22511F" w:rsidR="0032638E" w:rsidRDefault="0032638E" w:rsidP="00AD4746">
      <w:pPr>
        <w:pStyle w:val="NormalWeb"/>
        <w:spacing w:before="0" w:beforeAutospacing="0" w:after="0" w:afterAutospacing="0"/>
        <w:rPr>
          <w:color w:val="000000" w:themeColor="text1"/>
        </w:rPr>
      </w:pPr>
      <w:r w:rsidRPr="00662E20">
        <w:t xml:space="preserve">While </w:t>
      </w:r>
      <w:r w:rsidR="00273B95" w:rsidRPr="00662E20">
        <w:rPr>
          <w:color w:val="000000" w:themeColor="text1"/>
          <w:lang w:eastAsia="zh-TW"/>
        </w:rPr>
        <w:t xml:space="preserve">participants </w:t>
      </w:r>
      <w:r w:rsidRPr="00662E20">
        <w:t xml:space="preserve">frequently encounter challenges stemming from their own practices and field observations, many also highlighted that several significant factors are entirely outside their control. These uncontrollable elements compel them to adapt continuously as conditions change. </w:t>
      </w:r>
      <w:r w:rsidR="00273B95" w:rsidRPr="00662E20">
        <w:rPr>
          <w:color w:val="000000" w:themeColor="text1"/>
          <w:lang w:eastAsia="zh-TW"/>
        </w:rPr>
        <w:t xml:space="preserve">Participants </w:t>
      </w:r>
      <w:r w:rsidRPr="00662E20">
        <w:t xml:space="preserve">often adopt unfamiliar methods to stay ahead, even though such changes are seldom straightforward. Natural factors, especially those related to climate change and invasive species, were commonly mentioned. </w:t>
      </w:r>
      <w:r w:rsidR="00273B95" w:rsidRPr="00662E20">
        <w:rPr>
          <w:color w:val="000000" w:themeColor="text1"/>
          <w:lang w:eastAsia="zh-TW"/>
        </w:rPr>
        <w:t xml:space="preserve">Participants </w:t>
      </w:r>
      <w:r w:rsidRPr="00662E20">
        <w:t xml:space="preserve">explained that shifting weather patterns and the arrival of new pests leave them little choice but to modify their practices instead of relying on straightforward approaches. </w:t>
      </w:r>
      <w:r w:rsidRPr="00662E20">
        <w:rPr>
          <w:color w:val="000000" w:themeColor="text1"/>
        </w:rPr>
        <w:t xml:space="preserve">Besides natural factors, </w:t>
      </w:r>
      <w:r w:rsidR="00273B95" w:rsidRPr="00662E20">
        <w:rPr>
          <w:color w:val="000000" w:themeColor="text1"/>
          <w:lang w:eastAsia="zh-TW"/>
        </w:rPr>
        <w:t xml:space="preserve">participants </w:t>
      </w:r>
      <w:r w:rsidRPr="00662E20">
        <w:rPr>
          <w:color w:val="000000" w:themeColor="text1"/>
        </w:rPr>
        <w:t>also emphasized how policies and regulations restrict their access to certain tools. They expressed frustration when familiar, affordable, and effective options were limited, only to be substituted with alternatives they view</w:t>
      </w:r>
      <w:r w:rsidR="009B2737" w:rsidRPr="00662E20">
        <w:rPr>
          <w:color w:val="000000" w:themeColor="text1"/>
        </w:rPr>
        <w:t>ed</w:t>
      </w:r>
      <w:r w:rsidRPr="00662E20">
        <w:rPr>
          <w:color w:val="000000" w:themeColor="text1"/>
        </w:rPr>
        <w:t xml:space="preserve"> as more costly, less effective, or more difficult to use. According to </w:t>
      </w:r>
      <w:r w:rsidR="009B2737" w:rsidRPr="00662E20">
        <w:rPr>
          <w:color w:val="000000" w:themeColor="text1"/>
          <w:lang w:eastAsia="zh-TW"/>
        </w:rPr>
        <w:t>participants</w:t>
      </w:r>
      <w:r w:rsidRPr="00662E20">
        <w:rPr>
          <w:color w:val="000000" w:themeColor="text1"/>
        </w:rPr>
        <w:t>, regulatory complexity complicate</w:t>
      </w:r>
      <w:r w:rsidR="009B2737" w:rsidRPr="00662E20">
        <w:rPr>
          <w:color w:val="000000" w:themeColor="text1"/>
        </w:rPr>
        <w:t>d</w:t>
      </w:r>
      <w:r w:rsidRPr="00662E20">
        <w:rPr>
          <w:color w:val="000000" w:themeColor="text1"/>
        </w:rPr>
        <w:t xml:space="preserve"> their decision-making process and influence</w:t>
      </w:r>
      <w:r w:rsidR="009B2737" w:rsidRPr="00662E20">
        <w:rPr>
          <w:color w:val="000000" w:themeColor="text1"/>
        </w:rPr>
        <w:t>d</w:t>
      </w:r>
      <w:r w:rsidRPr="00662E20">
        <w:rPr>
          <w:color w:val="000000" w:themeColor="text1"/>
        </w:rPr>
        <w:t xml:space="preserve"> their </w:t>
      </w:r>
      <w:r w:rsidR="009B2737" w:rsidRPr="00662E20">
        <w:rPr>
          <w:color w:val="000000" w:themeColor="text1"/>
        </w:rPr>
        <w:t xml:space="preserve">adoption of </w:t>
      </w:r>
      <w:r w:rsidRPr="00662E20">
        <w:rPr>
          <w:color w:val="000000" w:themeColor="text1"/>
        </w:rPr>
        <w:t>practices, leading to a feeling of vulnerability in their work.</w:t>
      </w:r>
      <w:r w:rsidR="00355C03" w:rsidRPr="00662E20">
        <w:rPr>
          <w:color w:val="000000" w:themeColor="text1"/>
        </w:rPr>
        <w:t xml:space="preserve"> One grower stated</w:t>
      </w:r>
      <w:r w:rsidR="00662E20">
        <w:rPr>
          <w:color w:val="000000" w:themeColor="text1"/>
        </w:rPr>
        <w:t>,</w:t>
      </w:r>
      <w:r w:rsidR="00355C03" w:rsidRPr="00662E20">
        <w:rPr>
          <w:color w:val="000000" w:themeColor="text1"/>
        </w:rPr>
        <w:t xml:space="preserve"> “I'm a processing grower, commercial, but I also have some organic plots, and I think the whole regulatory thing being an added burden, you know, it just keeps getting worse.”</w:t>
      </w:r>
    </w:p>
    <w:p w14:paraId="3D637A5C" w14:textId="77777777" w:rsidR="00AD4746" w:rsidRPr="00662E20" w:rsidRDefault="00AD4746" w:rsidP="00AD4746">
      <w:pPr>
        <w:pStyle w:val="NormalWeb"/>
        <w:spacing w:before="0" w:beforeAutospacing="0" w:after="0" w:afterAutospacing="0"/>
        <w:rPr>
          <w:color w:val="000000" w:themeColor="text1"/>
        </w:rPr>
      </w:pPr>
    </w:p>
    <w:p w14:paraId="541671E0" w14:textId="77777777" w:rsidR="00A42B0D" w:rsidRDefault="007C1423" w:rsidP="00AD4746">
      <w:pPr>
        <w:spacing w:after="0" w:line="240" w:lineRule="auto"/>
        <w:rPr>
          <w:rFonts w:ascii="Times New Roman" w:hAnsi="Times New Roman" w:cs="Times New Roman"/>
          <w:b/>
          <w:bCs/>
          <w:i/>
          <w:iCs/>
        </w:rPr>
      </w:pPr>
      <w:r w:rsidRPr="00662E20">
        <w:rPr>
          <w:rFonts w:ascii="Times New Roman" w:hAnsi="Times New Roman" w:cs="Times New Roman"/>
          <w:b/>
          <w:bCs/>
          <w:i/>
          <w:iCs/>
        </w:rPr>
        <w:t>Findings of Innovation Attribute Influence</w:t>
      </w:r>
    </w:p>
    <w:p w14:paraId="4BD2A396" w14:textId="77777777" w:rsidR="00AD4746" w:rsidRPr="00662E20" w:rsidRDefault="00AD4746" w:rsidP="00AD4746">
      <w:pPr>
        <w:spacing w:after="0" w:line="240" w:lineRule="auto"/>
        <w:rPr>
          <w:rFonts w:ascii="Times New Roman" w:hAnsi="Times New Roman" w:cs="Times New Roman"/>
          <w:b/>
          <w:bCs/>
          <w:i/>
          <w:iCs/>
        </w:rPr>
      </w:pPr>
    </w:p>
    <w:p w14:paraId="2CF99732" w14:textId="2D5548A4" w:rsidR="000D37B8" w:rsidRPr="00662E20" w:rsidRDefault="000D37B8" w:rsidP="00AD4746">
      <w:pPr>
        <w:spacing w:line="240" w:lineRule="auto"/>
        <w:ind w:firstLine="720"/>
        <w:rPr>
          <w:rStyle w:val="Strong"/>
          <w:rFonts w:ascii="Times New Roman" w:hAnsi="Times New Roman" w:cs="Times New Roman"/>
          <w:b w:val="0"/>
          <w:bCs w:val="0"/>
          <w:color w:val="000000" w:themeColor="text1"/>
        </w:rPr>
      </w:pPr>
      <w:r w:rsidRPr="00662E20">
        <w:rPr>
          <w:rFonts w:ascii="Times New Roman" w:hAnsi="Times New Roman" w:cs="Times New Roman"/>
          <w:color w:val="000000"/>
        </w:rPr>
        <w:t xml:space="preserve">To address </w:t>
      </w:r>
      <w:r w:rsidR="00252202">
        <w:rPr>
          <w:rFonts w:ascii="Times New Roman" w:hAnsi="Times New Roman" w:cs="Times New Roman" w:hint="eastAsia"/>
          <w:color w:val="000000"/>
          <w:lang w:eastAsia="zh-TW"/>
        </w:rPr>
        <w:t>R</w:t>
      </w:r>
      <w:r w:rsidR="00D02C78">
        <w:rPr>
          <w:rFonts w:ascii="Times New Roman" w:hAnsi="Times New Roman" w:cs="Times New Roman" w:hint="eastAsia"/>
          <w:color w:val="000000"/>
          <w:lang w:eastAsia="zh-TW"/>
        </w:rPr>
        <w:t>esearch Question</w:t>
      </w:r>
      <w:r w:rsidR="00252202">
        <w:rPr>
          <w:rFonts w:ascii="Times New Roman" w:hAnsi="Times New Roman" w:cs="Times New Roman" w:hint="eastAsia"/>
          <w:color w:val="000000"/>
          <w:lang w:eastAsia="zh-TW"/>
        </w:rPr>
        <w:t xml:space="preserve"> C</w:t>
      </w:r>
      <w:r w:rsidRPr="00662E20">
        <w:rPr>
          <w:rFonts w:ascii="Times New Roman" w:hAnsi="Times New Roman" w:cs="Times New Roman"/>
          <w:color w:val="000000"/>
        </w:rPr>
        <w:t>, the five perceived attributes of innovation from Rogers’ (2003)</w:t>
      </w:r>
      <w:r w:rsidRPr="00662E20">
        <w:rPr>
          <w:rStyle w:val="apple-converted-space"/>
          <w:rFonts w:ascii="Times New Roman" w:eastAsiaTheme="majorEastAsia" w:hAnsi="Times New Roman" w:cs="Times New Roman"/>
          <w:color w:val="000000"/>
        </w:rPr>
        <w:t> </w:t>
      </w:r>
      <w:r w:rsidRPr="00662E20">
        <w:rPr>
          <w:rStyle w:val="Emphasis"/>
          <w:rFonts w:ascii="Times New Roman" w:eastAsiaTheme="majorEastAsia" w:hAnsi="Times New Roman" w:cs="Times New Roman"/>
          <w:color w:val="000000"/>
        </w:rPr>
        <w:t>Diffusion of Innovations</w:t>
      </w:r>
      <w:r w:rsidRPr="00662E20">
        <w:rPr>
          <w:rStyle w:val="apple-converted-space"/>
          <w:rFonts w:ascii="Times New Roman" w:eastAsiaTheme="majorEastAsia" w:hAnsi="Times New Roman" w:cs="Times New Roman"/>
          <w:color w:val="000000"/>
        </w:rPr>
        <w:t> </w:t>
      </w:r>
      <w:r w:rsidRPr="00662E20">
        <w:rPr>
          <w:rFonts w:ascii="Times New Roman" w:hAnsi="Times New Roman" w:cs="Times New Roman"/>
          <w:color w:val="000000"/>
        </w:rPr>
        <w:t xml:space="preserve">model were used to interpret the findings. </w:t>
      </w:r>
      <w:r w:rsidR="009B2737" w:rsidRPr="00662E20">
        <w:rPr>
          <w:rFonts w:ascii="Times New Roman" w:hAnsi="Times New Roman" w:cs="Times New Roman"/>
          <w:color w:val="000000" w:themeColor="text1"/>
          <w:lang w:eastAsia="zh-TW"/>
        </w:rPr>
        <w:t xml:space="preserve">Participants </w:t>
      </w:r>
      <w:r w:rsidRPr="00662E20">
        <w:rPr>
          <w:rFonts w:ascii="Times New Roman" w:hAnsi="Times New Roman" w:cs="Times New Roman"/>
          <w:color w:val="000000"/>
        </w:rPr>
        <w:t>emphasized that their willingness to continue adopting IPM in the future depend</w:t>
      </w:r>
      <w:r w:rsidR="009B2737" w:rsidRPr="00662E20">
        <w:rPr>
          <w:rFonts w:ascii="Times New Roman" w:hAnsi="Times New Roman" w:cs="Times New Roman"/>
          <w:color w:val="000000"/>
        </w:rPr>
        <w:t>ed</w:t>
      </w:r>
      <w:r w:rsidRPr="00662E20">
        <w:rPr>
          <w:rFonts w:ascii="Times New Roman" w:hAnsi="Times New Roman" w:cs="Times New Roman"/>
          <w:color w:val="000000"/>
        </w:rPr>
        <w:t xml:space="preserve"> not only on new technologies but also on the support systems that facilitate</w:t>
      </w:r>
      <w:r w:rsidR="009B2737" w:rsidRPr="00662E20">
        <w:rPr>
          <w:rFonts w:ascii="Times New Roman" w:hAnsi="Times New Roman" w:cs="Times New Roman"/>
          <w:color w:val="000000"/>
        </w:rPr>
        <w:t>d</w:t>
      </w:r>
      <w:r w:rsidRPr="00662E20">
        <w:rPr>
          <w:rFonts w:ascii="Times New Roman" w:hAnsi="Times New Roman" w:cs="Times New Roman"/>
          <w:color w:val="000000"/>
        </w:rPr>
        <w:t xml:space="preserve"> their use.</w:t>
      </w:r>
      <w:r w:rsidRPr="00662E20">
        <w:rPr>
          <w:rStyle w:val="apple-converted-space"/>
          <w:rFonts w:ascii="Times New Roman" w:eastAsiaTheme="majorEastAsia" w:hAnsi="Times New Roman" w:cs="Times New Roman"/>
          <w:color w:val="000000"/>
        </w:rPr>
        <w:t> </w:t>
      </w:r>
      <w:r w:rsidRPr="00662E20">
        <w:rPr>
          <w:rStyle w:val="Strong"/>
          <w:rFonts w:ascii="Times New Roman" w:eastAsiaTheme="majorEastAsia" w:hAnsi="Times New Roman" w:cs="Times New Roman"/>
          <w:b w:val="0"/>
          <w:bCs w:val="0"/>
          <w:color w:val="000000"/>
        </w:rPr>
        <w:t>Figure 2 illustrates how the five innovation attributes: relative advantage, compatibility, complexity, trialability, and observability shaped growers’ perceptions and adoption decisions.</w:t>
      </w:r>
    </w:p>
    <w:p w14:paraId="147287BA" w14:textId="6ADA8E1A" w:rsidR="000D37B8" w:rsidRPr="00662E20" w:rsidRDefault="000D37B8" w:rsidP="00AD4746">
      <w:pPr>
        <w:spacing w:after="0" w:line="240" w:lineRule="auto"/>
        <w:rPr>
          <w:rFonts w:ascii="Times New Roman" w:eastAsiaTheme="majorEastAsia" w:hAnsi="Times New Roman" w:cs="Times New Roman"/>
          <w:b/>
          <w:bCs/>
          <w:color w:val="000000" w:themeColor="text1"/>
        </w:rPr>
      </w:pPr>
      <w:r w:rsidRPr="00662E20">
        <w:rPr>
          <w:rFonts w:ascii="Times New Roman" w:eastAsiaTheme="majorEastAsia" w:hAnsi="Times New Roman" w:cs="Times New Roman"/>
          <w:b/>
          <w:bCs/>
          <w:color w:val="000000" w:themeColor="text1"/>
        </w:rPr>
        <w:t>Figure 2</w:t>
      </w:r>
    </w:p>
    <w:p w14:paraId="3ABBDC5F" w14:textId="7C69D687" w:rsidR="00715E03" w:rsidRDefault="000D37B8" w:rsidP="005C1EA1">
      <w:pPr>
        <w:spacing w:after="0" w:line="240" w:lineRule="auto"/>
        <w:rPr>
          <w:rFonts w:ascii="Times New Roman" w:eastAsiaTheme="majorEastAsia" w:hAnsi="Times New Roman" w:cs="Times New Roman"/>
          <w:i/>
          <w:iCs/>
          <w:lang w:eastAsia="zh-TW"/>
        </w:rPr>
      </w:pPr>
      <w:r w:rsidRPr="00662E20">
        <w:rPr>
          <w:rFonts w:ascii="Times New Roman" w:eastAsiaTheme="majorEastAsia" w:hAnsi="Times New Roman" w:cs="Times New Roman"/>
          <w:i/>
          <w:iCs/>
          <w:lang w:eastAsia="zh-TW"/>
        </w:rPr>
        <w:t>Growers’ experience implementing IPM associated with innovation attributes.</w:t>
      </w:r>
    </w:p>
    <w:p w14:paraId="6C9878A5" w14:textId="6DC26669" w:rsidR="005C1EA1" w:rsidRPr="005C1EA1" w:rsidRDefault="005C1EA1" w:rsidP="005C1EA1">
      <w:pPr>
        <w:pStyle w:val="NormalWeb"/>
        <w:spacing w:before="0" w:beforeAutospacing="0" w:after="0" w:afterAutospacing="0"/>
        <w:jc w:val="both"/>
        <w:rPr>
          <w:rFonts w:eastAsiaTheme="majorEastAsia"/>
          <w:i/>
          <w:iCs/>
          <w:color w:val="000000"/>
        </w:rPr>
      </w:pPr>
      <w:r w:rsidRPr="005C1EA1">
        <w:t>Note. The percentages in each bar represented the number of segments labeled with either positive or negative codes for that attribute.</w:t>
      </w:r>
    </w:p>
    <w:p w14:paraId="355F43BF" w14:textId="77777777" w:rsidR="009B2737" w:rsidRDefault="009B2737" w:rsidP="005C1EA1">
      <w:pPr>
        <w:pStyle w:val="NormalWeb"/>
        <w:spacing w:before="0" w:beforeAutospacing="0" w:after="0" w:afterAutospacing="0"/>
        <w:jc w:val="both"/>
        <w:rPr>
          <w:rStyle w:val="Emphasis"/>
          <w:rFonts w:eastAsiaTheme="majorEastAsia"/>
          <w:color w:val="000000"/>
        </w:rPr>
      </w:pPr>
      <w:r w:rsidRPr="00662E20">
        <w:rPr>
          <w:rFonts w:eastAsiaTheme="majorEastAsia"/>
          <w:noProof/>
          <w:color w:val="EE0000"/>
        </w:rPr>
        <w:drawing>
          <wp:inline distT="0" distB="0" distL="0" distR="0" wp14:anchorId="6D08BF0E" wp14:editId="2EDD843F">
            <wp:extent cx="3808675" cy="1630842"/>
            <wp:effectExtent l="0" t="0" r="1905" b="0"/>
            <wp:docPr id="234190624" name="Picture 5"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190624" name="Picture 5" descr="A graph of different colored bars&#10;&#10;AI-generated content may be incorrect."/>
                    <pic:cNvPicPr>
                      <a:picLocks noChangeAspect="1" noChangeArrowheads="1"/>
                    </pic:cNvPicPr>
                  </pic:nvPicPr>
                  <pic:blipFill rotWithShape="1">
                    <a:blip r:embed="rId8">
                      <a:extLst>
                        <a:ext uri="{28A0092B-C50C-407E-A947-70E740481C1C}">
                          <a14:useLocalDpi xmlns:a14="http://schemas.microsoft.com/office/drawing/2010/main" val="0"/>
                        </a:ext>
                      </a:extLst>
                    </a:blip>
                    <a:srcRect b="9939"/>
                    <a:stretch>
                      <a:fillRect/>
                    </a:stretch>
                  </pic:blipFill>
                  <pic:spPr bwMode="auto">
                    <a:xfrm>
                      <a:off x="0" y="0"/>
                      <a:ext cx="4145007" cy="1774857"/>
                    </a:xfrm>
                    <a:prstGeom prst="rect">
                      <a:avLst/>
                    </a:prstGeom>
                    <a:noFill/>
                    <a:ln>
                      <a:noFill/>
                    </a:ln>
                    <a:extLst>
                      <a:ext uri="{53640926-AAD7-44D8-BBD7-CCE9431645EC}">
                        <a14:shadowObscured xmlns:a14="http://schemas.microsoft.com/office/drawing/2010/main"/>
                      </a:ext>
                    </a:extLst>
                  </pic:spPr>
                </pic:pic>
              </a:graphicData>
            </a:graphic>
          </wp:inline>
        </w:drawing>
      </w:r>
    </w:p>
    <w:p w14:paraId="399C5490" w14:textId="32BE4EC5" w:rsidR="00E06EE5" w:rsidRPr="00E06EE5" w:rsidRDefault="000D37B8" w:rsidP="00E06EE5">
      <w:pPr>
        <w:pStyle w:val="NormalWeb"/>
        <w:ind w:firstLine="720"/>
        <w:rPr>
          <w:color w:val="000000"/>
        </w:rPr>
      </w:pPr>
      <w:r w:rsidRPr="00662E20">
        <w:rPr>
          <w:rStyle w:val="Emphasis"/>
          <w:rFonts w:eastAsiaTheme="majorEastAsia"/>
          <w:color w:val="000000"/>
        </w:rPr>
        <w:t>Relative advantage</w:t>
      </w:r>
      <w:r w:rsidRPr="00662E20">
        <w:rPr>
          <w:rStyle w:val="apple-converted-space"/>
          <w:rFonts w:eastAsiaTheme="majorEastAsia"/>
          <w:color w:val="000000"/>
        </w:rPr>
        <w:t> </w:t>
      </w:r>
      <w:r w:rsidRPr="00662E20">
        <w:rPr>
          <w:color w:val="000000"/>
        </w:rPr>
        <w:t>and</w:t>
      </w:r>
      <w:r w:rsidRPr="00662E20">
        <w:rPr>
          <w:rStyle w:val="apple-converted-space"/>
          <w:rFonts w:eastAsiaTheme="majorEastAsia"/>
          <w:color w:val="000000"/>
        </w:rPr>
        <w:t> </w:t>
      </w:r>
      <w:r w:rsidRPr="00662E20">
        <w:rPr>
          <w:rStyle w:val="Emphasis"/>
          <w:rFonts w:eastAsiaTheme="majorEastAsia"/>
          <w:color w:val="000000"/>
        </w:rPr>
        <w:t>compatibility</w:t>
      </w:r>
      <w:r w:rsidRPr="00662E20">
        <w:rPr>
          <w:rStyle w:val="apple-converted-space"/>
          <w:rFonts w:eastAsiaTheme="majorEastAsia"/>
          <w:color w:val="000000"/>
        </w:rPr>
        <w:t> </w:t>
      </w:r>
      <w:r w:rsidRPr="00662E20">
        <w:rPr>
          <w:color w:val="000000"/>
        </w:rPr>
        <w:t xml:space="preserve">were the most positively perceived attributes, reflecting </w:t>
      </w:r>
      <w:r w:rsidR="009B2737" w:rsidRPr="00662E20">
        <w:rPr>
          <w:color w:val="000000"/>
        </w:rPr>
        <w:t xml:space="preserve">participants’ </w:t>
      </w:r>
      <w:r w:rsidRPr="00662E20">
        <w:rPr>
          <w:color w:val="000000"/>
        </w:rPr>
        <w:t>belief that IPM offer</w:t>
      </w:r>
      <w:r w:rsidR="009B2737" w:rsidRPr="00662E20">
        <w:rPr>
          <w:color w:val="000000"/>
        </w:rPr>
        <w:t>ed</w:t>
      </w:r>
      <w:r w:rsidRPr="00662E20">
        <w:rPr>
          <w:color w:val="000000"/>
        </w:rPr>
        <w:t xml:space="preserve"> efficiency and align</w:t>
      </w:r>
      <w:r w:rsidR="009B2737" w:rsidRPr="00662E20">
        <w:rPr>
          <w:color w:val="000000"/>
        </w:rPr>
        <w:t>ed</w:t>
      </w:r>
      <w:r w:rsidRPr="00662E20">
        <w:rPr>
          <w:color w:val="000000"/>
        </w:rPr>
        <w:t xml:space="preserve"> with certain existing practices. However, </w:t>
      </w:r>
      <w:r w:rsidRPr="00662E20">
        <w:rPr>
          <w:i/>
          <w:iCs/>
          <w:color w:val="000000"/>
        </w:rPr>
        <w:t xml:space="preserve">compatibility </w:t>
      </w:r>
      <w:r w:rsidRPr="00662E20">
        <w:rPr>
          <w:color w:val="000000"/>
        </w:rPr>
        <w:t>was sometimes mixed, as some IPM techniques required additional labor or equipment.</w:t>
      </w:r>
      <w:r w:rsidRPr="00662E20">
        <w:rPr>
          <w:rStyle w:val="apple-converted-space"/>
          <w:rFonts w:eastAsiaTheme="majorEastAsia"/>
          <w:color w:val="000000"/>
        </w:rPr>
        <w:t> </w:t>
      </w:r>
      <w:r w:rsidRPr="00662E20">
        <w:rPr>
          <w:rStyle w:val="Emphasis"/>
          <w:rFonts w:eastAsiaTheme="majorEastAsia"/>
          <w:color w:val="000000"/>
        </w:rPr>
        <w:t>Complexity</w:t>
      </w:r>
      <w:r w:rsidRPr="00662E20">
        <w:rPr>
          <w:rStyle w:val="apple-converted-space"/>
          <w:rFonts w:eastAsiaTheme="majorEastAsia"/>
          <w:color w:val="000000"/>
        </w:rPr>
        <w:t> </w:t>
      </w:r>
      <w:r w:rsidRPr="00662E20">
        <w:rPr>
          <w:color w:val="000000"/>
        </w:rPr>
        <w:t xml:space="preserve">emerged as the main barrier, with </w:t>
      </w:r>
      <w:r w:rsidR="009B2737" w:rsidRPr="00662E20">
        <w:rPr>
          <w:color w:val="000000"/>
        </w:rPr>
        <w:t xml:space="preserve">participants </w:t>
      </w:r>
      <w:r w:rsidRPr="00662E20">
        <w:rPr>
          <w:color w:val="000000"/>
        </w:rPr>
        <w:t>describing IPM as a knowledge-intensive, time-sensitive system.</w:t>
      </w:r>
      <w:r w:rsidRPr="00662E20">
        <w:rPr>
          <w:rStyle w:val="apple-converted-space"/>
          <w:rFonts w:eastAsiaTheme="majorEastAsia"/>
          <w:color w:val="000000"/>
        </w:rPr>
        <w:t> </w:t>
      </w:r>
      <w:r w:rsidRPr="00662E20">
        <w:rPr>
          <w:rStyle w:val="Emphasis"/>
          <w:rFonts w:eastAsiaTheme="majorEastAsia"/>
          <w:color w:val="000000"/>
        </w:rPr>
        <w:t>Observability</w:t>
      </w:r>
      <w:r w:rsidRPr="00662E20">
        <w:rPr>
          <w:rStyle w:val="apple-converted-space"/>
          <w:rFonts w:eastAsiaTheme="majorEastAsia"/>
          <w:color w:val="000000"/>
        </w:rPr>
        <w:t> </w:t>
      </w:r>
      <w:r w:rsidRPr="00662E20">
        <w:rPr>
          <w:color w:val="000000"/>
        </w:rPr>
        <w:t>was viewed with mostly negative sentiments</w:t>
      </w:r>
      <w:r w:rsidR="00287F67">
        <w:rPr>
          <w:color w:val="000000"/>
        </w:rPr>
        <w:t>,</w:t>
      </w:r>
      <w:r w:rsidR="009D1E89" w:rsidRPr="00662E20">
        <w:rPr>
          <w:color w:val="000000"/>
        </w:rPr>
        <w:t xml:space="preserve"> where </w:t>
      </w:r>
      <w:r w:rsidR="009B2737" w:rsidRPr="00662E20">
        <w:rPr>
          <w:color w:val="000000"/>
        </w:rPr>
        <w:t xml:space="preserve">participants </w:t>
      </w:r>
      <w:r w:rsidRPr="00662E20">
        <w:rPr>
          <w:color w:val="000000"/>
        </w:rPr>
        <w:t>felt their efforts often went unnoticed</w:t>
      </w:r>
      <w:r w:rsidR="009D1E89" w:rsidRPr="00662E20">
        <w:rPr>
          <w:color w:val="000000"/>
        </w:rPr>
        <w:t xml:space="preserve">, </w:t>
      </w:r>
      <w:r w:rsidRPr="00662E20">
        <w:rPr>
          <w:color w:val="000000"/>
        </w:rPr>
        <w:lastRenderedPageBreak/>
        <w:t>while</w:t>
      </w:r>
      <w:r w:rsidRPr="00662E20">
        <w:rPr>
          <w:rStyle w:val="apple-converted-space"/>
          <w:rFonts w:eastAsiaTheme="majorEastAsia"/>
          <w:color w:val="000000"/>
        </w:rPr>
        <w:t> </w:t>
      </w:r>
      <w:r w:rsidRPr="00662E20">
        <w:rPr>
          <w:rStyle w:val="Emphasis"/>
          <w:rFonts w:eastAsiaTheme="majorEastAsia"/>
          <w:color w:val="000000"/>
        </w:rPr>
        <w:t>trialability</w:t>
      </w:r>
      <w:r w:rsidRPr="00662E20">
        <w:rPr>
          <w:rStyle w:val="apple-converted-space"/>
          <w:rFonts w:eastAsiaTheme="majorEastAsia"/>
          <w:color w:val="000000"/>
        </w:rPr>
        <w:t> </w:t>
      </w:r>
      <w:r w:rsidRPr="00662E20">
        <w:rPr>
          <w:color w:val="000000"/>
        </w:rPr>
        <w:t>was rarely mentioned, indicating limited opportunities to test new practices in perennial systems where mistakes can be costly.</w:t>
      </w:r>
    </w:p>
    <w:p w14:paraId="482925A1" w14:textId="62C4F949" w:rsidR="0055606F" w:rsidRPr="00662E20" w:rsidRDefault="009D1E89" w:rsidP="00AD4746">
      <w:pPr>
        <w:spacing w:line="240" w:lineRule="auto"/>
        <w:jc w:val="center"/>
        <w:rPr>
          <w:rFonts w:ascii="Times New Roman" w:hAnsi="Times New Roman" w:cs="Times New Roman"/>
          <w:b/>
          <w:bCs/>
          <w:color w:val="000000"/>
        </w:rPr>
      </w:pPr>
      <w:r w:rsidRPr="00662E20">
        <w:rPr>
          <w:rFonts w:ascii="Times New Roman" w:hAnsi="Times New Roman" w:cs="Times New Roman"/>
          <w:b/>
          <w:bCs/>
          <w:color w:val="000000"/>
        </w:rPr>
        <w:t>Conclusions, Implications</w:t>
      </w:r>
      <w:r w:rsidR="00E327D7" w:rsidRPr="00662E20">
        <w:rPr>
          <w:rFonts w:ascii="Times New Roman" w:hAnsi="Times New Roman" w:cs="Times New Roman"/>
          <w:b/>
          <w:bCs/>
          <w:color w:val="000000"/>
        </w:rPr>
        <w:t>,</w:t>
      </w:r>
      <w:r w:rsidRPr="00662E20">
        <w:rPr>
          <w:rFonts w:ascii="Times New Roman" w:hAnsi="Times New Roman" w:cs="Times New Roman"/>
          <w:b/>
          <w:bCs/>
          <w:color w:val="000000"/>
        </w:rPr>
        <w:t xml:space="preserve"> and Recommendations</w:t>
      </w:r>
    </w:p>
    <w:p w14:paraId="62522A0A" w14:textId="4EAB36BE" w:rsidR="009B2737" w:rsidRPr="00662E20" w:rsidRDefault="009B2737" w:rsidP="00AD4746">
      <w:pPr>
        <w:pStyle w:val="NormalWeb"/>
        <w:ind w:firstLine="720"/>
        <w:rPr>
          <w:color w:val="000000"/>
        </w:rPr>
      </w:pPr>
      <w:r w:rsidRPr="00662E20">
        <w:rPr>
          <w:color w:val="000000"/>
        </w:rPr>
        <w:t>The findings indicated</w:t>
      </w:r>
      <w:r w:rsidR="0055606F" w:rsidRPr="00662E20">
        <w:rPr>
          <w:color w:val="000000"/>
        </w:rPr>
        <w:t xml:space="preserve"> </w:t>
      </w:r>
      <w:r w:rsidR="00287F67">
        <w:rPr>
          <w:color w:val="000000"/>
        </w:rPr>
        <w:t>that, while tree-fruit growers in the eastern United States perceive IPM as effective and environmentally friendly, they face challenges stemming from economic pressures, regulatory constraints,</w:t>
      </w:r>
      <w:r w:rsidR="0055606F" w:rsidRPr="00662E20">
        <w:rPr>
          <w:color w:val="000000"/>
        </w:rPr>
        <w:t xml:space="preserve"> and complex application conditions under extreme weather. Applying Rogers’ </w:t>
      </w:r>
      <w:r w:rsidRPr="00662E20">
        <w:rPr>
          <w:color w:val="000000"/>
        </w:rPr>
        <w:t xml:space="preserve">DOI </w:t>
      </w:r>
      <w:r w:rsidR="0055606F" w:rsidRPr="00662E20">
        <w:rPr>
          <w:color w:val="000000"/>
        </w:rPr>
        <w:t>framework shows how the perceived qualities of IPM influence growers’ willingness to adopt</w:t>
      </w:r>
      <w:r w:rsidRPr="00662E20">
        <w:rPr>
          <w:color w:val="000000"/>
        </w:rPr>
        <w:t>. Participants</w:t>
      </w:r>
      <w:r w:rsidR="0055606F" w:rsidRPr="00662E20">
        <w:rPr>
          <w:color w:val="000000"/>
        </w:rPr>
        <w:t xml:space="preserve"> noted that IPM tools</w:t>
      </w:r>
      <w:r w:rsidRPr="00662E20">
        <w:rPr>
          <w:color w:val="000000"/>
        </w:rPr>
        <w:t>,</w:t>
      </w:r>
      <w:r w:rsidR="0055606F" w:rsidRPr="00662E20">
        <w:rPr>
          <w:color w:val="000000"/>
        </w:rPr>
        <w:t xml:space="preserve"> like mating disruption and targeted spraying</w:t>
      </w:r>
      <w:r w:rsidRPr="00662E20">
        <w:rPr>
          <w:color w:val="000000"/>
        </w:rPr>
        <w:t>,</w:t>
      </w:r>
      <w:r w:rsidR="0055606F" w:rsidRPr="00662E20">
        <w:rPr>
          <w:color w:val="000000"/>
        </w:rPr>
        <w:t xml:space="preserve"> effectively control</w:t>
      </w:r>
      <w:r w:rsidRPr="00662E20">
        <w:rPr>
          <w:color w:val="000000"/>
        </w:rPr>
        <w:t>led</w:t>
      </w:r>
      <w:r w:rsidR="0055606F" w:rsidRPr="00662E20">
        <w:rPr>
          <w:color w:val="000000"/>
        </w:rPr>
        <w:t xml:space="preserve"> pests and </w:t>
      </w:r>
      <w:r w:rsidRPr="00662E20">
        <w:rPr>
          <w:color w:val="000000"/>
        </w:rPr>
        <w:t xml:space="preserve">were </w:t>
      </w:r>
      <w:r w:rsidR="0055606F" w:rsidRPr="00662E20">
        <w:rPr>
          <w:color w:val="000000"/>
        </w:rPr>
        <w:t xml:space="preserve">adaptable to various field conditions. These methods are valued for their efficiency, ability to reduce pest resistance, and compatibility with monitoring systems. </w:t>
      </w:r>
    </w:p>
    <w:p w14:paraId="6B6EACDE" w14:textId="38C826C6" w:rsidR="00750427" w:rsidRPr="00A17A8A" w:rsidRDefault="0055606F" w:rsidP="00A17A8A">
      <w:pPr>
        <w:pStyle w:val="NormalWeb"/>
        <w:ind w:firstLine="720"/>
        <w:rPr>
          <w:color w:val="000000"/>
        </w:rPr>
      </w:pPr>
      <w:r w:rsidRPr="00662E20">
        <w:rPr>
          <w:color w:val="000000"/>
        </w:rPr>
        <w:t>These findings support earlier research indicating IPM aids pollination and ecological services that contribute to stable production (</w:t>
      </w:r>
      <w:proofErr w:type="spellStart"/>
      <w:r w:rsidRPr="00662E20">
        <w:rPr>
          <w:color w:val="000000"/>
        </w:rPr>
        <w:t>Pacenka</w:t>
      </w:r>
      <w:proofErr w:type="spellEnd"/>
      <w:r w:rsidRPr="00662E20">
        <w:rPr>
          <w:color w:val="000000"/>
        </w:rPr>
        <w:t xml:space="preserve"> et al., 2021). Moreover, IPM adoption has been associated with increased profitability by decreasing pesticide use and attracting sustainability-minded markets (Bueno et al., 2021). Recent meta-analyses show that IPM enhances natural enemy populations and reduces pest and disease pressure, reinforcing its role as a resilient alternative to traditional systems (Ryalls et al., 2024). According to Rogers’ framework, these insights correspond to the attributes of relative advantage and compatibility, explaining why growers consider IPM a preferable alternative to conventional, pesticide-intensive practices.</w:t>
      </w:r>
      <w:r w:rsidR="00A17A8A">
        <w:rPr>
          <w:color w:val="000000"/>
        </w:rPr>
        <w:t xml:space="preserve"> </w:t>
      </w:r>
      <w:r w:rsidR="00FB66F1" w:rsidRPr="00662E20">
        <w:rPr>
          <w:rFonts w:eastAsiaTheme="minorHAnsi"/>
          <w:kern w:val="2"/>
          <w14:ligatures w14:val="standardContextual"/>
        </w:rPr>
        <w:t>The growers’ experiences</w:t>
      </w:r>
      <w:r w:rsidR="009B2737" w:rsidRPr="00662E20">
        <w:rPr>
          <w:rFonts w:eastAsiaTheme="minorHAnsi"/>
          <w:kern w:val="2"/>
          <w14:ligatures w14:val="standardContextual"/>
        </w:rPr>
        <w:t xml:space="preserve"> shared</w:t>
      </w:r>
      <w:r w:rsidR="00FB66F1" w:rsidRPr="00662E20">
        <w:rPr>
          <w:rFonts w:eastAsiaTheme="minorHAnsi"/>
          <w:kern w:val="2"/>
          <w14:ligatures w14:val="standardContextual"/>
        </w:rPr>
        <w:t xml:space="preserve"> </w:t>
      </w:r>
      <w:r w:rsidR="009B2737" w:rsidRPr="00662E20">
        <w:rPr>
          <w:rFonts w:eastAsiaTheme="minorHAnsi"/>
          <w:kern w:val="2"/>
          <w14:ligatures w14:val="standardContextual"/>
        </w:rPr>
        <w:t xml:space="preserve">revealed </w:t>
      </w:r>
      <w:r w:rsidR="00FA7A71">
        <w:rPr>
          <w:rFonts w:eastAsiaTheme="minorHAnsi"/>
          <w:kern w:val="2"/>
          <w14:ligatures w14:val="standardContextual"/>
        </w:rPr>
        <w:t xml:space="preserve">that </w:t>
      </w:r>
      <w:r w:rsidR="00FB66F1" w:rsidRPr="00662E20">
        <w:rPr>
          <w:rFonts w:eastAsiaTheme="minorHAnsi"/>
          <w:kern w:val="2"/>
          <w14:ligatures w14:val="standardContextual"/>
        </w:rPr>
        <w:t>adoption depends on innovation attributes, mainly relative advantage and compatibility, aligning with Lee et al. (2021). They noted that current IPM measures struggle with complex pest patterns, urging research for solutions to boost confidence and sustain adoption. Complexity is seen as the main barrier. Trialability was less discussed due to limited experimentation opportunities where mistakes have long-term effects, reflecting growers' risk aversion (Parsa et al., 2014). Observability received mixed views</w:t>
      </w:r>
      <w:r w:rsidR="00DF2609" w:rsidRPr="00662E20">
        <w:rPr>
          <w:rFonts w:eastAsiaTheme="minorHAnsi"/>
          <w:kern w:val="2"/>
          <w14:ligatures w14:val="standardContextual"/>
        </w:rPr>
        <w:t>. S</w:t>
      </w:r>
      <w:r w:rsidR="00FB66F1" w:rsidRPr="00662E20">
        <w:rPr>
          <w:rFonts w:eastAsiaTheme="minorHAnsi"/>
          <w:kern w:val="2"/>
          <w14:ligatures w14:val="standardContextual"/>
        </w:rPr>
        <w:t xml:space="preserve">ome saw IPM as environmentally beneficial and good for marketing, while others felt unrecognized. These issues </w:t>
      </w:r>
      <w:r w:rsidR="009B2737" w:rsidRPr="00662E20">
        <w:rPr>
          <w:rFonts w:eastAsiaTheme="minorHAnsi"/>
          <w:kern w:val="2"/>
          <w14:ligatures w14:val="standardContextual"/>
        </w:rPr>
        <w:t xml:space="preserve">were more </w:t>
      </w:r>
      <w:r w:rsidR="00FB66F1" w:rsidRPr="00662E20">
        <w:rPr>
          <w:rFonts w:eastAsiaTheme="minorHAnsi"/>
          <w:kern w:val="2"/>
          <w14:ligatures w14:val="standardContextual"/>
        </w:rPr>
        <w:t>prominent in perennial systems with year-round pests and high standards, increasing innovation costs (Gc et al., 2022).</w:t>
      </w:r>
    </w:p>
    <w:p w14:paraId="0E03B8B5" w14:textId="73B1E3CA" w:rsidR="00AD4746" w:rsidRPr="00470062" w:rsidRDefault="009B2737" w:rsidP="00470062">
      <w:pPr>
        <w:pStyle w:val="NormalWeb"/>
        <w:ind w:firstLine="720"/>
        <w:rPr>
          <w:color w:val="000000"/>
        </w:rPr>
      </w:pPr>
      <w:r w:rsidRPr="00662E20">
        <w:rPr>
          <w:color w:val="000000" w:themeColor="text1"/>
        </w:rPr>
        <w:t>The findings imply</w:t>
      </w:r>
      <w:r w:rsidR="002D5AB1" w:rsidRPr="00662E20">
        <w:rPr>
          <w:color w:val="000000" w:themeColor="text1"/>
        </w:rPr>
        <w:t xml:space="preserve"> that IPM adoption is influenced by technical, socio-economic, and communication factors. The qualitative research provided insights into growers’ experiences, revealing </w:t>
      </w:r>
      <w:r w:rsidR="00FA7A71">
        <w:rPr>
          <w:color w:val="000000" w:themeColor="text1"/>
        </w:rPr>
        <w:t xml:space="preserve">that </w:t>
      </w:r>
      <w:r w:rsidR="002D5AB1" w:rsidRPr="00662E20">
        <w:rPr>
          <w:color w:val="000000" w:themeColor="text1"/>
        </w:rPr>
        <w:t xml:space="preserve">their decision-making is shaped by practical concerns and systemic conditions. Growers evaluate IPM not just on science but also on perceived efficiency, ecological benefits, economic viability, and external factors like weather and regulations. Using Rogers’ </w:t>
      </w:r>
      <w:r w:rsidRPr="00662E20">
        <w:rPr>
          <w:color w:val="000000" w:themeColor="text1"/>
        </w:rPr>
        <w:t xml:space="preserve">DOI </w:t>
      </w:r>
      <w:r w:rsidR="002D5AB1" w:rsidRPr="00662E20">
        <w:rPr>
          <w:color w:val="000000" w:themeColor="text1"/>
        </w:rPr>
        <w:t xml:space="preserve">framework, the study </w:t>
      </w:r>
      <w:r w:rsidRPr="00662E20">
        <w:rPr>
          <w:color w:val="000000" w:themeColor="text1"/>
        </w:rPr>
        <w:t xml:space="preserve">found </w:t>
      </w:r>
      <w:r w:rsidR="00FA7A71">
        <w:rPr>
          <w:color w:val="000000" w:themeColor="text1"/>
        </w:rPr>
        <w:t xml:space="preserve">that </w:t>
      </w:r>
      <w:r w:rsidR="002D5AB1" w:rsidRPr="00662E20">
        <w:rPr>
          <w:color w:val="000000" w:themeColor="text1"/>
        </w:rPr>
        <w:t xml:space="preserve">relative advantage and compatibility with existing operations drive adoption. However, perceived complexity, especially regarding knowledge of implementation, acts as a barrier. Growers also noted a gap in effective IPM tools during harvest, when fruit is most vulnerable. </w:t>
      </w:r>
      <w:r w:rsidR="004B24F5" w:rsidRPr="004B24F5">
        <w:rPr>
          <w:color w:val="000000"/>
        </w:rPr>
        <w:t xml:space="preserve">Future research should focus on developing tools for pest management during harvest and conducting follow-up surveys to validate and generalize these insights. Negative perceptions of IPM’s observability and trialability emphasize the need for stronger information and communication channels among researchers, </w:t>
      </w:r>
      <w:r w:rsidR="004B24F5">
        <w:rPr>
          <w:color w:val="000000"/>
        </w:rPr>
        <w:t>e</w:t>
      </w:r>
      <w:r w:rsidR="004B24F5" w:rsidRPr="004B24F5">
        <w:rPr>
          <w:color w:val="000000"/>
        </w:rPr>
        <w:t>xtension agents, and growers. </w:t>
      </w:r>
      <w:r w:rsidR="00A17A8A" w:rsidRPr="00A17A8A">
        <w:rPr>
          <w:color w:val="000000"/>
        </w:rPr>
        <w:t>Extension educators can promote IPM adoption through on-farm demos, peer learning, and feedback systems that make practices more visible and trustworthy.</w:t>
      </w:r>
    </w:p>
    <w:p w14:paraId="5369E4DF" w14:textId="6AFD2F12" w:rsidR="00DB368F" w:rsidRPr="00662E20" w:rsidRDefault="00DB368F" w:rsidP="00AD4746">
      <w:pPr>
        <w:pStyle w:val="NormalWeb"/>
        <w:jc w:val="center"/>
        <w:rPr>
          <w:rFonts w:eastAsiaTheme="minorEastAsia"/>
          <w:color w:val="000000" w:themeColor="text1"/>
          <w:lang w:eastAsia="zh-TW"/>
        </w:rPr>
      </w:pPr>
      <w:r w:rsidRPr="00662E20">
        <w:rPr>
          <w:rFonts w:eastAsiaTheme="minorEastAsia"/>
          <w:b/>
          <w:bCs/>
          <w:color w:val="000000" w:themeColor="text1"/>
          <w:lang w:eastAsia="zh-TW"/>
        </w:rPr>
        <w:lastRenderedPageBreak/>
        <w:t>References</w:t>
      </w:r>
    </w:p>
    <w:p w14:paraId="727FF9E1" w14:textId="4978C68D" w:rsidR="00C826A9" w:rsidRPr="00662E20" w:rsidRDefault="00D82249" w:rsidP="00AD4746">
      <w:pPr>
        <w:pStyle w:val="Bibliography"/>
        <w:ind w:left="720" w:hanging="720"/>
      </w:pPr>
      <w:r w:rsidRPr="00662E20">
        <w:t xml:space="preserve">Angon, P. B., Mondal, S., Jahan, I., Datto, M., Antu, U. B., Ayshi, F. J., &amp; Islam, Md. S. (2023). Integrated pest management (IPM) in agriculture and its role in maintaining ecological balance and biodiversity. </w:t>
      </w:r>
      <w:r w:rsidRPr="00662E20">
        <w:rPr>
          <w:i/>
          <w:iCs/>
        </w:rPr>
        <w:t>Advances in Agriculture</w:t>
      </w:r>
      <w:r w:rsidRPr="00662E20">
        <w:t xml:space="preserve">, </w:t>
      </w:r>
      <w:r w:rsidRPr="00662E20">
        <w:rPr>
          <w:i/>
          <w:iCs/>
        </w:rPr>
        <w:t>2023</w:t>
      </w:r>
      <w:r w:rsidRPr="00662E20">
        <w:t xml:space="preserve">, 1–19. </w:t>
      </w:r>
      <w:hyperlink r:id="rId9" w:history="1">
        <w:r w:rsidRPr="00662E20">
          <w:rPr>
            <w:rStyle w:val="Hyperlink"/>
          </w:rPr>
          <w:t>https://doi.org/10.1155/2023/5546373</w:t>
        </w:r>
      </w:hyperlink>
    </w:p>
    <w:p w14:paraId="7C032707" w14:textId="77777777" w:rsidR="00D817FC" w:rsidRPr="00662E20" w:rsidRDefault="00D817FC" w:rsidP="00AD4746">
      <w:pPr>
        <w:spacing w:after="0" w:line="240" w:lineRule="auto"/>
        <w:ind w:left="720" w:hanging="720"/>
        <w:rPr>
          <w:rFonts w:ascii="Times New Roman" w:hAnsi="Times New Roman" w:cs="Times New Roman"/>
          <w:color w:val="1F1F1F"/>
          <w:lang w:eastAsia="zh-TW"/>
        </w:rPr>
      </w:pPr>
      <w:r w:rsidRPr="00662E20">
        <w:rPr>
          <w:rFonts w:ascii="Times New Roman" w:hAnsi="Times New Roman" w:cs="Times New Roman"/>
          <w:color w:val="1F1F1F"/>
        </w:rPr>
        <w:t xml:space="preserve">Archer, Thomas M. (2007). Using </w:t>
      </w:r>
      <w:r w:rsidRPr="00662E20">
        <w:rPr>
          <w:rFonts w:ascii="Times New Roman" w:hAnsi="Times New Roman" w:cs="Times New Roman"/>
          <w:color w:val="1F1F1F"/>
          <w:lang w:eastAsia="zh-TW"/>
        </w:rPr>
        <w:t>g</w:t>
      </w:r>
      <w:r w:rsidRPr="00662E20">
        <w:rPr>
          <w:rFonts w:ascii="Times New Roman" w:hAnsi="Times New Roman" w:cs="Times New Roman"/>
          <w:color w:val="1F1F1F"/>
        </w:rPr>
        <w:t>uidelines to support quality moderation of focus group interviews</w:t>
      </w:r>
      <w:r w:rsidRPr="00662E20">
        <w:rPr>
          <w:rFonts w:ascii="Times New Roman" w:hAnsi="Times New Roman" w:cs="Times New Roman"/>
          <w:color w:val="1F1F1F"/>
          <w:lang w:eastAsia="zh-TW"/>
        </w:rPr>
        <w:t>.</w:t>
      </w:r>
      <w:r w:rsidRPr="00662E20">
        <w:rPr>
          <w:rFonts w:ascii="Times New Roman" w:hAnsi="Times New Roman" w:cs="Times New Roman"/>
          <w:color w:val="1F1F1F"/>
        </w:rPr>
        <w:t> </w:t>
      </w:r>
      <w:r w:rsidRPr="00662E20">
        <w:rPr>
          <w:rFonts w:ascii="Times New Roman" w:hAnsi="Times New Roman" w:cs="Times New Roman"/>
          <w:i/>
          <w:iCs/>
          <w:color w:val="1F1F1F"/>
        </w:rPr>
        <w:t>Mid-Western Educational Researcher</w:t>
      </w:r>
      <w:r w:rsidRPr="00662E20">
        <w:rPr>
          <w:rFonts w:ascii="Times New Roman" w:hAnsi="Times New Roman" w:cs="Times New Roman"/>
          <w:color w:val="1F1F1F"/>
          <w:lang w:eastAsia="zh-TW"/>
        </w:rPr>
        <w:t>,</w:t>
      </w:r>
      <w:r w:rsidRPr="00662E20">
        <w:rPr>
          <w:rFonts w:ascii="Times New Roman" w:hAnsi="Times New Roman" w:cs="Times New Roman"/>
          <w:color w:val="1F1F1F"/>
        </w:rPr>
        <w:t xml:space="preserve"> </w:t>
      </w:r>
      <w:r w:rsidRPr="00662E20">
        <w:rPr>
          <w:rFonts w:ascii="Times New Roman" w:hAnsi="Times New Roman" w:cs="Times New Roman"/>
          <w:i/>
          <w:iCs/>
          <w:color w:val="1F1F1F"/>
        </w:rPr>
        <w:t>20</w:t>
      </w:r>
      <w:r w:rsidRPr="00662E20">
        <w:rPr>
          <w:rFonts w:ascii="Times New Roman" w:hAnsi="Times New Roman" w:cs="Times New Roman"/>
          <w:color w:val="1F1F1F"/>
          <w:lang w:eastAsia="zh-TW"/>
        </w:rPr>
        <w:t>(</w:t>
      </w:r>
      <w:r w:rsidRPr="00662E20">
        <w:rPr>
          <w:rFonts w:ascii="Times New Roman" w:hAnsi="Times New Roman" w:cs="Times New Roman"/>
          <w:color w:val="1F1F1F"/>
        </w:rPr>
        <w:t>1</w:t>
      </w:r>
      <w:r w:rsidRPr="00662E20">
        <w:rPr>
          <w:rFonts w:ascii="Times New Roman" w:hAnsi="Times New Roman" w:cs="Times New Roman"/>
          <w:color w:val="1F1F1F"/>
          <w:lang w:eastAsia="zh-TW"/>
        </w:rPr>
        <w:t>)</w:t>
      </w:r>
      <w:r w:rsidRPr="00662E20">
        <w:rPr>
          <w:rFonts w:ascii="Times New Roman" w:hAnsi="Times New Roman" w:cs="Times New Roman"/>
          <w:color w:val="1F1F1F"/>
        </w:rPr>
        <w:t xml:space="preserve">, </w:t>
      </w:r>
      <w:r w:rsidRPr="00662E20">
        <w:rPr>
          <w:rFonts w:ascii="Times New Roman" w:hAnsi="Times New Roman" w:cs="Times New Roman"/>
          <w:color w:val="1F1F1F"/>
          <w:lang w:eastAsia="zh-TW"/>
        </w:rPr>
        <w:t>1</w:t>
      </w:r>
      <w:r w:rsidRPr="00662E20">
        <w:rPr>
          <w:rFonts w:ascii="Times New Roman" w:hAnsi="Times New Roman" w:cs="Times New Roman"/>
          <w:color w:val="1F1F1F"/>
        </w:rPr>
        <w:t>0.</w:t>
      </w:r>
      <w:r w:rsidRPr="00662E20">
        <w:rPr>
          <w:rFonts w:ascii="Times New Roman" w:hAnsi="Times New Roman" w:cs="Times New Roman"/>
          <w:color w:val="1F1F1F"/>
          <w:lang w:eastAsia="zh-TW"/>
        </w:rPr>
        <w:t xml:space="preserve"> </w:t>
      </w:r>
      <w:hyperlink r:id="rId10" w:history="1">
        <w:r w:rsidRPr="00662E20">
          <w:rPr>
            <w:rStyle w:val="Hyperlink"/>
            <w:rFonts w:ascii="Times New Roman" w:hAnsi="Times New Roman" w:cs="Times New Roman"/>
          </w:rPr>
          <w:t>https://scholarworks.bgsu.edu/mwer/vol20/iss1/10</w:t>
        </w:r>
      </w:hyperlink>
      <w:r w:rsidRPr="00662E20">
        <w:rPr>
          <w:rFonts w:ascii="Times New Roman" w:hAnsi="Times New Roman" w:cs="Times New Roman"/>
          <w:color w:val="1F1F1F"/>
          <w:lang w:eastAsia="zh-TW"/>
        </w:rPr>
        <w:t xml:space="preserve"> </w:t>
      </w:r>
    </w:p>
    <w:p w14:paraId="0F2D9322" w14:textId="3965F893" w:rsidR="00C826A9" w:rsidRPr="00662E20" w:rsidRDefault="00D817FC" w:rsidP="00AD4746">
      <w:pPr>
        <w:pStyle w:val="NormalWeb"/>
        <w:spacing w:before="0" w:beforeAutospacing="0" w:after="0" w:afterAutospacing="0"/>
        <w:ind w:left="720" w:hanging="720"/>
        <w:rPr>
          <w:color w:val="000000"/>
        </w:rPr>
      </w:pPr>
      <w:r w:rsidRPr="00662E20">
        <w:rPr>
          <w:color w:val="000000" w:themeColor="text1"/>
        </w:rPr>
        <w:t>Bottrell</w:t>
      </w:r>
      <w:r w:rsidRPr="00662E20">
        <w:rPr>
          <w:color w:val="000000"/>
        </w:rPr>
        <w:t xml:space="preserve">, D. G., &amp; Schoenly, K. G. (2018). Integrated pest management for resource-limited farmers: challenges for achieving ecological, social and economic sustainability. </w:t>
      </w:r>
      <w:r w:rsidRPr="00662E20">
        <w:rPr>
          <w:i/>
          <w:iCs/>
          <w:color w:val="000000"/>
        </w:rPr>
        <w:t>The Journal of Agricultural Science</w:t>
      </w:r>
      <w:r w:rsidRPr="00662E20">
        <w:rPr>
          <w:color w:val="000000"/>
        </w:rPr>
        <w:t xml:space="preserve">, </w:t>
      </w:r>
      <w:r w:rsidRPr="00662E20">
        <w:rPr>
          <w:i/>
          <w:iCs/>
          <w:color w:val="000000"/>
        </w:rPr>
        <w:t>156</w:t>
      </w:r>
      <w:r w:rsidRPr="00662E20">
        <w:rPr>
          <w:color w:val="000000"/>
        </w:rPr>
        <w:t xml:space="preserve">(3), 408–426. </w:t>
      </w:r>
      <w:hyperlink r:id="rId11" w:history="1">
        <w:r w:rsidRPr="00662E20">
          <w:rPr>
            <w:rStyle w:val="Hyperlink"/>
          </w:rPr>
          <w:t>http://doi.org/10.1017/S0021859618000473</w:t>
        </w:r>
      </w:hyperlink>
      <w:r w:rsidRPr="00662E20">
        <w:rPr>
          <w:color w:val="000000"/>
        </w:rPr>
        <w:t xml:space="preserve">   </w:t>
      </w:r>
    </w:p>
    <w:p w14:paraId="05D59242" w14:textId="17FDE1B7" w:rsidR="004A56B0" w:rsidRPr="00662E20" w:rsidRDefault="00D817FC" w:rsidP="00AD4746">
      <w:pPr>
        <w:pStyle w:val="NormalWeb"/>
        <w:spacing w:before="0" w:beforeAutospacing="0" w:after="0" w:afterAutospacing="0"/>
        <w:ind w:left="720" w:hanging="720"/>
        <w:rPr>
          <w:color w:val="333333"/>
          <w:shd w:val="clear" w:color="auto" w:fill="FFFFFF"/>
        </w:rPr>
      </w:pPr>
      <w:r w:rsidRPr="00662E20">
        <w:rPr>
          <w:color w:val="333333"/>
          <w:shd w:val="clear" w:color="auto" w:fill="FFFFFF"/>
        </w:rPr>
        <w:t>Boyatzis, R. E. (1998).</w:t>
      </w:r>
      <w:r w:rsidRPr="00662E20">
        <w:rPr>
          <w:rStyle w:val="apple-converted-space"/>
          <w:rFonts w:eastAsiaTheme="majorEastAsia"/>
          <w:color w:val="333333"/>
          <w:shd w:val="clear" w:color="auto" w:fill="FFFFFF"/>
        </w:rPr>
        <w:t> </w:t>
      </w:r>
      <w:r w:rsidRPr="00662E20">
        <w:rPr>
          <w:rStyle w:val="Emphasis"/>
          <w:rFonts w:eastAsiaTheme="majorEastAsia"/>
          <w:color w:val="333333"/>
        </w:rPr>
        <w:t>Transforming qualitative information: Thematic analysis and code development.</w:t>
      </w:r>
      <w:r w:rsidRPr="00662E20">
        <w:rPr>
          <w:rStyle w:val="apple-converted-space"/>
          <w:rFonts w:eastAsiaTheme="majorEastAsia"/>
          <w:color w:val="333333"/>
          <w:shd w:val="clear" w:color="auto" w:fill="FFFFFF"/>
        </w:rPr>
        <w:t> </w:t>
      </w:r>
      <w:r w:rsidRPr="00662E20">
        <w:rPr>
          <w:color w:val="333333"/>
          <w:shd w:val="clear" w:color="auto" w:fill="FFFFFF"/>
        </w:rPr>
        <w:t>Sage Publications, Inc.</w:t>
      </w:r>
    </w:p>
    <w:p w14:paraId="5DAB44FE" w14:textId="77777777" w:rsidR="00D817FC" w:rsidRPr="00662E20" w:rsidRDefault="00D817FC" w:rsidP="00AD4746">
      <w:pPr>
        <w:pStyle w:val="NormalWeb"/>
        <w:spacing w:before="0" w:beforeAutospacing="0" w:after="0" w:afterAutospacing="0"/>
        <w:ind w:left="720" w:hanging="720"/>
        <w:rPr>
          <w:rStyle w:val="Hyperlink"/>
          <w:shd w:val="clear" w:color="auto" w:fill="FFFFFF"/>
        </w:rPr>
      </w:pPr>
      <w:r w:rsidRPr="00B6076D">
        <w:rPr>
          <w:color w:val="000000" w:themeColor="text1"/>
          <w:shd w:val="clear" w:color="auto" w:fill="FFFFFF"/>
          <w:lang w:val="pt-BR"/>
        </w:rPr>
        <w:t>Bueno</w:t>
      </w:r>
      <w:r w:rsidRPr="00B6076D">
        <w:rPr>
          <w:color w:val="212121"/>
          <w:shd w:val="clear" w:color="auto" w:fill="FFFFFF"/>
          <w:lang w:val="pt-BR"/>
        </w:rPr>
        <w:t xml:space="preserve">, A. F., Panizzi, A. R., Hunt, T. E., Dourado, P. M., Pitta, R. M., &amp; Gonçalves, J. (2021). </w:t>
      </w:r>
      <w:r w:rsidRPr="00662E20">
        <w:rPr>
          <w:color w:val="212121"/>
          <w:shd w:val="clear" w:color="auto" w:fill="FFFFFF"/>
        </w:rPr>
        <w:t>Challenges for adoption of integrated pest management (IPM): the soybean example.</w:t>
      </w:r>
      <w:r w:rsidRPr="00662E20">
        <w:rPr>
          <w:rStyle w:val="apple-converted-space"/>
          <w:rFonts w:eastAsiaTheme="majorEastAsia"/>
          <w:color w:val="212121"/>
          <w:shd w:val="clear" w:color="auto" w:fill="FFFFFF"/>
        </w:rPr>
        <w:t> </w:t>
      </w:r>
      <w:r w:rsidRPr="00662E20">
        <w:rPr>
          <w:i/>
          <w:iCs/>
          <w:color w:val="212121"/>
        </w:rPr>
        <w:t>Neotropical entomology</w:t>
      </w:r>
      <w:r w:rsidRPr="00662E20">
        <w:rPr>
          <w:color w:val="212121"/>
          <w:shd w:val="clear" w:color="auto" w:fill="FFFFFF"/>
        </w:rPr>
        <w:t>,</w:t>
      </w:r>
      <w:r w:rsidRPr="00662E20">
        <w:rPr>
          <w:rStyle w:val="apple-converted-space"/>
          <w:rFonts w:eastAsiaTheme="majorEastAsia"/>
          <w:color w:val="212121"/>
          <w:shd w:val="clear" w:color="auto" w:fill="FFFFFF"/>
        </w:rPr>
        <w:t> </w:t>
      </w:r>
      <w:r w:rsidRPr="00662E20">
        <w:rPr>
          <w:i/>
          <w:iCs/>
          <w:color w:val="212121"/>
        </w:rPr>
        <w:t>50</w:t>
      </w:r>
      <w:r w:rsidRPr="00662E20">
        <w:rPr>
          <w:color w:val="212121"/>
          <w:shd w:val="clear" w:color="auto" w:fill="FFFFFF"/>
        </w:rPr>
        <w:t xml:space="preserve">(1), 5–20. </w:t>
      </w:r>
      <w:r w:rsidRPr="00662E20">
        <w:rPr>
          <w:color w:val="212121"/>
          <w:shd w:val="clear" w:color="auto" w:fill="FFFFFF"/>
        </w:rPr>
        <w:fldChar w:fldCharType="begin"/>
      </w:r>
      <w:r w:rsidRPr="00662E20">
        <w:rPr>
          <w:color w:val="212121"/>
          <w:shd w:val="clear" w:color="auto" w:fill="FFFFFF"/>
        </w:rPr>
        <w:instrText>HYPERLINK "https://doi.org/10.1007/s13744-020-00792-9"</w:instrText>
      </w:r>
      <w:r w:rsidRPr="00662E20">
        <w:rPr>
          <w:color w:val="212121"/>
          <w:shd w:val="clear" w:color="auto" w:fill="FFFFFF"/>
        </w:rPr>
      </w:r>
      <w:r w:rsidRPr="00662E20">
        <w:rPr>
          <w:color w:val="212121"/>
          <w:shd w:val="clear" w:color="auto" w:fill="FFFFFF"/>
        </w:rPr>
        <w:fldChar w:fldCharType="separate"/>
      </w:r>
      <w:r w:rsidRPr="00662E20">
        <w:rPr>
          <w:rStyle w:val="Hyperlink"/>
          <w:shd w:val="clear" w:color="auto" w:fill="FFFFFF"/>
        </w:rPr>
        <w:t>https://doi.org/10.1007/s13744-020-00792-9</w:t>
      </w:r>
    </w:p>
    <w:p w14:paraId="1E62B5F1" w14:textId="162422E3" w:rsidR="003F38C8" w:rsidRPr="00662E20" w:rsidRDefault="00D817FC" w:rsidP="00AD4746">
      <w:pPr>
        <w:pStyle w:val="NormalWeb"/>
        <w:spacing w:before="0" w:beforeAutospacing="0" w:after="0" w:afterAutospacing="0"/>
        <w:ind w:left="720" w:hanging="720"/>
        <w:rPr>
          <w:color w:val="1F1F1F"/>
        </w:rPr>
      </w:pPr>
      <w:r w:rsidRPr="00662E20">
        <w:rPr>
          <w:color w:val="212121"/>
          <w:shd w:val="clear" w:color="auto" w:fill="FFFFFF"/>
        </w:rPr>
        <w:fldChar w:fldCharType="end"/>
      </w:r>
      <w:r w:rsidRPr="00662E20">
        <w:rPr>
          <w:color w:val="000000" w:themeColor="text1"/>
          <w:shd w:val="clear" w:color="auto" w:fill="FFFFFF"/>
        </w:rPr>
        <w:t>Creissen</w:t>
      </w:r>
      <w:r w:rsidRPr="00662E20">
        <w:rPr>
          <w:color w:val="000000" w:themeColor="text1"/>
        </w:rPr>
        <w:t xml:space="preserve">, </w:t>
      </w:r>
      <w:r w:rsidRPr="00662E20">
        <w:rPr>
          <w:color w:val="1F1F1F"/>
        </w:rPr>
        <w:t xml:space="preserve">H. E., Jones, P. J., Tranter, R. B., Girling, R. D., Jess, S., Burnett, F. J., Gaffney, M., Thorne, F. S., &amp; Kildea, S. (2021). Identifying the drivers and constraints to adoption of IPM among arable farmers in the UK and Ireland. </w:t>
      </w:r>
      <w:r w:rsidRPr="00662E20">
        <w:rPr>
          <w:i/>
          <w:iCs/>
          <w:color w:val="1F1F1F"/>
        </w:rPr>
        <w:t>Pest Management Science</w:t>
      </w:r>
      <w:r w:rsidRPr="00662E20">
        <w:rPr>
          <w:color w:val="1F1F1F"/>
        </w:rPr>
        <w:t xml:space="preserve">, </w:t>
      </w:r>
      <w:r w:rsidRPr="00662E20">
        <w:rPr>
          <w:i/>
          <w:iCs/>
          <w:color w:val="1F1F1F"/>
        </w:rPr>
        <w:t>77</w:t>
      </w:r>
      <w:r w:rsidRPr="00662E20">
        <w:rPr>
          <w:color w:val="1F1F1F"/>
        </w:rPr>
        <w:t>(9), 4148</w:t>
      </w:r>
      <w:r w:rsidRPr="00662E20">
        <w:t>–</w:t>
      </w:r>
      <w:r w:rsidRPr="00662E20">
        <w:rPr>
          <w:color w:val="1F1F1F"/>
        </w:rPr>
        <w:t xml:space="preserve">4158. </w:t>
      </w:r>
      <w:hyperlink r:id="rId12" w:history="1">
        <w:r w:rsidRPr="00662E20">
          <w:rPr>
            <w:rStyle w:val="Hyperlink"/>
          </w:rPr>
          <w:t>https://doi.org/10.1002/ps.6452</w:t>
        </w:r>
      </w:hyperlink>
      <w:r w:rsidRPr="00662E20">
        <w:rPr>
          <w:color w:val="1F1F1F"/>
        </w:rPr>
        <w:t xml:space="preserve"> </w:t>
      </w:r>
    </w:p>
    <w:p w14:paraId="0AD55F6A" w14:textId="035B2A26" w:rsidR="003F38C8" w:rsidRPr="00662E20" w:rsidRDefault="00D817FC" w:rsidP="00AD4746">
      <w:pPr>
        <w:pStyle w:val="NormalWeb"/>
        <w:spacing w:before="0" w:beforeAutospacing="0" w:after="0" w:afterAutospacing="0"/>
        <w:ind w:left="720" w:hanging="720"/>
      </w:pPr>
      <w:r w:rsidRPr="00662E20">
        <w:rPr>
          <w:rStyle w:val="s4"/>
          <w:rFonts w:eastAsiaTheme="majorEastAsia"/>
          <w:color w:val="000000" w:themeColor="text1"/>
        </w:rPr>
        <w:t xml:space="preserve">Dara, </w:t>
      </w:r>
      <w:r w:rsidRPr="00662E20">
        <w:rPr>
          <w:rStyle w:val="s4"/>
          <w:rFonts w:eastAsiaTheme="majorEastAsia"/>
          <w:color w:val="000000"/>
        </w:rPr>
        <w:t>S. K. (2019). The new integrated pest management Paradigm for the modern age.</w:t>
      </w:r>
      <w:r w:rsidRPr="00662E20">
        <w:rPr>
          <w:rStyle w:val="apple-converted-space"/>
          <w:rFonts w:eastAsiaTheme="majorEastAsia"/>
          <w:color w:val="000000"/>
        </w:rPr>
        <w:t> </w:t>
      </w:r>
      <w:r w:rsidRPr="00662E20">
        <w:rPr>
          <w:rStyle w:val="s10"/>
          <w:rFonts w:eastAsiaTheme="majorEastAsia"/>
          <w:i/>
          <w:iCs/>
          <w:color w:val="000000"/>
        </w:rPr>
        <w:t>Journal of Integrated Pest Management</w:t>
      </w:r>
      <w:r w:rsidRPr="00662E20">
        <w:rPr>
          <w:rStyle w:val="s4"/>
          <w:rFonts w:eastAsiaTheme="majorEastAsia"/>
          <w:color w:val="000000"/>
        </w:rPr>
        <w:t>,</w:t>
      </w:r>
      <w:r w:rsidRPr="00662E20">
        <w:rPr>
          <w:rStyle w:val="apple-converted-space"/>
          <w:rFonts w:eastAsiaTheme="majorEastAsia"/>
          <w:color w:val="000000"/>
        </w:rPr>
        <w:t> </w:t>
      </w:r>
      <w:r w:rsidRPr="00662E20">
        <w:rPr>
          <w:rStyle w:val="s10"/>
          <w:rFonts w:eastAsiaTheme="majorEastAsia"/>
          <w:i/>
          <w:iCs/>
          <w:color w:val="000000"/>
        </w:rPr>
        <w:t>10</w:t>
      </w:r>
      <w:r w:rsidRPr="00662E20">
        <w:rPr>
          <w:rStyle w:val="s4"/>
          <w:rFonts w:eastAsiaTheme="majorEastAsia"/>
          <w:color w:val="000000"/>
        </w:rPr>
        <w:t xml:space="preserve">(1). </w:t>
      </w:r>
      <w:r w:rsidRPr="00662E20">
        <w:rPr>
          <w:rFonts w:eastAsiaTheme="majorEastAsia"/>
        </w:rPr>
        <w:t>https://doi.org/10.1093/jipm/pmz010</w:t>
      </w:r>
    </w:p>
    <w:p w14:paraId="5AE51029" w14:textId="5B6CA974" w:rsidR="003F38C8" w:rsidRPr="00662E20" w:rsidRDefault="00D817FC" w:rsidP="00AD4746">
      <w:pPr>
        <w:pStyle w:val="s7"/>
        <w:spacing w:before="0" w:beforeAutospacing="0" w:after="0" w:afterAutospacing="0"/>
        <w:ind w:left="720" w:hanging="720"/>
        <w:rPr>
          <w:rFonts w:eastAsiaTheme="majorEastAsia"/>
          <w:color w:val="000000"/>
        </w:rPr>
      </w:pPr>
      <w:r w:rsidRPr="00662E20">
        <w:rPr>
          <w:rStyle w:val="s4"/>
          <w:rFonts w:eastAsiaTheme="majorEastAsia"/>
          <w:color w:val="000000" w:themeColor="text1"/>
        </w:rPr>
        <w:t xml:space="preserve">Day, </w:t>
      </w:r>
      <w:r w:rsidRPr="00662E20">
        <w:rPr>
          <w:rStyle w:val="s4"/>
          <w:rFonts w:eastAsiaTheme="majorEastAsia"/>
          <w:color w:val="000000"/>
        </w:rPr>
        <w:t>R.,</w:t>
      </w:r>
      <w:r w:rsidRPr="00662E20">
        <w:rPr>
          <w:rStyle w:val="apple-converted-space"/>
          <w:rFonts w:eastAsiaTheme="majorEastAsia"/>
          <w:color w:val="000000"/>
        </w:rPr>
        <w:t> </w:t>
      </w:r>
      <w:proofErr w:type="spellStart"/>
      <w:r w:rsidRPr="00662E20">
        <w:rPr>
          <w:rStyle w:val="s4"/>
          <w:rFonts w:eastAsiaTheme="majorEastAsia"/>
          <w:color w:val="000000"/>
        </w:rPr>
        <w:t>Haggblade</w:t>
      </w:r>
      <w:proofErr w:type="spellEnd"/>
      <w:r w:rsidRPr="00662E20">
        <w:rPr>
          <w:rStyle w:val="s4"/>
          <w:rFonts w:eastAsiaTheme="majorEastAsia"/>
          <w:color w:val="000000"/>
        </w:rPr>
        <w:t>, S.,</w:t>
      </w:r>
      <w:r w:rsidRPr="00662E20">
        <w:rPr>
          <w:rStyle w:val="apple-converted-space"/>
          <w:rFonts w:eastAsiaTheme="majorEastAsia"/>
          <w:color w:val="000000"/>
        </w:rPr>
        <w:t> </w:t>
      </w:r>
      <w:proofErr w:type="spellStart"/>
      <w:r w:rsidRPr="00662E20">
        <w:rPr>
          <w:rStyle w:val="s4"/>
          <w:rFonts w:eastAsiaTheme="majorEastAsia"/>
          <w:color w:val="000000"/>
        </w:rPr>
        <w:t>Moephuli</w:t>
      </w:r>
      <w:proofErr w:type="spellEnd"/>
      <w:r w:rsidRPr="00662E20">
        <w:rPr>
          <w:rStyle w:val="s4"/>
          <w:rFonts w:eastAsiaTheme="majorEastAsia"/>
          <w:color w:val="000000"/>
        </w:rPr>
        <w:t>, S.,</w:t>
      </w:r>
      <w:r w:rsidRPr="00662E20">
        <w:rPr>
          <w:rStyle w:val="apple-converted-space"/>
          <w:rFonts w:eastAsiaTheme="majorEastAsia"/>
          <w:color w:val="000000"/>
        </w:rPr>
        <w:t> </w:t>
      </w:r>
      <w:proofErr w:type="spellStart"/>
      <w:r w:rsidRPr="00662E20">
        <w:rPr>
          <w:rStyle w:val="s4"/>
          <w:rFonts w:eastAsiaTheme="majorEastAsia"/>
          <w:color w:val="000000"/>
        </w:rPr>
        <w:t>Mwang’ombe</w:t>
      </w:r>
      <w:proofErr w:type="spellEnd"/>
      <w:r w:rsidRPr="00662E20">
        <w:rPr>
          <w:rStyle w:val="s4"/>
          <w:rFonts w:eastAsiaTheme="majorEastAsia"/>
          <w:color w:val="000000"/>
        </w:rPr>
        <w:t>, A., &amp;</w:t>
      </w:r>
      <w:r w:rsidRPr="00662E20">
        <w:rPr>
          <w:rStyle w:val="apple-converted-space"/>
          <w:rFonts w:eastAsiaTheme="majorEastAsia"/>
          <w:color w:val="000000"/>
        </w:rPr>
        <w:t> </w:t>
      </w:r>
      <w:proofErr w:type="spellStart"/>
      <w:r w:rsidRPr="00662E20">
        <w:rPr>
          <w:rStyle w:val="s4"/>
          <w:rFonts w:eastAsiaTheme="majorEastAsia"/>
          <w:color w:val="000000"/>
        </w:rPr>
        <w:t>Nouala</w:t>
      </w:r>
      <w:proofErr w:type="spellEnd"/>
      <w:r w:rsidRPr="00662E20">
        <w:rPr>
          <w:rStyle w:val="s4"/>
          <w:rFonts w:eastAsiaTheme="majorEastAsia"/>
          <w:color w:val="000000"/>
        </w:rPr>
        <w:t>, S. (2022). Institutional and policy bottlenecks to IPM.</w:t>
      </w:r>
      <w:r w:rsidRPr="00662E20">
        <w:rPr>
          <w:rStyle w:val="apple-converted-space"/>
          <w:rFonts w:eastAsiaTheme="majorEastAsia"/>
          <w:color w:val="000000"/>
        </w:rPr>
        <w:t> </w:t>
      </w:r>
      <w:r w:rsidRPr="00662E20">
        <w:rPr>
          <w:rStyle w:val="s10"/>
          <w:rFonts w:eastAsiaTheme="majorEastAsia"/>
          <w:i/>
          <w:iCs/>
          <w:color w:val="000000"/>
        </w:rPr>
        <w:t>Current Opinion in Insect Science</w:t>
      </w:r>
      <w:r w:rsidRPr="00662E20">
        <w:rPr>
          <w:rStyle w:val="s4"/>
          <w:rFonts w:eastAsiaTheme="majorEastAsia"/>
          <w:color w:val="000000"/>
        </w:rPr>
        <w:t>,</w:t>
      </w:r>
      <w:r w:rsidRPr="00662E20">
        <w:rPr>
          <w:rStyle w:val="apple-converted-space"/>
          <w:rFonts w:eastAsiaTheme="majorEastAsia"/>
          <w:color w:val="000000"/>
        </w:rPr>
        <w:t> </w:t>
      </w:r>
      <w:r w:rsidRPr="00662E20">
        <w:rPr>
          <w:rStyle w:val="s10"/>
          <w:rFonts w:eastAsiaTheme="majorEastAsia"/>
          <w:i/>
          <w:iCs/>
          <w:color w:val="000000"/>
        </w:rPr>
        <w:t>52</w:t>
      </w:r>
      <w:r w:rsidRPr="00662E20">
        <w:rPr>
          <w:rStyle w:val="s4"/>
          <w:rFonts w:eastAsiaTheme="majorEastAsia"/>
          <w:color w:val="000000"/>
        </w:rPr>
        <w:t xml:space="preserve">, 100946. </w:t>
      </w:r>
      <w:hyperlink r:id="rId13" w:history="1">
        <w:r w:rsidRPr="00662E20">
          <w:rPr>
            <w:rStyle w:val="Hyperlink"/>
            <w:rFonts w:eastAsiaTheme="majorEastAsia"/>
          </w:rPr>
          <w:t>https://doi.org/10.1016/j.cois.2022.100946</w:t>
        </w:r>
      </w:hyperlink>
      <w:r w:rsidRPr="00662E20">
        <w:rPr>
          <w:rStyle w:val="s4"/>
          <w:rFonts w:eastAsiaTheme="majorEastAsia"/>
          <w:color w:val="000000"/>
        </w:rPr>
        <w:t xml:space="preserve"> </w:t>
      </w:r>
    </w:p>
    <w:p w14:paraId="10115FD9" w14:textId="77777777" w:rsidR="004A56B0" w:rsidRPr="00662E20" w:rsidRDefault="00D817FC" w:rsidP="00AD4746">
      <w:pPr>
        <w:spacing w:after="0" w:line="240" w:lineRule="auto"/>
        <w:ind w:left="720" w:hanging="720"/>
        <w:rPr>
          <w:rFonts w:ascii="Times New Roman" w:hAnsi="Times New Roman" w:cs="Times New Roman"/>
          <w:color w:val="1F1F1F"/>
          <w:lang w:val="pt-BR"/>
        </w:rPr>
      </w:pPr>
      <w:proofErr w:type="spellStart"/>
      <w:r w:rsidRPr="00662E20">
        <w:rPr>
          <w:rFonts w:ascii="Times New Roman" w:hAnsi="Times New Roman" w:cs="Times New Roman"/>
          <w:color w:val="000000" w:themeColor="text1"/>
        </w:rPr>
        <w:t>Deguine</w:t>
      </w:r>
      <w:proofErr w:type="spellEnd"/>
      <w:r w:rsidRPr="00662E20">
        <w:rPr>
          <w:rFonts w:ascii="Times New Roman" w:hAnsi="Times New Roman" w:cs="Times New Roman"/>
          <w:color w:val="000000" w:themeColor="text1"/>
        </w:rPr>
        <w:t>,</w:t>
      </w:r>
      <w:r w:rsidRPr="00662E20">
        <w:rPr>
          <w:rFonts w:ascii="Times New Roman" w:hAnsi="Times New Roman" w:cs="Times New Roman"/>
          <w:color w:val="1F1F1F"/>
        </w:rPr>
        <w:t xml:space="preserve"> J. P., </w:t>
      </w:r>
      <w:proofErr w:type="spellStart"/>
      <w:r w:rsidRPr="00662E20">
        <w:rPr>
          <w:rFonts w:ascii="Times New Roman" w:hAnsi="Times New Roman" w:cs="Times New Roman"/>
          <w:color w:val="1F1F1F"/>
        </w:rPr>
        <w:t>Aubertot</w:t>
      </w:r>
      <w:proofErr w:type="spellEnd"/>
      <w:r w:rsidRPr="00662E20">
        <w:rPr>
          <w:rFonts w:ascii="Times New Roman" w:hAnsi="Times New Roman" w:cs="Times New Roman"/>
          <w:color w:val="1F1F1F"/>
        </w:rPr>
        <w:t xml:space="preserve">, J. N., Flor, R. J., </w:t>
      </w:r>
      <w:proofErr w:type="spellStart"/>
      <w:r w:rsidRPr="00662E20">
        <w:rPr>
          <w:rFonts w:ascii="Times New Roman" w:hAnsi="Times New Roman" w:cs="Times New Roman"/>
          <w:color w:val="1F1F1F"/>
        </w:rPr>
        <w:t>Lescourret</w:t>
      </w:r>
      <w:proofErr w:type="spellEnd"/>
      <w:r w:rsidRPr="00662E20">
        <w:rPr>
          <w:rFonts w:ascii="Times New Roman" w:hAnsi="Times New Roman" w:cs="Times New Roman"/>
          <w:color w:val="1F1F1F"/>
        </w:rPr>
        <w:t xml:space="preserve">, F., </w:t>
      </w:r>
      <w:proofErr w:type="spellStart"/>
      <w:r w:rsidRPr="00662E20">
        <w:rPr>
          <w:rFonts w:ascii="Times New Roman" w:hAnsi="Times New Roman" w:cs="Times New Roman"/>
          <w:color w:val="1F1F1F"/>
        </w:rPr>
        <w:t>Wyckhuys</w:t>
      </w:r>
      <w:proofErr w:type="spellEnd"/>
      <w:r w:rsidRPr="00662E20">
        <w:rPr>
          <w:rFonts w:ascii="Times New Roman" w:hAnsi="Times New Roman" w:cs="Times New Roman"/>
          <w:color w:val="1F1F1F"/>
        </w:rPr>
        <w:t xml:space="preserve">, K. A., &amp; </w:t>
      </w:r>
      <w:proofErr w:type="spellStart"/>
      <w:r w:rsidRPr="00662E20">
        <w:rPr>
          <w:rFonts w:ascii="Times New Roman" w:hAnsi="Times New Roman" w:cs="Times New Roman"/>
          <w:color w:val="1F1F1F"/>
        </w:rPr>
        <w:t>Ratnadass</w:t>
      </w:r>
      <w:proofErr w:type="spellEnd"/>
      <w:r w:rsidRPr="00662E20">
        <w:rPr>
          <w:rFonts w:ascii="Times New Roman" w:hAnsi="Times New Roman" w:cs="Times New Roman"/>
          <w:color w:val="1F1F1F"/>
        </w:rPr>
        <w:t xml:space="preserve">, A. (2021). Integrated pest management: good intentions, hard realities. A review. </w:t>
      </w:r>
      <w:r w:rsidRPr="00662E20">
        <w:rPr>
          <w:rFonts w:ascii="Times New Roman" w:hAnsi="Times New Roman" w:cs="Times New Roman"/>
          <w:i/>
          <w:iCs/>
          <w:color w:val="1F1F1F"/>
        </w:rPr>
        <w:t>Agronomy for Sustainable Development</w:t>
      </w:r>
      <w:r w:rsidRPr="00662E20">
        <w:rPr>
          <w:rFonts w:ascii="Times New Roman" w:hAnsi="Times New Roman" w:cs="Times New Roman"/>
          <w:color w:val="1F1F1F"/>
        </w:rPr>
        <w:t xml:space="preserve">, </w:t>
      </w:r>
      <w:r w:rsidRPr="00662E20">
        <w:rPr>
          <w:rFonts w:ascii="Times New Roman" w:hAnsi="Times New Roman" w:cs="Times New Roman"/>
          <w:i/>
          <w:iCs/>
          <w:color w:val="1F1F1F"/>
        </w:rPr>
        <w:t>41</w:t>
      </w:r>
      <w:r w:rsidRPr="00662E20">
        <w:rPr>
          <w:rFonts w:ascii="Times New Roman" w:hAnsi="Times New Roman" w:cs="Times New Roman"/>
          <w:color w:val="1F1F1F"/>
        </w:rPr>
        <w:t xml:space="preserve">(3), 38. </w:t>
      </w:r>
      <w:hyperlink r:id="rId14" w:history="1">
        <w:r w:rsidRPr="00662E20">
          <w:rPr>
            <w:rStyle w:val="Hyperlink"/>
            <w:rFonts w:ascii="Times New Roman" w:hAnsi="Times New Roman" w:cs="Times New Roman"/>
            <w:lang w:val="pt-BR"/>
          </w:rPr>
          <w:t>https://doi.org/10.1007/s13593-021-00689-w</w:t>
        </w:r>
      </w:hyperlink>
    </w:p>
    <w:p w14:paraId="0793689E" w14:textId="63C4CDA0" w:rsidR="00D817FC" w:rsidRPr="00B6076D" w:rsidRDefault="00D817FC" w:rsidP="00AD4746">
      <w:pPr>
        <w:spacing w:after="0" w:line="240" w:lineRule="auto"/>
        <w:ind w:left="720" w:hanging="720"/>
        <w:rPr>
          <w:rFonts w:ascii="Times New Roman" w:hAnsi="Times New Roman" w:cs="Times New Roman"/>
          <w:color w:val="1F1F1F"/>
        </w:rPr>
      </w:pPr>
      <w:proofErr w:type="spellStart"/>
      <w:r w:rsidRPr="00662E20">
        <w:rPr>
          <w:rFonts w:ascii="Times New Roman" w:hAnsi="Times New Roman" w:cs="Times New Roman"/>
          <w:color w:val="000000" w:themeColor="text1"/>
          <w:lang w:val="pt-BR"/>
        </w:rPr>
        <w:t>Despotović</w:t>
      </w:r>
      <w:proofErr w:type="spellEnd"/>
      <w:r w:rsidRPr="00662E20">
        <w:rPr>
          <w:rFonts w:ascii="Times New Roman" w:hAnsi="Times New Roman" w:cs="Times New Roman"/>
          <w:color w:val="000000" w:themeColor="text1"/>
          <w:lang w:val="pt-BR"/>
        </w:rPr>
        <w:t xml:space="preserve">, </w:t>
      </w:r>
      <w:r w:rsidRPr="00662E20">
        <w:rPr>
          <w:rFonts w:ascii="Times New Roman" w:hAnsi="Times New Roman" w:cs="Times New Roman"/>
          <w:color w:val="1F1F1F"/>
          <w:lang w:val="pt-BR"/>
        </w:rPr>
        <w:t>J., </w:t>
      </w:r>
      <w:proofErr w:type="spellStart"/>
      <w:r w:rsidRPr="00662E20">
        <w:rPr>
          <w:rFonts w:ascii="Times New Roman" w:hAnsi="Times New Roman" w:cs="Times New Roman"/>
          <w:color w:val="1F1F1F"/>
          <w:lang w:val="pt-BR"/>
        </w:rPr>
        <w:t>Rodić</w:t>
      </w:r>
      <w:proofErr w:type="spellEnd"/>
      <w:r w:rsidRPr="00662E20">
        <w:rPr>
          <w:rFonts w:ascii="Times New Roman" w:hAnsi="Times New Roman" w:cs="Times New Roman"/>
          <w:color w:val="1F1F1F"/>
          <w:lang w:val="pt-BR"/>
        </w:rPr>
        <w:t>, V., </w:t>
      </w:r>
      <w:bookmarkStart w:id="1" w:name="bau3-profile"/>
      <w:r w:rsidRPr="00662E20">
        <w:rPr>
          <w:rFonts w:ascii="Times New Roman" w:hAnsi="Times New Roman" w:cs="Times New Roman"/>
          <w:color w:val="1F1F1F"/>
          <w:lang w:val="pt-BR"/>
        </w:rPr>
        <w:t xml:space="preserve">&amp; </w:t>
      </w:r>
      <w:proofErr w:type="spellStart"/>
      <w:r w:rsidRPr="00662E20">
        <w:rPr>
          <w:rFonts w:ascii="Times New Roman" w:hAnsi="Times New Roman" w:cs="Times New Roman"/>
          <w:color w:val="1F1F1F"/>
          <w:lang w:val="pt-BR"/>
        </w:rPr>
        <w:t>Caracciolo</w:t>
      </w:r>
      <w:bookmarkEnd w:id="1"/>
      <w:proofErr w:type="spellEnd"/>
      <w:r w:rsidRPr="00662E20">
        <w:rPr>
          <w:rFonts w:ascii="Times New Roman" w:hAnsi="Times New Roman" w:cs="Times New Roman"/>
          <w:color w:val="1F1F1F"/>
          <w:lang w:val="pt-BR"/>
        </w:rPr>
        <w:t xml:space="preserve">, F. (2019). </w:t>
      </w:r>
      <w:r w:rsidRPr="00662E20">
        <w:rPr>
          <w:rFonts w:ascii="Times New Roman" w:hAnsi="Times New Roman" w:cs="Times New Roman"/>
          <w:color w:val="1F1F1F"/>
        </w:rPr>
        <w:t xml:space="preserve">Factors affecting farmers’ adoption of integrated pest management in </w:t>
      </w:r>
      <w:proofErr w:type="spellStart"/>
      <w:r w:rsidRPr="00662E20">
        <w:rPr>
          <w:rFonts w:ascii="Times New Roman" w:hAnsi="Times New Roman" w:cs="Times New Roman"/>
          <w:color w:val="1F1F1F"/>
        </w:rPr>
        <w:t>Serbis</w:t>
      </w:r>
      <w:proofErr w:type="spellEnd"/>
      <w:r w:rsidRPr="00662E20">
        <w:rPr>
          <w:rFonts w:ascii="Times New Roman" w:hAnsi="Times New Roman" w:cs="Times New Roman"/>
          <w:color w:val="1F1F1F"/>
        </w:rPr>
        <w:t xml:space="preserve">: An application of the theory of planned behavior. </w:t>
      </w:r>
      <w:r w:rsidRPr="00662E20">
        <w:rPr>
          <w:rFonts w:ascii="Times New Roman" w:hAnsi="Times New Roman" w:cs="Times New Roman"/>
          <w:i/>
          <w:iCs/>
          <w:color w:val="1F1F1F"/>
        </w:rPr>
        <w:t>Journal of Cleaner Production, 228</w:t>
      </w:r>
      <w:r w:rsidRPr="00662E20">
        <w:rPr>
          <w:rFonts w:ascii="Times New Roman" w:hAnsi="Times New Roman" w:cs="Times New Roman"/>
          <w:color w:val="1F1F1F"/>
        </w:rPr>
        <w:t>(10), 1196</w:t>
      </w:r>
      <w:r w:rsidRPr="00662E20">
        <w:rPr>
          <w:rFonts w:ascii="Times New Roman" w:hAnsi="Times New Roman" w:cs="Times New Roman"/>
        </w:rPr>
        <w:t>–</w:t>
      </w:r>
      <w:r w:rsidRPr="00662E20">
        <w:rPr>
          <w:rFonts w:ascii="Times New Roman" w:hAnsi="Times New Roman" w:cs="Times New Roman"/>
          <w:color w:val="1F1F1F"/>
        </w:rPr>
        <w:t xml:space="preserve">1205. </w:t>
      </w:r>
      <w:hyperlink r:id="rId15" w:history="1">
        <w:r w:rsidRPr="00662E20">
          <w:rPr>
            <w:rStyle w:val="Hyperlink"/>
            <w:rFonts w:ascii="Times New Roman" w:hAnsi="Times New Roman" w:cs="Times New Roman"/>
          </w:rPr>
          <w:t>https://doi.org/10.1016/j.jclepro.2019.04.149</w:t>
        </w:r>
      </w:hyperlink>
    </w:p>
    <w:p w14:paraId="3D212D98" w14:textId="77777777" w:rsidR="00D817FC" w:rsidRPr="00662E20" w:rsidRDefault="00D817FC" w:rsidP="00AD4746">
      <w:pPr>
        <w:spacing w:after="0" w:line="240" w:lineRule="auto"/>
        <w:ind w:left="720" w:hanging="720"/>
        <w:rPr>
          <w:rFonts w:ascii="Times New Roman" w:hAnsi="Times New Roman" w:cs="Times New Roman"/>
          <w:color w:val="1F1F1F"/>
        </w:rPr>
      </w:pPr>
      <w:r w:rsidRPr="00662E20">
        <w:rPr>
          <w:rFonts w:ascii="Times New Roman" w:hAnsi="Times New Roman" w:cs="Times New Roman"/>
          <w:color w:val="000000" w:themeColor="text1"/>
        </w:rPr>
        <w:t>Devadoss</w:t>
      </w:r>
      <w:r w:rsidRPr="00662E20">
        <w:rPr>
          <w:rFonts w:ascii="Times New Roman" w:hAnsi="Times New Roman" w:cs="Times New Roman"/>
          <w:color w:val="1F1F1F"/>
        </w:rPr>
        <w:t xml:space="preserve">, S. (2021). Trends and challenges in fruit and tree nut sectors. </w:t>
      </w:r>
      <w:r w:rsidRPr="00662E20">
        <w:rPr>
          <w:rFonts w:ascii="Times New Roman" w:hAnsi="Times New Roman" w:cs="Times New Roman"/>
          <w:i/>
          <w:iCs/>
          <w:color w:val="1F1F1F"/>
        </w:rPr>
        <w:t>Choices</w:t>
      </w:r>
      <w:r w:rsidRPr="00662E20">
        <w:rPr>
          <w:rFonts w:ascii="Times New Roman" w:hAnsi="Times New Roman" w:cs="Times New Roman"/>
          <w:color w:val="1F1F1F"/>
        </w:rPr>
        <w:t xml:space="preserve">, </w:t>
      </w:r>
      <w:r w:rsidRPr="00662E20">
        <w:rPr>
          <w:rFonts w:ascii="Times New Roman" w:hAnsi="Times New Roman" w:cs="Times New Roman"/>
          <w:i/>
          <w:iCs/>
          <w:color w:val="1F1F1F"/>
        </w:rPr>
        <w:t>36</w:t>
      </w:r>
      <w:r w:rsidRPr="00662E20">
        <w:rPr>
          <w:rFonts w:ascii="Times New Roman" w:hAnsi="Times New Roman" w:cs="Times New Roman"/>
          <w:color w:val="1F1F1F"/>
        </w:rPr>
        <w:t>(2), 1</w:t>
      </w:r>
      <w:r w:rsidRPr="00662E20">
        <w:rPr>
          <w:rFonts w:ascii="Times New Roman" w:hAnsi="Times New Roman" w:cs="Times New Roman"/>
        </w:rPr>
        <w:t>–</w:t>
      </w:r>
      <w:r w:rsidRPr="00662E20">
        <w:rPr>
          <w:rFonts w:ascii="Times New Roman" w:hAnsi="Times New Roman" w:cs="Times New Roman"/>
          <w:color w:val="1F1F1F"/>
        </w:rPr>
        <w:t xml:space="preserve">3. </w:t>
      </w:r>
      <w:hyperlink r:id="rId16" w:history="1">
        <w:r w:rsidRPr="00662E20">
          <w:rPr>
            <w:rStyle w:val="Hyperlink"/>
            <w:rFonts w:ascii="Times New Roman" w:hAnsi="Times New Roman" w:cs="Times New Roman"/>
          </w:rPr>
          <w:t>https://www.jstor.org/stable/27098593</w:t>
        </w:r>
      </w:hyperlink>
    </w:p>
    <w:p w14:paraId="3CDF02E6" w14:textId="77777777" w:rsidR="00D817FC" w:rsidRPr="00662E20" w:rsidRDefault="00D817FC" w:rsidP="00AD4746">
      <w:pPr>
        <w:spacing w:after="0" w:line="240" w:lineRule="auto"/>
        <w:ind w:left="720" w:hanging="720"/>
        <w:rPr>
          <w:rFonts w:ascii="Times New Roman" w:hAnsi="Times New Roman" w:cs="Times New Roman"/>
          <w:color w:val="1F1F1F"/>
        </w:rPr>
      </w:pPr>
      <w:r w:rsidRPr="00662E20">
        <w:rPr>
          <w:rFonts w:ascii="Times New Roman" w:hAnsi="Times New Roman" w:cs="Times New Roman"/>
          <w:color w:val="000000" w:themeColor="text1"/>
        </w:rPr>
        <w:t>Fahad</w:t>
      </w:r>
      <w:r w:rsidRPr="00662E20">
        <w:rPr>
          <w:rFonts w:ascii="Times New Roman" w:hAnsi="Times New Roman" w:cs="Times New Roman"/>
          <w:color w:val="1F1F1F"/>
        </w:rPr>
        <w:t xml:space="preserve">, S., Wang, J., Hu, G., Wang, H., Yang, X., Shah, A. A., ... &amp; Bilal, A. (2018). Empirical analysis of factors influencing farmers crop insurance decisions in Pakistan: Evidence from Khyber Pakhtunkhwa province. </w:t>
      </w:r>
      <w:r w:rsidRPr="00662E20">
        <w:rPr>
          <w:rFonts w:ascii="Times New Roman" w:hAnsi="Times New Roman" w:cs="Times New Roman"/>
          <w:i/>
          <w:iCs/>
          <w:color w:val="1F1F1F"/>
        </w:rPr>
        <w:t>Land Use Policy</w:t>
      </w:r>
      <w:r w:rsidRPr="00662E20">
        <w:rPr>
          <w:rFonts w:ascii="Times New Roman" w:hAnsi="Times New Roman" w:cs="Times New Roman"/>
          <w:color w:val="1F1F1F"/>
        </w:rPr>
        <w:t xml:space="preserve">, </w:t>
      </w:r>
      <w:r w:rsidRPr="00662E20">
        <w:rPr>
          <w:rFonts w:ascii="Times New Roman" w:hAnsi="Times New Roman" w:cs="Times New Roman"/>
          <w:i/>
          <w:iCs/>
          <w:color w:val="1F1F1F"/>
        </w:rPr>
        <w:t>75</w:t>
      </w:r>
      <w:r w:rsidRPr="00662E20">
        <w:rPr>
          <w:rFonts w:ascii="Times New Roman" w:hAnsi="Times New Roman" w:cs="Times New Roman"/>
          <w:color w:val="1F1F1F"/>
        </w:rPr>
        <w:t>, 459</w:t>
      </w:r>
      <w:r w:rsidRPr="00662E20">
        <w:rPr>
          <w:rFonts w:ascii="Times New Roman" w:hAnsi="Times New Roman" w:cs="Times New Roman"/>
        </w:rPr>
        <w:t>–</w:t>
      </w:r>
      <w:r w:rsidRPr="00662E20">
        <w:rPr>
          <w:rFonts w:ascii="Times New Roman" w:hAnsi="Times New Roman" w:cs="Times New Roman"/>
          <w:color w:val="1F1F1F"/>
        </w:rPr>
        <w:t xml:space="preserve">467. </w:t>
      </w:r>
      <w:hyperlink r:id="rId17" w:tgtFrame="_blank" w:tooltip="Persistent link using digital object identifier" w:history="1">
        <w:r w:rsidRPr="00662E20">
          <w:rPr>
            <w:rStyle w:val="Hyperlink"/>
            <w:rFonts w:ascii="Times New Roman" w:hAnsi="Times New Roman" w:cs="Times New Roman"/>
          </w:rPr>
          <w:t>https://doi.org/10.1016/j.landusepol.2018.04.016</w:t>
        </w:r>
      </w:hyperlink>
    </w:p>
    <w:p w14:paraId="527F13DC" w14:textId="77777777" w:rsidR="00D817FC" w:rsidRPr="00662E20" w:rsidRDefault="00D817FC" w:rsidP="00AD4746">
      <w:pPr>
        <w:pStyle w:val="s7"/>
        <w:spacing w:before="0" w:beforeAutospacing="0" w:after="0" w:afterAutospacing="0"/>
        <w:ind w:left="720" w:hanging="720"/>
      </w:pPr>
      <w:r w:rsidRPr="00662E20">
        <w:rPr>
          <w:rStyle w:val="s4"/>
          <w:rFonts w:eastAsiaTheme="majorEastAsia"/>
          <w:color w:val="000000" w:themeColor="text1"/>
        </w:rPr>
        <w:t>Gc</w:t>
      </w:r>
      <w:r w:rsidRPr="00662E20">
        <w:rPr>
          <w:rStyle w:val="s4"/>
          <w:rFonts w:eastAsiaTheme="majorEastAsia"/>
          <w:color w:val="000000"/>
        </w:rPr>
        <w:t>, Y. D., Hadi, B. A. R., &amp;</w:t>
      </w:r>
      <w:r w:rsidRPr="00662E20">
        <w:rPr>
          <w:rStyle w:val="apple-converted-space"/>
          <w:rFonts w:eastAsiaTheme="majorEastAsia"/>
          <w:color w:val="000000"/>
        </w:rPr>
        <w:t> </w:t>
      </w:r>
      <w:proofErr w:type="spellStart"/>
      <w:r w:rsidRPr="00662E20">
        <w:rPr>
          <w:rStyle w:val="s4"/>
          <w:rFonts w:eastAsiaTheme="majorEastAsia"/>
          <w:color w:val="000000"/>
        </w:rPr>
        <w:t>Wyckhuys</w:t>
      </w:r>
      <w:proofErr w:type="spellEnd"/>
      <w:r w:rsidRPr="00662E20">
        <w:rPr>
          <w:rStyle w:val="s4"/>
          <w:rFonts w:eastAsiaTheme="majorEastAsia"/>
          <w:color w:val="000000"/>
        </w:rPr>
        <w:t>, K. A. G. (2022). Contrasting national plant protection needs, perceptions and techno-scientific capabilities in the Asia-Pacific Region.</w:t>
      </w:r>
      <w:r w:rsidRPr="00662E20">
        <w:rPr>
          <w:rStyle w:val="apple-converted-space"/>
          <w:rFonts w:eastAsiaTheme="majorEastAsia"/>
          <w:color w:val="000000"/>
        </w:rPr>
        <w:t> </w:t>
      </w:r>
      <w:r w:rsidRPr="00662E20">
        <w:rPr>
          <w:rStyle w:val="s10"/>
          <w:rFonts w:eastAsiaTheme="majorEastAsia"/>
          <w:i/>
          <w:iCs/>
          <w:color w:val="000000"/>
        </w:rPr>
        <w:t>Frontiers in Sustainable Food Systems</w:t>
      </w:r>
      <w:r w:rsidRPr="00662E20">
        <w:rPr>
          <w:rStyle w:val="s4"/>
          <w:rFonts w:eastAsiaTheme="majorEastAsia"/>
          <w:color w:val="000000"/>
        </w:rPr>
        <w:t>,</w:t>
      </w:r>
      <w:r w:rsidRPr="00662E20">
        <w:rPr>
          <w:rStyle w:val="apple-converted-space"/>
          <w:rFonts w:eastAsiaTheme="majorEastAsia"/>
          <w:color w:val="000000"/>
        </w:rPr>
        <w:t> </w:t>
      </w:r>
      <w:r w:rsidRPr="00662E20">
        <w:rPr>
          <w:rStyle w:val="s10"/>
          <w:rFonts w:eastAsiaTheme="majorEastAsia"/>
          <w:i/>
          <w:iCs/>
          <w:color w:val="000000"/>
        </w:rPr>
        <w:t>6</w:t>
      </w:r>
      <w:r w:rsidRPr="00662E20">
        <w:rPr>
          <w:rStyle w:val="s4"/>
          <w:rFonts w:eastAsiaTheme="majorEastAsia"/>
          <w:color w:val="000000"/>
        </w:rPr>
        <w:t xml:space="preserve">, 853359. </w:t>
      </w:r>
      <w:hyperlink r:id="rId18" w:history="1">
        <w:r w:rsidRPr="00662E20">
          <w:rPr>
            <w:rStyle w:val="Hyperlink"/>
            <w:rFonts w:eastAsiaTheme="majorEastAsia"/>
          </w:rPr>
          <w:t>https://doi.org/10.3389/fsufs.2022.853359</w:t>
        </w:r>
      </w:hyperlink>
    </w:p>
    <w:p w14:paraId="672F8FE7" w14:textId="77777777" w:rsidR="003F38C8" w:rsidRPr="00662E20" w:rsidRDefault="003F38C8" w:rsidP="00AD4746">
      <w:pPr>
        <w:pStyle w:val="s7"/>
        <w:spacing w:before="0" w:beforeAutospacing="0" w:after="0" w:afterAutospacing="0"/>
        <w:ind w:left="720" w:hanging="720"/>
      </w:pPr>
    </w:p>
    <w:p w14:paraId="0D6DCDD3" w14:textId="77777777" w:rsidR="00D817FC" w:rsidRPr="00662E20" w:rsidRDefault="00D817FC" w:rsidP="00AD4746">
      <w:pPr>
        <w:spacing w:after="0" w:line="240" w:lineRule="auto"/>
        <w:ind w:left="720" w:hanging="720"/>
        <w:rPr>
          <w:rFonts w:ascii="Times New Roman" w:hAnsi="Times New Roman" w:cs="Times New Roman"/>
          <w:color w:val="1F1F1F"/>
        </w:rPr>
      </w:pPr>
      <w:proofErr w:type="spellStart"/>
      <w:r w:rsidRPr="00662E20">
        <w:rPr>
          <w:rFonts w:ascii="Times New Roman" w:hAnsi="Times New Roman" w:cs="Times New Roman"/>
          <w:color w:val="000000" w:themeColor="text1"/>
        </w:rPr>
        <w:lastRenderedPageBreak/>
        <w:t>Grasswitz</w:t>
      </w:r>
      <w:proofErr w:type="spellEnd"/>
      <w:r w:rsidRPr="00662E20">
        <w:rPr>
          <w:rFonts w:ascii="Times New Roman" w:hAnsi="Times New Roman" w:cs="Times New Roman"/>
          <w:color w:val="1F1F1F"/>
        </w:rPr>
        <w:t xml:space="preserve">, T. R. (2019). Integrated pest management (IPM) for small-scale farms in developed economies: Challenges and opportunities. </w:t>
      </w:r>
      <w:r w:rsidRPr="00662E20">
        <w:rPr>
          <w:rFonts w:ascii="Times New Roman" w:hAnsi="Times New Roman" w:cs="Times New Roman"/>
          <w:i/>
          <w:iCs/>
          <w:color w:val="1F1F1F"/>
        </w:rPr>
        <w:t>Insects</w:t>
      </w:r>
      <w:r w:rsidRPr="00662E20">
        <w:rPr>
          <w:rFonts w:ascii="Times New Roman" w:hAnsi="Times New Roman" w:cs="Times New Roman"/>
          <w:color w:val="1F1F1F"/>
        </w:rPr>
        <w:t xml:space="preserve">, </w:t>
      </w:r>
      <w:r w:rsidRPr="00662E20">
        <w:rPr>
          <w:rFonts w:ascii="Times New Roman" w:hAnsi="Times New Roman" w:cs="Times New Roman"/>
          <w:i/>
          <w:iCs/>
          <w:color w:val="1F1F1F"/>
        </w:rPr>
        <w:t>10</w:t>
      </w:r>
      <w:r w:rsidRPr="00662E20">
        <w:rPr>
          <w:rFonts w:ascii="Times New Roman" w:hAnsi="Times New Roman" w:cs="Times New Roman"/>
          <w:color w:val="1F1F1F"/>
        </w:rPr>
        <w:t xml:space="preserve">(6), 179. </w:t>
      </w:r>
      <w:hyperlink r:id="rId19" w:history="1">
        <w:r w:rsidRPr="00662E20">
          <w:rPr>
            <w:rStyle w:val="Hyperlink"/>
            <w:rFonts w:ascii="Times New Roman" w:hAnsi="Times New Roman" w:cs="Times New Roman"/>
          </w:rPr>
          <w:t>https://doi.org/10.3390/insects10060179</w:t>
        </w:r>
      </w:hyperlink>
      <w:r w:rsidRPr="00662E20">
        <w:rPr>
          <w:rFonts w:ascii="Times New Roman" w:hAnsi="Times New Roman" w:cs="Times New Roman"/>
          <w:color w:val="1F1F1F"/>
        </w:rPr>
        <w:t xml:space="preserve"> </w:t>
      </w:r>
    </w:p>
    <w:p w14:paraId="50E77969" w14:textId="72ADA313" w:rsidR="003F38C8" w:rsidRPr="00662E20" w:rsidRDefault="00D817FC" w:rsidP="00AD4746">
      <w:pPr>
        <w:pStyle w:val="Bibliography"/>
        <w:ind w:left="720" w:hanging="720"/>
      </w:pPr>
      <w:r w:rsidRPr="00662E20">
        <w:rPr>
          <w:color w:val="000000" w:themeColor="text1"/>
        </w:rPr>
        <w:t>Greig</w:t>
      </w:r>
      <w:r w:rsidRPr="00662E20">
        <w:t xml:space="preserve">, J., Cavasos, K., Boyer, C., &amp; Schexnayder, S. (2023). Diffusion of innovation, internet access, and adoption barriers for precision livestock farming among beef producers. </w:t>
      </w:r>
      <w:r w:rsidRPr="00662E20">
        <w:rPr>
          <w:i/>
          <w:iCs/>
        </w:rPr>
        <w:t>Advancements in Agricultural Development</w:t>
      </w:r>
      <w:r w:rsidRPr="00662E20">
        <w:t xml:space="preserve">, </w:t>
      </w:r>
      <w:r w:rsidRPr="00662E20">
        <w:rPr>
          <w:i/>
          <w:iCs/>
        </w:rPr>
        <w:t>4</w:t>
      </w:r>
      <w:r w:rsidRPr="00662E20">
        <w:t xml:space="preserve">(3), 103–116. </w:t>
      </w:r>
      <w:hyperlink r:id="rId20" w:history="1">
        <w:r w:rsidRPr="00662E20">
          <w:rPr>
            <w:rStyle w:val="Hyperlink"/>
          </w:rPr>
          <w:t>https://doi.org/10.37433/aad.v4i3.329</w:t>
        </w:r>
      </w:hyperlink>
    </w:p>
    <w:p w14:paraId="1BC14FDB" w14:textId="77777777" w:rsidR="00D817FC" w:rsidRPr="00662E20" w:rsidRDefault="00D817FC" w:rsidP="00AD4746">
      <w:pPr>
        <w:spacing w:after="0" w:line="240" w:lineRule="auto"/>
        <w:ind w:left="720" w:hanging="720"/>
        <w:rPr>
          <w:rFonts w:ascii="Times New Roman" w:hAnsi="Times New Roman" w:cs="Times New Roman"/>
          <w:color w:val="1F1F1F"/>
        </w:rPr>
      </w:pPr>
      <w:r w:rsidRPr="00B6076D">
        <w:rPr>
          <w:rFonts w:ascii="Times New Roman" w:hAnsi="Times New Roman" w:cs="Times New Roman"/>
          <w:color w:val="000000" w:themeColor="text1"/>
        </w:rPr>
        <w:t>Han</w:t>
      </w:r>
      <w:r w:rsidRPr="00B6076D">
        <w:rPr>
          <w:rFonts w:ascii="Times New Roman" w:hAnsi="Times New Roman" w:cs="Times New Roman"/>
          <w:color w:val="1F1F1F"/>
        </w:rPr>
        <w:t xml:space="preserve">, P., Rodriguez-Saona, C., Zalucki, M.P., Liu, S.-S., &amp; </w:t>
      </w:r>
      <w:proofErr w:type="spellStart"/>
      <w:r w:rsidRPr="00B6076D">
        <w:rPr>
          <w:rFonts w:ascii="Times New Roman" w:hAnsi="Times New Roman" w:cs="Times New Roman"/>
          <w:color w:val="1F1F1F"/>
        </w:rPr>
        <w:t>Desneux</w:t>
      </w:r>
      <w:proofErr w:type="spellEnd"/>
      <w:r w:rsidRPr="00B6076D">
        <w:rPr>
          <w:rFonts w:ascii="Times New Roman" w:hAnsi="Times New Roman" w:cs="Times New Roman"/>
          <w:color w:val="1F1F1F"/>
        </w:rPr>
        <w:t>, N. (2024)</w:t>
      </w:r>
      <w:r w:rsidRPr="00B6076D">
        <w:rPr>
          <w:rFonts w:ascii="Times New Roman" w:hAnsi="Times New Roman" w:cs="Times New Roman"/>
          <w:i/>
          <w:iCs/>
          <w:color w:val="1F1F1F"/>
        </w:rPr>
        <w:t>.</w:t>
      </w:r>
      <w:r w:rsidRPr="00B6076D">
        <w:rPr>
          <w:rFonts w:ascii="Times New Roman" w:hAnsi="Times New Roman" w:cs="Times New Roman"/>
          <w:color w:val="1F1F1F"/>
        </w:rPr>
        <w:t> </w:t>
      </w:r>
      <w:r w:rsidRPr="00662E20">
        <w:rPr>
          <w:rFonts w:ascii="Times New Roman" w:hAnsi="Times New Roman" w:cs="Times New Roman"/>
          <w:color w:val="1F1F1F"/>
        </w:rPr>
        <w:t>A theoretical framework to improve the adoption of green Integrated Pest Management tactics. </w:t>
      </w:r>
      <w:r w:rsidRPr="00662E20">
        <w:rPr>
          <w:rFonts w:ascii="Times New Roman" w:hAnsi="Times New Roman" w:cs="Times New Roman"/>
          <w:i/>
          <w:iCs/>
          <w:color w:val="1F1F1F"/>
        </w:rPr>
        <w:t>Communications Biology 7</w:t>
      </w:r>
      <w:r w:rsidRPr="00662E20">
        <w:rPr>
          <w:rFonts w:ascii="Times New Roman" w:hAnsi="Times New Roman" w:cs="Times New Roman"/>
          <w:color w:val="1F1F1F"/>
        </w:rPr>
        <w:t xml:space="preserve">, 337. </w:t>
      </w:r>
      <w:hyperlink r:id="rId21" w:history="1">
        <w:r w:rsidRPr="00662E20">
          <w:rPr>
            <w:rStyle w:val="Hyperlink"/>
            <w:rFonts w:ascii="Times New Roman" w:hAnsi="Times New Roman" w:cs="Times New Roman"/>
          </w:rPr>
          <w:t>https://doi.org/10.1038/s42003-024-06027-6</w:t>
        </w:r>
      </w:hyperlink>
    </w:p>
    <w:p w14:paraId="622135EF" w14:textId="0A560B3D" w:rsidR="00D817FC" w:rsidRPr="00662E20" w:rsidRDefault="00D817FC" w:rsidP="00AD4746">
      <w:pPr>
        <w:spacing w:after="0" w:line="240" w:lineRule="auto"/>
        <w:ind w:left="720" w:hanging="720"/>
        <w:rPr>
          <w:rFonts w:ascii="Times New Roman" w:hAnsi="Times New Roman" w:cs="Times New Roman"/>
          <w:color w:val="1F1F1F"/>
        </w:rPr>
      </w:pPr>
      <w:r w:rsidRPr="00662E20">
        <w:rPr>
          <w:rFonts w:ascii="Times New Roman" w:hAnsi="Times New Roman" w:cs="Times New Roman"/>
          <w:color w:val="000000" w:themeColor="text1"/>
        </w:rPr>
        <w:t xml:space="preserve">Krueger, </w:t>
      </w:r>
      <w:r w:rsidRPr="00662E20">
        <w:rPr>
          <w:rFonts w:ascii="Times New Roman" w:hAnsi="Times New Roman" w:cs="Times New Roman"/>
          <w:color w:val="1F1F1F"/>
        </w:rPr>
        <w:t>R. A. (2014). </w:t>
      </w:r>
      <w:r w:rsidRPr="00662E20">
        <w:rPr>
          <w:rFonts w:ascii="Times New Roman" w:hAnsi="Times New Roman" w:cs="Times New Roman"/>
          <w:i/>
          <w:iCs/>
          <w:color w:val="1F1F1F"/>
        </w:rPr>
        <w:t>Focus groups: A practical guide for applied research</w:t>
      </w:r>
      <w:r w:rsidRPr="00662E20">
        <w:rPr>
          <w:rFonts w:ascii="Times New Roman" w:hAnsi="Times New Roman" w:cs="Times New Roman"/>
          <w:color w:val="1F1F1F"/>
        </w:rPr>
        <w:t>. Sage.</w:t>
      </w:r>
    </w:p>
    <w:p w14:paraId="5D68BBBF" w14:textId="21F9D5E4" w:rsidR="003F38C8" w:rsidRPr="00662E20" w:rsidRDefault="00D817FC" w:rsidP="00AD4746">
      <w:pPr>
        <w:pStyle w:val="Bibliography"/>
        <w:ind w:left="720" w:hanging="720"/>
      </w:pPr>
      <w:r w:rsidRPr="00662E20">
        <w:rPr>
          <w:color w:val="000000" w:themeColor="text1"/>
        </w:rPr>
        <w:t>Lane</w:t>
      </w:r>
      <w:r w:rsidRPr="00662E20">
        <w:t xml:space="preserve">, D. E., Walker, T. J., &amp; Grantham, D. G. (2023). IPM adoption and impacts in the United States. </w:t>
      </w:r>
      <w:r w:rsidRPr="00662E20">
        <w:rPr>
          <w:i/>
          <w:iCs/>
        </w:rPr>
        <w:t>Journal of Integrated Pest Management</w:t>
      </w:r>
      <w:r w:rsidRPr="00662E20">
        <w:t xml:space="preserve">, </w:t>
      </w:r>
      <w:r w:rsidRPr="00662E20">
        <w:rPr>
          <w:i/>
          <w:iCs/>
        </w:rPr>
        <w:t>14</w:t>
      </w:r>
      <w:r w:rsidRPr="00662E20">
        <w:t xml:space="preserve">(1), 1. </w:t>
      </w:r>
      <w:hyperlink r:id="rId22" w:history="1">
        <w:r w:rsidRPr="00662E20">
          <w:rPr>
            <w:rStyle w:val="Hyperlink"/>
          </w:rPr>
          <w:t>https://doi.org/10.1093/jipm/pmac028</w:t>
        </w:r>
      </w:hyperlink>
    </w:p>
    <w:p w14:paraId="54486DE1" w14:textId="088F3E2F" w:rsidR="003F38C8" w:rsidRPr="00662E20" w:rsidRDefault="00D817FC" w:rsidP="00AD4746">
      <w:pPr>
        <w:pStyle w:val="Bibliography"/>
        <w:ind w:left="720" w:hanging="720"/>
      </w:pPr>
      <w:r w:rsidRPr="00662E20">
        <w:rPr>
          <w:color w:val="000000" w:themeColor="text1"/>
        </w:rPr>
        <w:t xml:space="preserve">Lavoie, </w:t>
      </w:r>
      <w:r w:rsidRPr="00662E20">
        <w:t xml:space="preserve">A. L., </w:t>
      </w:r>
      <w:proofErr w:type="spellStart"/>
      <w:r w:rsidRPr="00662E20">
        <w:t>Dentzman</w:t>
      </w:r>
      <w:proofErr w:type="spellEnd"/>
      <w:r w:rsidRPr="00662E20">
        <w:t xml:space="preserve">, K., &amp; </w:t>
      </w:r>
      <w:proofErr w:type="spellStart"/>
      <w:r w:rsidRPr="00662E20">
        <w:t>Wardropper</w:t>
      </w:r>
      <w:proofErr w:type="spellEnd"/>
      <w:r w:rsidRPr="00662E20">
        <w:t xml:space="preserve">, C. B. (2021). Using diffusion of innovations theory to understand agricultural producer perspectives on cover cropping in the inland Pacific Northwest, USA. </w:t>
      </w:r>
      <w:r w:rsidRPr="00662E20">
        <w:rPr>
          <w:i/>
          <w:iCs/>
        </w:rPr>
        <w:t>Renewable Agriculture and Food Systems</w:t>
      </w:r>
      <w:r w:rsidRPr="00662E20">
        <w:t xml:space="preserve">, </w:t>
      </w:r>
      <w:r w:rsidRPr="00662E20">
        <w:rPr>
          <w:i/>
          <w:iCs/>
        </w:rPr>
        <w:t>36</w:t>
      </w:r>
      <w:r w:rsidRPr="00662E20">
        <w:t xml:space="preserve">(4), 384–395. </w:t>
      </w:r>
      <w:hyperlink r:id="rId23" w:history="1">
        <w:r w:rsidRPr="00662E20">
          <w:rPr>
            <w:rStyle w:val="Hyperlink"/>
          </w:rPr>
          <w:t>https://doi.org/10.1017/S1742170520000423</w:t>
        </w:r>
      </w:hyperlink>
    </w:p>
    <w:p w14:paraId="164BAEEC" w14:textId="686DBCE6" w:rsidR="003F38C8" w:rsidRPr="00662E20" w:rsidRDefault="00D817FC" w:rsidP="00AD4746">
      <w:pPr>
        <w:pStyle w:val="Bibliography"/>
        <w:ind w:left="720" w:hanging="720"/>
      </w:pPr>
      <w:r w:rsidRPr="00662E20">
        <w:rPr>
          <w:color w:val="000000" w:themeColor="text1"/>
        </w:rPr>
        <w:t>Lee</w:t>
      </w:r>
      <w:r w:rsidRPr="00662E20">
        <w:t>, C.-L., Strong, R., &amp; Dooley, K. E. (2021). Analyzing precision agriculture adoption across the globe:</w:t>
      </w:r>
      <w:r w:rsidR="008F41CA">
        <w:t xml:space="preserve"> </w:t>
      </w:r>
      <w:r w:rsidRPr="00662E20">
        <w:t xml:space="preserve">A systematic review of scholarship from 1999–2020. </w:t>
      </w:r>
      <w:r w:rsidRPr="00662E20">
        <w:rPr>
          <w:i/>
        </w:rPr>
        <w:t>Sustainability, 13</w:t>
      </w:r>
      <w:r w:rsidRPr="00662E20">
        <w:t xml:space="preserve">(18), 1–15. </w:t>
      </w:r>
      <w:hyperlink r:id="rId24" w:history="1">
        <w:r w:rsidRPr="00662E20">
          <w:rPr>
            <w:rStyle w:val="Hyperlink"/>
            <w:rFonts w:eastAsiaTheme="majorEastAsia"/>
          </w:rPr>
          <w:t>https://doi.org/10.3390/su131810295</w:t>
        </w:r>
      </w:hyperlink>
    </w:p>
    <w:p w14:paraId="5D94FFF5" w14:textId="1B1BA2C2" w:rsidR="003F38C8" w:rsidRPr="00662E20" w:rsidRDefault="00D817FC" w:rsidP="00AD4746">
      <w:pPr>
        <w:pStyle w:val="Bibliography"/>
        <w:ind w:left="720" w:hanging="720"/>
      </w:pPr>
      <w:r w:rsidRPr="00662E20">
        <w:rPr>
          <w:color w:val="000000" w:themeColor="text1"/>
        </w:rPr>
        <w:t xml:space="preserve">Lee, </w:t>
      </w:r>
      <w:r w:rsidRPr="00662E20">
        <w:t xml:space="preserve">G., Sawadogo‐Compaoré, E. M. F. W., </w:t>
      </w:r>
      <w:proofErr w:type="spellStart"/>
      <w:r w:rsidRPr="00662E20">
        <w:t>Ikazaki</w:t>
      </w:r>
      <w:proofErr w:type="spellEnd"/>
      <w:r w:rsidRPr="00662E20">
        <w:t xml:space="preserve">, K., &amp; Muraoka, R. (2025). The adoption and dissemination of soil conservation technologies among sorghum farmers in Burkina Faso: Perspectives on innovation, network, and risk aversion. </w:t>
      </w:r>
      <w:r w:rsidRPr="00662E20">
        <w:rPr>
          <w:i/>
          <w:iCs/>
        </w:rPr>
        <w:t>Land Degradation &amp; Development</w:t>
      </w:r>
      <w:r w:rsidRPr="00662E20">
        <w:t xml:space="preserve">, 0, 1–16. </w:t>
      </w:r>
      <w:hyperlink r:id="rId25" w:history="1">
        <w:r w:rsidRPr="00662E20">
          <w:rPr>
            <w:rStyle w:val="Hyperlink"/>
          </w:rPr>
          <w:t>https://doi.org/10.1002/ldr.70136</w:t>
        </w:r>
      </w:hyperlink>
    </w:p>
    <w:p w14:paraId="4FCAE7DD" w14:textId="77777777" w:rsidR="007764BB" w:rsidRPr="00662E20" w:rsidRDefault="00D817FC" w:rsidP="00AD4746">
      <w:pPr>
        <w:spacing w:after="0" w:line="240" w:lineRule="auto"/>
        <w:ind w:left="720" w:hanging="720"/>
        <w:rPr>
          <w:rFonts w:ascii="Times New Roman" w:hAnsi="Times New Roman" w:cs="Times New Roman"/>
          <w:color w:val="1B1B1B"/>
          <w:shd w:val="clear" w:color="auto" w:fill="FFFFFF"/>
        </w:rPr>
      </w:pPr>
      <w:r w:rsidRPr="00662E20">
        <w:rPr>
          <w:rFonts w:ascii="Times New Roman" w:hAnsi="Times New Roman" w:cs="Times New Roman"/>
          <w:color w:val="000000" w:themeColor="text1"/>
          <w:shd w:val="clear" w:color="auto" w:fill="FFFFFF"/>
        </w:rPr>
        <w:t>Lewis</w:t>
      </w:r>
      <w:r w:rsidRPr="00662E20">
        <w:rPr>
          <w:rFonts w:ascii="Times New Roman" w:hAnsi="Times New Roman" w:cs="Times New Roman"/>
          <w:color w:val="1B1B1B"/>
          <w:shd w:val="clear" w:color="auto" w:fill="FFFFFF"/>
        </w:rPr>
        <w:t xml:space="preserve">, W. J., van </w:t>
      </w:r>
      <w:proofErr w:type="spellStart"/>
      <w:r w:rsidRPr="00662E20">
        <w:rPr>
          <w:rFonts w:ascii="Times New Roman" w:hAnsi="Times New Roman" w:cs="Times New Roman"/>
          <w:color w:val="1B1B1B"/>
          <w:shd w:val="clear" w:color="auto" w:fill="FFFFFF"/>
        </w:rPr>
        <w:t>Lenteren</w:t>
      </w:r>
      <w:proofErr w:type="spellEnd"/>
      <w:r w:rsidRPr="00662E20">
        <w:rPr>
          <w:rFonts w:ascii="Times New Roman" w:hAnsi="Times New Roman" w:cs="Times New Roman"/>
          <w:color w:val="1B1B1B"/>
          <w:shd w:val="clear" w:color="auto" w:fill="FFFFFF"/>
        </w:rPr>
        <w:t>, J. C., Phatak, S. C., &amp; Tumlinson, J. H., 3rd (1997). A total system approach to sustainable pest management.</w:t>
      </w:r>
      <w:r w:rsidRPr="00662E20">
        <w:rPr>
          <w:rStyle w:val="apple-converted-space"/>
          <w:rFonts w:ascii="Times New Roman" w:eastAsiaTheme="majorEastAsia" w:hAnsi="Times New Roman" w:cs="Times New Roman"/>
          <w:color w:val="1B1B1B"/>
          <w:shd w:val="clear" w:color="auto" w:fill="FFFFFF"/>
        </w:rPr>
        <w:t> </w:t>
      </w:r>
      <w:r w:rsidRPr="00662E20">
        <w:rPr>
          <w:rFonts w:ascii="Times New Roman" w:hAnsi="Times New Roman" w:cs="Times New Roman"/>
          <w:i/>
          <w:iCs/>
          <w:color w:val="1B1B1B"/>
        </w:rPr>
        <w:t>Proceedings of the National Academy of Sciences of the United States of America</w:t>
      </w:r>
      <w:r w:rsidRPr="00662E20">
        <w:rPr>
          <w:rFonts w:ascii="Times New Roman" w:hAnsi="Times New Roman" w:cs="Times New Roman"/>
          <w:color w:val="1B1B1B"/>
          <w:shd w:val="clear" w:color="auto" w:fill="FFFFFF"/>
        </w:rPr>
        <w:t>,</w:t>
      </w:r>
      <w:r w:rsidRPr="00662E20">
        <w:rPr>
          <w:rStyle w:val="apple-converted-space"/>
          <w:rFonts w:ascii="Times New Roman" w:eastAsiaTheme="majorEastAsia" w:hAnsi="Times New Roman" w:cs="Times New Roman"/>
          <w:color w:val="1B1B1B"/>
          <w:shd w:val="clear" w:color="auto" w:fill="FFFFFF"/>
        </w:rPr>
        <w:t> </w:t>
      </w:r>
      <w:r w:rsidRPr="00662E20">
        <w:rPr>
          <w:rFonts w:ascii="Times New Roman" w:hAnsi="Times New Roman" w:cs="Times New Roman"/>
          <w:i/>
          <w:iCs/>
          <w:color w:val="1B1B1B"/>
        </w:rPr>
        <w:t>94</w:t>
      </w:r>
      <w:r w:rsidRPr="00662E20">
        <w:rPr>
          <w:rFonts w:ascii="Times New Roman" w:hAnsi="Times New Roman" w:cs="Times New Roman"/>
          <w:color w:val="1B1B1B"/>
          <w:shd w:val="clear" w:color="auto" w:fill="FFFFFF"/>
        </w:rPr>
        <w:t xml:space="preserve">(23), 12243–12248. </w:t>
      </w:r>
    </w:p>
    <w:p w14:paraId="273402D8" w14:textId="0E3FB516" w:rsidR="007764BB" w:rsidRPr="00662E20" w:rsidRDefault="007764BB" w:rsidP="00AD4746">
      <w:pPr>
        <w:spacing w:after="0" w:line="240" w:lineRule="auto"/>
        <w:ind w:left="720" w:hanging="720"/>
        <w:rPr>
          <w:rFonts w:ascii="Times New Roman" w:hAnsi="Times New Roman" w:cs="Times New Roman"/>
          <w:color w:val="1B1B1B"/>
          <w:shd w:val="clear" w:color="auto" w:fill="FFFFFF"/>
        </w:rPr>
      </w:pPr>
      <w:r w:rsidRPr="00662E20">
        <w:rPr>
          <w:rFonts w:ascii="Times New Roman" w:hAnsi="Times New Roman" w:cs="Times New Roman"/>
          <w:color w:val="000000" w:themeColor="text1"/>
        </w:rPr>
        <w:t>Lincoln, Y.S. and E. G. Guba. 2002. Judging the quality of case study reports, p. 205–216. In: A.M. Huberman and M.B. Miles (eds.) The qualitative researcher’s companion. Sage Publ., Thousand Oaks, C.A. https://doi.org/10.1073/pnas.94.23.12243</w:t>
      </w:r>
    </w:p>
    <w:p w14:paraId="1103ACAC" w14:textId="34E3EE26" w:rsidR="00D817FC" w:rsidRPr="00662E20" w:rsidRDefault="00D817FC" w:rsidP="00AD4746">
      <w:pPr>
        <w:spacing w:after="0" w:line="240" w:lineRule="auto"/>
        <w:ind w:left="720" w:hanging="720"/>
        <w:rPr>
          <w:rFonts w:ascii="Times New Roman" w:hAnsi="Times New Roman" w:cs="Times New Roman"/>
        </w:rPr>
      </w:pPr>
      <w:r w:rsidRPr="00662E20">
        <w:rPr>
          <w:rFonts w:ascii="Times New Roman" w:hAnsi="Times New Roman" w:cs="Times New Roman"/>
          <w:color w:val="000000" w:themeColor="text1"/>
        </w:rPr>
        <w:t>Marinko</w:t>
      </w:r>
      <w:r w:rsidRPr="00662E20">
        <w:rPr>
          <w:rFonts w:ascii="Times New Roman" w:hAnsi="Times New Roman" w:cs="Times New Roman"/>
        </w:rPr>
        <w:t xml:space="preserve">, J., </w:t>
      </w:r>
      <w:proofErr w:type="spellStart"/>
      <w:r w:rsidRPr="00662E20">
        <w:rPr>
          <w:rFonts w:ascii="Times New Roman" w:hAnsi="Times New Roman" w:cs="Times New Roman"/>
        </w:rPr>
        <w:t>Ivanovska</w:t>
      </w:r>
      <w:proofErr w:type="spellEnd"/>
      <w:r w:rsidRPr="00662E20">
        <w:rPr>
          <w:rFonts w:ascii="Times New Roman" w:hAnsi="Times New Roman" w:cs="Times New Roman"/>
        </w:rPr>
        <w:t xml:space="preserve">, A., </w:t>
      </w:r>
      <w:proofErr w:type="spellStart"/>
      <w:r w:rsidRPr="00662E20">
        <w:rPr>
          <w:rFonts w:ascii="Times New Roman" w:hAnsi="Times New Roman" w:cs="Times New Roman"/>
        </w:rPr>
        <w:t>Marzidovšek</w:t>
      </w:r>
      <w:proofErr w:type="spellEnd"/>
      <w:r w:rsidRPr="00662E20">
        <w:rPr>
          <w:rFonts w:ascii="Times New Roman" w:hAnsi="Times New Roman" w:cs="Times New Roman"/>
        </w:rPr>
        <w:t>, M., Ramsden, M., &amp; Debeljak, M. (2023). Incentives and barriers to adoption of decision support systems in integrated pest management among farmers and farm advisors in Europe. </w:t>
      </w:r>
      <w:r w:rsidRPr="00662E20">
        <w:rPr>
          <w:rFonts w:ascii="Times New Roman" w:hAnsi="Times New Roman" w:cs="Times New Roman"/>
          <w:i/>
          <w:iCs/>
        </w:rPr>
        <w:t>International Journal of Pest Management</w:t>
      </w:r>
      <w:r w:rsidRPr="00662E20">
        <w:rPr>
          <w:rFonts w:ascii="Times New Roman" w:hAnsi="Times New Roman" w:cs="Times New Roman"/>
        </w:rPr>
        <w:t>, </w:t>
      </w:r>
      <w:r w:rsidRPr="00662E20">
        <w:rPr>
          <w:rFonts w:ascii="Times New Roman" w:hAnsi="Times New Roman" w:cs="Times New Roman"/>
          <w:i/>
          <w:iCs/>
        </w:rPr>
        <w:t>71</w:t>
      </w:r>
      <w:r w:rsidRPr="00662E20">
        <w:rPr>
          <w:rFonts w:ascii="Times New Roman" w:hAnsi="Times New Roman" w:cs="Times New Roman"/>
        </w:rPr>
        <w:t xml:space="preserve">(3), 449–468. </w:t>
      </w:r>
      <w:hyperlink r:id="rId26" w:history="1">
        <w:r w:rsidRPr="00662E20">
          <w:rPr>
            <w:rStyle w:val="Hyperlink"/>
            <w:rFonts w:ascii="Times New Roman" w:hAnsi="Times New Roman" w:cs="Times New Roman"/>
          </w:rPr>
          <w:t>https://doi.org/10.1080/09670874.2023.2244912</w:t>
        </w:r>
      </w:hyperlink>
    </w:p>
    <w:p w14:paraId="7C674226" w14:textId="3D12C0D8" w:rsidR="003F38C8" w:rsidRDefault="0064389D" w:rsidP="00AD4746">
      <w:pPr>
        <w:pStyle w:val="Bibliography"/>
        <w:ind w:left="720" w:hanging="720"/>
      </w:pPr>
      <w:proofErr w:type="spellStart"/>
      <w:r w:rsidRPr="00662E20">
        <w:t>Moutsaras</w:t>
      </w:r>
      <w:proofErr w:type="spellEnd"/>
      <w:r w:rsidRPr="00662E20">
        <w:t xml:space="preserve">, E., </w:t>
      </w:r>
      <w:proofErr w:type="spellStart"/>
      <w:r w:rsidRPr="00662E20">
        <w:t>Gerasimatou</w:t>
      </w:r>
      <w:proofErr w:type="spellEnd"/>
      <w:r w:rsidRPr="00662E20">
        <w:t xml:space="preserve">, A., Antonopoulos, A., </w:t>
      </w:r>
      <w:proofErr w:type="spellStart"/>
      <w:r w:rsidRPr="00662E20">
        <w:t>Panopoulou</w:t>
      </w:r>
      <w:proofErr w:type="spellEnd"/>
      <w:r w:rsidRPr="00662E20">
        <w:t xml:space="preserve">, C., Lazarakis, D., &amp; Tsagkarakis, A. (2025). Entomopathogenic nematodes for sustainable thrips control in nectarine cultivation: Efficacy, pollinator safety, and integrated pest management Strategies. </w:t>
      </w:r>
      <w:r w:rsidRPr="00662E20">
        <w:rPr>
          <w:i/>
          <w:iCs/>
        </w:rPr>
        <w:t>Agronomy</w:t>
      </w:r>
      <w:r w:rsidRPr="00662E20">
        <w:t xml:space="preserve">, </w:t>
      </w:r>
      <w:r w:rsidRPr="00662E20">
        <w:rPr>
          <w:i/>
          <w:iCs/>
        </w:rPr>
        <w:t>15</w:t>
      </w:r>
      <w:r w:rsidRPr="00662E20">
        <w:t xml:space="preserve">(3), 627. </w:t>
      </w:r>
      <w:hyperlink r:id="rId27" w:history="1">
        <w:r w:rsidRPr="00662E20">
          <w:rPr>
            <w:rStyle w:val="Hyperlink"/>
          </w:rPr>
          <w:t>https://doi.org/10.3390/agronomy15030627</w:t>
        </w:r>
      </w:hyperlink>
    </w:p>
    <w:p w14:paraId="05128193" w14:textId="09333BC1" w:rsidR="00DD09A5" w:rsidRPr="00DD09A5" w:rsidRDefault="00DD09A5" w:rsidP="00DD09A5">
      <w:pPr>
        <w:pStyle w:val="Bibliography"/>
        <w:spacing w:line="276" w:lineRule="auto"/>
        <w:ind w:left="720" w:hanging="720"/>
      </w:pPr>
      <w:r w:rsidRPr="00406670">
        <w:t xml:space="preserve">O’Connor, C., &amp; Joffe, H. (2020). Intercoder Reliability in Qualitative Research: Debates and Practical Guidelines. </w:t>
      </w:r>
      <w:r w:rsidRPr="00406670">
        <w:rPr>
          <w:i/>
          <w:iCs/>
        </w:rPr>
        <w:t>International Journal of Qualitative Methods</w:t>
      </w:r>
      <w:r w:rsidRPr="00406670">
        <w:t xml:space="preserve">, </w:t>
      </w:r>
      <w:r w:rsidRPr="00406670">
        <w:rPr>
          <w:i/>
          <w:iCs/>
        </w:rPr>
        <w:t>19</w:t>
      </w:r>
      <w:r w:rsidRPr="00406670">
        <w:t xml:space="preserve">, 1609406919899220. </w:t>
      </w:r>
      <w:hyperlink r:id="rId28" w:history="1">
        <w:r w:rsidRPr="00DD09A5">
          <w:rPr>
            <w:rStyle w:val="Hyperlink"/>
          </w:rPr>
          <w:t>https://doi.org/10.1177/1609406919899220</w:t>
        </w:r>
      </w:hyperlink>
    </w:p>
    <w:p w14:paraId="5C558320" w14:textId="77777777" w:rsidR="00D817FC" w:rsidRDefault="00D817FC" w:rsidP="00AD4746">
      <w:pPr>
        <w:spacing w:after="0" w:line="240" w:lineRule="auto"/>
        <w:ind w:left="720" w:hanging="720"/>
      </w:pPr>
      <w:r w:rsidRPr="00B6076D">
        <w:rPr>
          <w:rFonts w:ascii="Times New Roman" w:hAnsi="Times New Roman" w:cs="Times New Roman"/>
          <w:color w:val="000000" w:themeColor="text1"/>
        </w:rPr>
        <w:t>Onorati</w:t>
      </w:r>
      <w:r w:rsidRPr="00B6076D">
        <w:rPr>
          <w:rFonts w:ascii="Times New Roman" w:hAnsi="Times New Roman" w:cs="Times New Roman"/>
          <w:color w:val="1F1F1F"/>
        </w:rPr>
        <w:t xml:space="preserve">, F., </w:t>
      </w:r>
      <w:proofErr w:type="spellStart"/>
      <w:r w:rsidRPr="00B6076D">
        <w:rPr>
          <w:rFonts w:ascii="Times New Roman" w:hAnsi="Times New Roman" w:cs="Times New Roman"/>
          <w:color w:val="1F1F1F"/>
        </w:rPr>
        <w:t>Tornambé</w:t>
      </w:r>
      <w:proofErr w:type="spellEnd"/>
      <w:r w:rsidRPr="00B6076D">
        <w:rPr>
          <w:rFonts w:ascii="Times New Roman" w:hAnsi="Times New Roman" w:cs="Times New Roman"/>
          <w:color w:val="1F1F1F"/>
        </w:rPr>
        <w:t xml:space="preserve">, A., Paina, A., Maggi, C., Sesta, G., Berducci, M. T., Bellucci, M., </w:t>
      </w:r>
      <w:proofErr w:type="spellStart"/>
      <w:r w:rsidRPr="00B6076D">
        <w:rPr>
          <w:rFonts w:ascii="Times New Roman" w:hAnsi="Times New Roman" w:cs="Times New Roman"/>
          <w:color w:val="1F1F1F"/>
        </w:rPr>
        <w:t>Rivella</w:t>
      </w:r>
      <w:proofErr w:type="spellEnd"/>
      <w:r w:rsidRPr="00B6076D">
        <w:rPr>
          <w:rFonts w:ascii="Times New Roman" w:hAnsi="Times New Roman" w:cs="Times New Roman"/>
          <w:color w:val="1F1F1F"/>
        </w:rPr>
        <w:t xml:space="preserve">, E., &amp; D’Antoni, S. (2022). </w:t>
      </w:r>
      <w:r w:rsidRPr="00662E20">
        <w:rPr>
          <w:rFonts w:ascii="Times New Roman" w:hAnsi="Times New Roman" w:cs="Times New Roman"/>
          <w:color w:val="1F1F1F"/>
        </w:rPr>
        <w:t xml:space="preserve">Ecotoxicological and chemical approach to assessing environmental effects from pesticide use in organic and conventional rice paddies. </w:t>
      </w:r>
      <w:r w:rsidRPr="00662E20">
        <w:rPr>
          <w:rFonts w:ascii="Times New Roman" w:hAnsi="Times New Roman" w:cs="Times New Roman"/>
          <w:i/>
          <w:iCs/>
          <w:color w:val="1F1F1F"/>
        </w:rPr>
        <w:t>Water</w:t>
      </w:r>
      <w:r w:rsidRPr="00662E20">
        <w:rPr>
          <w:rFonts w:ascii="Times New Roman" w:hAnsi="Times New Roman" w:cs="Times New Roman"/>
          <w:color w:val="1F1F1F"/>
        </w:rPr>
        <w:t xml:space="preserve">, </w:t>
      </w:r>
      <w:r w:rsidRPr="00662E20">
        <w:rPr>
          <w:rFonts w:ascii="Times New Roman" w:hAnsi="Times New Roman" w:cs="Times New Roman"/>
          <w:i/>
          <w:iCs/>
          <w:color w:val="1F1F1F"/>
        </w:rPr>
        <w:t>14</w:t>
      </w:r>
      <w:r w:rsidRPr="00662E20">
        <w:rPr>
          <w:rFonts w:ascii="Times New Roman" w:hAnsi="Times New Roman" w:cs="Times New Roman"/>
          <w:color w:val="1F1F1F"/>
        </w:rPr>
        <w:t xml:space="preserve">(24), 4136. </w:t>
      </w:r>
      <w:hyperlink r:id="rId29" w:history="1">
        <w:r w:rsidRPr="00662E20">
          <w:rPr>
            <w:rStyle w:val="Hyperlink"/>
            <w:rFonts w:ascii="Times New Roman" w:hAnsi="Times New Roman" w:cs="Times New Roman"/>
          </w:rPr>
          <w:t>https://doi.org/10.3390/w14244136</w:t>
        </w:r>
      </w:hyperlink>
    </w:p>
    <w:p w14:paraId="4953A799" w14:textId="4D083493" w:rsidR="00DD09A5" w:rsidRPr="00DD09A5" w:rsidRDefault="00DD09A5" w:rsidP="00DD09A5">
      <w:pPr>
        <w:spacing w:after="0" w:line="240" w:lineRule="auto"/>
        <w:ind w:left="720" w:hanging="720"/>
        <w:rPr>
          <w:rFonts w:ascii="Times New Roman" w:hAnsi="Times New Roman" w:cs="Times New Roman"/>
          <w:color w:val="1F1F1F"/>
        </w:rPr>
      </w:pPr>
      <w:r w:rsidRPr="00662E20">
        <w:rPr>
          <w:rFonts w:ascii="Times New Roman" w:hAnsi="Times New Roman" w:cs="Times New Roman"/>
          <w:color w:val="000000" w:themeColor="text1"/>
        </w:rPr>
        <w:lastRenderedPageBreak/>
        <w:t xml:space="preserve">O. </w:t>
      </w:r>
      <w:proofErr w:type="spellStart"/>
      <w:r w:rsidRPr="00662E20">
        <w:rPr>
          <w:rFonts w:ascii="Times New Roman" w:hAnsi="Times New Roman" w:cs="Times New Roman"/>
          <w:color w:val="000000" w:themeColor="text1"/>
        </w:rPr>
        <w:t>Nyumba</w:t>
      </w:r>
      <w:proofErr w:type="spellEnd"/>
      <w:r w:rsidRPr="00662E20">
        <w:rPr>
          <w:rFonts w:ascii="Times New Roman" w:hAnsi="Times New Roman" w:cs="Times New Roman"/>
          <w:color w:val="1F1F1F"/>
        </w:rPr>
        <w:t>, T., Wilson, K., Derrick, C. J., &amp; Mukherjee, N. (2018). The use of focus group discussion methodology: Insights from two decades of application in conservation. </w:t>
      </w:r>
      <w:r w:rsidRPr="00662E20">
        <w:rPr>
          <w:rFonts w:ascii="Times New Roman" w:hAnsi="Times New Roman" w:cs="Times New Roman"/>
          <w:i/>
          <w:iCs/>
          <w:color w:val="1F1F1F"/>
        </w:rPr>
        <w:t>Methods in Ecology and Evolution</w:t>
      </w:r>
      <w:r w:rsidRPr="00662E20">
        <w:rPr>
          <w:rFonts w:ascii="Times New Roman" w:hAnsi="Times New Roman" w:cs="Times New Roman"/>
          <w:color w:val="1F1F1F"/>
        </w:rPr>
        <w:t>, </w:t>
      </w:r>
      <w:r w:rsidRPr="00662E20">
        <w:rPr>
          <w:rFonts w:ascii="Times New Roman" w:hAnsi="Times New Roman" w:cs="Times New Roman"/>
          <w:i/>
          <w:iCs/>
          <w:color w:val="1F1F1F"/>
        </w:rPr>
        <w:t>9</w:t>
      </w:r>
      <w:r w:rsidRPr="00662E20">
        <w:rPr>
          <w:rFonts w:ascii="Times New Roman" w:hAnsi="Times New Roman" w:cs="Times New Roman"/>
          <w:color w:val="1F1F1F"/>
        </w:rPr>
        <w:t>(1), 20</w:t>
      </w:r>
      <w:r w:rsidRPr="00662E20">
        <w:rPr>
          <w:rFonts w:ascii="Times New Roman" w:hAnsi="Times New Roman" w:cs="Times New Roman"/>
        </w:rPr>
        <w:t>–</w:t>
      </w:r>
      <w:r w:rsidRPr="00662E20">
        <w:rPr>
          <w:rFonts w:ascii="Times New Roman" w:hAnsi="Times New Roman" w:cs="Times New Roman"/>
          <w:color w:val="1F1F1F"/>
        </w:rPr>
        <w:t xml:space="preserve">32. </w:t>
      </w:r>
      <w:bookmarkStart w:id="2" w:name="_Hlk218596966"/>
      <w:r>
        <w:fldChar w:fldCharType="begin"/>
      </w:r>
      <w:r>
        <w:instrText>HYPERLINK "https://doi.org/10.1111/2041-210X.12860"</w:instrText>
      </w:r>
      <w:r>
        <w:fldChar w:fldCharType="separate"/>
      </w:r>
      <w:r w:rsidRPr="00662E20">
        <w:rPr>
          <w:rStyle w:val="Hyperlink"/>
          <w:rFonts w:ascii="Times New Roman" w:hAnsi="Times New Roman" w:cs="Times New Roman"/>
        </w:rPr>
        <w:t>https://doi.org/10.1111/2041-210X.12860</w:t>
      </w:r>
      <w:r>
        <w:fldChar w:fldCharType="end"/>
      </w:r>
      <w:r w:rsidRPr="00662E20">
        <w:rPr>
          <w:rFonts w:ascii="Times New Roman" w:hAnsi="Times New Roman" w:cs="Times New Roman"/>
          <w:color w:val="1F1F1F"/>
        </w:rPr>
        <w:t xml:space="preserve"> </w:t>
      </w:r>
      <w:bookmarkEnd w:id="2"/>
    </w:p>
    <w:p w14:paraId="57945843" w14:textId="77777777" w:rsidR="00D817FC" w:rsidRPr="00662E20" w:rsidRDefault="00D817FC" w:rsidP="00AD4746">
      <w:pPr>
        <w:spacing w:after="0" w:line="240" w:lineRule="auto"/>
        <w:ind w:left="720" w:hanging="720"/>
        <w:rPr>
          <w:rFonts w:ascii="Times New Roman" w:hAnsi="Times New Roman" w:cs="Times New Roman"/>
        </w:rPr>
      </w:pPr>
      <w:r w:rsidRPr="00662E20">
        <w:rPr>
          <w:rFonts w:ascii="Times New Roman" w:hAnsi="Times New Roman" w:cs="Times New Roman"/>
          <w:color w:val="000000" w:themeColor="text1"/>
        </w:rPr>
        <w:t xml:space="preserve">Panda, </w:t>
      </w:r>
      <w:r w:rsidRPr="00662E20">
        <w:rPr>
          <w:rFonts w:ascii="Times New Roman" w:hAnsi="Times New Roman" w:cs="Times New Roman"/>
          <w:color w:val="1F1F1F"/>
        </w:rPr>
        <w:t xml:space="preserve">S., &amp; Sharma, A. (2025). Analyzing the factors influencing the adoption of integrated pest management (IPM) technology in cotton in Rajasthan. </w:t>
      </w:r>
      <w:r w:rsidRPr="00662E20">
        <w:rPr>
          <w:rFonts w:ascii="Times New Roman" w:hAnsi="Times New Roman" w:cs="Times New Roman"/>
          <w:i/>
          <w:iCs/>
          <w:color w:val="1F1F1F"/>
        </w:rPr>
        <w:t>Indian Journal of Agricultural Research</w:t>
      </w:r>
      <w:r w:rsidRPr="00662E20">
        <w:rPr>
          <w:rFonts w:ascii="Times New Roman" w:hAnsi="Times New Roman" w:cs="Times New Roman"/>
          <w:color w:val="1F1F1F"/>
        </w:rPr>
        <w:t xml:space="preserve">, </w:t>
      </w:r>
      <w:r w:rsidRPr="00662E20">
        <w:rPr>
          <w:rFonts w:ascii="Times New Roman" w:hAnsi="Times New Roman" w:cs="Times New Roman"/>
          <w:i/>
          <w:iCs/>
          <w:color w:val="1F1F1F"/>
        </w:rPr>
        <w:t>59</w:t>
      </w:r>
      <w:r w:rsidRPr="00662E20">
        <w:rPr>
          <w:rFonts w:ascii="Times New Roman" w:hAnsi="Times New Roman" w:cs="Times New Roman"/>
          <w:color w:val="1F1F1F"/>
        </w:rPr>
        <w:t xml:space="preserve">(1), 147–152. </w:t>
      </w:r>
      <w:hyperlink r:id="rId30" w:history="1">
        <w:r w:rsidRPr="00662E20">
          <w:rPr>
            <w:rStyle w:val="Hyperlink"/>
            <w:rFonts w:ascii="Times New Roman" w:hAnsi="Times New Roman" w:cs="Times New Roman"/>
          </w:rPr>
          <w:t>https://doi.org/10.18805/IJARe.A-5924</w:t>
        </w:r>
      </w:hyperlink>
    </w:p>
    <w:p w14:paraId="1440350F" w14:textId="137CEC9F" w:rsidR="0064389D" w:rsidRPr="00662E20" w:rsidRDefault="00D817FC" w:rsidP="00AD4746">
      <w:pPr>
        <w:pStyle w:val="s7"/>
        <w:spacing w:before="0" w:beforeAutospacing="0" w:after="0" w:afterAutospacing="0"/>
        <w:ind w:left="720" w:hanging="720"/>
      </w:pPr>
      <w:r w:rsidRPr="00662E20">
        <w:rPr>
          <w:rStyle w:val="s4"/>
          <w:rFonts w:eastAsiaTheme="majorEastAsia"/>
          <w:color w:val="000000" w:themeColor="text1"/>
        </w:rPr>
        <w:t xml:space="preserve">Parsa, </w:t>
      </w:r>
      <w:r w:rsidRPr="00662E20">
        <w:rPr>
          <w:rStyle w:val="s4"/>
          <w:rFonts w:eastAsiaTheme="majorEastAsia"/>
          <w:color w:val="000000"/>
        </w:rPr>
        <w:t>S., Morse, S., Bonifacio, A., Chancellor, T. C. B., Condori, B., Crespo-Pérez, V., Hobbs, S. L. A., Kroschel, J., Ba, M. N.,</w:t>
      </w:r>
      <w:r w:rsidRPr="00662E20">
        <w:rPr>
          <w:rStyle w:val="apple-converted-space"/>
          <w:rFonts w:eastAsiaTheme="majorEastAsia"/>
          <w:color w:val="000000"/>
        </w:rPr>
        <w:t> </w:t>
      </w:r>
      <w:proofErr w:type="spellStart"/>
      <w:r w:rsidRPr="00662E20">
        <w:rPr>
          <w:rStyle w:val="s4"/>
          <w:rFonts w:eastAsiaTheme="majorEastAsia"/>
          <w:color w:val="000000"/>
        </w:rPr>
        <w:t>Rebaudo</w:t>
      </w:r>
      <w:proofErr w:type="spellEnd"/>
      <w:r w:rsidRPr="00662E20">
        <w:rPr>
          <w:rStyle w:val="s4"/>
          <w:rFonts w:eastAsiaTheme="majorEastAsia"/>
          <w:color w:val="000000"/>
        </w:rPr>
        <w:t>, F., Sherwood, S. G., Vanek, S. J., Faye, E., Herrera, M. A., &amp; Dangles, O. (2014). Obstacles to integrated pest management adoption in developing countries.</w:t>
      </w:r>
      <w:r w:rsidRPr="00662E20">
        <w:rPr>
          <w:rStyle w:val="apple-converted-space"/>
          <w:rFonts w:eastAsiaTheme="majorEastAsia"/>
          <w:color w:val="000000"/>
        </w:rPr>
        <w:t> </w:t>
      </w:r>
      <w:r w:rsidRPr="00662E20">
        <w:rPr>
          <w:rStyle w:val="s10"/>
          <w:rFonts w:eastAsiaTheme="majorEastAsia"/>
          <w:i/>
          <w:iCs/>
          <w:color w:val="000000"/>
        </w:rPr>
        <w:t>Proceedings of the National Academy of Sciences</w:t>
      </w:r>
      <w:r w:rsidRPr="00662E20">
        <w:rPr>
          <w:rStyle w:val="s4"/>
          <w:rFonts w:eastAsiaTheme="majorEastAsia"/>
          <w:color w:val="000000"/>
        </w:rPr>
        <w:t>,</w:t>
      </w:r>
      <w:r w:rsidRPr="00662E20">
        <w:rPr>
          <w:rStyle w:val="apple-converted-space"/>
          <w:rFonts w:eastAsiaTheme="majorEastAsia"/>
          <w:color w:val="000000"/>
        </w:rPr>
        <w:t> </w:t>
      </w:r>
      <w:r w:rsidRPr="00662E20">
        <w:rPr>
          <w:rStyle w:val="s10"/>
          <w:rFonts w:eastAsiaTheme="majorEastAsia"/>
          <w:i/>
          <w:iCs/>
          <w:color w:val="000000"/>
        </w:rPr>
        <w:t>111</w:t>
      </w:r>
      <w:r w:rsidRPr="00662E20">
        <w:rPr>
          <w:rStyle w:val="s4"/>
          <w:rFonts w:eastAsiaTheme="majorEastAsia"/>
          <w:color w:val="000000"/>
        </w:rPr>
        <w:t xml:space="preserve">(10), 3889–3894. </w:t>
      </w:r>
      <w:hyperlink r:id="rId31" w:history="1">
        <w:r w:rsidRPr="00662E20">
          <w:rPr>
            <w:rStyle w:val="Hyperlink"/>
            <w:rFonts w:eastAsiaTheme="majorEastAsia"/>
          </w:rPr>
          <w:t>https://doi.org/10.1073/pnas.1312693111</w:t>
        </w:r>
      </w:hyperlink>
    </w:p>
    <w:p w14:paraId="49B056BE" w14:textId="77777777" w:rsidR="00D817FC" w:rsidRPr="00662E20" w:rsidRDefault="00D817FC" w:rsidP="00AD4746">
      <w:pPr>
        <w:spacing w:after="0" w:line="240" w:lineRule="auto"/>
        <w:ind w:left="720" w:hanging="720"/>
        <w:rPr>
          <w:rFonts w:ascii="Times New Roman" w:hAnsi="Times New Roman" w:cs="Times New Roman"/>
        </w:rPr>
      </w:pPr>
      <w:r w:rsidRPr="00662E20">
        <w:rPr>
          <w:rFonts w:ascii="Times New Roman" w:hAnsi="Times New Roman" w:cs="Times New Roman"/>
          <w:color w:val="000000" w:themeColor="text1"/>
          <w:shd w:val="clear" w:color="auto" w:fill="FFFFFF"/>
        </w:rPr>
        <w:t>Pathak</w:t>
      </w:r>
      <w:r w:rsidRPr="00662E20">
        <w:rPr>
          <w:rFonts w:ascii="Times New Roman" w:hAnsi="Times New Roman" w:cs="Times New Roman"/>
          <w:color w:val="222222"/>
          <w:shd w:val="clear" w:color="auto" w:fill="FFFFFF"/>
        </w:rPr>
        <w:t xml:space="preserve">, V. M., Verma, V. K., Rawat, B. S., Kaur, B., Babu, N., Sharma, A., </w:t>
      </w:r>
      <w:proofErr w:type="spellStart"/>
      <w:r w:rsidRPr="00662E20">
        <w:rPr>
          <w:rFonts w:ascii="Times New Roman" w:hAnsi="Times New Roman" w:cs="Times New Roman"/>
          <w:color w:val="222222"/>
          <w:shd w:val="clear" w:color="auto" w:fill="FFFFFF"/>
        </w:rPr>
        <w:t>Dewali</w:t>
      </w:r>
      <w:proofErr w:type="spellEnd"/>
      <w:r w:rsidRPr="00662E20">
        <w:rPr>
          <w:rFonts w:ascii="Times New Roman" w:hAnsi="Times New Roman" w:cs="Times New Roman"/>
          <w:color w:val="222222"/>
          <w:shd w:val="clear" w:color="auto" w:fill="FFFFFF"/>
        </w:rPr>
        <w:t xml:space="preserve">, S., Yadav, M., Kumari, R., Singh, S., Mohapatra, A., Pandey, V., Rana, N., &amp; Cunill, J. M. (2022). </w:t>
      </w:r>
      <w:proofErr w:type="gramStart"/>
      <w:r w:rsidRPr="00662E20">
        <w:rPr>
          <w:rFonts w:ascii="Times New Roman" w:hAnsi="Times New Roman" w:cs="Times New Roman"/>
          <w:color w:val="222222"/>
          <w:shd w:val="clear" w:color="auto" w:fill="FFFFFF"/>
        </w:rPr>
        <w:t>Current status</w:t>
      </w:r>
      <w:proofErr w:type="gramEnd"/>
      <w:r w:rsidRPr="00662E20">
        <w:rPr>
          <w:rFonts w:ascii="Times New Roman" w:hAnsi="Times New Roman" w:cs="Times New Roman"/>
          <w:color w:val="222222"/>
          <w:shd w:val="clear" w:color="auto" w:fill="FFFFFF"/>
        </w:rPr>
        <w:t xml:space="preserve"> of pesticide effects on environment, human health and it’s eco-friendly management as bioremediation: A comprehensive review.</w:t>
      </w:r>
      <w:r w:rsidRPr="00662E20">
        <w:rPr>
          <w:rStyle w:val="apple-converted-space"/>
          <w:rFonts w:ascii="Times New Roman" w:eastAsiaTheme="majorEastAsia" w:hAnsi="Times New Roman" w:cs="Times New Roman"/>
          <w:color w:val="222222"/>
          <w:shd w:val="clear" w:color="auto" w:fill="FFFFFF"/>
        </w:rPr>
        <w:t> </w:t>
      </w:r>
      <w:r w:rsidRPr="00662E20">
        <w:rPr>
          <w:rFonts w:ascii="Times New Roman" w:hAnsi="Times New Roman" w:cs="Times New Roman"/>
          <w:i/>
          <w:iCs/>
          <w:color w:val="222222"/>
        </w:rPr>
        <w:t>Frontiers in Microbiology</w:t>
      </w:r>
      <w:r w:rsidRPr="00662E20">
        <w:rPr>
          <w:rFonts w:ascii="Times New Roman" w:hAnsi="Times New Roman" w:cs="Times New Roman"/>
          <w:color w:val="222222"/>
          <w:shd w:val="clear" w:color="auto" w:fill="FFFFFF"/>
        </w:rPr>
        <w:t>,</w:t>
      </w:r>
      <w:r w:rsidRPr="00662E20">
        <w:rPr>
          <w:rStyle w:val="apple-converted-space"/>
          <w:rFonts w:ascii="Times New Roman" w:eastAsiaTheme="majorEastAsia" w:hAnsi="Times New Roman" w:cs="Times New Roman"/>
          <w:color w:val="222222"/>
          <w:shd w:val="clear" w:color="auto" w:fill="FFFFFF"/>
        </w:rPr>
        <w:t> </w:t>
      </w:r>
      <w:r w:rsidRPr="00662E20">
        <w:rPr>
          <w:rFonts w:ascii="Times New Roman" w:hAnsi="Times New Roman" w:cs="Times New Roman"/>
          <w:i/>
          <w:iCs/>
          <w:color w:val="222222"/>
        </w:rPr>
        <w:t>13</w:t>
      </w:r>
      <w:r w:rsidRPr="00662E20">
        <w:rPr>
          <w:rFonts w:ascii="Times New Roman" w:hAnsi="Times New Roman" w:cs="Times New Roman"/>
          <w:color w:val="222222"/>
          <w:shd w:val="clear" w:color="auto" w:fill="FFFFFF"/>
        </w:rPr>
        <w:t xml:space="preserve">, 962619. </w:t>
      </w:r>
      <w:hyperlink r:id="rId32" w:history="1">
        <w:r w:rsidRPr="00662E20">
          <w:rPr>
            <w:rStyle w:val="Hyperlink"/>
            <w:rFonts w:ascii="Times New Roman" w:hAnsi="Times New Roman" w:cs="Times New Roman"/>
            <w:shd w:val="clear" w:color="auto" w:fill="FFFFFF"/>
          </w:rPr>
          <w:t>https://doi.org/10.3389/fmicb.2022.962619</w:t>
        </w:r>
      </w:hyperlink>
    </w:p>
    <w:p w14:paraId="0CFC9D27" w14:textId="77777777" w:rsidR="00D817FC" w:rsidRPr="00662E20" w:rsidRDefault="00D817FC" w:rsidP="00AD4746">
      <w:pPr>
        <w:spacing w:after="0" w:line="240" w:lineRule="auto"/>
        <w:ind w:left="720" w:hanging="720"/>
        <w:rPr>
          <w:rFonts w:ascii="Times New Roman" w:hAnsi="Times New Roman" w:cs="Times New Roman"/>
          <w:color w:val="1F1F1F"/>
        </w:rPr>
      </w:pPr>
      <w:r w:rsidRPr="00662E20">
        <w:rPr>
          <w:rFonts w:ascii="Times New Roman" w:hAnsi="Times New Roman" w:cs="Times New Roman"/>
          <w:color w:val="000000" w:themeColor="text1"/>
        </w:rPr>
        <w:t>Pecenka</w:t>
      </w:r>
      <w:r w:rsidRPr="00662E20">
        <w:rPr>
          <w:rFonts w:ascii="Times New Roman" w:hAnsi="Times New Roman" w:cs="Times New Roman"/>
          <w:color w:val="1F1F1F"/>
        </w:rPr>
        <w:t xml:space="preserve">, J. R., Ingwell, L. L., Foster, R. E., Krupke, C. H., &amp; Kaplan, I. (2021). IPM reduces insecticide applications by 95% while maintaining or enhancing crop yields through wild pollinator conservation. </w:t>
      </w:r>
      <w:r w:rsidRPr="00662E20">
        <w:rPr>
          <w:rFonts w:ascii="Times New Roman" w:hAnsi="Times New Roman" w:cs="Times New Roman"/>
          <w:i/>
          <w:iCs/>
          <w:color w:val="1F1F1F"/>
        </w:rPr>
        <w:t>Proceedings of the National Academy of Sciences</w:t>
      </w:r>
      <w:r w:rsidRPr="00662E20">
        <w:rPr>
          <w:rFonts w:ascii="Times New Roman" w:hAnsi="Times New Roman" w:cs="Times New Roman"/>
          <w:color w:val="1F1F1F"/>
        </w:rPr>
        <w:t xml:space="preserve">, </w:t>
      </w:r>
      <w:r w:rsidRPr="00662E20">
        <w:rPr>
          <w:rFonts w:ascii="Times New Roman" w:hAnsi="Times New Roman" w:cs="Times New Roman"/>
          <w:i/>
          <w:iCs/>
          <w:color w:val="1F1F1F"/>
        </w:rPr>
        <w:t>118</w:t>
      </w:r>
      <w:r w:rsidRPr="00662E20">
        <w:rPr>
          <w:rFonts w:ascii="Times New Roman" w:hAnsi="Times New Roman" w:cs="Times New Roman"/>
          <w:color w:val="1F1F1F"/>
        </w:rPr>
        <w:t xml:space="preserve">(44), e2108429118. </w:t>
      </w:r>
      <w:hyperlink r:id="rId33" w:history="1">
        <w:r w:rsidRPr="00662E20">
          <w:rPr>
            <w:rStyle w:val="Hyperlink"/>
            <w:rFonts w:ascii="Times New Roman" w:hAnsi="Times New Roman" w:cs="Times New Roman"/>
          </w:rPr>
          <w:t>https://doi.org/10.1073/pnas.2108429118</w:t>
        </w:r>
      </w:hyperlink>
      <w:r w:rsidRPr="00662E20">
        <w:rPr>
          <w:rFonts w:ascii="Times New Roman" w:hAnsi="Times New Roman" w:cs="Times New Roman"/>
          <w:color w:val="1F1F1F"/>
        </w:rPr>
        <w:t xml:space="preserve">   </w:t>
      </w:r>
    </w:p>
    <w:p w14:paraId="4753192C" w14:textId="77777777" w:rsidR="00D817FC" w:rsidRPr="00662E20" w:rsidRDefault="00D817FC" w:rsidP="00AD4746">
      <w:pPr>
        <w:spacing w:after="0" w:line="240" w:lineRule="auto"/>
        <w:ind w:left="720" w:hanging="720"/>
        <w:rPr>
          <w:rFonts w:ascii="Times New Roman" w:hAnsi="Times New Roman" w:cs="Times New Roman"/>
          <w:color w:val="1F1F1F"/>
        </w:rPr>
      </w:pPr>
      <w:r w:rsidRPr="00662E20">
        <w:rPr>
          <w:rFonts w:ascii="Times New Roman" w:hAnsi="Times New Roman" w:cs="Times New Roman"/>
          <w:color w:val="000000" w:themeColor="text1"/>
          <w:shd w:val="clear" w:color="auto" w:fill="FFFFFF"/>
        </w:rPr>
        <w:t xml:space="preserve">Rogers, </w:t>
      </w:r>
      <w:r w:rsidRPr="00662E20">
        <w:rPr>
          <w:rFonts w:ascii="Times New Roman" w:hAnsi="Times New Roman" w:cs="Times New Roman"/>
          <w:color w:val="232323"/>
          <w:shd w:val="clear" w:color="auto" w:fill="FFFFFF"/>
        </w:rPr>
        <w:t xml:space="preserve">E.M. (2003). </w:t>
      </w:r>
      <w:r w:rsidRPr="00662E20">
        <w:rPr>
          <w:rFonts w:ascii="Times New Roman" w:hAnsi="Times New Roman" w:cs="Times New Roman"/>
          <w:i/>
          <w:iCs/>
          <w:color w:val="232323"/>
          <w:shd w:val="clear" w:color="auto" w:fill="FFFFFF"/>
        </w:rPr>
        <w:t>Diffusion of Innovations</w:t>
      </w:r>
      <w:r w:rsidRPr="00662E20">
        <w:rPr>
          <w:rFonts w:ascii="Times New Roman" w:hAnsi="Times New Roman" w:cs="Times New Roman"/>
          <w:color w:val="232323"/>
          <w:shd w:val="clear" w:color="auto" w:fill="FFFFFF"/>
        </w:rPr>
        <w:t>. Free Press, New York.</w:t>
      </w:r>
    </w:p>
    <w:p w14:paraId="7F6E2444" w14:textId="3A8E548C" w:rsidR="0064389D" w:rsidRPr="00662E20" w:rsidRDefault="00D817FC" w:rsidP="00AD4746">
      <w:pPr>
        <w:pStyle w:val="s7"/>
        <w:spacing w:before="0" w:beforeAutospacing="0" w:after="0" w:afterAutospacing="0"/>
        <w:ind w:left="720" w:hanging="720"/>
        <w:rPr>
          <w:rFonts w:eastAsiaTheme="majorEastAsia"/>
          <w:color w:val="000000"/>
        </w:rPr>
      </w:pPr>
      <w:r w:rsidRPr="00662E20">
        <w:rPr>
          <w:rStyle w:val="s4"/>
          <w:rFonts w:eastAsiaTheme="majorEastAsia"/>
          <w:color w:val="000000" w:themeColor="text1"/>
        </w:rPr>
        <w:t>Ryalls</w:t>
      </w:r>
      <w:r w:rsidRPr="00662E20">
        <w:rPr>
          <w:rStyle w:val="s4"/>
          <w:rFonts w:eastAsiaTheme="majorEastAsia"/>
          <w:color w:val="196B24" w:themeColor="accent3"/>
        </w:rPr>
        <w:t>,</w:t>
      </w:r>
      <w:r w:rsidRPr="00662E20">
        <w:rPr>
          <w:rStyle w:val="s4"/>
          <w:rFonts w:eastAsiaTheme="majorEastAsia"/>
          <w:color w:val="000000"/>
        </w:rPr>
        <w:t xml:space="preserve"> J. M. W., Garratt, M. P. D., Spadaro, D., &amp; Mauchline, A. L. (2024). The benefits of integrated pest management for apple depend on pest type and production metrics.</w:t>
      </w:r>
      <w:r w:rsidRPr="00662E20">
        <w:rPr>
          <w:rStyle w:val="apple-converted-space"/>
          <w:rFonts w:eastAsiaTheme="majorEastAsia"/>
          <w:color w:val="000000"/>
        </w:rPr>
        <w:t> </w:t>
      </w:r>
      <w:r w:rsidRPr="00662E20">
        <w:rPr>
          <w:rStyle w:val="s10"/>
          <w:rFonts w:eastAsiaTheme="majorEastAsia"/>
          <w:i/>
          <w:iCs/>
          <w:color w:val="000000"/>
        </w:rPr>
        <w:t>Frontiers in Sustainable Food Systems</w:t>
      </w:r>
      <w:r w:rsidRPr="00662E20">
        <w:rPr>
          <w:rStyle w:val="s4"/>
          <w:rFonts w:eastAsiaTheme="majorEastAsia"/>
          <w:color w:val="000000"/>
        </w:rPr>
        <w:t>,</w:t>
      </w:r>
      <w:r w:rsidRPr="00662E20">
        <w:rPr>
          <w:rStyle w:val="apple-converted-space"/>
          <w:rFonts w:eastAsiaTheme="majorEastAsia"/>
          <w:color w:val="000000"/>
        </w:rPr>
        <w:t> </w:t>
      </w:r>
      <w:r w:rsidRPr="00662E20">
        <w:rPr>
          <w:rStyle w:val="s10"/>
          <w:rFonts w:eastAsiaTheme="majorEastAsia"/>
          <w:i/>
          <w:iCs/>
          <w:color w:val="000000"/>
        </w:rPr>
        <w:t>8</w:t>
      </w:r>
      <w:r w:rsidRPr="00662E20">
        <w:rPr>
          <w:rStyle w:val="s4"/>
          <w:rFonts w:eastAsiaTheme="majorEastAsia"/>
          <w:color w:val="000000"/>
        </w:rPr>
        <w:t xml:space="preserve">, 1321067. </w:t>
      </w:r>
      <w:hyperlink r:id="rId34" w:history="1">
        <w:r w:rsidRPr="00662E20">
          <w:rPr>
            <w:rStyle w:val="Hyperlink"/>
            <w:rFonts w:eastAsiaTheme="majorEastAsia"/>
          </w:rPr>
          <w:t>https://doi.org/10.3389/fsufs.2024.1321067</w:t>
        </w:r>
      </w:hyperlink>
    </w:p>
    <w:p w14:paraId="31F5D8F5" w14:textId="014E4EF6" w:rsidR="006B0F65" w:rsidRPr="00662E20" w:rsidRDefault="00D817FC" w:rsidP="00AD4746">
      <w:pPr>
        <w:pStyle w:val="Bibliography"/>
        <w:ind w:left="720" w:hanging="720"/>
      </w:pPr>
      <w:r w:rsidRPr="00662E20">
        <w:rPr>
          <w:color w:val="000000" w:themeColor="text1"/>
        </w:rPr>
        <w:t>Scott‐Brown</w:t>
      </w:r>
      <w:r w:rsidRPr="00662E20">
        <w:t xml:space="preserve">, A. S., Rial‐Lovera, K., </w:t>
      </w:r>
      <w:proofErr w:type="spellStart"/>
      <w:r w:rsidRPr="00662E20">
        <w:t>Giannitsopoulos</w:t>
      </w:r>
      <w:proofErr w:type="spellEnd"/>
      <w:r w:rsidRPr="00662E20">
        <w:t xml:space="preserve">, M. L., Rickson, J. R., Staton, T., Walters, K. F. A., &amp; Burgess, P. J. (2025). Farmland trees and integrated pest management: A review of current knowledge and developing strategies for sustainable systems. </w:t>
      </w:r>
      <w:r w:rsidRPr="00662E20">
        <w:rPr>
          <w:i/>
          <w:iCs/>
        </w:rPr>
        <w:t>Ecological Solutions and Evidence</w:t>
      </w:r>
      <w:r w:rsidRPr="00662E20">
        <w:t xml:space="preserve">, </w:t>
      </w:r>
      <w:r w:rsidRPr="00662E20">
        <w:rPr>
          <w:i/>
          <w:iCs/>
        </w:rPr>
        <w:t>6</w:t>
      </w:r>
      <w:r w:rsidRPr="00662E20">
        <w:t xml:space="preserve">(3), e70087. </w:t>
      </w:r>
      <w:hyperlink r:id="rId35" w:history="1">
        <w:r w:rsidRPr="00662E20">
          <w:rPr>
            <w:rStyle w:val="Hyperlink"/>
          </w:rPr>
          <w:t>https://doi.org/10.1002/2688-8319.70087</w:t>
        </w:r>
      </w:hyperlink>
    </w:p>
    <w:p w14:paraId="63471377" w14:textId="551125CF" w:rsidR="00F60692" w:rsidRPr="00662E20" w:rsidRDefault="00D817FC" w:rsidP="00AD4746">
      <w:pPr>
        <w:spacing w:after="0" w:line="240" w:lineRule="auto"/>
        <w:ind w:left="720" w:hanging="720"/>
        <w:rPr>
          <w:rFonts w:ascii="Times New Roman" w:hAnsi="Times New Roman" w:cs="Times New Roman"/>
          <w:color w:val="1F1F1F"/>
        </w:rPr>
      </w:pPr>
      <w:r w:rsidRPr="00B6076D">
        <w:rPr>
          <w:rFonts w:ascii="Times New Roman" w:hAnsi="Times New Roman" w:cs="Times New Roman"/>
          <w:color w:val="000000" w:themeColor="text1"/>
        </w:rPr>
        <w:t>Srijana</w:t>
      </w:r>
      <w:r w:rsidRPr="00B6076D">
        <w:rPr>
          <w:rFonts w:ascii="Times New Roman" w:hAnsi="Times New Roman" w:cs="Times New Roman"/>
          <w:color w:val="196B24" w:themeColor="accent3"/>
        </w:rPr>
        <w:t xml:space="preserve"> </w:t>
      </w:r>
      <w:r w:rsidRPr="00B6076D">
        <w:rPr>
          <w:rFonts w:ascii="Times New Roman" w:hAnsi="Times New Roman" w:cs="Times New Roman"/>
          <w:color w:val="1F1F1F"/>
        </w:rPr>
        <w:t xml:space="preserve">S., </w:t>
      </w:r>
      <w:proofErr w:type="spellStart"/>
      <w:r w:rsidRPr="00B6076D">
        <w:rPr>
          <w:rFonts w:ascii="Times New Roman" w:hAnsi="Times New Roman" w:cs="Times New Roman"/>
          <w:color w:val="1F1F1F"/>
        </w:rPr>
        <w:t>Sramika</w:t>
      </w:r>
      <w:proofErr w:type="spellEnd"/>
      <w:r w:rsidRPr="00B6076D">
        <w:rPr>
          <w:rFonts w:ascii="Times New Roman" w:hAnsi="Times New Roman" w:cs="Times New Roman"/>
          <w:color w:val="1F1F1F"/>
        </w:rPr>
        <w:t xml:space="preserve"> R., Sneha S., &amp; Ajay Kumar Y. (2022). </w:t>
      </w:r>
      <w:r w:rsidRPr="00662E20">
        <w:rPr>
          <w:rFonts w:ascii="Times New Roman" w:hAnsi="Times New Roman" w:cs="Times New Roman"/>
          <w:color w:val="1F1F1F"/>
        </w:rPr>
        <w:t xml:space="preserve">Knowledge of vegetable growers about the side effects of pesticide use in </w:t>
      </w:r>
      <w:proofErr w:type="spellStart"/>
      <w:r w:rsidRPr="00662E20">
        <w:rPr>
          <w:rFonts w:ascii="Times New Roman" w:hAnsi="Times New Roman" w:cs="Times New Roman"/>
          <w:color w:val="1F1F1F"/>
        </w:rPr>
        <w:t>Rupandehi</w:t>
      </w:r>
      <w:proofErr w:type="spellEnd"/>
      <w:r w:rsidRPr="00662E20">
        <w:rPr>
          <w:rFonts w:ascii="Times New Roman" w:hAnsi="Times New Roman" w:cs="Times New Roman"/>
          <w:color w:val="1F1F1F"/>
        </w:rPr>
        <w:t xml:space="preserve"> district of Nepal. </w:t>
      </w:r>
      <w:r w:rsidRPr="00662E20">
        <w:rPr>
          <w:rFonts w:ascii="Times New Roman" w:hAnsi="Times New Roman" w:cs="Times New Roman"/>
          <w:i/>
          <w:iCs/>
          <w:color w:val="1F1F1F"/>
        </w:rPr>
        <w:t>Russian Journal of Agricultural and Socio-Economic Sciences</w:t>
      </w:r>
      <w:r w:rsidRPr="00662E20">
        <w:rPr>
          <w:rFonts w:ascii="Times New Roman" w:hAnsi="Times New Roman" w:cs="Times New Roman"/>
          <w:color w:val="1F1F1F"/>
        </w:rPr>
        <w:t xml:space="preserve">, </w:t>
      </w:r>
      <w:r w:rsidRPr="00662E20">
        <w:rPr>
          <w:rFonts w:ascii="Times New Roman" w:hAnsi="Times New Roman" w:cs="Times New Roman"/>
          <w:i/>
          <w:iCs/>
          <w:color w:val="1F1F1F"/>
        </w:rPr>
        <w:t>128</w:t>
      </w:r>
      <w:r w:rsidRPr="00662E20">
        <w:rPr>
          <w:rFonts w:ascii="Times New Roman" w:hAnsi="Times New Roman" w:cs="Times New Roman"/>
          <w:color w:val="1F1F1F"/>
        </w:rPr>
        <w:t>(8), 148–156.</w:t>
      </w:r>
    </w:p>
    <w:p w14:paraId="72DD7495" w14:textId="33FD7B09" w:rsidR="0016694B" w:rsidRPr="00662E20" w:rsidRDefault="00D817FC" w:rsidP="00AD4746">
      <w:pPr>
        <w:pStyle w:val="Bibliography"/>
        <w:ind w:left="720" w:hanging="720"/>
        <w:rPr>
          <w:lang w:eastAsia="zh-TW"/>
        </w:rPr>
      </w:pPr>
      <w:r w:rsidRPr="00662E20">
        <w:rPr>
          <w:color w:val="000000" w:themeColor="text1"/>
        </w:rPr>
        <w:t>Tham-Agyekum</w:t>
      </w:r>
      <w:r w:rsidRPr="00662E20">
        <w:t xml:space="preserve">, E. K., </w:t>
      </w:r>
      <w:proofErr w:type="spellStart"/>
      <w:r w:rsidRPr="00662E20">
        <w:t>Onumah</w:t>
      </w:r>
      <w:proofErr w:type="spellEnd"/>
      <w:r w:rsidRPr="00662E20">
        <w:t xml:space="preserve">, L. A., Clottey, S. K., </w:t>
      </w:r>
      <w:proofErr w:type="spellStart"/>
      <w:r w:rsidRPr="00662E20">
        <w:t>Yentetah</w:t>
      </w:r>
      <w:proofErr w:type="spellEnd"/>
      <w:r w:rsidRPr="00662E20">
        <w:t xml:space="preserve">, F., Yeboah, H., Asiedu, P., Bakang, J. A., &amp; Mensah, W. (2025). Adoption of integrated pest management in Ghanaian tomato agriculture: What are the key determinants? </w:t>
      </w:r>
      <w:r w:rsidRPr="00662E20">
        <w:rPr>
          <w:i/>
          <w:iCs/>
        </w:rPr>
        <w:t>South African Journal of Agricultural Extension</w:t>
      </w:r>
      <w:r w:rsidRPr="00662E20">
        <w:t xml:space="preserve">, </w:t>
      </w:r>
      <w:r w:rsidRPr="00662E20">
        <w:rPr>
          <w:i/>
          <w:iCs/>
        </w:rPr>
        <w:t>53</w:t>
      </w:r>
      <w:r w:rsidRPr="00662E20">
        <w:t xml:space="preserve">(3), 208–233. </w:t>
      </w:r>
      <w:hyperlink r:id="rId36" w:history="1">
        <w:r w:rsidRPr="00662E20">
          <w:rPr>
            <w:rStyle w:val="Hyperlink"/>
          </w:rPr>
          <w:t>https://doi.org/10.17159/2413-3221/2025/v53n3a17758</w:t>
        </w:r>
      </w:hyperlink>
    </w:p>
    <w:p w14:paraId="6D7CF6A5" w14:textId="77777777" w:rsidR="005D597F" w:rsidRPr="00662E20" w:rsidRDefault="005D597F" w:rsidP="00AD4746">
      <w:pPr>
        <w:spacing w:after="0" w:line="240" w:lineRule="auto"/>
        <w:rPr>
          <w:rFonts w:ascii="Times New Roman" w:hAnsi="Times New Roman" w:cs="Times New Roman"/>
          <w:b/>
          <w:bCs/>
        </w:rPr>
      </w:pPr>
    </w:p>
    <w:sectPr w:rsidR="005D597F" w:rsidRPr="00662E20" w:rsidSect="0042442D">
      <w:footerReference w:type="even" r:id="rId37"/>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629A5" w14:textId="77777777" w:rsidR="00427C50" w:rsidRDefault="00427C50" w:rsidP="003166D8">
      <w:pPr>
        <w:spacing w:after="0" w:line="240" w:lineRule="auto"/>
      </w:pPr>
      <w:r>
        <w:separator/>
      </w:r>
    </w:p>
  </w:endnote>
  <w:endnote w:type="continuationSeparator" w:id="0">
    <w:p w14:paraId="7D3B6BD3" w14:textId="77777777" w:rsidR="00427C50" w:rsidRDefault="00427C50" w:rsidP="00316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88637789"/>
      <w:docPartObj>
        <w:docPartGallery w:val="Page Numbers (Bottom of Page)"/>
        <w:docPartUnique/>
      </w:docPartObj>
    </w:sdtPr>
    <w:sdtContent>
      <w:p w14:paraId="602AC2B1" w14:textId="239CEF89" w:rsidR="003166D8" w:rsidRDefault="003166D8" w:rsidP="00CD419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F0C266C" w14:textId="77777777" w:rsidR="003166D8" w:rsidRDefault="003166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91234515"/>
      <w:docPartObj>
        <w:docPartGallery w:val="Page Numbers (Bottom of Page)"/>
        <w:docPartUnique/>
      </w:docPartObj>
    </w:sdtPr>
    <w:sdtContent>
      <w:p w14:paraId="49AAF3F4" w14:textId="64C491B2" w:rsidR="003166D8" w:rsidRDefault="003166D8" w:rsidP="00CD419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944F16" w14:textId="77777777" w:rsidR="003166D8" w:rsidRDefault="00316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AE913" w14:textId="77777777" w:rsidR="00427C50" w:rsidRDefault="00427C50" w:rsidP="003166D8">
      <w:pPr>
        <w:spacing w:after="0" w:line="240" w:lineRule="auto"/>
      </w:pPr>
      <w:r>
        <w:separator/>
      </w:r>
    </w:p>
  </w:footnote>
  <w:footnote w:type="continuationSeparator" w:id="0">
    <w:p w14:paraId="1E1C8C9C" w14:textId="77777777" w:rsidR="00427C50" w:rsidRDefault="00427C50" w:rsidP="003166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33A"/>
    <w:rsid w:val="00001321"/>
    <w:rsid w:val="00027090"/>
    <w:rsid w:val="0003128E"/>
    <w:rsid w:val="0005173E"/>
    <w:rsid w:val="00097577"/>
    <w:rsid w:val="000D04D5"/>
    <w:rsid w:val="000D37B8"/>
    <w:rsid w:val="000E62BA"/>
    <w:rsid w:val="000E783B"/>
    <w:rsid w:val="000F5D2D"/>
    <w:rsid w:val="00132D72"/>
    <w:rsid w:val="00146970"/>
    <w:rsid w:val="001657C9"/>
    <w:rsid w:val="0016694B"/>
    <w:rsid w:val="00172C8F"/>
    <w:rsid w:val="001828A2"/>
    <w:rsid w:val="00196F2A"/>
    <w:rsid w:val="00201C4C"/>
    <w:rsid w:val="00216153"/>
    <w:rsid w:val="00217207"/>
    <w:rsid w:val="00231682"/>
    <w:rsid w:val="00252202"/>
    <w:rsid w:val="00264ECE"/>
    <w:rsid w:val="00273B95"/>
    <w:rsid w:val="002740B6"/>
    <w:rsid w:val="00281BAA"/>
    <w:rsid w:val="00282772"/>
    <w:rsid w:val="00287F67"/>
    <w:rsid w:val="002D5AB1"/>
    <w:rsid w:val="002F7757"/>
    <w:rsid w:val="003008C8"/>
    <w:rsid w:val="003166D8"/>
    <w:rsid w:val="003243C7"/>
    <w:rsid w:val="0032638E"/>
    <w:rsid w:val="0034302B"/>
    <w:rsid w:val="003509CE"/>
    <w:rsid w:val="00355C03"/>
    <w:rsid w:val="00356D9E"/>
    <w:rsid w:val="00361E00"/>
    <w:rsid w:val="003848F0"/>
    <w:rsid w:val="003D6313"/>
    <w:rsid w:val="003F38C8"/>
    <w:rsid w:val="004006CB"/>
    <w:rsid w:val="0042442D"/>
    <w:rsid w:val="00427C50"/>
    <w:rsid w:val="00431C5C"/>
    <w:rsid w:val="00441909"/>
    <w:rsid w:val="0045419F"/>
    <w:rsid w:val="004673FA"/>
    <w:rsid w:val="00470062"/>
    <w:rsid w:val="004A28A4"/>
    <w:rsid w:val="004A3BF8"/>
    <w:rsid w:val="004A56B0"/>
    <w:rsid w:val="004B24F5"/>
    <w:rsid w:val="004C42AE"/>
    <w:rsid w:val="004D037D"/>
    <w:rsid w:val="004F080E"/>
    <w:rsid w:val="005073B5"/>
    <w:rsid w:val="0052435A"/>
    <w:rsid w:val="00531125"/>
    <w:rsid w:val="00536C1B"/>
    <w:rsid w:val="00545251"/>
    <w:rsid w:val="00547FF8"/>
    <w:rsid w:val="0055606F"/>
    <w:rsid w:val="00577937"/>
    <w:rsid w:val="00596BBF"/>
    <w:rsid w:val="005A15A9"/>
    <w:rsid w:val="005C1525"/>
    <w:rsid w:val="005C1EA1"/>
    <w:rsid w:val="005D597F"/>
    <w:rsid w:val="005D6934"/>
    <w:rsid w:val="00600254"/>
    <w:rsid w:val="006029AD"/>
    <w:rsid w:val="00605925"/>
    <w:rsid w:val="00622AEB"/>
    <w:rsid w:val="00642EE9"/>
    <w:rsid w:val="0064389D"/>
    <w:rsid w:val="00662E20"/>
    <w:rsid w:val="006B0F65"/>
    <w:rsid w:val="006B4F7B"/>
    <w:rsid w:val="006C7DE0"/>
    <w:rsid w:val="006F6740"/>
    <w:rsid w:val="00715E03"/>
    <w:rsid w:val="00727B6B"/>
    <w:rsid w:val="00750427"/>
    <w:rsid w:val="00751C72"/>
    <w:rsid w:val="0076420D"/>
    <w:rsid w:val="00766D46"/>
    <w:rsid w:val="0077593E"/>
    <w:rsid w:val="007764BB"/>
    <w:rsid w:val="007853DE"/>
    <w:rsid w:val="00791818"/>
    <w:rsid w:val="007B41AC"/>
    <w:rsid w:val="007C1423"/>
    <w:rsid w:val="007C3D3A"/>
    <w:rsid w:val="007C6735"/>
    <w:rsid w:val="007C7084"/>
    <w:rsid w:val="007C7E1C"/>
    <w:rsid w:val="007D0284"/>
    <w:rsid w:val="007E4D1F"/>
    <w:rsid w:val="00801315"/>
    <w:rsid w:val="00812652"/>
    <w:rsid w:val="00813239"/>
    <w:rsid w:val="008679B7"/>
    <w:rsid w:val="00880B05"/>
    <w:rsid w:val="00882CE9"/>
    <w:rsid w:val="00882DA1"/>
    <w:rsid w:val="008A2C83"/>
    <w:rsid w:val="008F41CA"/>
    <w:rsid w:val="00920CF8"/>
    <w:rsid w:val="00926699"/>
    <w:rsid w:val="00927E61"/>
    <w:rsid w:val="00947598"/>
    <w:rsid w:val="0096774F"/>
    <w:rsid w:val="009B2737"/>
    <w:rsid w:val="009B67F9"/>
    <w:rsid w:val="009C39BB"/>
    <w:rsid w:val="009D1E89"/>
    <w:rsid w:val="009D4ED4"/>
    <w:rsid w:val="009E28AE"/>
    <w:rsid w:val="00A17A8A"/>
    <w:rsid w:val="00A42B0D"/>
    <w:rsid w:val="00A47D8E"/>
    <w:rsid w:val="00A543B2"/>
    <w:rsid w:val="00AA7F22"/>
    <w:rsid w:val="00AB0000"/>
    <w:rsid w:val="00AC0DF0"/>
    <w:rsid w:val="00AD4746"/>
    <w:rsid w:val="00AF4AED"/>
    <w:rsid w:val="00B00C81"/>
    <w:rsid w:val="00B53AA7"/>
    <w:rsid w:val="00B56721"/>
    <w:rsid w:val="00B6076D"/>
    <w:rsid w:val="00B9059A"/>
    <w:rsid w:val="00B978CE"/>
    <w:rsid w:val="00BB1955"/>
    <w:rsid w:val="00BF0BCF"/>
    <w:rsid w:val="00BF0EC3"/>
    <w:rsid w:val="00BF6522"/>
    <w:rsid w:val="00C062BE"/>
    <w:rsid w:val="00C153ED"/>
    <w:rsid w:val="00C1691E"/>
    <w:rsid w:val="00C52056"/>
    <w:rsid w:val="00C62C88"/>
    <w:rsid w:val="00C75608"/>
    <w:rsid w:val="00C826A9"/>
    <w:rsid w:val="00C9113B"/>
    <w:rsid w:val="00CA663E"/>
    <w:rsid w:val="00CE4D1B"/>
    <w:rsid w:val="00CF327A"/>
    <w:rsid w:val="00CF3ABD"/>
    <w:rsid w:val="00CF67F8"/>
    <w:rsid w:val="00D02C78"/>
    <w:rsid w:val="00D11E66"/>
    <w:rsid w:val="00D40879"/>
    <w:rsid w:val="00D41DCB"/>
    <w:rsid w:val="00D67598"/>
    <w:rsid w:val="00D7633A"/>
    <w:rsid w:val="00D817FC"/>
    <w:rsid w:val="00D82249"/>
    <w:rsid w:val="00D84D7B"/>
    <w:rsid w:val="00DB368F"/>
    <w:rsid w:val="00DB7F0A"/>
    <w:rsid w:val="00DD09A5"/>
    <w:rsid w:val="00DD129E"/>
    <w:rsid w:val="00DE344B"/>
    <w:rsid w:val="00DF2609"/>
    <w:rsid w:val="00E047D5"/>
    <w:rsid w:val="00E06EE5"/>
    <w:rsid w:val="00E17EC9"/>
    <w:rsid w:val="00E21404"/>
    <w:rsid w:val="00E327D7"/>
    <w:rsid w:val="00E3580F"/>
    <w:rsid w:val="00E55C96"/>
    <w:rsid w:val="00E6123D"/>
    <w:rsid w:val="00E6306F"/>
    <w:rsid w:val="00E83500"/>
    <w:rsid w:val="00F06071"/>
    <w:rsid w:val="00F0798A"/>
    <w:rsid w:val="00F36910"/>
    <w:rsid w:val="00F444D5"/>
    <w:rsid w:val="00F60692"/>
    <w:rsid w:val="00F67DEA"/>
    <w:rsid w:val="00F75842"/>
    <w:rsid w:val="00F862CC"/>
    <w:rsid w:val="00F86E5B"/>
    <w:rsid w:val="00F94B14"/>
    <w:rsid w:val="00FA7A71"/>
    <w:rsid w:val="00FB66F1"/>
    <w:rsid w:val="00FC35AF"/>
    <w:rsid w:val="00FD1512"/>
    <w:rsid w:val="00FD1F40"/>
    <w:rsid w:val="00FD3EB1"/>
    <w:rsid w:val="00FD530F"/>
    <w:rsid w:val="00FD5629"/>
    <w:rsid w:val="00FE03FF"/>
    <w:rsid w:val="00FE41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6BD5F"/>
  <w15:chartTrackingRefBased/>
  <w15:docId w15:val="{FBD3FCC5-048B-F34E-92D9-BF56B530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3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63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763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63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63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63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3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3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3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3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63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763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63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63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63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3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3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33A"/>
    <w:rPr>
      <w:rFonts w:eastAsiaTheme="majorEastAsia" w:cstheme="majorBidi"/>
      <w:color w:val="272727" w:themeColor="text1" w:themeTint="D8"/>
    </w:rPr>
  </w:style>
  <w:style w:type="paragraph" w:styleId="Title">
    <w:name w:val="Title"/>
    <w:basedOn w:val="Normal"/>
    <w:next w:val="Normal"/>
    <w:link w:val="TitleChar"/>
    <w:uiPriority w:val="10"/>
    <w:qFormat/>
    <w:rsid w:val="00D763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3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3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3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33A"/>
    <w:pPr>
      <w:spacing w:before="160"/>
      <w:jc w:val="center"/>
    </w:pPr>
    <w:rPr>
      <w:i/>
      <w:iCs/>
      <w:color w:val="404040" w:themeColor="text1" w:themeTint="BF"/>
    </w:rPr>
  </w:style>
  <w:style w:type="character" w:customStyle="1" w:styleId="QuoteChar">
    <w:name w:val="Quote Char"/>
    <w:basedOn w:val="DefaultParagraphFont"/>
    <w:link w:val="Quote"/>
    <w:uiPriority w:val="29"/>
    <w:rsid w:val="00D7633A"/>
    <w:rPr>
      <w:i/>
      <w:iCs/>
      <w:color w:val="404040" w:themeColor="text1" w:themeTint="BF"/>
    </w:rPr>
  </w:style>
  <w:style w:type="paragraph" w:styleId="ListParagraph">
    <w:name w:val="List Paragraph"/>
    <w:basedOn w:val="Normal"/>
    <w:uiPriority w:val="34"/>
    <w:qFormat/>
    <w:rsid w:val="00D7633A"/>
    <w:pPr>
      <w:ind w:left="720"/>
      <w:contextualSpacing/>
    </w:pPr>
  </w:style>
  <w:style w:type="character" w:styleId="IntenseEmphasis">
    <w:name w:val="Intense Emphasis"/>
    <w:basedOn w:val="DefaultParagraphFont"/>
    <w:uiPriority w:val="21"/>
    <w:qFormat/>
    <w:rsid w:val="00D7633A"/>
    <w:rPr>
      <w:i/>
      <w:iCs/>
      <w:color w:val="0F4761" w:themeColor="accent1" w:themeShade="BF"/>
    </w:rPr>
  </w:style>
  <w:style w:type="paragraph" w:styleId="IntenseQuote">
    <w:name w:val="Intense Quote"/>
    <w:basedOn w:val="Normal"/>
    <w:next w:val="Normal"/>
    <w:link w:val="IntenseQuoteChar"/>
    <w:uiPriority w:val="30"/>
    <w:qFormat/>
    <w:rsid w:val="00D763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633A"/>
    <w:rPr>
      <w:i/>
      <w:iCs/>
      <w:color w:val="0F4761" w:themeColor="accent1" w:themeShade="BF"/>
    </w:rPr>
  </w:style>
  <w:style w:type="character" w:styleId="IntenseReference">
    <w:name w:val="Intense Reference"/>
    <w:basedOn w:val="DefaultParagraphFont"/>
    <w:uiPriority w:val="32"/>
    <w:qFormat/>
    <w:rsid w:val="00D7633A"/>
    <w:rPr>
      <w:b/>
      <w:bCs/>
      <w:smallCaps/>
      <w:color w:val="0F4761" w:themeColor="accent1" w:themeShade="BF"/>
      <w:spacing w:val="5"/>
    </w:rPr>
  </w:style>
  <w:style w:type="character" w:styleId="Strong">
    <w:name w:val="Strong"/>
    <w:basedOn w:val="DefaultParagraphFont"/>
    <w:uiPriority w:val="22"/>
    <w:qFormat/>
    <w:rsid w:val="00D7633A"/>
    <w:rPr>
      <w:b/>
      <w:bCs/>
    </w:rPr>
  </w:style>
  <w:style w:type="paragraph" w:styleId="NormalWeb">
    <w:name w:val="Normal (Web)"/>
    <w:basedOn w:val="Normal"/>
    <w:uiPriority w:val="99"/>
    <w:unhideWhenUsed/>
    <w:rsid w:val="00D7633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D7633A"/>
  </w:style>
  <w:style w:type="character" w:styleId="Emphasis">
    <w:name w:val="Emphasis"/>
    <w:basedOn w:val="DefaultParagraphFont"/>
    <w:uiPriority w:val="20"/>
    <w:qFormat/>
    <w:rsid w:val="00D7633A"/>
    <w:rPr>
      <w:i/>
      <w:iCs/>
    </w:rPr>
  </w:style>
  <w:style w:type="character" w:styleId="Hyperlink">
    <w:name w:val="Hyperlink"/>
    <w:basedOn w:val="DefaultParagraphFont"/>
    <w:uiPriority w:val="99"/>
    <w:unhideWhenUsed/>
    <w:rsid w:val="00D817FC"/>
    <w:rPr>
      <w:color w:val="467886" w:themeColor="hyperlink"/>
      <w:u w:val="single"/>
    </w:rPr>
  </w:style>
  <w:style w:type="character" w:customStyle="1" w:styleId="s4">
    <w:name w:val="s4"/>
    <w:basedOn w:val="DefaultParagraphFont"/>
    <w:rsid w:val="00D817FC"/>
  </w:style>
  <w:style w:type="character" w:customStyle="1" w:styleId="s10">
    <w:name w:val="s10"/>
    <w:basedOn w:val="DefaultParagraphFont"/>
    <w:rsid w:val="00D817FC"/>
  </w:style>
  <w:style w:type="paragraph" w:customStyle="1" w:styleId="s7">
    <w:name w:val="s7"/>
    <w:basedOn w:val="Normal"/>
    <w:rsid w:val="00D817F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ibliography">
    <w:name w:val="Bibliography"/>
    <w:basedOn w:val="Normal"/>
    <w:next w:val="Normal"/>
    <w:uiPriority w:val="37"/>
    <w:unhideWhenUsed/>
    <w:rsid w:val="00D817FC"/>
    <w:pPr>
      <w:spacing w:after="0"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D82249"/>
    <w:rPr>
      <w:color w:val="605E5C"/>
      <w:shd w:val="clear" w:color="auto" w:fill="E1DFDD"/>
    </w:rPr>
  </w:style>
  <w:style w:type="character" w:styleId="FollowedHyperlink">
    <w:name w:val="FollowedHyperlink"/>
    <w:basedOn w:val="DefaultParagraphFont"/>
    <w:uiPriority w:val="99"/>
    <w:semiHidden/>
    <w:unhideWhenUsed/>
    <w:rsid w:val="004A56B0"/>
    <w:rPr>
      <w:color w:val="96607D" w:themeColor="followedHyperlink"/>
      <w:u w:val="single"/>
    </w:rPr>
  </w:style>
  <w:style w:type="paragraph" w:styleId="Footer">
    <w:name w:val="footer"/>
    <w:basedOn w:val="Normal"/>
    <w:link w:val="FooterChar"/>
    <w:uiPriority w:val="99"/>
    <w:unhideWhenUsed/>
    <w:rsid w:val="003166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6D8"/>
  </w:style>
  <w:style w:type="character" w:styleId="PageNumber">
    <w:name w:val="page number"/>
    <w:basedOn w:val="DefaultParagraphFont"/>
    <w:uiPriority w:val="99"/>
    <w:semiHidden/>
    <w:unhideWhenUsed/>
    <w:rsid w:val="003166D8"/>
  </w:style>
  <w:style w:type="paragraph" w:styleId="Revision">
    <w:name w:val="Revision"/>
    <w:hidden/>
    <w:uiPriority w:val="99"/>
    <w:semiHidden/>
    <w:rsid w:val="00D41DCB"/>
    <w:pPr>
      <w:spacing w:after="0" w:line="240" w:lineRule="auto"/>
    </w:pPr>
  </w:style>
  <w:style w:type="character" w:styleId="CommentReference">
    <w:name w:val="annotation reference"/>
    <w:basedOn w:val="DefaultParagraphFont"/>
    <w:uiPriority w:val="99"/>
    <w:semiHidden/>
    <w:unhideWhenUsed/>
    <w:rsid w:val="00273B95"/>
    <w:rPr>
      <w:sz w:val="16"/>
      <w:szCs w:val="16"/>
    </w:rPr>
  </w:style>
  <w:style w:type="paragraph" w:styleId="CommentText">
    <w:name w:val="annotation text"/>
    <w:basedOn w:val="Normal"/>
    <w:link w:val="CommentTextChar"/>
    <w:uiPriority w:val="99"/>
    <w:unhideWhenUsed/>
    <w:rsid w:val="00273B95"/>
    <w:pPr>
      <w:spacing w:line="240" w:lineRule="auto"/>
    </w:pPr>
    <w:rPr>
      <w:sz w:val="20"/>
      <w:szCs w:val="20"/>
    </w:rPr>
  </w:style>
  <w:style w:type="character" w:customStyle="1" w:styleId="CommentTextChar">
    <w:name w:val="Comment Text Char"/>
    <w:basedOn w:val="DefaultParagraphFont"/>
    <w:link w:val="CommentText"/>
    <w:uiPriority w:val="99"/>
    <w:rsid w:val="00273B95"/>
    <w:rPr>
      <w:sz w:val="20"/>
      <w:szCs w:val="20"/>
    </w:rPr>
  </w:style>
  <w:style w:type="paragraph" w:styleId="CommentSubject">
    <w:name w:val="annotation subject"/>
    <w:basedOn w:val="CommentText"/>
    <w:next w:val="CommentText"/>
    <w:link w:val="CommentSubjectChar"/>
    <w:uiPriority w:val="99"/>
    <w:semiHidden/>
    <w:unhideWhenUsed/>
    <w:rsid w:val="00273B95"/>
    <w:rPr>
      <w:b/>
      <w:bCs/>
    </w:rPr>
  </w:style>
  <w:style w:type="character" w:customStyle="1" w:styleId="CommentSubjectChar">
    <w:name w:val="Comment Subject Char"/>
    <w:basedOn w:val="CommentTextChar"/>
    <w:link w:val="CommentSubject"/>
    <w:uiPriority w:val="99"/>
    <w:semiHidden/>
    <w:rsid w:val="00273B95"/>
    <w:rPr>
      <w:b/>
      <w:bCs/>
      <w:sz w:val="20"/>
      <w:szCs w:val="20"/>
    </w:rPr>
  </w:style>
  <w:style w:type="paragraph" w:styleId="Header">
    <w:name w:val="header"/>
    <w:basedOn w:val="Normal"/>
    <w:link w:val="HeaderChar"/>
    <w:uiPriority w:val="99"/>
    <w:semiHidden/>
    <w:unhideWhenUsed/>
    <w:rsid w:val="00C62C8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2C88"/>
  </w:style>
  <w:style w:type="character" w:styleId="LineNumber">
    <w:name w:val="line number"/>
    <w:basedOn w:val="DefaultParagraphFont"/>
    <w:uiPriority w:val="99"/>
    <w:semiHidden/>
    <w:unhideWhenUsed/>
    <w:rsid w:val="00D11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cois.2022.100946" TargetMode="External"/><Relationship Id="rId18" Type="http://schemas.openxmlformats.org/officeDocument/2006/relationships/hyperlink" Target="https://doi.org/10.3389/fsufs.2022.853359" TargetMode="External"/><Relationship Id="rId26" Type="http://schemas.openxmlformats.org/officeDocument/2006/relationships/hyperlink" Target="https://doi.org/10.1080/09670874.2023.2244912" TargetMode="External"/><Relationship Id="rId39" Type="http://schemas.openxmlformats.org/officeDocument/2006/relationships/fontTable" Target="fontTable.xml"/><Relationship Id="rId21" Type="http://schemas.openxmlformats.org/officeDocument/2006/relationships/hyperlink" Target="https://doi.org/10.1038/s42003-024-06027-6" TargetMode="External"/><Relationship Id="rId34" Type="http://schemas.openxmlformats.org/officeDocument/2006/relationships/hyperlink" Target="https://doi.org/10.3389/fsufs.2024.1321067" TargetMode="External"/><Relationship Id="rId7" Type="http://schemas.openxmlformats.org/officeDocument/2006/relationships/image" Target="media/image1.png"/><Relationship Id="rId12" Type="http://schemas.openxmlformats.org/officeDocument/2006/relationships/hyperlink" Target="https://doi.org/10.1002/ps.6452" TargetMode="External"/><Relationship Id="rId17" Type="http://schemas.openxmlformats.org/officeDocument/2006/relationships/hyperlink" Target="https://doi.org/10.1016/j.landusepol.2018.04.016" TargetMode="External"/><Relationship Id="rId25" Type="http://schemas.openxmlformats.org/officeDocument/2006/relationships/hyperlink" Target="https://doi.org/10.1002/ldr.70136" TargetMode="External"/><Relationship Id="rId33" Type="http://schemas.openxmlformats.org/officeDocument/2006/relationships/hyperlink" Target="https://doi.org/10.1073/pnas.2108429118"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jstor.org/stable/27098593" TargetMode="External"/><Relationship Id="rId20" Type="http://schemas.openxmlformats.org/officeDocument/2006/relationships/hyperlink" Target="https://doi.org/10.37433/aad.v4i3.329" TargetMode="External"/><Relationship Id="rId29" Type="http://schemas.openxmlformats.org/officeDocument/2006/relationships/hyperlink" Target="https://doi.org/10.3390/w1424413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oi.org/10.1017/S0021859618000473" TargetMode="External"/><Relationship Id="rId24" Type="http://schemas.openxmlformats.org/officeDocument/2006/relationships/hyperlink" Target="https://doi.org/10.3390/su131810295" TargetMode="External"/><Relationship Id="rId32" Type="http://schemas.openxmlformats.org/officeDocument/2006/relationships/hyperlink" Target="https://doi.org/10.3389/fmicb.2022.962619"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16/j.jclepro.2019.04.149" TargetMode="External"/><Relationship Id="rId23" Type="http://schemas.openxmlformats.org/officeDocument/2006/relationships/hyperlink" Target="https://doi.org/10.1017/S1742170520000423" TargetMode="External"/><Relationship Id="rId28" Type="http://schemas.openxmlformats.org/officeDocument/2006/relationships/hyperlink" Target="https://journals.sagepub.com/doi/10.1177/1609406919899220" TargetMode="External"/><Relationship Id="rId36" Type="http://schemas.openxmlformats.org/officeDocument/2006/relationships/hyperlink" Target="https://doi.org/10.17159/2413-3221/2025/v53n3a17758" TargetMode="External"/><Relationship Id="rId10" Type="http://schemas.openxmlformats.org/officeDocument/2006/relationships/hyperlink" Target="https://scholarworks.bgsu.edu/mwer/vol20/iss1/10" TargetMode="External"/><Relationship Id="rId19" Type="http://schemas.openxmlformats.org/officeDocument/2006/relationships/hyperlink" Target="https://doi.org/10.3390/insects10060179" TargetMode="External"/><Relationship Id="rId31" Type="http://schemas.openxmlformats.org/officeDocument/2006/relationships/hyperlink" Target="https://doi.org/10.1073/pnas.1312693111" TargetMode="External"/><Relationship Id="rId4" Type="http://schemas.openxmlformats.org/officeDocument/2006/relationships/webSettings" Target="webSettings.xml"/><Relationship Id="rId9" Type="http://schemas.openxmlformats.org/officeDocument/2006/relationships/hyperlink" Target="https://doi.org/10.1155/2023/5546373" TargetMode="External"/><Relationship Id="rId14" Type="http://schemas.openxmlformats.org/officeDocument/2006/relationships/hyperlink" Target="https://doi.org/10.1007/s13593-021-00689-w" TargetMode="External"/><Relationship Id="rId22" Type="http://schemas.openxmlformats.org/officeDocument/2006/relationships/hyperlink" Target="https://doi.org/10.1093/jipm/pmac028" TargetMode="External"/><Relationship Id="rId27" Type="http://schemas.openxmlformats.org/officeDocument/2006/relationships/hyperlink" Target="https://doi.org/10.3390/agronomy15030627" TargetMode="External"/><Relationship Id="rId30" Type="http://schemas.openxmlformats.org/officeDocument/2006/relationships/hyperlink" Target="https://doi.org/10.18805/IJARe.A-5924" TargetMode="External"/><Relationship Id="rId35" Type="http://schemas.openxmlformats.org/officeDocument/2006/relationships/hyperlink" Target="https://doi.org/10.1002/2688-8319.70087"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73D9A-3D9C-B84C-9AD8-5DD2077EA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4466</Words>
  <Characters>25462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Baffour-Awuah</dc:creator>
  <cp:keywords/>
  <dc:description/>
  <cp:lastModifiedBy>Dennis Baffour-Awuah</cp:lastModifiedBy>
  <cp:revision>2</cp:revision>
  <dcterms:created xsi:type="dcterms:W3CDTF">2026-01-06T18:46:00Z</dcterms:created>
  <dcterms:modified xsi:type="dcterms:W3CDTF">2026-01-06T18:46:00Z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031179cf-6098-4a6b-9b5d-b96a8dcc7836</vt:lpwstr>
  </property>
  <property fmtid="{D5CDD505-2E9C-101B-9397-08002B2CF9AE}" pid="3" name="ZOTERO_PREF_1">
    <vt:lpwstr>&lt;data data-version="3" zotero-version="7.0.30"&gt;&lt;session id="r4uV00Rd"/&gt;&lt;style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