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301870CF" w:rsidR="008642B9" w:rsidRDefault="00000000">
      <w:pPr>
        <w:jc w:val="center"/>
        <w:rPr>
          <w:b/>
        </w:rPr>
      </w:pPr>
      <w:r>
        <w:rPr>
          <w:b/>
        </w:rPr>
        <w:t>Examining Community Building Practices in Postsecondary Agricultural Science</w:t>
      </w:r>
      <w:r w:rsidR="00580AD8">
        <w:rPr>
          <w:b/>
        </w:rPr>
        <w:t>s Education</w:t>
      </w:r>
      <w:r>
        <w:rPr>
          <w:b/>
        </w:rPr>
        <w:t xml:space="preserve"> Classrooms through Inclusive </w:t>
      </w:r>
      <w:sdt>
        <w:sdtPr>
          <w:tag w:val="goog_rdk_0"/>
          <w:id w:val="1735565429"/>
        </w:sdtPr>
        <w:sdtContent/>
      </w:sdt>
      <w:sdt>
        <w:sdtPr>
          <w:tag w:val="goog_rdk_1"/>
          <w:id w:val="885318345"/>
        </w:sdtPr>
        <w:sdtContent/>
      </w:sdt>
      <w:r>
        <w:rPr>
          <w:b/>
        </w:rPr>
        <w:t>Pedagogies</w:t>
      </w:r>
    </w:p>
    <w:p w14:paraId="486368ED" w14:textId="77777777" w:rsidR="005504DE" w:rsidRDefault="005504DE">
      <w:pPr>
        <w:jc w:val="center"/>
        <w:rPr>
          <w:b/>
        </w:rPr>
      </w:pPr>
    </w:p>
    <w:p w14:paraId="7B81F890" w14:textId="009D6397" w:rsidR="005504DE" w:rsidRDefault="005504DE">
      <w:pPr>
        <w:jc w:val="center"/>
        <w:rPr>
          <w:bCs/>
        </w:rPr>
      </w:pPr>
      <w:r>
        <w:rPr>
          <w:bCs/>
        </w:rPr>
        <w:t>Torrie A. Cropps, University of Texas at Dallas</w:t>
      </w:r>
    </w:p>
    <w:p w14:paraId="411941A7" w14:textId="00845740" w:rsidR="005504DE" w:rsidRDefault="005504DE">
      <w:pPr>
        <w:jc w:val="center"/>
        <w:rPr>
          <w:bCs/>
        </w:rPr>
      </w:pPr>
      <w:r>
        <w:rPr>
          <w:bCs/>
        </w:rPr>
        <w:t>Mia C. Sullivan, Pennsylvania State University</w:t>
      </w:r>
    </w:p>
    <w:p w14:paraId="457DCC76" w14:textId="6B3F341F" w:rsidR="005504DE" w:rsidRPr="005504DE" w:rsidRDefault="005504DE">
      <w:pPr>
        <w:jc w:val="center"/>
        <w:rPr>
          <w:bCs/>
        </w:rPr>
      </w:pPr>
      <w:r>
        <w:rPr>
          <w:bCs/>
        </w:rPr>
        <w:t>Courtney P. Brown, Oklahoma State University</w:t>
      </w:r>
    </w:p>
    <w:p w14:paraId="00000002" w14:textId="77777777" w:rsidR="008642B9" w:rsidRDefault="008642B9">
      <w:pPr>
        <w:jc w:val="center"/>
      </w:pPr>
    </w:p>
    <w:p w14:paraId="00000003" w14:textId="77777777" w:rsidR="008642B9" w:rsidRDefault="00000000">
      <w:pPr>
        <w:jc w:val="center"/>
        <w:rPr>
          <w:b/>
        </w:rPr>
      </w:pPr>
      <w:sdt>
        <w:sdtPr>
          <w:tag w:val="goog_rdk_2"/>
          <w:id w:val="-574204963"/>
        </w:sdtPr>
        <w:sdtContent/>
      </w:sdt>
      <w:r>
        <w:rPr>
          <w:b/>
        </w:rPr>
        <w:t>Introduction, Purpose, &amp; Objectives</w:t>
      </w:r>
    </w:p>
    <w:p w14:paraId="00000004" w14:textId="1A0043AF" w:rsidR="008642B9" w:rsidRDefault="00000000">
      <w:pPr>
        <w:jc w:val="both"/>
      </w:pPr>
      <w:r>
        <w:t xml:space="preserve">A sense of community and belonging is vital to students’ success in and outside the classroom (Strayhorn, 2019). Research indicates that students with “strong communal ties” in a class are more likely to attend class regularly, be engaged in class activities and discussion, and graduate from college (Elliott et al., 2016; Freeman et al., 2010; McKinney et al., 2006). In fact, nearly 90% of students cited classroom community as a major contributor to satisfaction and academic performance (Harris, 2001). More recently, </w:t>
      </w:r>
      <w:r w:rsidR="00BD5CDE">
        <w:t>Cropps and Esters</w:t>
      </w:r>
      <w:r>
        <w:t xml:space="preserve"> (2021) found that classroom community helped students to understand complex topics and provided a safe place to discuss social issues. The purpose of this conceptual piece is to engage in deeper analysis of classroom community by understanding how when coupled, culturally sustaining pedagogy and humanizing pedagogy can help increase students’ engagement and enhance classroom communal experiences. The objective of this paper is to propose strategies for application of these pedagogies in postsecondary agricultural science classrooms.</w:t>
      </w:r>
    </w:p>
    <w:p w14:paraId="00000005" w14:textId="77777777" w:rsidR="008642B9" w:rsidRDefault="008642B9"/>
    <w:p w14:paraId="00000006" w14:textId="77777777" w:rsidR="008642B9" w:rsidRDefault="00000000">
      <w:pPr>
        <w:jc w:val="center"/>
        <w:rPr>
          <w:b/>
        </w:rPr>
      </w:pPr>
      <w:r>
        <w:rPr>
          <w:b/>
        </w:rPr>
        <w:t>Literature Review</w:t>
      </w:r>
    </w:p>
    <w:p w14:paraId="00000007" w14:textId="77777777" w:rsidR="008642B9" w:rsidRDefault="00000000">
      <w:pPr>
        <w:rPr>
          <w:b/>
        </w:rPr>
      </w:pPr>
      <w:r>
        <w:rPr>
          <w:b/>
        </w:rPr>
        <w:t xml:space="preserve">Classroom Community </w:t>
      </w:r>
    </w:p>
    <w:p w14:paraId="00000008" w14:textId="77777777" w:rsidR="008642B9" w:rsidRDefault="00000000">
      <w:pPr>
        <w:jc w:val="both"/>
      </w:pPr>
      <w:r>
        <w:t xml:space="preserve">Scholars have attempted to define community for quite some time; however, as with many terms, there is not one set definition. Across the many definitions, though, there are three interconnected ideas used to describe the concept of community: community as physical space, community as shared values/interests, and community as a communication process (Elliott et al., 2016). Accordingly, classroom community has been examined in the contexts of leveraging a </w:t>
      </w:r>
      <w:r>
        <w:rPr>
          <w:i/>
        </w:rPr>
        <w:t>third place</w:t>
      </w:r>
      <w:r>
        <w:t xml:space="preserve"> or shared academic location/space (Oldenburg, 1999), the need for openness and acceptance through </w:t>
      </w:r>
      <w:r>
        <w:rPr>
          <w:i/>
        </w:rPr>
        <w:t>genuine dialogue</w:t>
      </w:r>
      <w:r>
        <w:t xml:space="preserve"> (Buber, 1955), and the need for common interests through </w:t>
      </w:r>
      <w:r>
        <w:rPr>
          <w:i/>
        </w:rPr>
        <w:t>strong ties</w:t>
      </w:r>
      <w:r>
        <w:t xml:space="preserve"> (Wenger, 1998). Much of the research on classroom community has been limited to primary and secondary settings (Elliott et al., 2016); however, given its connections to sense of belonging and sense of belonging’s implications for student success and retention (Strayhorn, 2019), there is a clear case for postsecondary research to explore classroom community.</w:t>
      </w:r>
    </w:p>
    <w:p w14:paraId="00000009" w14:textId="77777777" w:rsidR="008642B9" w:rsidRDefault="008642B9"/>
    <w:p w14:paraId="0000000A" w14:textId="2C046463" w:rsidR="008642B9" w:rsidRDefault="00000000">
      <w:pPr>
        <w:jc w:val="both"/>
      </w:pPr>
      <w:r>
        <w:t xml:space="preserve">Consistent with research conducted at the primary and secondary levels, Kirby and Thomas (2021) found that pedagogical caring and professional competence to belonging in the classroom were important at the postsecondary level. Several studies (Jones, 2008; Thompson, 2008; Thompson &amp; Mazer, 2009; Tinto, 2006) at the postsecondary level found that classroom belongingness improves academic performance and motivation by supporting students’ emotional, academic, and practical needs. Additionally, instructor characteristics, such as being caring, accessible, approachable, and authentic, have been shown as a predictor of academic persistence for at-promise postsecondary students and increased classroom belongingness (Booker, 2016). When instructors engage in practices like Culturally Engaged Campus Environments (CECE; Tinto, 2006), they use humanized education and holistic support. Humanized education describes when students feel like instructors and staff care for their well-being. Holistic support expands on that </w:t>
      </w:r>
      <w:r>
        <w:lastRenderedPageBreak/>
        <w:t xml:space="preserve">concept, explaining that students are holistically supported if they have at least one “go-to” instructor or staff they can connect with. Engaging in these practices and furthering CECE help students feel they belong, which is especially important for students who are marginalized in higher education, e.g., racially/ethnically minoritized groups, international students, commuter students, first-generation students, and others (Kirby &amp; Thomas, 2021). As classroom belonging may be more important than campus-level belonging (Blackwell-Starnes, 2018; </w:t>
      </w:r>
      <w:r w:rsidR="00BD5CDE">
        <w:t>Cropps</w:t>
      </w:r>
      <w:r>
        <w:t>, 2023; Wilson et al., 2015), instructors must work to cultivate healthy classroom communities and climates.</w:t>
      </w:r>
    </w:p>
    <w:p w14:paraId="0000000B" w14:textId="77777777" w:rsidR="008642B9" w:rsidRDefault="008642B9"/>
    <w:p w14:paraId="0000000C" w14:textId="77777777" w:rsidR="008642B9" w:rsidRDefault="00000000">
      <w:pPr>
        <w:jc w:val="both"/>
      </w:pPr>
      <w:r>
        <w:t xml:space="preserve">Unsurprisingly, scholars assert that the instructor plays a vital role in creating classroom community (Wong et al., 2013). Instructors not only contribute to classroom culture and community, but also establish its norms and expectations by “modeling preferred attitudes for community, creating a physical environment conducive to community, and framing the subject of inquiry for the class” (p. 49). Wong et al.’s work is supported by more recent scholarship from Kirby and Thomas (2021), who found that teachers’ behaviors predicted and contributed to students’ classroom connectedness, community of learning, and high academic expectations. Students also play a role, as they must also contribute to the community and create their own communal ties (Greene &amp; Mitcham, 2012). Instructors must create a supportive classroom culture that encourages this practice. To do so, Bettez and Hytten (2013) emphasize starting the community building process at the administrative level, moving beyond implementing high-impact practices and role modeling. Instead, instructors must “conscientiously create community through facilitation of activities that require students to both critically reflect upon their experiences and simultaneously support each other” (Bettez &amp; Hytten, 2013, p. 22). </w:t>
      </w:r>
      <w:sdt>
        <w:sdtPr>
          <w:tag w:val="goog_rdk_3"/>
          <w:id w:val="-1213271262"/>
        </w:sdtPr>
        <w:sdtContent/>
      </w:sdt>
      <w:r>
        <w:t>To achieve this, the university must support instructors in creating a classroom environment where the students and instructors can talk openly about their challenges, hopes, and feelings and be a space that encourages connection rather than competition.</w:t>
      </w:r>
    </w:p>
    <w:p w14:paraId="0000000D" w14:textId="77777777" w:rsidR="008642B9" w:rsidRDefault="008642B9">
      <w:pPr>
        <w:rPr>
          <w:b/>
        </w:rPr>
      </w:pPr>
    </w:p>
    <w:p w14:paraId="0000000E" w14:textId="77777777" w:rsidR="008642B9" w:rsidRDefault="00000000">
      <w:pPr>
        <w:rPr>
          <w:b/>
        </w:rPr>
      </w:pPr>
      <w:sdt>
        <w:sdtPr>
          <w:tag w:val="goog_rdk_4"/>
          <w:id w:val="-1124192925"/>
        </w:sdtPr>
        <w:sdtContent/>
      </w:sdt>
      <w:r>
        <w:rPr>
          <w:b/>
        </w:rPr>
        <w:t>Inclusive Pedagogies</w:t>
      </w:r>
    </w:p>
    <w:p w14:paraId="0000000F" w14:textId="7539C598" w:rsidR="008642B9" w:rsidRDefault="00000000">
      <w:pPr>
        <w:jc w:val="both"/>
      </w:pPr>
      <w:r>
        <w:t>Inclusive teaching is a crucial component of effective education and more specifically, classroom community. Inclusive pedagogies encompass a range of approaches that seek to create and cultivate learning environments that are accessible, engaging, and supportive for all students regardless of background or identity. Inclusive pedagogies have gained traction among agricultural science and education researchers and instructors (</w:t>
      </w:r>
      <w:proofErr w:type="spellStart"/>
      <w:r>
        <w:t>e.g</w:t>
      </w:r>
      <w:proofErr w:type="spellEnd"/>
      <w:r>
        <w:t xml:space="preserve">, land-based pedagogy, critical pedagogy of agriculture) (Hartmann &amp; Mann, 2021). In higher education, a shift towards decolonizing and culturally relevant and responsive pedagogies bring voices of Indigenous and marginalized communities back into research and pedagogy that has historically been based on one perspective: </w:t>
      </w:r>
      <w:sdt>
        <w:sdtPr>
          <w:tag w:val="goog_rdk_5"/>
          <w:id w:val="93150259"/>
        </w:sdtPr>
        <w:sdtContent/>
      </w:sdt>
      <w:r>
        <w:t>white academic systems and settler colonial narratives (Garba &amp; Sorentino, 2020; Ladson-Billings, 1995; Muhammad &amp; Williams, 2023; Tuck &amp; Yang, 2012). This shift challenges educators to seek more professional development opportunities to develop their cultural competence to create a more inclusive classroom environment for the diverse learners. In this conceptual paper, we will focus on culturally sustaining pedagogies and humanizing pedagogies as approaches to consider when creating inclusive classroom communities in agricultural sciences education programs.</w:t>
      </w:r>
    </w:p>
    <w:p w14:paraId="00000010" w14:textId="77777777" w:rsidR="008642B9" w:rsidRDefault="008642B9">
      <w:pPr>
        <w:jc w:val="center"/>
      </w:pPr>
    </w:p>
    <w:p w14:paraId="00000011" w14:textId="77777777" w:rsidR="008642B9" w:rsidRDefault="00000000">
      <w:pPr>
        <w:jc w:val="center"/>
      </w:pPr>
      <w:r>
        <w:rPr>
          <w:b/>
        </w:rPr>
        <w:t>Conceptual Frameworks</w:t>
      </w:r>
    </w:p>
    <w:p w14:paraId="00000012" w14:textId="77777777" w:rsidR="008642B9" w:rsidRDefault="00000000">
      <w:pPr>
        <w:rPr>
          <w:b/>
        </w:rPr>
      </w:pPr>
      <w:r>
        <w:rPr>
          <w:b/>
        </w:rPr>
        <w:t>Culturally Sustaining Pedagogy</w:t>
      </w:r>
    </w:p>
    <w:p w14:paraId="00000013" w14:textId="77777777" w:rsidR="008642B9" w:rsidRDefault="00000000">
      <w:pPr>
        <w:jc w:val="both"/>
      </w:pPr>
      <w:r>
        <w:lastRenderedPageBreak/>
        <w:t>Culturally sustaining pedagogy (CSP) is an expansion on Ladson-Billing’s (1994) culturally relevant pedagogy and calls for teaching strategy to be more than responsive or relevant; it requires that strategies support students in sustaining the cultural and linguistic competencies of their communities while simultaneously providing access to dominant cultural competence (Paris, 2021). As the body of scholarship around CSP has grown, four key features have emerged: (1) critical centering of dynamic communities, their valued languages, practices, and knowledges across the learning setting; (2) community accountability, with students and intergenerational community agency and input; (3) working to be in good relationship with the land, the people of the land, and students and communities; and (4) structured opportunities to contend with internalized oppressions (Paris, 2021). Paris (2021) calls for instructors to “flip” these features into questions as curricular and pedagogical filters to design culturally sustaining spaces with community members.</w:t>
      </w:r>
    </w:p>
    <w:p w14:paraId="00000014" w14:textId="77777777" w:rsidR="008642B9" w:rsidRDefault="008642B9"/>
    <w:p w14:paraId="00000015" w14:textId="77777777" w:rsidR="008642B9" w:rsidRDefault="00000000">
      <w:pPr>
        <w:rPr>
          <w:b/>
        </w:rPr>
      </w:pPr>
      <w:r>
        <w:rPr>
          <w:b/>
        </w:rPr>
        <w:t>Humanizing Pedagogy</w:t>
      </w:r>
    </w:p>
    <w:p w14:paraId="00000016" w14:textId="77777777" w:rsidR="008642B9" w:rsidRDefault="00000000">
      <w:pPr>
        <w:jc w:val="both"/>
      </w:pPr>
      <w:r>
        <w:t>Freire (1970) described humanizing pedagogy (HP) as a revolutionary pedagogical approach that “ceases to be an instrument by which teachers can manipulate students, but rather expresses the consciousness of the students themselves” (p. 51). He further explained that instructors who use humanizing pedagogy engage in a process of “mutual humanization” with their students through problem-based education with students as coinvestigators in dialogue with their instructors as co-constructors of knowledge. Instructors should engage in this dialogic approach with the goal of critical consciousness, which is the ability to “perceive social, political, and economic contradictions, and to take action against the oppressive elements of reality” (p. 17).</w:t>
      </w:r>
    </w:p>
    <w:p w14:paraId="00000017" w14:textId="77777777" w:rsidR="008642B9" w:rsidRDefault="008642B9">
      <w:pPr>
        <w:jc w:val="both"/>
      </w:pPr>
    </w:p>
    <w:p w14:paraId="00000018" w14:textId="77777777" w:rsidR="008642B9" w:rsidRDefault="00000000">
      <w:pPr>
        <w:jc w:val="both"/>
        <w:rPr>
          <w:b/>
        </w:rPr>
      </w:pPr>
      <w:r>
        <w:t xml:space="preserve">Building on Freire’s work and synthesizing more recent, global scholarship on humanizing pedagogy, del Carmen Salazar (2013) asserts that humanizing pedagogy views students as active and capable knowers rather than empty vessels to be filled and emphasizes “the process of becoming more fully human as social, historical, thinking, communicating, transformative, creative persons who participate in and with the world” (del Carmen Salazar, 2013, p. 126). Further, she outlined five tenets as requisite in the pursuit of one’s full humanity through pedagogy: (1) full development of the person, (2) denial of someone else’s humanization is a denial of one’s own, (3) the humanization journey is an individual and collective effort towards critical consciousness, (4) critical reflection and action can transform oppressive structures that impede our humanness, and (5) educators are responsible for promoting a more human world through their pedagogies. </w:t>
      </w:r>
    </w:p>
    <w:p w14:paraId="00000019" w14:textId="77777777" w:rsidR="008642B9" w:rsidRDefault="008642B9">
      <w:pPr>
        <w:rPr>
          <w:b/>
        </w:rPr>
      </w:pPr>
    </w:p>
    <w:p w14:paraId="0000001A" w14:textId="77777777" w:rsidR="008642B9" w:rsidRDefault="00000000">
      <w:pPr>
        <w:jc w:val="center"/>
      </w:pPr>
      <w:r>
        <w:rPr>
          <w:b/>
        </w:rPr>
        <w:t>Methods</w:t>
      </w:r>
    </w:p>
    <w:p w14:paraId="0000001B" w14:textId="77777777" w:rsidR="008642B9" w:rsidRDefault="00000000">
      <w:pPr>
        <w:jc w:val="both"/>
      </w:pPr>
      <w:r>
        <w:t>Freire (1970) called for scholars to “reinvent” humanizing pedagogy within their own contexts. To consider ways to reinvent humanizing pedagogy in our own context of agricultural sciences, education, leadership, and communication, we ask: What could humanizing pedagogy look and feel like for agricultural sciences education? Further, we expand on this reimagining by seeking to couple humanizing pedagogy with culturally sustaining pedagogy, which has the potential to enhance classroom community, holistic development, and uplift students’ cultural ways of life and knowing. We pulled literature and practices from agricultural sciences education and leadership; environmental education and history; inclusive education literature; and reflections from our own experiences as students and as instructors.</w:t>
      </w:r>
    </w:p>
    <w:p w14:paraId="0000001C" w14:textId="77777777" w:rsidR="008642B9" w:rsidRDefault="008642B9"/>
    <w:p w14:paraId="0000001D" w14:textId="77777777" w:rsidR="008642B9" w:rsidRDefault="00000000">
      <w:pPr>
        <w:jc w:val="center"/>
        <w:rPr>
          <w:b/>
        </w:rPr>
      </w:pPr>
      <w:r>
        <w:rPr>
          <w:b/>
        </w:rPr>
        <w:lastRenderedPageBreak/>
        <w:t>Results</w:t>
      </w:r>
    </w:p>
    <w:p w14:paraId="0000001E" w14:textId="77777777" w:rsidR="008642B9" w:rsidRDefault="00000000">
      <w:pPr>
        <w:jc w:val="both"/>
      </w:pPr>
      <w:r>
        <w:t>Table 1 describes brief exemplifications that feature student-centered strategies and practices that contribute to classroom community and student engagement in the agricultural postsecondary classroom setting. These strategies are not discipline-specific so that they may be adapted across agricultural classroom contexts. Following the table are brief discipline-specific examples.</w:t>
      </w:r>
    </w:p>
    <w:p w14:paraId="0000001F" w14:textId="77777777" w:rsidR="008642B9" w:rsidRDefault="008642B9"/>
    <w:p w14:paraId="00000020" w14:textId="4F33FAFC" w:rsidR="008642B9" w:rsidRDefault="00000000">
      <w:pPr>
        <w:rPr>
          <w:b/>
        </w:rPr>
      </w:pPr>
      <w:sdt>
        <w:sdtPr>
          <w:tag w:val="goog_rdk_6"/>
          <w:id w:val="1853329655"/>
        </w:sdtPr>
        <w:sdtContent/>
      </w:sdt>
      <w:r>
        <w:rPr>
          <w:b/>
        </w:rPr>
        <w:t>Table 1</w:t>
      </w:r>
    </w:p>
    <w:p w14:paraId="00000021" w14:textId="77777777" w:rsidR="008642B9" w:rsidRDefault="00000000">
      <w:pPr>
        <w:rPr>
          <w:i/>
        </w:rPr>
      </w:pPr>
      <w:r>
        <w:rPr>
          <w:i/>
        </w:rPr>
        <w:t>Strategies, Practices, and Results of Coupling Culturally Sustaining and Humanizing Pedagogies</w:t>
      </w:r>
    </w:p>
    <w:p w14:paraId="00000022" w14:textId="77777777" w:rsidR="008642B9" w:rsidRDefault="008642B9">
      <w:pPr>
        <w:rPr>
          <w:i/>
        </w:rPr>
      </w:pPr>
    </w:p>
    <w:tbl>
      <w:tblPr>
        <w:tblStyle w:val="a"/>
        <w:tblW w:w="9350" w:type="dxa"/>
        <w:tblBorders>
          <w:bottom w:val="single" w:sz="4" w:space="0" w:color="000000"/>
          <w:insideH w:val="single" w:sz="4" w:space="0" w:color="000000"/>
        </w:tblBorders>
        <w:tblLayout w:type="fixed"/>
        <w:tblLook w:val="0400" w:firstRow="0" w:lastRow="0" w:firstColumn="0" w:lastColumn="0" w:noHBand="0" w:noVBand="1"/>
      </w:tblPr>
      <w:tblGrid>
        <w:gridCol w:w="2065"/>
        <w:gridCol w:w="3642"/>
        <w:gridCol w:w="3643"/>
      </w:tblGrid>
      <w:tr w:rsidR="008642B9" w:rsidRPr="00FB4CC8" w14:paraId="33C610F4" w14:textId="77777777" w:rsidTr="00FB4CC8">
        <w:tc>
          <w:tcPr>
            <w:tcW w:w="2065" w:type="dxa"/>
            <w:tcBorders>
              <w:top w:val="single" w:sz="4" w:space="0" w:color="auto"/>
              <w:bottom w:val="single" w:sz="4" w:space="0" w:color="000000"/>
            </w:tcBorders>
          </w:tcPr>
          <w:p w14:paraId="00000023" w14:textId="77777777" w:rsidR="008642B9" w:rsidRPr="00FB4CC8" w:rsidRDefault="00000000">
            <w:pPr>
              <w:rPr>
                <w:sz w:val="20"/>
                <w:szCs w:val="20"/>
              </w:rPr>
            </w:pPr>
            <w:r w:rsidRPr="00FB4CC8">
              <w:rPr>
                <w:sz w:val="20"/>
                <w:szCs w:val="20"/>
              </w:rPr>
              <w:t>Strategy</w:t>
            </w:r>
          </w:p>
        </w:tc>
        <w:tc>
          <w:tcPr>
            <w:tcW w:w="3642" w:type="dxa"/>
            <w:tcBorders>
              <w:top w:val="single" w:sz="4" w:space="0" w:color="auto"/>
              <w:bottom w:val="single" w:sz="4" w:space="0" w:color="000000"/>
            </w:tcBorders>
          </w:tcPr>
          <w:p w14:paraId="00000024" w14:textId="77777777" w:rsidR="008642B9" w:rsidRPr="00FB4CC8" w:rsidRDefault="00000000">
            <w:pPr>
              <w:rPr>
                <w:sz w:val="20"/>
                <w:szCs w:val="20"/>
              </w:rPr>
            </w:pPr>
            <w:r w:rsidRPr="00FB4CC8">
              <w:rPr>
                <w:sz w:val="20"/>
                <w:szCs w:val="20"/>
              </w:rPr>
              <w:t>Practices</w:t>
            </w:r>
          </w:p>
        </w:tc>
        <w:tc>
          <w:tcPr>
            <w:tcW w:w="3643" w:type="dxa"/>
            <w:tcBorders>
              <w:top w:val="single" w:sz="4" w:space="0" w:color="auto"/>
              <w:bottom w:val="single" w:sz="4" w:space="0" w:color="000000"/>
            </w:tcBorders>
          </w:tcPr>
          <w:p w14:paraId="00000025" w14:textId="77777777" w:rsidR="008642B9" w:rsidRPr="00FB4CC8" w:rsidRDefault="00000000">
            <w:pPr>
              <w:rPr>
                <w:sz w:val="20"/>
                <w:szCs w:val="20"/>
              </w:rPr>
            </w:pPr>
            <w:r w:rsidRPr="00FB4CC8">
              <w:rPr>
                <w:sz w:val="20"/>
                <w:szCs w:val="20"/>
              </w:rPr>
              <w:t>Result</w:t>
            </w:r>
          </w:p>
        </w:tc>
      </w:tr>
      <w:tr w:rsidR="008642B9" w:rsidRPr="00FB4CC8" w14:paraId="508534B6" w14:textId="77777777" w:rsidTr="00FB4CC8">
        <w:tc>
          <w:tcPr>
            <w:tcW w:w="2065" w:type="dxa"/>
            <w:tcBorders>
              <w:top w:val="single" w:sz="4" w:space="0" w:color="000000"/>
              <w:bottom w:val="nil"/>
            </w:tcBorders>
          </w:tcPr>
          <w:p w14:paraId="00000026" w14:textId="77777777" w:rsidR="008642B9" w:rsidRPr="00FB4CC8" w:rsidRDefault="00000000">
            <w:pPr>
              <w:rPr>
                <w:sz w:val="20"/>
                <w:szCs w:val="20"/>
              </w:rPr>
            </w:pPr>
            <w:r w:rsidRPr="00FB4CC8">
              <w:rPr>
                <w:sz w:val="20"/>
                <w:szCs w:val="20"/>
              </w:rPr>
              <w:t>Involvement in Classroom Decision-making</w:t>
            </w:r>
          </w:p>
        </w:tc>
        <w:tc>
          <w:tcPr>
            <w:tcW w:w="3642" w:type="dxa"/>
            <w:tcBorders>
              <w:top w:val="single" w:sz="4" w:space="0" w:color="000000"/>
              <w:bottom w:val="nil"/>
            </w:tcBorders>
          </w:tcPr>
          <w:p w14:paraId="00000027" w14:textId="77777777" w:rsidR="008642B9" w:rsidRPr="00FB4CC8" w:rsidRDefault="00000000">
            <w:pPr>
              <w:rPr>
                <w:sz w:val="20"/>
                <w:szCs w:val="20"/>
              </w:rPr>
            </w:pPr>
            <w:r w:rsidRPr="00FB4CC8">
              <w:rPr>
                <w:sz w:val="20"/>
                <w:szCs w:val="20"/>
              </w:rPr>
              <w:t>Co-creating clear classroom expectations, soliciting ideas to improve classroom culture, holding peers accountable to themselves and each other, co-leading discussion</w:t>
            </w:r>
          </w:p>
        </w:tc>
        <w:tc>
          <w:tcPr>
            <w:tcW w:w="3643" w:type="dxa"/>
            <w:tcBorders>
              <w:top w:val="single" w:sz="4" w:space="0" w:color="000000"/>
              <w:bottom w:val="nil"/>
            </w:tcBorders>
          </w:tcPr>
          <w:p w14:paraId="00000028" w14:textId="77777777" w:rsidR="008642B9" w:rsidRPr="00FB4CC8" w:rsidRDefault="00000000">
            <w:pPr>
              <w:rPr>
                <w:sz w:val="20"/>
                <w:szCs w:val="20"/>
              </w:rPr>
            </w:pPr>
            <w:r w:rsidRPr="00FB4CC8">
              <w:rPr>
                <w:sz w:val="20"/>
                <w:szCs w:val="20"/>
              </w:rPr>
              <w:t>Student empowerment, taking ownership of own learning, positive instructor-student and peer relationships, learn about other cultural values, sense of classroom belonging</w:t>
            </w:r>
          </w:p>
        </w:tc>
      </w:tr>
      <w:tr w:rsidR="008642B9" w:rsidRPr="00FB4CC8" w14:paraId="2143FC51" w14:textId="77777777" w:rsidTr="00FB4CC8">
        <w:tc>
          <w:tcPr>
            <w:tcW w:w="2065" w:type="dxa"/>
            <w:tcBorders>
              <w:top w:val="nil"/>
              <w:bottom w:val="nil"/>
            </w:tcBorders>
          </w:tcPr>
          <w:p w14:paraId="00000029" w14:textId="77777777" w:rsidR="008642B9" w:rsidRPr="00FB4CC8" w:rsidRDefault="00000000">
            <w:pPr>
              <w:rPr>
                <w:sz w:val="20"/>
                <w:szCs w:val="20"/>
              </w:rPr>
            </w:pPr>
            <w:r w:rsidRPr="00FB4CC8">
              <w:rPr>
                <w:sz w:val="20"/>
                <w:szCs w:val="20"/>
              </w:rPr>
              <w:t>Relationship Building</w:t>
            </w:r>
          </w:p>
        </w:tc>
        <w:tc>
          <w:tcPr>
            <w:tcW w:w="3642" w:type="dxa"/>
            <w:tcBorders>
              <w:top w:val="nil"/>
              <w:bottom w:val="nil"/>
            </w:tcBorders>
          </w:tcPr>
          <w:p w14:paraId="0000002A" w14:textId="77777777" w:rsidR="008642B9" w:rsidRPr="00FB4CC8" w:rsidRDefault="00000000">
            <w:pPr>
              <w:rPr>
                <w:sz w:val="20"/>
                <w:szCs w:val="20"/>
              </w:rPr>
            </w:pPr>
            <w:r w:rsidRPr="00FB4CC8">
              <w:rPr>
                <w:sz w:val="20"/>
                <w:szCs w:val="20"/>
              </w:rPr>
              <w:t>Formal and informal activities to get to know each other, instructor interest in students’ lives, role modeling behaviors</w:t>
            </w:r>
          </w:p>
        </w:tc>
        <w:tc>
          <w:tcPr>
            <w:tcW w:w="3643" w:type="dxa"/>
            <w:tcBorders>
              <w:top w:val="nil"/>
              <w:bottom w:val="nil"/>
            </w:tcBorders>
          </w:tcPr>
          <w:p w14:paraId="0000002B" w14:textId="77777777" w:rsidR="008642B9" w:rsidRPr="00FB4CC8" w:rsidRDefault="00000000">
            <w:pPr>
              <w:rPr>
                <w:sz w:val="20"/>
                <w:szCs w:val="20"/>
              </w:rPr>
            </w:pPr>
            <w:r w:rsidRPr="00FB4CC8">
              <w:rPr>
                <w:sz w:val="20"/>
                <w:szCs w:val="20"/>
              </w:rPr>
              <w:t>Student-instructor and peer connection, cultural affirmation, authenticity, increased engagement, unlearning of oppressive ideologies, cultural awareness, critical reflection</w:t>
            </w:r>
          </w:p>
        </w:tc>
      </w:tr>
      <w:tr w:rsidR="008642B9" w:rsidRPr="00FB4CC8" w14:paraId="48336CDE" w14:textId="77777777" w:rsidTr="00FB4CC8">
        <w:tc>
          <w:tcPr>
            <w:tcW w:w="2065" w:type="dxa"/>
            <w:tcBorders>
              <w:top w:val="nil"/>
              <w:bottom w:val="nil"/>
            </w:tcBorders>
          </w:tcPr>
          <w:p w14:paraId="0000002C" w14:textId="77777777" w:rsidR="008642B9" w:rsidRPr="00FB4CC8" w:rsidRDefault="00000000">
            <w:pPr>
              <w:rPr>
                <w:sz w:val="20"/>
                <w:szCs w:val="20"/>
              </w:rPr>
            </w:pPr>
            <w:r w:rsidRPr="00FB4CC8">
              <w:rPr>
                <w:sz w:val="20"/>
                <w:szCs w:val="20"/>
              </w:rPr>
              <w:t xml:space="preserve">Problem-based and Place-based Learning </w:t>
            </w:r>
          </w:p>
        </w:tc>
        <w:tc>
          <w:tcPr>
            <w:tcW w:w="3642" w:type="dxa"/>
            <w:tcBorders>
              <w:top w:val="nil"/>
              <w:bottom w:val="nil"/>
            </w:tcBorders>
          </w:tcPr>
          <w:p w14:paraId="0000002D" w14:textId="77777777" w:rsidR="008642B9" w:rsidRPr="00FB4CC8" w:rsidRDefault="00000000">
            <w:pPr>
              <w:rPr>
                <w:sz w:val="20"/>
                <w:szCs w:val="20"/>
              </w:rPr>
            </w:pPr>
            <w:r w:rsidRPr="00FB4CC8">
              <w:rPr>
                <w:sz w:val="20"/>
                <w:szCs w:val="20"/>
              </w:rPr>
              <w:t>Thoughtful and purposeful team activities, case studies and activities that aim to solve societal issues, cultural affirmation, community engagement, intergenerational input</w:t>
            </w:r>
          </w:p>
        </w:tc>
        <w:tc>
          <w:tcPr>
            <w:tcW w:w="3643" w:type="dxa"/>
            <w:tcBorders>
              <w:top w:val="nil"/>
              <w:bottom w:val="nil"/>
            </w:tcBorders>
          </w:tcPr>
          <w:p w14:paraId="0000002E" w14:textId="77777777" w:rsidR="008642B9" w:rsidRPr="00FB4CC8" w:rsidRDefault="00000000">
            <w:pPr>
              <w:rPr>
                <w:sz w:val="20"/>
                <w:szCs w:val="20"/>
              </w:rPr>
            </w:pPr>
            <w:r w:rsidRPr="00FB4CC8">
              <w:rPr>
                <w:sz w:val="20"/>
                <w:szCs w:val="20"/>
              </w:rPr>
              <w:t>Collaboration, teamwork, problem-solving, appreciation of community knowledge, land appreciation, recognition of systems of oppression, critical reflection</w:t>
            </w:r>
          </w:p>
        </w:tc>
      </w:tr>
      <w:tr w:rsidR="008642B9" w:rsidRPr="00FB4CC8" w14:paraId="77E45863" w14:textId="77777777" w:rsidTr="00FB4CC8">
        <w:tc>
          <w:tcPr>
            <w:tcW w:w="2065" w:type="dxa"/>
            <w:tcBorders>
              <w:top w:val="nil"/>
            </w:tcBorders>
          </w:tcPr>
          <w:p w14:paraId="0000002F" w14:textId="77777777" w:rsidR="008642B9" w:rsidRPr="00FB4CC8" w:rsidRDefault="00000000">
            <w:pPr>
              <w:rPr>
                <w:sz w:val="20"/>
                <w:szCs w:val="20"/>
              </w:rPr>
            </w:pPr>
            <w:r w:rsidRPr="00FB4CC8">
              <w:rPr>
                <w:sz w:val="20"/>
                <w:szCs w:val="20"/>
              </w:rPr>
              <w:t>Non-punitive, Restorative, Humanizing Practices</w:t>
            </w:r>
          </w:p>
        </w:tc>
        <w:tc>
          <w:tcPr>
            <w:tcW w:w="3642" w:type="dxa"/>
            <w:tcBorders>
              <w:top w:val="nil"/>
            </w:tcBorders>
          </w:tcPr>
          <w:p w14:paraId="00000030" w14:textId="77777777" w:rsidR="008642B9" w:rsidRPr="00FB4CC8" w:rsidRDefault="00000000">
            <w:pPr>
              <w:rPr>
                <w:sz w:val="20"/>
                <w:szCs w:val="20"/>
              </w:rPr>
            </w:pPr>
            <w:r w:rsidRPr="00FB4CC8">
              <w:rPr>
                <w:sz w:val="20"/>
                <w:szCs w:val="20"/>
              </w:rPr>
              <w:t>De-escalation of conflict, allow resubmission of assignments, flexible deadlines</w:t>
            </w:r>
          </w:p>
        </w:tc>
        <w:tc>
          <w:tcPr>
            <w:tcW w:w="3643" w:type="dxa"/>
            <w:tcBorders>
              <w:top w:val="nil"/>
            </w:tcBorders>
          </w:tcPr>
          <w:p w14:paraId="00000031" w14:textId="77777777" w:rsidR="008642B9" w:rsidRPr="00FB4CC8" w:rsidRDefault="00000000">
            <w:pPr>
              <w:rPr>
                <w:sz w:val="20"/>
                <w:szCs w:val="20"/>
              </w:rPr>
            </w:pPr>
            <w:r w:rsidRPr="00FB4CC8">
              <w:rPr>
                <w:sz w:val="20"/>
                <w:szCs w:val="20"/>
              </w:rPr>
              <w:t>Conflict resolution and negotiation skills, ethic of care, accountability, exploration of beliefs</w:t>
            </w:r>
          </w:p>
        </w:tc>
      </w:tr>
    </w:tbl>
    <w:p w14:paraId="00000032" w14:textId="77777777" w:rsidR="008642B9" w:rsidRDefault="008642B9"/>
    <w:p w14:paraId="00000033" w14:textId="77777777" w:rsidR="008642B9" w:rsidRDefault="00000000">
      <w:pPr>
        <w:rPr>
          <w:b/>
        </w:rPr>
      </w:pPr>
      <w:r>
        <w:rPr>
          <w:b/>
        </w:rPr>
        <w:t xml:space="preserve">Classroom Practices </w:t>
      </w:r>
    </w:p>
    <w:p w14:paraId="00000035" w14:textId="33A63AA3" w:rsidR="008642B9" w:rsidRDefault="00000000" w:rsidP="001A31FE">
      <w:r>
        <w:rPr>
          <w:b/>
          <w:i/>
        </w:rPr>
        <w:t>Involvement in Classroom Decision-making</w:t>
      </w:r>
      <w:r w:rsidR="001A31FE">
        <w:rPr>
          <w:b/>
          <w:i/>
        </w:rPr>
        <w:t xml:space="preserve">. </w:t>
      </w:r>
      <w:r>
        <w:t>Including students in the co-creation of classroom expectations, co-leading discussions, and contributing to the classroom culture and structure are practices shown to help cultivate classroom community and acknowledge students’ values</w:t>
      </w:r>
      <w:r w:rsidR="00FB4CC8">
        <w:t xml:space="preserve"> (Lave &amp; Wenger, 1991).</w:t>
      </w:r>
      <w:r>
        <w:t xml:space="preserve"> In this approach students take ownership and control of their own learning, guiding their development and learning experience. Further, these practices contribute to relationship building by learning more about each other, supporting each other, and holding each other accountable. </w:t>
      </w:r>
    </w:p>
    <w:p w14:paraId="00000036" w14:textId="77777777" w:rsidR="008642B9" w:rsidRDefault="008642B9">
      <w:pPr>
        <w:jc w:val="both"/>
      </w:pPr>
    </w:p>
    <w:p w14:paraId="00000037" w14:textId="77777777" w:rsidR="008642B9" w:rsidRDefault="00000000">
      <w:pPr>
        <w:jc w:val="both"/>
      </w:pPr>
      <w:r>
        <w:t xml:space="preserve">Examples of this include allowing student input and autonomy toward the development of class community-focused service projects and amendments to course documents. Creating space for students to conceptualize what impact they hope to have within the community allows for the consequent illumination of internal values for students. Additionally, every semester, instructors create syllabi that carefully lay out the norms, expectations, and schedule for learners. Another way to allow student ownership in decision-making is to allow for student voice in amending parts of the syllabus and course throughout the year. In the first two weeks of class, open the process by giving students a space to review and discuss what they would like to change about the course syllabus. For this to work effectively, instructors should allow for at least one more review for amending the syllabus or course structure around the midpoint of the course. Their request could </w:t>
      </w:r>
      <w:r>
        <w:lastRenderedPageBreak/>
        <w:t xml:space="preserve">be as simple as changing the number of discussion post responses they are required to do. This process is solidified through a debate and a majority vote on the changes. </w:t>
      </w:r>
    </w:p>
    <w:p w14:paraId="00000038" w14:textId="77777777" w:rsidR="008642B9" w:rsidRDefault="008642B9">
      <w:pPr>
        <w:jc w:val="both"/>
      </w:pPr>
    </w:p>
    <w:p w14:paraId="0000003A" w14:textId="759A2E53" w:rsidR="008642B9" w:rsidRDefault="00000000">
      <w:pPr>
        <w:jc w:val="both"/>
      </w:pPr>
      <w:r>
        <w:rPr>
          <w:b/>
          <w:i/>
        </w:rPr>
        <w:t>Relationship Building</w:t>
      </w:r>
      <w:r w:rsidR="001A31FE">
        <w:rPr>
          <w:b/>
          <w:i/>
        </w:rPr>
        <w:t xml:space="preserve">. </w:t>
      </w:r>
      <w:r>
        <w:t>By creating formal and informal opportunities for students to get to know each other and their instructors, all classroom participants engage in the relationship process and building community (Lave &amp; Wegner, 199</w:t>
      </w:r>
      <w:r w:rsidR="00FB4CC8">
        <w:t>1</w:t>
      </w:r>
      <w:r>
        <w:t xml:space="preserve">). Further, research indicates that when instructors show a genuine interest in students' lives, students are more engaged and feel affirmed in the learning environment (Ambrose et al., 2023; Ladson-Billings, 1995; Muhammad &amp; Williams, 2023). Within this process, students </w:t>
      </w:r>
      <w:proofErr w:type="gramStart"/>
      <w:r>
        <w:t>are able to</w:t>
      </w:r>
      <w:proofErr w:type="gramEnd"/>
      <w:r>
        <w:t xml:space="preserve"> observe from the instructor what holistic support and classroom care looks like. By observing relationship building strategies in the classroom, learners are more likely to take these skills and practice them in their own classrooms. Relationship building also helps students to learn difficult topics in a brave space, where discussion, sharing, and practice encourages students to critically </w:t>
      </w:r>
      <w:proofErr w:type="gramStart"/>
      <w:r>
        <w:t>reflect</w:t>
      </w:r>
      <w:proofErr w:type="gramEnd"/>
      <w:r>
        <w:t xml:space="preserve"> and question oppressive ideologies previously learned. Building relationships allows learners to continue to critically reflect on who they are, who they interact with and how their own actions play a role in creating the classroom ecosystem. </w:t>
      </w:r>
    </w:p>
    <w:p w14:paraId="0000003B" w14:textId="77777777" w:rsidR="008642B9" w:rsidRDefault="008642B9">
      <w:pPr>
        <w:jc w:val="both"/>
      </w:pPr>
    </w:p>
    <w:p w14:paraId="0000003C" w14:textId="77777777" w:rsidR="008642B9" w:rsidRDefault="00000000">
      <w:pPr>
        <w:jc w:val="both"/>
      </w:pPr>
      <w:r>
        <w:t xml:space="preserve">Critical reflection is a cornerstone of the experiential learning process (Kolb, 1998) and can be affirmed by Freire’s (1970) critical consciousness in alleviating oppressive structures. When instructors </w:t>
      </w:r>
      <w:proofErr w:type="gramStart"/>
      <w:r>
        <w:t>are able to</w:t>
      </w:r>
      <w:proofErr w:type="gramEnd"/>
      <w:r>
        <w:t xml:space="preserve"> provide space for students to not only have concrete experiences, but reflect on them, learners move from the </w:t>
      </w:r>
      <w:r>
        <w:rPr>
          <w:i/>
        </w:rPr>
        <w:t>what</w:t>
      </w:r>
      <w:r>
        <w:t xml:space="preserve"> to the </w:t>
      </w:r>
      <w:r>
        <w:rPr>
          <w:i/>
        </w:rPr>
        <w:t>why</w:t>
      </w:r>
      <w:r>
        <w:t xml:space="preserve"> of the experience. For example, in a high impact experience for global learning in a short-term international immersion in Belize, undergraduate students were asked to complete daily written reflections and were also paired together to lead a daily group reflection. The written reflections were based on guiding questions that utilized Boix-Mansilla and Jackson’s (2011) Four Domains of Global Competence: investigate the world, recognize perspectives, communicate ideas, and </w:t>
      </w:r>
      <w:proofErr w:type="gramStart"/>
      <w:r>
        <w:t>take action</w:t>
      </w:r>
      <w:proofErr w:type="gramEnd"/>
      <w:r>
        <w:t>. These questions focused on the intentional agricultural and Indigenous knowledge experiences during the immersion and the students’ roles as future agricultural educators. Part of the discussion query was, “So what you tried great food that is different from your normal diet? How do you take this experience and connect it to your future students through the Four Domains of Global Competence?”</w:t>
      </w:r>
    </w:p>
    <w:p w14:paraId="0000003F" w14:textId="77777777" w:rsidR="008642B9" w:rsidRDefault="008642B9">
      <w:pPr>
        <w:jc w:val="both"/>
      </w:pPr>
    </w:p>
    <w:p w14:paraId="00000041" w14:textId="1DD2299F" w:rsidR="008642B9" w:rsidRDefault="00000000">
      <w:pPr>
        <w:jc w:val="both"/>
      </w:pPr>
      <w:r>
        <w:rPr>
          <w:b/>
          <w:i/>
        </w:rPr>
        <w:t>Problem-based &amp; Place-based Learning</w:t>
      </w:r>
      <w:r w:rsidR="001A31FE">
        <w:rPr>
          <w:b/>
          <w:i/>
        </w:rPr>
        <w:t xml:space="preserve">. </w:t>
      </w:r>
      <w:r>
        <w:t xml:space="preserve">When learning blends critical analysis of real-life problems, community engagement, and interactive solution development, students </w:t>
      </w:r>
      <w:proofErr w:type="gramStart"/>
      <w:r>
        <w:t>have the opportunity to</w:t>
      </w:r>
      <w:proofErr w:type="gramEnd"/>
      <w:r>
        <w:t xml:space="preserve"> expand their skills and awareness beyond the textbook. Problem-based and place-based learning create strong pathways to encourage this form of growth. Place-based learning is characterized by five features: (1) explicit focus on  the attributes of place; (2) acknowledgement of the meaning a sense of place holds for the instructor, students, and community; (3) authentic experiences in that place, </w:t>
      </w:r>
      <w:r w:rsidR="001A31FE">
        <w:t>e.g., fieldwork</w:t>
      </w:r>
      <w:r>
        <w:t xml:space="preserve"> and service learning; (4) promoting pro-environmental and culturally sustainable practices in the place(s) studied; and (5) enriching the senses of place for students and instructors (</w:t>
      </w:r>
      <w:proofErr w:type="spellStart"/>
      <w:r>
        <w:t>Semken</w:t>
      </w:r>
      <w:proofErr w:type="spellEnd"/>
      <w:r>
        <w:t xml:space="preserve"> et al., 2018). Place-based learning presents students with the opportunity to experience learning outside of the classroom, as the community becomes the classroom (</w:t>
      </w:r>
      <w:proofErr w:type="spellStart"/>
      <w:r>
        <w:t>Langran</w:t>
      </w:r>
      <w:proofErr w:type="spellEnd"/>
      <w:r>
        <w:t xml:space="preserve"> &amp; DeWitt, 2020). Expanding upon this premise, problem-based learning nudges instructors to facilitate the problem-solving process (Ellen et al., 2011) as the learning process is initiated by the presentation of a real-world issue (De Graaf &amp; Kolmos, 2003). </w:t>
      </w:r>
    </w:p>
    <w:p w14:paraId="00000042" w14:textId="77777777" w:rsidR="008642B9" w:rsidRDefault="008642B9">
      <w:pPr>
        <w:jc w:val="both"/>
      </w:pPr>
    </w:p>
    <w:p w14:paraId="00000043" w14:textId="77777777" w:rsidR="008642B9" w:rsidRDefault="00000000">
      <w:pPr>
        <w:jc w:val="both"/>
      </w:pPr>
      <w:r>
        <w:t xml:space="preserve">One such example of blending this approach occurred during an agricultural leadership class by focusing on the challenge of expanding agricultural education to marginalized communities. The </w:t>
      </w:r>
      <w:r>
        <w:lastRenderedPageBreak/>
        <w:t xml:space="preserve">challenge school-based agricultural education programs face in appropriately serving the needs of diverse populations (Bird et al., 2013), including those of youth in foster care, is growing. As the divide between the agricultural community and the non-agricultural community persists, it presents a significant opportunity for instructors to aid in bridging this gap by implementing community-focused curricular shifts. These factors presented a space for intervention as the class led an </w:t>
      </w:r>
      <w:proofErr w:type="spellStart"/>
      <w:r>
        <w:t>AgriKids</w:t>
      </w:r>
      <w:proofErr w:type="spellEnd"/>
      <w:r>
        <w:t xml:space="preserve"> Day event, to direct more efforts towards establishing more creative and targeted pipelines for inclusive integration of agricultural programming to students in foster care. As a result, the class developed an Agriculture Day for youth from a local emergency housing shelter. Foster youth learned various aspects of the agricultural industry through those hands-on activities and farm tours. This collaborative event was mutually beneficial for the undergraduate students and the foster youth, leading to positive impacts extending far beyond the semester.</w:t>
      </w:r>
    </w:p>
    <w:p w14:paraId="00000044" w14:textId="77777777" w:rsidR="008642B9" w:rsidRDefault="008642B9">
      <w:pPr>
        <w:jc w:val="both"/>
      </w:pPr>
    </w:p>
    <w:p w14:paraId="00000046" w14:textId="54485CA0" w:rsidR="008642B9" w:rsidRDefault="00000000">
      <w:pPr>
        <w:jc w:val="both"/>
      </w:pPr>
      <w:r>
        <w:rPr>
          <w:b/>
          <w:i/>
        </w:rPr>
        <w:t>Non-punitive, Restorative, &amp; Humanizing Practices</w:t>
      </w:r>
      <w:r w:rsidR="001A31FE">
        <w:rPr>
          <w:b/>
          <w:i/>
        </w:rPr>
        <w:t xml:space="preserve">. </w:t>
      </w:r>
      <w:r>
        <w:t>Using non-punitive, restorative practices in the classroom acknowledges students as whole people, and is accomplished by challenging students “academically and intellectually while treating them with dignity and respect” (Bartolomé, 1994, p. 177). A student-instructor relationship consisting of trust and care is central to the foundation of the classroom community (</w:t>
      </w:r>
      <w:proofErr w:type="spellStart"/>
      <w:r>
        <w:t>Fránquiz</w:t>
      </w:r>
      <w:proofErr w:type="spellEnd"/>
      <w:r>
        <w:t xml:space="preserve"> &amp; del Carmen Salazar, 2004). Restorative practices work to transform individuals and social structures while simultaneously asking questions about what is just (</w:t>
      </w:r>
      <w:proofErr w:type="spellStart"/>
      <w:r>
        <w:t>Foomani</w:t>
      </w:r>
      <w:proofErr w:type="spellEnd"/>
      <w:r>
        <w:t xml:space="preserve"> &amp; Reimer, 2024). Punitive practices, such as zero-tolerance policies and high-stakes testing, encourages individualism, reproduces inequality, and threatens the cultivation of classroom community by punishing those who cannot conform (Boucher, 2016; O’Brien &amp; Nygreen, 2020). Instead, practices that encourage collaboration on assignments and exploration of classroom community members’ beliefs allows for all to </w:t>
      </w:r>
      <w:r w:rsidRPr="001A31FE">
        <w:rPr>
          <w:i/>
          <w:iCs/>
        </w:rPr>
        <w:t>be</w:t>
      </w:r>
      <w:r>
        <w:t xml:space="preserve"> and </w:t>
      </w:r>
      <w:r>
        <w:rPr>
          <w:i/>
        </w:rPr>
        <w:t>feel</w:t>
      </w:r>
      <w:r>
        <w:t xml:space="preserve"> considered. Establishing classroom expectations and holding each other accountable to them disrupts classroom hierarchy and addresses community members’ needs (O’Brien &amp; Nygreen, 2020). </w:t>
      </w:r>
      <w:r w:rsidR="001A31FE">
        <w:t>All</w:t>
      </w:r>
      <w:r>
        <w:t xml:space="preserve"> the authors facilitate students’ development of classroom expectations and expect students to hold each other and the instructors accountable. Flexible deadlines and low-stakes assessments </w:t>
      </w:r>
      <w:r w:rsidR="001A31FE">
        <w:t>increase</w:t>
      </w:r>
      <w:r>
        <w:t xml:space="preserve"> students’ sense of control, reduces stress, and enables students to improve the quality of their work (Hills &amp; Peacock, 2022).</w:t>
      </w:r>
    </w:p>
    <w:p w14:paraId="00000047" w14:textId="77777777" w:rsidR="008642B9" w:rsidRDefault="00000000">
      <w:pPr>
        <w:jc w:val="both"/>
      </w:pPr>
      <w:r>
        <w:t xml:space="preserve"> </w:t>
      </w:r>
    </w:p>
    <w:p w14:paraId="00000048" w14:textId="77777777" w:rsidR="008642B9" w:rsidRDefault="00000000">
      <w:pPr>
        <w:jc w:val="center"/>
        <w:rPr>
          <w:b/>
        </w:rPr>
      </w:pPr>
      <w:r>
        <w:rPr>
          <w:b/>
        </w:rPr>
        <w:t>Discussion &amp; Conclusion</w:t>
      </w:r>
    </w:p>
    <w:p w14:paraId="00000049" w14:textId="36B95AF6" w:rsidR="008642B9" w:rsidRDefault="00000000">
      <w:pPr>
        <w:jc w:val="both"/>
      </w:pPr>
      <w:r>
        <w:t xml:space="preserve">Classroom policies and practices that discourage languages and cultures outside of English-speaking, Western, </w:t>
      </w:r>
      <w:r w:rsidR="001A31FE">
        <w:t>middle-class</w:t>
      </w:r>
      <w:r>
        <w:t xml:space="preserve"> norms communicate to students that they must abandon their own heritage and ways of knowing and doing </w:t>
      </w:r>
      <w:proofErr w:type="gramStart"/>
      <w:r>
        <w:t>in order to</w:t>
      </w:r>
      <w:proofErr w:type="gramEnd"/>
      <w:r>
        <w:t xml:space="preserve"> be successful. While assimilation may seem like the only viable option to individual students, this linguistic and cultural loss is detrimental to educational access and achievement of their communities (Paris, 2012). Failing to honor students' backgrounds, individual experiences, and cultural knowledge reinforces deficit thinking and dehumanization.</w:t>
      </w:r>
    </w:p>
    <w:p w14:paraId="0000004A" w14:textId="77777777" w:rsidR="008642B9" w:rsidRDefault="008642B9">
      <w:pPr>
        <w:jc w:val="both"/>
      </w:pPr>
    </w:p>
    <w:p w14:paraId="0000004B" w14:textId="65BD670C" w:rsidR="008642B9" w:rsidRDefault="00000000">
      <w:pPr>
        <w:jc w:val="both"/>
      </w:pPr>
      <w:r>
        <w:t>As instructors, we have a moral duty to understand and enact humanizing pedagogy grounded in theory</w:t>
      </w:r>
      <w:r w:rsidR="001A31FE">
        <w:t xml:space="preserve"> and</w:t>
      </w:r>
      <w:r>
        <w:t xml:space="preserve"> practice, shaped by our realities and contexts. We must be reflective and responsive to our everyday lives and interrogate </w:t>
      </w:r>
      <w:r w:rsidR="001A31FE">
        <w:t>our</w:t>
      </w:r>
      <w:r>
        <w:t xml:space="preserve"> human experience in the context of power, privilege, and oppression to inspire action toward humanization and culturally sustaining spaces (Freire, 1972; McLaren &amp; Jamarillo, 2006). Coupling CSP and HP to build inclusive classroom communities can help foster an environment that encourages a deeper connection between learners, enhance engagement, and cultivate active listening and reflection (Sullivan et al., 2024). Adopting these </w:t>
      </w:r>
      <w:r>
        <w:lastRenderedPageBreak/>
        <w:t xml:space="preserve">strategies together (and other inclusive pedagogies) can help students and instructors affirm each other's identities; affirm each other as knowledge bringers; develop as critical thinkers; and disrupt deficit thinking, oppressive structures, and dehumanization. We do not have to do this work alone and </w:t>
      </w:r>
      <w:proofErr w:type="gramStart"/>
      <w:r>
        <w:t>collectively,</w:t>
      </w:r>
      <w:proofErr w:type="gramEnd"/>
      <w:r>
        <w:t xml:space="preserve"> we can do more. Let’s learn from each other and continue to grow as educators and lifelong learners.</w:t>
      </w:r>
    </w:p>
    <w:p w14:paraId="00000052" w14:textId="77777777" w:rsidR="008642B9" w:rsidRDefault="00000000">
      <w:r>
        <w:br w:type="page"/>
      </w:r>
    </w:p>
    <w:p w14:paraId="00000053" w14:textId="77777777" w:rsidR="008642B9" w:rsidRDefault="00000000">
      <w:pPr>
        <w:jc w:val="center"/>
        <w:rPr>
          <w:b/>
        </w:rPr>
      </w:pPr>
      <w:r>
        <w:rPr>
          <w:b/>
        </w:rPr>
        <w:lastRenderedPageBreak/>
        <w:t>References</w:t>
      </w:r>
    </w:p>
    <w:p w14:paraId="00000054" w14:textId="77777777" w:rsidR="008642B9" w:rsidRDefault="00000000">
      <w:pPr>
        <w:ind w:left="720" w:hanging="720"/>
      </w:pPr>
      <w:r>
        <w:t xml:space="preserve">Ambrose, S. A., Bridges, M. W., DiPietro, M., Lovett, M. C., &amp; Norman, M. K. (2023). </w:t>
      </w:r>
      <w:r>
        <w:rPr>
          <w:i/>
        </w:rPr>
        <w:t>How learning works: Eight research-based principles for smart teaching</w:t>
      </w:r>
      <w:r>
        <w:t xml:space="preserve"> (2nd ed.). Wiley.</w:t>
      </w:r>
    </w:p>
    <w:p w14:paraId="00000055" w14:textId="77777777" w:rsidR="008642B9" w:rsidRDefault="00000000">
      <w:pPr>
        <w:ind w:left="720"/>
      </w:pPr>
      <w:r>
        <w:t xml:space="preserve">Allen, D. E., Donham, R. S., &amp; Bernhardt, S. A. (2011). Problem‐based learning. </w:t>
      </w:r>
      <w:r>
        <w:rPr>
          <w:i/>
        </w:rPr>
        <w:t>New directions for teaching and learning, 2011</w:t>
      </w:r>
      <w:r>
        <w:t>(128), 21-29.https://doi.org/10.1002/tl.465</w:t>
      </w:r>
    </w:p>
    <w:p w14:paraId="00000058" w14:textId="77777777" w:rsidR="008642B9" w:rsidRDefault="00000000">
      <w:pPr>
        <w:ind w:left="720" w:hanging="720"/>
      </w:pPr>
      <w:r>
        <w:t>Bartolome, L. (1994). Beyond the methods fetish: Toward a humanizing pedagogy. Harvard educational review, 64(2), 173-195.</w:t>
      </w:r>
    </w:p>
    <w:p w14:paraId="00000059" w14:textId="77777777" w:rsidR="008642B9" w:rsidRDefault="00000000">
      <w:pPr>
        <w:ind w:left="720" w:hanging="720"/>
      </w:pPr>
      <w:r>
        <w:t xml:space="preserve">Bettez, S.C., &amp; Hytten, K. (2013). Community building in social justice work: A critical approach. </w:t>
      </w:r>
      <w:r>
        <w:rPr>
          <w:i/>
        </w:rPr>
        <w:t>Educational Studies, 49</w:t>
      </w:r>
      <w:r>
        <w:t>(1), 45-66. https://doi.org/10.1080/00131946.2012.749478.</w:t>
      </w:r>
    </w:p>
    <w:p w14:paraId="0000005A" w14:textId="77777777" w:rsidR="008642B9" w:rsidRDefault="00000000">
      <w:pPr>
        <w:ind w:left="720" w:hanging="720"/>
      </w:pPr>
      <w:r>
        <w:t>Bird, W. A., Martin, M. J., Tummons, J. D., &amp; Ball, A. L. (2013). Engaging students in constructive youth-adult relationships: A case study of urban school-based agriculture students and positive adult mentors.</w:t>
      </w:r>
      <w:r>
        <w:rPr>
          <w:i/>
        </w:rPr>
        <w:t xml:space="preserve"> Journal of Agricultural Education, 54</w:t>
      </w:r>
      <w:r>
        <w:t xml:space="preserve">(2), 29-43. https://doi.org/10.5032/jae.2013.02029 </w:t>
      </w:r>
    </w:p>
    <w:p w14:paraId="0000005B" w14:textId="77777777" w:rsidR="008642B9" w:rsidRDefault="00000000">
      <w:pPr>
        <w:ind w:left="720" w:hanging="720"/>
      </w:pPr>
      <w:r>
        <w:t xml:space="preserve">Blackwell-Starnes, K. (2018). At ease: Developing veterans’ sense of belonging in the college classroom. </w:t>
      </w:r>
      <w:r>
        <w:rPr>
          <w:i/>
        </w:rPr>
        <w:t>Journal of Veterans Studies, 3</w:t>
      </w:r>
      <w:r>
        <w:t>(1), 18-36. https://doi.org/10.21061/jvs.2</w:t>
      </w:r>
    </w:p>
    <w:p w14:paraId="0000005C" w14:textId="77777777" w:rsidR="008642B9" w:rsidRDefault="00000000">
      <w:pPr>
        <w:ind w:left="720" w:hanging="720"/>
      </w:pPr>
      <w:r>
        <w:t>Boix-Mansilla, V. &amp; Jackson, A. (2011). Educating for global competence: Preparing our youth to engage the world. Asia Society: Partnership for Global Learning. Asia Society. https://asiasociety.org/files/book-globalcompetence.pdf</w:t>
      </w:r>
    </w:p>
    <w:p w14:paraId="0000005D" w14:textId="77777777" w:rsidR="008642B9" w:rsidRDefault="00000000">
      <w:pPr>
        <w:ind w:left="720" w:hanging="720"/>
      </w:pPr>
      <w:r>
        <w:t xml:space="preserve">Booker, K. (2016). Connection and commitment: How sense of belonging and classroom community influence degree persistence for African American undergraduate women. </w:t>
      </w:r>
      <w:r>
        <w:rPr>
          <w:i/>
        </w:rPr>
        <w:t>International Journal of Teaching and Learning in Higher Education, 28</w:t>
      </w:r>
      <w:r>
        <w:t>(2), 218-229.</w:t>
      </w:r>
    </w:p>
    <w:p w14:paraId="0000005E" w14:textId="7F00A141" w:rsidR="008642B9" w:rsidRDefault="00000000">
      <w:pPr>
        <w:ind w:left="720" w:hanging="720"/>
      </w:pPr>
      <w:r>
        <w:t xml:space="preserve">Boucher, E. (2016). </w:t>
      </w:r>
      <w:r w:rsidRPr="001A31FE">
        <w:rPr>
          <w:i/>
          <w:iCs/>
        </w:rPr>
        <w:t xml:space="preserve">It’s </w:t>
      </w:r>
      <w:r w:rsidR="001A31FE">
        <w:rPr>
          <w:i/>
          <w:iCs/>
        </w:rPr>
        <w:t>t</w:t>
      </w:r>
      <w:r w:rsidRPr="001A31FE">
        <w:rPr>
          <w:i/>
          <w:iCs/>
        </w:rPr>
        <w:t xml:space="preserve">ime to </w:t>
      </w:r>
      <w:r w:rsidR="001A31FE">
        <w:rPr>
          <w:i/>
          <w:iCs/>
        </w:rPr>
        <w:t>d</w:t>
      </w:r>
      <w:r w:rsidRPr="001A31FE">
        <w:rPr>
          <w:i/>
          <w:iCs/>
        </w:rPr>
        <w:t xml:space="preserve">itch our </w:t>
      </w:r>
      <w:r w:rsidR="001A31FE">
        <w:rPr>
          <w:i/>
          <w:iCs/>
        </w:rPr>
        <w:t>d</w:t>
      </w:r>
      <w:r w:rsidRPr="001A31FE">
        <w:rPr>
          <w:i/>
          <w:iCs/>
        </w:rPr>
        <w:t>eadlines</w:t>
      </w:r>
      <w:r>
        <w:t>. The Chronicle of Higher Education, August 22, 2016. https://www.chronicle.com/article/its-time-to-ditch-our-deadlines/.</w:t>
      </w:r>
    </w:p>
    <w:p w14:paraId="0000005F" w14:textId="77777777" w:rsidR="008642B9" w:rsidRDefault="00000000">
      <w:pPr>
        <w:ind w:left="720" w:hanging="720"/>
      </w:pPr>
      <w:r>
        <w:t xml:space="preserve">Buber, M. (1955). </w:t>
      </w:r>
      <w:r>
        <w:rPr>
          <w:i/>
        </w:rPr>
        <w:t>Between man and man.</w:t>
      </w:r>
      <w:r>
        <w:t xml:space="preserve"> Beacon Press.</w:t>
      </w:r>
    </w:p>
    <w:p w14:paraId="102BC29F" w14:textId="21819844" w:rsidR="00BD5CDE" w:rsidRDefault="00BD5CDE" w:rsidP="00BD5CDE">
      <w:pPr>
        <w:ind w:left="720" w:hanging="720"/>
      </w:pPr>
      <w:r>
        <w:t xml:space="preserve">Cropps, T.A. (2023). Black doctoral women’s socialization experiences in agricultural science and education departments. </w:t>
      </w:r>
      <w:r>
        <w:rPr>
          <w:i/>
          <w:iCs/>
        </w:rPr>
        <w:t>Studies in Graduate and Postdoctoral Education, 14</w:t>
      </w:r>
      <w:r>
        <w:t>(3), 294-314. https://doi.org/</w:t>
      </w:r>
      <w:r w:rsidRPr="00BD5CDE">
        <w:t>10.1108/SGPE-03-2022-0021</w:t>
      </w:r>
      <w:r>
        <w:t>.</w:t>
      </w:r>
    </w:p>
    <w:p w14:paraId="4678D25F" w14:textId="723FAF0F" w:rsidR="00BD5CDE" w:rsidRDefault="00BD5CDE" w:rsidP="00BD5CDE">
      <w:pPr>
        <w:ind w:left="720" w:hanging="720"/>
        <w:jc w:val="both"/>
      </w:pPr>
      <w:r>
        <w:t xml:space="preserve">Cropps, T.A., &amp; Esters, L.T. (2021). Student experiences of a social justice-based agricultural and life science education course at an 1862 land-grant university. </w:t>
      </w:r>
      <w:r>
        <w:rPr>
          <w:i/>
          <w:iCs/>
        </w:rPr>
        <w:t>Journal of Agricultural Education, 62</w:t>
      </w:r>
      <w:r>
        <w:t xml:space="preserve">(3), 138-152. </w:t>
      </w:r>
      <w:r w:rsidRPr="00BD5CDE">
        <w:t>https://doi.org/10.5032/jae.2021.03138</w:t>
      </w:r>
      <w:r>
        <w:t>.</w:t>
      </w:r>
    </w:p>
    <w:p w14:paraId="00000060" w14:textId="48B442F0" w:rsidR="008642B9" w:rsidRDefault="00000000">
      <w:pPr>
        <w:ind w:left="720" w:hanging="720"/>
      </w:pPr>
      <w:r>
        <w:t xml:space="preserve">del Carmen Salazar, M. (2013). A humanizing pedagogy: Reinventing the principles and practice of education as a journey toward liberation. </w:t>
      </w:r>
      <w:r>
        <w:rPr>
          <w:i/>
        </w:rPr>
        <w:t>Review of Research in Education, 37</w:t>
      </w:r>
      <w:r>
        <w:t>(1), 121-148. https://doi.org/10.3102/0091732X12464032.</w:t>
      </w:r>
    </w:p>
    <w:p w14:paraId="00000061" w14:textId="77777777" w:rsidR="008642B9" w:rsidRDefault="00000000">
      <w:pPr>
        <w:ind w:left="720" w:hanging="720"/>
      </w:pPr>
      <w:r>
        <w:t>De Graaf, E., &amp; Kolmos, A. (2003). Characteristics of problem-based learning.</w:t>
      </w:r>
      <w:r>
        <w:rPr>
          <w:i/>
        </w:rPr>
        <w:t xml:space="preserve"> International Journal of Engineering Education, 19</w:t>
      </w:r>
      <w:r>
        <w:t>(5), 657-662. https://www.ijee.ie/articles/Vol19-5/IJEE1450.pdf</w:t>
      </w:r>
    </w:p>
    <w:p w14:paraId="44FA0C43" w14:textId="275D70E4" w:rsidR="001A31FE" w:rsidRDefault="00000000" w:rsidP="001A31FE">
      <w:pPr>
        <w:ind w:left="720" w:hanging="720"/>
      </w:pPr>
      <w:r>
        <w:t xml:space="preserve">Elliott, D., Gamino, M., &amp; Jenkins, J.J. (2016). Creating community in the college classroom: Best practices for increased student success. </w:t>
      </w:r>
      <w:r>
        <w:rPr>
          <w:i/>
        </w:rPr>
        <w:t>International Journal of Education and Social Science, 3</w:t>
      </w:r>
      <w:r>
        <w:t>(6), 29-41.</w:t>
      </w:r>
    </w:p>
    <w:p w14:paraId="4ABFADA5" w14:textId="46C0AC46" w:rsidR="001A31FE" w:rsidRPr="001A31FE" w:rsidRDefault="001A31FE" w:rsidP="001A31FE">
      <w:pPr>
        <w:ind w:left="720" w:hanging="720"/>
      </w:pPr>
      <w:proofErr w:type="spellStart"/>
      <w:r w:rsidRPr="001A31FE">
        <w:t>Foomani</w:t>
      </w:r>
      <w:proofErr w:type="spellEnd"/>
      <w:r w:rsidRPr="001A31FE">
        <w:t>, E., &amp; Reimer, K.E. (2024). Humanizing classrooms within de-humanizing systems: Restorative justice education in teacher education. In: Roth, K.R., Kumah-</w:t>
      </w:r>
      <w:proofErr w:type="spellStart"/>
      <w:r w:rsidRPr="001A31FE">
        <w:t>Abiwu</w:t>
      </w:r>
      <w:proofErr w:type="spellEnd"/>
      <w:r w:rsidRPr="001A31FE">
        <w:t xml:space="preserve">, F., Ritter, Z.S. (eds) </w:t>
      </w:r>
      <w:r w:rsidRPr="001A31FE">
        <w:rPr>
          <w:i/>
          <w:iCs/>
        </w:rPr>
        <w:t>Restorative Justice and Practice in US Education</w:t>
      </w:r>
      <w:r w:rsidRPr="001A31FE">
        <w:t>. Palgrave Macmillan, Cham. https://doi.org/10.1007/978-3-031-68412-8_4</w:t>
      </w:r>
    </w:p>
    <w:p w14:paraId="00000064" w14:textId="52954EBA" w:rsidR="008642B9" w:rsidRDefault="00000000">
      <w:pPr>
        <w:ind w:left="720" w:hanging="720"/>
      </w:pPr>
      <w:r>
        <w:lastRenderedPageBreak/>
        <w:t xml:space="preserve">Franquiz, M. E., &amp; del Carmen Salazar, M. (2004). The transformative potential of humanizing pedagogy: Addressing the diverse needs of Chicano/Mexicano students. </w:t>
      </w:r>
      <w:r>
        <w:rPr>
          <w:i/>
        </w:rPr>
        <w:t>The High School Journal, 87</w:t>
      </w:r>
      <w:r>
        <w:t>(4), 36-53. https://doi.org/10.1353/hsj/2004.0010</w:t>
      </w:r>
    </w:p>
    <w:p w14:paraId="00000065" w14:textId="77777777" w:rsidR="008642B9" w:rsidRDefault="00000000">
      <w:pPr>
        <w:ind w:left="720" w:hanging="720"/>
      </w:pPr>
      <w:r>
        <w:t xml:space="preserve">Freeman, T.M., Anderman, L.H., &amp; Jensen, J.M. (2010). Sense of belonging in college freshmen at the classroom and campus levels. </w:t>
      </w:r>
      <w:r>
        <w:rPr>
          <w:i/>
        </w:rPr>
        <w:t>The Journal of Experimental Education, 75</w:t>
      </w:r>
      <w:r>
        <w:t>(3), 203-220. https://doi.org/10.3200/JEXE.75.3.203-220</w:t>
      </w:r>
    </w:p>
    <w:p w14:paraId="00000066" w14:textId="77777777" w:rsidR="008642B9" w:rsidRDefault="00000000">
      <w:pPr>
        <w:ind w:left="720" w:hanging="720"/>
      </w:pPr>
      <w:r>
        <w:t xml:space="preserve">Freire, P. (1970). </w:t>
      </w:r>
      <w:r>
        <w:rPr>
          <w:i/>
        </w:rPr>
        <w:t>Pedagogy of the oppressed.</w:t>
      </w:r>
      <w:r>
        <w:t xml:space="preserve"> Continuum.</w:t>
      </w:r>
    </w:p>
    <w:p w14:paraId="00000067" w14:textId="3841F0A5" w:rsidR="008642B9" w:rsidRDefault="00000000">
      <w:pPr>
        <w:ind w:left="720" w:hanging="720"/>
      </w:pPr>
      <w:r>
        <w:t>Garba</w:t>
      </w:r>
      <w:r w:rsidR="00A54FE0">
        <w:t>,</w:t>
      </w:r>
      <w:r>
        <w:t xml:space="preserve"> T</w:t>
      </w:r>
      <w:r w:rsidR="00A54FE0">
        <w:t>.,</w:t>
      </w:r>
      <w:r>
        <w:t xml:space="preserve"> and Sorentino</w:t>
      </w:r>
      <w:r w:rsidR="00A54FE0">
        <w:t>,</w:t>
      </w:r>
      <w:r>
        <w:t xml:space="preserve"> S</w:t>
      </w:r>
      <w:r w:rsidR="00A54FE0">
        <w:t>.</w:t>
      </w:r>
      <w:r>
        <w:t>M</w:t>
      </w:r>
      <w:r w:rsidR="00A54FE0">
        <w:t>.</w:t>
      </w:r>
      <w:r>
        <w:t xml:space="preserve"> (2020) Slavery is a metaphor: A critical commentary on Eve Tuck and K. Wayne Yang’s “Decolonization is Not a Metaphor”. </w:t>
      </w:r>
      <w:r>
        <w:rPr>
          <w:i/>
        </w:rPr>
        <w:t>Antipode, 52</w:t>
      </w:r>
      <w:r>
        <w:t>(3):764–782. https://doi-org/10.1111/anti.12615</w:t>
      </w:r>
    </w:p>
    <w:p w14:paraId="00000068" w14:textId="77777777" w:rsidR="008642B9" w:rsidRDefault="00000000">
      <w:pPr>
        <w:ind w:left="720" w:hanging="720"/>
      </w:pPr>
      <w:r>
        <w:t xml:space="preserve">Greene, K., &amp; Mitcham, K.C. (2012). Community in the classroom. </w:t>
      </w:r>
      <w:r>
        <w:rPr>
          <w:i/>
        </w:rPr>
        <w:t>English Journal, 101</w:t>
      </w:r>
      <w:r>
        <w:t>(4), 13-15. https://doi.org/10.58680/ej201218742.</w:t>
      </w:r>
    </w:p>
    <w:p w14:paraId="00000069" w14:textId="77777777" w:rsidR="008642B9" w:rsidRDefault="00000000">
      <w:pPr>
        <w:ind w:left="720" w:hanging="720"/>
      </w:pPr>
      <w:r>
        <w:t xml:space="preserve">Harris, B.A. (2001). The power of creating a spiritual learning community. </w:t>
      </w:r>
      <w:r>
        <w:rPr>
          <w:i/>
        </w:rPr>
        <w:t>Adult Learning, 12</w:t>
      </w:r>
      <w:r>
        <w:t>, 22-23. https://doi.org/10.1177/104515950101200309.</w:t>
      </w:r>
    </w:p>
    <w:p w14:paraId="0000006A" w14:textId="77777777" w:rsidR="008642B9" w:rsidRDefault="00000000">
      <w:pPr>
        <w:ind w:left="720" w:hanging="720"/>
      </w:pPr>
      <w:r>
        <w:t xml:space="preserve">Hartmann, K., &amp; Martin, M. (2021). A critical pedagogy of agriculture. </w:t>
      </w:r>
      <w:r>
        <w:rPr>
          <w:i/>
        </w:rPr>
        <w:t>Journal of Agricultural Education, 62</w:t>
      </w:r>
      <w:r>
        <w:t>(3). https://doi.org/10.5032/jae.2021.03051.</w:t>
      </w:r>
    </w:p>
    <w:p w14:paraId="0000006B" w14:textId="77777777" w:rsidR="008642B9" w:rsidRDefault="00000000">
      <w:pPr>
        <w:ind w:left="720" w:hanging="720"/>
      </w:pPr>
      <w:r>
        <w:t xml:space="preserve">Hills, M., &amp; Peacock, K. (2022). Replacing power with flexible structure: Implementing flexible deadlines to improve student learning experiences. </w:t>
      </w:r>
      <w:r>
        <w:rPr>
          <w:i/>
        </w:rPr>
        <w:t xml:space="preserve">Teaching &amp; Learning Inquiry, 10. </w:t>
      </w:r>
      <w:r>
        <w:t>https://doi.org/10.20343/teachlearninqu.10.26</w:t>
      </w:r>
    </w:p>
    <w:p w14:paraId="0000006C" w14:textId="77777777" w:rsidR="008642B9" w:rsidRDefault="00000000">
      <w:pPr>
        <w:ind w:left="720" w:hanging="720"/>
      </w:pPr>
      <w:r>
        <w:t>Jones, A. C. (2008). The effects of out-of-class support on student satisfaction and motivation to learn. Communication Education, 57(3), 373-388. https://doi.org/10.1080/03634520801968830</w:t>
      </w:r>
    </w:p>
    <w:p w14:paraId="0000006D" w14:textId="77777777" w:rsidR="008642B9" w:rsidRDefault="00000000">
      <w:pPr>
        <w:ind w:left="720" w:hanging="720"/>
      </w:pPr>
      <w:r>
        <w:t xml:space="preserve">Kirby, L.A.J., &amp; Thomas, C.L. (2021). High-impact teaching practices foster a greater sense of belonging in the college classroom. </w:t>
      </w:r>
      <w:r>
        <w:rPr>
          <w:i/>
        </w:rPr>
        <w:t>Journal of Further and Higher Education, 46</w:t>
      </w:r>
      <w:r>
        <w:t>(3), 368-381. https://doi.org/10.1080/0309877X.2021.1950659.</w:t>
      </w:r>
    </w:p>
    <w:p w14:paraId="0000006E" w14:textId="77777777" w:rsidR="008642B9" w:rsidRDefault="00000000">
      <w:pPr>
        <w:ind w:left="720" w:hanging="720"/>
      </w:pPr>
      <w:r>
        <w:t>Ladson-Billings, G. (1995). Toward a theory of culturally relevant pedagogy. American Educational Research Journal, 32(3), 465–491.</w:t>
      </w:r>
    </w:p>
    <w:p w14:paraId="0000006F" w14:textId="77777777" w:rsidR="008642B9" w:rsidRDefault="00000000">
      <w:pPr>
        <w:ind w:left="720" w:hanging="720"/>
      </w:pPr>
      <w:r>
        <w:t xml:space="preserve">Ladson-Billings, G. (1994). </w:t>
      </w:r>
      <w:r>
        <w:rPr>
          <w:i/>
        </w:rPr>
        <w:t>The dream keepers: Successful teachers of African American children</w:t>
      </w:r>
      <w:r>
        <w:t>. Jossey-Bass.</w:t>
      </w:r>
    </w:p>
    <w:p w14:paraId="57242B50" w14:textId="7D42383A" w:rsidR="00FB4CC8" w:rsidRDefault="00000000" w:rsidP="00FB4CC8">
      <w:pPr>
        <w:ind w:left="720" w:hanging="720"/>
      </w:pPr>
      <w:proofErr w:type="spellStart"/>
      <w:r>
        <w:t>Langran</w:t>
      </w:r>
      <w:proofErr w:type="spellEnd"/>
      <w:r>
        <w:t xml:space="preserve">, E., &amp; DeWitt, J. (2020). </w:t>
      </w:r>
      <w:r>
        <w:rPr>
          <w:i/>
        </w:rPr>
        <w:t xml:space="preserve">Navigating place-based learning. </w:t>
      </w:r>
      <w:r>
        <w:t>Cham: Springer International Publishing.</w:t>
      </w:r>
    </w:p>
    <w:p w14:paraId="56374131" w14:textId="6D4E413D" w:rsidR="001A31FE" w:rsidRDefault="001A31FE">
      <w:pPr>
        <w:ind w:left="720" w:hanging="720"/>
      </w:pPr>
      <w:r w:rsidRPr="001A31FE">
        <w:t>Lave, J., &amp; Wenger, E. (1991). </w:t>
      </w:r>
      <w:r w:rsidRPr="001A31FE">
        <w:rPr>
          <w:i/>
          <w:iCs/>
        </w:rPr>
        <w:t>Situated learning: Legitimate peripheral participation</w:t>
      </w:r>
      <w:r w:rsidRPr="001A31FE">
        <w:t xml:space="preserve">. Cambridge </w:t>
      </w:r>
      <w:r>
        <w:t>U</w:t>
      </w:r>
      <w:r w:rsidRPr="001A31FE">
        <w:t xml:space="preserve">niversity </w:t>
      </w:r>
      <w:r>
        <w:t>P</w:t>
      </w:r>
      <w:r w:rsidRPr="001A31FE">
        <w:t>ress.</w:t>
      </w:r>
    </w:p>
    <w:p w14:paraId="00000071" w14:textId="22B35E59" w:rsidR="008642B9" w:rsidRDefault="00000000">
      <w:pPr>
        <w:ind w:left="720" w:hanging="720"/>
      </w:pPr>
      <w:r>
        <w:t xml:space="preserve">Muhammad, G., &amp; Williams, P. (2023). </w:t>
      </w:r>
      <w:r w:rsidRPr="00A54FE0">
        <w:rPr>
          <w:i/>
          <w:iCs/>
        </w:rPr>
        <w:t>Unearthing joy: A guide to culturally and historically responsive teaching and learning.</w:t>
      </w:r>
      <w:r>
        <w:t xml:space="preserve"> Scholastic.</w:t>
      </w:r>
    </w:p>
    <w:p w14:paraId="00000072" w14:textId="77777777" w:rsidR="008642B9" w:rsidRDefault="00000000">
      <w:pPr>
        <w:ind w:left="720" w:hanging="720"/>
      </w:pPr>
      <w:r>
        <w:t xml:space="preserve">McKinney, J.P., McKinney, K.G., Franiuk, R., &amp; Schweitzer, J. (2006). The college classroom as a community: Impact on student attitudes and learning. </w:t>
      </w:r>
      <w:r>
        <w:rPr>
          <w:i/>
        </w:rPr>
        <w:t>College Teaching, 54</w:t>
      </w:r>
      <w:r>
        <w:t>(3), 281-284. https://doi.org/10.3200/CTCH.54.3.281-284.</w:t>
      </w:r>
    </w:p>
    <w:p w14:paraId="00000073" w14:textId="77777777" w:rsidR="008642B9" w:rsidRDefault="00000000">
      <w:pPr>
        <w:ind w:left="720" w:hanging="720"/>
      </w:pPr>
      <w:r>
        <w:t xml:space="preserve">O’Brien, D., &amp; Nygreen, K. (2020). Advancing restorative justice in the context of racial neoliberalism: Engaging contradictions to build humanizing spaces. </w:t>
      </w:r>
      <w:r>
        <w:rPr>
          <w:i/>
        </w:rPr>
        <w:t>Equity &amp; Excellence in Education, 53</w:t>
      </w:r>
      <w:r>
        <w:t>(4), 518-530.</w:t>
      </w:r>
    </w:p>
    <w:p w14:paraId="00000074" w14:textId="77777777" w:rsidR="008642B9" w:rsidRDefault="00000000">
      <w:pPr>
        <w:ind w:left="720" w:hanging="720"/>
      </w:pPr>
      <w:r>
        <w:t xml:space="preserve">Oldenburg, R. (1999). </w:t>
      </w:r>
      <w:r>
        <w:rPr>
          <w:i/>
        </w:rPr>
        <w:t>The great good place: Cafes, coffee shops, bookstores, bars, hair salons, and other hangouts at the heart of a community</w:t>
      </w:r>
      <w:r>
        <w:t>. Da Capo Press.</w:t>
      </w:r>
    </w:p>
    <w:p w14:paraId="00000075" w14:textId="77777777" w:rsidR="008642B9" w:rsidRDefault="00000000">
      <w:pPr>
        <w:ind w:left="720" w:hanging="720"/>
      </w:pPr>
      <w:r>
        <w:t xml:space="preserve">Paris, D. (2012). Culturally sustaining pedagogy: A needed change in stance, terminology, and practice. </w:t>
      </w:r>
      <w:r>
        <w:rPr>
          <w:i/>
        </w:rPr>
        <w:t>Educational Researcher, 41</w:t>
      </w:r>
      <w:r>
        <w:t>(3), 93-97. https://doi.org/10.3102/0013189X12441244.</w:t>
      </w:r>
    </w:p>
    <w:p w14:paraId="00000076" w14:textId="77777777" w:rsidR="008642B9" w:rsidRDefault="00000000">
      <w:pPr>
        <w:ind w:left="720" w:hanging="720"/>
      </w:pPr>
      <w:r>
        <w:lastRenderedPageBreak/>
        <w:t xml:space="preserve">Paris, D. (2021). Culturally sustaining pedagogies and our futures. </w:t>
      </w:r>
      <w:r>
        <w:rPr>
          <w:i/>
        </w:rPr>
        <w:t>The Educational Forum, 85</w:t>
      </w:r>
      <w:r>
        <w:t>(4), 364-376. https://doi.org/10.1080/00131725.2021.1957634.</w:t>
      </w:r>
    </w:p>
    <w:p w14:paraId="00000077" w14:textId="77777777" w:rsidR="008642B9" w:rsidRDefault="00000000">
      <w:pPr>
        <w:ind w:left="720" w:hanging="720"/>
      </w:pPr>
      <w:r>
        <w:t>Rentfrow, P. J. (2012). The role of music in everyday life: Current directions in the social psychology of music.</w:t>
      </w:r>
      <w:r>
        <w:rPr>
          <w:i/>
        </w:rPr>
        <w:t xml:space="preserve"> Social and personality psychology compass, 6</w:t>
      </w:r>
      <w:r>
        <w:t>(5), 402-416. https://doi.org/10.1111/j.1751-9004.2012.00434.x</w:t>
      </w:r>
    </w:p>
    <w:p w14:paraId="00000078" w14:textId="77777777" w:rsidR="008642B9" w:rsidRDefault="00000000">
      <w:pPr>
        <w:ind w:left="720" w:hanging="720"/>
      </w:pPr>
      <w:proofErr w:type="spellStart"/>
      <w:r>
        <w:t>Semken</w:t>
      </w:r>
      <w:proofErr w:type="spellEnd"/>
      <w:r>
        <w:t xml:space="preserve">, S., Ward, E.G., Moosavi, S., &amp; Chinn, P.W.U. (2018). Place-based education in geoscience: Theory, research, practice, and assessment. </w:t>
      </w:r>
      <w:r>
        <w:rPr>
          <w:i/>
        </w:rPr>
        <w:t>Journal of Geoscience Education, 65</w:t>
      </w:r>
      <w:r>
        <w:t>(4), 542–562. https://doi.org/10.5408/17-276.1</w:t>
      </w:r>
    </w:p>
    <w:p w14:paraId="00000079" w14:textId="77777777" w:rsidR="008642B9" w:rsidRDefault="00000000">
      <w:pPr>
        <w:ind w:left="720" w:hanging="720"/>
      </w:pPr>
      <w:r>
        <w:t xml:space="preserve">Strayhorn, T. (2019). </w:t>
      </w:r>
      <w:r>
        <w:rPr>
          <w:i/>
        </w:rPr>
        <w:t>College students’ sense of belonging: A key to educational success for all students.</w:t>
      </w:r>
      <w:r>
        <w:t xml:space="preserve"> Routledge.</w:t>
      </w:r>
    </w:p>
    <w:p w14:paraId="0000007A" w14:textId="77777777" w:rsidR="008642B9" w:rsidRDefault="00000000">
      <w:pPr>
        <w:ind w:left="720" w:hanging="720"/>
      </w:pPr>
      <w:r>
        <w:t xml:space="preserve">Sullivan, M.C., Cropps, T.A., &amp; Brown, C.P. (2024). </w:t>
      </w:r>
      <w:r>
        <w:rPr>
          <w:i/>
        </w:rPr>
        <w:t xml:space="preserve">“We </w:t>
      </w:r>
      <w:proofErr w:type="spellStart"/>
      <w:r>
        <w:rPr>
          <w:i/>
        </w:rPr>
        <w:t>gotta</w:t>
      </w:r>
      <w:proofErr w:type="spellEnd"/>
      <w:r>
        <w:rPr>
          <w:i/>
        </w:rPr>
        <w:t xml:space="preserve"> keep doing the hard things”: Learning strategies for immersive and multicultural experiences.</w:t>
      </w:r>
      <w:r>
        <w:t xml:space="preserve"> Proceedings of National Conference on Learner-Centered Teaching; North Central Region of the American Association for Agricultural Education. https://aaaeonline.org/resources/Documents/North%20Central/2024Conference/2024_NC-AAAE_NCLCT_Conference_Proceedings.pdf</w:t>
      </w:r>
    </w:p>
    <w:p w14:paraId="0000007B" w14:textId="77777777" w:rsidR="008642B9" w:rsidRDefault="00000000">
      <w:pPr>
        <w:ind w:left="720" w:hanging="720"/>
      </w:pPr>
      <w:r>
        <w:t xml:space="preserve">Thompson, B. (2008). How college freshmen communicate student academic support: A grounded theory study. </w:t>
      </w:r>
      <w:r>
        <w:rPr>
          <w:i/>
        </w:rPr>
        <w:t>Communication Education, 57</w:t>
      </w:r>
      <w:r>
        <w:t>(1), 123-144. https://doi.org/10.1080/03634520701576147</w:t>
      </w:r>
    </w:p>
    <w:p w14:paraId="0000007C" w14:textId="77777777" w:rsidR="008642B9" w:rsidRDefault="00000000">
      <w:pPr>
        <w:ind w:left="720" w:hanging="720"/>
      </w:pPr>
      <w:r>
        <w:t xml:space="preserve">Thompson, B., &amp; Mazer, J. P. (2009). College student ratings of student academic support: Frequency, importance, and modes of communication. </w:t>
      </w:r>
      <w:r>
        <w:rPr>
          <w:i/>
        </w:rPr>
        <w:t>Communication Education, 58</w:t>
      </w:r>
      <w:r>
        <w:t>(3), 433-458. https://doi.org/10.1080/03634520902930440</w:t>
      </w:r>
    </w:p>
    <w:p w14:paraId="0000007D" w14:textId="77777777" w:rsidR="008642B9" w:rsidRDefault="00000000">
      <w:pPr>
        <w:ind w:left="720" w:hanging="720"/>
      </w:pPr>
      <w:r>
        <w:t xml:space="preserve">Tinto, V. (2006). Enhancing student persistence: Lessons learned in the United States. </w:t>
      </w:r>
      <w:proofErr w:type="spellStart"/>
      <w:r>
        <w:rPr>
          <w:i/>
        </w:rPr>
        <w:t>Análise</w:t>
      </w:r>
      <w:proofErr w:type="spellEnd"/>
      <w:r>
        <w:rPr>
          <w:i/>
        </w:rPr>
        <w:t xml:space="preserve"> </w:t>
      </w:r>
      <w:proofErr w:type="spellStart"/>
      <w:r>
        <w:rPr>
          <w:i/>
        </w:rPr>
        <w:t>Psicológica</w:t>
      </w:r>
      <w:proofErr w:type="spellEnd"/>
      <w:r>
        <w:rPr>
          <w:i/>
        </w:rPr>
        <w:t>, 24</w:t>
      </w:r>
      <w:r>
        <w:t>(1), 7-13.</w:t>
      </w:r>
    </w:p>
    <w:p w14:paraId="0000007E" w14:textId="015451A6" w:rsidR="008642B9" w:rsidRDefault="00000000">
      <w:pPr>
        <w:ind w:left="720" w:hanging="720"/>
      </w:pPr>
      <w:r>
        <w:t>Tuck</w:t>
      </w:r>
      <w:r w:rsidR="00A54FE0">
        <w:t>,</w:t>
      </w:r>
      <w:r>
        <w:t xml:space="preserve"> E</w:t>
      </w:r>
      <w:r w:rsidR="00A54FE0">
        <w:t>.,</w:t>
      </w:r>
      <w:r>
        <w:t xml:space="preserve"> and Yang</w:t>
      </w:r>
      <w:r w:rsidR="00A54FE0">
        <w:t>,</w:t>
      </w:r>
      <w:r>
        <w:t xml:space="preserve"> K</w:t>
      </w:r>
      <w:r w:rsidR="00A54FE0">
        <w:t>.</w:t>
      </w:r>
      <w:r>
        <w:t>W</w:t>
      </w:r>
      <w:r w:rsidR="00A54FE0">
        <w:t>.</w:t>
      </w:r>
      <w:r>
        <w:t xml:space="preserve"> (2012) Decolonization is not a metaphor. </w:t>
      </w:r>
      <w:r>
        <w:rPr>
          <w:i/>
        </w:rPr>
        <w:t>Decolonization: Indigeneity, Education &amp; Society, 1</w:t>
      </w:r>
      <w:r>
        <w:t>(1):1–40. https://clas.osu.edu/sites/clas.osu.edu/files/Tuck%20and%20Yang%202012%20Decolonization%20is%20not%20a%20metaphor.pdf</w:t>
      </w:r>
    </w:p>
    <w:p w14:paraId="0000007F" w14:textId="77777777" w:rsidR="008642B9" w:rsidRDefault="00000000">
      <w:pPr>
        <w:ind w:left="720" w:hanging="720"/>
      </w:pPr>
      <w:r>
        <w:t xml:space="preserve">Wenger. E. (1998). </w:t>
      </w:r>
      <w:r>
        <w:rPr>
          <w:i/>
        </w:rPr>
        <w:t>Communities of practice: Learning, meaning and identity</w:t>
      </w:r>
      <w:r>
        <w:t>. Cambridge University Press.</w:t>
      </w:r>
    </w:p>
    <w:p w14:paraId="00000080" w14:textId="77777777" w:rsidR="008642B9" w:rsidRDefault="00000000">
      <w:pPr>
        <w:ind w:left="720" w:hanging="720"/>
      </w:pPr>
      <w:r>
        <w:t xml:space="preserve">Wilson, D., Jones, D., </w:t>
      </w:r>
      <w:proofErr w:type="spellStart"/>
      <w:r>
        <w:t>Bocell</w:t>
      </w:r>
      <w:proofErr w:type="spellEnd"/>
      <w:r>
        <w:t xml:space="preserve">, F., Crawford, J., Kim, M. J., Veilleux, N., ... &amp; Plett, M. (2015). Belonging and academic engagement among undergraduate STEM students: A multi-institutional study. </w:t>
      </w:r>
      <w:r>
        <w:rPr>
          <w:i/>
        </w:rPr>
        <w:t>Research in Higher Education, 56</w:t>
      </w:r>
      <w:r>
        <w:t>(7), 750-776. https://doi.org/10.1007/s11162-015-9367-x</w:t>
      </w:r>
    </w:p>
    <w:p w14:paraId="00000081" w14:textId="77777777" w:rsidR="008642B9" w:rsidRDefault="00000000">
      <w:pPr>
        <w:ind w:left="720" w:hanging="720"/>
      </w:pPr>
      <w:r>
        <w:t xml:space="preserve">Wong, A.K., Remin, R., Love, R., Aldred, R., Ralph, P., &amp; Cook, C. (2013). Building pedagogical community in the classroom. </w:t>
      </w:r>
      <w:r>
        <w:rPr>
          <w:i/>
        </w:rPr>
        <w:t>Christian Higher Education, 12</w:t>
      </w:r>
      <w:r>
        <w:t>(4), 282-295. https://doi.org/10.1080/15363759.2013.805635.</w:t>
      </w:r>
    </w:p>
    <w:sectPr w:rsidR="008642B9">
      <w:headerReference w:type="default" r:id="rId7"/>
      <w:footerReference w:type="even"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5C6E6" w14:textId="77777777" w:rsidR="000A0F88" w:rsidRDefault="000A0F88">
      <w:r>
        <w:separator/>
      </w:r>
    </w:p>
  </w:endnote>
  <w:endnote w:type="continuationSeparator" w:id="0">
    <w:p w14:paraId="45B34322" w14:textId="77777777" w:rsidR="000A0F88" w:rsidRDefault="000A0F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8E8C0D8B-558E-5945-B0AB-884C5D198664}"/>
    <w:embedItalic r:id="rId2" w:fontKey="{977C988D-094D-9A4E-99E5-4C4D4CF124E4}"/>
  </w:font>
  <w:font w:name="Times New Roman">
    <w:panose1 w:val="02020603050405020304"/>
    <w:charset w:val="00"/>
    <w:family w:val="roman"/>
    <w:pitch w:val="variable"/>
    <w:sig w:usb0="E0002EFF" w:usb1="C000785B" w:usb2="00000009" w:usb3="00000000" w:csb0="000001FF" w:csb1="00000000"/>
    <w:embedRegular r:id="rId3" w:fontKey="{E7BBFCEA-4E3B-B748-BC70-1DA069F4C29A}"/>
    <w:embedBold r:id="rId4" w:fontKey="{42EB91FE-A8F3-604F-AEB1-E317837A2850}"/>
    <w:embedItalic r:id="rId5" w:fontKey="{D68DE852-1954-CC4F-8702-73B3F509CBB1}"/>
    <w:embedBoldItalic r:id="rId6" w:fontKey="{5C848F35-CE2C-E848-952C-9866B761BFF9}"/>
  </w:font>
  <w:font w:name="Play">
    <w:altName w:val="Calibri"/>
    <w:panose1 w:val="020B0604020202020204"/>
    <w:charset w:val="00"/>
    <w:family w:val="auto"/>
    <w:pitch w:val="default"/>
  </w:font>
  <w:font w:name="Aptos Display">
    <w:panose1 w:val="020B0004020202020204"/>
    <w:charset w:val="00"/>
    <w:family w:val="swiss"/>
    <w:pitch w:val="variable"/>
    <w:sig w:usb0="20000287" w:usb1="00000003" w:usb2="00000000" w:usb3="00000000" w:csb0="0000019F" w:csb1="00000000"/>
    <w:embedRegular r:id="rId8" w:fontKey="{9C92EA2C-4625-DF4B-9A02-8DC811B52C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2" w14:textId="77777777" w:rsidR="008642B9" w:rsidRDefault="00000000">
    <w:pPr>
      <w:pBdr>
        <w:top w:val="nil"/>
        <w:left w:val="nil"/>
        <w:bottom w:val="nil"/>
        <w:right w:val="nil"/>
        <w:between w:val="nil"/>
      </w:pBdr>
      <w:tabs>
        <w:tab w:val="center" w:pos="4680"/>
        <w:tab w:val="right" w:pos="9360"/>
      </w:tabs>
      <w:jc w:val="right"/>
      <w:rPr>
        <w:color w:val="000000"/>
      </w:rPr>
    </w:pPr>
    <w:r>
      <w:rPr>
        <w:color w:val="000000"/>
      </w:rPr>
      <w:fldChar w:fldCharType="begin"/>
    </w:r>
    <w:r>
      <w:rPr>
        <w:rFonts w:ascii="Aptos" w:eastAsia="Aptos" w:hAnsi="Aptos" w:cs="Aptos"/>
        <w:color w:val="000000"/>
      </w:rPr>
      <w:instrText>PAGE</w:instrText>
    </w:r>
    <w:r>
      <w:rPr>
        <w:color w:val="000000"/>
      </w:rPr>
      <w:fldChar w:fldCharType="separate"/>
    </w:r>
    <w:r>
      <w:rPr>
        <w:color w:val="000000"/>
      </w:rPr>
      <w:fldChar w:fldCharType="end"/>
    </w:r>
  </w:p>
  <w:p w14:paraId="00000083" w14:textId="77777777" w:rsidR="008642B9" w:rsidRDefault="008642B9">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4" w14:textId="0627EC5D" w:rsidR="008642B9" w:rsidRDefault="00000000" w:rsidP="002F46D9">
    <w:pPr>
      <w:pBdr>
        <w:top w:val="nil"/>
        <w:left w:val="nil"/>
        <w:bottom w:val="nil"/>
        <w:right w:val="nil"/>
        <w:between w:val="nil"/>
      </w:pBdr>
      <w:tabs>
        <w:tab w:val="center" w:pos="4680"/>
        <w:tab w:val="right" w:pos="9360"/>
      </w:tabs>
      <w:jc w:val="center"/>
      <w:rPr>
        <w:color w:val="000000"/>
      </w:rPr>
    </w:pPr>
    <w:r>
      <w:rPr>
        <w:color w:val="000000"/>
      </w:rPr>
      <w:fldChar w:fldCharType="begin"/>
    </w:r>
    <w:r>
      <w:rPr>
        <w:color w:val="000000"/>
      </w:rPr>
      <w:instrText>PAGE</w:instrText>
    </w:r>
    <w:r>
      <w:rPr>
        <w:color w:val="000000"/>
      </w:rPr>
      <w:fldChar w:fldCharType="separate"/>
    </w:r>
    <w:r w:rsidR="00DA76B0">
      <w:rPr>
        <w:noProof/>
        <w:color w:val="000000"/>
      </w:rPr>
      <w:t>1</w:t>
    </w:r>
    <w:r>
      <w:rPr>
        <w:color w:val="000000"/>
      </w:rPr>
      <w:fldChar w:fldCharType="end"/>
    </w:r>
  </w:p>
  <w:p w14:paraId="00000085" w14:textId="77777777" w:rsidR="008642B9" w:rsidRDefault="008642B9">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A9FC9" w14:textId="77777777" w:rsidR="000A0F88" w:rsidRDefault="000A0F88">
      <w:r>
        <w:separator/>
      </w:r>
    </w:p>
  </w:footnote>
  <w:footnote w:type="continuationSeparator" w:id="0">
    <w:p w14:paraId="7BC76175" w14:textId="77777777" w:rsidR="000A0F88" w:rsidRDefault="000A0F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608F" w14:textId="1A2EBD5D" w:rsidR="002F46D9" w:rsidRDefault="002F46D9">
    <w:pPr>
      <w:pStyle w:val="Header"/>
    </w:pPr>
    <w:r w:rsidRPr="002F46D9">
      <w:t>Post</w:t>
    </w:r>
    <w:r>
      <w:t>-</w:t>
    </w:r>
    <w:r w:rsidRPr="002F46D9">
      <w:t>secondary Ag</w:t>
    </w:r>
    <w:r>
      <w:t>ricultural</w:t>
    </w:r>
    <w:r w:rsidRPr="002F46D9">
      <w:t xml:space="preserve"> Ed</w:t>
    </w:r>
    <w:r>
      <w:t>ucation</w:t>
    </w:r>
  </w:p>
  <w:p w14:paraId="721C3A4C" w14:textId="77777777" w:rsidR="002F46D9" w:rsidRDefault="002F46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42B9"/>
    <w:rsid w:val="00042B94"/>
    <w:rsid w:val="000A0F88"/>
    <w:rsid w:val="001A31FE"/>
    <w:rsid w:val="002F46D9"/>
    <w:rsid w:val="00403943"/>
    <w:rsid w:val="00502BB7"/>
    <w:rsid w:val="005504DE"/>
    <w:rsid w:val="00580AD8"/>
    <w:rsid w:val="006003B8"/>
    <w:rsid w:val="00757474"/>
    <w:rsid w:val="008642B9"/>
    <w:rsid w:val="00A54FE0"/>
    <w:rsid w:val="00AD1935"/>
    <w:rsid w:val="00BD5CDE"/>
    <w:rsid w:val="00DA76B0"/>
    <w:rsid w:val="00FB4C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50E514"/>
  <w15:docId w15:val="{AEB8DF2C-157B-C849-99B3-6E65F6BFC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31FE"/>
    <w:pPr>
      <w:spacing w:after="0" w:line="240" w:lineRule="auto"/>
    </w:pPr>
    <w:rPr>
      <w:rFonts w:ascii="Times New Roman" w:eastAsia="Times New Roman" w:hAnsi="Times New Roman" w:cs="Times New Roman"/>
      <w:lang w:val="en-US"/>
    </w:rPr>
  </w:style>
  <w:style w:type="paragraph" w:styleId="Heading1">
    <w:name w:val="heading 1"/>
    <w:basedOn w:val="Normal"/>
    <w:next w:val="Normal"/>
    <w:link w:val="Heading1Char"/>
    <w:uiPriority w:val="9"/>
    <w:qFormat/>
    <w:pPr>
      <w:keepNext/>
      <w:keepLines/>
      <w:spacing w:before="360" w:after="80" w:line="278" w:lineRule="auto"/>
      <w:outlineLvl w:val="0"/>
    </w:pPr>
    <w:rPr>
      <w:rFonts w:ascii="Play" w:eastAsia="Play" w:hAnsi="Play" w:cs="Play"/>
      <w:color w:val="0F4761"/>
      <w:sz w:val="40"/>
      <w:szCs w:val="40"/>
      <w:lang w:val="en"/>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Play" w:eastAsia="Play" w:hAnsi="Play" w:cs="Play"/>
      <w:color w:val="0F4761"/>
      <w:sz w:val="32"/>
      <w:szCs w:val="32"/>
      <w:lang w:val="en"/>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ascii="Aptos" w:eastAsia="Aptos" w:hAnsi="Aptos" w:cs="Aptos"/>
      <w:color w:val="0F4761"/>
      <w:sz w:val="28"/>
      <w:szCs w:val="28"/>
      <w:lang w:val="en"/>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ascii="Aptos" w:eastAsia="Aptos" w:hAnsi="Aptos" w:cs="Aptos"/>
      <w:i/>
      <w:color w:val="0F4761"/>
      <w:lang w:val="en"/>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ascii="Aptos" w:eastAsia="Aptos" w:hAnsi="Aptos" w:cs="Aptos"/>
      <w:color w:val="0F4761"/>
      <w:lang w:val="en"/>
    </w:rPr>
  </w:style>
  <w:style w:type="paragraph" w:styleId="Heading6">
    <w:name w:val="heading 6"/>
    <w:basedOn w:val="Normal"/>
    <w:next w:val="Normal"/>
    <w:link w:val="Heading6Char"/>
    <w:uiPriority w:val="9"/>
    <w:semiHidden/>
    <w:unhideWhenUsed/>
    <w:qFormat/>
    <w:pPr>
      <w:keepNext/>
      <w:keepLines/>
      <w:spacing w:before="40" w:line="278" w:lineRule="auto"/>
      <w:outlineLvl w:val="5"/>
    </w:pPr>
    <w:rPr>
      <w:rFonts w:ascii="Aptos" w:eastAsia="Aptos" w:hAnsi="Aptos" w:cs="Aptos"/>
      <w:i/>
      <w:color w:val="595959"/>
      <w:lang w:val="en"/>
    </w:rPr>
  </w:style>
  <w:style w:type="paragraph" w:styleId="Heading7">
    <w:name w:val="heading 7"/>
    <w:basedOn w:val="Normal"/>
    <w:next w:val="Normal"/>
    <w:link w:val="Heading7Char"/>
    <w:uiPriority w:val="9"/>
    <w:semiHidden/>
    <w:unhideWhenUsed/>
    <w:qFormat/>
    <w:rsid w:val="001F2F0A"/>
    <w:pPr>
      <w:keepNext/>
      <w:keepLines/>
      <w:spacing w:before="40" w:line="278" w:lineRule="auto"/>
      <w:outlineLvl w:val="6"/>
    </w:pPr>
    <w:rPr>
      <w:rFonts w:ascii="Aptos" w:eastAsiaTheme="majorEastAsia" w:hAnsi="Aptos" w:cstheme="majorBidi"/>
      <w:color w:val="595959" w:themeColor="text1" w:themeTint="A6"/>
      <w:lang w:val="en"/>
    </w:rPr>
  </w:style>
  <w:style w:type="paragraph" w:styleId="Heading8">
    <w:name w:val="heading 8"/>
    <w:basedOn w:val="Normal"/>
    <w:next w:val="Normal"/>
    <w:link w:val="Heading8Char"/>
    <w:uiPriority w:val="9"/>
    <w:semiHidden/>
    <w:unhideWhenUsed/>
    <w:qFormat/>
    <w:rsid w:val="001F2F0A"/>
    <w:pPr>
      <w:keepNext/>
      <w:keepLines/>
      <w:spacing w:line="278" w:lineRule="auto"/>
      <w:outlineLvl w:val="7"/>
    </w:pPr>
    <w:rPr>
      <w:rFonts w:ascii="Aptos" w:eastAsiaTheme="majorEastAsia" w:hAnsi="Aptos" w:cstheme="majorBidi"/>
      <w:i/>
      <w:iCs/>
      <w:color w:val="272727" w:themeColor="text1" w:themeTint="D8"/>
      <w:lang w:val="en"/>
    </w:rPr>
  </w:style>
  <w:style w:type="paragraph" w:styleId="Heading9">
    <w:name w:val="heading 9"/>
    <w:basedOn w:val="Normal"/>
    <w:next w:val="Normal"/>
    <w:link w:val="Heading9Char"/>
    <w:uiPriority w:val="9"/>
    <w:semiHidden/>
    <w:unhideWhenUsed/>
    <w:qFormat/>
    <w:rsid w:val="001F2F0A"/>
    <w:pPr>
      <w:keepNext/>
      <w:keepLines/>
      <w:spacing w:line="278" w:lineRule="auto"/>
      <w:outlineLvl w:val="8"/>
    </w:pPr>
    <w:rPr>
      <w:rFonts w:ascii="Aptos" w:eastAsiaTheme="majorEastAsia" w:hAnsi="Aptos" w:cstheme="majorBidi"/>
      <w:color w:val="272727" w:themeColor="text1" w:themeTint="D8"/>
      <w:lang w:val="e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pPr>
    <w:rPr>
      <w:rFonts w:ascii="Play" w:eastAsia="Play" w:hAnsi="Play" w:cs="Play"/>
      <w:sz w:val="56"/>
      <w:szCs w:val="56"/>
      <w:lang w:val="en"/>
    </w:rPr>
  </w:style>
  <w:style w:type="character" w:customStyle="1" w:styleId="Heading1Char">
    <w:name w:val="Heading 1 Char"/>
    <w:basedOn w:val="DefaultParagraphFont"/>
    <w:link w:val="Heading1"/>
    <w:uiPriority w:val="9"/>
    <w:rsid w:val="001F2F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2F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F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F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F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F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F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F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F0A"/>
    <w:rPr>
      <w:rFonts w:eastAsiaTheme="majorEastAsia" w:cstheme="majorBidi"/>
      <w:color w:val="272727" w:themeColor="text1" w:themeTint="D8"/>
    </w:rPr>
  </w:style>
  <w:style w:type="character" w:customStyle="1" w:styleId="TitleChar">
    <w:name w:val="Title Char"/>
    <w:basedOn w:val="DefaultParagraphFont"/>
    <w:link w:val="Title"/>
    <w:uiPriority w:val="10"/>
    <w:rsid w:val="001F2F0A"/>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1F2F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F0A"/>
    <w:pPr>
      <w:spacing w:before="160" w:after="160" w:line="278" w:lineRule="auto"/>
      <w:jc w:val="center"/>
    </w:pPr>
    <w:rPr>
      <w:rFonts w:ascii="Aptos" w:eastAsia="Aptos" w:hAnsi="Aptos" w:cs="Aptos"/>
      <w:i/>
      <w:iCs/>
      <w:color w:val="404040" w:themeColor="text1" w:themeTint="BF"/>
      <w:lang w:val="en"/>
    </w:rPr>
  </w:style>
  <w:style w:type="character" w:customStyle="1" w:styleId="QuoteChar">
    <w:name w:val="Quote Char"/>
    <w:basedOn w:val="DefaultParagraphFont"/>
    <w:link w:val="Quote"/>
    <w:uiPriority w:val="29"/>
    <w:rsid w:val="001F2F0A"/>
    <w:rPr>
      <w:i/>
      <w:iCs/>
      <w:color w:val="404040" w:themeColor="text1" w:themeTint="BF"/>
    </w:rPr>
  </w:style>
  <w:style w:type="paragraph" w:styleId="ListParagraph">
    <w:name w:val="List Paragraph"/>
    <w:basedOn w:val="Normal"/>
    <w:uiPriority w:val="34"/>
    <w:qFormat/>
    <w:rsid w:val="001F2F0A"/>
    <w:pPr>
      <w:spacing w:after="160" w:line="278" w:lineRule="auto"/>
      <w:ind w:left="720"/>
      <w:contextualSpacing/>
    </w:pPr>
    <w:rPr>
      <w:rFonts w:ascii="Aptos" w:eastAsia="Aptos" w:hAnsi="Aptos" w:cs="Aptos"/>
      <w:lang w:val="en"/>
    </w:rPr>
  </w:style>
  <w:style w:type="character" w:styleId="IntenseEmphasis">
    <w:name w:val="Intense Emphasis"/>
    <w:basedOn w:val="DefaultParagraphFont"/>
    <w:uiPriority w:val="21"/>
    <w:qFormat/>
    <w:rsid w:val="001F2F0A"/>
    <w:rPr>
      <w:i/>
      <w:iCs/>
      <w:color w:val="0F4761" w:themeColor="accent1" w:themeShade="BF"/>
    </w:rPr>
  </w:style>
  <w:style w:type="paragraph" w:styleId="IntenseQuote">
    <w:name w:val="Intense Quote"/>
    <w:basedOn w:val="Normal"/>
    <w:next w:val="Normal"/>
    <w:link w:val="IntenseQuoteChar"/>
    <w:uiPriority w:val="30"/>
    <w:qFormat/>
    <w:rsid w:val="001F2F0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Aptos" w:eastAsia="Aptos" w:hAnsi="Aptos" w:cs="Aptos"/>
      <w:i/>
      <w:iCs/>
      <w:color w:val="0F4761" w:themeColor="accent1" w:themeShade="BF"/>
      <w:lang w:val="en"/>
    </w:rPr>
  </w:style>
  <w:style w:type="character" w:customStyle="1" w:styleId="IntenseQuoteChar">
    <w:name w:val="Intense Quote Char"/>
    <w:basedOn w:val="DefaultParagraphFont"/>
    <w:link w:val="IntenseQuote"/>
    <w:uiPriority w:val="30"/>
    <w:rsid w:val="001F2F0A"/>
    <w:rPr>
      <w:i/>
      <w:iCs/>
      <w:color w:val="0F4761" w:themeColor="accent1" w:themeShade="BF"/>
    </w:rPr>
  </w:style>
  <w:style w:type="character" w:styleId="IntenseReference">
    <w:name w:val="Intense Reference"/>
    <w:basedOn w:val="DefaultParagraphFont"/>
    <w:uiPriority w:val="32"/>
    <w:qFormat/>
    <w:rsid w:val="001F2F0A"/>
    <w:rPr>
      <w:b/>
      <w:bCs/>
      <w:smallCaps/>
      <w:color w:val="0F4761" w:themeColor="accent1" w:themeShade="BF"/>
      <w:spacing w:val="5"/>
    </w:rPr>
  </w:style>
  <w:style w:type="character" w:styleId="Hyperlink">
    <w:name w:val="Hyperlink"/>
    <w:basedOn w:val="DefaultParagraphFont"/>
    <w:uiPriority w:val="99"/>
    <w:unhideWhenUsed/>
    <w:rsid w:val="001F2F0A"/>
    <w:rPr>
      <w:color w:val="467886" w:themeColor="hyperlink"/>
      <w:u w:val="single"/>
    </w:rPr>
  </w:style>
  <w:style w:type="character" w:styleId="UnresolvedMention">
    <w:name w:val="Unresolved Mention"/>
    <w:basedOn w:val="DefaultParagraphFont"/>
    <w:uiPriority w:val="99"/>
    <w:semiHidden/>
    <w:unhideWhenUsed/>
    <w:rsid w:val="001F2F0A"/>
    <w:rPr>
      <w:color w:val="605E5C"/>
      <w:shd w:val="clear" w:color="auto" w:fill="E1DFDD"/>
    </w:rPr>
  </w:style>
  <w:style w:type="paragraph" w:styleId="Footer">
    <w:name w:val="footer"/>
    <w:basedOn w:val="Normal"/>
    <w:link w:val="FooterChar"/>
    <w:uiPriority w:val="99"/>
    <w:unhideWhenUsed/>
    <w:rsid w:val="00174D8D"/>
    <w:pPr>
      <w:tabs>
        <w:tab w:val="center" w:pos="4680"/>
        <w:tab w:val="right" w:pos="9360"/>
      </w:tabs>
    </w:pPr>
    <w:rPr>
      <w:rFonts w:ascii="Aptos" w:eastAsia="Aptos" w:hAnsi="Aptos" w:cs="Aptos"/>
      <w:lang w:val="en"/>
    </w:rPr>
  </w:style>
  <w:style w:type="character" w:customStyle="1" w:styleId="FooterChar">
    <w:name w:val="Footer Char"/>
    <w:basedOn w:val="DefaultParagraphFont"/>
    <w:link w:val="Footer"/>
    <w:uiPriority w:val="99"/>
    <w:rsid w:val="00174D8D"/>
  </w:style>
  <w:style w:type="character" w:styleId="PageNumber">
    <w:name w:val="page number"/>
    <w:basedOn w:val="DefaultParagraphFont"/>
    <w:uiPriority w:val="99"/>
    <w:semiHidden/>
    <w:unhideWhenUsed/>
    <w:rsid w:val="00174D8D"/>
  </w:style>
  <w:style w:type="table" w:styleId="TableGrid">
    <w:name w:val="Table Grid"/>
    <w:basedOn w:val="TableNormal"/>
    <w:uiPriority w:val="39"/>
    <w:rsid w:val="00174D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pPr>
      <w:spacing w:after="160" w:line="278" w:lineRule="auto"/>
    </w:pPr>
    <w:rPr>
      <w:rFonts w:ascii="Aptos" w:eastAsia="Aptos" w:hAnsi="Aptos" w:cs="Aptos"/>
      <w:color w:val="595959"/>
      <w:sz w:val="28"/>
      <w:szCs w:val="28"/>
      <w:lang w:val="en"/>
    </w:rPr>
  </w:style>
  <w:style w:type="table" w:customStyle="1" w:styleId="a">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after="160"/>
    </w:pPr>
    <w:rPr>
      <w:rFonts w:ascii="Aptos" w:eastAsia="Aptos" w:hAnsi="Aptos" w:cs="Aptos"/>
      <w:sz w:val="20"/>
      <w:szCs w:val="20"/>
      <w:lang w:val="en"/>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2F46D9"/>
    <w:pPr>
      <w:tabs>
        <w:tab w:val="center" w:pos="4680"/>
        <w:tab w:val="right" w:pos="9360"/>
      </w:tabs>
    </w:pPr>
  </w:style>
  <w:style w:type="character" w:customStyle="1" w:styleId="HeaderChar">
    <w:name w:val="Header Char"/>
    <w:basedOn w:val="DefaultParagraphFont"/>
    <w:link w:val="Header"/>
    <w:uiPriority w:val="99"/>
    <w:rsid w:val="002F46D9"/>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sC0IvcSWDxJZBuoFdDRG2Oy567g==">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4163</Words>
  <Characters>27185</Characters>
  <Application>Microsoft Office Word</Application>
  <DocSecurity>0</DocSecurity>
  <Lines>445</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Cropps, Torrie</dc:creator>
  <cp:lastModifiedBy>Cropps, Torrie</cp:lastModifiedBy>
  <cp:revision>3</cp:revision>
  <dcterms:created xsi:type="dcterms:W3CDTF">2026-01-05T21:08:00Z</dcterms:created>
  <dcterms:modified xsi:type="dcterms:W3CDTF">2026-01-06T18:14:00Z</dcterms:modified>
</cp:coreProperties>
</file>