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502DE0" w14:textId="77777777" w:rsidR="004106DB" w:rsidRPr="004106DB" w:rsidRDefault="004106DB" w:rsidP="004106DB">
      <w:pPr>
        <w:jc w:val="center"/>
        <w:rPr>
          <w:rFonts w:asciiTheme="majorBidi" w:hAnsiTheme="majorBidi" w:cstheme="majorBidi"/>
          <w:b/>
          <w:bCs/>
          <w:color w:val="000000" w:themeColor="text1"/>
        </w:rPr>
      </w:pPr>
      <w:r w:rsidRPr="004106DB">
        <w:rPr>
          <w:rFonts w:asciiTheme="majorBidi" w:hAnsiTheme="majorBidi" w:cstheme="majorBidi"/>
          <w:b/>
          <w:bCs/>
          <w:color w:val="000000" w:themeColor="text1"/>
        </w:rPr>
        <w:t>Planting Knowledge: Evaluating Urban Elementary Students' Learning Growth Through Short-term Agricultural Programming</w:t>
      </w:r>
    </w:p>
    <w:p w14:paraId="12FCAA11" w14:textId="77777777" w:rsidR="004106DB" w:rsidRPr="004106DB" w:rsidRDefault="004106DB" w:rsidP="004106DB">
      <w:pPr>
        <w:rPr>
          <w:rFonts w:asciiTheme="majorBidi" w:hAnsiTheme="majorBidi" w:cstheme="majorBidi"/>
          <w:color w:val="000000" w:themeColor="text1"/>
        </w:rPr>
      </w:pPr>
    </w:p>
    <w:p w14:paraId="021510CB" w14:textId="77777777" w:rsidR="004106DB" w:rsidRDefault="004106DB" w:rsidP="004106DB">
      <w:pPr>
        <w:jc w:val="center"/>
        <w:rPr>
          <w:rFonts w:asciiTheme="majorBidi" w:hAnsiTheme="majorBidi" w:cstheme="majorBidi"/>
          <w:b/>
          <w:bCs/>
          <w:color w:val="000000" w:themeColor="text1"/>
        </w:rPr>
      </w:pPr>
      <w:r w:rsidRPr="004106DB">
        <w:rPr>
          <w:rFonts w:asciiTheme="majorBidi" w:hAnsiTheme="majorBidi" w:cstheme="majorBidi"/>
          <w:b/>
          <w:bCs/>
          <w:color w:val="000000" w:themeColor="text1"/>
        </w:rPr>
        <w:t>Introduction, Purpose &amp; Objectives</w:t>
      </w:r>
    </w:p>
    <w:p w14:paraId="1B0A62AA" w14:textId="77777777" w:rsidR="004106DB" w:rsidRPr="004106DB" w:rsidRDefault="004106DB" w:rsidP="004106DB">
      <w:pPr>
        <w:jc w:val="center"/>
        <w:rPr>
          <w:rFonts w:asciiTheme="majorBidi" w:hAnsiTheme="majorBidi" w:cstheme="majorBidi"/>
          <w:b/>
          <w:bCs/>
          <w:color w:val="000000" w:themeColor="text1"/>
        </w:rPr>
      </w:pPr>
    </w:p>
    <w:p w14:paraId="7D31DB36" w14:textId="33247558" w:rsidR="004106DB" w:rsidRPr="004106DB" w:rsidRDefault="004106DB" w:rsidP="004106DB">
      <w:pPr>
        <w:rPr>
          <w:rFonts w:asciiTheme="majorBidi" w:hAnsiTheme="majorBidi" w:cstheme="majorBidi"/>
          <w:color w:val="000000" w:themeColor="text1"/>
        </w:rPr>
      </w:pPr>
      <w:r w:rsidRPr="004106DB">
        <w:rPr>
          <w:rFonts w:asciiTheme="majorBidi" w:hAnsiTheme="majorBidi" w:cstheme="majorBidi"/>
          <w:color w:val="000000" w:themeColor="text1"/>
        </w:rPr>
        <w:t xml:space="preserve">School-based agricultural education programs face the growing challenge of adequately serving the needs of diverse populations (Bird et al., 2013). Compounding this challenge, programs such as FFA and 4-H’s have struggled to recruit and engage minority students, particularly African American youth, partly due to their limited presence in urban schools and communities (Fraze et al., 2011). These interconnected issues present a complex problem for agricultural educators and, more specifically, for African American students, who have historically been and continue to be underrepresented in many agricultural science areas (Jones &amp; Bowen, 1998). Therefore, agricultural educators must pursue innovative approaches to expand programming efforts and offer early youth exposure </w:t>
      </w:r>
      <w:r w:rsidR="00B37D03">
        <w:rPr>
          <w:rFonts w:asciiTheme="majorBidi" w:hAnsiTheme="majorBidi" w:cstheme="majorBidi"/>
          <w:color w:val="000000" w:themeColor="text1"/>
        </w:rPr>
        <w:t>to</w:t>
      </w:r>
      <w:r w:rsidRPr="004106DB">
        <w:rPr>
          <w:rFonts w:asciiTheme="majorBidi" w:hAnsiTheme="majorBidi" w:cstheme="majorBidi"/>
          <w:color w:val="000000" w:themeColor="text1"/>
        </w:rPr>
        <w:t xml:space="preserve"> the broad range of career pathways in agriculture (Jean-Phillipe et al., 2017). </w:t>
      </w:r>
      <w:r w:rsidR="00B37D03">
        <w:rPr>
          <w:rFonts w:asciiTheme="majorBidi" w:hAnsiTheme="majorBidi" w:cstheme="majorBidi"/>
          <w:color w:val="000000" w:themeColor="text1"/>
        </w:rPr>
        <w:t>Given these needs, s</w:t>
      </w:r>
      <w:r w:rsidRPr="004106DB">
        <w:rPr>
          <w:rFonts w:asciiTheme="majorBidi" w:hAnsiTheme="majorBidi" w:cstheme="majorBidi"/>
          <w:color w:val="000000" w:themeColor="text1"/>
        </w:rPr>
        <w:t>hort-term programming strategies present a unique opportunity to support this effort.</w:t>
      </w:r>
    </w:p>
    <w:p w14:paraId="7CB3B1E8" w14:textId="77777777" w:rsidR="004106DB" w:rsidRPr="004106DB" w:rsidRDefault="004106DB" w:rsidP="004106DB">
      <w:pPr>
        <w:rPr>
          <w:rFonts w:asciiTheme="majorBidi" w:hAnsiTheme="majorBidi" w:cstheme="majorBidi"/>
          <w:color w:val="000000" w:themeColor="text1"/>
        </w:rPr>
      </w:pPr>
    </w:p>
    <w:p w14:paraId="35E141F3" w14:textId="58A389CA" w:rsidR="004106DB" w:rsidRDefault="004106DB" w:rsidP="004106DB">
      <w:pPr>
        <w:rPr>
          <w:rFonts w:asciiTheme="majorBidi" w:hAnsiTheme="majorBidi" w:cstheme="majorBidi"/>
          <w:color w:val="EE0000"/>
        </w:rPr>
      </w:pPr>
      <w:r w:rsidRPr="004106DB">
        <w:rPr>
          <w:rFonts w:asciiTheme="majorBidi" w:hAnsiTheme="majorBidi" w:cstheme="majorBidi"/>
          <w:color w:val="000000" w:themeColor="text1"/>
        </w:rPr>
        <w:t xml:space="preserve">Henry et al. (2014) discovered that prior to participating in agricultural programs, urban students had an inaccurate impression of agricultural ideals </w:t>
      </w:r>
      <w:proofErr w:type="gramStart"/>
      <w:r w:rsidRPr="004106DB">
        <w:rPr>
          <w:rFonts w:asciiTheme="majorBidi" w:hAnsiTheme="majorBidi" w:cstheme="majorBidi"/>
          <w:color w:val="000000" w:themeColor="text1"/>
        </w:rPr>
        <w:t>as a result of</w:t>
      </w:r>
      <w:proofErr w:type="gramEnd"/>
      <w:r w:rsidRPr="004106DB">
        <w:rPr>
          <w:rFonts w:asciiTheme="majorBidi" w:hAnsiTheme="majorBidi" w:cstheme="majorBidi"/>
          <w:color w:val="000000" w:themeColor="text1"/>
        </w:rPr>
        <w:t xml:space="preserve"> a larger spatial gap from agricultural practices and absence of personal agricultural connections.</w:t>
      </w:r>
      <w:r w:rsidR="00FA4366" w:rsidRPr="00FA4366">
        <w:rPr>
          <w:rFonts w:asciiTheme="majorBidi" w:hAnsiTheme="majorBidi" w:cstheme="majorBidi"/>
          <w:color w:val="000000" w:themeColor="text1"/>
        </w:rPr>
        <w:t xml:space="preserve"> </w:t>
      </w:r>
      <w:r w:rsidR="00C36172">
        <w:rPr>
          <w:rFonts w:asciiTheme="majorBidi" w:hAnsiTheme="majorBidi" w:cstheme="majorBidi"/>
          <w:color w:val="000000" w:themeColor="text1"/>
        </w:rPr>
        <w:t>Conversely</w:t>
      </w:r>
      <w:r w:rsidR="00FA4366">
        <w:rPr>
          <w:rFonts w:asciiTheme="majorBidi" w:hAnsiTheme="majorBidi" w:cstheme="majorBidi"/>
          <w:color w:val="000000" w:themeColor="text1"/>
        </w:rPr>
        <w:t xml:space="preserve">, </w:t>
      </w:r>
      <w:r w:rsidRPr="004106DB">
        <w:rPr>
          <w:rFonts w:asciiTheme="majorBidi" w:hAnsiTheme="majorBidi" w:cstheme="majorBidi"/>
          <w:color w:val="000000" w:themeColor="text1"/>
        </w:rPr>
        <w:t xml:space="preserve">Jean-Phillipe et al. (2017) determined that short-term agricultural programs generated positive opinions of agriculture and increased agricultural knowledge. With a growing disconnect between urban youth and the agricultural industry, there is a shortage of research examining the impact of short-term agricultural programs on African American youth in urban schools and their agricultural </w:t>
      </w:r>
      <w:r w:rsidRPr="00ED3DDE">
        <w:rPr>
          <w:rFonts w:asciiTheme="majorBidi" w:hAnsiTheme="majorBidi" w:cstheme="majorBidi"/>
          <w:color w:val="000000" w:themeColor="text1"/>
        </w:rPr>
        <w:t xml:space="preserve">understanding. </w:t>
      </w:r>
      <w:r w:rsidR="005044A9" w:rsidRPr="00ED3DDE">
        <w:rPr>
          <w:rFonts w:asciiTheme="majorBidi" w:hAnsiTheme="majorBidi" w:cstheme="majorBidi"/>
          <w:color w:val="000000" w:themeColor="text1"/>
        </w:rPr>
        <w:t>The purpose of this qualitative study was to explore how urban, African American elementary students perceived and understood agriculture before and after participating in a short-term, school-wide agricultural learning event. One research objective guided this study: How do urban, African American youth perceive and understand agriculture before and after attending a school-wide agricultural event?</w:t>
      </w:r>
    </w:p>
    <w:p w14:paraId="2FB0BDFD" w14:textId="77777777" w:rsidR="005044A9" w:rsidRPr="005044A9" w:rsidRDefault="005044A9" w:rsidP="004106DB">
      <w:pPr>
        <w:rPr>
          <w:rFonts w:asciiTheme="majorBidi" w:hAnsiTheme="majorBidi" w:cstheme="majorBidi"/>
          <w:color w:val="EE0000"/>
        </w:rPr>
      </w:pPr>
    </w:p>
    <w:p w14:paraId="1DABC805" w14:textId="77777777" w:rsidR="004106DB" w:rsidRDefault="004106DB" w:rsidP="004106DB">
      <w:pPr>
        <w:jc w:val="center"/>
        <w:rPr>
          <w:rFonts w:asciiTheme="majorBidi" w:hAnsiTheme="majorBidi" w:cstheme="majorBidi"/>
          <w:b/>
          <w:bCs/>
          <w:color w:val="000000" w:themeColor="text1"/>
        </w:rPr>
      </w:pPr>
      <w:r w:rsidRPr="004106DB">
        <w:rPr>
          <w:rFonts w:asciiTheme="majorBidi" w:hAnsiTheme="majorBidi" w:cstheme="majorBidi"/>
          <w:b/>
          <w:bCs/>
          <w:color w:val="000000" w:themeColor="text1"/>
        </w:rPr>
        <w:t>Conceptual Framework</w:t>
      </w:r>
    </w:p>
    <w:p w14:paraId="7877C43C" w14:textId="77777777" w:rsidR="004106DB" w:rsidRPr="004106DB" w:rsidRDefault="004106DB" w:rsidP="004106DB">
      <w:pPr>
        <w:jc w:val="center"/>
        <w:rPr>
          <w:rFonts w:asciiTheme="majorBidi" w:hAnsiTheme="majorBidi" w:cstheme="majorBidi"/>
          <w:b/>
          <w:bCs/>
          <w:color w:val="000000" w:themeColor="text1"/>
        </w:rPr>
      </w:pPr>
    </w:p>
    <w:p w14:paraId="622518E5" w14:textId="1CFD90FE" w:rsidR="004106DB" w:rsidRPr="004106DB" w:rsidRDefault="005044A9" w:rsidP="004106DB">
      <w:pPr>
        <w:rPr>
          <w:rFonts w:asciiTheme="majorBidi" w:hAnsiTheme="majorBidi" w:cstheme="majorBidi"/>
          <w:color w:val="000000" w:themeColor="text1"/>
        </w:rPr>
      </w:pPr>
      <w:r w:rsidRPr="00083141">
        <w:rPr>
          <w:rFonts w:asciiTheme="majorBidi" w:hAnsiTheme="majorBidi" w:cstheme="majorBidi"/>
          <w:color w:val="000000" w:themeColor="text1"/>
        </w:rPr>
        <w:t xml:space="preserve">This study was </w:t>
      </w:r>
      <w:r w:rsidR="00ED3DDE" w:rsidRPr="00083141">
        <w:rPr>
          <w:rFonts w:asciiTheme="majorBidi" w:hAnsiTheme="majorBidi" w:cstheme="majorBidi"/>
          <w:color w:val="000000" w:themeColor="text1"/>
        </w:rPr>
        <w:t>informed by</w:t>
      </w:r>
      <w:r w:rsidRPr="00083141">
        <w:rPr>
          <w:rFonts w:asciiTheme="majorBidi" w:hAnsiTheme="majorBidi" w:cstheme="majorBidi"/>
          <w:color w:val="000000" w:themeColor="text1"/>
        </w:rPr>
        <w:t xml:space="preserve"> a constructivist learning perspective, which </w:t>
      </w:r>
      <w:r w:rsidR="00ED3DDE" w:rsidRPr="00083141">
        <w:rPr>
          <w:rFonts w:asciiTheme="majorBidi" w:hAnsiTheme="majorBidi" w:cstheme="majorBidi"/>
          <w:color w:val="000000" w:themeColor="text1"/>
        </w:rPr>
        <w:t>emphasizes</w:t>
      </w:r>
      <w:r w:rsidRPr="00083141">
        <w:rPr>
          <w:rFonts w:asciiTheme="majorBidi" w:hAnsiTheme="majorBidi" w:cstheme="majorBidi"/>
          <w:color w:val="000000" w:themeColor="text1"/>
        </w:rPr>
        <w:t xml:space="preserve"> </w:t>
      </w:r>
      <w:r w:rsidR="00ED3DDE" w:rsidRPr="00083141">
        <w:rPr>
          <w:rFonts w:asciiTheme="majorBidi" w:hAnsiTheme="majorBidi" w:cstheme="majorBidi"/>
          <w:color w:val="000000" w:themeColor="text1"/>
        </w:rPr>
        <w:t>that</w:t>
      </w:r>
      <w:r w:rsidRPr="00083141">
        <w:rPr>
          <w:rFonts w:asciiTheme="majorBidi" w:hAnsiTheme="majorBidi" w:cstheme="majorBidi"/>
          <w:color w:val="000000" w:themeColor="text1"/>
        </w:rPr>
        <w:t xml:space="preserve"> learners actively construct knowledge through </w:t>
      </w:r>
      <w:r w:rsidR="00ED3DDE" w:rsidRPr="00083141">
        <w:rPr>
          <w:rFonts w:asciiTheme="majorBidi" w:hAnsiTheme="majorBidi" w:cstheme="majorBidi"/>
          <w:color w:val="000000" w:themeColor="text1"/>
        </w:rPr>
        <w:t>engagement</w:t>
      </w:r>
      <w:r w:rsidRPr="00083141">
        <w:rPr>
          <w:rFonts w:asciiTheme="majorBidi" w:hAnsiTheme="majorBidi" w:cstheme="majorBidi"/>
          <w:color w:val="000000" w:themeColor="text1"/>
        </w:rPr>
        <w:t xml:space="preserve"> with their environment and experiences. Experiential Learning Theory (ELT) provided the conceptual lens for this study, </w:t>
      </w:r>
      <w:r w:rsidR="00083141" w:rsidRPr="00083141">
        <w:rPr>
          <w:rFonts w:asciiTheme="majorBidi" w:hAnsiTheme="majorBidi" w:cstheme="majorBidi"/>
          <w:color w:val="000000" w:themeColor="text1"/>
        </w:rPr>
        <w:t>highlighting</w:t>
      </w:r>
      <w:r w:rsidRPr="00083141">
        <w:rPr>
          <w:rFonts w:asciiTheme="majorBidi" w:hAnsiTheme="majorBidi" w:cstheme="majorBidi"/>
          <w:color w:val="000000" w:themeColor="text1"/>
        </w:rPr>
        <w:t xml:space="preserve"> learning as a process </w:t>
      </w:r>
      <w:r w:rsidR="00C36172">
        <w:rPr>
          <w:rFonts w:asciiTheme="majorBidi" w:hAnsiTheme="majorBidi" w:cstheme="majorBidi"/>
          <w:color w:val="000000" w:themeColor="text1"/>
        </w:rPr>
        <w:t>of</w:t>
      </w:r>
      <w:r w:rsidRPr="00083141">
        <w:rPr>
          <w:rFonts w:asciiTheme="majorBidi" w:hAnsiTheme="majorBidi" w:cstheme="majorBidi"/>
          <w:color w:val="000000" w:themeColor="text1"/>
        </w:rPr>
        <w:t xml:space="preserve"> knowledge </w:t>
      </w:r>
      <w:r w:rsidR="00083141" w:rsidRPr="00083141">
        <w:rPr>
          <w:rFonts w:asciiTheme="majorBidi" w:hAnsiTheme="majorBidi" w:cstheme="majorBidi"/>
          <w:color w:val="000000" w:themeColor="text1"/>
        </w:rPr>
        <w:t>creation</w:t>
      </w:r>
      <w:r w:rsidRPr="00083141">
        <w:rPr>
          <w:rFonts w:asciiTheme="majorBidi" w:hAnsiTheme="majorBidi" w:cstheme="majorBidi"/>
          <w:color w:val="000000" w:themeColor="text1"/>
        </w:rPr>
        <w:t xml:space="preserve"> through the transformation of experience (Kolb, 1984; Kolb et al., 2014)</w:t>
      </w:r>
      <w:r w:rsidR="004106DB" w:rsidRPr="00083141">
        <w:rPr>
          <w:rFonts w:asciiTheme="majorBidi" w:hAnsiTheme="majorBidi" w:cstheme="majorBidi"/>
          <w:color w:val="000000" w:themeColor="text1"/>
        </w:rPr>
        <w:t xml:space="preserve">. </w:t>
      </w:r>
      <w:r w:rsidR="00C36172">
        <w:rPr>
          <w:rFonts w:asciiTheme="majorBidi" w:hAnsiTheme="majorBidi" w:cstheme="majorBidi"/>
          <w:color w:val="000000" w:themeColor="text1"/>
        </w:rPr>
        <w:t>ELT,</w:t>
      </w:r>
      <w:r w:rsidR="004106DB" w:rsidRPr="004106DB">
        <w:rPr>
          <w:rFonts w:asciiTheme="majorBidi" w:hAnsiTheme="majorBidi" w:cstheme="majorBidi"/>
          <w:color w:val="000000" w:themeColor="text1"/>
        </w:rPr>
        <w:t xml:space="preserve"> which integrates both cognitive and behavioral learning theories, consider</w:t>
      </w:r>
      <w:r w:rsidR="00C36172">
        <w:rPr>
          <w:rFonts w:asciiTheme="majorBidi" w:hAnsiTheme="majorBidi" w:cstheme="majorBidi"/>
          <w:color w:val="000000" w:themeColor="text1"/>
        </w:rPr>
        <w:t>s</w:t>
      </w:r>
      <w:r w:rsidR="004106DB" w:rsidRPr="004106DB">
        <w:rPr>
          <w:rFonts w:asciiTheme="majorBidi" w:hAnsiTheme="majorBidi" w:cstheme="majorBidi"/>
          <w:color w:val="000000" w:themeColor="text1"/>
        </w:rPr>
        <w:t xml:space="preserve"> the transformative influence of experiences on the learning process and the impact of those experiences on an individual’s growth and development (Kolb, 1984; Kolb et al., 2014). The experiential component of ELT illuminates Lewin’s nuanced social psychology work, Dewey’s pragmatism ideals, and Piaget’s theory of cognitive development (Kolb et al., 2014). This study, as well as the design of the event, was developed from the lens of a constructivism learning perspective based on the work of Kolb and Piaget ultimately emphasizing the impact of experience on student learning.</w:t>
      </w:r>
    </w:p>
    <w:p w14:paraId="4438E20E" w14:textId="77777777" w:rsidR="004106DB" w:rsidRPr="004106DB" w:rsidRDefault="004106DB" w:rsidP="004106DB">
      <w:pPr>
        <w:rPr>
          <w:rFonts w:asciiTheme="majorBidi" w:hAnsiTheme="majorBidi" w:cstheme="majorBidi"/>
          <w:color w:val="000000" w:themeColor="text1"/>
        </w:rPr>
      </w:pPr>
    </w:p>
    <w:p w14:paraId="55451D42" w14:textId="77777777" w:rsidR="004106DB" w:rsidRPr="004106DB" w:rsidRDefault="004106DB" w:rsidP="004106DB">
      <w:pPr>
        <w:rPr>
          <w:rFonts w:asciiTheme="majorBidi" w:hAnsiTheme="majorBidi" w:cstheme="majorBidi"/>
          <w:color w:val="000000" w:themeColor="text1"/>
        </w:rPr>
      </w:pPr>
      <w:r w:rsidRPr="004106DB">
        <w:rPr>
          <w:rFonts w:asciiTheme="majorBidi" w:hAnsiTheme="majorBidi" w:cstheme="majorBidi"/>
          <w:color w:val="000000" w:themeColor="text1"/>
        </w:rPr>
        <w:lastRenderedPageBreak/>
        <w:t xml:space="preserve">In this study a revised experiential learning model based on Kolb’s experiential learning cycle was utilized. This model begins with the concept of building upon the existing knowledge and previous experiences of an individual (Coleman et al., 2024). The model’s stages are active rather than strictly linear, often overlapping. It consists of four key stages: (1) experience which includes both abstract and concrete learning, (2) reflection, a conscious exploration of experiences before, during, and after they have occurred; (3) conceptualization, where theories and ideas are developed in connection to reflection and experience; and (4) application, which involves using learned concepts in new contexts (Coleman et al., 2024). </w:t>
      </w:r>
    </w:p>
    <w:p w14:paraId="57805593" w14:textId="77777777" w:rsidR="004106DB" w:rsidRPr="004106DB" w:rsidRDefault="004106DB" w:rsidP="004106DB">
      <w:pPr>
        <w:rPr>
          <w:rFonts w:asciiTheme="majorBidi" w:hAnsiTheme="majorBidi" w:cstheme="majorBidi"/>
          <w:color w:val="000000" w:themeColor="text1"/>
        </w:rPr>
      </w:pPr>
    </w:p>
    <w:p w14:paraId="715FD81E" w14:textId="33227FA6" w:rsidR="004106DB" w:rsidRPr="004106DB" w:rsidRDefault="004106DB" w:rsidP="004106DB">
      <w:pPr>
        <w:rPr>
          <w:rFonts w:asciiTheme="majorBidi" w:hAnsiTheme="majorBidi" w:cstheme="majorBidi"/>
          <w:color w:val="000000" w:themeColor="text1"/>
        </w:rPr>
      </w:pPr>
      <w:r w:rsidRPr="004106DB">
        <w:rPr>
          <w:rFonts w:asciiTheme="majorBidi" w:hAnsiTheme="majorBidi" w:cstheme="majorBidi"/>
          <w:color w:val="000000" w:themeColor="text1"/>
        </w:rPr>
        <w:t xml:space="preserve">This study examined children’s drawings and focus groups to understand their agricultural learning experiences. </w:t>
      </w:r>
      <w:r w:rsidR="00C36172">
        <w:rPr>
          <w:rFonts w:asciiTheme="majorBidi" w:hAnsiTheme="majorBidi" w:cstheme="majorBidi"/>
          <w:color w:val="000000" w:themeColor="text1"/>
        </w:rPr>
        <w:t>When utilizing the</w:t>
      </w:r>
      <w:r w:rsidRPr="004106DB">
        <w:rPr>
          <w:rFonts w:asciiTheme="majorBidi" w:hAnsiTheme="majorBidi" w:cstheme="majorBidi"/>
          <w:color w:val="000000" w:themeColor="text1"/>
        </w:rPr>
        <w:t xml:space="preserve"> Revised Model of the experiential learning process</w:t>
      </w:r>
      <w:r w:rsidR="00C36172">
        <w:rPr>
          <w:rFonts w:asciiTheme="majorBidi" w:hAnsiTheme="majorBidi" w:cstheme="majorBidi"/>
          <w:color w:val="000000" w:themeColor="text1"/>
        </w:rPr>
        <w:t xml:space="preserve"> for this study, we added additional context for conceptualization</w:t>
      </w:r>
      <w:r w:rsidRPr="004106DB">
        <w:rPr>
          <w:rFonts w:asciiTheme="majorBidi" w:hAnsiTheme="majorBidi" w:cstheme="majorBidi"/>
          <w:color w:val="000000" w:themeColor="text1"/>
        </w:rPr>
        <w:t xml:space="preserve"> by </w:t>
      </w:r>
      <w:r w:rsidR="00C36172">
        <w:rPr>
          <w:rFonts w:asciiTheme="majorBidi" w:hAnsiTheme="majorBidi" w:cstheme="majorBidi"/>
          <w:color w:val="000000" w:themeColor="text1"/>
        </w:rPr>
        <w:t xml:space="preserve">integrating </w:t>
      </w:r>
      <w:r w:rsidRPr="004106DB">
        <w:rPr>
          <w:rFonts w:asciiTheme="majorBidi" w:hAnsiTheme="majorBidi" w:cstheme="majorBidi"/>
          <w:color w:val="000000" w:themeColor="text1"/>
        </w:rPr>
        <w:t>Piaget’s cognitive theory</w:t>
      </w:r>
      <w:r>
        <w:rPr>
          <w:rFonts w:asciiTheme="majorBidi" w:hAnsiTheme="majorBidi" w:cstheme="majorBidi"/>
          <w:color w:val="000000" w:themeColor="text1"/>
        </w:rPr>
        <w:t xml:space="preserve">, supporting </w:t>
      </w:r>
      <w:r w:rsidRPr="004106DB">
        <w:rPr>
          <w:rFonts w:asciiTheme="majorBidi" w:hAnsiTheme="majorBidi" w:cstheme="majorBidi"/>
          <w:color w:val="000000" w:themeColor="text1"/>
        </w:rPr>
        <w:t xml:space="preserve">the cognitive development of third graders as their data was analyzed. Piaget’s cognitive theory of development provided insight into how children process and construct knowledge based on their developmental stage. Third graders fall within Piaget’s concrete operational stage (7-11 years old), where children learn through tangible, experience-based interactions (Piaget, 2008; </w:t>
      </w:r>
      <w:r w:rsidRPr="004106DB">
        <w:rPr>
          <w:rFonts w:asciiTheme="majorBidi" w:eastAsia="Times New Roman" w:hAnsiTheme="majorBidi" w:cstheme="majorBidi"/>
          <w:color w:val="000000" w:themeColor="text1"/>
        </w:rPr>
        <w:t xml:space="preserve">Piaget &amp; </w:t>
      </w:r>
      <w:proofErr w:type="spellStart"/>
      <w:r w:rsidRPr="004106DB">
        <w:rPr>
          <w:rFonts w:asciiTheme="majorBidi" w:eastAsia="Times New Roman" w:hAnsiTheme="majorBidi" w:cstheme="majorBidi"/>
          <w:color w:val="000000" w:themeColor="text1"/>
        </w:rPr>
        <w:t>Inhelder</w:t>
      </w:r>
      <w:proofErr w:type="spellEnd"/>
      <w:r w:rsidRPr="004106DB">
        <w:rPr>
          <w:rFonts w:asciiTheme="majorBidi" w:eastAsia="Times New Roman" w:hAnsiTheme="majorBidi" w:cstheme="majorBidi"/>
          <w:color w:val="000000" w:themeColor="text1"/>
        </w:rPr>
        <w:t>, 2008</w:t>
      </w:r>
      <w:r w:rsidRPr="004106DB">
        <w:rPr>
          <w:rFonts w:asciiTheme="majorBidi" w:hAnsiTheme="majorBidi" w:cstheme="majorBidi"/>
          <w:color w:val="000000" w:themeColor="text1"/>
        </w:rPr>
        <w:t>). Furthermore, visual methods including drawing have garnered increased interest as a means of understanding children perspectives (Mitchell, 2006). Considering this, drawing</w:t>
      </w:r>
      <w:r w:rsidR="00C36172">
        <w:rPr>
          <w:rFonts w:asciiTheme="majorBidi" w:hAnsiTheme="majorBidi" w:cstheme="majorBidi"/>
          <w:color w:val="000000" w:themeColor="text1"/>
        </w:rPr>
        <w:t>s,</w:t>
      </w:r>
      <w:r w:rsidRPr="004106DB">
        <w:rPr>
          <w:rFonts w:asciiTheme="majorBidi" w:hAnsiTheme="majorBidi" w:cstheme="majorBidi"/>
          <w:color w:val="000000" w:themeColor="text1"/>
        </w:rPr>
        <w:t xml:space="preserve"> </w:t>
      </w:r>
      <w:r w:rsidR="00C36172">
        <w:rPr>
          <w:rFonts w:asciiTheme="majorBidi" w:hAnsiTheme="majorBidi" w:cstheme="majorBidi"/>
          <w:color w:val="000000" w:themeColor="text1"/>
        </w:rPr>
        <w:t>c</w:t>
      </w:r>
      <w:r w:rsidR="00C36172" w:rsidRPr="004106DB">
        <w:rPr>
          <w:rFonts w:asciiTheme="majorBidi" w:hAnsiTheme="majorBidi" w:cstheme="majorBidi"/>
          <w:color w:val="000000" w:themeColor="text1"/>
        </w:rPr>
        <w:t>ombined</w:t>
      </w:r>
      <w:r w:rsidRPr="004106DB">
        <w:rPr>
          <w:rFonts w:asciiTheme="majorBidi" w:hAnsiTheme="majorBidi" w:cstheme="majorBidi"/>
          <w:color w:val="000000" w:themeColor="text1"/>
        </w:rPr>
        <w:t xml:space="preserve"> with experiential interventions is a well-suited and developmentally appropriate tool for evaluating learning progression in children.</w:t>
      </w:r>
    </w:p>
    <w:p w14:paraId="04F2F070" w14:textId="77777777" w:rsidR="004106DB" w:rsidRPr="004106DB" w:rsidRDefault="004106DB" w:rsidP="004106DB">
      <w:pPr>
        <w:rPr>
          <w:rFonts w:asciiTheme="majorBidi" w:hAnsiTheme="majorBidi" w:cstheme="majorBidi"/>
          <w:color w:val="000000" w:themeColor="text1"/>
        </w:rPr>
      </w:pPr>
    </w:p>
    <w:p w14:paraId="76FE9DC6" w14:textId="77777777" w:rsidR="004106DB" w:rsidRPr="004106DB" w:rsidRDefault="004106DB" w:rsidP="004106DB">
      <w:pPr>
        <w:rPr>
          <w:rFonts w:asciiTheme="majorBidi" w:hAnsiTheme="majorBidi" w:cstheme="majorBidi"/>
          <w:color w:val="000000" w:themeColor="text1"/>
        </w:rPr>
      </w:pPr>
      <w:r w:rsidRPr="004106DB">
        <w:rPr>
          <w:rFonts w:asciiTheme="majorBidi" w:hAnsiTheme="majorBidi" w:cstheme="majorBidi"/>
          <w:b/>
          <w:bCs/>
          <w:color w:val="000000" w:themeColor="text1"/>
        </w:rPr>
        <w:t>Methods</w:t>
      </w:r>
    </w:p>
    <w:p w14:paraId="20F7B1C3" w14:textId="77777777" w:rsidR="004106DB" w:rsidRPr="004106DB" w:rsidRDefault="004106DB" w:rsidP="004106DB">
      <w:pPr>
        <w:rPr>
          <w:rFonts w:asciiTheme="majorBidi" w:hAnsiTheme="majorBidi" w:cstheme="majorBidi"/>
          <w:color w:val="000000" w:themeColor="text1"/>
        </w:rPr>
      </w:pPr>
    </w:p>
    <w:p w14:paraId="596B50FE" w14:textId="2D3E7EE1" w:rsidR="004106DB" w:rsidRPr="004106DB" w:rsidRDefault="0045149C" w:rsidP="004106DB">
      <w:pPr>
        <w:rPr>
          <w:rFonts w:asciiTheme="majorBidi" w:hAnsiTheme="majorBidi" w:cstheme="majorBidi"/>
          <w:color w:val="000000" w:themeColor="text1"/>
        </w:rPr>
      </w:pPr>
      <w:r>
        <w:rPr>
          <w:rFonts w:asciiTheme="majorBidi" w:hAnsiTheme="majorBidi" w:cstheme="majorBidi"/>
          <w:color w:val="000000" w:themeColor="text1"/>
        </w:rPr>
        <w:t>This</w:t>
      </w:r>
      <w:r w:rsidR="004106DB" w:rsidRPr="004106DB">
        <w:rPr>
          <w:rFonts w:asciiTheme="majorBidi" w:hAnsiTheme="majorBidi" w:cstheme="majorBidi"/>
          <w:color w:val="000000" w:themeColor="text1"/>
        </w:rPr>
        <w:t xml:space="preserve"> qualitative research study employed a traditional interpretative approach with two assessments to evaluate the agricultural understanding of ten (n=10) African American third grade students at an urban elementary without formal agricultural programming before and after attending a school-wide agricultural event, </w:t>
      </w:r>
      <w:proofErr w:type="spellStart"/>
      <w:r w:rsidR="00802577">
        <w:rPr>
          <w:rFonts w:asciiTheme="majorBidi" w:hAnsiTheme="majorBidi" w:cstheme="majorBidi"/>
          <w:color w:val="000000" w:themeColor="text1"/>
        </w:rPr>
        <w:t>AgriKids</w:t>
      </w:r>
      <w:proofErr w:type="spellEnd"/>
      <w:r w:rsidR="00802577">
        <w:rPr>
          <w:rFonts w:asciiTheme="majorBidi" w:hAnsiTheme="majorBidi" w:cstheme="majorBidi"/>
          <w:color w:val="000000" w:themeColor="text1"/>
        </w:rPr>
        <w:t xml:space="preserve"> Day</w:t>
      </w:r>
      <w:r w:rsidR="004106DB" w:rsidRPr="004106DB">
        <w:rPr>
          <w:rFonts w:asciiTheme="majorBidi" w:hAnsiTheme="majorBidi" w:cstheme="majorBidi"/>
          <w:color w:val="000000" w:themeColor="text1"/>
        </w:rPr>
        <w:t xml:space="preserve">. The </w:t>
      </w:r>
      <w:proofErr w:type="spellStart"/>
      <w:r w:rsidR="00802577">
        <w:rPr>
          <w:rFonts w:asciiTheme="majorBidi" w:hAnsiTheme="majorBidi" w:cstheme="majorBidi"/>
          <w:color w:val="000000" w:themeColor="text1"/>
        </w:rPr>
        <w:t>AgriKids</w:t>
      </w:r>
      <w:proofErr w:type="spellEnd"/>
      <w:r w:rsidR="00802577">
        <w:rPr>
          <w:rFonts w:asciiTheme="majorBidi" w:hAnsiTheme="majorBidi" w:cstheme="majorBidi"/>
          <w:color w:val="000000" w:themeColor="text1"/>
        </w:rPr>
        <w:t xml:space="preserve"> Day</w:t>
      </w:r>
      <w:r w:rsidR="004106DB" w:rsidRPr="004106DB">
        <w:rPr>
          <w:rFonts w:asciiTheme="majorBidi" w:hAnsiTheme="majorBidi" w:cstheme="majorBidi"/>
          <w:color w:val="000000" w:themeColor="text1"/>
        </w:rPr>
        <w:t xml:space="preserve"> objective was to bridge the gap in agricultural education for predominantly African American and economically disadvantaged youth in urban settings. The event successfully reached over 500 students at an inner city elementary school, grades Pre-K through 5th grade, providing exposure to agriculture through interactive, educational activities. The event featured 26 educational booth participants included STEM exercises, seed planting, soil &amp; water demos, and animal interactions. During the event students participated in activities such as seed planting, soil and water demonstrations, and animal interactions with horses, cattle, goats, and sheep.</w:t>
      </w:r>
    </w:p>
    <w:p w14:paraId="050F013C" w14:textId="77777777" w:rsidR="004106DB" w:rsidRPr="004106DB" w:rsidRDefault="004106DB" w:rsidP="004106DB">
      <w:pPr>
        <w:rPr>
          <w:rFonts w:asciiTheme="majorBidi" w:hAnsiTheme="majorBidi" w:cstheme="majorBidi"/>
          <w:color w:val="000000" w:themeColor="text1"/>
        </w:rPr>
      </w:pPr>
    </w:p>
    <w:p w14:paraId="2BAF0FEC" w14:textId="024B1342" w:rsidR="004106DB" w:rsidRPr="004106DB" w:rsidRDefault="004B5EBC" w:rsidP="004106DB">
      <w:pPr>
        <w:rPr>
          <w:rFonts w:asciiTheme="majorBidi" w:hAnsiTheme="majorBidi" w:cstheme="majorBidi"/>
          <w:color w:val="000000" w:themeColor="text1"/>
        </w:rPr>
      </w:pPr>
      <w:r>
        <w:rPr>
          <w:rFonts w:asciiTheme="majorBidi" w:hAnsiTheme="majorBidi" w:cstheme="majorBidi"/>
          <w:color w:val="000000" w:themeColor="text1"/>
        </w:rPr>
        <w:t>Study p</w:t>
      </w:r>
      <w:r w:rsidR="004106DB" w:rsidRPr="004106DB">
        <w:rPr>
          <w:rFonts w:asciiTheme="majorBidi" w:hAnsiTheme="majorBidi" w:cstheme="majorBidi"/>
          <w:color w:val="000000" w:themeColor="text1"/>
        </w:rPr>
        <w:t xml:space="preserve">articipants were recruited via flyers and parental consent was obtained. Upon receiving the signed parental consent, assent forms were then signed by each of the youth participants. For the initial drawing assessment, each participant received a blank sheet of paper with the prompt “What is agriculture?” at the top of the page. Instructions for the assessment were explained by the research team and participants were given ten minutes to complete their drawings. After completing their drawings, each participant was asked to explain their drawings and the reasoning behind them. This was followed by a 20-minute informal group discussion where students shared their views and understanding of agriculture. Focus groups are frequently used in qualitative research but conducting them with children requires distinct considerations (Gibson, 2007). </w:t>
      </w:r>
    </w:p>
    <w:p w14:paraId="7602A241" w14:textId="77777777" w:rsidR="004106DB" w:rsidRPr="004106DB" w:rsidRDefault="004106DB" w:rsidP="004106DB">
      <w:pPr>
        <w:rPr>
          <w:rFonts w:asciiTheme="majorBidi" w:hAnsiTheme="majorBidi" w:cstheme="majorBidi"/>
          <w:color w:val="000000" w:themeColor="text1"/>
        </w:rPr>
      </w:pPr>
    </w:p>
    <w:p w14:paraId="210AE43B" w14:textId="660D55F4" w:rsidR="00660A44" w:rsidRPr="009536D4" w:rsidRDefault="004106DB" w:rsidP="00660A44">
      <w:pPr>
        <w:rPr>
          <w:rFonts w:asciiTheme="majorBidi" w:hAnsiTheme="majorBidi" w:cstheme="majorBidi"/>
          <w:color w:val="000000" w:themeColor="text1"/>
        </w:rPr>
      </w:pPr>
      <w:r w:rsidRPr="004106DB">
        <w:rPr>
          <w:rFonts w:asciiTheme="majorBidi" w:hAnsiTheme="majorBidi" w:cstheme="majorBidi"/>
          <w:color w:val="000000" w:themeColor="text1"/>
        </w:rPr>
        <w:t xml:space="preserve">Focus groups were held at the students’ school to reduce the possibility of a power imbalance between participants and the research team (Gipson, 2007). Following Morgan et al.’s (2002) recommendations, informal focus groups with child participants were structured to reinforce participation and enhance group dynamics. To ensure each participant had the opportunity to speak and contribute to group discussion, ground rules were established to set clear expectations and boundaries. To maintain engagement and avoid a decline in responses, discussion and data collection was limited to 30 minutes. The goal of each discussions was to clarify responses and confirm participants were addressing the intended questions and prompts appropriately (Morgan et al., 2002). The post-assessment followed the same process after participants attended the </w:t>
      </w:r>
      <w:proofErr w:type="spellStart"/>
      <w:r w:rsidR="00802577" w:rsidRPr="009536D4">
        <w:rPr>
          <w:rFonts w:asciiTheme="majorBidi" w:hAnsiTheme="majorBidi" w:cstheme="majorBidi"/>
          <w:color w:val="000000" w:themeColor="text1"/>
        </w:rPr>
        <w:t>AgriKids</w:t>
      </w:r>
      <w:proofErr w:type="spellEnd"/>
      <w:r w:rsidR="00802577" w:rsidRPr="009536D4">
        <w:rPr>
          <w:rFonts w:asciiTheme="majorBidi" w:hAnsiTheme="majorBidi" w:cstheme="majorBidi"/>
          <w:color w:val="000000" w:themeColor="text1"/>
        </w:rPr>
        <w:t xml:space="preserve"> Day</w:t>
      </w:r>
      <w:r w:rsidRPr="009536D4">
        <w:rPr>
          <w:rFonts w:asciiTheme="majorBidi" w:hAnsiTheme="majorBidi" w:cstheme="majorBidi"/>
          <w:color w:val="000000" w:themeColor="text1"/>
        </w:rPr>
        <w:t>. Students were again given a blank sheet of paper with the same prompt and asked to redraw what agriculture meant to them. After completing their second drawing, they explained their illustrations, and the post assessment concluded with another informal focus group discussion.</w:t>
      </w:r>
      <w:r w:rsidR="009536D4" w:rsidRPr="009536D4">
        <w:rPr>
          <w:rFonts w:asciiTheme="majorBidi" w:hAnsiTheme="majorBidi" w:cstheme="majorBidi"/>
          <w:color w:val="000000" w:themeColor="text1"/>
        </w:rPr>
        <w:t xml:space="preserve"> </w:t>
      </w:r>
      <w:r w:rsidRPr="009536D4">
        <w:rPr>
          <w:rFonts w:asciiTheme="majorBidi" w:hAnsiTheme="majorBidi" w:cstheme="majorBidi"/>
          <w:color w:val="000000" w:themeColor="text1"/>
        </w:rPr>
        <w:t>To assess each participant’s evolution of agricultural understanding, the Revised Experiential Learning Model (Coleman et al., 2024)</w:t>
      </w:r>
      <w:r w:rsidR="004B5EBC">
        <w:rPr>
          <w:rFonts w:asciiTheme="majorBidi" w:hAnsiTheme="majorBidi" w:cstheme="majorBidi"/>
          <w:color w:val="000000" w:themeColor="text1"/>
        </w:rPr>
        <w:t xml:space="preserve">, </w:t>
      </w:r>
      <w:r w:rsidR="004B5EBC" w:rsidRPr="009536D4">
        <w:rPr>
          <w:rFonts w:asciiTheme="majorBidi" w:hAnsiTheme="majorBidi" w:cstheme="majorBidi"/>
          <w:color w:val="000000" w:themeColor="text1"/>
        </w:rPr>
        <w:t>informed by Piaget’s cognitive development theory</w:t>
      </w:r>
      <w:r w:rsidR="004B5EBC">
        <w:rPr>
          <w:rFonts w:asciiTheme="majorBidi" w:hAnsiTheme="majorBidi" w:cstheme="majorBidi"/>
          <w:color w:val="000000" w:themeColor="text1"/>
        </w:rPr>
        <w:t>,</w:t>
      </w:r>
      <w:r w:rsidRPr="009536D4">
        <w:rPr>
          <w:rFonts w:asciiTheme="majorBidi" w:hAnsiTheme="majorBidi" w:cstheme="majorBidi"/>
          <w:color w:val="000000" w:themeColor="text1"/>
        </w:rPr>
        <w:t xml:space="preserve"> provided a lens for identifying connections between students’</w:t>
      </w:r>
      <w:r w:rsidR="004A4F65" w:rsidRPr="009536D4">
        <w:rPr>
          <w:rFonts w:asciiTheme="majorBidi" w:hAnsiTheme="majorBidi" w:cstheme="majorBidi"/>
          <w:color w:val="000000" w:themeColor="text1"/>
        </w:rPr>
        <w:t xml:space="preserve"> pre- </w:t>
      </w:r>
      <w:r w:rsidRPr="009536D4">
        <w:rPr>
          <w:rFonts w:asciiTheme="majorBidi" w:hAnsiTheme="majorBidi" w:cstheme="majorBidi"/>
          <w:color w:val="000000" w:themeColor="text1"/>
        </w:rPr>
        <w:t>and post</w:t>
      </w:r>
      <w:r w:rsidR="004A4F65" w:rsidRPr="009536D4">
        <w:rPr>
          <w:rFonts w:asciiTheme="majorBidi" w:hAnsiTheme="majorBidi" w:cstheme="majorBidi"/>
          <w:color w:val="000000" w:themeColor="text1"/>
        </w:rPr>
        <w:t>-</w:t>
      </w:r>
      <w:r w:rsidRPr="009536D4">
        <w:rPr>
          <w:rFonts w:asciiTheme="majorBidi" w:hAnsiTheme="majorBidi" w:cstheme="majorBidi"/>
          <w:color w:val="000000" w:themeColor="text1"/>
        </w:rPr>
        <w:t xml:space="preserve"> event knowledge and evaluating how the </w:t>
      </w:r>
      <w:proofErr w:type="spellStart"/>
      <w:r w:rsidR="00802577" w:rsidRPr="009536D4">
        <w:rPr>
          <w:rFonts w:asciiTheme="majorBidi" w:hAnsiTheme="majorBidi" w:cstheme="majorBidi"/>
          <w:color w:val="000000" w:themeColor="text1"/>
        </w:rPr>
        <w:t>AgriKids</w:t>
      </w:r>
      <w:proofErr w:type="spellEnd"/>
      <w:r w:rsidR="00802577" w:rsidRPr="009536D4">
        <w:rPr>
          <w:rFonts w:asciiTheme="majorBidi" w:hAnsiTheme="majorBidi" w:cstheme="majorBidi"/>
          <w:color w:val="000000" w:themeColor="text1"/>
        </w:rPr>
        <w:t xml:space="preserve"> Day</w:t>
      </w:r>
      <w:r w:rsidRPr="009536D4">
        <w:rPr>
          <w:rFonts w:asciiTheme="majorBidi" w:hAnsiTheme="majorBidi" w:cstheme="majorBidi"/>
          <w:color w:val="000000" w:themeColor="text1"/>
        </w:rPr>
        <w:t xml:space="preserve"> experience influenced their learning growth. </w:t>
      </w:r>
      <w:r w:rsidR="004B5EBC">
        <w:rPr>
          <w:rFonts w:asciiTheme="majorBidi" w:hAnsiTheme="majorBidi" w:cstheme="majorBidi"/>
          <w:color w:val="000000" w:themeColor="text1"/>
        </w:rPr>
        <w:t xml:space="preserve">Additionally, this perspective </w:t>
      </w:r>
      <w:r w:rsidRPr="009536D4">
        <w:rPr>
          <w:rFonts w:asciiTheme="majorBidi" w:hAnsiTheme="majorBidi" w:cstheme="majorBidi"/>
          <w:color w:val="000000" w:themeColor="text1"/>
        </w:rPr>
        <w:t>provided space for a systemic approach for analyzing participants</w:t>
      </w:r>
      <w:r w:rsidR="00660A44" w:rsidRPr="009536D4">
        <w:rPr>
          <w:rFonts w:asciiTheme="majorBidi" w:hAnsiTheme="majorBidi" w:cstheme="majorBidi"/>
          <w:color w:val="000000" w:themeColor="text1"/>
        </w:rPr>
        <w:t>’</w:t>
      </w:r>
      <w:r w:rsidRPr="009536D4">
        <w:rPr>
          <w:rFonts w:asciiTheme="majorBidi" w:hAnsiTheme="majorBidi" w:cstheme="majorBidi"/>
          <w:color w:val="000000" w:themeColor="text1"/>
        </w:rPr>
        <w:t xml:space="preserve"> agricultural understanding </w:t>
      </w:r>
      <w:r w:rsidR="00B2780D">
        <w:rPr>
          <w:rFonts w:asciiTheme="majorBidi" w:hAnsiTheme="majorBidi" w:cstheme="majorBidi"/>
          <w:color w:val="000000" w:themeColor="text1"/>
        </w:rPr>
        <w:t xml:space="preserve">by </w:t>
      </w:r>
      <w:r w:rsidR="00B2780D" w:rsidRPr="009536D4">
        <w:rPr>
          <w:rFonts w:asciiTheme="majorBidi" w:hAnsiTheme="majorBidi" w:cstheme="majorBidi"/>
          <w:color w:val="000000" w:themeColor="text1"/>
        </w:rPr>
        <w:t>using</w:t>
      </w:r>
      <w:r w:rsidR="00660A44" w:rsidRPr="009536D4">
        <w:rPr>
          <w:rFonts w:asciiTheme="majorBidi" w:hAnsiTheme="majorBidi" w:cstheme="majorBidi"/>
          <w:color w:val="000000" w:themeColor="text1"/>
        </w:rPr>
        <w:t xml:space="preserve"> </w:t>
      </w:r>
      <w:r w:rsidRPr="009536D4">
        <w:rPr>
          <w:rFonts w:asciiTheme="majorBidi" w:hAnsiTheme="majorBidi" w:cstheme="majorBidi"/>
          <w:color w:val="000000" w:themeColor="text1"/>
        </w:rPr>
        <w:t xml:space="preserve">visual analysis of drawings </w:t>
      </w:r>
      <w:r w:rsidR="00660A44" w:rsidRPr="009536D4">
        <w:rPr>
          <w:rFonts w:asciiTheme="majorBidi" w:hAnsiTheme="majorBidi" w:cstheme="majorBidi"/>
          <w:color w:val="000000" w:themeColor="text1"/>
        </w:rPr>
        <w:t>alongside</w:t>
      </w:r>
      <w:r w:rsidRPr="009536D4">
        <w:rPr>
          <w:rFonts w:asciiTheme="majorBidi" w:hAnsiTheme="majorBidi" w:cstheme="majorBidi"/>
          <w:color w:val="000000" w:themeColor="text1"/>
        </w:rPr>
        <w:t xml:space="preserve"> verbal explanations as an appropriate </w:t>
      </w:r>
      <w:r w:rsidR="00660A44" w:rsidRPr="009536D4">
        <w:rPr>
          <w:rFonts w:asciiTheme="majorBidi" w:hAnsiTheme="majorBidi" w:cstheme="majorBidi"/>
          <w:color w:val="000000" w:themeColor="text1"/>
        </w:rPr>
        <w:t>indicator</w:t>
      </w:r>
      <w:r w:rsidRPr="009536D4">
        <w:rPr>
          <w:rFonts w:asciiTheme="majorBidi" w:hAnsiTheme="majorBidi" w:cstheme="majorBidi"/>
          <w:color w:val="000000" w:themeColor="text1"/>
        </w:rPr>
        <w:t xml:space="preserve"> of concept formation. </w:t>
      </w:r>
    </w:p>
    <w:p w14:paraId="405694AA" w14:textId="77777777" w:rsidR="00660A44" w:rsidRPr="009536D4" w:rsidRDefault="00660A44" w:rsidP="00660A44">
      <w:pPr>
        <w:rPr>
          <w:rFonts w:asciiTheme="majorBidi" w:hAnsiTheme="majorBidi" w:cstheme="majorBidi"/>
          <w:color w:val="000000" w:themeColor="text1"/>
        </w:rPr>
      </w:pPr>
    </w:p>
    <w:p w14:paraId="0B867522" w14:textId="5BFC8A29" w:rsidR="00660A44" w:rsidRPr="009536D4" w:rsidRDefault="00660A44" w:rsidP="00660A44">
      <w:pPr>
        <w:rPr>
          <w:rFonts w:asciiTheme="majorBidi" w:hAnsiTheme="majorBidi" w:cstheme="majorBidi"/>
          <w:color w:val="000000" w:themeColor="text1"/>
        </w:rPr>
      </w:pPr>
      <w:r w:rsidRPr="009536D4">
        <w:rPr>
          <w:rFonts w:asciiTheme="majorBidi" w:hAnsiTheme="majorBidi" w:cstheme="majorBidi"/>
          <w:color w:val="000000" w:themeColor="text1"/>
        </w:rPr>
        <w:t xml:space="preserve">To ensure qualitative rigor, trustworthiness was established </w:t>
      </w:r>
      <w:r w:rsidRPr="009536D4">
        <w:rPr>
          <w:rFonts w:asciiTheme="majorBidi" w:hAnsiTheme="majorBidi" w:cstheme="majorBidi"/>
          <w:color w:val="000000" w:themeColor="text1"/>
        </w:rPr>
        <w:t>using</w:t>
      </w:r>
      <w:r w:rsidRPr="009536D4">
        <w:rPr>
          <w:rFonts w:asciiTheme="majorBidi" w:hAnsiTheme="majorBidi" w:cstheme="majorBidi"/>
          <w:color w:val="000000" w:themeColor="text1"/>
        </w:rPr>
        <w:t xml:space="preserve"> several techniques. The triangulation of data sources, including drawings, participant explanations, and focus group discussions helped strengthen credibility</w:t>
      </w:r>
      <w:r w:rsidRPr="009536D4">
        <w:rPr>
          <w:rFonts w:asciiTheme="majorBidi" w:hAnsiTheme="majorBidi" w:cstheme="majorBidi"/>
          <w:color w:val="000000" w:themeColor="text1"/>
        </w:rPr>
        <w:t xml:space="preserve">. </w:t>
      </w:r>
      <w:r w:rsidR="004106DB" w:rsidRPr="009536D4">
        <w:rPr>
          <w:rFonts w:asciiTheme="majorBidi" w:hAnsiTheme="majorBidi" w:cstheme="majorBidi"/>
          <w:color w:val="000000" w:themeColor="text1"/>
        </w:rPr>
        <w:t>Following Saldaña’s (2016) recommendation, values coding was employed as a first cycle</w:t>
      </w:r>
      <w:r w:rsidRPr="009536D4">
        <w:rPr>
          <w:rFonts w:asciiTheme="majorBidi" w:hAnsiTheme="majorBidi" w:cstheme="majorBidi"/>
          <w:color w:val="000000" w:themeColor="text1"/>
        </w:rPr>
        <w:t xml:space="preserve"> </w:t>
      </w:r>
      <w:r w:rsidR="004106DB" w:rsidRPr="009536D4">
        <w:rPr>
          <w:rFonts w:asciiTheme="majorBidi" w:hAnsiTheme="majorBidi" w:cstheme="majorBidi"/>
          <w:color w:val="000000" w:themeColor="text1"/>
        </w:rPr>
        <w:t>coding method to identify values</w:t>
      </w:r>
      <w:r w:rsidR="00BC7CD7" w:rsidRPr="009536D4">
        <w:rPr>
          <w:rFonts w:asciiTheme="majorBidi" w:hAnsiTheme="majorBidi" w:cstheme="majorBidi"/>
          <w:color w:val="000000" w:themeColor="text1"/>
        </w:rPr>
        <w:t>, beliefs</w:t>
      </w:r>
      <w:r w:rsidR="004106DB" w:rsidRPr="009536D4">
        <w:rPr>
          <w:rFonts w:asciiTheme="majorBidi" w:hAnsiTheme="majorBidi" w:cstheme="majorBidi"/>
          <w:color w:val="000000" w:themeColor="text1"/>
        </w:rPr>
        <w:t xml:space="preserve"> and attitudes </w:t>
      </w:r>
      <w:r w:rsidR="00BC7CD7" w:rsidRPr="009536D4">
        <w:rPr>
          <w:rFonts w:asciiTheme="majorBidi" w:hAnsiTheme="majorBidi" w:cstheme="majorBidi"/>
          <w:color w:val="000000" w:themeColor="text1"/>
        </w:rPr>
        <w:t>related to agriculture</w:t>
      </w:r>
      <w:r w:rsidR="004106DB" w:rsidRPr="009536D4">
        <w:rPr>
          <w:rFonts w:asciiTheme="majorBidi" w:hAnsiTheme="majorBidi" w:cstheme="majorBidi"/>
          <w:color w:val="000000" w:themeColor="text1"/>
        </w:rPr>
        <w:t xml:space="preserve">. </w:t>
      </w:r>
      <w:r w:rsidR="00BC7CD7" w:rsidRPr="009536D4">
        <w:rPr>
          <w:rFonts w:asciiTheme="majorBidi" w:hAnsiTheme="majorBidi" w:cstheme="majorBidi"/>
          <w:color w:val="000000" w:themeColor="text1"/>
        </w:rPr>
        <w:t>D</w:t>
      </w:r>
      <w:r w:rsidR="004106DB" w:rsidRPr="009536D4">
        <w:rPr>
          <w:rFonts w:asciiTheme="majorBidi" w:hAnsiTheme="majorBidi" w:cstheme="majorBidi"/>
          <w:color w:val="000000" w:themeColor="text1"/>
        </w:rPr>
        <w:t xml:space="preserve">rawings </w:t>
      </w:r>
      <w:r w:rsidR="00BC7CD7" w:rsidRPr="009536D4">
        <w:rPr>
          <w:rFonts w:asciiTheme="majorBidi" w:hAnsiTheme="majorBidi" w:cstheme="majorBidi"/>
          <w:color w:val="000000" w:themeColor="text1"/>
        </w:rPr>
        <w:t>were analyzed</w:t>
      </w:r>
      <w:r w:rsidR="004106DB" w:rsidRPr="009536D4">
        <w:rPr>
          <w:rFonts w:asciiTheme="majorBidi" w:hAnsiTheme="majorBidi" w:cstheme="majorBidi"/>
          <w:color w:val="000000" w:themeColor="text1"/>
        </w:rPr>
        <w:t xml:space="preserve"> </w:t>
      </w:r>
      <w:r w:rsidR="00BC7CD7" w:rsidRPr="009536D4">
        <w:rPr>
          <w:rFonts w:asciiTheme="majorBidi" w:hAnsiTheme="majorBidi" w:cstheme="majorBidi"/>
          <w:color w:val="000000" w:themeColor="text1"/>
        </w:rPr>
        <w:t>holistically,</w:t>
      </w:r>
      <w:r w:rsidR="004106DB" w:rsidRPr="009536D4">
        <w:rPr>
          <w:rFonts w:asciiTheme="majorBidi" w:hAnsiTheme="majorBidi" w:cstheme="majorBidi"/>
          <w:color w:val="000000" w:themeColor="text1"/>
        </w:rPr>
        <w:t xml:space="preserve"> allowing the research team </w:t>
      </w:r>
      <w:r w:rsidR="00BC7CD7" w:rsidRPr="009536D4">
        <w:rPr>
          <w:rFonts w:asciiTheme="majorBidi" w:hAnsiTheme="majorBidi" w:cstheme="majorBidi"/>
          <w:color w:val="000000" w:themeColor="text1"/>
        </w:rPr>
        <w:t xml:space="preserve">to </w:t>
      </w:r>
      <w:r w:rsidR="004106DB" w:rsidRPr="009536D4">
        <w:rPr>
          <w:rFonts w:asciiTheme="majorBidi" w:hAnsiTheme="majorBidi" w:cstheme="majorBidi"/>
          <w:color w:val="000000" w:themeColor="text1"/>
        </w:rPr>
        <w:t>critical</w:t>
      </w:r>
      <w:r w:rsidR="00BC7CD7" w:rsidRPr="009536D4">
        <w:rPr>
          <w:rFonts w:asciiTheme="majorBidi" w:hAnsiTheme="majorBidi" w:cstheme="majorBidi"/>
          <w:color w:val="000000" w:themeColor="text1"/>
        </w:rPr>
        <w:t>ly</w:t>
      </w:r>
      <w:r w:rsidR="004106DB" w:rsidRPr="009536D4">
        <w:rPr>
          <w:rFonts w:asciiTheme="majorBidi" w:hAnsiTheme="majorBidi" w:cstheme="majorBidi"/>
          <w:color w:val="000000" w:themeColor="text1"/>
        </w:rPr>
        <w:t xml:space="preserve"> </w:t>
      </w:r>
      <w:r w:rsidR="00BC7CD7" w:rsidRPr="009536D4">
        <w:rPr>
          <w:rFonts w:asciiTheme="majorBidi" w:hAnsiTheme="majorBidi" w:cstheme="majorBidi"/>
          <w:color w:val="000000" w:themeColor="text1"/>
        </w:rPr>
        <w:t>examine</w:t>
      </w:r>
      <w:r w:rsidR="004106DB" w:rsidRPr="009536D4">
        <w:rPr>
          <w:rFonts w:asciiTheme="majorBidi" w:hAnsiTheme="majorBidi" w:cstheme="majorBidi"/>
          <w:color w:val="000000" w:themeColor="text1"/>
        </w:rPr>
        <w:t xml:space="preserve"> the drawings, reflections and field notes taken (Saldaña, 2021). </w:t>
      </w:r>
      <w:r w:rsidR="004B5EBC" w:rsidRPr="009536D4">
        <w:rPr>
          <w:rFonts w:ascii="Times New Roman" w:eastAsia="Times New Roman" w:hAnsi="Times New Roman" w:cs="Times New Roman"/>
          <w:color w:val="000000" w:themeColor="text1"/>
        </w:rPr>
        <w:t xml:space="preserve">Confirmability was </w:t>
      </w:r>
      <w:r w:rsidR="004B5EBC">
        <w:rPr>
          <w:rFonts w:ascii="Times New Roman" w:eastAsia="Times New Roman" w:hAnsi="Times New Roman" w:cs="Times New Roman"/>
          <w:color w:val="000000" w:themeColor="text1"/>
        </w:rPr>
        <w:t>also</w:t>
      </w:r>
      <w:r w:rsidR="004B5EBC" w:rsidRPr="009536D4">
        <w:rPr>
          <w:rFonts w:ascii="Times New Roman" w:eastAsia="Times New Roman" w:hAnsi="Times New Roman" w:cs="Times New Roman"/>
          <w:color w:val="000000" w:themeColor="text1"/>
        </w:rPr>
        <w:t xml:space="preserve"> supported through </w:t>
      </w:r>
      <w:r w:rsidR="004B5EBC">
        <w:rPr>
          <w:rFonts w:ascii="Times New Roman" w:eastAsia="Times New Roman" w:hAnsi="Times New Roman" w:cs="Times New Roman"/>
          <w:color w:val="000000" w:themeColor="text1"/>
        </w:rPr>
        <w:t>t</w:t>
      </w:r>
      <w:r w:rsidR="004106DB" w:rsidRPr="009536D4">
        <w:rPr>
          <w:rFonts w:asciiTheme="majorBidi" w:hAnsiTheme="majorBidi" w:cstheme="majorBidi"/>
          <w:color w:val="000000" w:themeColor="text1"/>
        </w:rPr>
        <w:t>he coding process</w:t>
      </w:r>
      <w:r w:rsidR="004B5EBC">
        <w:rPr>
          <w:rFonts w:asciiTheme="majorBidi" w:hAnsiTheme="majorBidi" w:cstheme="majorBidi"/>
          <w:color w:val="000000" w:themeColor="text1"/>
        </w:rPr>
        <w:t>, which</w:t>
      </w:r>
      <w:r w:rsidR="004106DB" w:rsidRPr="009536D4">
        <w:rPr>
          <w:rFonts w:asciiTheme="majorBidi" w:hAnsiTheme="majorBidi" w:cstheme="majorBidi"/>
          <w:color w:val="000000" w:themeColor="text1"/>
        </w:rPr>
        <w:t xml:space="preserve"> began with analytic memos documenting the initial interpretation of the </w:t>
      </w:r>
      <w:r w:rsidR="004B5EBC">
        <w:rPr>
          <w:rFonts w:asciiTheme="majorBidi" w:hAnsiTheme="majorBidi" w:cstheme="majorBidi"/>
          <w:color w:val="000000" w:themeColor="text1"/>
        </w:rPr>
        <w:t>drawings</w:t>
      </w:r>
      <w:r w:rsidR="004106DB" w:rsidRPr="009536D4">
        <w:rPr>
          <w:rFonts w:asciiTheme="majorBidi" w:hAnsiTheme="majorBidi" w:cstheme="majorBidi"/>
          <w:color w:val="000000" w:themeColor="text1"/>
        </w:rPr>
        <w:t xml:space="preserve">, followed by comparative </w:t>
      </w:r>
      <w:r w:rsidR="00BC7CD7" w:rsidRPr="009536D4">
        <w:rPr>
          <w:rFonts w:asciiTheme="majorBidi" w:hAnsiTheme="majorBidi" w:cstheme="majorBidi"/>
          <w:color w:val="000000" w:themeColor="text1"/>
        </w:rPr>
        <w:t>analysis</w:t>
      </w:r>
      <w:r w:rsidR="004106DB" w:rsidRPr="009536D4">
        <w:rPr>
          <w:rFonts w:asciiTheme="majorBidi" w:hAnsiTheme="majorBidi" w:cstheme="majorBidi"/>
          <w:color w:val="000000" w:themeColor="text1"/>
        </w:rPr>
        <w:t xml:space="preserve"> and </w:t>
      </w:r>
      <w:r w:rsidR="00BC7CD7" w:rsidRPr="009536D4">
        <w:rPr>
          <w:rFonts w:asciiTheme="majorBidi" w:hAnsiTheme="majorBidi" w:cstheme="majorBidi"/>
          <w:color w:val="000000" w:themeColor="text1"/>
        </w:rPr>
        <w:t>reflexive</w:t>
      </w:r>
      <w:r w:rsidR="004106DB" w:rsidRPr="009536D4">
        <w:rPr>
          <w:rFonts w:asciiTheme="majorBidi" w:hAnsiTheme="majorBidi" w:cstheme="majorBidi"/>
          <w:color w:val="000000" w:themeColor="text1"/>
        </w:rPr>
        <w:t xml:space="preserve"> discussion to confirm </w:t>
      </w:r>
      <w:r w:rsidR="00BC7CD7" w:rsidRPr="009536D4">
        <w:rPr>
          <w:rFonts w:asciiTheme="majorBidi" w:hAnsiTheme="majorBidi" w:cstheme="majorBidi"/>
          <w:color w:val="000000" w:themeColor="text1"/>
        </w:rPr>
        <w:t>or</w:t>
      </w:r>
      <w:r w:rsidR="004106DB" w:rsidRPr="009536D4">
        <w:rPr>
          <w:rFonts w:asciiTheme="majorBidi" w:hAnsiTheme="majorBidi" w:cstheme="majorBidi"/>
          <w:color w:val="000000" w:themeColor="text1"/>
        </w:rPr>
        <w:t xml:space="preserve"> dispute </w:t>
      </w:r>
      <w:r w:rsidR="00BC7CD7" w:rsidRPr="009536D4">
        <w:rPr>
          <w:rFonts w:asciiTheme="majorBidi" w:hAnsiTheme="majorBidi" w:cstheme="majorBidi"/>
          <w:color w:val="000000" w:themeColor="text1"/>
        </w:rPr>
        <w:t>those</w:t>
      </w:r>
      <w:r w:rsidR="004106DB" w:rsidRPr="009536D4">
        <w:rPr>
          <w:rFonts w:asciiTheme="majorBidi" w:hAnsiTheme="majorBidi" w:cstheme="majorBidi"/>
          <w:color w:val="000000" w:themeColor="text1"/>
        </w:rPr>
        <w:t xml:space="preserve"> interpretations </w:t>
      </w:r>
      <w:r w:rsidR="004B5EBC" w:rsidRPr="009536D4">
        <w:rPr>
          <w:rFonts w:asciiTheme="majorBidi" w:hAnsiTheme="majorBidi" w:cstheme="majorBidi"/>
          <w:color w:val="000000" w:themeColor="text1"/>
        </w:rPr>
        <w:t>(Lincoln &amp; Guba, 1985</w:t>
      </w:r>
      <w:r w:rsidR="004B5EBC">
        <w:rPr>
          <w:rFonts w:asciiTheme="majorBidi" w:hAnsiTheme="majorBidi" w:cstheme="majorBidi"/>
          <w:color w:val="000000" w:themeColor="text1"/>
        </w:rPr>
        <w:t xml:space="preserve">; </w:t>
      </w:r>
      <w:r w:rsidR="004106DB" w:rsidRPr="009536D4">
        <w:rPr>
          <w:rFonts w:asciiTheme="majorBidi" w:hAnsiTheme="majorBidi" w:cstheme="majorBidi"/>
          <w:color w:val="000000" w:themeColor="text1"/>
        </w:rPr>
        <w:t>Saldaña, 2021).</w:t>
      </w:r>
      <w:r w:rsidRPr="009536D4">
        <w:rPr>
          <w:rFonts w:asciiTheme="majorBidi" w:hAnsiTheme="majorBidi" w:cstheme="majorBidi"/>
          <w:color w:val="000000" w:themeColor="text1"/>
        </w:rPr>
        <w:t xml:space="preserve"> </w:t>
      </w:r>
      <w:r w:rsidRPr="009536D4">
        <w:rPr>
          <w:rFonts w:ascii="Times New Roman" w:eastAsia="Times New Roman" w:hAnsi="Times New Roman" w:cs="Times New Roman"/>
          <w:color w:val="000000" w:themeColor="text1"/>
        </w:rPr>
        <w:t xml:space="preserve">Multiple participant </w:t>
      </w:r>
      <w:r w:rsidR="00BC7CD7" w:rsidRPr="009536D4">
        <w:rPr>
          <w:rFonts w:ascii="Times New Roman" w:eastAsia="Times New Roman" w:hAnsi="Times New Roman" w:cs="Times New Roman"/>
          <w:color w:val="000000" w:themeColor="text1"/>
        </w:rPr>
        <w:t xml:space="preserve">drawings and </w:t>
      </w:r>
      <w:r w:rsidRPr="009536D4">
        <w:rPr>
          <w:rFonts w:ascii="Times New Roman" w:eastAsia="Times New Roman" w:hAnsi="Times New Roman" w:cs="Times New Roman"/>
          <w:color w:val="000000" w:themeColor="text1"/>
        </w:rPr>
        <w:t xml:space="preserve">comments are provided to </w:t>
      </w:r>
      <w:r w:rsidR="00BC7CD7" w:rsidRPr="009536D4">
        <w:rPr>
          <w:rFonts w:ascii="Times New Roman" w:eastAsia="Times New Roman" w:hAnsi="Times New Roman" w:cs="Times New Roman"/>
          <w:color w:val="000000" w:themeColor="text1"/>
        </w:rPr>
        <w:t>illustrate</w:t>
      </w:r>
      <w:r w:rsidRPr="009536D4">
        <w:rPr>
          <w:rFonts w:ascii="Times New Roman" w:eastAsia="Times New Roman" w:hAnsi="Times New Roman" w:cs="Times New Roman"/>
          <w:color w:val="000000" w:themeColor="text1"/>
        </w:rPr>
        <w:t xml:space="preserve"> emergent themes necessary for establishing transferability (Lincoln &amp; Guba, 1985). </w:t>
      </w:r>
    </w:p>
    <w:p w14:paraId="7D8BBDA3" w14:textId="77777777" w:rsidR="004106DB" w:rsidRPr="004106DB" w:rsidRDefault="004106DB" w:rsidP="004106DB">
      <w:pPr>
        <w:rPr>
          <w:rFonts w:asciiTheme="majorBidi" w:hAnsiTheme="majorBidi" w:cstheme="majorBidi"/>
          <w:b/>
          <w:bCs/>
          <w:color w:val="000000" w:themeColor="text1"/>
        </w:rPr>
      </w:pPr>
    </w:p>
    <w:p w14:paraId="74F720AE" w14:textId="77777777" w:rsidR="004106DB" w:rsidRPr="004106DB" w:rsidRDefault="004106DB" w:rsidP="004106DB">
      <w:pPr>
        <w:rPr>
          <w:rFonts w:asciiTheme="majorBidi" w:hAnsiTheme="majorBidi" w:cstheme="majorBidi"/>
          <w:b/>
          <w:bCs/>
          <w:color w:val="000000" w:themeColor="text1"/>
        </w:rPr>
      </w:pPr>
      <w:r w:rsidRPr="004106DB">
        <w:rPr>
          <w:rFonts w:asciiTheme="majorBidi" w:hAnsiTheme="majorBidi" w:cstheme="majorBidi"/>
          <w:b/>
          <w:bCs/>
          <w:color w:val="000000" w:themeColor="text1"/>
        </w:rPr>
        <w:t xml:space="preserve">Findings </w:t>
      </w:r>
    </w:p>
    <w:p w14:paraId="47ADA6D3" w14:textId="2C774D81" w:rsidR="004106DB" w:rsidRPr="004106DB" w:rsidRDefault="004106DB" w:rsidP="004106DB">
      <w:pPr>
        <w:rPr>
          <w:rFonts w:asciiTheme="majorBidi" w:hAnsiTheme="majorBidi" w:cstheme="majorBidi"/>
          <w:color w:val="000000" w:themeColor="text1"/>
        </w:rPr>
      </w:pPr>
      <w:r w:rsidRPr="004106DB">
        <w:rPr>
          <w:rFonts w:asciiTheme="majorBidi" w:hAnsiTheme="majorBidi" w:cstheme="majorBidi"/>
          <w:color w:val="000000" w:themeColor="text1"/>
        </w:rPr>
        <w:t xml:space="preserve">Content analysis provided evidence and explanations of the impact of the experiential learning event among participants who attended </w:t>
      </w:r>
      <w:proofErr w:type="spellStart"/>
      <w:r w:rsidR="00802577">
        <w:rPr>
          <w:rFonts w:asciiTheme="majorBidi" w:hAnsiTheme="majorBidi" w:cstheme="majorBidi"/>
          <w:color w:val="000000" w:themeColor="text1"/>
        </w:rPr>
        <w:t>AgriKids</w:t>
      </w:r>
      <w:proofErr w:type="spellEnd"/>
      <w:r w:rsidR="00802577">
        <w:rPr>
          <w:rFonts w:asciiTheme="majorBidi" w:hAnsiTheme="majorBidi" w:cstheme="majorBidi"/>
          <w:color w:val="000000" w:themeColor="text1"/>
        </w:rPr>
        <w:t xml:space="preserve"> Day</w:t>
      </w:r>
      <w:r w:rsidRPr="004106DB">
        <w:rPr>
          <w:rFonts w:asciiTheme="majorBidi" w:hAnsiTheme="majorBidi" w:cstheme="majorBidi"/>
          <w:color w:val="000000" w:themeColor="text1"/>
        </w:rPr>
        <w:t>. Findings are presented by five emergent themes, each supported by participant observations and direct quotes. Participant names and identifiable information have been omitted to maintain confidentiality. Open coding identified five major themes: (1) agricultural awareness evolution, (2) agricultural systems recognition and value, (3) agricultural production knowledge development, (4) health, nutrition, and agricultural connections, and (5) environmental support through agricultural understanding. Following the event, participants demonstrated increased ability to accurately express and illustrate agricultural concepts and their connections to nutrition, personal health, and environmental sustainability.</w:t>
      </w:r>
    </w:p>
    <w:p w14:paraId="6BE5D0FB" w14:textId="77777777" w:rsidR="004106DB" w:rsidRPr="004106DB" w:rsidRDefault="004106DB" w:rsidP="004106DB">
      <w:pPr>
        <w:rPr>
          <w:rFonts w:asciiTheme="majorBidi" w:hAnsiTheme="majorBidi" w:cstheme="majorBidi"/>
          <w:color w:val="000000" w:themeColor="text1"/>
        </w:rPr>
      </w:pPr>
    </w:p>
    <w:p w14:paraId="6A8F0F56" w14:textId="77777777" w:rsidR="004106DB" w:rsidRPr="004106DB" w:rsidRDefault="004106DB" w:rsidP="004106DB">
      <w:pPr>
        <w:rPr>
          <w:rFonts w:asciiTheme="majorBidi" w:hAnsiTheme="majorBidi" w:cstheme="majorBidi"/>
          <w:i/>
          <w:iCs/>
          <w:color w:val="000000" w:themeColor="text1"/>
        </w:rPr>
      </w:pPr>
      <w:r w:rsidRPr="004106DB">
        <w:rPr>
          <w:rFonts w:asciiTheme="majorBidi" w:hAnsiTheme="majorBidi" w:cstheme="majorBidi"/>
          <w:i/>
          <w:iCs/>
          <w:color w:val="000000" w:themeColor="text1"/>
        </w:rPr>
        <w:t>Theme 1: Agricultural Awareness Evolution</w:t>
      </w:r>
    </w:p>
    <w:p w14:paraId="0D4C54A6" w14:textId="3690BECA" w:rsidR="004106DB" w:rsidRDefault="004106DB" w:rsidP="004106DB">
      <w:pPr>
        <w:rPr>
          <w:rFonts w:asciiTheme="majorBidi" w:hAnsiTheme="majorBidi" w:cstheme="majorBidi"/>
          <w:color w:val="000000" w:themeColor="text1"/>
        </w:rPr>
      </w:pPr>
      <w:r w:rsidRPr="004106DB">
        <w:rPr>
          <w:rFonts w:asciiTheme="majorBidi" w:hAnsiTheme="majorBidi" w:cstheme="majorBidi"/>
          <w:color w:val="000000" w:themeColor="text1"/>
        </w:rPr>
        <w:lastRenderedPageBreak/>
        <w:t xml:space="preserve">Prior to the event, students demonstrated limited or inaccurate understandings of agriculture, often viewing it abstractly or confusing it with unrelated concepts. For example, one student explained in the pre-assessment, "I draw an African... because it sounds like </w:t>
      </w:r>
      <w:r w:rsidR="0070060D">
        <w:rPr>
          <w:rFonts w:asciiTheme="majorBidi" w:hAnsiTheme="majorBidi" w:cstheme="majorBidi"/>
          <w:color w:val="000000" w:themeColor="text1"/>
        </w:rPr>
        <w:t xml:space="preserve">it’s </w:t>
      </w:r>
      <w:r w:rsidRPr="004106DB">
        <w:rPr>
          <w:rFonts w:asciiTheme="majorBidi" w:hAnsiTheme="majorBidi" w:cstheme="majorBidi"/>
          <w:color w:val="000000" w:themeColor="text1"/>
        </w:rPr>
        <w:t>from Africa, but I didn't get to finish it." Following the experiential learning event, students were able to connect agriculture to concrete, tangible examples such as carrots, cows, and tractors. This shift from abstract to concrete understanding was evident in students' post-event drawings and explanations. Kelsey reflected on her post-assessment drawing, stating, "I put a honey hive because honey is healthy for animals, and I like honey."</w:t>
      </w:r>
    </w:p>
    <w:p w14:paraId="4038053D" w14:textId="77777777" w:rsidR="004A4F65" w:rsidRPr="004106DB" w:rsidRDefault="004A4F65" w:rsidP="004106DB">
      <w:pPr>
        <w:rPr>
          <w:rFonts w:asciiTheme="majorBidi" w:hAnsiTheme="majorBidi" w:cstheme="majorBidi"/>
          <w:color w:val="000000" w:themeColor="text1"/>
        </w:rPr>
      </w:pPr>
    </w:p>
    <w:p w14:paraId="44582831" w14:textId="77777777" w:rsidR="004106DB" w:rsidRPr="004106DB" w:rsidRDefault="004106DB" w:rsidP="004106DB">
      <w:pPr>
        <w:rPr>
          <w:rFonts w:asciiTheme="majorBidi" w:hAnsiTheme="majorBidi" w:cstheme="majorBidi"/>
          <w:i/>
          <w:iCs/>
          <w:color w:val="000000" w:themeColor="text1"/>
        </w:rPr>
      </w:pPr>
      <w:r w:rsidRPr="004106DB">
        <w:rPr>
          <w:rFonts w:asciiTheme="majorBidi" w:hAnsiTheme="majorBidi" w:cstheme="majorBidi"/>
          <w:i/>
          <w:iCs/>
          <w:color w:val="000000" w:themeColor="text1"/>
        </w:rPr>
        <w:t>Theme 2: Agricultural Systems Recognition and Value</w:t>
      </w:r>
    </w:p>
    <w:p w14:paraId="050AA902" w14:textId="28BBC968" w:rsidR="004106DB" w:rsidRPr="00131CF3" w:rsidRDefault="004106DB" w:rsidP="004106DB">
      <w:pPr>
        <w:rPr>
          <w:rFonts w:asciiTheme="majorBidi" w:hAnsiTheme="majorBidi" w:cstheme="majorBidi"/>
          <w:color w:val="000000" w:themeColor="text1"/>
        </w:rPr>
      </w:pPr>
      <w:r w:rsidRPr="00131CF3">
        <w:rPr>
          <w:rFonts w:asciiTheme="majorBidi" w:hAnsiTheme="majorBidi" w:cstheme="majorBidi"/>
          <w:color w:val="000000" w:themeColor="text1"/>
        </w:rPr>
        <w:t xml:space="preserve">Students progressed from recognizing isolated agricultural elements to understanding agriculture as an interconnected system. Initially, their drawings featured simple, disconnected items such as sun and grass. However, after attending </w:t>
      </w:r>
      <w:proofErr w:type="spellStart"/>
      <w:r w:rsidR="00802577">
        <w:rPr>
          <w:rFonts w:asciiTheme="majorBidi" w:hAnsiTheme="majorBidi" w:cstheme="majorBidi"/>
          <w:color w:val="000000" w:themeColor="text1"/>
        </w:rPr>
        <w:t>AgriKids</w:t>
      </w:r>
      <w:proofErr w:type="spellEnd"/>
      <w:r w:rsidR="00802577">
        <w:rPr>
          <w:rFonts w:asciiTheme="majorBidi" w:hAnsiTheme="majorBidi" w:cstheme="majorBidi"/>
          <w:color w:val="000000" w:themeColor="text1"/>
        </w:rPr>
        <w:t xml:space="preserve"> Day</w:t>
      </w:r>
      <w:r w:rsidRPr="00131CF3">
        <w:rPr>
          <w:rFonts w:asciiTheme="majorBidi" w:hAnsiTheme="majorBidi" w:cstheme="majorBidi"/>
          <w:color w:val="000000" w:themeColor="text1"/>
        </w:rPr>
        <w:t xml:space="preserve">, they began identifying relationships between water, plants, air quality, and the role of farmers in food production. This systems-level thinking was accompanied by an emerging appreciation for agriculture's societal importance. As Kayla explained in her post-assessment, </w:t>
      </w:r>
      <w:r w:rsidRPr="004106DB">
        <w:rPr>
          <w:rFonts w:asciiTheme="majorBidi" w:hAnsiTheme="majorBidi" w:cstheme="majorBidi"/>
          <w:color w:val="000000" w:themeColor="text1"/>
        </w:rPr>
        <w:t>"I was drawing some grass and the trees... they help our environment and stuff grow,"</w:t>
      </w:r>
      <w:r w:rsidRPr="00131CF3">
        <w:rPr>
          <w:rFonts w:asciiTheme="majorBidi" w:hAnsiTheme="majorBidi" w:cstheme="majorBidi"/>
          <w:color w:val="000000" w:themeColor="text1"/>
        </w:rPr>
        <w:t xml:space="preserve"> demonstrating her recognition of how various agricultural elements work together to support environmental health and food production.</w:t>
      </w:r>
    </w:p>
    <w:p w14:paraId="050276F7" w14:textId="77777777" w:rsidR="004106DB" w:rsidRPr="004106DB" w:rsidRDefault="004106DB" w:rsidP="004106DB">
      <w:pPr>
        <w:rPr>
          <w:rFonts w:asciiTheme="majorBidi" w:hAnsiTheme="majorBidi" w:cstheme="majorBidi"/>
          <w:color w:val="000000" w:themeColor="text1"/>
        </w:rPr>
      </w:pPr>
    </w:p>
    <w:p w14:paraId="4A9A8EE9" w14:textId="77777777" w:rsidR="004106DB" w:rsidRPr="004106DB" w:rsidRDefault="004106DB" w:rsidP="004106DB">
      <w:pPr>
        <w:rPr>
          <w:rFonts w:asciiTheme="majorBidi" w:hAnsiTheme="majorBidi" w:cstheme="majorBidi"/>
          <w:i/>
          <w:iCs/>
          <w:color w:val="000000" w:themeColor="text1"/>
        </w:rPr>
      </w:pPr>
      <w:r w:rsidRPr="004106DB">
        <w:rPr>
          <w:rFonts w:asciiTheme="majorBidi" w:hAnsiTheme="majorBidi" w:cstheme="majorBidi"/>
          <w:i/>
          <w:iCs/>
          <w:color w:val="000000" w:themeColor="text1"/>
        </w:rPr>
        <w:t>Theme 3: Agricultural Production Knowledge Development</w:t>
      </w:r>
    </w:p>
    <w:p w14:paraId="26696ECA" w14:textId="3E66B4C3" w:rsidR="004106DB" w:rsidRPr="004106DB" w:rsidRDefault="004106DB" w:rsidP="004106DB">
      <w:pPr>
        <w:rPr>
          <w:rFonts w:asciiTheme="majorBidi" w:hAnsiTheme="majorBidi" w:cstheme="majorBidi"/>
          <w:color w:val="000000" w:themeColor="text1"/>
        </w:rPr>
      </w:pPr>
      <w:r w:rsidRPr="004106DB">
        <w:rPr>
          <w:rFonts w:asciiTheme="majorBidi" w:hAnsiTheme="majorBidi" w:cstheme="majorBidi"/>
          <w:color w:val="000000" w:themeColor="text1"/>
        </w:rPr>
        <w:t xml:space="preserve">Participants gained substantial knowledge about how food and resources are produced through agricultural practices. Their post-event responses highlighted specific processes such as planting seeds, the necessity of water and sunlight for plant growth, and the roles of both animals and technology in agricultural production. Kane's post-assessment illustrated this expanded understanding: "I said carrot, cow, and tractor... you use water to plant them, and you need </w:t>
      </w:r>
      <w:r w:rsidR="0070060D">
        <w:rPr>
          <w:rFonts w:asciiTheme="majorBidi" w:hAnsiTheme="majorBidi" w:cstheme="majorBidi"/>
          <w:color w:val="000000" w:themeColor="text1"/>
        </w:rPr>
        <w:t xml:space="preserve">the </w:t>
      </w:r>
      <w:r w:rsidRPr="004106DB">
        <w:rPr>
          <w:rFonts w:asciiTheme="majorBidi" w:hAnsiTheme="majorBidi" w:cstheme="majorBidi"/>
          <w:color w:val="000000" w:themeColor="text1"/>
        </w:rPr>
        <w:t>sun..." During the post-event focus group, students also demonstrated understanding of natural processes, with one participant noting, "We learned how birds put the seeds in, how the roots grow into a tall plant." These responses indicated that students had moved beyond simply recognizing agricultural products to understanding the production systems behind them.</w:t>
      </w:r>
    </w:p>
    <w:p w14:paraId="35CC15AC" w14:textId="77777777" w:rsidR="004106DB" w:rsidRPr="004106DB" w:rsidRDefault="004106DB" w:rsidP="004106DB">
      <w:pPr>
        <w:rPr>
          <w:rFonts w:asciiTheme="majorBidi" w:hAnsiTheme="majorBidi" w:cstheme="majorBidi"/>
          <w:color w:val="000000" w:themeColor="text1"/>
        </w:rPr>
      </w:pPr>
    </w:p>
    <w:p w14:paraId="71683C9A" w14:textId="77777777" w:rsidR="004106DB" w:rsidRPr="004106DB" w:rsidRDefault="004106DB" w:rsidP="004106DB">
      <w:pPr>
        <w:rPr>
          <w:rFonts w:asciiTheme="majorBidi" w:hAnsiTheme="majorBidi" w:cstheme="majorBidi"/>
          <w:i/>
          <w:iCs/>
          <w:color w:val="000000" w:themeColor="text1"/>
        </w:rPr>
      </w:pPr>
      <w:r w:rsidRPr="004106DB">
        <w:rPr>
          <w:rFonts w:asciiTheme="majorBidi" w:hAnsiTheme="majorBidi" w:cstheme="majorBidi"/>
          <w:i/>
          <w:iCs/>
          <w:color w:val="000000" w:themeColor="text1"/>
        </w:rPr>
        <w:t>Theme 4: Health, Nutrition, and Agricultural Connections</w:t>
      </w:r>
    </w:p>
    <w:p w14:paraId="46E9C6F9" w14:textId="5A324AD5" w:rsidR="004106DB" w:rsidRPr="004106DB" w:rsidRDefault="004106DB" w:rsidP="004106DB">
      <w:pPr>
        <w:rPr>
          <w:rFonts w:asciiTheme="majorBidi" w:hAnsiTheme="majorBidi" w:cstheme="majorBidi"/>
          <w:color w:val="000000" w:themeColor="text1"/>
        </w:rPr>
      </w:pPr>
      <w:r w:rsidRPr="004106DB">
        <w:rPr>
          <w:rFonts w:asciiTheme="majorBidi" w:hAnsiTheme="majorBidi" w:cstheme="majorBidi"/>
          <w:color w:val="000000" w:themeColor="text1"/>
        </w:rPr>
        <w:t xml:space="preserve">A notable development in students' understanding was their ability to connect agriculture to personal and societal health. Post-event responses revealed that participants could identify agriculture's role in producing healthy food and recognized its importance to overall wellbeing and daily life. Sai articulated this connection clearly, explaining, "I drew grass and some of the squash... because squash is healthy." Kelsey further elaborated on this theme when asked </w:t>
      </w:r>
      <w:r w:rsidR="0070060D">
        <w:rPr>
          <w:rFonts w:asciiTheme="majorBidi" w:hAnsiTheme="majorBidi" w:cstheme="majorBidi"/>
          <w:color w:val="000000" w:themeColor="text1"/>
        </w:rPr>
        <w:t>how</w:t>
      </w:r>
      <w:r w:rsidRPr="004106DB">
        <w:rPr>
          <w:rFonts w:asciiTheme="majorBidi" w:hAnsiTheme="majorBidi" w:cstheme="majorBidi"/>
          <w:color w:val="000000" w:themeColor="text1"/>
        </w:rPr>
        <w:t xml:space="preserve"> she connected her drawing to agriculture: "Because I think agriculture is what we eat and what makes us healthy." These responses demonstrated that students had developed an understanding of agriculture that extended beyond production </w:t>
      </w:r>
      <w:r w:rsidR="0070060D">
        <w:rPr>
          <w:rFonts w:asciiTheme="majorBidi" w:hAnsiTheme="majorBidi" w:cstheme="majorBidi"/>
          <w:color w:val="000000" w:themeColor="text1"/>
        </w:rPr>
        <w:t>but also</w:t>
      </w:r>
      <w:r w:rsidRPr="004106DB">
        <w:rPr>
          <w:rFonts w:asciiTheme="majorBidi" w:hAnsiTheme="majorBidi" w:cstheme="majorBidi"/>
          <w:color w:val="000000" w:themeColor="text1"/>
        </w:rPr>
        <w:t xml:space="preserve"> its impact on human health.</w:t>
      </w:r>
    </w:p>
    <w:p w14:paraId="11830F02" w14:textId="77777777" w:rsidR="004106DB" w:rsidRPr="004106DB" w:rsidRDefault="004106DB" w:rsidP="004106DB">
      <w:pPr>
        <w:rPr>
          <w:rFonts w:asciiTheme="majorBidi" w:hAnsiTheme="majorBidi" w:cstheme="majorBidi"/>
          <w:color w:val="000000" w:themeColor="text1"/>
        </w:rPr>
      </w:pPr>
    </w:p>
    <w:p w14:paraId="6BE37D51" w14:textId="77777777" w:rsidR="004106DB" w:rsidRPr="004106DB" w:rsidRDefault="004106DB" w:rsidP="004106DB">
      <w:pPr>
        <w:rPr>
          <w:rFonts w:asciiTheme="majorBidi" w:hAnsiTheme="majorBidi" w:cstheme="majorBidi"/>
          <w:i/>
          <w:iCs/>
          <w:color w:val="000000" w:themeColor="text1"/>
        </w:rPr>
      </w:pPr>
      <w:r w:rsidRPr="004106DB">
        <w:rPr>
          <w:rFonts w:asciiTheme="majorBidi" w:hAnsiTheme="majorBidi" w:cstheme="majorBidi"/>
          <w:i/>
          <w:iCs/>
          <w:color w:val="000000" w:themeColor="text1"/>
        </w:rPr>
        <w:t>Theme 5: Environmental Support through Agricultural Understanding</w:t>
      </w:r>
    </w:p>
    <w:p w14:paraId="114B721B" w14:textId="77777777" w:rsidR="004106DB" w:rsidRPr="004106DB" w:rsidRDefault="004106DB" w:rsidP="004106DB">
      <w:pPr>
        <w:rPr>
          <w:rFonts w:asciiTheme="majorBidi" w:hAnsiTheme="majorBidi" w:cstheme="majorBidi"/>
          <w:color w:val="000000" w:themeColor="text1"/>
        </w:rPr>
      </w:pPr>
      <w:r w:rsidRPr="004106DB">
        <w:rPr>
          <w:rFonts w:asciiTheme="majorBidi" w:hAnsiTheme="majorBidi" w:cstheme="majorBidi"/>
          <w:color w:val="000000" w:themeColor="text1"/>
        </w:rPr>
        <w:t xml:space="preserve">Students demonstrated increased awareness of agriculture's environmental impact and its role in supporting ecological sustainability. Their post-event reflections revealed understanding of how farming practices can protect natural resources such as land and water. During the post-event focus group, students made connections between agricultural elements and environmental protection. One participant explained, "Trees, and a house is by the trees... roots protect from the </w:t>
      </w:r>
      <w:r w:rsidRPr="004106DB">
        <w:rPr>
          <w:rFonts w:asciiTheme="majorBidi" w:hAnsiTheme="majorBidi" w:cstheme="majorBidi"/>
          <w:color w:val="000000" w:themeColor="text1"/>
        </w:rPr>
        <w:lastRenderedPageBreak/>
        <w:t>flood river," while another demonstrated awareness of broader environmental concerns: "When we cut down all the trees, we won't have air to breathe." These observations indicated that students recognized agriculture as more than just food production and they understood it as a system that could support environmental health and sustainability.</w:t>
      </w:r>
    </w:p>
    <w:p w14:paraId="16653C05" w14:textId="77777777" w:rsidR="004106DB" w:rsidRPr="004106DB" w:rsidRDefault="004106DB" w:rsidP="004106DB">
      <w:pPr>
        <w:rPr>
          <w:rFonts w:asciiTheme="majorBidi" w:hAnsiTheme="majorBidi" w:cstheme="majorBidi"/>
          <w:color w:val="000000" w:themeColor="text1"/>
        </w:rPr>
      </w:pPr>
    </w:p>
    <w:p w14:paraId="44BC46DC" w14:textId="25BC1D2E" w:rsidR="004106DB" w:rsidRPr="004106DB" w:rsidRDefault="004106DB" w:rsidP="004106DB">
      <w:pPr>
        <w:rPr>
          <w:rFonts w:asciiTheme="majorBidi" w:eastAsia="Times New Roman" w:hAnsiTheme="majorBidi" w:cstheme="majorBidi"/>
          <w:color w:val="000000" w:themeColor="text1"/>
        </w:rPr>
      </w:pPr>
      <w:r w:rsidRPr="004106DB">
        <w:rPr>
          <w:rFonts w:asciiTheme="majorBidi" w:hAnsiTheme="majorBidi" w:cstheme="majorBidi"/>
          <w:color w:val="000000" w:themeColor="text1"/>
        </w:rPr>
        <w:t xml:space="preserve">Figure 1 can be found below and provides a visual example of the growth in agricultural understanding demonstrated in one student, as explained in the emerging themes. </w:t>
      </w:r>
      <w:r w:rsidRPr="004106DB">
        <w:rPr>
          <w:rFonts w:asciiTheme="majorBidi" w:eastAsia="Times New Roman" w:hAnsiTheme="majorBidi" w:cstheme="majorBidi"/>
          <w:color w:val="000000" w:themeColor="text1"/>
        </w:rPr>
        <w:t xml:space="preserve">During the pre-assessment, Kelsey explained her drawing by stating, "I draw an African [inaudible], because it sounds like </w:t>
      </w:r>
      <w:r w:rsidR="0070060D">
        <w:rPr>
          <w:rFonts w:asciiTheme="majorBidi" w:eastAsia="Times New Roman" w:hAnsiTheme="majorBidi" w:cstheme="majorBidi"/>
          <w:color w:val="000000" w:themeColor="text1"/>
        </w:rPr>
        <w:t xml:space="preserve">it’s </w:t>
      </w:r>
      <w:r w:rsidRPr="004106DB">
        <w:rPr>
          <w:rFonts w:asciiTheme="majorBidi" w:eastAsia="Times New Roman" w:hAnsiTheme="majorBidi" w:cstheme="majorBidi"/>
          <w:color w:val="000000" w:themeColor="text1"/>
        </w:rPr>
        <w:t>from Africa, but I didn't get to finish it." In contrast, her post-assessment drawing showed more agricultural detail and understanding. She described her second drawing by sharing, "I drew a garden with carrots... uh, I forgot what this green thing says. Peppers. I think it's the top of the carrot. . . Sun helps to grow and this woman right here, is... And I put a honey hive because honey is healthy for animals, and I like honey”.</w:t>
      </w:r>
    </w:p>
    <w:p w14:paraId="05F744DC" w14:textId="77777777" w:rsidR="004106DB" w:rsidRPr="004106DB" w:rsidRDefault="004106DB" w:rsidP="004106DB">
      <w:pPr>
        <w:rPr>
          <w:rFonts w:asciiTheme="majorBidi" w:hAnsiTheme="majorBidi" w:cstheme="majorBidi"/>
          <w:color w:val="000000" w:themeColor="text1"/>
        </w:rPr>
      </w:pPr>
    </w:p>
    <w:p w14:paraId="7A1964B7" w14:textId="77777777" w:rsidR="004106DB" w:rsidRPr="004106DB" w:rsidRDefault="004106DB" w:rsidP="004106DB">
      <w:pPr>
        <w:rPr>
          <w:rFonts w:asciiTheme="majorBidi" w:hAnsiTheme="majorBidi" w:cstheme="majorBidi"/>
          <w:color w:val="000000" w:themeColor="text1"/>
        </w:rPr>
      </w:pPr>
    </w:p>
    <w:p w14:paraId="3B39B48C" w14:textId="77777777" w:rsidR="004106DB" w:rsidRPr="004106DB" w:rsidRDefault="004106DB" w:rsidP="004106DB">
      <w:pPr>
        <w:rPr>
          <w:rFonts w:asciiTheme="majorBidi" w:hAnsiTheme="majorBidi" w:cstheme="majorBidi"/>
          <w:b/>
          <w:bCs/>
          <w:color w:val="000000" w:themeColor="text1"/>
        </w:rPr>
      </w:pPr>
      <w:r w:rsidRPr="004106DB">
        <w:rPr>
          <w:rFonts w:asciiTheme="majorBidi" w:hAnsiTheme="majorBidi" w:cstheme="majorBidi"/>
          <w:b/>
          <w:bCs/>
          <w:color w:val="000000" w:themeColor="text1"/>
        </w:rPr>
        <w:t>Figure 1</w:t>
      </w:r>
    </w:p>
    <w:p w14:paraId="2FD02046" w14:textId="77777777" w:rsidR="004106DB" w:rsidRPr="004106DB" w:rsidRDefault="004106DB" w:rsidP="004106DB">
      <w:pPr>
        <w:rPr>
          <w:rFonts w:asciiTheme="majorBidi" w:hAnsiTheme="majorBidi" w:cstheme="majorBidi"/>
          <w:color w:val="000000" w:themeColor="text1"/>
        </w:rPr>
      </w:pPr>
    </w:p>
    <w:p w14:paraId="5E72E6DC" w14:textId="77777777" w:rsidR="004106DB" w:rsidRPr="004106DB" w:rsidRDefault="004106DB" w:rsidP="004106DB">
      <w:pPr>
        <w:rPr>
          <w:rFonts w:asciiTheme="majorBidi" w:hAnsiTheme="majorBidi" w:cstheme="majorBidi"/>
          <w:i/>
          <w:iCs/>
          <w:color w:val="000000" w:themeColor="text1"/>
        </w:rPr>
      </w:pPr>
      <w:r w:rsidRPr="004106DB">
        <w:rPr>
          <w:rFonts w:asciiTheme="majorBidi" w:hAnsiTheme="majorBidi" w:cstheme="majorBidi"/>
          <w:i/>
          <w:iCs/>
          <w:color w:val="000000" w:themeColor="text1"/>
        </w:rPr>
        <w:t>Pre &amp; Post assessment of youth participant, Kelsey.</w:t>
      </w:r>
    </w:p>
    <w:p w14:paraId="790F600F" w14:textId="77777777" w:rsidR="004106DB" w:rsidRPr="004106DB" w:rsidRDefault="004106DB" w:rsidP="004106DB">
      <w:pPr>
        <w:rPr>
          <w:rFonts w:asciiTheme="majorBidi" w:hAnsiTheme="majorBidi" w:cstheme="majorBidi"/>
          <w:i/>
          <w:iCs/>
          <w:color w:val="000000" w:themeColor="text1"/>
        </w:rPr>
      </w:pPr>
    </w:p>
    <w:p w14:paraId="5DE50CFE" w14:textId="77777777" w:rsidR="004106DB" w:rsidRPr="004106DB" w:rsidRDefault="004106DB" w:rsidP="004106DB">
      <w:pPr>
        <w:pBdr>
          <w:top w:val="single" w:sz="4" w:space="1" w:color="auto"/>
          <w:left w:val="single" w:sz="4" w:space="4" w:color="auto"/>
          <w:bottom w:val="single" w:sz="4" w:space="1" w:color="auto"/>
          <w:right w:val="single" w:sz="4" w:space="4" w:color="auto"/>
        </w:pBdr>
        <w:rPr>
          <w:rFonts w:asciiTheme="majorBidi" w:hAnsiTheme="majorBidi" w:cstheme="majorBidi"/>
          <w:i/>
          <w:iCs/>
          <w:color w:val="000000" w:themeColor="text1"/>
        </w:rPr>
      </w:pPr>
    </w:p>
    <w:p w14:paraId="37305BB1" w14:textId="77777777" w:rsidR="004106DB" w:rsidRPr="004106DB" w:rsidRDefault="004106DB" w:rsidP="004106DB">
      <w:pPr>
        <w:pBdr>
          <w:top w:val="single" w:sz="4" w:space="1" w:color="auto"/>
          <w:left w:val="single" w:sz="4" w:space="4" w:color="auto"/>
          <w:bottom w:val="single" w:sz="4" w:space="1" w:color="auto"/>
          <w:right w:val="single" w:sz="4" w:space="4" w:color="auto"/>
        </w:pBdr>
        <w:rPr>
          <w:rFonts w:asciiTheme="majorBidi" w:hAnsiTheme="majorBidi" w:cstheme="majorBidi"/>
          <w:color w:val="000000" w:themeColor="text1"/>
        </w:rPr>
      </w:pPr>
      <w:r w:rsidRPr="004106DB">
        <w:rPr>
          <w:rFonts w:asciiTheme="majorBidi" w:hAnsiTheme="majorBidi" w:cstheme="majorBidi"/>
          <w:noProof/>
          <w:color w:val="000000" w:themeColor="text1"/>
        </w:rPr>
        <w:drawing>
          <wp:inline distT="0" distB="0" distL="0" distR="0" wp14:anchorId="3FD61894" wp14:editId="1379C5E7">
            <wp:extent cx="5766435" cy="2584996"/>
            <wp:effectExtent l="0" t="0" r="0" b="6350"/>
            <wp:docPr id="2" name="Picture 2" descr="../../Desktop/Screen%20Shot%202025-10-15%20at%209.11.23%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Screen%20Shot%202025-10-15%20at%209.11.23%20P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219389" cy="2788048"/>
                    </a:xfrm>
                    <a:prstGeom prst="rect">
                      <a:avLst/>
                    </a:prstGeom>
                    <a:noFill/>
                    <a:ln>
                      <a:noFill/>
                    </a:ln>
                  </pic:spPr>
                </pic:pic>
              </a:graphicData>
            </a:graphic>
          </wp:inline>
        </w:drawing>
      </w:r>
    </w:p>
    <w:p w14:paraId="553A72F6" w14:textId="77777777" w:rsidR="004106DB" w:rsidRPr="004106DB" w:rsidRDefault="004106DB" w:rsidP="004106DB">
      <w:pPr>
        <w:pBdr>
          <w:top w:val="single" w:sz="4" w:space="1" w:color="auto"/>
          <w:left w:val="single" w:sz="4" w:space="4" w:color="auto"/>
          <w:bottom w:val="single" w:sz="4" w:space="1" w:color="auto"/>
          <w:right w:val="single" w:sz="4" w:space="4" w:color="auto"/>
        </w:pBdr>
        <w:rPr>
          <w:rFonts w:asciiTheme="majorBidi" w:hAnsiTheme="majorBidi" w:cstheme="majorBidi"/>
          <w:color w:val="000000" w:themeColor="text1"/>
        </w:rPr>
      </w:pPr>
    </w:p>
    <w:p w14:paraId="3E592328" w14:textId="77777777" w:rsidR="004106DB" w:rsidRPr="004106DB" w:rsidRDefault="004106DB" w:rsidP="004106DB">
      <w:pPr>
        <w:rPr>
          <w:rFonts w:asciiTheme="majorBidi" w:hAnsiTheme="majorBidi" w:cstheme="majorBidi"/>
          <w:b/>
          <w:bCs/>
          <w:color w:val="000000" w:themeColor="text1"/>
        </w:rPr>
      </w:pPr>
    </w:p>
    <w:p w14:paraId="7CA67C8F" w14:textId="77777777" w:rsidR="004106DB" w:rsidRPr="004106DB" w:rsidRDefault="004106DB" w:rsidP="004106DB">
      <w:pPr>
        <w:rPr>
          <w:rFonts w:asciiTheme="majorBidi" w:hAnsiTheme="majorBidi" w:cstheme="majorBidi"/>
          <w:b/>
          <w:bCs/>
          <w:color w:val="000000" w:themeColor="text1"/>
        </w:rPr>
      </w:pPr>
      <w:r w:rsidRPr="004106DB">
        <w:rPr>
          <w:rFonts w:asciiTheme="majorBidi" w:hAnsiTheme="majorBidi" w:cstheme="majorBidi"/>
          <w:b/>
          <w:bCs/>
          <w:color w:val="000000" w:themeColor="text1"/>
        </w:rPr>
        <w:t xml:space="preserve">Conclusions, Discussion, and Recommendations </w:t>
      </w:r>
    </w:p>
    <w:p w14:paraId="1A0581A6" w14:textId="77777777" w:rsidR="004106DB" w:rsidRPr="004106DB" w:rsidRDefault="004106DB" w:rsidP="004106DB">
      <w:pPr>
        <w:rPr>
          <w:rFonts w:asciiTheme="majorBidi" w:hAnsiTheme="majorBidi" w:cstheme="majorBidi"/>
          <w:b/>
          <w:bCs/>
          <w:color w:val="000000" w:themeColor="text1"/>
        </w:rPr>
      </w:pPr>
    </w:p>
    <w:p w14:paraId="604B6EFB" w14:textId="77777777" w:rsidR="004106DB" w:rsidRPr="004106DB" w:rsidRDefault="004106DB" w:rsidP="004106DB">
      <w:pPr>
        <w:rPr>
          <w:rFonts w:asciiTheme="majorBidi" w:hAnsiTheme="majorBidi" w:cstheme="majorBidi"/>
          <w:color w:val="000000" w:themeColor="text1"/>
        </w:rPr>
      </w:pPr>
      <w:r w:rsidRPr="004106DB">
        <w:rPr>
          <w:rFonts w:asciiTheme="majorBidi" w:hAnsiTheme="majorBidi" w:cstheme="majorBidi"/>
          <w:color w:val="000000" w:themeColor="text1"/>
        </w:rPr>
        <w:t xml:space="preserve">This research demonstrates that short-term agricultural program integration in elementary schools positively impacts students' understanding and awareness of agriculture. Furthermore, the findings highlight the critical need for agricultural educators to create more intentional pathways for increased engagement with urban African American communities and other populations lacking connections to agricultural experiences. Dating back to Nolan's work with elementary agriculture in the early 1900s, literature has suggested that urban communities, </w:t>
      </w:r>
      <w:r w:rsidRPr="004106DB">
        <w:rPr>
          <w:rFonts w:asciiTheme="majorBidi" w:hAnsiTheme="majorBidi" w:cstheme="majorBidi"/>
          <w:color w:val="000000" w:themeColor="text1"/>
        </w:rPr>
        <w:lastRenderedPageBreak/>
        <w:t>especially their youth, benefit greatly from engaging with agriculture (Nolan, 1909). This study demonstrates that this idea remains true over a century later.</w:t>
      </w:r>
    </w:p>
    <w:p w14:paraId="48ED7D6F" w14:textId="77777777" w:rsidR="004106DB" w:rsidRPr="004106DB" w:rsidRDefault="004106DB" w:rsidP="004106DB">
      <w:pPr>
        <w:rPr>
          <w:rFonts w:asciiTheme="majorBidi" w:hAnsiTheme="majorBidi" w:cstheme="majorBidi"/>
          <w:color w:val="000000" w:themeColor="text1"/>
        </w:rPr>
      </w:pPr>
    </w:p>
    <w:p w14:paraId="59F1D487" w14:textId="3CB833C5" w:rsidR="004106DB" w:rsidRPr="004106DB" w:rsidRDefault="004106DB" w:rsidP="004106DB">
      <w:pPr>
        <w:rPr>
          <w:rFonts w:asciiTheme="majorBidi" w:hAnsiTheme="majorBidi" w:cstheme="majorBidi"/>
          <w:color w:val="000000" w:themeColor="text1"/>
        </w:rPr>
      </w:pPr>
      <w:r w:rsidRPr="004106DB">
        <w:rPr>
          <w:rFonts w:asciiTheme="majorBidi" w:hAnsiTheme="majorBidi" w:cstheme="majorBidi"/>
          <w:color w:val="000000" w:themeColor="text1"/>
        </w:rPr>
        <w:t xml:space="preserve">The purpose of this study was to evaluate the perceptions of urban elementary students before and after attending the </w:t>
      </w:r>
      <w:proofErr w:type="spellStart"/>
      <w:r w:rsidR="00802577">
        <w:rPr>
          <w:rFonts w:asciiTheme="majorBidi" w:hAnsiTheme="majorBidi" w:cstheme="majorBidi"/>
          <w:color w:val="000000" w:themeColor="text1"/>
        </w:rPr>
        <w:t>AgriKids</w:t>
      </w:r>
      <w:proofErr w:type="spellEnd"/>
      <w:r w:rsidR="00802577">
        <w:rPr>
          <w:rFonts w:asciiTheme="majorBidi" w:hAnsiTheme="majorBidi" w:cstheme="majorBidi"/>
          <w:color w:val="000000" w:themeColor="text1"/>
        </w:rPr>
        <w:t xml:space="preserve"> Day</w:t>
      </w:r>
      <w:r w:rsidRPr="004106DB">
        <w:rPr>
          <w:rFonts w:asciiTheme="majorBidi" w:hAnsiTheme="majorBidi" w:cstheme="majorBidi"/>
          <w:color w:val="000000" w:themeColor="text1"/>
        </w:rPr>
        <w:t xml:space="preserve"> event. While limitations of generalizability exist, given the rarity of research exploring this population, this study offers creative insight into examining the learning processes of younger students within the agricultural context. The pre- and post-assessment design revealed shifts in students' agricultural understanding, moving from abstract or inaccurate concepts to concrete, systems-level thinking that connected agriculture to health, nutrition, and environmental sustainability. Overall, there is significant value in providing agricultural experiences for youth through short-term programs. More opportunities such as this can increase agricultural awareness in populations that may not have natural connections to the industry.</w:t>
      </w:r>
    </w:p>
    <w:p w14:paraId="2D732AA4" w14:textId="77777777" w:rsidR="004106DB" w:rsidRPr="004106DB" w:rsidRDefault="004106DB" w:rsidP="004106DB">
      <w:pPr>
        <w:rPr>
          <w:rFonts w:asciiTheme="majorBidi" w:hAnsiTheme="majorBidi" w:cstheme="majorBidi"/>
          <w:color w:val="000000" w:themeColor="text1"/>
        </w:rPr>
      </w:pPr>
    </w:p>
    <w:p w14:paraId="3637A920" w14:textId="3DCE0944" w:rsidR="004106DB" w:rsidRPr="00797ED2" w:rsidRDefault="004106DB" w:rsidP="004106DB">
      <w:pPr>
        <w:rPr>
          <w:rFonts w:asciiTheme="majorBidi" w:hAnsiTheme="majorBidi" w:cstheme="majorBidi"/>
          <w:color w:val="000000" w:themeColor="text1"/>
        </w:rPr>
      </w:pPr>
      <w:r w:rsidRPr="004106DB">
        <w:rPr>
          <w:rFonts w:asciiTheme="majorBidi" w:hAnsiTheme="majorBidi" w:cstheme="majorBidi"/>
          <w:color w:val="000000" w:themeColor="text1"/>
        </w:rPr>
        <w:t xml:space="preserve">Future research should utilize the Agricultural Literacy framework to examine knowledge </w:t>
      </w:r>
      <w:r w:rsidRPr="00797ED2">
        <w:rPr>
          <w:rFonts w:asciiTheme="majorBidi" w:hAnsiTheme="majorBidi" w:cstheme="majorBidi"/>
          <w:color w:val="000000" w:themeColor="text1"/>
        </w:rPr>
        <w:t xml:space="preserve">retention among students after participating in short-term agricultural programming. Additionally, researchers should conduct comparative analyses investigating the impacts of short-term versus extended programs within this population to understand how program duration </w:t>
      </w:r>
      <w:r w:rsidR="0070060D">
        <w:rPr>
          <w:rFonts w:asciiTheme="majorBidi" w:hAnsiTheme="majorBidi" w:cstheme="majorBidi"/>
          <w:color w:val="000000" w:themeColor="text1"/>
        </w:rPr>
        <w:t>impacts</w:t>
      </w:r>
      <w:r w:rsidRPr="00797ED2">
        <w:rPr>
          <w:rFonts w:asciiTheme="majorBidi" w:hAnsiTheme="majorBidi" w:cstheme="majorBidi"/>
          <w:color w:val="000000" w:themeColor="text1"/>
        </w:rPr>
        <w:t xml:space="preserve"> student learning outcomes. Extension programs</w:t>
      </w:r>
      <w:r w:rsidR="0070060D">
        <w:rPr>
          <w:rFonts w:asciiTheme="majorBidi" w:hAnsiTheme="majorBidi" w:cstheme="majorBidi"/>
          <w:color w:val="000000" w:themeColor="text1"/>
        </w:rPr>
        <w:t xml:space="preserve">, community </w:t>
      </w:r>
      <w:r w:rsidRPr="00797ED2">
        <w:rPr>
          <w:rFonts w:asciiTheme="majorBidi" w:hAnsiTheme="majorBidi" w:cstheme="majorBidi"/>
          <w:color w:val="000000" w:themeColor="text1"/>
        </w:rPr>
        <w:t xml:space="preserve">and agricultural organizations should </w:t>
      </w:r>
      <w:r w:rsidR="0070060D">
        <w:rPr>
          <w:rFonts w:asciiTheme="majorBidi" w:hAnsiTheme="majorBidi" w:cstheme="majorBidi"/>
          <w:color w:val="000000" w:themeColor="text1"/>
        </w:rPr>
        <w:t xml:space="preserve">increase collaboration to </w:t>
      </w:r>
      <w:r w:rsidRPr="00797ED2">
        <w:rPr>
          <w:rFonts w:asciiTheme="majorBidi" w:hAnsiTheme="majorBidi" w:cstheme="majorBidi"/>
          <w:color w:val="000000" w:themeColor="text1"/>
        </w:rPr>
        <w:t xml:space="preserve">develop and implement short-term agricultural programs specifically tailored for urban and African American youth, incorporating experiential learning opportunities that allow students to engage directly with agricultural concepts. </w:t>
      </w:r>
      <w:r w:rsidR="0070060D">
        <w:rPr>
          <w:rFonts w:asciiTheme="majorBidi" w:hAnsiTheme="majorBidi" w:cstheme="majorBidi"/>
          <w:color w:val="000000" w:themeColor="text1"/>
        </w:rPr>
        <w:t>Furthermore, increased c</w:t>
      </w:r>
      <w:r w:rsidRPr="00797ED2">
        <w:rPr>
          <w:rFonts w:asciiTheme="majorBidi" w:hAnsiTheme="majorBidi" w:cstheme="majorBidi"/>
          <w:color w:val="000000" w:themeColor="text1"/>
        </w:rPr>
        <w:t>ollaboration between agricultural educators and urban elementary schools can create accessible pathways for students to explore agriculture and its connections to their daily lives, health, and environment.</w:t>
      </w:r>
    </w:p>
    <w:p w14:paraId="105FF869" w14:textId="77777777" w:rsidR="004106DB" w:rsidRPr="00797ED2" w:rsidRDefault="004106DB" w:rsidP="004106DB">
      <w:pPr>
        <w:rPr>
          <w:rFonts w:asciiTheme="majorBidi" w:hAnsiTheme="majorBidi" w:cstheme="majorBidi"/>
          <w:color w:val="000000" w:themeColor="text1"/>
        </w:rPr>
      </w:pPr>
    </w:p>
    <w:p w14:paraId="4CC98812" w14:textId="52DE8904" w:rsidR="004106DB" w:rsidRPr="00797ED2" w:rsidRDefault="00C6356F" w:rsidP="004106DB">
      <w:pPr>
        <w:rPr>
          <w:rFonts w:asciiTheme="majorBidi" w:hAnsiTheme="majorBidi" w:cstheme="majorBidi"/>
          <w:color w:val="000000" w:themeColor="text1"/>
        </w:rPr>
      </w:pPr>
      <w:r w:rsidRPr="00797ED2">
        <w:rPr>
          <w:rFonts w:asciiTheme="majorBidi" w:hAnsiTheme="majorBidi" w:cstheme="majorBidi"/>
          <w:color w:val="000000" w:themeColor="text1"/>
        </w:rPr>
        <w:t>Overall, t</w:t>
      </w:r>
      <w:r w:rsidR="005044A9" w:rsidRPr="00797ED2">
        <w:rPr>
          <w:rFonts w:asciiTheme="majorBidi" w:hAnsiTheme="majorBidi" w:cstheme="majorBidi"/>
          <w:color w:val="000000" w:themeColor="text1"/>
        </w:rPr>
        <w:t xml:space="preserve">his study </w:t>
      </w:r>
      <w:r w:rsidR="00B65725" w:rsidRPr="00797ED2">
        <w:rPr>
          <w:rFonts w:asciiTheme="majorBidi" w:hAnsiTheme="majorBidi" w:cstheme="majorBidi"/>
          <w:color w:val="000000" w:themeColor="text1"/>
        </w:rPr>
        <w:t>adds</w:t>
      </w:r>
      <w:r w:rsidR="005044A9" w:rsidRPr="00797ED2">
        <w:rPr>
          <w:rFonts w:asciiTheme="majorBidi" w:hAnsiTheme="majorBidi" w:cstheme="majorBidi"/>
          <w:color w:val="000000" w:themeColor="text1"/>
        </w:rPr>
        <w:t xml:space="preserve"> to the limited body of research examining agricultural learning among urban, African American elementary students by demonstrating the value of short-term, experiential agricultural programming. </w:t>
      </w:r>
      <w:r w:rsidR="00B65725" w:rsidRPr="00797ED2">
        <w:rPr>
          <w:rFonts w:asciiTheme="majorBidi" w:hAnsiTheme="majorBidi" w:cstheme="majorBidi"/>
          <w:color w:val="000000" w:themeColor="text1"/>
        </w:rPr>
        <w:t>Despite its</w:t>
      </w:r>
      <w:r w:rsidR="005044A9" w:rsidRPr="00797ED2">
        <w:rPr>
          <w:rFonts w:asciiTheme="majorBidi" w:hAnsiTheme="majorBidi" w:cstheme="majorBidi"/>
          <w:color w:val="000000" w:themeColor="text1"/>
        </w:rPr>
        <w:t xml:space="preserve"> brief duration, the event supported meaningful shifts</w:t>
      </w:r>
      <w:r w:rsidR="00B65725" w:rsidRPr="00797ED2">
        <w:rPr>
          <w:rFonts w:asciiTheme="majorBidi" w:hAnsiTheme="majorBidi" w:cstheme="majorBidi"/>
          <w:color w:val="000000" w:themeColor="text1"/>
        </w:rPr>
        <w:t xml:space="preserve"> in students’ </w:t>
      </w:r>
      <w:r w:rsidR="000C24D5">
        <w:rPr>
          <w:rFonts w:asciiTheme="majorBidi" w:hAnsiTheme="majorBidi" w:cstheme="majorBidi"/>
          <w:color w:val="000000" w:themeColor="text1"/>
        </w:rPr>
        <w:t xml:space="preserve">agricultural </w:t>
      </w:r>
      <w:r w:rsidR="00B65725" w:rsidRPr="00797ED2">
        <w:rPr>
          <w:rFonts w:asciiTheme="majorBidi" w:hAnsiTheme="majorBidi" w:cstheme="majorBidi"/>
          <w:color w:val="000000" w:themeColor="text1"/>
        </w:rPr>
        <w:t>understanding</w:t>
      </w:r>
      <w:r w:rsidR="005044A9" w:rsidRPr="00797ED2">
        <w:rPr>
          <w:rFonts w:asciiTheme="majorBidi" w:hAnsiTheme="majorBidi" w:cstheme="majorBidi"/>
          <w:color w:val="000000" w:themeColor="text1"/>
        </w:rPr>
        <w:t xml:space="preserve">, suggesting that limited exposure can foster </w:t>
      </w:r>
      <w:r w:rsidRPr="00797ED2">
        <w:rPr>
          <w:rFonts w:asciiTheme="majorBidi" w:hAnsiTheme="majorBidi" w:cstheme="majorBidi"/>
          <w:color w:val="000000" w:themeColor="text1"/>
        </w:rPr>
        <w:t>an improved awareness of agriculture</w:t>
      </w:r>
      <w:r w:rsidR="005044A9" w:rsidRPr="00797ED2">
        <w:rPr>
          <w:rFonts w:asciiTheme="majorBidi" w:hAnsiTheme="majorBidi" w:cstheme="majorBidi"/>
          <w:color w:val="000000" w:themeColor="text1"/>
        </w:rPr>
        <w:t>, health, and the environment</w:t>
      </w:r>
      <w:r w:rsidR="00B65725" w:rsidRPr="00797ED2">
        <w:rPr>
          <w:rFonts w:asciiTheme="majorBidi" w:hAnsiTheme="majorBidi" w:cstheme="majorBidi"/>
          <w:color w:val="000000" w:themeColor="text1"/>
        </w:rPr>
        <w:t xml:space="preserve"> (</w:t>
      </w:r>
      <w:r w:rsidR="00B65725" w:rsidRPr="00797ED2">
        <w:rPr>
          <w:rFonts w:asciiTheme="majorBidi" w:hAnsiTheme="majorBidi" w:cstheme="majorBidi"/>
          <w:color w:val="000000" w:themeColor="text1"/>
        </w:rPr>
        <w:t>Jean-Phillipe et al.</w:t>
      </w:r>
      <w:r w:rsidR="00B65725" w:rsidRPr="00797ED2">
        <w:rPr>
          <w:rFonts w:asciiTheme="majorBidi" w:hAnsiTheme="majorBidi" w:cstheme="majorBidi"/>
          <w:color w:val="000000" w:themeColor="text1"/>
        </w:rPr>
        <w:t xml:space="preserve">, </w:t>
      </w:r>
      <w:r w:rsidR="00B65725" w:rsidRPr="00797ED2">
        <w:rPr>
          <w:rFonts w:asciiTheme="majorBidi" w:hAnsiTheme="majorBidi" w:cstheme="majorBidi"/>
          <w:color w:val="000000" w:themeColor="text1"/>
        </w:rPr>
        <w:t>2017)</w:t>
      </w:r>
      <w:r w:rsidR="005044A9" w:rsidRPr="00797ED2">
        <w:rPr>
          <w:rFonts w:asciiTheme="majorBidi" w:hAnsiTheme="majorBidi" w:cstheme="majorBidi"/>
          <w:color w:val="000000" w:themeColor="text1"/>
        </w:rPr>
        <w:t xml:space="preserve">. </w:t>
      </w:r>
      <w:r w:rsidR="00A91B54" w:rsidRPr="00797ED2">
        <w:rPr>
          <w:rFonts w:ascii="Times New Roman" w:eastAsia="Times New Roman" w:hAnsi="Times New Roman" w:cs="Times New Roman"/>
          <w:color w:val="000000" w:themeColor="text1"/>
        </w:rPr>
        <w:t>As the discipline seeks to broaden participation in agriculture and improve agricultural literacy</w:t>
      </w:r>
      <w:r w:rsidR="00797ED2" w:rsidRPr="00797ED2">
        <w:rPr>
          <w:rFonts w:ascii="Times New Roman" w:eastAsia="Times New Roman" w:hAnsi="Times New Roman" w:cs="Times New Roman"/>
          <w:color w:val="000000" w:themeColor="text1"/>
        </w:rPr>
        <w:t xml:space="preserve"> </w:t>
      </w:r>
      <w:r w:rsidR="00B37D03" w:rsidRPr="004106DB">
        <w:rPr>
          <w:rFonts w:asciiTheme="majorBidi" w:hAnsiTheme="majorBidi" w:cstheme="majorBidi"/>
          <w:color w:val="000000" w:themeColor="text1"/>
        </w:rPr>
        <w:t>(Bird et al., 2013)</w:t>
      </w:r>
      <w:r w:rsidR="00B37D03">
        <w:rPr>
          <w:rFonts w:asciiTheme="majorBidi" w:hAnsiTheme="majorBidi" w:cstheme="majorBidi"/>
          <w:color w:val="000000" w:themeColor="text1"/>
        </w:rPr>
        <w:t xml:space="preserve">, </w:t>
      </w:r>
      <w:r w:rsidR="00A91B54" w:rsidRPr="00797ED2">
        <w:rPr>
          <w:rFonts w:ascii="Times New Roman" w:eastAsia="Times New Roman" w:hAnsi="Times New Roman" w:cs="Times New Roman"/>
          <w:color w:val="000000" w:themeColor="text1"/>
        </w:rPr>
        <w:t xml:space="preserve">results from this study indicate that small, intentional educational efforts can support early </w:t>
      </w:r>
      <w:r w:rsidR="000C24D5">
        <w:rPr>
          <w:rFonts w:ascii="Times New Roman" w:eastAsia="Times New Roman" w:hAnsi="Times New Roman" w:cs="Times New Roman"/>
          <w:color w:val="000000" w:themeColor="text1"/>
        </w:rPr>
        <w:t xml:space="preserve">interest and </w:t>
      </w:r>
      <w:r w:rsidR="00A91B54" w:rsidRPr="00797ED2">
        <w:rPr>
          <w:rFonts w:ascii="Times New Roman" w:eastAsia="Times New Roman" w:hAnsi="Times New Roman" w:cs="Times New Roman"/>
          <w:color w:val="000000" w:themeColor="text1"/>
        </w:rPr>
        <w:t>engagement when designed to meet learners in relevant and accessible ways</w:t>
      </w:r>
      <w:r w:rsidR="00797ED2" w:rsidRPr="00797ED2">
        <w:rPr>
          <w:rFonts w:ascii="Times New Roman" w:eastAsia="Times New Roman" w:hAnsi="Times New Roman" w:cs="Times New Roman"/>
          <w:color w:val="000000" w:themeColor="text1"/>
        </w:rPr>
        <w:t xml:space="preserve"> (</w:t>
      </w:r>
      <w:r w:rsidR="00797ED2" w:rsidRPr="00797ED2">
        <w:rPr>
          <w:rFonts w:ascii="Times New Roman" w:eastAsia="Times New Roman" w:hAnsi="Times New Roman" w:cs="Times New Roman"/>
          <w:color w:val="000000" w:themeColor="text1"/>
        </w:rPr>
        <w:t>Warren &amp; Alston, 2007)</w:t>
      </w:r>
      <w:r w:rsidR="000C24D5">
        <w:rPr>
          <w:rFonts w:ascii="Times New Roman" w:eastAsia="Times New Roman" w:hAnsi="Times New Roman" w:cs="Times New Roman"/>
          <w:color w:val="000000" w:themeColor="text1"/>
        </w:rPr>
        <w:t>.</w:t>
      </w:r>
    </w:p>
    <w:p w14:paraId="6A75EFA8" w14:textId="77777777" w:rsidR="004106DB" w:rsidRPr="00797ED2" w:rsidRDefault="004106DB" w:rsidP="004106DB">
      <w:pPr>
        <w:rPr>
          <w:rFonts w:asciiTheme="majorBidi" w:hAnsiTheme="majorBidi" w:cstheme="majorBidi"/>
          <w:color w:val="000000" w:themeColor="text1"/>
        </w:rPr>
      </w:pPr>
    </w:p>
    <w:p w14:paraId="4977E70F" w14:textId="77777777" w:rsidR="004106DB" w:rsidRPr="00797ED2" w:rsidRDefault="004106DB" w:rsidP="004106DB">
      <w:pPr>
        <w:rPr>
          <w:rFonts w:asciiTheme="majorBidi" w:hAnsiTheme="majorBidi" w:cstheme="majorBidi"/>
          <w:color w:val="000000" w:themeColor="text1"/>
        </w:rPr>
      </w:pPr>
    </w:p>
    <w:p w14:paraId="17E7FAED" w14:textId="77777777" w:rsidR="004106DB" w:rsidRPr="004106DB" w:rsidRDefault="004106DB" w:rsidP="004106DB">
      <w:pPr>
        <w:rPr>
          <w:rFonts w:asciiTheme="majorBidi" w:hAnsiTheme="majorBidi" w:cstheme="majorBidi"/>
          <w:color w:val="000000" w:themeColor="text1"/>
        </w:rPr>
      </w:pPr>
    </w:p>
    <w:p w14:paraId="39920CB9" w14:textId="77777777" w:rsidR="004106DB" w:rsidRPr="004106DB" w:rsidRDefault="004106DB" w:rsidP="004106DB">
      <w:pPr>
        <w:rPr>
          <w:rFonts w:asciiTheme="majorBidi" w:hAnsiTheme="majorBidi" w:cstheme="majorBidi"/>
          <w:color w:val="000000" w:themeColor="text1"/>
        </w:rPr>
      </w:pPr>
    </w:p>
    <w:p w14:paraId="32FED8A5" w14:textId="77777777" w:rsidR="004106DB" w:rsidRPr="004106DB" w:rsidRDefault="004106DB" w:rsidP="004106DB">
      <w:pPr>
        <w:rPr>
          <w:rFonts w:asciiTheme="majorBidi" w:hAnsiTheme="majorBidi" w:cstheme="majorBidi"/>
          <w:color w:val="000000" w:themeColor="text1"/>
        </w:rPr>
      </w:pPr>
    </w:p>
    <w:p w14:paraId="75C9F7B2" w14:textId="77777777" w:rsidR="004106DB" w:rsidRPr="004106DB" w:rsidRDefault="004106DB" w:rsidP="004106DB">
      <w:pPr>
        <w:rPr>
          <w:rFonts w:asciiTheme="majorBidi" w:hAnsiTheme="majorBidi" w:cstheme="majorBidi"/>
          <w:color w:val="000000" w:themeColor="text1"/>
        </w:rPr>
      </w:pPr>
    </w:p>
    <w:p w14:paraId="60306BFC" w14:textId="77777777" w:rsidR="004106DB" w:rsidRPr="004106DB" w:rsidRDefault="004106DB" w:rsidP="004106DB">
      <w:pPr>
        <w:rPr>
          <w:rFonts w:asciiTheme="majorBidi" w:hAnsiTheme="majorBidi" w:cstheme="majorBidi"/>
          <w:color w:val="000000" w:themeColor="text1"/>
        </w:rPr>
      </w:pPr>
    </w:p>
    <w:p w14:paraId="3CAB9A5C" w14:textId="77777777" w:rsidR="004106DB" w:rsidRPr="004106DB" w:rsidRDefault="004106DB" w:rsidP="004106DB">
      <w:pPr>
        <w:rPr>
          <w:rFonts w:asciiTheme="majorBidi" w:hAnsiTheme="majorBidi" w:cstheme="majorBidi"/>
          <w:color w:val="000000" w:themeColor="text1"/>
        </w:rPr>
      </w:pPr>
    </w:p>
    <w:p w14:paraId="1E4D7FE9" w14:textId="77777777" w:rsidR="004106DB" w:rsidRPr="004106DB" w:rsidRDefault="004106DB" w:rsidP="004106DB">
      <w:pPr>
        <w:rPr>
          <w:rFonts w:asciiTheme="majorBidi" w:hAnsiTheme="majorBidi" w:cstheme="majorBidi"/>
          <w:color w:val="000000" w:themeColor="text1"/>
        </w:rPr>
      </w:pPr>
    </w:p>
    <w:p w14:paraId="1E30C1DF" w14:textId="77777777" w:rsidR="004106DB" w:rsidRPr="004106DB" w:rsidRDefault="004106DB" w:rsidP="004106DB">
      <w:pPr>
        <w:rPr>
          <w:rFonts w:asciiTheme="majorBidi" w:hAnsiTheme="majorBidi" w:cstheme="majorBidi"/>
          <w:color w:val="000000" w:themeColor="text1"/>
        </w:rPr>
      </w:pPr>
    </w:p>
    <w:p w14:paraId="4F8A52A4" w14:textId="77777777" w:rsidR="004106DB" w:rsidRPr="004106DB" w:rsidRDefault="004106DB" w:rsidP="004106DB">
      <w:pPr>
        <w:rPr>
          <w:rFonts w:asciiTheme="majorBidi" w:hAnsiTheme="majorBidi" w:cstheme="majorBidi"/>
          <w:color w:val="000000" w:themeColor="text1"/>
        </w:rPr>
      </w:pPr>
    </w:p>
    <w:p w14:paraId="6BE5D604" w14:textId="77777777" w:rsidR="004106DB" w:rsidRPr="004106DB" w:rsidRDefault="004106DB" w:rsidP="004106DB">
      <w:pPr>
        <w:jc w:val="center"/>
        <w:rPr>
          <w:rFonts w:asciiTheme="majorBidi" w:hAnsiTheme="majorBidi" w:cstheme="majorBidi"/>
          <w:b/>
          <w:bCs/>
          <w:color w:val="000000" w:themeColor="text1"/>
        </w:rPr>
      </w:pPr>
      <w:r w:rsidRPr="004106DB">
        <w:rPr>
          <w:rFonts w:asciiTheme="majorBidi" w:hAnsiTheme="majorBidi" w:cstheme="majorBidi"/>
          <w:b/>
          <w:bCs/>
          <w:color w:val="000000" w:themeColor="text1"/>
        </w:rPr>
        <w:lastRenderedPageBreak/>
        <w:t>References</w:t>
      </w:r>
    </w:p>
    <w:p w14:paraId="6B505A33" w14:textId="77777777" w:rsidR="004106DB" w:rsidRPr="004106DB" w:rsidRDefault="004106DB" w:rsidP="004106DB">
      <w:pPr>
        <w:jc w:val="center"/>
        <w:rPr>
          <w:rFonts w:asciiTheme="majorBidi" w:hAnsiTheme="majorBidi" w:cstheme="majorBidi"/>
          <w:b/>
          <w:bCs/>
          <w:color w:val="000000" w:themeColor="text1"/>
        </w:rPr>
      </w:pPr>
    </w:p>
    <w:p w14:paraId="04A15563" w14:textId="77777777" w:rsidR="004106DB" w:rsidRPr="004106DB" w:rsidRDefault="004106DB" w:rsidP="004106DB">
      <w:pPr>
        <w:rPr>
          <w:rFonts w:asciiTheme="majorBidi" w:eastAsia="Times New Roman" w:hAnsiTheme="majorBidi" w:cstheme="majorBidi"/>
          <w:color w:val="000000" w:themeColor="text1"/>
        </w:rPr>
      </w:pPr>
      <w:r w:rsidRPr="004106DB">
        <w:rPr>
          <w:rFonts w:asciiTheme="majorBidi" w:eastAsia="Times New Roman" w:hAnsiTheme="majorBidi" w:cstheme="majorBidi"/>
          <w:color w:val="000000" w:themeColor="text1"/>
        </w:rPr>
        <w:t>Bird, W. A., Martin, M. J., Tummons, J. D., &amp; Ball, A. L. (2013). Engaging students in</w:t>
      </w:r>
    </w:p>
    <w:p w14:paraId="3C555802" w14:textId="77777777" w:rsidR="004106DB" w:rsidRPr="004106DB" w:rsidRDefault="004106DB" w:rsidP="004106DB">
      <w:pPr>
        <w:ind w:firstLine="720"/>
        <w:rPr>
          <w:rFonts w:asciiTheme="majorBidi" w:eastAsia="Times New Roman" w:hAnsiTheme="majorBidi" w:cstheme="majorBidi"/>
          <w:color w:val="000000" w:themeColor="text1"/>
        </w:rPr>
      </w:pPr>
      <w:r w:rsidRPr="004106DB">
        <w:rPr>
          <w:rFonts w:asciiTheme="majorBidi" w:eastAsia="Times New Roman" w:hAnsiTheme="majorBidi" w:cstheme="majorBidi"/>
          <w:color w:val="000000" w:themeColor="text1"/>
        </w:rPr>
        <w:t>constructive youth-adult relationships: A case study of urban school-based agriculture</w:t>
      </w:r>
    </w:p>
    <w:p w14:paraId="311E228A" w14:textId="77777777" w:rsidR="004106DB" w:rsidRPr="004106DB" w:rsidRDefault="004106DB" w:rsidP="004106DB">
      <w:pPr>
        <w:ind w:firstLine="720"/>
        <w:rPr>
          <w:rFonts w:asciiTheme="majorBidi" w:eastAsia="Times New Roman" w:hAnsiTheme="majorBidi" w:cstheme="majorBidi"/>
          <w:color w:val="000000" w:themeColor="text1"/>
        </w:rPr>
      </w:pPr>
      <w:r w:rsidRPr="004106DB">
        <w:rPr>
          <w:rFonts w:asciiTheme="majorBidi" w:eastAsia="Times New Roman" w:hAnsiTheme="majorBidi" w:cstheme="majorBidi"/>
          <w:color w:val="000000" w:themeColor="text1"/>
        </w:rPr>
        <w:t xml:space="preserve">students and positive adult mentors. </w:t>
      </w:r>
      <w:r w:rsidRPr="004106DB">
        <w:rPr>
          <w:rFonts w:asciiTheme="majorBidi" w:eastAsia="Times New Roman" w:hAnsiTheme="majorBidi" w:cstheme="majorBidi"/>
          <w:i/>
          <w:color w:val="000000" w:themeColor="text1"/>
        </w:rPr>
        <w:t>Journal of Agricultural Education, 54</w:t>
      </w:r>
      <w:r w:rsidRPr="004106DB">
        <w:rPr>
          <w:rFonts w:asciiTheme="majorBidi" w:eastAsia="Times New Roman" w:hAnsiTheme="majorBidi" w:cstheme="majorBidi"/>
          <w:color w:val="000000" w:themeColor="text1"/>
        </w:rPr>
        <w:t>(2), 29-43.</w:t>
      </w:r>
    </w:p>
    <w:p w14:paraId="6C1FCB7E" w14:textId="77777777" w:rsidR="004106DB" w:rsidRPr="004106DB" w:rsidRDefault="004106DB" w:rsidP="004106DB">
      <w:pPr>
        <w:ind w:firstLine="720"/>
        <w:rPr>
          <w:rFonts w:asciiTheme="majorBidi" w:eastAsia="Times New Roman" w:hAnsiTheme="majorBidi" w:cstheme="majorBidi"/>
          <w:color w:val="000000" w:themeColor="text1"/>
        </w:rPr>
      </w:pPr>
      <w:r w:rsidRPr="004106DB">
        <w:rPr>
          <w:rFonts w:asciiTheme="majorBidi" w:eastAsia="Times New Roman" w:hAnsiTheme="majorBidi" w:cstheme="majorBidi"/>
          <w:color w:val="000000" w:themeColor="text1"/>
        </w:rPr>
        <w:t>https://doi.org/10.5032/jae.2013.02029</w:t>
      </w:r>
    </w:p>
    <w:p w14:paraId="1ACE85EE" w14:textId="77777777" w:rsidR="004106DB" w:rsidRPr="004106DB" w:rsidRDefault="004106DB" w:rsidP="004106DB">
      <w:pPr>
        <w:ind w:left="720" w:hanging="720"/>
        <w:rPr>
          <w:rFonts w:asciiTheme="majorBidi" w:eastAsia="Times New Roman" w:hAnsiTheme="majorBidi" w:cstheme="majorBidi"/>
          <w:color w:val="000000" w:themeColor="text1"/>
        </w:rPr>
      </w:pPr>
      <w:r w:rsidRPr="004106DB">
        <w:rPr>
          <w:rFonts w:asciiTheme="majorBidi" w:eastAsia="Times New Roman" w:hAnsiTheme="majorBidi" w:cstheme="majorBidi"/>
          <w:color w:val="000000" w:themeColor="text1"/>
        </w:rPr>
        <w:t>Coleman, B., Bunch, J. C., &amp; Roberts, T. G. (2024). Experiential learning in agricultural education: A philosophical discussion. </w:t>
      </w:r>
      <w:r w:rsidRPr="004106DB">
        <w:rPr>
          <w:rFonts w:asciiTheme="majorBidi" w:eastAsia="Times New Roman" w:hAnsiTheme="majorBidi" w:cstheme="majorBidi"/>
          <w:i/>
          <w:color w:val="000000" w:themeColor="text1"/>
        </w:rPr>
        <w:t>Journal of Agricultural Education</w:t>
      </w:r>
      <w:r w:rsidRPr="004106DB">
        <w:rPr>
          <w:rFonts w:asciiTheme="majorBidi" w:eastAsia="Times New Roman" w:hAnsiTheme="majorBidi" w:cstheme="majorBidi"/>
          <w:color w:val="000000" w:themeColor="text1"/>
        </w:rPr>
        <w:t>, </w:t>
      </w:r>
      <w:r w:rsidRPr="004106DB">
        <w:rPr>
          <w:rFonts w:asciiTheme="majorBidi" w:eastAsia="Times New Roman" w:hAnsiTheme="majorBidi" w:cstheme="majorBidi"/>
          <w:i/>
          <w:color w:val="000000" w:themeColor="text1"/>
        </w:rPr>
        <w:t>65</w:t>
      </w:r>
      <w:r w:rsidRPr="004106DB">
        <w:rPr>
          <w:rFonts w:asciiTheme="majorBidi" w:eastAsia="Times New Roman" w:hAnsiTheme="majorBidi" w:cstheme="majorBidi"/>
          <w:color w:val="000000" w:themeColor="text1"/>
        </w:rPr>
        <w:t>(1), 283-302.</w:t>
      </w:r>
      <w:r w:rsidRPr="004106DB">
        <w:rPr>
          <w:rFonts w:asciiTheme="majorBidi" w:eastAsia="Times New Roman" w:hAnsiTheme="majorBidi" w:cstheme="majorBidi"/>
          <w:b/>
          <w:i/>
          <w:color w:val="000000" w:themeColor="text1"/>
        </w:rPr>
        <w:t xml:space="preserve"> </w:t>
      </w:r>
      <w:r w:rsidRPr="004106DB">
        <w:rPr>
          <w:rFonts w:asciiTheme="majorBidi" w:eastAsia="Times New Roman" w:hAnsiTheme="majorBidi" w:cstheme="majorBidi"/>
          <w:color w:val="000000" w:themeColor="text1"/>
        </w:rPr>
        <w:t>https://doi.org/10.5032/jae.v65i1.2479</w:t>
      </w:r>
      <w:r w:rsidRPr="004106DB">
        <w:rPr>
          <w:rFonts w:asciiTheme="majorBidi" w:eastAsia="Times New Roman" w:hAnsiTheme="majorBidi" w:cstheme="majorBidi"/>
          <w:b/>
          <w:color w:val="000000" w:themeColor="text1"/>
        </w:rPr>
        <w:t xml:space="preserve"> </w:t>
      </w:r>
    </w:p>
    <w:p w14:paraId="7FF4B753" w14:textId="77777777" w:rsidR="004106DB" w:rsidRDefault="004106DB" w:rsidP="004106DB">
      <w:pPr>
        <w:ind w:left="720" w:hanging="720"/>
        <w:rPr>
          <w:rFonts w:asciiTheme="majorBidi" w:eastAsia="Times New Roman" w:hAnsiTheme="majorBidi" w:cstheme="majorBidi"/>
          <w:color w:val="000000" w:themeColor="text1"/>
        </w:rPr>
      </w:pPr>
      <w:r w:rsidRPr="004106DB">
        <w:rPr>
          <w:rFonts w:asciiTheme="majorBidi" w:eastAsia="Times New Roman" w:hAnsiTheme="majorBidi" w:cstheme="majorBidi"/>
          <w:color w:val="000000" w:themeColor="text1"/>
        </w:rPr>
        <w:t xml:space="preserve">Crotty, M. (1998). </w:t>
      </w:r>
      <w:r w:rsidRPr="004106DB">
        <w:rPr>
          <w:rFonts w:asciiTheme="majorBidi" w:eastAsia="Times New Roman" w:hAnsiTheme="majorBidi" w:cstheme="majorBidi"/>
          <w:i/>
          <w:color w:val="000000" w:themeColor="text1"/>
        </w:rPr>
        <w:t xml:space="preserve">The foundations of social research: Meanings and perspective in the research process. </w:t>
      </w:r>
      <w:r w:rsidRPr="004106DB">
        <w:rPr>
          <w:rFonts w:asciiTheme="majorBidi" w:eastAsia="Times New Roman" w:hAnsiTheme="majorBidi" w:cstheme="majorBidi"/>
          <w:color w:val="000000" w:themeColor="text1"/>
        </w:rPr>
        <w:t xml:space="preserve">SAGE Publications. </w:t>
      </w:r>
    </w:p>
    <w:p w14:paraId="6A29F05F" w14:textId="77777777" w:rsidR="004106DB" w:rsidRPr="004106DB" w:rsidRDefault="004106DB" w:rsidP="004106DB">
      <w:pPr>
        <w:ind w:left="720" w:hanging="720"/>
        <w:rPr>
          <w:rFonts w:asciiTheme="majorBidi" w:eastAsia="Times New Roman" w:hAnsiTheme="majorBidi" w:cstheme="majorBidi"/>
          <w:color w:val="000000" w:themeColor="text1"/>
        </w:rPr>
      </w:pPr>
      <w:r w:rsidRPr="004106DB">
        <w:rPr>
          <w:rFonts w:asciiTheme="majorBidi" w:eastAsia="Times New Roman" w:hAnsiTheme="majorBidi" w:cstheme="majorBidi"/>
          <w:color w:val="000000" w:themeColor="text1"/>
        </w:rPr>
        <w:t xml:space="preserve">Farokhi, M., &amp; Hashemi, M. (2011). The analysis of children’s drawings: Social, emotional, physical, and psychological aspects. </w:t>
      </w:r>
      <w:r w:rsidRPr="004106DB">
        <w:rPr>
          <w:rFonts w:asciiTheme="majorBidi" w:eastAsia="Times New Roman" w:hAnsiTheme="majorBidi" w:cstheme="majorBidi"/>
          <w:i/>
          <w:color w:val="000000" w:themeColor="text1"/>
        </w:rPr>
        <w:t>Procedia - Social and Behavioral Sciences, 30</w:t>
      </w:r>
      <w:r w:rsidRPr="004106DB">
        <w:rPr>
          <w:rFonts w:asciiTheme="majorBidi" w:eastAsia="Times New Roman" w:hAnsiTheme="majorBidi" w:cstheme="majorBidi"/>
          <w:color w:val="000000" w:themeColor="text1"/>
        </w:rPr>
        <w:t>, 2219–2224. https://doi.org/10.1016/j.sbspro.2011.10.433</w:t>
      </w:r>
    </w:p>
    <w:p w14:paraId="65F76B37" w14:textId="77777777" w:rsidR="004106DB" w:rsidRPr="004106DB" w:rsidRDefault="004106DB" w:rsidP="004106DB">
      <w:pPr>
        <w:rPr>
          <w:rFonts w:asciiTheme="majorBidi" w:eastAsia="Times New Roman" w:hAnsiTheme="majorBidi" w:cstheme="majorBidi"/>
          <w:color w:val="000000" w:themeColor="text1"/>
        </w:rPr>
      </w:pPr>
      <w:proofErr w:type="spellStart"/>
      <w:r w:rsidRPr="004106DB">
        <w:rPr>
          <w:rFonts w:asciiTheme="majorBidi" w:eastAsia="Times New Roman" w:hAnsiTheme="majorBidi" w:cstheme="majorBidi"/>
          <w:color w:val="000000" w:themeColor="text1"/>
          <w:lang w:val="de-AT"/>
        </w:rPr>
        <w:t>Fraze</w:t>
      </w:r>
      <w:proofErr w:type="spellEnd"/>
      <w:r w:rsidRPr="004106DB">
        <w:rPr>
          <w:rFonts w:asciiTheme="majorBidi" w:eastAsia="Times New Roman" w:hAnsiTheme="majorBidi" w:cstheme="majorBidi"/>
          <w:color w:val="000000" w:themeColor="text1"/>
          <w:lang w:val="de-AT"/>
        </w:rPr>
        <w:t xml:space="preserve">, L. B., Rutherford, T., </w:t>
      </w:r>
      <w:proofErr w:type="spellStart"/>
      <w:r w:rsidRPr="004106DB">
        <w:rPr>
          <w:rFonts w:asciiTheme="majorBidi" w:eastAsia="Times New Roman" w:hAnsiTheme="majorBidi" w:cstheme="majorBidi"/>
          <w:color w:val="000000" w:themeColor="text1"/>
          <w:lang w:val="de-AT"/>
        </w:rPr>
        <w:t>Wingenbach</w:t>
      </w:r>
      <w:proofErr w:type="spellEnd"/>
      <w:r w:rsidRPr="004106DB">
        <w:rPr>
          <w:rFonts w:asciiTheme="majorBidi" w:eastAsia="Times New Roman" w:hAnsiTheme="majorBidi" w:cstheme="majorBidi"/>
          <w:color w:val="000000" w:themeColor="text1"/>
          <w:lang w:val="de-AT"/>
        </w:rPr>
        <w:t xml:space="preserve">, G., &amp; Wolfskill, L. A. (2011). </w:t>
      </w:r>
      <w:r w:rsidRPr="004106DB">
        <w:rPr>
          <w:rFonts w:asciiTheme="majorBidi" w:eastAsia="Times New Roman" w:hAnsiTheme="majorBidi" w:cstheme="majorBidi"/>
          <w:color w:val="000000" w:themeColor="text1"/>
        </w:rPr>
        <w:t>Urban high school</w:t>
      </w:r>
    </w:p>
    <w:p w14:paraId="5FD8FCBD" w14:textId="77777777" w:rsidR="004106DB" w:rsidRPr="004106DB" w:rsidRDefault="004106DB" w:rsidP="004106DB">
      <w:pPr>
        <w:ind w:firstLine="720"/>
        <w:rPr>
          <w:rFonts w:asciiTheme="majorBidi" w:eastAsia="Times New Roman" w:hAnsiTheme="majorBidi" w:cstheme="majorBidi"/>
          <w:color w:val="000000" w:themeColor="text1"/>
        </w:rPr>
      </w:pPr>
      <w:r w:rsidRPr="004106DB">
        <w:rPr>
          <w:rFonts w:asciiTheme="majorBidi" w:eastAsia="Times New Roman" w:hAnsiTheme="majorBidi" w:cstheme="majorBidi"/>
          <w:color w:val="000000" w:themeColor="text1"/>
        </w:rPr>
        <w:t>students' perceptions about agricultural careers and general agricultural knowledge.</w:t>
      </w:r>
    </w:p>
    <w:p w14:paraId="2264BDBF" w14:textId="77777777" w:rsidR="004106DB" w:rsidRPr="004106DB" w:rsidRDefault="004106DB" w:rsidP="004106DB">
      <w:pPr>
        <w:ind w:firstLine="720"/>
        <w:rPr>
          <w:rFonts w:asciiTheme="majorBidi" w:eastAsia="Times New Roman" w:hAnsiTheme="majorBidi" w:cstheme="majorBidi"/>
          <w:color w:val="000000" w:themeColor="text1"/>
          <w:lang w:val="fr-CA"/>
        </w:rPr>
      </w:pPr>
      <w:r w:rsidRPr="004106DB">
        <w:rPr>
          <w:rFonts w:asciiTheme="majorBidi" w:eastAsia="Times New Roman" w:hAnsiTheme="majorBidi" w:cstheme="majorBidi"/>
          <w:i/>
          <w:color w:val="000000" w:themeColor="text1"/>
          <w:lang w:val="fr-CA"/>
        </w:rPr>
        <w:t>NACTA Journal, 55</w:t>
      </w:r>
      <w:r w:rsidRPr="004106DB">
        <w:rPr>
          <w:rFonts w:asciiTheme="majorBidi" w:eastAsia="Times New Roman" w:hAnsiTheme="majorBidi" w:cstheme="majorBidi"/>
          <w:color w:val="000000" w:themeColor="text1"/>
          <w:lang w:val="fr-CA"/>
        </w:rPr>
        <w:t xml:space="preserve">(4), 75-81. https://www.jstor.org/stable/nactajournal.55.4.75 </w:t>
      </w:r>
    </w:p>
    <w:p w14:paraId="0DD00F1F" w14:textId="77777777" w:rsidR="004106DB" w:rsidRPr="004106DB" w:rsidRDefault="004106DB" w:rsidP="004106DB">
      <w:pPr>
        <w:rPr>
          <w:rFonts w:asciiTheme="majorBidi" w:eastAsia="Times New Roman" w:hAnsiTheme="majorBidi" w:cstheme="majorBidi"/>
          <w:color w:val="000000" w:themeColor="text1"/>
        </w:rPr>
      </w:pPr>
      <w:r w:rsidRPr="004106DB">
        <w:rPr>
          <w:rFonts w:asciiTheme="majorBidi" w:eastAsia="Times New Roman" w:hAnsiTheme="majorBidi" w:cstheme="majorBidi"/>
          <w:color w:val="000000" w:themeColor="text1"/>
        </w:rPr>
        <w:t>Henry, K. A., Talbert, B. A., &amp; Morris, P. V. (2014). Agricultural education in an urban charter</w:t>
      </w:r>
    </w:p>
    <w:p w14:paraId="01E0DDB9" w14:textId="77777777" w:rsidR="004106DB" w:rsidRPr="004106DB" w:rsidRDefault="004106DB" w:rsidP="004106DB">
      <w:pPr>
        <w:ind w:firstLine="720"/>
        <w:rPr>
          <w:rFonts w:asciiTheme="majorBidi" w:eastAsia="Times New Roman" w:hAnsiTheme="majorBidi" w:cstheme="majorBidi"/>
          <w:color w:val="000000" w:themeColor="text1"/>
        </w:rPr>
      </w:pPr>
      <w:r w:rsidRPr="004106DB">
        <w:rPr>
          <w:rFonts w:asciiTheme="majorBidi" w:eastAsia="Times New Roman" w:hAnsiTheme="majorBidi" w:cstheme="majorBidi"/>
          <w:color w:val="000000" w:themeColor="text1"/>
        </w:rPr>
        <w:t xml:space="preserve">school: Perspectives and challenges. </w:t>
      </w:r>
      <w:r w:rsidRPr="004106DB">
        <w:rPr>
          <w:rFonts w:asciiTheme="majorBidi" w:eastAsia="Times New Roman" w:hAnsiTheme="majorBidi" w:cstheme="majorBidi"/>
          <w:i/>
          <w:color w:val="000000" w:themeColor="text1"/>
        </w:rPr>
        <w:t>Journal of Agricultural Education, 55</w:t>
      </w:r>
      <w:r w:rsidRPr="004106DB">
        <w:rPr>
          <w:rFonts w:asciiTheme="majorBidi" w:eastAsia="Times New Roman" w:hAnsiTheme="majorBidi" w:cstheme="majorBidi"/>
          <w:color w:val="000000" w:themeColor="text1"/>
        </w:rPr>
        <w:t>(3), 89-102.</w:t>
      </w:r>
    </w:p>
    <w:p w14:paraId="2AA6C44C" w14:textId="77777777" w:rsidR="004106DB" w:rsidRPr="004106DB" w:rsidRDefault="004106DB" w:rsidP="004106DB">
      <w:pPr>
        <w:ind w:firstLine="720"/>
        <w:rPr>
          <w:rFonts w:asciiTheme="majorBidi" w:eastAsia="Times New Roman" w:hAnsiTheme="majorBidi" w:cstheme="majorBidi"/>
          <w:color w:val="000000" w:themeColor="text1"/>
          <w:lang w:val="fr-CA"/>
        </w:rPr>
      </w:pPr>
      <w:r w:rsidRPr="004106DB">
        <w:rPr>
          <w:rFonts w:asciiTheme="majorBidi" w:eastAsia="Times New Roman" w:hAnsiTheme="majorBidi" w:cstheme="majorBidi"/>
          <w:color w:val="000000" w:themeColor="text1"/>
          <w:lang w:val="fr-CA"/>
        </w:rPr>
        <w:t xml:space="preserve">https://doi.org/10.5032/jae.2014.03089 </w:t>
      </w:r>
    </w:p>
    <w:p w14:paraId="5AC55307" w14:textId="77777777" w:rsidR="004106DB" w:rsidRPr="004106DB" w:rsidRDefault="004106DB" w:rsidP="004106DB">
      <w:pPr>
        <w:rPr>
          <w:rFonts w:asciiTheme="majorBidi" w:eastAsia="Times New Roman" w:hAnsiTheme="majorBidi" w:cstheme="majorBidi"/>
          <w:color w:val="000000" w:themeColor="text1"/>
        </w:rPr>
      </w:pPr>
      <w:r w:rsidRPr="004106DB">
        <w:rPr>
          <w:rFonts w:asciiTheme="majorBidi" w:eastAsia="Times New Roman" w:hAnsiTheme="majorBidi" w:cstheme="majorBidi"/>
          <w:color w:val="000000" w:themeColor="text1"/>
          <w:lang w:val="fr-CA"/>
        </w:rPr>
        <w:t xml:space="preserve">Jean-Philippe, S., Richards, J., </w:t>
      </w:r>
      <w:proofErr w:type="spellStart"/>
      <w:r w:rsidRPr="004106DB">
        <w:rPr>
          <w:rFonts w:asciiTheme="majorBidi" w:eastAsia="Times New Roman" w:hAnsiTheme="majorBidi" w:cstheme="majorBidi"/>
          <w:color w:val="000000" w:themeColor="text1"/>
          <w:lang w:val="fr-CA"/>
        </w:rPr>
        <w:t>Gwinn</w:t>
      </w:r>
      <w:proofErr w:type="spellEnd"/>
      <w:r w:rsidRPr="004106DB">
        <w:rPr>
          <w:rFonts w:asciiTheme="majorBidi" w:eastAsia="Times New Roman" w:hAnsiTheme="majorBidi" w:cstheme="majorBidi"/>
          <w:color w:val="000000" w:themeColor="text1"/>
          <w:lang w:val="fr-CA"/>
        </w:rPr>
        <w:t xml:space="preserve">, K., &amp; </w:t>
      </w:r>
      <w:proofErr w:type="spellStart"/>
      <w:r w:rsidRPr="004106DB">
        <w:rPr>
          <w:rFonts w:asciiTheme="majorBidi" w:eastAsia="Times New Roman" w:hAnsiTheme="majorBidi" w:cstheme="majorBidi"/>
          <w:color w:val="000000" w:themeColor="text1"/>
          <w:lang w:val="fr-CA"/>
        </w:rPr>
        <w:t>Beyl</w:t>
      </w:r>
      <w:proofErr w:type="spellEnd"/>
      <w:r w:rsidRPr="004106DB">
        <w:rPr>
          <w:rFonts w:asciiTheme="majorBidi" w:eastAsia="Times New Roman" w:hAnsiTheme="majorBidi" w:cstheme="majorBidi"/>
          <w:color w:val="000000" w:themeColor="text1"/>
          <w:lang w:val="fr-CA"/>
        </w:rPr>
        <w:t xml:space="preserve">, C. (2017). </w:t>
      </w:r>
      <w:r w:rsidRPr="004106DB">
        <w:rPr>
          <w:rFonts w:asciiTheme="majorBidi" w:eastAsia="Times New Roman" w:hAnsiTheme="majorBidi" w:cstheme="majorBidi"/>
          <w:color w:val="000000" w:themeColor="text1"/>
        </w:rPr>
        <w:t>Urban youth perceptions of</w:t>
      </w:r>
    </w:p>
    <w:p w14:paraId="5F0F25F5" w14:textId="77777777" w:rsidR="004106DB" w:rsidRPr="004106DB" w:rsidRDefault="004106DB" w:rsidP="004106DB">
      <w:pPr>
        <w:ind w:left="720"/>
        <w:rPr>
          <w:rFonts w:asciiTheme="majorBidi" w:eastAsia="Times New Roman" w:hAnsiTheme="majorBidi" w:cstheme="majorBidi"/>
          <w:color w:val="000000" w:themeColor="text1"/>
        </w:rPr>
      </w:pPr>
      <w:r w:rsidRPr="004106DB">
        <w:rPr>
          <w:rFonts w:asciiTheme="majorBidi" w:eastAsia="Times New Roman" w:hAnsiTheme="majorBidi" w:cstheme="majorBidi"/>
          <w:color w:val="000000" w:themeColor="text1"/>
        </w:rPr>
        <w:t xml:space="preserve">agriculture. </w:t>
      </w:r>
      <w:r w:rsidRPr="004106DB">
        <w:rPr>
          <w:rFonts w:asciiTheme="majorBidi" w:eastAsia="Times New Roman" w:hAnsiTheme="majorBidi" w:cstheme="majorBidi"/>
          <w:i/>
          <w:color w:val="000000" w:themeColor="text1"/>
        </w:rPr>
        <w:t>Journal of Youth Development, 12</w:t>
      </w:r>
      <w:r w:rsidRPr="004106DB">
        <w:rPr>
          <w:rFonts w:asciiTheme="majorBidi" w:eastAsia="Times New Roman" w:hAnsiTheme="majorBidi" w:cstheme="majorBidi"/>
          <w:color w:val="000000" w:themeColor="text1"/>
        </w:rPr>
        <w:t xml:space="preserve">(3), 1-17. https://doi.org/10.5195/jyd.2017.497 </w:t>
      </w:r>
    </w:p>
    <w:p w14:paraId="63300FDA" w14:textId="77777777" w:rsidR="004106DB" w:rsidRPr="004106DB" w:rsidRDefault="004106DB" w:rsidP="004106DB">
      <w:pPr>
        <w:ind w:left="720" w:hanging="720"/>
        <w:rPr>
          <w:rFonts w:asciiTheme="majorBidi" w:eastAsia="Times New Roman" w:hAnsiTheme="majorBidi" w:cstheme="majorBidi"/>
          <w:color w:val="000000" w:themeColor="text1"/>
        </w:rPr>
      </w:pPr>
      <w:r w:rsidRPr="00BB7C59">
        <w:rPr>
          <w:rFonts w:asciiTheme="majorBidi" w:eastAsia="Times New Roman" w:hAnsiTheme="majorBidi" w:cstheme="majorBidi"/>
          <w:color w:val="000000" w:themeColor="text1"/>
          <w:shd w:val="clear" w:color="auto" w:fill="FFFFFF"/>
        </w:rPr>
        <w:t xml:space="preserve">Jones, K. R. (1998). </w:t>
      </w:r>
      <w:r w:rsidRPr="004106DB">
        <w:rPr>
          <w:rFonts w:asciiTheme="majorBidi" w:eastAsia="Times New Roman" w:hAnsiTheme="majorBidi" w:cstheme="majorBidi"/>
          <w:color w:val="000000" w:themeColor="text1"/>
          <w:shd w:val="clear" w:color="auto" w:fill="FFFFFF"/>
        </w:rPr>
        <w:t>A qualitative assessment of teacher and school influences on African American enrollments in secondary agricultural science courses</w:t>
      </w:r>
      <w:r w:rsidRPr="00BB7C59">
        <w:rPr>
          <w:rFonts w:asciiTheme="majorBidi" w:eastAsia="Times New Roman" w:hAnsiTheme="majorBidi" w:cstheme="majorBidi"/>
          <w:color w:val="000000" w:themeColor="text1"/>
          <w:shd w:val="clear" w:color="auto" w:fill="FFFFFF"/>
        </w:rPr>
        <w:t>. </w:t>
      </w:r>
      <w:r w:rsidRPr="00BB7C59">
        <w:rPr>
          <w:rFonts w:asciiTheme="majorBidi" w:eastAsia="Times New Roman" w:hAnsiTheme="majorBidi" w:cstheme="majorBidi"/>
          <w:i/>
          <w:iCs/>
          <w:color w:val="000000" w:themeColor="text1"/>
          <w:shd w:val="clear" w:color="auto" w:fill="FFFFFF"/>
        </w:rPr>
        <w:t>Journal of Agricultural Education</w:t>
      </w:r>
      <w:r w:rsidRPr="00BB7C59">
        <w:rPr>
          <w:rFonts w:asciiTheme="majorBidi" w:eastAsia="Times New Roman" w:hAnsiTheme="majorBidi" w:cstheme="majorBidi"/>
          <w:color w:val="000000" w:themeColor="text1"/>
          <w:shd w:val="clear" w:color="auto" w:fill="FFFFFF"/>
        </w:rPr>
        <w:t>, </w:t>
      </w:r>
      <w:r w:rsidRPr="00BB7C59">
        <w:rPr>
          <w:rFonts w:asciiTheme="majorBidi" w:eastAsia="Times New Roman" w:hAnsiTheme="majorBidi" w:cstheme="majorBidi"/>
          <w:i/>
          <w:iCs/>
          <w:color w:val="000000" w:themeColor="text1"/>
          <w:shd w:val="clear" w:color="auto" w:fill="FFFFFF"/>
        </w:rPr>
        <w:t>39</w:t>
      </w:r>
      <w:r w:rsidRPr="00BB7C59">
        <w:rPr>
          <w:rFonts w:asciiTheme="majorBidi" w:eastAsia="Times New Roman" w:hAnsiTheme="majorBidi" w:cstheme="majorBidi"/>
          <w:color w:val="000000" w:themeColor="text1"/>
          <w:shd w:val="clear" w:color="auto" w:fill="FFFFFF"/>
        </w:rPr>
        <w:t>(2), 19-29</w:t>
      </w:r>
      <w:r w:rsidRPr="004106DB">
        <w:rPr>
          <w:rFonts w:asciiTheme="majorBidi" w:eastAsia="Times New Roman" w:hAnsiTheme="majorBidi" w:cstheme="majorBidi"/>
          <w:color w:val="000000" w:themeColor="text1"/>
          <w:shd w:val="clear" w:color="auto" w:fill="FFFFFF"/>
        </w:rPr>
        <w:t>. https://doi.org/10.5032/jae.1998.02019</w:t>
      </w:r>
    </w:p>
    <w:p w14:paraId="45DD14F5" w14:textId="77777777" w:rsidR="004106DB" w:rsidRPr="004106DB" w:rsidRDefault="004106DB" w:rsidP="004106DB">
      <w:pPr>
        <w:ind w:left="720" w:hanging="720"/>
        <w:rPr>
          <w:rFonts w:asciiTheme="majorBidi" w:eastAsia="Times New Roman" w:hAnsiTheme="majorBidi" w:cstheme="majorBidi"/>
          <w:color w:val="000000" w:themeColor="text1"/>
        </w:rPr>
      </w:pPr>
      <w:r w:rsidRPr="004106DB">
        <w:rPr>
          <w:rFonts w:asciiTheme="majorBidi" w:eastAsia="Times New Roman" w:hAnsiTheme="majorBidi" w:cstheme="majorBidi"/>
          <w:color w:val="000000" w:themeColor="text1"/>
        </w:rPr>
        <w:t xml:space="preserve">Merriam, S. B., &amp; Tisdell, E. J. (2016). </w:t>
      </w:r>
      <w:r w:rsidRPr="004106DB">
        <w:rPr>
          <w:rFonts w:asciiTheme="majorBidi" w:eastAsia="Times New Roman" w:hAnsiTheme="majorBidi" w:cstheme="majorBidi"/>
          <w:i/>
          <w:color w:val="000000" w:themeColor="text1"/>
        </w:rPr>
        <w:t xml:space="preserve">Qualitative research: A guide to design and implementation </w:t>
      </w:r>
      <w:r w:rsidRPr="004106DB">
        <w:rPr>
          <w:rFonts w:asciiTheme="majorBidi" w:eastAsia="Times New Roman" w:hAnsiTheme="majorBidi" w:cstheme="majorBidi"/>
          <w:color w:val="000000" w:themeColor="text1"/>
        </w:rPr>
        <w:t xml:space="preserve">(4th ed.). John Wiley &amp; Sons. </w:t>
      </w:r>
    </w:p>
    <w:p w14:paraId="4D79D105" w14:textId="77777777" w:rsidR="004106DB" w:rsidRPr="004106DB" w:rsidRDefault="004106DB" w:rsidP="004106DB">
      <w:pPr>
        <w:ind w:left="720" w:hanging="720"/>
        <w:rPr>
          <w:rFonts w:asciiTheme="majorBidi" w:eastAsia="Times New Roman" w:hAnsiTheme="majorBidi" w:cstheme="majorBidi"/>
          <w:color w:val="000000" w:themeColor="text1"/>
        </w:rPr>
      </w:pPr>
      <w:r w:rsidRPr="004106DB">
        <w:rPr>
          <w:rFonts w:asciiTheme="majorBidi" w:eastAsia="Times New Roman" w:hAnsiTheme="majorBidi" w:cstheme="majorBidi"/>
          <w:color w:val="000000" w:themeColor="text1"/>
        </w:rPr>
        <w:t xml:space="preserve">Morgan, M., Gibbs, S., Maxwell, K., &amp; Britten, N. (2002). Hearing children’s voices: Methodological issues in conducting focus groups with children aged 7-11 years. </w:t>
      </w:r>
      <w:r w:rsidRPr="004106DB">
        <w:rPr>
          <w:rFonts w:asciiTheme="majorBidi" w:eastAsia="Times New Roman" w:hAnsiTheme="majorBidi" w:cstheme="majorBidi"/>
          <w:i/>
          <w:color w:val="000000" w:themeColor="text1"/>
        </w:rPr>
        <w:t>Qualitative Research, 2</w:t>
      </w:r>
      <w:r w:rsidRPr="004106DB">
        <w:rPr>
          <w:rFonts w:asciiTheme="majorBidi" w:eastAsia="Times New Roman" w:hAnsiTheme="majorBidi" w:cstheme="majorBidi"/>
          <w:color w:val="000000" w:themeColor="text1"/>
        </w:rPr>
        <w:t>(1), 5–20. https://doi.org/10.1177/1468794102002001636</w:t>
      </w:r>
    </w:p>
    <w:p w14:paraId="55549ABC" w14:textId="77777777" w:rsidR="004106DB" w:rsidRPr="004106DB" w:rsidRDefault="004106DB" w:rsidP="004106DB">
      <w:pPr>
        <w:rPr>
          <w:rFonts w:asciiTheme="majorBidi" w:eastAsia="Times New Roman" w:hAnsiTheme="majorBidi" w:cstheme="majorBidi"/>
          <w:i/>
          <w:iCs/>
          <w:color w:val="000000" w:themeColor="text1"/>
        </w:rPr>
      </w:pPr>
      <w:r w:rsidRPr="004106DB">
        <w:rPr>
          <w:rFonts w:asciiTheme="majorBidi" w:eastAsia="Times New Roman" w:hAnsiTheme="majorBidi" w:cstheme="majorBidi"/>
          <w:color w:val="000000" w:themeColor="text1"/>
        </w:rPr>
        <w:t xml:space="preserve">Nolan, A, W., (1909). </w:t>
      </w:r>
      <w:r w:rsidRPr="004106DB">
        <w:rPr>
          <w:rFonts w:asciiTheme="majorBidi" w:eastAsia="Times New Roman" w:hAnsiTheme="majorBidi" w:cstheme="majorBidi"/>
          <w:i/>
          <w:iCs/>
          <w:color w:val="000000" w:themeColor="text1"/>
        </w:rPr>
        <w:t xml:space="preserve">Nolan’s one hundred lessons in elementary agriculture; a manual and text </w:t>
      </w:r>
    </w:p>
    <w:p w14:paraId="29C10A0C" w14:textId="77777777" w:rsidR="004106DB" w:rsidRPr="004106DB" w:rsidRDefault="004106DB" w:rsidP="004106DB">
      <w:pPr>
        <w:ind w:firstLine="720"/>
        <w:rPr>
          <w:rFonts w:asciiTheme="majorBidi" w:eastAsia="Times New Roman" w:hAnsiTheme="majorBidi" w:cstheme="majorBidi"/>
          <w:color w:val="000000" w:themeColor="text1"/>
        </w:rPr>
      </w:pPr>
      <w:r w:rsidRPr="004106DB">
        <w:rPr>
          <w:rFonts w:asciiTheme="majorBidi" w:eastAsia="Times New Roman" w:hAnsiTheme="majorBidi" w:cstheme="majorBidi"/>
          <w:i/>
          <w:iCs/>
          <w:color w:val="000000" w:themeColor="text1"/>
        </w:rPr>
        <w:t xml:space="preserve">of elementary agriculture for rural schools. </w:t>
      </w:r>
      <w:proofErr w:type="spellStart"/>
      <w:r w:rsidRPr="004106DB">
        <w:rPr>
          <w:rFonts w:asciiTheme="majorBidi" w:eastAsia="Times New Roman" w:hAnsiTheme="majorBidi" w:cstheme="majorBidi"/>
          <w:color w:val="000000" w:themeColor="text1"/>
        </w:rPr>
        <w:t>Hardpress</w:t>
      </w:r>
      <w:proofErr w:type="spellEnd"/>
      <w:r w:rsidRPr="004106DB">
        <w:rPr>
          <w:rFonts w:asciiTheme="majorBidi" w:eastAsia="Times New Roman" w:hAnsiTheme="majorBidi" w:cstheme="majorBidi"/>
          <w:color w:val="000000" w:themeColor="text1"/>
        </w:rPr>
        <w:t xml:space="preserve"> Publishing. </w:t>
      </w:r>
    </w:p>
    <w:p w14:paraId="6DAB297A" w14:textId="77777777" w:rsidR="004106DB" w:rsidRPr="004106DB" w:rsidRDefault="004106DB" w:rsidP="004106DB">
      <w:pPr>
        <w:ind w:left="720" w:hanging="720"/>
        <w:rPr>
          <w:rFonts w:asciiTheme="majorBidi" w:eastAsia="Times New Roman" w:hAnsiTheme="majorBidi" w:cstheme="majorBidi"/>
          <w:color w:val="000000" w:themeColor="text1"/>
        </w:rPr>
      </w:pPr>
      <w:r w:rsidRPr="004106DB">
        <w:rPr>
          <w:rFonts w:asciiTheme="majorBidi" w:eastAsia="Times New Roman" w:hAnsiTheme="majorBidi" w:cstheme="majorBidi"/>
          <w:color w:val="000000" w:themeColor="text1"/>
        </w:rPr>
        <w:t xml:space="preserve">Patton, M. Q. (2015). </w:t>
      </w:r>
      <w:r w:rsidRPr="004106DB">
        <w:rPr>
          <w:rFonts w:asciiTheme="majorBidi" w:eastAsia="Times New Roman" w:hAnsiTheme="majorBidi" w:cstheme="majorBidi"/>
          <w:i/>
          <w:color w:val="000000" w:themeColor="text1"/>
        </w:rPr>
        <w:t xml:space="preserve">Qualitative research and evaluation methods </w:t>
      </w:r>
      <w:r w:rsidRPr="004106DB">
        <w:rPr>
          <w:rFonts w:asciiTheme="majorBidi" w:eastAsia="Times New Roman" w:hAnsiTheme="majorBidi" w:cstheme="majorBidi"/>
          <w:color w:val="000000" w:themeColor="text1"/>
        </w:rPr>
        <w:t xml:space="preserve">(4th ed.). SAGE Publications. </w:t>
      </w:r>
    </w:p>
    <w:p w14:paraId="5A631339" w14:textId="77777777" w:rsidR="004106DB" w:rsidRPr="004106DB" w:rsidRDefault="004106DB" w:rsidP="004106DB">
      <w:pPr>
        <w:ind w:left="720" w:hanging="720"/>
        <w:rPr>
          <w:rFonts w:asciiTheme="majorBidi" w:eastAsia="Times New Roman" w:hAnsiTheme="majorBidi" w:cstheme="majorBidi"/>
          <w:color w:val="000000" w:themeColor="text1"/>
          <w:shd w:val="clear" w:color="auto" w:fill="FFFFFF"/>
        </w:rPr>
      </w:pPr>
      <w:r w:rsidRPr="004106DB">
        <w:rPr>
          <w:rFonts w:asciiTheme="majorBidi" w:eastAsia="Times New Roman" w:hAnsiTheme="majorBidi" w:cstheme="majorBidi"/>
          <w:color w:val="000000" w:themeColor="text1"/>
        </w:rPr>
        <w:t>Piaget, J. (2008). Intellectual evolution from adolescence to adulthood. Human development, 51(1), 40-47. https://doi.org/10.1159/000112531</w:t>
      </w:r>
    </w:p>
    <w:p w14:paraId="25E54CBF" w14:textId="77777777" w:rsidR="004106DB" w:rsidRDefault="004106DB" w:rsidP="004106DB">
      <w:pPr>
        <w:ind w:left="720" w:hanging="720"/>
        <w:rPr>
          <w:rFonts w:asciiTheme="majorBidi" w:eastAsia="Times New Roman" w:hAnsiTheme="majorBidi" w:cstheme="majorBidi"/>
          <w:color w:val="000000" w:themeColor="text1"/>
        </w:rPr>
      </w:pPr>
      <w:r w:rsidRPr="004106DB">
        <w:rPr>
          <w:rFonts w:asciiTheme="majorBidi" w:eastAsia="Times New Roman" w:hAnsiTheme="majorBidi" w:cstheme="majorBidi"/>
          <w:color w:val="000000" w:themeColor="text1"/>
        </w:rPr>
        <w:t xml:space="preserve">Piaget, J., &amp; </w:t>
      </w:r>
      <w:proofErr w:type="spellStart"/>
      <w:r w:rsidRPr="004106DB">
        <w:rPr>
          <w:rFonts w:asciiTheme="majorBidi" w:eastAsia="Times New Roman" w:hAnsiTheme="majorBidi" w:cstheme="majorBidi"/>
          <w:color w:val="000000" w:themeColor="text1"/>
        </w:rPr>
        <w:t>Inhelder</w:t>
      </w:r>
      <w:proofErr w:type="spellEnd"/>
      <w:r w:rsidRPr="004106DB">
        <w:rPr>
          <w:rFonts w:asciiTheme="majorBidi" w:eastAsia="Times New Roman" w:hAnsiTheme="majorBidi" w:cstheme="majorBidi"/>
          <w:color w:val="000000" w:themeColor="text1"/>
        </w:rPr>
        <w:t xml:space="preserve">, B. (2008). </w:t>
      </w:r>
      <w:r w:rsidRPr="004106DB">
        <w:rPr>
          <w:rFonts w:asciiTheme="majorBidi" w:eastAsia="Times New Roman" w:hAnsiTheme="majorBidi" w:cstheme="majorBidi"/>
          <w:i/>
          <w:iCs/>
          <w:color w:val="000000" w:themeColor="text1"/>
        </w:rPr>
        <w:t>The psychology of the child.</w:t>
      </w:r>
      <w:r w:rsidRPr="004106DB">
        <w:rPr>
          <w:rFonts w:asciiTheme="majorBidi" w:eastAsia="Times New Roman" w:hAnsiTheme="majorBidi" w:cstheme="majorBidi"/>
          <w:color w:val="000000" w:themeColor="text1"/>
        </w:rPr>
        <w:t xml:space="preserve"> Basic books.</w:t>
      </w:r>
    </w:p>
    <w:p w14:paraId="69C45185" w14:textId="77777777" w:rsidR="00A63C91" w:rsidRDefault="00A63C91" w:rsidP="00797ED2">
      <w:pPr>
        <w:ind w:left="720" w:hanging="720"/>
        <w:rPr>
          <w:rFonts w:ascii="Times New Roman" w:eastAsia="Times New Roman" w:hAnsi="Times New Roman" w:cs="Times New Roman"/>
        </w:rPr>
      </w:pPr>
      <w:r>
        <w:rPr>
          <w:rFonts w:ascii="Times New Roman" w:eastAsia="Times New Roman" w:hAnsi="Times New Roman" w:cs="Times New Roman"/>
        </w:rPr>
        <w:t xml:space="preserve">Saldaña, J. (2016). </w:t>
      </w:r>
      <w:r>
        <w:rPr>
          <w:rFonts w:ascii="Times New Roman" w:eastAsia="Times New Roman" w:hAnsi="Times New Roman" w:cs="Times New Roman"/>
          <w:i/>
        </w:rPr>
        <w:t xml:space="preserve">The coding manual for qualitative researchers </w:t>
      </w:r>
      <w:r>
        <w:rPr>
          <w:rFonts w:ascii="Times New Roman" w:eastAsia="Times New Roman" w:hAnsi="Times New Roman" w:cs="Times New Roman"/>
        </w:rPr>
        <w:t>(3rd ed.). SAGE Publications.</w:t>
      </w:r>
    </w:p>
    <w:p w14:paraId="5D703944" w14:textId="77777777" w:rsidR="00797ED2" w:rsidRPr="00797ED2" w:rsidRDefault="00797ED2" w:rsidP="00797ED2">
      <w:pPr>
        <w:ind w:left="720" w:hanging="720"/>
        <w:rPr>
          <w:rFonts w:ascii="Times New Roman" w:eastAsia="Times New Roman" w:hAnsi="Times New Roman" w:cs="Times New Roman"/>
        </w:rPr>
      </w:pPr>
      <w:r w:rsidRPr="00797ED2">
        <w:rPr>
          <w:rFonts w:ascii="Times New Roman" w:eastAsia="Times New Roman" w:hAnsi="Times New Roman" w:cs="Times New Roman"/>
        </w:rPr>
        <w:t>Warren, &amp; Alston, A. (2007). An analysis of diversity inclusion in North Carolina</w:t>
      </w:r>
    </w:p>
    <w:p w14:paraId="3551BAE6" w14:textId="77777777" w:rsidR="00797ED2" w:rsidRPr="00797ED2" w:rsidRDefault="00797ED2" w:rsidP="00797ED2">
      <w:pPr>
        <w:ind w:firstLine="720"/>
        <w:rPr>
          <w:rFonts w:ascii="Times New Roman" w:eastAsia="Times New Roman" w:hAnsi="Times New Roman" w:cs="Times New Roman"/>
          <w:i/>
          <w:iCs/>
        </w:rPr>
      </w:pPr>
      <w:r w:rsidRPr="00797ED2">
        <w:rPr>
          <w:rFonts w:ascii="Times New Roman" w:eastAsia="Times New Roman" w:hAnsi="Times New Roman" w:cs="Times New Roman"/>
        </w:rPr>
        <w:t xml:space="preserve">secondary agricultural education programs. </w:t>
      </w:r>
      <w:r w:rsidRPr="00797ED2">
        <w:rPr>
          <w:rFonts w:ascii="Times New Roman" w:eastAsia="Times New Roman" w:hAnsi="Times New Roman" w:cs="Times New Roman"/>
          <w:i/>
          <w:iCs/>
        </w:rPr>
        <w:t>Journal of Agricultural Education,</w:t>
      </w:r>
    </w:p>
    <w:p w14:paraId="20C77146" w14:textId="1B7BD130" w:rsidR="00797ED2" w:rsidRDefault="00797ED2" w:rsidP="00797ED2">
      <w:pPr>
        <w:ind w:firstLine="720"/>
        <w:rPr>
          <w:rFonts w:ascii="Times New Roman" w:eastAsia="Times New Roman" w:hAnsi="Times New Roman" w:cs="Times New Roman"/>
        </w:rPr>
      </w:pPr>
      <w:r w:rsidRPr="00797ED2">
        <w:rPr>
          <w:rFonts w:ascii="Times New Roman" w:eastAsia="Times New Roman" w:hAnsi="Times New Roman" w:cs="Times New Roman"/>
          <w:i/>
          <w:iCs/>
        </w:rPr>
        <w:t>48</w:t>
      </w:r>
      <w:r w:rsidRPr="00797ED2">
        <w:rPr>
          <w:rFonts w:ascii="Times New Roman" w:eastAsia="Times New Roman" w:hAnsi="Times New Roman" w:cs="Times New Roman"/>
        </w:rPr>
        <w:t>(2), 66-78. https://doi.org/10.5032/jae.2007.02066</w:t>
      </w:r>
    </w:p>
    <w:p w14:paraId="18B2BF7C" w14:textId="77777777" w:rsidR="00A63C91" w:rsidRPr="004106DB" w:rsidRDefault="00A63C91" w:rsidP="004106DB">
      <w:pPr>
        <w:ind w:left="720" w:hanging="720"/>
        <w:rPr>
          <w:rFonts w:asciiTheme="majorBidi" w:eastAsia="Times New Roman" w:hAnsiTheme="majorBidi" w:cstheme="majorBidi"/>
          <w:color w:val="000000" w:themeColor="text1"/>
        </w:rPr>
      </w:pPr>
    </w:p>
    <w:p w14:paraId="68BE0976" w14:textId="77777777" w:rsidR="004106DB" w:rsidRPr="004106DB" w:rsidRDefault="004106DB" w:rsidP="004106DB">
      <w:pPr>
        <w:rPr>
          <w:rFonts w:asciiTheme="majorBidi" w:hAnsiTheme="majorBidi" w:cstheme="majorBidi"/>
          <w:color w:val="000000" w:themeColor="text1"/>
        </w:rPr>
      </w:pPr>
    </w:p>
    <w:p w14:paraId="5D7DD80B" w14:textId="77777777" w:rsidR="004106DB" w:rsidRPr="0037679B" w:rsidRDefault="004106DB" w:rsidP="004106DB"/>
    <w:p w14:paraId="5B7E932A" w14:textId="77777777" w:rsidR="00602021" w:rsidRPr="004106DB" w:rsidRDefault="00602021" w:rsidP="004106DB"/>
    <w:sectPr w:rsidR="00602021" w:rsidRPr="004106DB">
      <w:headerReference w:type="default" r:id="rId8"/>
      <w:footerReference w:type="even"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25CF02" w14:textId="77777777" w:rsidR="006755E0" w:rsidRDefault="006755E0" w:rsidP="00B26652">
      <w:r>
        <w:separator/>
      </w:r>
    </w:p>
  </w:endnote>
  <w:endnote w:type="continuationSeparator" w:id="0">
    <w:p w14:paraId="1C8027D1" w14:textId="77777777" w:rsidR="006755E0" w:rsidRDefault="006755E0" w:rsidP="00B266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3EE675" w14:textId="77777777" w:rsidR="00CD04F3" w:rsidRDefault="00CD04F3" w:rsidP="00F57DEE">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5692F0D" w14:textId="77777777" w:rsidR="00CD04F3" w:rsidRDefault="00CD04F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CEC11" w14:textId="77777777" w:rsidR="00CD04F3" w:rsidRPr="00CD04F3" w:rsidRDefault="00CD04F3" w:rsidP="00F57DEE">
    <w:pPr>
      <w:pStyle w:val="Footer"/>
      <w:framePr w:wrap="none" w:vAnchor="text" w:hAnchor="margin" w:xAlign="center" w:y="1"/>
      <w:rPr>
        <w:rStyle w:val="PageNumber"/>
        <w:rFonts w:asciiTheme="majorBidi" w:hAnsiTheme="majorBidi" w:cstheme="majorBidi"/>
      </w:rPr>
    </w:pPr>
    <w:r w:rsidRPr="00CD04F3">
      <w:rPr>
        <w:rStyle w:val="PageNumber"/>
        <w:rFonts w:asciiTheme="majorBidi" w:hAnsiTheme="majorBidi" w:cstheme="majorBidi"/>
      </w:rPr>
      <w:fldChar w:fldCharType="begin"/>
    </w:r>
    <w:r w:rsidRPr="00CD04F3">
      <w:rPr>
        <w:rStyle w:val="PageNumber"/>
        <w:rFonts w:asciiTheme="majorBidi" w:hAnsiTheme="majorBidi" w:cstheme="majorBidi"/>
      </w:rPr>
      <w:instrText xml:space="preserve">PAGE  </w:instrText>
    </w:r>
    <w:r w:rsidRPr="00CD04F3">
      <w:rPr>
        <w:rStyle w:val="PageNumber"/>
        <w:rFonts w:asciiTheme="majorBidi" w:hAnsiTheme="majorBidi" w:cstheme="majorBidi"/>
      </w:rPr>
      <w:fldChar w:fldCharType="separate"/>
    </w:r>
    <w:r w:rsidR="00707C67">
      <w:rPr>
        <w:rStyle w:val="PageNumber"/>
        <w:rFonts w:asciiTheme="majorBidi" w:hAnsiTheme="majorBidi" w:cstheme="majorBidi"/>
        <w:noProof/>
      </w:rPr>
      <w:t>1</w:t>
    </w:r>
    <w:r w:rsidRPr="00CD04F3">
      <w:rPr>
        <w:rStyle w:val="PageNumber"/>
        <w:rFonts w:asciiTheme="majorBidi" w:hAnsiTheme="majorBidi" w:cstheme="majorBidi"/>
      </w:rPr>
      <w:fldChar w:fldCharType="end"/>
    </w:r>
  </w:p>
  <w:p w14:paraId="06FD72E2" w14:textId="77777777" w:rsidR="00CD04F3" w:rsidRDefault="00CD04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63EE07" w14:textId="77777777" w:rsidR="006755E0" w:rsidRDefault="006755E0" w:rsidP="00B26652">
      <w:r>
        <w:separator/>
      </w:r>
    </w:p>
  </w:footnote>
  <w:footnote w:type="continuationSeparator" w:id="0">
    <w:p w14:paraId="31A89F91" w14:textId="77777777" w:rsidR="006755E0" w:rsidRDefault="006755E0" w:rsidP="00B266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9D33F" w14:textId="6DFA4855" w:rsidR="00B26652" w:rsidRPr="00B26652" w:rsidRDefault="00B26652" w:rsidP="00B26652">
    <w:pPr>
      <w:widowControl w:val="0"/>
      <w:tabs>
        <w:tab w:val="left" w:pos="220"/>
        <w:tab w:val="left" w:pos="720"/>
      </w:tabs>
      <w:autoSpaceDE w:val="0"/>
      <w:autoSpaceDN w:val="0"/>
      <w:adjustRightInd w:val="0"/>
      <w:spacing w:after="293"/>
      <w:rPr>
        <w:rFonts w:ascii="Times New Roman" w:hAnsi="Times New Roman" w:cs="Times New Roman"/>
        <w:color w:val="000000"/>
        <w14:ligatures w14:val="standardContextual"/>
      </w:rPr>
    </w:pPr>
    <w:r w:rsidRPr="00B26652">
      <w:rPr>
        <w:rFonts w:ascii="Times New Roman" w:hAnsi="Times New Roman" w:cs="Times New Roman"/>
        <w:color w:val="000000"/>
        <w14:ligatures w14:val="standardContextual"/>
      </w:rPr>
      <w:t xml:space="preserve">Agricultural </w:t>
    </w:r>
    <w:r>
      <w:rPr>
        <w:rFonts w:ascii="Times New Roman" w:hAnsi="Times New Roman" w:cs="Times New Roman"/>
        <w:color w:val="000000"/>
        <w14:ligatures w14:val="standardContextual"/>
      </w:rPr>
      <w:t>Education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7698895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3EC4"/>
    <w:rsid w:val="0001728F"/>
    <w:rsid w:val="00081ABD"/>
    <w:rsid w:val="00083141"/>
    <w:rsid w:val="000C24D5"/>
    <w:rsid w:val="000E07DE"/>
    <w:rsid w:val="000F41B4"/>
    <w:rsid w:val="00116AA3"/>
    <w:rsid w:val="00120522"/>
    <w:rsid w:val="001263A0"/>
    <w:rsid w:val="00131CF3"/>
    <w:rsid w:val="00154B87"/>
    <w:rsid w:val="001640C0"/>
    <w:rsid w:val="0017082F"/>
    <w:rsid w:val="00193828"/>
    <w:rsid w:val="001C1099"/>
    <w:rsid w:val="001C376C"/>
    <w:rsid w:val="00213E2C"/>
    <w:rsid w:val="002249FD"/>
    <w:rsid w:val="00245F0A"/>
    <w:rsid w:val="00251694"/>
    <w:rsid w:val="00264B8C"/>
    <w:rsid w:val="002967E9"/>
    <w:rsid w:val="002C042E"/>
    <w:rsid w:val="002E384F"/>
    <w:rsid w:val="00344B65"/>
    <w:rsid w:val="0039163E"/>
    <w:rsid w:val="003B3446"/>
    <w:rsid w:val="003C57B1"/>
    <w:rsid w:val="003D3C88"/>
    <w:rsid w:val="003E147B"/>
    <w:rsid w:val="004106DB"/>
    <w:rsid w:val="00412BF8"/>
    <w:rsid w:val="0045149C"/>
    <w:rsid w:val="00462428"/>
    <w:rsid w:val="004A4F65"/>
    <w:rsid w:val="004B5EBC"/>
    <w:rsid w:val="004B74BD"/>
    <w:rsid w:val="004C334C"/>
    <w:rsid w:val="004C7236"/>
    <w:rsid w:val="004D08F0"/>
    <w:rsid w:val="005044A9"/>
    <w:rsid w:val="00530000"/>
    <w:rsid w:val="00571816"/>
    <w:rsid w:val="005856C8"/>
    <w:rsid w:val="005978EE"/>
    <w:rsid w:val="005C711A"/>
    <w:rsid w:val="005D0822"/>
    <w:rsid w:val="005D63C1"/>
    <w:rsid w:val="00602021"/>
    <w:rsid w:val="00602B12"/>
    <w:rsid w:val="00626D39"/>
    <w:rsid w:val="0064074A"/>
    <w:rsid w:val="00640A65"/>
    <w:rsid w:val="00641237"/>
    <w:rsid w:val="00660A44"/>
    <w:rsid w:val="00663EC4"/>
    <w:rsid w:val="006752A2"/>
    <w:rsid w:val="006755E0"/>
    <w:rsid w:val="00695BB9"/>
    <w:rsid w:val="006A76BE"/>
    <w:rsid w:val="006F6594"/>
    <w:rsid w:val="0070060D"/>
    <w:rsid w:val="00707C67"/>
    <w:rsid w:val="00727BC4"/>
    <w:rsid w:val="00797ED2"/>
    <w:rsid w:val="007E5DC4"/>
    <w:rsid w:val="007F3628"/>
    <w:rsid w:val="00802577"/>
    <w:rsid w:val="00837691"/>
    <w:rsid w:val="008858C7"/>
    <w:rsid w:val="00892799"/>
    <w:rsid w:val="0090464A"/>
    <w:rsid w:val="009536D4"/>
    <w:rsid w:val="00971115"/>
    <w:rsid w:val="009C283F"/>
    <w:rsid w:val="009E4114"/>
    <w:rsid w:val="00A47B5E"/>
    <w:rsid w:val="00A63C91"/>
    <w:rsid w:val="00A85659"/>
    <w:rsid w:val="00A91B54"/>
    <w:rsid w:val="00AF1121"/>
    <w:rsid w:val="00B0443F"/>
    <w:rsid w:val="00B16003"/>
    <w:rsid w:val="00B26652"/>
    <w:rsid w:val="00B2780D"/>
    <w:rsid w:val="00B37D03"/>
    <w:rsid w:val="00B45EDF"/>
    <w:rsid w:val="00B65725"/>
    <w:rsid w:val="00B815F8"/>
    <w:rsid w:val="00B9170C"/>
    <w:rsid w:val="00BA39A1"/>
    <w:rsid w:val="00BA3B48"/>
    <w:rsid w:val="00BB29F3"/>
    <w:rsid w:val="00BB7C59"/>
    <w:rsid w:val="00BC7CD7"/>
    <w:rsid w:val="00BD7E9A"/>
    <w:rsid w:val="00BF7FA0"/>
    <w:rsid w:val="00C204F4"/>
    <w:rsid w:val="00C273F7"/>
    <w:rsid w:val="00C27F62"/>
    <w:rsid w:val="00C36172"/>
    <w:rsid w:val="00C4476B"/>
    <w:rsid w:val="00C47C4F"/>
    <w:rsid w:val="00C6356F"/>
    <w:rsid w:val="00C731C9"/>
    <w:rsid w:val="00CD04F3"/>
    <w:rsid w:val="00CD3929"/>
    <w:rsid w:val="00CE72BB"/>
    <w:rsid w:val="00D5214B"/>
    <w:rsid w:val="00D717B7"/>
    <w:rsid w:val="00DC20B8"/>
    <w:rsid w:val="00E87962"/>
    <w:rsid w:val="00EB11E3"/>
    <w:rsid w:val="00EB6FDB"/>
    <w:rsid w:val="00EC17C4"/>
    <w:rsid w:val="00ED0E4F"/>
    <w:rsid w:val="00ED2E30"/>
    <w:rsid w:val="00ED3DDE"/>
    <w:rsid w:val="00F347EE"/>
    <w:rsid w:val="00F35A7A"/>
    <w:rsid w:val="00F41A57"/>
    <w:rsid w:val="00F60D57"/>
    <w:rsid w:val="00F63C03"/>
    <w:rsid w:val="00F7051E"/>
    <w:rsid w:val="00F841EE"/>
    <w:rsid w:val="00FA4366"/>
    <w:rsid w:val="00FB0718"/>
    <w:rsid w:val="00FC378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C4D363"/>
  <w15:chartTrackingRefBased/>
  <w15:docId w15:val="{9EDBEB83-1AD2-AC4D-9F2C-AA7F24886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4106DB"/>
    <w:pPr>
      <w:spacing w:after="0" w:line="240" w:lineRule="auto"/>
    </w:pPr>
    <w:rPr>
      <w:kern w:val="0"/>
      <w14:ligatures w14:val="none"/>
    </w:rPr>
  </w:style>
  <w:style w:type="paragraph" w:styleId="Heading1">
    <w:name w:val="heading 1"/>
    <w:basedOn w:val="Normal"/>
    <w:next w:val="Normal"/>
    <w:link w:val="Heading1Char"/>
    <w:uiPriority w:val="9"/>
    <w:qFormat/>
    <w:rsid w:val="00663EC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63EC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63EC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63EC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63EC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63EC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3EC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3EC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3EC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3EC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63EC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63EC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63EC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63EC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63E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3E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3E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3EC4"/>
    <w:rPr>
      <w:rFonts w:eastAsiaTheme="majorEastAsia" w:cstheme="majorBidi"/>
      <w:color w:val="272727" w:themeColor="text1" w:themeTint="D8"/>
    </w:rPr>
  </w:style>
  <w:style w:type="paragraph" w:styleId="Title">
    <w:name w:val="Title"/>
    <w:basedOn w:val="Normal"/>
    <w:next w:val="Normal"/>
    <w:link w:val="TitleChar"/>
    <w:uiPriority w:val="10"/>
    <w:qFormat/>
    <w:rsid w:val="00663EC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3E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3E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3E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3EC4"/>
    <w:pPr>
      <w:spacing w:before="160"/>
      <w:jc w:val="center"/>
    </w:pPr>
    <w:rPr>
      <w:i/>
      <w:iCs/>
      <w:color w:val="404040" w:themeColor="text1" w:themeTint="BF"/>
    </w:rPr>
  </w:style>
  <w:style w:type="character" w:customStyle="1" w:styleId="QuoteChar">
    <w:name w:val="Quote Char"/>
    <w:basedOn w:val="DefaultParagraphFont"/>
    <w:link w:val="Quote"/>
    <w:uiPriority w:val="29"/>
    <w:rsid w:val="00663EC4"/>
    <w:rPr>
      <w:i/>
      <w:iCs/>
      <w:color w:val="404040" w:themeColor="text1" w:themeTint="BF"/>
    </w:rPr>
  </w:style>
  <w:style w:type="paragraph" w:styleId="ListParagraph">
    <w:name w:val="List Paragraph"/>
    <w:basedOn w:val="Normal"/>
    <w:uiPriority w:val="34"/>
    <w:qFormat/>
    <w:rsid w:val="00663EC4"/>
    <w:pPr>
      <w:ind w:left="720"/>
      <w:contextualSpacing/>
    </w:pPr>
  </w:style>
  <w:style w:type="character" w:styleId="IntenseEmphasis">
    <w:name w:val="Intense Emphasis"/>
    <w:basedOn w:val="DefaultParagraphFont"/>
    <w:uiPriority w:val="21"/>
    <w:qFormat/>
    <w:rsid w:val="00663EC4"/>
    <w:rPr>
      <w:i/>
      <w:iCs/>
      <w:color w:val="2F5496" w:themeColor="accent1" w:themeShade="BF"/>
    </w:rPr>
  </w:style>
  <w:style w:type="paragraph" w:styleId="IntenseQuote">
    <w:name w:val="Intense Quote"/>
    <w:basedOn w:val="Normal"/>
    <w:next w:val="Normal"/>
    <w:link w:val="IntenseQuoteChar"/>
    <w:uiPriority w:val="30"/>
    <w:qFormat/>
    <w:rsid w:val="00663EC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63EC4"/>
    <w:rPr>
      <w:i/>
      <w:iCs/>
      <w:color w:val="2F5496" w:themeColor="accent1" w:themeShade="BF"/>
    </w:rPr>
  </w:style>
  <w:style w:type="character" w:styleId="IntenseReference">
    <w:name w:val="Intense Reference"/>
    <w:basedOn w:val="DefaultParagraphFont"/>
    <w:uiPriority w:val="32"/>
    <w:qFormat/>
    <w:rsid w:val="00663EC4"/>
    <w:rPr>
      <w:b/>
      <w:bCs/>
      <w:smallCaps/>
      <w:color w:val="2F5496" w:themeColor="accent1" w:themeShade="BF"/>
      <w:spacing w:val="5"/>
    </w:rPr>
  </w:style>
  <w:style w:type="character" w:styleId="CommentReference">
    <w:name w:val="annotation reference"/>
    <w:basedOn w:val="DefaultParagraphFont"/>
    <w:uiPriority w:val="99"/>
    <w:semiHidden/>
    <w:unhideWhenUsed/>
    <w:rsid w:val="00663EC4"/>
    <w:rPr>
      <w:sz w:val="18"/>
      <w:szCs w:val="18"/>
    </w:rPr>
  </w:style>
  <w:style w:type="character" w:styleId="Hyperlink">
    <w:name w:val="Hyperlink"/>
    <w:basedOn w:val="DefaultParagraphFont"/>
    <w:uiPriority w:val="99"/>
    <w:unhideWhenUsed/>
    <w:rsid w:val="00663EC4"/>
    <w:rPr>
      <w:color w:val="0563C1" w:themeColor="hyperlink"/>
      <w:u w:val="single"/>
    </w:rPr>
  </w:style>
  <w:style w:type="paragraph" w:styleId="CommentText">
    <w:name w:val="annotation text"/>
    <w:basedOn w:val="Normal"/>
    <w:link w:val="CommentTextChar"/>
    <w:uiPriority w:val="99"/>
    <w:semiHidden/>
    <w:unhideWhenUsed/>
  </w:style>
  <w:style w:type="character" w:customStyle="1" w:styleId="CommentTextChar">
    <w:name w:val="Comment Text Char"/>
    <w:basedOn w:val="DefaultParagraphFont"/>
    <w:link w:val="CommentText"/>
    <w:uiPriority w:val="99"/>
    <w:semiHidden/>
    <w:rPr>
      <w:kern w:val="0"/>
      <w14:ligatures w14:val="none"/>
    </w:rPr>
  </w:style>
  <w:style w:type="paragraph" w:styleId="BalloonText">
    <w:name w:val="Balloon Text"/>
    <w:basedOn w:val="Normal"/>
    <w:link w:val="BalloonTextChar"/>
    <w:uiPriority w:val="99"/>
    <w:semiHidden/>
    <w:unhideWhenUsed/>
    <w:rsid w:val="002967E9"/>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967E9"/>
    <w:rPr>
      <w:rFonts w:ascii="Times New Roman" w:hAnsi="Times New Roman" w:cs="Times New Roman"/>
      <w:kern w:val="0"/>
      <w:sz w:val="18"/>
      <w:szCs w:val="18"/>
      <w14:ligatures w14:val="none"/>
    </w:rPr>
  </w:style>
  <w:style w:type="paragraph" w:styleId="Header">
    <w:name w:val="header"/>
    <w:basedOn w:val="Normal"/>
    <w:link w:val="HeaderChar"/>
    <w:uiPriority w:val="99"/>
    <w:unhideWhenUsed/>
    <w:rsid w:val="00B26652"/>
    <w:pPr>
      <w:tabs>
        <w:tab w:val="center" w:pos="4680"/>
        <w:tab w:val="right" w:pos="9360"/>
      </w:tabs>
    </w:pPr>
  </w:style>
  <w:style w:type="character" w:customStyle="1" w:styleId="HeaderChar">
    <w:name w:val="Header Char"/>
    <w:basedOn w:val="DefaultParagraphFont"/>
    <w:link w:val="Header"/>
    <w:uiPriority w:val="99"/>
    <w:rsid w:val="00B26652"/>
    <w:rPr>
      <w:kern w:val="0"/>
      <w14:ligatures w14:val="none"/>
    </w:rPr>
  </w:style>
  <w:style w:type="paragraph" w:styleId="Footer">
    <w:name w:val="footer"/>
    <w:basedOn w:val="Normal"/>
    <w:link w:val="FooterChar"/>
    <w:uiPriority w:val="99"/>
    <w:unhideWhenUsed/>
    <w:rsid w:val="00B26652"/>
    <w:pPr>
      <w:tabs>
        <w:tab w:val="center" w:pos="4680"/>
        <w:tab w:val="right" w:pos="9360"/>
      </w:tabs>
    </w:pPr>
  </w:style>
  <w:style w:type="character" w:customStyle="1" w:styleId="FooterChar">
    <w:name w:val="Footer Char"/>
    <w:basedOn w:val="DefaultParagraphFont"/>
    <w:link w:val="Footer"/>
    <w:uiPriority w:val="99"/>
    <w:rsid w:val="00B26652"/>
    <w:rPr>
      <w:kern w:val="0"/>
      <w14:ligatures w14:val="none"/>
    </w:rPr>
  </w:style>
  <w:style w:type="character" w:styleId="PageNumber">
    <w:name w:val="page number"/>
    <w:basedOn w:val="DefaultParagraphFont"/>
    <w:uiPriority w:val="99"/>
    <w:semiHidden/>
    <w:unhideWhenUsed/>
    <w:rsid w:val="00CD04F3"/>
  </w:style>
  <w:style w:type="character" w:styleId="Emphasis">
    <w:name w:val="Emphasis"/>
    <w:basedOn w:val="DefaultParagraphFont"/>
    <w:uiPriority w:val="20"/>
    <w:qFormat/>
    <w:rsid w:val="00131CF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697936">
      <w:bodyDiv w:val="1"/>
      <w:marLeft w:val="0"/>
      <w:marRight w:val="0"/>
      <w:marTop w:val="0"/>
      <w:marBottom w:val="0"/>
      <w:divBdr>
        <w:top w:val="none" w:sz="0" w:space="0" w:color="auto"/>
        <w:left w:val="none" w:sz="0" w:space="0" w:color="auto"/>
        <w:bottom w:val="none" w:sz="0" w:space="0" w:color="auto"/>
        <w:right w:val="none" w:sz="0" w:space="0" w:color="auto"/>
      </w:divBdr>
    </w:div>
    <w:div w:id="179666456">
      <w:bodyDiv w:val="1"/>
      <w:marLeft w:val="0"/>
      <w:marRight w:val="0"/>
      <w:marTop w:val="0"/>
      <w:marBottom w:val="0"/>
      <w:divBdr>
        <w:top w:val="none" w:sz="0" w:space="0" w:color="auto"/>
        <w:left w:val="none" w:sz="0" w:space="0" w:color="auto"/>
        <w:bottom w:val="none" w:sz="0" w:space="0" w:color="auto"/>
        <w:right w:val="none" w:sz="0" w:space="0" w:color="auto"/>
      </w:divBdr>
    </w:div>
    <w:div w:id="229728401">
      <w:bodyDiv w:val="1"/>
      <w:marLeft w:val="0"/>
      <w:marRight w:val="0"/>
      <w:marTop w:val="0"/>
      <w:marBottom w:val="0"/>
      <w:divBdr>
        <w:top w:val="none" w:sz="0" w:space="0" w:color="auto"/>
        <w:left w:val="none" w:sz="0" w:space="0" w:color="auto"/>
        <w:bottom w:val="none" w:sz="0" w:space="0" w:color="auto"/>
        <w:right w:val="none" w:sz="0" w:space="0" w:color="auto"/>
      </w:divBdr>
    </w:div>
    <w:div w:id="350767968">
      <w:bodyDiv w:val="1"/>
      <w:marLeft w:val="0"/>
      <w:marRight w:val="0"/>
      <w:marTop w:val="0"/>
      <w:marBottom w:val="0"/>
      <w:divBdr>
        <w:top w:val="none" w:sz="0" w:space="0" w:color="auto"/>
        <w:left w:val="none" w:sz="0" w:space="0" w:color="auto"/>
        <w:bottom w:val="none" w:sz="0" w:space="0" w:color="auto"/>
        <w:right w:val="none" w:sz="0" w:space="0" w:color="auto"/>
      </w:divBdr>
    </w:div>
    <w:div w:id="469059066">
      <w:bodyDiv w:val="1"/>
      <w:marLeft w:val="0"/>
      <w:marRight w:val="0"/>
      <w:marTop w:val="0"/>
      <w:marBottom w:val="0"/>
      <w:divBdr>
        <w:top w:val="none" w:sz="0" w:space="0" w:color="auto"/>
        <w:left w:val="none" w:sz="0" w:space="0" w:color="auto"/>
        <w:bottom w:val="none" w:sz="0" w:space="0" w:color="auto"/>
        <w:right w:val="none" w:sz="0" w:space="0" w:color="auto"/>
      </w:divBdr>
    </w:div>
    <w:div w:id="513769304">
      <w:bodyDiv w:val="1"/>
      <w:marLeft w:val="0"/>
      <w:marRight w:val="0"/>
      <w:marTop w:val="0"/>
      <w:marBottom w:val="0"/>
      <w:divBdr>
        <w:top w:val="none" w:sz="0" w:space="0" w:color="auto"/>
        <w:left w:val="none" w:sz="0" w:space="0" w:color="auto"/>
        <w:bottom w:val="none" w:sz="0" w:space="0" w:color="auto"/>
        <w:right w:val="none" w:sz="0" w:space="0" w:color="auto"/>
      </w:divBdr>
    </w:div>
    <w:div w:id="543367132">
      <w:bodyDiv w:val="1"/>
      <w:marLeft w:val="0"/>
      <w:marRight w:val="0"/>
      <w:marTop w:val="0"/>
      <w:marBottom w:val="0"/>
      <w:divBdr>
        <w:top w:val="none" w:sz="0" w:space="0" w:color="auto"/>
        <w:left w:val="none" w:sz="0" w:space="0" w:color="auto"/>
        <w:bottom w:val="none" w:sz="0" w:space="0" w:color="auto"/>
        <w:right w:val="none" w:sz="0" w:space="0" w:color="auto"/>
      </w:divBdr>
    </w:div>
    <w:div w:id="560869906">
      <w:bodyDiv w:val="1"/>
      <w:marLeft w:val="0"/>
      <w:marRight w:val="0"/>
      <w:marTop w:val="0"/>
      <w:marBottom w:val="0"/>
      <w:divBdr>
        <w:top w:val="none" w:sz="0" w:space="0" w:color="auto"/>
        <w:left w:val="none" w:sz="0" w:space="0" w:color="auto"/>
        <w:bottom w:val="none" w:sz="0" w:space="0" w:color="auto"/>
        <w:right w:val="none" w:sz="0" w:space="0" w:color="auto"/>
      </w:divBdr>
    </w:div>
    <w:div w:id="714433168">
      <w:bodyDiv w:val="1"/>
      <w:marLeft w:val="0"/>
      <w:marRight w:val="0"/>
      <w:marTop w:val="0"/>
      <w:marBottom w:val="0"/>
      <w:divBdr>
        <w:top w:val="none" w:sz="0" w:space="0" w:color="auto"/>
        <w:left w:val="none" w:sz="0" w:space="0" w:color="auto"/>
        <w:bottom w:val="none" w:sz="0" w:space="0" w:color="auto"/>
        <w:right w:val="none" w:sz="0" w:space="0" w:color="auto"/>
      </w:divBdr>
    </w:div>
    <w:div w:id="739014327">
      <w:bodyDiv w:val="1"/>
      <w:marLeft w:val="0"/>
      <w:marRight w:val="0"/>
      <w:marTop w:val="0"/>
      <w:marBottom w:val="0"/>
      <w:divBdr>
        <w:top w:val="none" w:sz="0" w:space="0" w:color="auto"/>
        <w:left w:val="none" w:sz="0" w:space="0" w:color="auto"/>
        <w:bottom w:val="none" w:sz="0" w:space="0" w:color="auto"/>
        <w:right w:val="none" w:sz="0" w:space="0" w:color="auto"/>
      </w:divBdr>
    </w:div>
    <w:div w:id="825782882">
      <w:bodyDiv w:val="1"/>
      <w:marLeft w:val="0"/>
      <w:marRight w:val="0"/>
      <w:marTop w:val="0"/>
      <w:marBottom w:val="0"/>
      <w:divBdr>
        <w:top w:val="none" w:sz="0" w:space="0" w:color="auto"/>
        <w:left w:val="none" w:sz="0" w:space="0" w:color="auto"/>
        <w:bottom w:val="none" w:sz="0" w:space="0" w:color="auto"/>
        <w:right w:val="none" w:sz="0" w:space="0" w:color="auto"/>
      </w:divBdr>
    </w:div>
    <w:div w:id="860894118">
      <w:bodyDiv w:val="1"/>
      <w:marLeft w:val="0"/>
      <w:marRight w:val="0"/>
      <w:marTop w:val="0"/>
      <w:marBottom w:val="0"/>
      <w:divBdr>
        <w:top w:val="none" w:sz="0" w:space="0" w:color="auto"/>
        <w:left w:val="none" w:sz="0" w:space="0" w:color="auto"/>
        <w:bottom w:val="none" w:sz="0" w:space="0" w:color="auto"/>
        <w:right w:val="none" w:sz="0" w:space="0" w:color="auto"/>
      </w:divBdr>
    </w:div>
    <w:div w:id="905531318">
      <w:bodyDiv w:val="1"/>
      <w:marLeft w:val="0"/>
      <w:marRight w:val="0"/>
      <w:marTop w:val="0"/>
      <w:marBottom w:val="0"/>
      <w:divBdr>
        <w:top w:val="none" w:sz="0" w:space="0" w:color="auto"/>
        <w:left w:val="none" w:sz="0" w:space="0" w:color="auto"/>
        <w:bottom w:val="none" w:sz="0" w:space="0" w:color="auto"/>
        <w:right w:val="none" w:sz="0" w:space="0" w:color="auto"/>
      </w:divBdr>
    </w:div>
    <w:div w:id="1090925797">
      <w:bodyDiv w:val="1"/>
      <w:marLeft w:val="0"/>
      <w:marRight w:val="0"/>
      <w:marTop w:val="0"/>
      <w:marBottom w:val="0"/>
      <w:divBdr>
        <w:top w:val="none" w:sz="0" w:space="0" w:color="auto"/>
        <w:left w:val="none" w:sz="0" w:space="0" w:color="auto"/>
        <w:bottom w:val="none" w:sz="0" w:space="0" w:color="auto"/>
        <w:right w:val="none" w:sz="0" w:space="0" w:color="auto"/>
      </w:divBdr>
    </w:div>
    <w:div w:id="1135220008">
      <w:bodyDiv w:val="1"/>
      <w:marLeft w:val="0"/>
      <w:marRight w:val="0"/>
      <w:marTop w:val="0"/>
      <w:marBottom w:val="0"/>
      <w:divBdr>
        <w:top w:val="none" w:sz="0" w:space="0" w:color="auto"/>
        <w:left w:val="none" w:sz="0" w:space="0" w:color="auto"/>
        <w:bottom w:val="none" w:sz="0" w:space="0" w:color="auto"/>
        <w:right w:val="none" w:sz="0" w:space="0" w:color="auto"/>
      </w:divBdr>
    </w:div>
    <w:div w:id="1469011213">
      <w:bodyDiv w:val="1"/>
      <w:marLeft w:val="0"/>
      <w:marRight w:val="0"/>
      <w:marTop w:val="0"/>
      <w:marBottom w:val="0"/>
      <w:divBdr>
        <w:top w:val="none" w:sz="0" w:space="0" w:color="auto"/>
        <w:left w:val="none" w:sz="0" w:space="0" w:color="auto"/>
        <w:bottom w:val="none" w:sz="0" w:space="0" w:color="auto"/>
        <w:right w:val="none" w:sz="0" w:space="0" w:color="auto"/>
      </w:divBdr>
    </w:div>
    <w:div w:id="1538003902">
      <w:bodyDiv w:val="1"/>
      <w:marLeft w:val="0"/>
      <w:marRight w:val="0"/>
      <w:marTop w:val="0"/>
      <w:marBottom w:val="0"/>
      <w:divBdr>
        <w:top w:val="none" w:sz="0" w:space="0" w:color="auto"/>
        <w:left w:val="none" w:sz="0" w:space="0" w:color="auto"/>
        <w:bottom w:val="none" w:sz="0" w:space="0" w:color="auto"/>
        <w:right w:val="none" w:sz="0" w:space="0" w:color="auto"/>
      </w:divBdr>
    </w:div>
    <w:div w:id="1538201651">
      <w:bodyDiv w:val="1"/>
      <w:marLeft w:val="0"/>
      <w:marRight w:val="0"/>
      <w:marTop w:val="0"/>
      <w:marBottom w:val="0"/>
      <w:divBdr>
        <w:top w:val="none" w:sz="0" w:space="0" w:color="auto"/>
        <w:left w:val="none" w:sz="0" w:space="0" w:color="auto"/>
        <w:bottom w:val="none" w:sz="0" w:space="0" w:color="auto"/>
        <w:right w:val="none" w:sz="0" w:space="0" w:color="auto"/>
      </w:divBdr>
    </w:div>
    <w:div w:id="1574464195">
      <w:bodyDiv w:val="1"/>
      <w:marLeft w:val="0"/>
      <w:marRight w:val="0"/>
      <w:marTop w:val="0"/>
      <w:marBottom w:val="0"/>
      <w:divBdr>
        <w:top w:val="none" w:sz="0" w:space="0" w:color="auto"/>
        <w:left w:val="none" w:sz="0" w:space="0" w:color="auto"/>
        <w:bottom w:val="none" w:sz="0" w:space="0" w:color="auto"/>
        <w:right w:val="none" w:sz="0" w:space="0" w:color="auto"/>
      </w:divBdr>
    </w:div>
    <w:div w:id="1600941098">
      <w:bodyDiv w:val="1"/>
      <w:marLeft w:val="0"/>
      <w:marRight w:val="0"/>
      <w:marTop w:val="0"/>
      <w:marBottom w:val="0"/>
      <w:divBdr>
        <w:top w:val="none" w:sz="0" w:space="0" w:color="auto"/>
        <w:left w:val="none" w:sz="0" w:space="0" w:color="auto"/>
        <w:bottom w:val="none" w:sz="0" w:space="0" w:color="auto"/>
        <w:right w:val="none" w:sz="0" w:space="0" w:color="auto"/>
      </w:divBdr>
    </w:div>
    <w:div w:id="1650985741">
      <w:bodyDiv w:val="1"/>
      <w:marLeft w:val="0"/>
      <w:marRight w:val="0"/>
      <w:marTop w:val="0"/>
      <w:marBottom w:val="0"/>
      <w:divBdr>
        <w:top w:val="none" w:sz="0" w:space="0" w:color="auto"/>
        <w:left w:val="none" w:sz="0" w:space="0" w:color="auto"/>
        <w:bottom w:val="none" w:sz="0" w:space="0" w:color="auto"/>
        <w:right w:val="none" w:sz="0" w:space="0" w:color="auto"/>
      </w:divBdr>
    </w:div>
    <w:div w:id="2017071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2679</Words>
  <Characters>19130</Characters>
  <Application>Microsoft Office Word</Application>
  <DocSecurity>0</DocSecurity>
  <Lines>248</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Brown, Courtney Patrice</dc:creator>
  <cp:keywords/>
  <dc:description/>
  <cp:lastModifiedBy>Brown, Courtney Patrice</cp:lastModifiedBy>
  <cp:revision>2</cp:revision>
  <dcterms:created xsi:type="dcterms:W3CDTF">2026-01-12T19:45:00Z</dcterms:created>
  <dcterms:modified xsi:type="dcterms:W3CDTF">2026-01-12T19:45:00Z</dcterms:modified>
</cp:coreProperties>
</file>