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A13729" w14:textId="77777777" w:rsidR="001E576D" w:rsidRDefault="001E576D" w:rsidP="001E576D">
      <w:pPr>
        <w:pStyle w:val="Title"/>
        <w:spacing w:after="0"/>
        <w:jc w:val="center"/>
        <w:rPr>
          <w:rFonts w:ascii="Times New Roman" w:eastAsia="Times New Roman" w:hAnsi="Times New Roman" w:cs="Times New Roman"/>
          <w:b/>
          <w:sz w:val="24"/>
          <w:szCs w:val="24"/>
        </w:rPr>
      </w:pPr>
    </w:p>
    <w:p w14:paraId="481AB128" w14:textId="77777777" w:rsidR="001E576D" w:rsidRDefault="001E576D" w:rsidP="001E576D">
      <w:pPr>
        <w:pStyle w:val="Title"/>
        <w:spacing w:after="0"/>
        <w:jc w:val="center"/>
        <w:rPr>
          <w:rFonts w:ascii="Times New Roman" w:eastAsia="Times New Roman" w:hAnsi="Times New Roman" w:cs="Times New Roman"/>
          <w:b/>
          <w:sz w:val="24"/>
          <w:szCs w:val="24"/>
        </w:rPr>
      </w:pPr>
    </w:p>
    <w:p w14:paraId="206E5F1D" w14:textId="77777777" w:rsidR="001E576D" w:rsidRDefault="001E576D" w:rsidP="001E576D">
      <w:pPr>
        <w:pStyle w:val="Title"/>
        <w:spacing w:after="0"/>
        <w:jc w:val="center"/>
        <w:rPr>
          <w:rFonts w:ascii="Times New Roman" w:eastAsia="Times New Roman" w:hAnsi="Times New Roman" w:cs="Times New Roman"/>
          <w:b/>
          <w:sz w:val="24"/>
          <w:szCs w:val="24"/>
        </w:rPr>
      </w:pPr>
    </w:p>
    <w:p w14:paraId="4DD1E0BE" w14:textId="77777777" w:rsidR="001E576D" w:rsidRDefault="001E576D" w:rsidP="001E576D">
      <w:pPr>
        <w:pStyle w:val="Title"/>
        <w:spacing w:after="0"/>
        <w:jc w:val="center"/>
        <w:rPr>
          <w:rFonts w:ascii="Times New Roman" w:eastAsia="Times New Roman" w:hAnsi="Times New Roman" w:cs="Times New Roman"/>
          <w:b/>
          <w:sz w:val="24"/>
          <w:szCs w:val="24"/>
        </w:rPr>
      </w:pPr>
    </w:p>
    <w:p w14:paraId="65A0140C" w14:textId="45439C59" w:rsidR="003F3B10" w:rsidRDefault="003F3B10" w:rsidP="001E576D">
      <w:pPr>
        <w:pStyle w:val="Title"/>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Change in Student Perceptions of Agriculture through the Virginia Governor’s School for</w:t>
      </w:r>
      <w:r w:rsidR="001E576D">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Agriculture</w:t>
      </w:r>
    </w:p>
    <w:p w14:paraId="728F83C8" w14:textId="77777777" w:rsidR="001E576D" w:rsidRDefault="001E576D" w:rsidP="001E576D">
      <w:pPr>
        <w:jc w:val="center"/>
      </w:pPr>
    </w:p>
    <w:p w14:paraId="7B471BF6" w14:textId="77777777" w:rsidR="001E576D" w:rsidRDefault="001E576D" w:rsidP="001E576D">
      <w:pPr>
        <w:jc w:val="center"/>
      </w:pPr>
    </w:p>
    <w:p w14:paraId="52C583B8" w14:textId="77777777" w:rsidR="001E576D" w:rsidRDefault="001E576D" w:rsidP="001E576D">
      <w:pPr>
        <w:jc w:val="center"/>
      </w:pPr>
    </w:p>
    <w:p w14:paraId="03DA2B90" w14:textId="77777777" w:rsidR="001E576D" w:rsidRPr="001E576D" w:rsidRDefault="001E576D" w:rsidP="001E576D">
      <w:pPr>
        <w:jc w:val="center"/>
      </w:pPr>
    </w:p>
    <w:p w14:paraId="32451E5D" w14:textId="745F53F0" w:rsidR="007A596E" w:rsidRDefault="00743AD7" w:rsidP="001E576D">
      <w:pPr>
        <w:jc w:val="center"/>
        <w:rPr>
          <w:bCs/>
        </w:rPr>
      </w:pPr>
      <w:r w:rsidRPr="00743AD7">
        <w:rPr>
          <w:bCs/>
        </w:rPr>
        <w:t>Katlyn Newman</w:t>
      </w:r>
    </w:p>
    <w:p w14:paraId="6D9A6978" w14:textId="6540515D" w:rsidR="00743AD7" w:rsidRDefault="00743AD7" w:rsidP="001E576D">
      <w:pPr>
        <w:jc w:val="center"/>
        <w:rPr>
          <w:bCs/>
        </w:rPr>
      </w:pPr>
      <w:r>
        <w:rPr>
          <w:bCs/>
        </w:rPr>
        <w:t>Lynelis Villanueva-Rios</w:t>
      </w:r>
    </w:p>
    <w:p w14:paraId="5C4F5843" w14:textId="4D677FC6" w:rsidR="00743AD7" w:rsidRDefault="00743AD7" w:rsidP="001E576D">
      <w:pPr>
        <w:jc w:val="center"/>
        <w:rPr>
          <w:bCs/>
        </w:rPr>
      </w:pPr>
      <w:r>
        <w:rPr>
          <w:bCs/>
        </w:rPr>
        <w:t>Rebekah Sanderson</w:t>
      </w:r>
    </w:p>
    <w:p w14:paraId="3ACD6ED1" w14:textId="6C76B306" w:rsidR="00743AD7" w:rsidRDefault="00743AD7" w:rsidP="001E576D">
      <w:pPr>
        <w:jc w:val="center"/>
        <w:rPr>
          <w:bCs/>
        </w:rPr>
      </w:pPr>
      <w:r>
        <w:rPr>
          <w:bCs/>
        </w:rPr>
        <w:t>D. Brett Milliken</w:t>
      </w:r>
      <w:r w:rsidR="0026770F">
        <w:rPr>
          <w:bCs/>
        </w:rPr>
        <w:t>, Ph.D.</w:t>
      </w:r>
    </w:p>
    <w:p w14:paraId="74959B7E" w14:textId="77777777" w:rsidR="00743AD7" w:rsidRDefault="00743AD7" w:rsidP="001E576D">
      <w:pPr>
        <w:jc w:val="center"/>
        <w:rPr>
          <w:bCs/>
        </w:rPr>
      </w:pPr>
    </w:p>
    <w:p w14:paraId="5299FDFF" w14:textId="394DAC1C" w:rsidR="00743AD7" w:rsidRDefault="0032085F" w:rsidP="001E576D">
      <w:pPr>
        <w:jc w:val="center"/>
        <w:rPr>
          <w:bCs/>
        </w:rPr>
      </w:pPr>
      <w:r>
        <w:rPr>
          <w:bCs/>
        </w:rPr>
        <w:t>Department of Agricultural, Leadership, and Community Education</w:t>
      </w:r>
    </w:p>
    <w:p w14:paraId="2169337D" w14:textId="101A9C73" w:rsidR="0032085F" w:rsidRDefault="0032085F" w:rsidP="001E576D">
      <w:pPr>
        <w:jc w:val="center"/>
        <w:rPr>
          <w:bCs/>
        </w:rPr>
      </w:pPr>
      <w:r>
        <w:rPr>
          <w:bCs/>
        </w:rPr>
        <w:t>Virginia Tech</w:t>
      </w:r>
    </w:p>
    <w:p w14:paraId="16836723" w14:textId="77777777" w:rsidR="0032085F" w:rsidRDefault="0032085F" w:rsidP="001E576D">
      <w:pPr>
        <w:jc w:val="center"/>
        <w:rPr>
          <w:bCs/>
        </w:rPr>
      </w:pPr>
    </w:p>
    <w:p w14:paraId="281A202B" w14:textId="77777777" w:rsidR="0032085F" w:rsidRDefault="0032085F" w:rsidP="001E576D">
      <w:pPr>
        <w:jc w:val="center"/>
        <w:rPr>
          <w:bCs/>
        </w:rPr>
      </w:pPr>
    </w:p>
    <w:p w14:paraId="6FCE346E" w14:textId="77777777" w:rsidR="0032085F" w:rsidRDefault="0032085F" w:rsidP="001E576D">
      <w:pPr>
        <w:jc w:val="center"/>
        <w:rPr>
          <w:bCs/>
        </w:rPr>
      </w:pPr>
    </w:p>
    <w:p w14:paraId="260BE1FA" w14:textId="701AA791" w:rsidR="0032085F" w:rsidRDefault="0032085F" w:rsidP="001E576D">
      <w:pPr>
        <w:jc w:val="center"/>
        <w:rPr>
          <w:bCs/>
        </w:rPr>
      </w:pPr>
      <w:r>
        <w:rPr>
          <w:bCs/>
        </w:rPr>
        <w:t>Contact</w:t>
      </w:r>
      <w:r w:rsidR="009D0104">
        <w:rPr>
          <w:bCs/>
        </w:rPr>
        <w:t xml:space="preserve"> Information</w:t>
      </w:r>
    </w:p>
    <w:p w14:paraId="42905F74" w14:textId="60F13741" w:rsidR="009D0104" w:rsidRDefault="009D0104" w:rsidP="001E576D">
      <w:pPr>
        <w:jc w:val="center"/>
        <w:rPr>
          <w:bCs/>
        </w:rPr>
      </w:pPr>
      <w:r>
        <w:rPr>
          <w:bCs/>
        </w:rPr>
        <w:t>D</w:t>
      </w:r>
      <w:r w:rsidR="0026770F">
        <w:rPr>
          <w:bCs/>
        </w:rPr>
        <w:t>.</w:t>
      </w:r>
      <w:r>
        <w:rPr>
          <w:bCs/>
        </w:rPr>
        <w:t xml:space="preserve"> Brett Milliken</w:t>
      </w:r>
      <w:r w:rsidR="0026770F">
        <w:rPr>
          <w:bCs/>
        </w:rPr>
        <w:t>, Ph.D.</w:t>
      </w:r>
    </w:p>
    <w:p w14:paraId="0DDD2787" w14:textId="77777777" w:rsidR="009D0104" w:rsidRDefault="009D0104" w:rsidP="001E576D">
      <w:pPr>
        <w:jc w:val="center"/>
        <w:rPr>
          <w:bCs/>
        </w:rPr>
      </w:pPr>
      <w:r w:rsidRPr="009D0104">
        <w:rPr>
          <w:bCs/>
        </w:rPr>
        <w:t xml:space="preserve"> Virginia </w:t>
      </w:r>
      <w:r>
        <w:rPr>
          <w:bCs/>
        </w:rPr>
        <w:t>Tech</w:t>
      </w:r>
      <w:r w:rsidRPr="009D0104">
        <w:rPr>
          <w:bCs/>
        </w:rPr>
        <w:t xml:space="preserve"> </w:t>
      </w:r>
    </w:p>
    <w:p w14:paraId="1CA2E06E" w14:textId="77777777" w:rsidR="009D0104" w:rsidRDefault="009D0104" w:rsidP="001E576D">
      <w:pPr>
        <w:jc w:val="center"/>
        <w:rPr>
          <w:bCs/>
        </w:rPr>
      </w:pPr>
      <w:r w:rsidRPr="009D0104">
        <w:rPr>
          <w:bCs/>
        </w:rPr>
        <w:t xml:space="preserve">Litton-Reaves Hall, Mail Code 0343 </w:t>
      </w:r>
    </w:p>
    <w:p w14:paraId="246F534F" w14:textId="77777777" w:rsidR="009D0104" w:rsidRDefault="009D0104" w:rsidP="001E576D">
      <w:pPr>
        <w:jc w:val="center"/>
        <w:rPr>
          <w:bCs/>
        </w:rPr>
      </w:pPr>
      <w:r w:rsidRPr="009D0104">
        <w:rPr>
          <w:bCs/>
        </w:rPr>
        <w:t xml:space="preserve">Blacksburg, VA 24061 </w:t>
      </w:r>
    </w:p>
    <w:p w14:paraId="19322F50" w14:textId="77777777" w:rsidR="009D0104" w:rsidRDefault="009D0104" w:rsidP="001E576D">
      <w:pPr>
        <w:jc w:val="center"/>
        <w:rPr>
          <w:bCs/>
        </w:rPr>
      </w:pPr>
      <w:r w:rsidRPr="009D0104">
        <w:rPr>
          <w:bCs/>
        </w:rPr>
        <w:t>(540-231-</w:t>
      </w:r>
      <w:r>
        <w:rPr>
          <w:bCs/>
        </w:rPr>
        <w:t>1003</w:t>
      </w:r>
      <w:r w:rsidRPr="009D0104">
        <w:rPr>
          <w:bCs/>
        </w:rPr>
        <w:t xml:space="preserve">) </w:t>
      </w:r>
    </w:p>
    <w:p w14:paraId="42FDE762" w14:textId="1C39D6CF" w:rsidR="009D0104" w:rsidRPr="00743AD7" w:rsidRDefault="009D0104" w:rsidP="001E576D">
      <w:pPr>
        <w:jc w:val="center"/>
        <w:rPr>
          <w:bCs/>
        </w:rPr>
      </w:pPr>
      <w:r>
        <w:rPr>
          <w:bCs/>
        </w:rPr>
        <w:t>bmilliken</w:t>
      </w:r>
      <w:r w:rsidRPr="009D0104">
        <w:rPr>
          <w:bCs/>
        </w:rPr>
        <w:t xml:space="preserve">@vt.edu </w:t>
      </w:r>
    </w:p>
    <w:p w14:paraId="2C39FA26" w14:textId="77777777" w:rsidR="00743AD7" w:rsidRDefault="00743AD7">
      <w:pPr>
        <w:rPr>
          <w:b/>
        </w:rPr>
      </w:pPr>
      <w:r>
        <w:rPr>
          <w:b/>
        </w:rPr>
        <w:br w:type="page"/>
      </w:r>
    </w:p>
    <w:p w14:paraId="00000001" w14:textId="7B4F4C95" w:rsidR="00D40491" w:rsidRDefault="002762DD" w:rsidP="0022191E">
      <w:pPr>
        <w:pStyle w:val="Title"/>
        <w:spacing w:after="12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Change in Student Perceptions of Agriculture through the </w:t>
      </w:r>
      <w:r w:rsidR="007A596E">
        <w:rPr>
          <w:rFonts w:ascii="Times New Roman" w:eastAsia="Times New Roman" w:hAnsi="Times New Roman" w:cs="Times New Roman"/>
          <w:b/>
          <w:sz w:val="24"/>
          <w:szCs w:val="24"/>
        </w:rPr>
        <w:t>Virginia Governor’s School for Agriculture</w:t>
      </w:r>
    </w:p>
    <w:p w14:paraId="00000003" w14:textId="2ADC9917" w:rsidR="00D40491" w:rsidRDefault="002762DD">
      <w:pPr>
        <w:pStyle w:val="Heading1"/>
        <w:spacing w:before="0" w:after="0" w:line="240" w:lineRule="auto"/>
        <w:ind w:firstLine="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 more people become further removed from agriculture, it is essential to consider the impact this has on youth and their perceptions and understanding of the industry. Programs such as school-based agricultural education, 4-H, FFA, Ag in the Classroom, and other initiatives seek to expand their reach and educate youth from all communities about agriculture. Luckey et al. (2013) asked forty-one fourth graders to participate in a survey before and after participating in AgVenture activities at the Houston Livestock Show and Rodeo. Duncan and Broyles (2006) used pre- and post-tests in 2001 and 2003 with students in the </w:t>
      </w:r>
      <w:r w:rsidR="0037789E">
        <w:rPr>
          <w:rFonts w:ascii="Times New Roman" w:eastAsia="Times New Roman" w:hAnsi="Times New Roman" w:cs="Times New Roman"/>
          <w:color w:val="000000"/>
          <w:sz w:val="24"/>
          <w:szCs w:val="24"/>
        </w:rPr>
        <w:t>Virginia Governor’s School for Agriculture (VGSA)</w:t>
      </w:r>
      <w:r>
        <w:rPr>
          <w:rFonts w:ascii="Times New Roman" w:eastAsia="Times New Roman" w:hAnsi="Times New Roman" w:cs="Times New Roman"/>
          <w:color w:val="000000"/>
          <w:sz w:val="24"/>
          <w:szCs w:val="24"/>
        </w:rPr>
        <w:t xml:space="preserve">. Both studies showed that their experiential agriculture programs significantly improved the participants’ understanding and knowledge of agriculture. In a separate study, Smith et al. (2009) found that overall, students in rural areas with access to agricultural programming had greater agricultural literacy when compared to peers in communities without agricultural programs. One such program that seeks to increase youth knowledge of agriculture and its broad impacts is the </w:t>
      </w:r>
      <w:r w:rsidR="0037789E">
        <w:rPr>
          <w:rFonts w:ascii="Times New Roman" w:eastAsia="Times New Roman" w:hAnsi="Times New Roman" w:cs="Times New Roman"/>
          <w:color w:val="000000"/>
          <w:sz w:val="24"/>
          <w:szCs w:val="24"/>
        </w:rPr>
        <w:t>VGSA</w:t>
      </w:r>
      <w:r>
        <w:rPr>
          <w:rFonts w:ascii="Times New Roman" w:eastAsia="Times New Roman" w:hAnsi="Times New Roman" w:cs="Times New Roman"/>
          <w:color w:val="000000"/>
          <w:sz w:val="24"/>
          <w:szCs w:val="24"/>
        </w:rPr>
        <w:t xml:space="preserve">. </w:t>
      </w:r>
    </w:p>
    <w:p w14:paraId="00000004" w14:textId="68769524" w:rsidR="00D40491" w:rsidRDefault="002762DD">
      <w:pPr>
        <w:pStyle w:val="Heading1"/>
        <w:spacing w:before="0" w:after="0" w:line="240" w:lineRule="auto"/>
        <w:ind w:firstLine="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w:t>
      </w:r>
      <w:r w:rsidR="0037789E">
        <w:rPr>
          <w:rFonts w:ascii="Times New Roman" w:eastAsia="Times New Roman" w:hAnsi="Times New Roman" w:cs="Times New Roman"/>
          <w:color w:val="000000"/>
          <w:sz w:val="24"/>
          <w:szCs w:val="24"/>
        </w:rPr>
        <w:t>VGSA</w:t>
      </w:r>
      <w:r>
        <w:rPr>
          <w:rFonts w:ascii="Times New Roman" w:eastAsia="Times New Roman" w:hAnsi="Times New Roman" w:cs="Times New Roman"/>
          <w:color w:val="000000"/>
          <w:sz w:val="24"/>
          <w:szCs w:val="24"/>
        </w:rPr>
        <w:t xml:space="preserve"> is a three-week program at </w:t>
      </w:r>
      <w:r w:rsidR="0037789E">
        <w:rPr>
          <w:rFonts w:ascii="Times New Roman" w:eastAsia="Times New Roman" w:hAnsi="Times New Roman" w:cs="Times New Roman"/>
          <w:color w:val="000000"/>
          <w:sz w:val="24"/>
          <w:szCs w:val="24"/>
        </w:rPr>
        <w:t>Virginia Tech</w:t>
      </w:r>
      <w:r>
        <w:rPr>
          <w:rFonts w:ascii="Times New Roman" w:eastAsia="Times New Roman" w:hAnsi="Times New Roman" w:cs="Times New Roman"/>
          <w:color w:val="000000"/>
          <w:sz w:val="24"/>
          <w:szCs w:val="24"/>
        </w:rPr>
        <w:t xml:space="preserve"> each summer. Gifted and advanced high school juniors and seniors from across </w:t>
      </w:r>
      <w:r w:rsidR="0037789E">
        <w:rPr>
          <w:rFonts w:ascii="Times New Roman" w:eastAsia="Times New Roman" w:hAnsi="Times New Roman" w:cs="Times New Roman"/>
          <w:color w:val="000000"/>
          <w:sz w:val="24"/>
          <w:szCs w:val="24"/>
        </w:rPr>
        <w:t>Virginia</w:t>
      </w:r>
      <w:r>
        <w:rPr>
          <w:rFonts w:ascii="Times New Roman" w:eastAsia="Times New Roman" w:hAnsi="Times New Roman" w:cs="Times New Roman"/>
          <w:color w:val="000000"/>
          <w:sz w:val="24"/>
          <w:szCs w:val="24"/>
        </w:rPr>
        <w:t xml:space="preserve"> participate in classes, labs, and experiential learning activities led by university faculty, researchers, graduate students, and industry professionals. </w:t>
      </w:r>
      <w:r w:rsidR="0037789E">
        <w:rPr>
          <w:rFonts w:ascii="Times New Roman" w:eastAsia="Times New Roman" w:hAnsi="Times New Roman" w:cs="Times New Roman"/>
          <w:color w:val="000000"/>
          <w:sz w:val="24"/>
          <w:szCs w:val="24"/>
        </w:rPr>
        <w:t>VGSA</w:t>
      </w:r>
      <w:r>
        <w:rPr>
          <w:rFonts w:ascii="Times New Roman" w:eastAsia="Times New Roman" w:hAnsi="Times New Roman" w:cs="Times New Roman"/>
          <w:color w:val="000000"/>
          <w:sz w:val="24"/>
          <w:szCs w:val="24"/>
        </w:rPr>
        <w:t xml:space="preserve"> aims to educate youth about agriculture while providing a safe, enriching environment to build research and collaboration skills (</w:t>
      </w:r>
      <w:r w:rsidR="0037789E">
        <w:rPr>
          <w:rFonts w:ascii="Times New Roman" w:eastAsia="Times New Roman" w:hAnsi="Times New Roman" w:cs="Times New Roman"/>
          <w:color w:val="000000"/>
          <w:sz w:val="24"/>
          <w:szCs w:val="24"/>
        </w:rPr>
        <w:t>Virginia Tech</w:t>
      </w:r>
      <w:r>
        <w:rPr>
          <w:rFonts w:ascii="Times New Roman" w:eastAsia="Times New Roman" w:hAnsi="Times New Roman" w:cs="Times New Roman"/>
          <w:i/>
          <w:color w:val="000000"/>
          <w:sz w:val="24"/>
          <w:szCs w:val="24"/>
        </w:rPr>
        <w:t>,</w:t>
      </w:r>
      <w:r>
        <w:rPr>
          <w:rFonts w:ascii="Times New Roman" w:eastAsia="Times New Roman" w:hAnsi="Times New Roman" w:cs="Times New Roman"/>
          <w:color w:val="000000"/>
          <w:sz w:val="24"/>
          <w:szCs w:val="24"/>
        </w:rPr>
        <w:t xml:space="preserve"> 2025). Therefore, </w:t>
      </w:r>
      <w:r>
        <w:rPr>
          <w:rFonts w:ascii="Times New Roman" w:eastAsia="Times New Roman" w:hAnsi="Times New Roman" w:cs="Times New Roman"/>
          <w:b/>
          <w:color w:val="000000"/>
          <w:sz w:val="24"/>
          <w:szCs w:val="24"/>
        </w:rPr>
        <w:t>t</w:t>
      </w:r>
      <w:r>
        <w:rPr>
          <w:rFonts w:ascii="Times New Roman" w:eastAsia="Times New Roman" w:hAnsi="Times New Roman" w:cs="Times New Roman"/>
          <w:color w:val="000000"/>
          <w:sz w:val="24"/>
          <w:szCs w:val="24"/>
        </w:rPr>
        <w:t xml:space="preserve">he purpose of this research project is to examine how participation in the </w:t>
      </w:r>
      <w:r w:rsidR="0037789E">
        <w:rPr>
          <w:rFonts w:ascii="Times New Roman" w:eastAsia="Times New Roman" w:hAnsi="Times New Roman" w:cs="Times New Roman"/>
          <w:color w:val="000000"/>
          <w:sz w:val="24"/>
          <w:szCs w:val="24"/>
        </w:rPr>
        <w:t>VGSA</w:t>
      </w:r>
      <w:r>
        <w:rPr>
          <w:rFonts w:ascii="Times New Roman" w:eastAsia="Times New Roman" w:hAnsi="Times New Roman" w:cs="Times New Roman"/>
          <w:color w:val="000000"/>
          <w:sz w:val="24"/>
          <w:szCs w:val="24"/>
        </w:rPr>
        <w:t xml:space="preserve"> influences students’ perceptions and understanding of agriculture.</w:t>
      </w:r>
    </w:p>
    <w:p w14:paraId="00000005" w14:textId="77777777" w:rsidR="00D40491" w:rsidRDefault="002762DD">
      <w:pPr>
        <w:pStyle w:val="Heading1"/>
        <w:spacing w:before="0"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Theoretical Framework</w:t>
      </w:r>
    </w:p>
    <w:p w14:paraId="00000006" w14:textId="68C4FCB4" w:rsidR="00D40491" w:rsidRDefault="002762DD">
      <w:pPr>
        <w:ind w:firstLine="720"/>
      </w:pPr>
      <w:r>
        <w:t xml:space="preserve">Transformative </w:t>
      </w:r>
      <w:r w:rsidR="006517B8">
        <w:t>l</w:t>
      </w:r>
      <w:r>
        <w:t xml:space="preserve">earning </w:t>
      </w:r>
      <w:r w:rsidR="006517B8">
        <w:t>t</w:t>
      </w:r>
      <w:r>
        <w:t>heory (Mezirow, 1997) is a theoretical framework that explores how one’s predetermined perceptions can change through reflection on new experiences. Mezirow (1997) describes these perceptions as habits of mind and points of view that are shaped by what we experience. Points of view can change over the course of life, while coming to new understandings of the world, which may oppose prior beliefs, and change future perceptions and understandings (Mezirow, 1997). Transformative Learning Theory can be a powerful framework for exploring how perspectives are developed by confronting challenging questions or new experiences.</w:t>
      </w:r>
    </w:p>
    <w:p w14:paraId="00000007" w14:textId="77777777" w:rsidR="00D40491" w:rsidRDefault="002762DD">
      <w:pPr>
        <w:jc w:val="center"/>
        <w:rPr>
          <w:b/>
        </w:rPr>
      </w:pPr>
      <w:r>
        <w:rPr>
          <w:b/>
        </w:rPr>
        <w:t>Methodology</w:t>
      </w:r>
    </w:p>
    <w:p w14:paraId="00000008" w14:textId="77777777" w:rsidR="00D40491" w:rsidRDefault="002762DD">
      <w:pPr>
        <w:ind w:firstLine="720"/>
      </w:pPr>
      <w:r>
        <w:t xml:space="preserve">Photo elicitation is a research method that utilizes photographs to collect qualitative data, allowing participants to analyze a photo and provide feedback on it. Using a photo, as opposed to only verbally asking questions or writing a response to a reflection question, provokes the viewer to provide deeper responses with a unique perspective (Harper, 2002). There are several different ways to conduct photo elicitation, including the researcher providing a photo or having the participant take the photo, but it may also include viewing videos or movies (Harper, 2002). </w:t>
      </w:r>
    </w:p>
    <w:p w14:paraId="00000009" w14:textId="3DC64B3C" w:rsidR="00D40491" w:rsidRDefault="002762DD">
      <w:pPr>
        <w:ind w:firstLine="720"/>
      </w:pPr>
      <w:r>
        <w:t xml:space="preserve">For the </w:t>
      </w:r>
      <w:r w:rsidR="0037789E">
        <w:t>VGSA</w:t>
      </w:r>
      <w:r>
        <w:t>, student participants were involved in a participant-driven photo elicitation reflective activity in which they were asked to respond to the question “</w:t>
      </w:r>
      <w:r>
        <w:rPr>
          <w:i/>
        </w:rPr>
        <w:t>What is Agriculture?</w:t>
      </w:r>
      <w:r>
        <w:t xml:space="preserve">” by submitting a photo that they had captured during the program, along with a 250-word reflection. A total of 87 participants completed the participant-driven photo elicitation. Of the 87 participants, 25% identified as men and 75% as women. 47% identified as White, 39% as Asian, 7% as more than one race, 6% as Hispanic/Latino, 5% as Black/African American, and 2% preferred not to answer. As classified by the National Center for Education Statistics, 68% of </w:t>
      </w:r>
      <w:r>
        <w:lastRenderedPageBreak/>
        <w:t>participants were from suburban schools, 23% city/urban, 8% rural, and 1% town; 55% were seniors and 45% juniors. All demographic data were collected through program registration.</w:t>
      </w:r>
    </w:p>
    <w:p w14:paraId="0000000A" w14:textId="77777777" w:rsidR="00D40491" w:rsidRDefault="002762DD">
      <w:pPr>
        <w:ind w:firstLine="720"/>
      </w:pPr>
      <w:r>
        <w:t>Following data analysis procedures outlined by Creswell and Creswell (2018), the research team coded all participant photos and corresponding reflections. The data was analyzed, and the research team developed themes based on codes through intercoder reliability to maintain consistency (O’Connor &amp; Joffe, 2020).</w:t>
      </w:r>
    </w:p>
    <w:p w14:paraId="0000000B" w14:textId="77777777" w:rsidR="00D40491" w:rsidRDefault="002762DD">
      <w:pPr>
        <w:pStyle w:val="Heading1"/>
        <w:spacing w:before="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Results</w:t>
      </w:r>
    </w:p>
    <w:p w14:paraId="0000000C" w14:textId="49090BC0" w:rsidR="00D40491" w:rsidRDefault="002762DD">
      <w:pPr>
        <w:ind w:firstLine="720"/>
      </w:pPr>
      <w:r>
        <w:t xml:space="preserve">This project is part of a larger study exploring students’ transformation in understanding and knowledge of agriculture through participating in </w:t>
      </w:r>
      <w:r w:rsidR="0037789E">
        <w:t>VGSA</w:t>
      </w:r>
      <w:r>
        <w:t xml:space="preserve">. The students who participated in this study demonstrated transformative learning, explored through the theme of </w:t>
      </w:r>
      <w:r>
        <w:rPr>
          <w:i/>
        </w:rPr>
        <w:t xml:space="preserve">change of perception. </w:t>
      </w:r>
      <w:r>
        <w:t xml:space="preserve">Students revealed a change or perception towards agriculture, showing that the youth at </w:t>
      </w:r>
      <w:r w:rsidR="0037789E">
        <w:t>VGSA</w:t>
      </w:r>
      <w:r>
        <w:t xml:space="preserve"> were not necessarily dispassionate or uninformed; they just lacked exposure and experience in agriculture and related topics. Participant 33 said: </w:t>
      </w:r>
    </w:p>
    <w:p w14:paraId="0000000D" w14:textId="77777777" w:rsidR="00D40491" w:rsidRDefault="00000000">
      <w:pPr>
        <w:ind w:left="720"/>
      </w:pPr>
      <w:sdt>
        <w:sdtPr>
          <w:tag w:val="goog_rdk_0"/>
          <w:id w:val="-364184677"/>
        </w:sdtPr>
        <w:sdtContent/>
      </w:sdt>
      <w:r w:rsidR="002762DD">
        <w:t>Before, it [agriculture] was just something that I linked to the environment and food production. I saw agriculture as something that only involved animals, farming, and managing land. However, through experiences at this camp, especially with my GS (Global Seminar) group, I have gained knowledge about agriculture that shows it to be much more than this. It is about people coming together for a common purpose.</w:t>
      </w:r>
    </w:p>
    <w:p w14:paraId="0000000E" w14:textId="77777777" w:rsidR="00D40491" w:rsidRDefault="002762DD">
      <w:r>
        <w:t>Participant 4 stated:</w:t>
      </w:r>
    </w:p>
    <w:p w14:paraId="0000000F" w14:textId="77777777" w:rsidR="00D40491" w:rsidRDefault="002762DD">
      <w:pPr>
        <w:ind w:left="720"/>
      </w:pPr>
      <w:r>
        <w:rPr>
          <w:highlight w:val="white"/>
        </w:rPr>
        <w:t xml:space="preserve">At this barn, the cows aren’t used for milk or meat; they’re here so students like me can learn how to properly care for them. </w:t>
      </w:r>
      <w:r>
        <w:t>That alone showed me that agriculture isn’t always about production because sometimes it’s about learning, responsibility, and preparing the next generation to make better choices.</w:t>
      </w:r>
    </w:p>
    <w:p w14:paraId="00000010" w14:textId="77777777" w:rsidR="00D40491" w:rsidRDefault="002762DD">
      <w:r>
        <w:t>Additionally, participant 17 wrote:</w:t>
      </w:r>
    </w:p>
    <w:p w14:paraId="00000011" w14:textId="77777777" w:rsidR="00D40491" w:rsidRDefault="002762DD">
      <w:pPr>
        <w:ind w:left="720"/>
      </w:pPr>
      <w:r>
        <w:t xml:space="preserve">I used to think agriculture was all about the products made; it seems I had forgotten about the people who do it all. This is what agriculture is: the connection in the community that produces the goods we know as agriculture today. </w:t>
      </w:r>
    </w:p>
    <w:p w14:paraId="00000012" w14:textId="77777777" w:rsidR="00D40491" w:rsidRDefault="002762DD">
      <w:pPr>
        <w:pStyle w:val="Heading1"/>
        <w:spacing w:before="0"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Conclusion &amp; Recommendations</w:t>
      </w:r>
    </w:p>
    <w:p w14:paraId="470BF97B" w14:textId="706AB91E" w:rsidR="00E01372" w:rsidRDefault="002762DD" w:rsidP="00E01372">
      <w:pPr>
        <w:ind w:firstLine="720"/>
      </w:pPr>
      <w:r>
        <w:t xml:space="preserve">Referring to the disconnection in agriculture, </w:t>
      </w:r>
      <w:r w:rsidR="0037789E">
        <w:t>VGSA</w:t>
      </w:r>
      <w:r>
        <w:t xml:space="preserve"> sparked interest for many who were previously uninformed or had very little prior experience with agriculture; students were able to build their knowledge from the ground up. Agriculture is an industry that needs leaders who are well-informed and well-versed. Students who participated in this program went through a transformative learning experience where their perceptions and understandings of agriculture were altered through experiential learning opportunities that </w:t>
      </w:r>
      <w:r w:rsidR="0037789E">
        <w:t>VGSA</w:t>
      </w:r>
      <w:r>
        <w:t xml:space="preserve"> provides. Initially, many students did not know the whole scope of the agricultural system and limited it to planting and harvesting, as those were terms commonly used in the reflections. At the conclusion of the program, those students reflected on the experiences they had and decided that agriculture was a lot more than just farming and tractors, but it also encompassed science, technology, and community, along with other components.</w:t>
      </w:r>
    </w:p>
    <w:p w14:paraId="00000014" w14:textId="3930934B" w:rsidR="00D40491" w:rsidRDefault="002762DD">
      <w:pPr>
        <w:ind w:firstLine="720"/>
      </w:pPr>
      <w:r>
        <w:t xml:space="preserve">One of the goals of </w:t>
      </w:r>
      <w:r w:rsidR="0037789E">
        <w:t>VGSA</w:t>
      </w:r>
      <w:r>
        <w:t xml:space="preserve"> is to increase student participants’ awareness, understanding, and knowledge of agriculture. These findings indicate that students had an enriching experience at </w:t>
      </w:r>
      <w:r w:rsidR="0037789E">
        <w:t>VGSA</w:t>
      </w:r>
      <w:r>
        <w:t xml:space="preserve">, as demonstrated through their reflections </w:t>
      </w:r>
      <w:r w:rsidR="00AC5751">
        <w:t>on</w:t>
      </w:r>
      <w:r>
        <w:t xml:space="preserve"> how community and connections are just as important as planting and harvesting in agriculture. They described agriculture as a large system that encapsulates a broad variety of industries. For future research, it is recommended that </w:t>
      </w:r>
      <w:r w:rsidR="0037789E">
        <w:t>VGSA</w:t>
      </w:r>
      <w:r>
        <w:t xml:space="preserve"> leadership investigate how individuals who have gone through </w:t>
      </w:r>
      <w:r w:rsidR="0037789E">
        <w:t>VGSA</w:t>
      </w:r>
      <w:r>
        <w:t xml:space="preserve"> previously implement the knowledge they gathered into their daily lives, education, or careers.</w:t>
      </w:r>
    </w:p>
    <w:p w14:paraId="00000015" w14:textId="77777777" w:rsidR="00D40491" w:rsidRDefault="002762DD">
      <w:pPr>
        <w:pStyle w:val="Heading1"/>
        <w:spacing w:before="0"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References</w:t>
      </w:r>
    </w:p>
    <w:p w14:paraId="00000016" w14:textId="77777777" w:rsidR="00D40491" w:rsidRDefault="002762DD">
      <w:pPr>
        <w:ind w:left="720" w:hanging="720"/>
      </w:pPr>
      <w:r>
        <w:rPr>
          <w:highlight w:val="white"/>
        </w:rPr>
        <w:t xml:space="preserve">Creswell, J. W., &amp; Creswell, J. D. (2017). </w:t>
      </w:r>
      <w:r>
        <w:rPr>
          <w:i/>
          <w:highlight w:val="white"/>
        </w:rPr>
        <w:t>Research design: Qualitative, quantitative, and mixed methods approaches</w:t>
      </w:r>
      <w:r>
        <w:rPr>
          <w:highlight w:val="white"/>
        </w:rPr>
        <w:t>. Sage Publications.</w:t>
      </w:r>
    </w:p>
    <w:p w14:paraId="00000017" w14:textId="77777777" w:rsidR="00D40491" w:rsidRDefault="002762DD">
      <w:pPr>
        <w:ind w:left="720" w:hanging="720"/>
      </w:pPr>
      <w:r>
        <w:t xml:space="preserve">Duncan, D. W., &amp; Broyles, T. W. (2006). A comparison of student knowledge and perceptions toward agriculture before and after attending a Governor’s School for Agriculture. </w:t>
      </w:r>
      <w:r>
        <w:rPr>
          <w:i/>
        </w:rPr>
        <w:t>NACTA Journal, 50</w:t>
      </w:r>
      <w:r>
        <w:t>(1), 16–21. http://www.jstor.org/stable/43766889</w:t>
      </w:r>
    </w:p>
    <w:p w14:paraId="00000018" w14:textId="77777777" w:rsidR="00D40491" w:rsidRDefault="002762DD">
      <w:pPr>
        <w:ind w:left="720" w:hanging="720"/>
        <w:rPr>
          <w:highlight w:val="white"/>
        </w:rPr>
      </w:pPr>
      <w:r>
        <w:rPr>
          <w:highlight w:val="white"/>
        </w:rPr>
        <w:t xml:space="preserve">Harper, D. (2002). Talking about pictures: A case for photo elicitation. </w:t>
      </w:r>
      <w:r>
        <w:rPr>
          <w:i/>
          <w:highlight w:val="white"/>
        </w:rPr>
        <w:t>Visual Studies</w:t>
      </w:r>
      <w:r>
        <w:rPr>
          <w:highlight w:val="white"/>
        </w:rPr>
        <w:t xml:space="preserve">, </w:t>
      </w:r>
      <w:r>
        <w:rPr>
          <w:i/>
          <w:highlight w:val="white"/>
        </w:rPr>
        <w:t>17</w:t>
      </w:r>
      <w:r>
        <w:rPr>
          <w:highlight w:val="white"/>
        </w:rPr>
        <w:t>(1), 13-26. https://doi.org/10.1080/14725860220137345</w:t>
      </w:r>
    </w:p>
    <w:p w14:paraId="00000019" w14:textId="77777777" w:rsidR="00D40491" w:rsidRDefault="002762DD">
      <w:pPr>
        <w:ind w:left="720" w:hanging="720"/>
      </w:pPr>
      <w:r>
        <w:t xml:space="preserve">Luckey, A. N., Murphey, T. P., Cummins, R. L., &amp; Edwards, M. B. (2013). Assessing youth perceptions and knowledge of agriculture: The impact of participating in an AgVenture program. </w:t>
      </w:r>
      <w:r>
        <w:rPr>
          <w:i/>
        </w:rPr>
        <w:t>The Journal of Extension, 51</w:t>
      </w:r>
      <w:r>
        <w:t>(3), Article 30. https://doi.org/10.34068/joe.51.03.30</w:t>
      </w:r>
    </w:p>
    <w:p w14:paraId="0000001A" w14:textId="77777777" w:rsidR="00D40491" w:rsidRDefault="002762DD">
      <w:pPr>
        <w:ind w:left="720" w:hanging="720"/>
      </w:pPr>
      <w:r>
        <w:t xml:space="preserve">Mezirow, J. (1997). Transformative learning: Theory to practice. </w:t>
      </w:r>
      <w:r>
        <w:rPr>
          <w:i/>
        </w:rPr>
        <w:t>New Directions for Adult and Continuing Education</w:t>
      </w:r>
      <w:r>
        <w:t xml:space="preserve">, </w:t>
      </w:r>
      <w:r>
        <w:rPr>
          <w:i/>
        </w:rPr>
        <w:t>1997</w:t>
      </w:r>
      <w:r>
        <w:t>(74), 5-12.  https://doi.org/10.1002/ace.7401</w:t>
      </w:r>
    </w:p>
    <w:p w14:paraId="0000001B" w14:textId="77777777" w:rsidR="00D40491" w:rsidRDefault="002762DD">
      <w:pPr>
        <w:ind w:left="720" w:hanging="720"/>
      </w:pPr>
      <w:r>
        <w:t xml:space="preserve">O’Connor, C., &amp; Joffe, H. (2020). Intercoder reliability in Qualitative Research: Debates and practical guidelines. </w:t>
      </w:r>
      <w:r>
        <w:rPr>
          <w:i/>
        </w:rPr>
        <w:t>International Journal of Qualitative Methods</w:t>
      </w:r>
      <w:r>
        <w:t xml:space="preserve">, </w:t>
      </w:r>
      <w:r>
        <w:rPr>
          <w:i/>
        </w:rPr>
        <w:t>19</w:t>
      </w:r>
      <w:r>
        <w:t>. https://doi.org/10.1177/1609406919899220</w:t>
      </w:r>
    </w:p>
    <w:p w14:paraId="0000001C" w14:textId="77777777" w:rsidR="00D40491" w:rsidRDefault="002762DD">
      <w:pPr>
        <w:ind w:left="720" w:hanging="720"/>
      </w:pPr>
      <w:r>
        <w:t xml:space="preserve">Smith, E., Park, T., &amp; Sutton, M. (2009). High school students’ perceptions and knowledge about agriculture based upon location of the high school. </w:t>
      </w:r>
      <w:r>
        <w:rPr>
          <w:i/>
        </w:rPr>
        <w:t>NACTA Journal, 53</w:t>
      </w:r>
      <w:r>
        <w:t>(3), 17–23. http://www.jstor.org/stable/43765385</w:t>
      </w:r>
    </w:p>
    <w:p w14:paraId="0000001D" w14:textId="1658DCF6" w:rsidR="00D40491" w:rsidRDefault="0037789E" w:rsidP="009165AE">
      <w:pPr>
        <w:ind w:left="720" w:hanging="720"/>
      </w:pPr>
      <w:r>
        <w:t>Virginia Tech</w:t>
      </w:r>
      <w:r w:rsidR="002762DD">
        <w:t xml:space="preserve">. (2025). </w:t>
      </w:r>
      <w:r>
        <w:rPr>
          <w:i/>
        </w:rPr>
        <w:t>G</w:t>
      </w:r>
      <w:r w:rsidR="00524303">
        <w:rPr>
          <w:i/>
        </w:rPr>
        <w:t xml:space="preserve">overnor’s </w:t>
      </w:r>
      <w:r>
        <w:rPr>
          <w:i/>
        </w:rPr>
        <w:t>S</w:t>
      </w:r>
      <w:r w:rsidR="009165AE">
        <w:rPr>
          <w:i/>
        </w:rPr>
        <w:t xml:space="preserve">chool for </w:t>
      </w:r>
      <w:r>
        <w:rPr>
          <w:i/>
        </w:rPr>
        <w:t>A</w:t>
      </w:r>
      <w:r w:rsidR="009165AE">
        <w:rPr>
          <w:i/>
        </w:rPr>
        <w:t>griculture</w:t>
      </w:r>
      <w:r w:rsidR="002762DD">
        <w:t xml:space="preserve">. </w:t>
      </w:r>
      <w:r w:rsidR="009165AE" w:rsidRPr="009165AE">
        <w:t>https://www.alce.vt.edu/signature-programs/governors-ag-school.html</w:t>
      </w:r>
    </w:p>
    <w:sectPr w:rsidR="00D40491">
      <w:head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DC4A6F" w14:textId="77777777" w:rsidR="00EE420D" w:rsidRDefault="00EE420D">
      <w:r>
        <w:separator/>
      </w:r>
    </w:p>
  </w:endnote>
  <w:endnote w:type="continuationSeparator" w:id="0">
    <w:p w14:paraId="04E5AA9F" w14:textId="77777777" w:rsidR="00EE420D" w:rsidRDefault="00EE42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embedRegular r:id="rId1" w:fontKey="{293770F5-4F00-4B92-8783-4022C0D6EA6D}"/>
  </w:font>
  <w:font w:name="Aptos">
    <w:charset w:val="00"/>
    <w:family w:val="swiss"/>
    <w:pitch w:val="variable"/>
    <w:sig w:usb0="20000287" w:usb1="00000003" w:usb2="00000000" w:usb3="00000000" w:csb0="0000019F" w:csb1="00000000"/>
    <w:embedRegular r:id="rId2" w:fontKey="{2FB13C03-E177-4763-95E6-DB372E3F8BF8}"/>
    <w:embedItalic r:id="rId3" w:fontKey="{78D3AA11-1692-4F32-98A1-0985BD87255A}"/>
  </w:font>
  <w:font w:name="Aptos Display">
    <w:charset w:val="00"/>
    <w:family w:val="swiss"/>
    <w:pitch w:val="variable"/>
    <w:sig w:usb0="20000287" w:usb1="00000003" w:usb2="00000000" w:usb3="00000000" w:csb0="0000019F" w:csb1="00000000"/>
    <w:embedRegular r:id="rId4" w:fontKey="{9456C94B-CA7A-41D8-97B8-EEDBFB9D7C53}"/>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1E95A2" w14:textId="77777777" w:rsidR="00EE420D" w:rsidRDefault="00EE420D">
      <w:r>
        <w:separator/>
      </w:r>
    </w:p>
  </w:footnote>
  <w:footnote w:type="continuationSeparator" w:id="0">
    <w:p w14:paraId="3850F602" w14:textId="77777777" w:rsidR="00EE420D" w:rsidRDefault="00EE42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1E" w14:textId="77777777" w:rsidR="00D40491" w:rsidRDefault="002762DD">
    <w:pPr>
      <w:jc w:val="right"/>
    </w:pPr>
    <w:r>
      <w:t>Research Poster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0491"/>
    <w:rsid w:val="001E576D"/>
    <w:rsid w:val="0022191E"/>
    <w:rsid w:val="0026770F"/>
    <w:rsid w:val="002762DD"/>
    <w:rsid w:val="0032085F"/>
    <w:rsid w:val="0037789E"/>
    <w:rsid w:val="003F3B10"/>
    <w:rsid w:val="00524303"/>
    <w:rsid w:val="006517B8"/>
    <w:rsid w:val="00743AD7"/>
    <w:rsid w:val="007A596E"/>
    <w:rsid w:val="009165AE"/>
    <w:rsid w:val="009D0104"/>
    <w:rsid w:val="00AC5751"/>
    <w:rsid w:val="00BE2C74"/>
    <w:rsid w:val="00C70145"/>
    <w:rsid w:val="00D40491"/>
    <w:rsid w:val="00E01372"/>
    <w:rsid w:val="00EE420D"/>
    <w:rsid w:val="00FD46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8F5B7A"/>
  <w15:docId w15:val="{81501F8C-7B4A-443A-B9EF-D3E09E27C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line="278" w:lineRule="auto"/>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line="278" w:lineRule="auto"/>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line="278" w:lineRule="auto"/>
      <w:outlineLvl w:val="2"/>
    </w:pPr>
    <w:rPr>
      <w:rFonts w:ascii="Aptos" w:eastAsia="Aptos" w:hAnsi="Aptos" w:cs="Aptos"/>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line="278" w:lineRule="auto"/>
      <w:outlineLvl w:val="3"/>
    </w:pPr>
    <w:rPr>
      <w:rFonts w:ascii="Aptos" w:eastAsia="Aptos" w:hAnsi="Aptos" w:cs="Aptos"/>
      <w:i/>
      <w:color w:val="0F4761"/>
    </w:rPr>
  </w:style>
  <w:style w:type="paragraph" w:styleId="Heading5">
    <w:name w:val="heading 5"/>
    <w:basedOn w:val="Normal"/>
    <w:next w:val="Normal"/>
    <w:link w:val="Heading5Char"/>
    <w:uiPriority w:val="9"/>
    <w:semiHidden/>
    <w:unhideWhenUsed/>
    <w:qFormat/>
    <w:pPr>
      <w:keepNext/>
      <w:keepLines/>
      <w:spacing w:before="80" w:after="40" w:line="278" w:lineRule="auto"/>
      <w:outlineLvl w:val="4"/>
    </w:pPr>
    <w:rPr>
      <w:rFonts w:ascii="Aptos" w:eastAsia="Aptos" w:hAnsi="Aptos" w:cs="Aptos"/>
      <w:color w:val="0F4761"/>
    </w:rPr>
  </w:style>
  <w:style w:type="paragraph" w:styleId="Heading6">
    <w:name w:val="heading 6"/>
    <w:basedOn w:val="Normal"/>
    <w:next w:val="Normal"/>
    <w:link w:val="Heading6Char"/>
    <w:uiPriority w:val="9"/>
    <w:semiHidden/>
    <w:unhideWhenUsed/>
    <w:qFormat/>
    <w:pPr>
      <w:keepNext/>
      <w:keepLines/>
      <w:spacing w:before="40" w:line="278" w:lineRule="auto"/>
      <w:outlineLvl w:val="5"/>
    </w:pPr>
    <w:rPr>
      <w:rFonts w:ascii="Aptos" w:eastAsia="Aptos" w:hAnsi="Aptos" w:cs="Aptos"/>
      <w:i/>
      <w:color w:val="595959"/>
    </w:rPr>
  </w:style>
  <w:style w:type="paragraph" w:styleId="Heading7">
    <w:name w:val="heading 7"/>
    <w:basedOn w:val="Normal"/>
    <w:next w:val="Normal"/>
    <w:link w:val="Heading7Char"/>
    <w:uiPriority w:val="9"/>
    <w:semiHidden/>
    <w:unhideWhenUsed/>
    <w:qFormat/>
    <w:rsid w:val="00CF7D34"/>
    <w:pPr>
      <w:keepNext/>
      <w:keepLines/>
      <w:spacing w:before="40" w:line="278" w:lineRule="auto"/>
      <w:outlineLvl w:val="6"/>
    </w:pPr>
    <w:rPr>
      <w:rFonts w:asciiTheme="minorHAnsi" w:eastAsiaTheme="majorEastAsia" w:hAnsiTheme="minorHAnsi" w:cstheme="majorBidi"/>
      <w:color w:val="595959" w:themeColor="text1" w:themeTint="A6"/>
      <w:kern w:val="2"/>
    </w:rPr>
  </w:style>
  <w:style w:type="paragraph" w:styleId="Heading8">
    <w:name w:val="heading 8"/>
    <w:basedOn w:val="Normal"/>
    <w:next w:val="Normal"/>
    <w:link w:val="Heading8Char"/>
    <w:uiPriority w:val="9"/>
    <w:semiHidden/>
    <w:unhideWhenUsed/>
    <w:qFormat/>
    <w:rsid w:val="00CF7D34"/>
    <w:pPr>
      <w:keepNext/>
      <w:keepLines/>
      <w:spacing w:line="278" w:lineRule="auto"/>
      <w:outlineLvl w:val="7"/>
    </w:pPr>
    <w:rPr>
      <w:rFonts w:asciiTheme="minorHAnsi" w:eastAsiaTheme="majorEastAsia" w:hAnsiTheme="minorHAnsi" w:cstheme="majorBidi"/>
      <w:i/>
      <w:iCs/>
      <w:color w:val="272727" w:themeColor="text1" w:themeTint="D8"/>
      <w:kern w:val="2"/>
    </w:rPr>
  </w:style>
  <w:style w:type="paragraph" w:styleId="Heading9">
    <w:name w:val="heading 9"/>
    <w:basedOn w:val="Normal"/>
    <w:next w:val="Normal"/>
    <w:link w:val="Heading9Char"/>
    <w:uiPriority w:val="9"/>
    <w:semiHidden/>
    <w:unhideWhenUsed/>
    <w:qFormat/>
    <w:rsid w:val="00CF7D34"/>
    <w:pPr>
      <w:keepNext/>
      <w:keepLines/>
      <w:spacing w:line="278" w:lineRule="auto"/>
      <w:outlineLvl w:val="8"/>
    </w:pPr>
    <w:rPr>
      <w:rFonts w:asciiTheme="minorHAnsi" w:eastAsiaTheme="majorEastAsia" w:hAnsiTheme="minorHAnsi" w:cstheme="majorBidi"/>
      <w:color w:val="272727" w:themeColor="text1" w:themeTint="D8"/>
      <w:kern w:val="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pPr>
    <w:rPr>
      <w:rFonts w:ascii="Play" w:eastAsia="Play" w:hAnsi="Play" w:cs="Play"/>
      <w:sz w:val="56"/>
      <w:szCs w:val="56"/>
    </w:rPr>
  </w:style>
  <w:style w:type="table" w:customStyle="1" w:styleId="TableNormal1">
    <w:name w:val="TableNormal"/>
    <w:tblPr>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CF7D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7D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7D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7D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7D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7D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7D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7D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7D34"/>
    <w:rPr>
      <w:rFonts w:eastAsiaTheme="majorEastAsia" w:cstheme="majorBidi"/>
      <w:color w:val="272727" w:themeColor="text1" w:themeTint="D8"/>
    </w:rPr>
  </w:style>
  <w:style w:type="character" w:customStyle="1" w:styleId="TitleChar">
    <w:name w:val="Title Char"/>
    <w:basedOn w:val="DefaultParagraphFont"/>
    <w:link w:val="Title"/>
    <w:uiPriority w:val="10"/>
    <w:rsid w:val="00CF7D34"/>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CF7D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7D34"/>
    <w:pPr>
      <w:spacing w:before="160" w:after="160" w:line="278" w:lineRule="auto"/>
      <w:jc w:val="center"/>
    </w:pPr>
    <w:rPr>
      <w:rFonts w:asciiTheme="minorHAnsi" w:eastAsiaTheme="minorHAnsi" w:hAnsiTheme="minorHAnsi" w:cstheme="minorBidi"/>
      <w:i/>
      <w:iCs/>
      <w:color w:val="404040" w:themeColor="text1" w:themeTint="BF"/>
      <w:kern w:val="2"/>
    </w:rPr>
  </w:style>
  <w:style w:type="character" w:customStyle="1" w:styleId="QuoteChar">
    <w:name w:val="Quote Char"/>
    <w:basedOn w:val="DefaultParagraphFont"/>
    <w:link w:val="Quote"/>
    <w:uiPriority w:val="29"/>
    <w:rsid w:val="00CF7D34"/>
    <w:rPr>
      <w:i/>
      <w:iCs/>
      <w:color w:val="404040" w:themeColor="text1" w:themeTint="BF"/>
    </w:rPr>
  </w:style>
  <w:style w:type="paragraph" w:styleId="ListParagraph">
    <w:name w:val="List Paragraph"/>
    <w:basedOn w:val="Normal"/>
    <w:uiPriority w:val="34"/>
    <w:qFormat/>
    <w:rsid w:val="00CF7D34"/>
    <w:pPr>
      <w:spacing w:after="160" w:line="278" w:lineRule="auto"/>
      <w:ind w:left="720"/>
      <w:contextualSpacing/>
    </w:pPr>
    <w:rPr>
      <w:rFonts w:asciiTheme="minorHAnsi" w:eastAsiaTheme="minorHAnsi" w:hAnsiTheme="minorHAnsi" w:cstheme="minorBidi"/>
      <w:kern w:val="2"/>
    </w:rPr>
  </w:style>
  <w:style w:type="character" w:styleId="IntenseEmphasis">
    <w:name w:val="Intense Emphasis"/>
    <w:basedOn w:val="DefaultParagraphFont"/>
    <w:uiPriority w:val="21"/>
    <w:qFormat/>
    <w:rsid w:val="00CF7D34"/>
    <w:rPr>
      <w:i/>
      <w:iCs/>
      <w:color w:val="0F4761" w:themeColor="accent1" w:themeShade="BF"/>
    </w:rPr>
  </w:style>
  <w:style w:type="paragraph" w:styleId="IntenseQuote">
    <w:name w:val="Intense Quote"/>
    <w:basedOn w:val="Normal"/>
    <w:next w:val="Normal"/>
    <w:link w:val="IntenseQuoteChar"/>
    <w:uiPriority w:val="30"/>
    <w:qFormat/>
    <w:rsid w:val="00CF7D3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rPr>
  </w:style>
  <w:style w:type="character" w:customStyle="1" w:styleId="IntenseQuoteChar">
    <w:name w:val="Intense Quote Char"/>
    <w:basedOn w:val="DefaultParagraphFont"/>
    <w:link w:val="IntenseQuote"/>
    <w:uiPriority w:val="30"/>
    <w:rsid w:val="00CF7D34"/>
    <w:rPr>
      <w:i/>
      <w:iCs/>
      <w:color w:val="0F4761" w:themeColor="accent1" w:themeShade="BF"/>
    </w:rPr>
  </w:style>
  <w:style w:type="character" w:styleId="IntenseReference">
    <w:name w:val="Intense Reference"/>
    <w:basedOn w:val="DefaultParagraphFont"/>
    <w:uiPriority w:val="32"/>
    <w:qFormat/>
    <w:rsid w:val="00CF7D34"/>
    <w:rPr>
      <w:b/>
      <w:bCs/>
      <w:smallCaps/>
      <w:color w:val="0F4761" w:themeColor="accent1" w:themeShade="BF"/>
      <w:spacing w:val="5"/>
    </w:rPr>
  </w:style>
  <w:style w:type="paragraph" w:styleId="Subtitle">
    <w:name w:val="Subtitle"/>
    <w:basedOn w:val="Normal"/>
    <w:next w:val="Normal"/>
    <w:link w:val="SubtitleChar"/>
    <w:uiPriority w:val="11"/>
    <w:qFormat/>
    <w:pPr>
      <w:spacing w:after="160" w:line="278" w:lineRule="auto"/>
    </w:pPr>
    <w:rPr>
      <w:rFonts w:ascii="Aptos" w:eastAsia="Aptos" w:hAnsi="Aptos" w:cs="Aptos"/>
      <w:color w:val="595959"/>
      <w:sz w:val="28"/>
      <w:szCs w:val="28"/>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qT28N3g90h17cYIbv1pa6HfzCA==">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1448</TotalTime>
  <Pages>4</Pages>
  <Words>1267</Words>
  <Characters>8125</Characters>
  <Application>Microsoft Office Word</Application>
  <DocSecurity>0</DocSecurity>
  <Lines>137</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Newman, Katlyn</dc:creator>
  <cp:lastModifiedBy>Milliken, Brett</cp:lastModifiedBy>
  <cp:revision>17</cp:revision>
  <dcterms:created xsi:type="dcterms:W3CDTF">2025-10-20T14:03:00Z</dcterms:created>
  <dcterms:modified xsi:type="dcterms:W3CDTF">2025-11-21T18:25:00Z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22e91a78-facf-4cae-872f-5d2811d54257</vt:lpwstr>
  </property>
</Properties>
</file>