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D0787" w14:textId="77777777" w:rsidR="002B65CF" w:rsidRDefault="002B65CF" w:rsidP="002B65CF">
      <w:pPr>
        <w:pStyle w:val="Title"/>
        <w:rPr>
          <w:rFonts w:ascii="Times" w:eastAsia="Times" w:hAnsi="Times" w:cs="Times"/>
          <w:highlight w:val="white"/>
        </w:rPr>
      </w:pPr>
      <w:bookmarkStart w:id="0" w:name="_heading=h.kixke6svppxc" w:colFirst="0" w:colLast="0"/>
      <w:bookmarkStart w:id="1" w:name="_heading=h.vz7pvl6eezar" w:colFirst="0" w:colLast="0"/>
      <w:bookmarkEnd w:id="0"/>
      <w:bookmarkEnd w:id="1"/>
    </w:p>
    <w:p w14:paraId="68169D8F" w14:textId="77777777" w:rsidR="002B65CF" w:rsidRDefault="002B65CF" w:rsidP="002B65CF">
      <w:pPr>
        <w:pStyle w:val="Title"/>
        <w:rPr>
          <w:rFonts w:ascii="Times" w:eastAsia="Times" w:hAnsi="Times" w:cs="Times"/>
          <w:highlight w:val="white"/>
        </w:rPr>
      </w:pPr>
    </w:p>
    <w:p w14:paraId="46A756C8" w14:textId="77777777" w:rsidR="002B65CF" w:rsidRDefault="002B65CF" w:rsidP="002B65CF">
      <w:pPr>
        <w:pStyle w:val="Title"/>
        <w:rPr>
          <w:rFonts w:ascii="Times" w:eastAsia="Times" w:hAnsi="Times" w:cs="Times"/>
          <w:highlight w:val="white"/>
        </w:rPr>
      </w:pPr>
    </w:p>
    <w:p w14:paraId="17401BB7" w14:textId="77777777" w:rsidR="002B65CF" w:rsidRPr="00F0513E" w:rsidRDefault="002B65CF" w:rsidP="002B65CF">
      <w:pPr>
        <w:pStyle w:val="Title"/>
      </w:pPr>
      <w:r w:rsidRPr="00F0513E">
        <w:t xml:space="preserve">The Ties That Grow: Understanding Community Connections in Agriculture Through </w:t>
      </w:r>
      <w:r>
        <w:t>the Virginia Governor’s School for Agriculture</w:t>
      </w:r>
    </w:p>
    <w:p w14:paraId="04E6AFC5" w14:textId="77777777" w:rsidR="002B65CF" w:rsidRPr="00A12C27" w:rsidRDefault="002B65CF" w:rsidP="002B65CF">
      <w:pPr>
        <w:spacing w:after="0" w:line="240" w:lineRule="auto"/>
        <w:jc w:val="center"/>
        <w:rPr>
          <w:rFonts w:ascii="Times New Roman" w:hAnsi="Times New Roman" w:cs="Times New Roman"/>
        </w:rPr>
      </w:pPr>
    </w:p>
    <w:p w14:paraId="20F1D722" w14:textId="77777777" w:rsidR="002B65CF" w:rsidRPr="00A12C27" w:rsidRDefault="002B65CF" w:rsidP="002B65CF">
      <w:pPr>
        <w:spacing w:after="0" w:line="240" w:lineRule="auto"/>
        <w:jc w:val="center"/>
        <w:rPr>
          <w:rFonts w:ascii="Times New Roman" w:hAnsi="Times New Roman" w:cs="Times New Roman"/>
        </w:rPr>
      </w:pPr>
    </w:p>
    <w:p w14:paraId="78D70086" w14:textId="77777777" w:rsidR="002B65CF" w:rsidRPr="00A12C27" w:rsidRDefault="002B65CF" w:rsidP="002B65CF">
      <w:pPr>
        <w:spacing w:after="0" w:line="240" w:lineRule="auto"/>
        <w:jc w:val="center"/>
        <w:rPr>
          <w:rFonts w:ascii="Times New Roman" w:hAnsi="Times New Roman" w:cs="Times New Roman"/>
        </w:rPr>
      </w:pPr>
    </w:p>
    <w:p w14:paraId="6B3C1854" w14:textId="77777777" w:rsidR="002B65CF" w:rsidRPr="00A12C27" w:rsidRDefault="002B65CF" w:rsidP="002B65CF">
      <w:pPr>
        <w:spacing w:after="0" w:line="240" w:lineRule="auto"/>
        <w:jc w:val="center"/>
        <w:rPr>
          <w:rFonts w:ascii="Times New Roman" w:hAnsi="Times New Roman" w:cs="Times New Roman"/>
        </w:rPr>
      </w:pPr>
    </w:p>
    <w:p w14:paraId="32B3B33D" w14:textId="77777777" w:rsidR="002B65CF"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Rebekah Sanderson</w:t>
      </w:r>
    </w:p>
    <w:p w14:paraId="32EFE72E" w14:textId="77777777" w:rsidR="002B65CF"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Katlyn Newman</w:t>
      </w:r>
    </w:p>
    <w:p w14:paraId="55C2B678" w14:textId="17BC5818" w:rsidR="002B65CF" w:rsidRPr="00A12C27" w:rsidRDefault="002B65CF" w:rsidP="002B65CF">
      <w:pPr>
        <w:spacing w:after="0" w:line="240" w:lineRule="auto"/>
        <w:jc w:val="center"/>
        <w:rPr>
          <w:rFonts w:ascii="Times New Roman" w:hAnsi="Times New Roman" w:cs="Times New Roman"/>
          <w:bCs/>
        </w:rPr>
      </w:pPr>
      <w:proofErr w:type="spellStart"/>
      <w:r w:rsidRPr="00A12C27">
        <w:rPr>
          <w:rFonts w:ascii="Times New Roman" w:hAnsi="Times New Roman" w:cs="Times New Roman"/>
          <w:bCs/>
        </w:rPr>
        <w:t>Lynelis</w:t>
      </w:r>
      <w:proofErr w:type="spellEnd"/>
      <w:r w:rsidRPr="00A12C27">
        <w:rPr>
          <w:rFonts w:ascii="Times New Roman" w:hAnsi="Times New Roman" w:cs="Times New Roman"/>
          <w:bCs/>
        </w:rPr>
        <w:t xml:space="preserve"> Villanueva-Rios</w:t>
      </w:r>
    </w:p>
    <w:p w14:paraId="38849625"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D. Brett Milliken, Ph.D.</w:t>
      </w:r>
    </w:p>
    <w:p w14:paraId="5180D964" w14:textId="77777777" w:rsidR="002B65CF" w:rsidRPr="00A12C27" w:rsidRDefault="002B65CF" w:rsidP="002B65CF">
      <w:pPr>
        <w:spacing w:after="0" w:line="240" w:lineRule="auto"/>
        <w:jc w:val="center"/>
        <w:rPr>
          <w:rFonts w:ascii="Times New Roman" w:hAnsi="Times New Roman" w:cs="Times New Roman"/>
          <w:bCs/>
        </w:rPr>
      </w:pPr>
    </w:p>
    <w:p w14:paraId="5720A3E6"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Department of Agricultural, Leadership, and Community Education</w:t>
      </w:r>
    </w:p>
    <w:p w14:paraId="1A3C8ED7"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Virginia Tech</w:t>
      </w:r>
    </w:p>
    <w:p w14:paraId="2040913E" w14:textId="77777777" w:rsidR="002B65CF" w:rsidRPr="00A12C27" w:rsidRDefault="002B65CF" w:rsidP="002B65CF">
      <w:pPr>
        <w:spacing w:after="0" w:line="240" w:lineRule="auto"/>
        <w:jc w:val="center"/>
        <w:rPr>
          <w:rFonts w:ascii="Times New Roman" w:hAnsi="Times New Roman" w:cs="Times New Roman"/>
          <w:bCs/>
        </w:rPr>
      </w:pPr>
    </w:p>
    <w:p w14:paraId="6810C7C5" w14:textId="77777777" w:rsidR="002B65CF" w:rsidRPr="00A12C27" w:rsidRDefault="002B65CF" w:rsidP="002B65CF">
      <w:pPr>
        <w:spacing w:after="0" w:line="240" w:lineRule="auto"/>
        <w:jc w:val="center"/>
        <w:rPr>
          <w:rFonts w:ascii="Times New Roman" w:hAnsi="Times New Roman" w:cs="Times New Roman"/>
          <w:bCs/>
        </w:rPr>
      </w:pPr>
    </w:p>
    <w:p w14:paraId="66CCBF02" w14:textId="77777777" w:rsidR="002B65CF" w:rsidRPr="00A12C27" w:rsidRDefault="002B65CF" w:rsidP="002B65CF">
      <w:pPr>
        <w:spacing w:after="0" w:line="240" w:lineRule="auto"/>
        <w:jc w:val="center"/>
        <w:rPr>
          <w:rFonts w:ascii="Times New Roman" w:hAnsi="Times New Roman" w:cs="Times New Roman"/>
          <w:bCs/>
        </w:rPr>
      </w:pPr>
    </w:p>
    <w:p w14:paraId="57C8A5E3"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Contact Information</w:t>
      </w:r>
    </w:p>
    <w:p w14:paraId="4790E076"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D. Brett Milliken, Ph.D.</w:t>
      </w:r>
    </w:p>
    <w:p w14:paraId="1BFFF765"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 xml:space="preserve"> Virginia Tech </w:t>
      </w:r>
    </w:p>
    <w:p w14:paraId="45C2A014"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 xml:space="preserve">Litton-Reaves Hall, Mail Code 0343 </w:t>
      </w:r>
    </w:p>
    <w:p w14:paraId="5683F68E"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 xml:space="preserve">Blacksburg, VA 24061 </w:t>
      </w:r>
    </w:p>
    <w:p w14:paraId="1F9696E1" w14:textId="77777777" w:rsidR="002B65CF" w:rsidRPr="00A12C27" w:rsidRDefault="002B65CF" w:rsidP="002B65CF">
      <w:pPr>
        <w:spacing w:after="0" w:line="240" w:lineRule="auto"/>
        <w:jc w:val="center"/>
        <w:rPr>
          <w:rFonts w:ascii="Times New Roman" w:hAnsi="Times New Roman" w:cs="Times New Roman"/>
          <w:bCs/>
        </w:rPr>
      </w:pPr>
      <w:r w:rsidRPr="00A12C27">
        <w:rPr>
          <w:rFonts w:ascii="Times New Roman" w:hAnsi="Times New Roman" w:cs="Times New Roman"/>
          <w:bCs/>
        </w:rPr>
        <w:t xml:space="preserve">(540-231-1003) </w:t>
      </w:r>
    </w:p>
    <w:p w14:paraId="45AD5B23" w14:textId="1BA69AB8" w:rsidR="00867A2D" w:rsidRDefault="002B65CF" w:rsidP="002B65CF">
      <w:pPr>
        <w:jc w:val="center"/>
        <w:rPr>
          <w:rFonts w:ascii="Times New Roman" w:eastAsia="Times New Roman" w:hAnsi="Times New Roman" w:cs="Times New Roman"/>
          <w:b/>
        </w:rPr>
      </w:pPr>
      <w:r w:rsidRPr="00A12C27">
        <w:rPr>
          <w:rFonts w:ascii="Times New Roman" w:hAnsi="Times New Roman" w:cs="Times New Roman"/>
          <w:bCs/>
        </w:rPr>
        <w:t>bmilliken@vt.edu</w:t>
      </w:r>
      <w:r w:rsidR="00867A2D">
        <w:br w:type="page"/>
      </w:r>
    </w:p>
    <w:p w14:paraId="00000001" w14:textId="4773EF3A" w:rsidR="000654B4" w:rsidRPr="00F0513E" w:rsidRDefault="007059F3">
      <w:pPr>
        <w:pStyle w:val="Title"/>
      </w:pPr>
      <w:r w:rsidRPr="00F0513E">
        <w:lastRenderedPageBreak/>
        <w:t xml:space="preserve">The Ties That Grow: Understanding Community Connections in Agriculture Through </w:t>
      </w:r>
      <w:r w:rsidR="00867A2D">
        <w:t>the Virginia Governor’s School for Agriculture</w:t>
      </w:r>
    </w:p>
    <w:p w14:paraId="00000003" w14:textId="0EDDA278" w:rsidR="000654B4" w:rsidRPr="00F0513E" w:rsidRDefault="007059F3">
      <w:pPr>
        <w:spacing w:after="0" w:line="240" w:lineRule="auto"/>
        <w:ind w:firstLine="720"/>
        <w:rPr>
          <w:rFonts w:ascii="Times New Roman" w:eastAsia="Times New Roman" w:hAnsi="Times New Roman" w:cs="Times New Roman"/>
        </w:rPr>
      </w:pPr>
      <w:bookmarkStart w:id="2" w:name="_heading=h.9idw2isgrmb3" w:colFirst="0" w:colLast="0"/>
      <w:bookmarkEnd w:id="2"/>
      <w:r w:rsidRPr="00F0513E">
        <w:rPr>
          <w:rFonts w:ascii="Times New Roman" w:eastAsia="Times New Roman" w:hAnsi="Times New Roman" w:cs="Times New Roman"/>
        </w:rPr>
        <w:t xml:space="preserve">Thomas Lyson’s </w:t>
      </w:r>
      <w:r w:rsidRPr="00F0513E">
        <w:rPr>
          <w:rFonts w:ascii="Times New Roman" w:eastAsia="Times New Roman" w:hAnsi="Times New Roman" w:cs="Times New Roman"/>
          <w:i/>
        </w:rPr>
        <w:t>Civic Agriculture: Reconnecting Farm, Food, and Community</w:t>
      </w:r>
      <w:r w:rsidRPr="00F0513E">
        <w:rPr>
          <w:rFonts w:ascii="Times New Roman" w:eastAsia="Times New Roman" w:hAnsi="Times New Roman" w:cs="Times New Roman"/>
        </w:rPr>
        <w:t xml:space="preserve"> emphasizes how civic agriculture and local agriculture are important and warrant further attention (Lyson, 2004). Local or community involvement in agriculture can be represented by community gardens, farmers’ markets, community kitchens, and community-supported agriculture operations (</w:t>
      </w:r>
      <w:proofErr w:type="spellStart"/>
      <w:r w:rsidRPr="00F0513E">
        <w:rPr>
          <w:rFonts w:ascii="Times New Roman" w:eastAsia="Times New Roman" w:hAnsi="Times New Roman" w:cs="Times New Roman"/>
        </w:rPr>
        <w:t>DeLind</w:t>
      </w:r>
      <w:proofErr w:type="spellEnd"/>
      <w:r w:rsidRPr="00F0513E">
        <w:rPr>
          <w:rFonts w:ascii="Times New Roman" w:eastAsia="Times New Roman" w:hAnsi="Times New Roman" w:cs="Times New Roman"/>
        </w:rPr>
        <w:t xml:space="preserve"> &amp; Bingen, 2008; Lyson, 2004). However, it can be difficult for those who are not directly involved in agriculture to understand the complexity of the industry. </w:t>
      </w:r>
      <w:r w:rsidRPr="00F0513E">
        <w:rPr>
          <w:rFonts w:ascii="Times New Roman" w:eastAsia="Times New Roman" w:hAnsi="Times New Roman" w:cs="Times New Roman"/>
        </w:rPr>
        <w:t xml:space="preserve">In Japan, community-supported agriculture is often described through the idea of seeing “the farmer’s face on vegetables” (Ostrom, 2007, p. 7). This concept encourages a more transparent and personal connection between the producers and consumers, challenging the conventional and stereotypical imagery of farmers and agriculturalists. Embracing this perspective promotes greater awareness of where our food comes from, the diverse hands involved in its production, and </w:t>
      </w:r>
      <w:r w:rsidR="00C70397" w:rsidRPr="00F0513E">
        <w:rPr>
          <w:rFonts w:ascii="Times New Roman" w:eastAsia="Times New Roman" w:hAnsi="Times New Roman" w:cs="Times New Roman"/>
        </w:rPr>
        <w:t>the</w:t>
      </w:r>
      <w:r w:rsidRPr="00F0513E">
        <w:rPr>
          <w:rFonts w:ascii="Times New Roman" w:eastAsia="Times New Roman" w:hAnsi="Times New Roman" w:cs="Times New Roman"/>
        </w:rPr>
        <w:t xml:space="preserve"> complex systems that deliver products </w:t>
      </w:r>
      <w:r w:rsidRPr="00F0513E">
        <w:rPr>
          <w:rFonts w:ascii="Times New Roman" w:eastAsia="Times New Roman" w:hAnsi="Times New Roman" w:cs="Times New Roman"/>
        </w:rPr>
        <w:t xml:space="preserve">to consumers. Programs such as the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are designed to challenge such conventional perspectives.</w:t>
      </w:r>
    </w:p>
    <w:p w14:paraId="00000004" w14:textId="1CD448AA" w:rsidR="000654B4" w:rsidRPr="00F0513E" w:rsidRDefault="007059F3">
      <w:pPr>
        <w:spacing w:after="0" w:line="240" w:lineRule="auto"/>
        <w:ind w:firstLine="720"/>
        <w:rPr>
          <w:rFonts w:ascii="Times New Roman" w:eastAsia="Times New Roman" w:hAnsi="Times New Roman" w:cs="Times New Roman"/>
        </w:rPr>
      </w:pPr>
      <w:bookmarkStart w:id="3" w:name="_heading=h.82ga7gsw4h38" w:colFirst="0" w:colLast="0"/>
      <w:bookmarkEnd w:id="3"/>
      <w:r w:rsidRPr="00F0513E">
        <w:rPr>
          <w:rFonts w:ascii="Times New Roman" w:eastAsia="Times New Roman" w:hAnsi="Times New Roman" w:cs="Times New Roman"/>
        </w:rPr>
        <w:t xml:space="preserve">Each summer, </w:t>
      </w:r>
      <w:r w:rsidR="005105D6">
        <w:rPr>
          <w:rFonts w:ascii="Times New Roman" w:eastAsia="Times New Roman" w:hAnsi="Times New Roman" w:cs="Times New Roman"/>
        </w:rPr>
        <w:t>Virginia Tech</w:t>
      </w:r>
      <w:r w:rsidRPr="00F0513E">
        <w:rPr>
          <w:rFonts w:ascii="Times New Roman" w:eastAsia="Times New Roman" w:hAnsi="Times New Roman" w:cs="Times New Roman"/>
        </w:rPr>
        <w:t xml:space="preserve"> hosts gifted and advanced rising high school juniors and seniors in the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program. This program allows students to work with experienced researchers, faculty, and professionals to grow their understanding and knowledge of agriculture.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equips students with the necessary skills to be able to face current and future challenges within our world (</w:t>
      </w:r>
      <w:r w:rsidR="005105D6">
        <w:rPr>
          <w:rFonts w:ascii="Times New Roman" w:eastAsia="Times New Roman" w:hAnsi="Times New Roman" w:cs="Times New Roman"/>
        </w:rPr>
        <w:t>Virginia Tech</w:t>
      </w:r>
      <w:r w:rsidRPr="00F0513E">
        <w:rPr>
          <w:rFonts w:ascii="Times New Roman" w:eastAsia="Times New Roman" w:hAnsi="Times New Roman" w:cs="Times New Roman"/>
        </w:rPr>
        <w:t>, 2025). As agriculture is a complex and ever-changing industry, our future generations of scientists, producers, and industry worker</w:t>
      </w:r>
      <w:r w:rsidRPr="00F0513E">
        <w:rPr>
          <w:rFonts w:ascii="Times New Roman" w:eastAsia="Times New Roman" w:hAnsi="Times New Roman" w:cs="Times New Roman"/>
        </w:rPr>
        <w:t xml:space="preserve">s must be involved in these changes and understand their role in the broader industry. The purpose of this study was to explore how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participants described community connections within agriculture.</w:t>
      </w:r>
    </w:p>
    <w:p w14:paraId="00000005" w14:textId="77777777" w:rsidR="000654B4" w:rsidRPr="00F0513E" w:rsidRDefault="007059F3">
      <w:pPr>
        <w:pStyle w:val="Heading1"/>
      </w:pPr>
      <w:bookmarkStart w:id="4" w:name="_heading=h.vyv0moe1nfkc" w:colFirst="0" w:colLast="0"/>
      <w:bookmarkEnd w:id="4"/>
      <w:r w:rsidRPr="00F0513E">
        <w:t xml:space="preserve">Theoretical Framework </w:t>
      </w:r>
    </w:p>
    <w:p w14:paraId="00000006" w14:textId="69F8D6D3" w:rsidR="000654B4" w:rsidRPr="00F0513E" w:rsidRDefault="007059F3">
      <w:pPr>
        <w:spacing w:after="0" w:line="240" w:lineRule="auto"/>
        <w:ind w:firstLine="720"/>
        <w:rPr>
          <w:rFonts w:ascii="Times New Roman" w:eastAsia="Times New Roman" w:hAnsi="Times New Roman" w:cs="Times New Roman"/>
        </w:rPr>
      </w:pPr>
      <w:r w:rsidRPr="00F0513E">
        <w:rPr>
          <w:rFonts w:ascii="Times New Roman" w:eastAsia="Times New Roman" w:hAnsi="Times New Roman" w:cs="Times New Roman"/>
        </w:rPr>
        <w:t xml:space="preserve"> Due to our environment, lived experiences, and personal bias, we tend to gravitate to what we know, rather than what we have yet to experience. Our human tendencies make it difficult to have unbiased views and opinions on any topic. Transformative learning theory (Mezirow, 1997) emphasizes going in-depth with topics, rather than only viewing them at a surface level. When we are willing to be open-minded to new perspectives and points of view, we are opening the door to a more well-rounded learning experien</w:t>
      </w:r>
      <w:r w:rsidRPr="00F0513E">
        <w:rPr>
          <w:rFonts w:ascii="Times New Roman" w:eastAsia="Times New Roman" w:hAnsi="Times New Roman" w:cs="Times New Roman"/>
        </w:rPr>
        <w:t xml:space="preserve">ce. Even as our society is dependent upon online knowledge and instant access to information, it is important that individuals know where they are obtaining their insights from and if their sources are reliable (Mezirow, 1997). Although changing our perspective on topics can be daunting, it is important to ensure that we are seeking a well-rounded perspective. </w:t>
      </w:r>
      <w:bookmarkStart w:id="5" w:name="_heading=h.t1y0jdtt5fe9" w:colFirst="0" w:colLast="0"/>
      <w:bookmarkEnd w:id="5"/>
      <w:r w:rsidR="00983FE1">
        <w:rPr>
          <w:rFonts w:ascii="Times New Roman" w:eastAsia="Times New Roman" w:hAnsi="Times New Roman" w:cs="Times New Roman"/>
        </w:rPr>
        <w:t>It is through this lens that we explore VGSA participants’ transformative learning experiences.</w:t>
      </w:r>
    </w:p>
    <w:p w14:paraId="00000007" w14:textId="77777777" w:rsidR="000654B4" w:rsidRPr="00F0513E" w:rsidRDefault="007059F3">
      <w:pPr>
        <w:pStyle w:val="Heading1"/>
      </w:pPr>
      <w:r w:rsidRPr="00F0513E">
        <w:t xml:space="preserve">Methodology </w:t>
      </w:r>
    </w:p>
    <w:p w14:paraId="00000008" w14:textId="77777777" w:rsidR="000654B4" w:rsidRPr="00F0513E" w:rsidRDefault="007059F3">
      <w:pPr>
        <w:spacing w:after="0" w:line="240" w:lineRule="auto"/>
        <w:ind w:right="288" w:firstLine="720"/>
        <w:rPr>
          <w:rFonts w:ascii="Times New Roman" w:eastAsia="Times New Roman" w:hAnsi="Times New Roman" w:cs="Times New Roman"/>
        </w:rPr>
      </w:pPr>
      <w:r w:rsidRPr="00F0513E">
        <w:rPr>
          <w:rFonts w:ascii="Times New Roman" w:eastAsia="Times New Roman" w:hAnsi="Times New Roman" w:cs="Times New Roman"/>
        </w:rPr>
        <w:t>Photo elicitation is the process of utilizing images to allow respondents the ability to speak about the image, rather than solely being asked closed-ended questions. Photo elicitation allows the respondent to be given another resource to utilize when expressing their thoughts or as they recount their experiences (Harper, 2002). When shown an image, thoughts, memories, or ideas are activated in the respondent's memory. Photo elicitation allows both the respondent and the researcher to think outside of the b</w:t>
      </w:r>
      <w:r w:rsidRPr="00F0513E">
        <w:rPr>
          <w:rFonts w:ascii="Times New Roman" w:eastAsia="Times New Roman" w:hAnsi="Times New Roman" w:cs="Times New Roman"/>
        </w:rPr>
        <w:t>ox and share collaborative conversations (Francesco, 2012). This study utilized a participant-driven photo elicitation methodology in which 87 program participants selected a photograph that they captured during the program and wrote a reflection captioning the picture. The purpose of this was for students to answer the question “</w:t>
      </w:r>
      <w:r w:rsidRPr="00F0513E">
        <w:rPr>
          <w:rFonts w:ascii="Times New Roman" w:eastAsia="Times New Roman" w:hAnsi="Times New Roman" w:cs="Times New Roman"/>
          <w:i/>
        </w:rPr>
        <w:t>What is agriculture?</w:t>
      </w:r>
      <w:r w:rsidRPr="00F0513E">
        <w:rPr>
          <w:rFonts w:ascii="Times New Roman" w:eastAsia="Times New Roman" w:hAnsi="Times New Roman" w:cs="Times New Roman"/>
        </w:rPr>
        <w:t xml:space="preserve">” based on their experience in </w:t>
      </w:r>
      <w:r w:rsidRPr="00F0513E">
        <w:rPr>
          <w:rFonts w:ascii="Times New Roman" w:eastAsia="Times New Roman" w:hAnsi="Times New Roman" w:cs="Times New Roman"/>
        </w:rPr>
        <w:lastRenderedPageBreak/>
        <w:t>the program. The research team followed data analysis procedures outlined by Creswell and Creswell (2018) by coding all the parti</w:t>
      </w:r>
      <w:r w:rsidRPr="00F0513E">
        <w:rPr>
          <w:rFonts w:ascii="Times New Roman" w:eastAsia="Times New Roman" w:hAnsi="Times New Roman" w:cs="Times New Roman"/>
        </w:rPr>
        <w:t xml:space="preserve">cipants’ photographs and reflections. The research team also followed O’Connor and Joeff’s (2011) guidance on intercoder reliability as the team reviewed codes and established themes. </w:t>
      </w:r>
    </w:p>
    <w:p w14:paraId="00000009" w14:textId="77777777" w:rsidR="000654B4" w:rsidRPr="00F0513E" w:rsidRDefault="007059F3">
      <w:pPr>
        <w:pStyle w:val="Heading1"/>
        <w:ind w:right="288"/>
      </w:pPr>
      <w:bookmarkStart w:id="6" w:name="_heading=h.ognpktty1cqx" w:colFirst="0" w:colLast="0"/>
      <w:bookmarkEnd w:id="6"/>
      <w:r w:rsidRPr="00F0513E">
        <w:t xml:space="preserve">Results </w:t>
      </w:r>
    </w:p>
    <w:p w14:paraId="0000000A" w14:textId="77777777" w:rsidR="000654B4" w:rsidRPr="00F0513E" w:rsidRDefault="007059F3">
      <w:pPr>
        <w:shd w:val="clear" w:color="auto" w:fill="FFFFFF"/>
        <w:spacing w:after="0" w:line="240" w:lineRule="auto"/>
        <w:ind w:firstLine="720"/>
        <w:rPr>
          <w:rFonts w:ascii="Times New Roman" w:eastAsia="Times New Roman" w:hAnsi="Times New Roman" w:cs="Times New Roman"/>
        </w:rPr>
      </w:pPr>
      <w:r w:rsidRPr="00F0513E">
        <w:rPr>
          <w:rFonts w:ascii="Times New Roman" w:eastAsia="Times New Roman" w:hAnsi="Times New Roman" w:cs="Times New Roman"/>
        </w:rPr>
        <w:t xml:space="preserve">Although this project is part of a larger study, participants described agriculture as a source of </w:t>
      </w:r>
      <w:r w:rsidRPr="00F0513E">
        <w:rPr>
          <w:rFonts w:ascii="Times New Roman" w:eastAsia="Times New Roman" w:hAnsi="Times New Roman" w:cs="Times New Roman"/>
          <w:i/>
        </w:rPr>
        <w:t xml:space="preserve">community connections </w:t>
      </w:r>
      <w:r w:rsidRPr="00F0513E">
        <w:rPr>
          <w:rFonts w:ascii="Times New Roman" w:eastAsia="Times New Roman" w:hAnsi="Times New Roman" w:cs="Times New Roman"/>
        </w:rPr>
        <w:t>by elaborating how it impacts future generations and provides life to everyone, while creating genuine connections and relationships. These relationships and connections within agriculture are deeper than simply between humans. Agriculture involves personal relationships, connections with livestock, relationships between farmers, their land, the environment, and consumers. Without the community of agriculture, educational opportunities would be decreased, history would be lost, and the</w:t>
      </w:r>
      <w:r w:rsidRPr="00F0513E">
        <w:rPr>
          <w:rFonts w:ascii="Times New Roman" w:eastAsia="Times New Roman" w:hAnsi="Times New Roman" w:cs="Times New Roman"/>
        </w:rPr>
        <w:t xml:space="preserve"> root of agriculture would be unknown. Participants identified community connections within all walks of agriculture. </w:t>
      </w:r>
    </w:p>
    <w:p w14:paraId="0000000B" w14:textId="13A6061B" w:rsidR="000654B4" w:rsidRPr="00F0513E" w:rsidRDefault="007059F3">
      <w:pPr>
        <w:shd w:val="clear" w:color="auto" w:fill="FFFFFF"/>
        <w:spacing w:after="0" w:line="240" w:lineRule="auto"/>
        <w:ind w:firstLine="720"/>
        <w:rPr>
          <w:rFonts w:ascii="Times New Roman" w:eastAsia="Times New Roman" w:hAnsi="Times New Roman" w:cs="Times New Roman"/>
        </w:rPr>
      </w:pPr>
      <w:r w:rsidRPr="00F0513E">
        <w:rPr>
          <w:rFonts w:ascii="Times New Roman" w:eastAsia="Times New Roman" w:hAnsi="Times New Roman" w:cs="Times New Roman"/>
        </w:rPr>
        <w:t xml:space="preserve">Throughout the reflections, participants highlighted how community is demonstrated in agriculture, both on and off the farm. Participant 54 highlighted the deep connection between farmers and their livestock: “...the farmers at </w:t>
      </w:r>
      <w:r w:rsidR="005105D6">
        <w:rPr>
          <w:rFonts w:ascii="Times New Roman" w:eastAsia="Times New Roman" w:hAnsi="Times New Roman" w:cs="Times New Roman"/>
        </w:rPr>
        <w:t xml:space="preserve">Teaberry </w:t>
      </w:r>
      <w:r w:rsidR="00416024">
        <w:rPr>
          <w:rFonts w:ascii="Times New Roman" w:eastAsia="Times New Roman" w:hAnsi="Times New Roman" w:cs="Times New Roman"/>
        </w:rPr>
        <w:t xml:space="preserve">Alpaca Farm </w:t>
      </w:r>
      <w:r w:rsidRPr="00F0513E">
        <w:rPr>
          <w:rFonts w:ascii="Times New Roman" w:eastAsia="Times New Roman" w:hAnsi="Times New Roman" w:cs="Times New Roman"/>
        </w:rPr>
        <w:t>explained to me how their alpacas became their life, which is very consistent with the mindfulness and reliance I associate with the spirit of agriculture.” Participant 75 reflected on the border role of agriculture: “Agriculture is the practice of cultivating plants and raising animals to provide food, clothing, and other essential resources. It connects people to the land and plays a vital role in supporting communities and economies.” Similarly, Participant 56 described how agricultu</w:t>
      </w:r>
      <w:r w:rsidRPr="00F0513E">
        <w:rPr>
          <w:rFonts w:ascii="Times New Roman" w:eastAsia="Times New Roman" w:hAnsi="Times New Roman" w:cs="Times New Roman"/>
        </w:rPr>
        <w:t>re fosters collaboration: “Part of the [pollinator] garden was a community garden, which demonstrates that agriculture can connect people together and can bring communities together, which is so important.” Lastly, Participant 6 connected agriculture to intergenerational environmental stewardship: “If we do not take action, future generations may never see a clear blue and pink sunset or experience clean air and water that I do.” These reflections illustrate that participants came to view agriculture as a s</w:t>
      </w:r>
      <w:r w:rsidRPr="00F0513E">
        <w:rPr>
          <w:rFonts w:ascii="Times New Roman" w:eastAsia="Times New Roman" w:hAnsi="Times New Roman" w:cs="Times New Roman"/>
        </w:rPr>
        <w:t>ystem of interdependence, rooted in the community connections between people, animals, land, and the environment.</w:t>
      </w:r>
    </w:p>
    <w:p w14:paraId="0000000C" w14:textId="77777777" w:rsidR="000654B4" w:rsidRPr="00F0513E" w:rsidRDefault="007059F3">
      <w:pPr>
        <w:spacing w:after="0" w:line="240" w:lineRule="auto"/>
        <w:jc w:val="center"/>
        <w:rPr>
          <w:rFonts w:ascii="Times New Roman" w:eastAsia="Times New Roman" w:hAnsi="Times New Roman" w:cs="Times New Roman"/>
        </w:rPr>
      </w:pPr>
      <w:r w:rsidRPr="00F0513E">
        <w:rPr>
          <w:rFonts w:ascii="Times New Roman" w:eastAsia="Times New Roman" w:hAnsi="Times New Roman" w:cs="Times New Roman"/>
          <w:b/>
        </w:rPr>
        <w:t xml:space="preserve">Conclusion &amp; Recommendations </w:t>
      </w:r>
    </w:p>
    <w:p w14:paraId="0000000D" w14:textId="0408EA16" w:rsidR="000654B4" w:rsidRPr="00F0513E" w:rsidRDefault="007059F3">
      <w:pPr>
        <w:spacing w:after="0" w:line="240" w:lineRule="auto"/>
        <w:ind w:firstLine="720"/>
        <w:rPr>
          <w:rFonts w:ascii="Times New Roman" w:eastAsia="Times New Roman" w:hAnsi="Times New Roman" w:cs="Times New Roman"/>
        </w:rPr>
      </w:pPr>
      <w:r w:rsidRPr="00F0513E">
        <w:rPr>
          <w:rFonts w:ascii="Times New Roman" w:eastAsia="Times New Roman" w:hAnsi="Times New Roman" w:cs="Times New Roman"/>
        </w:rPr>
        <w:t>Community is the foundation of agriculture. Community connections are found within the farmers’ relationships with their farm, livestock, land, and consumers</w:t>
      </w:r>
      <w:r w:rsidR="008F1BCA">
        <w:rPr>
          <w:rFonts w:ascii="Times New Roman" w:eastAsia="Times New Roman" w:hAnsi="Times New Roman" w:cs="Times New Roman"/>
        </w:rPr>
        <w:t xml:space="preserve"> </w:t>
      </w:r>
      <w:r w:rsidR="008F1BCA" w:rsidRPr="00F0513E">
        <w:rPr>
          <w:rFonts w:ascii="Times New Roman" w:eastAsia="Times New Roman" w:hAnsi="Times New Roman" w:cs="Times New Roman"/>
        </w:rPr>
        <w:t>(</w:t>
      </w:r>
      <w:proofErr w:type="spellStart"/>
      <w:r w:rsidR="008F1BCA" w:rsidRPr="00F0513E">
        <w:rPr>
          <w:rFonts w:ascii="Times New Roman" w:eastAsia="Times New Roman" w:hAnsi="Times New Roman" w:cs="Times New Roman"/>
        </w:rPr>
        <w:t>DeLind</w:t>
      </w:r>
      <w:proofErr w:type="spellEnd"/>
      <w:r w:rsidR="008F1BCA" w:rsidRPr="00F0513E">
        <w:rPr>
          <w:rFonts w:ascii="Times New Roman" w:eastAsia="Times New Roman" w:hAnsi="Times New Roman" w:cs="Times New Roman"/>
        </w:rPr>
        <w:t xml:space="preserve"> &amp; Bingen, 2008; Lyson, 2004</w:t>
      </w:r>
      <w:r w:rsidR="008F1BCA">
        <w:rPr>
          <w:rFonts w:ascii="Times New Roman" w:eastAsia="Times New Roman" w:hAnsi="Times New Roman" w:cs="Times New Roman"/>
        </w:rPr>
        <w:t xml:space="preserve">; </w:t>
      </w:r>
      <w:r w:rsidR="008F1BCA" w:rsidRPr="00F0513E">
        <w:rPr>
          <w:rFonts w:ascii="Times New Roman" w:eastAsia="Times New Roman" w:hAnsi="Times New Roman" w:cs="Times New Roman"/>
        </w:rPr>
        <w:t>Ostrom, 2007)</w:t>
      </w:r>
      <w:r w:rsidRPr="00F0513E">
        <w:rPr>
          <w:rFonts w:ascii="Times New Roman" w:eastAsia="Times New Roman" w:hAnsi="Times New Roman" w:cs="Times New Roman"/>
        </w:rPr>
        <w:t xml:space="preserve">. Participants noticed the role that </w:t>
      </w:r>
      <w:r w:rsidR="00D02DCA">
        <w:rPr>
          <w:rFonts w:ascii="Times New Roman" w:eastAsia="Times New Roman" w:hAnsi="Times New Roman" w:cs="Times New Roman"/>
        </w:rPr>
        <w:t xml:space="preserve">the </w:t>
      </w:r>
      <w:r w:rsidRPr="00F0513E">
        <w:rPr>
          <w:rFonts w:ascii="Times New Roman" w:eastAsia="Times New Roman" w:hAnsi="Times New Roman" w:cs="Times New Roman"/>
        </w:rPr>
        <w:t xml:space="preserve">community plays in agriculture and expressed that </w:t>
      </w:r>
      <w:r w:rsidR="00D02DCA">
        <w:rPr>
          <w:rFonts w:ascii="Times New Roman" w:eastAsia="Times New Roman" w:hAnsi="Times New Roman" w:cs="Times New Roman"/>
        </w:rPr>
        <w:t>in</w:t>
      </w:r>
      <w:r w:rsidRPr="00F0513E">
        <w:rPr>
          <w:rFonts w:ascii="Times New Roman" w:eastAsia="Times New Roman" w:hAnsi="Times New Roman" w:cs="Times New Roman"/>
        </w:rPr>
        <w:t xml:space="preserve"> their responses to the prompt. The participants’ reflections show that those who participated in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were provided with transformative learning experiences in relation to agriculture, which allowed them to see past the stereotypical view of the industry and deepen their understanding of a complex industry. As the participants became more involved in agriculture, they received firsthand experience with agriculture </w:t>
      </w:r>
      <w:r w:rsidRPr="00F0513E">
        <w:rPr>
          <w:rFonts w:ascii="Times New Roman" w:eastAsia="Times New Roman" w:hAnsi="Times New Roman" w:cs="Times New Roman"/>
        </w:rPr>
        <w:t xml:space="preserve">and </w:t>
      </w:r>
      <w:r w:rsidR="002F0B91" w:rsidRPr="00F0513E">
        <w:rPr>
          <w:rFonts w:ascii="Times New Roman" w:eastAsia="Times New Roman" w:hAnsi="Times New Roman" w:cs="Times New Roman"/>
        </w:rPr>
        <w:t>clear</w:t>
      </w:r>
      <w:r w:rsidRPr="00F0513E">
        <w:rPr>
          <w:rFonts w:ascii="Times New Roman" w:eastAsia="Times New Roman" w:hAnsi="Times New Roman" w:cs="Times New Roman"/>
        </w:rPr>
        <w:t xml:space="preserve"> connections to the broader community. Everything that we do in life is dependent upon the community of agriculture, so we must cherish it and steward it well. It is critical for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to continue to help students discover the community connections in their time in the program. For future research, it is recommended that </w:t>
      </w:r>
      <w:r w:rsidR="005105D6">
        <w:rPr>
          <w:rFonts w:ascii="Times New Roman" w:eastAsia="Times New Roman" w:hAnsi="Times New Roman" w:cs="Times New Roman"/>
        </w:rPr>
        <w:t>VGSA</w:t>
      </w:r>
      <w:r w:rsidRPr="00F0513E">
        <w:rPr>
          <w:rFonts w:ascii="Times New Roman" w:eastAsia="Times New Roman" w:hAnsi="Times New Roman" w:cs="Times New Roman"/>
        </w:rPr>
        <w:t xml:space="preserve"> leadership replicate this activity at the beginning of the program, in addition to the completion of the program, to explore how their perceptions of agriculture before and aft</w:t>
      </w:r>
      <w:r w:rsidRPr="00F0513E">
        <w:rPr>
          <w:rFonts w:ascii="Times New Roman" w:eastAsia="Times New Roman" w:hAnsi="Times New Roman" w:cs="Times New Roman"/>
        </w:rPr>
        <w:t xml:space="preserve">er completion of the program change. </w:t>
      </w:r>
      <w:r w:rsidR="006B13AF">
        <w:rPr>
          <w:rFonts w:ascii="Times New Roman" w:eastAsia="Times New Roman" w:hAnsi="Times New Roman" w:cs="Times New Roman"/>
        </w:rPr>
        <w:t xml:space="preserve">Additionally, other agricultural </w:t>
      </w:r>
      <w:r w:rsidR="00936E91">
        <w:rPr>
          <w:rFonts w:ascii="Times New Roman" w:eastAsia="Times New Roman" w:hAnsi="Times New Roman" w:cs="Times New Roman"/>
        </w:rPr>
        <w:t xml:space="preserve">education </w:t>
      </w:r>
      <w:r w:rsidR="006B13AF">
        <w:rPr>
          <w:rFonts w:ascii="Times New Roman" w:eastAsia="Times New Roman" w:hAnsi="Times New Roman" w:cs="Times New Roman"/>
        </w:rPr>
        <w:t xml:space="preserve">programs </w:t>
      </w:r>
      <w:r w:rsidR="005D26FC">
        <w:rPr>
          <w:rFonts w:ascii="Times New Roman" w:eastAsia="Times New Roman" w:hAnsi="Times New Roman" w:cs="Times New Roman"/>
        </w:rPr>
        <w:t xml:space="preserve">may benefit from similar participant-driven photo elicitation reflection </w:t>
      </w:r>
      <w:r w:rsidR="00936E91">
        <w:rPr>
          <w:rFonts w:ascii="Times New Roman" w:eastAsia="Times New Roman" w:hAnsi="Times New Roman" w:cs="Times New Roman"/>
        </w:rPr>
        <w:t>opportunities</w:t>
      </w:r>
      <w:r w:rsidR="005D26FC">
        <w:rPr>
          <w:rFonts w:ascii="Times New Roman" w:eastAsia="Times New Roman" w:hAnsi="Times New Roman" w:cs="Times New Roman"/>
        </w:rPr>
        <w:t xml:space="preserve"> </w:t>
      </w:r>
      <w:r w:rsidR="003133D5">
        <w:rPr>
          <w:rFonts w:ascii="Times New Roman" w:eastAsia="Times New Roman" w:hAnsi="Times New Roman" w:cs="Times New Roman"/>
        </w:rPr>
        <w:t xml:space="preserve">to better understand how the learning </w:t>
      </w:r>
      <w:r w:rsidR="004608BA">
        <w:rPr>
          <w:rFonts w:ascii="Times New Roman" w:eastAsia="Times New Roman" w:hAnsi="Times New Roman" w:cs="Times New Roman"/>
        </w:rPr>
        <w:t>experiences transform</w:t>
      </w:r>
      <w:r w:rsidR="003133D5">
        <w:rPr>
          <w:rFonts w:ascii="Times New Roman" w:eastAsia="Times New Roman" w:hAnsi="Times New Roman" w:cs="Times New Roman"/>
        </w:rPr>
        <w:t xml:space="preserve"> learners</w:t>
      </w:r>
      <w:r w:rsidR="004608BA">
        <w:rPr>
          <w:rFonts w:ascii="Times New Roman" w:eastAsia="Times New Roman" w:hAnsi="Times New Roman" w:cs="Times New Roman"/>
        </w:rPr>
        <w:t>’ knowledge, understanding, and perceptions</w:t>
      </w:r>
      <w:r w:rsidR="00C3052C">
        <w:rPr>
          <w:rFonts w:ascii="Times New Roman" w:eastAsia="Times New Roman" w:hAnsi="Times New Roman" w:cs="Times New Roman"/>
        </w:rPr>
        <w:t xml:space="preserve"> of agriculture</w:t>
      </w:r>
      <w:r w:rsidR="004608BA">
        <w:rPr>
          <w:rFonts w:ascii="Times New Roman" w:eastAsia="Times New Roman" w:hAnsi="Times New Roman" w:cs="Times New Roman"/>
        </w:rPr>
        <w:t>.</w:t>
      </w:r>
    </w:p>
    <w:p w14:paraId="0000000E" w14:textId="77777777" w:rsidR="000654B4" w:rsidRPr="00F0513E" w:rsidRDefault="007059F3">
      <w:pPr>
        <w:spacing w:after="0" w:line="240" w:lineRule="auto"/>
        <w:jc w:val="center"/>
        <w:rPr>
          <w:rFonts w:ascii="Times New Roman" w:eastAsia="Times New Roman" w:hAnsi="Times New Roman" w:cs="Times New Roman"/>
        </w:rPr>
      </w:pPr>
      <w:r w:rsidRPr="00F0513E">
        <w:rPr>
          <w:rFonts w:ascii="Times New Roman" w:eastAsia="Times New Roman" w:hAnsi="Times New Roman" w:cs="Times New Roman"/>
          <w:b/>
        </w:rPr>
        <w:lastRenderedPageBreak/>
        <w:t>References</w:t>
      </w:r>
    </w:p>
    <w:p w14:paraId="0000000F" w14:textId="77777777" w:rsidR="000654B4" w:rsidRPr="00F0513E" w:rsidRDefault="007059F3">
      <w:pPr>
        <w:spacing w:after="0" w:line="240" w:lineRule="auto"/>
        <w:ind w:left="720" w:right="288" w:hanging="720"/>
        <w:rPr>
          <w:rFonts w:ascii="Times New Roman" w:eastAsia="Times New Roman" w:hAnsi="Times New Roman" w:cs="Times New Roman"/>
          <w:highlight w:val="white"/>
        </w:rPr>
      </w:pPr>
      <w:proofErr w:type="spellStart"/>
      <w:r w:rsidRPr="00F0513E">
        <w:rPr>
          <w:rFonts w:ascii="Times New Roman" w:eastAsia="Times New Roman" w:hAnsi="Times New Roman" w:cs="Times New Roman"/>
          <w:highlight w:val="white"/>
        </w:rPr>
        <w:t>DeLind</w:t>
      </w:r>
      <w:proofErr w:type="spellEnd"/>
      <w:r w:rsidRPr="00F0513E">
        <w:rPr>
          <w:rFonts w:ascii="Times New Roman" w:eastAsia="Times New Roman" w:hAnsi="Times New Roman" w:cs="Times New Roman"/>
          <w:highlight w:val="white"/>
        </w:rPr>
        <w:t xml:space="preserve">, L. B., &amp; Bingen, J. (2008). Place and civic culture: Re-thinking the context for local agriculture. </w:t>
      </w:r>
      <w:r w:rsidRPr="00F0513E">
        <w:rPr>
          <w:rFonts w:ascii="Times New Roman" w:eastAsia="Times New Roman" w:hAnsi="Times New Roman" w:cs="Times New Roman"/>
          <w:i/>
          <w:highlight w:val="white"/>
        </w:rPr>
        <w:t>Journal of Agricultural and Environmental Ethics</w:t>
      </w:r>
      <w:r w:rsidRPr="00F0513E">
        <w:rPr>
          <w:rFonts w:ascii="Times New Roman" w:eastAsia="Times New Roman" w:hAnsi="Times New Roman" w:cs="Times New Roman"/>
          <w:highlight w:val="white"/>
        </w:rPr>
        <w:t xml:space="preserve">, </w:t>
      </w:r>
      <w:r w:rsidRPr="00F0513E">
        <w:rPr>
          <w:rFonts w:ascii="Times New Roman" w:eastAsia="Times New Roman" w:hAnsi="Times New Roman" w:cs="Times New Roman"/>
          <w:i/>
          <w:highlight w:val="white"/>
        </w:rPr>
        <w:t>21</w:t>
      </w:r>
      <w:r w:rsidRPr="00F0513E">
        <w:rPr>
          <w:rFonts w:ascii="Times New Roman" w:eastAsia="Times New Roman" w:hAnsi="Times New Roman" w:cs="Times New Roman"/>
          <w:highlight w:val="white"/>
        </w:rPr>
        <w:t>(2), 127-151.</w:t>
      </w:r>
    </w:p>
    <w:p w14:paraId="00000010" w14:textId="77777777" w:rsidR="000654B4" w:rsidRPr="00F0513E" w:rsidRDefault="007059F3">
      <w:pPr>
        <w:spacing w:after="0" w:line="240" w:lineRule="auto"/>
        <w:ind w:left="720" w:right="288" w:hanging="720"/>
        <w:rPr>
          <w:rFonts w:ascii="Times New Roman" w:eastAsia="Times New Roman" w:hAnsi="Times New Roman" w:cs="Times New Roman"/>
          <w:highlight w:val="white"/>
        </w:rPr>
      </w:pPr>
      <w:r w:rsidRPr="00F0513E">
        <w:rPr>
          <w:rFonts w:ascii="Times New Roman" w:eastAsia="Times New Roman" w:hAnsi="Times New Roman" w:cs="Times New Roman"/>
          <w:highlight w:val="white"/>
        </w:rPr>
        <w:t xml:space="preserve">Harper, D. (2002). Talking about pictures: A case for photo elicitation. </w:t>
      </w:r>
      <w:r w:rsidRPr="00F0513E">
        <w:rPr>
          <w:rFonts w:ascii="Times New Roman" w:eastAsia="Times New Roman" w:hAnsi="Times New Roman" w:cs="Times New Roman"/>
          <w:i/>
          <w:highlight w:val="white"/>
        </w:rPr>
        <w:t>Visual Studies</w:t>
      </w:r>
      <w:r w:rsidRPr="00F0513E">
        <w:rPr>
          <w:rFonts w:ascii="Times New Roman" w:eastAsia="Times New Roman" w:hAnsi="Times New Roman" w:cs="Times New Roman"/>
          <w:highlight w:val="white"/>
        </w:rPr>
        <w:t xml:space="preserve">, </w:t>
      </w:r>
      <w:r w:rsidRPr="00F0513E">
        <w:rPr>
          <w:rFonts w:ascii="Times New Roman" w:eastAsia="Times New Roman" w:hAnsi="Times New Roman" w:cs="Times New Roman"/>
          <w:i/>
          <w:highlight w:val="white"/>
        </w:rPr>
        <w:t>17</w:t>
      </w:r>
      <w:r w:rsidRPr="00F0513E">
        <w:rPr>
          <w:rFonts w:ascii="Times New Roman" w:eastAsia="Times New Roman" w:hAnsi="Times New Roman" w:cs="Times New Roman"/>
          <w:highlight w:val="white"/>
        </w:rPr>
        <w:t>(1), 13-26. https://doi.org/10.1080/14725860220137345</w:t>
      </w:r>
    </w:p>
    <w:p w14:paraId="00000011" w14:textId="77777777" w:rsidR="000654B4" w:rsidRPr="00F0513E" w:rsidRDefault="007059F3">
      <w:pPr>
        <w:spacing w:after="0" w:line="240" w:lineRule="auto"/>
        <w:ind w:left="720" w:right="288" w:hanging="720"/>
        <w:rPr>
          <w:rFonts w:ascii="Times New Roman" w:eastAsia="Times New Roman" w:hAnsi="Times New Roman" w:cs="Times New Roman"/>
          <w:i/>
        </w:rPr>
      </w:pPr>
      <w:r w:rsidRPr="00F0513E">
        <w:rPr>
          <w:rFonts w:ascii="Times New Roman" w:eastAsia="Times New Roman" w:hAnsi="Times New Roman" w:cs="Times New Roman"/>
        </w:rPr>
        <w:t xml:space="preserve">Lapenta, F. (2011). Some theoretical and methodological views on photo-elicitation. In E. Margolis, L. Pauwels (Eds.) </w:t>
      </w:r>
      <w:r w:rsidRPr="00F0513E">
        <w:rPr>
          <w:rFonts w:ascii="Times New Roman" w:eastAsia="Times New Roman" w:hAnsi="Times New Roman" w:cs="Times New Roman"/>
          <w:i/>
        </w:rPr>
        <w:t>Some theoretical and methodological views on photo-elicitation</w:t>
      </w:r>
      <w:r w:rsidRPr="00F0513E">
        <w:rPr>
          <w:rFonts w:ascii="Times New Roman" w:eastAsia="Times New Roman" w:hAnsi="Times New Roman" w:cs="Times New Roman"/>
        </w:rPr>
        <w:t xml:space="preserve"> (pp. 201-213). Sage Publications Ltd, https://doi.org/10.4135/9781446268278.n11</w:t>
      </w:r>
    </w:p>
    <w:p w14:paraId="00000012" w14:textId="77777777" w:rsidR="000654B4" w:rsidRPr="00F0513E" w:rsidRDefault="007059F3">
      <w:pPr>
        <w:spacing w:after="0" w:line="240" w:lineRule="auto"/>
        <w:ind w:left="567" w:hanging="567"/>
        <w:rPr>
          <w:rFonts w:ascii="Times New Roman" w:eastAsia="Times New Roman" w:hAnsi="Times New Roman" w:cs="Times New Roman"/>
        </w:rPr>
      </w:pPr>
      <w:bookmarkStart w:id="7" w:name="_heading=h.tmp1r2csjhoc" w:colFirst="0" w:colLast="0"/>
      <w:bookmarkEnd w:id="7"/>
      <w:r w:rsidRPr="00F0513E">
        <w:rPr>
          <w:rFonts w:ascii="Times New Roman" w:eastAsia="Times New Roman" w:hAnsi="Times New Roman" w:cs="Times New Roman"/>
        </w:rPr>
        <w:t xml:space="preserve">Lyson, T. A. (2004). </w:t>
      </w:r>
      <w:r w:rsidRPr="00F0513E">
        <w:rPr>
          <w:rFonts w:ascii="Times New Roman" w:eastAsia="Times New Roman" w:hAnsi="Times New Roman" w:cs="Times New Roman"/>
          <w:i/>
        </w:rPr>
        <w:t xml:space="preserve">Civic agriculture reconnecting </w:t>
      </w:r>
      <w:proofErr w:type="gramStart"/>
      <w:r w:rsidRPr="00F0513E">
        <w:rPr>
          <w:rFonts w:ascii="Times New Roman" w:eastAsia="Times New Roman" w:hAnsi="Times New Roman" w:cs="Times New Roman"/>
          <w:i/>
        </w:rPr>
        <w:t>farm</w:t>
      </w:r>
      <w:proofErr w:type="gramEnd"/>
      <w:r w:rsidRPr="00F0513E">
        <w:rPr>
          <w:rFonts w:ascii="Times New Roman" w:eastAsia="Times New Roman" w:hAnsi="Times New Roman" w:cs="Times New Roman"/>
          <w:i/>
        </w:rPr>
        <w:t>, food, and community</w:t>
      </w:r>
      <w:r w:rsidRPr="00F0513E">
        <w:rPr>
          <w:rFonts w:ascii="Times New Roman" w:eastAsia="Times New Roman" w:hAnsi="Times New Roman" w:cs="Times New Roman"/>
        </w:rPr>
        <w:t>. University Press of New England.</w:t>
      </w:r>
    </w:p>
    <w:p w14:paraId="00000013" w14:textId="77777777" w:rsidR="000654B4" w:rsidRPr="00F0513E" w:rsidRDefault="007059F3" w:rsidP="006F0355">
      <w:pPr>
        <w:spacing w:after="0" w:line="240" w:lineRule="auto"/>
        <w:ind w:left="720" w:hanging="720"/>
        <w:rPr>
          <w:rFonts w:ascii="Times New Roman" w:eastAsia="Times New Roman" w:hAnsi="Times New Roman" w:cs="Times New Roman"/>
        </w:rPr>
      </w:pPr>
      <w:r w:rsidRPr="00F0513E">
        <w:rPr>
          <w:rFonts w:ascii="Times New Roman" w:eastAsia="Times New Roman" w:hAnsi="Times New Roman" w:cs="Times New Roman"/>
        </w:rPr>
        <w:t xml:space="preserve">Mezirow, J. (1997). Transformative learning: Theory to practice. </w:t>
      </w:r>
      <w:r w:rsidRPr="00F0513E">
        <w:rPr>
          <w:rFonts w:ascii="Times New Roman" w:eastAsia="Times New Roman" w:hAnsi="Times New Roman" w:cs="Times New Roman"/>
          <w:i/>
        </w:rPr>
        <w:t>New Directions for Adult and Continuing Education</w:t>
      </w:r>
      <w:r w:rsidRPr="00F0513E">
        <w:rPr>
          <w:rFonts w:ascii="Times New Roman" w:eastAsia="Times New Roman" w:hAnsi="Times New Roman" w:cs="Times New Roman"/>
        </w:rPr>
        <w:t xml:space="preserve">, </w:t>
      </w:r>
      <w:r w:rsidRPr="00F0513E">
        <w:rPr>
          <w:rFonts w:ascii="Times New Roman" w:eastAsia="Times New Roman" w:hAnsi="Times New Roman" w:cs="Times New Roman"/>
          <w:i/>
        </w:rPr>
        <w:t>1997</w:t>
      </w:r>
      <w:r w:rsidRPr="00F0513E">
        <w:rPr>
          <w:rFonts w:ascii="Times New Roman" w:eastAsia="Times New Roman" w:hAnsi="Times New Roman" w:cs="Times New Roman"/>
        </w:rPr>
        <w:t>(74), 5-12.  https://doi.org/10.1002/ace.7401</w:t>
      </w:r>
    </w:p>
    <w:p w14:paraId="00000014" w14:textId="77777777" w:rsidR="000654B4" w:rsidRPr="00F0513E" w:rsidRDefault="007059F3" w:rsidP="006F0355">
      <w:pPr>
        <w:spacing w:after="0" w:line="240" w:lineRule="auto"/>
        <w:ind w:left="720" w:hanging="720"/>
        <w:rPr>
          <w:rFonts w:ascii="Times New Roman" w:eastAsia="Times New Roman" w:hAnsi="Times New Roman" w:cs="Times New Roman"/>
        </w:rPr>
      </w:pPr>
      <w:r w:rsidRPr="00F0513E">
        <w:rPr>
          <w:rFonts w:ascii="Times New Roman" w:eastAsia="Times New Roman" w:hAnsi="Times New Roman" w:cs="Times New Roman"/>
        </w:rPr>
        <w:t xml:space="preserve">O’Connor, C., &amp; Joffe, H. (2020). Intercoder reliability in Qualitative Research: Debates and practical guidelines. </w:t>
      </w:r>
      <w:r w:rsidRPr="00F0513E">
        <w:rPr>
          <w:rFonts w:ascii="Times New Roman" w:eastAsia="Times New Roman" w:hAnsi="Times New Roman" w:cs="Times New Roman"/>
          <w:i/>
        </w:rPr>
        <w:t>International Journal of Qualitative Methods</w:t>
      </w:r>
      <w:r w:rsidRPr="00F0513E">
        <w:rPr>
          <w:rFonts w:ascii="Times New Roman" w:eastAsia="Times New Roman" w:hAnsi="Times New Roman" w:cs="Times New Roman"/>
        </w:rPr>
        <w:t xml:space="preserve">, </w:t>
      </w:r>
      <w:r w:rsidRPr="00F0513E">
        <w:rPr>
          <w:rFonts w:ascii="Times New Roman" w:eastAsia="Times New Roman" w:hAnsi="Times New Roman" w:cs="Times New Roman"/>
          <w:i/>
        </w:rPr>
        <w:t>19</w:t>
      </w:r>
      <w:r w:rsidRPr="00F0513E">
        <w:rPr>
          <w:rFonts w:ascii="Times New Roman" w:eastAsia="Times New Roman" w:hAnsi="Times New Roman" w:cs="Times New Roman"/>
        </w:rPr>
        <w:t>. https://doi.org/10.1177/1609406919899220</w:t>
      </w:r>
    </w:p>
    <w:p w14:paraId="00000015" w14:textId="4BE59415" w:rsidR="000654B4" w:rsidRPr="00F0513E" w:rsidRDefault="007059F3">
      <w:pPr>
        <w:spacing w:after="0" w:line="240" w:lineRule="auto"/>
        <w:ind w:left="720" w:hanging="720"/>
        <w:rPr>
          <w:rFonts w:ascii="Times New Roman" w:eastAsia="Times New Roman" w:hAnsi="Times New Roman" w:cs="Times New Roman"/>
          <w:highlight w:val="white"/>
        </w:rPr>
      </w:pPr>
      <w:r w:rsidRPr="00F0513E">
        <w:rPr>
          <w:rFonts w:ascii="Times New Roman" w:eastAsia="Times New Roman" w:hAnsi="Times New Roman" w:cs="Times New Roman"/>
          <w:highlight w:val="white"/>
        </w:rPr>
        <w:t xml:space="preserve">Ostrom, M. R. (2007). Community supported agriculture as an agent of change. </w:t>
      </w:r>
      <w:r w:rsidRPr="00F0513E">
        <w:rPr>
          <w:rFonts w:ascii="Times New Roman" w:eastAsia="Times New Roman" w:hAnsi="Times New Roman" w:cs="Times New Roman"/>
          <w:i/>
          <w:highlight w:val="white"/>
        </w:rPr>
        <w:t>Remaking the North American food system, ed. C. Hinrichs, and T. Lyson</w:t>
      </w:r>
      <w:r w:rsidRPr="00F0513E">
        <w:rPr>
          <w:rFonts w:ascii="Times New Roman" w:eastAsia="Times New Roman" w:hAnsi="Times New Roman" w:cs="Times New Roman"/>
          <w:highlight w:val="white"/>
        </w:rPr>
        <w:t xml:space="preserve">, </w:t>
      </w:r>
      <w:r w:rsidRPr="00F0513E">
        <w:rPr>
          <w:rFonts w:ascii="Times New Roman" w:eastAsia="Times New Roman" w:hAnsi="Times New Roman" w:cs="Times New Roman"/>
          <w:i/>
          <w:highlight w:val="white"/>
        </w:rPr>
        <w:t>99120</w:t>
      </w:r>
      <w:r w:rsidRPr="00F0513E">
        <w:rPr>
          <w:rFonts w:ascii="Times New Roman" w:eastAsia="Times New Roman" w:hAnsi="Times New Roman" w:cs="Times New Roman"/>
          <w:highlight w:val="white"/>
        </w:rPr>
        <w:t>.</w:t>
      </w:r>
    </w:p>
    <w:p w14:paraId="40F3A874" w14:textId="77777777" w:rsidR="00723B3A" w:rsidRPr="00723B3A" w:rsidRDefault="00723B3A" w:rsidP="00723B3A">
      <w:pPr>
        <w:spacing w:after="0" w:line="240" w:lineRule="auto"/>
        <w:ind w:left="720" w:hanging="720"/>
        <w:rPr>
          <w:rFonts w:ascii="Times New Roman" w:hAnsi="Times New Roman" w:cs="Times New Roman"/>
        </w:rPr>
      </w:pPr>
      <w:r w:rsidRPr="00723B3A">
        <w:rPr>
          <w:rFonts w:ascii="Times New Roman" w:hAnsi="Times New Roman" w:cs="Times New Roman"/>
        </w:rPr>
        <w:t xml:space="preserve">Virginia Tech. (2025). </w:t>
      </w:r>
      <w:r w:rsidRPr="00723B3A">
        <w:rPr>
          <w:rFonts w:ascii="Times New Roman" w:hAnsi="Times New Roman" w:cs="Times New Roman"/>
          <w:i/>
        </w:rPr>
        <w:t>Governor’s School for Agriculture</w:t>
      </w:r>
      <w:r w:rsidRPr="00723B3A">
        <w:rPr>
          <w:rFonts w:ascii="Times New Roman" w:hAnsi="Times New Roman" w:cs="Times New Roman"/>
        </w:rPr>
        <w:t>. https://www.alce.vt.edu/signature-programs/governors-ag-school.html</w:t>
      </w:r>
    </w:p>
    <w:p w14:paraId="00000016" w14:textId="7C90254B" w:rsidR="000654B4" w:rsidRPr="00F0513E" w:rsidRDefault="000654B4" w:rsidP="00723B3A">
      <w:pPr>
        <w:spacing w:after="0" w:line="240" w:lineRule="auto"/>
        <w:ind w:left="720" w:hanging="720"/>
        <w:rPr>
          <w:rFonts w:ascii="Times New Roman" w:eastAsia="Times New Roman" w:hAnsi="Times New Roman" w:cs="Times New Roman"/>
          <w:highlight w:val="white"/>
        </w:rPr>
      </w:pPr>
    </w:p>
    <w:sectPr w:rsidR="000654B4" w:rsidRPr="00F0513E">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52D32" w14:textId="77777777" w:rsidR="00C623D2" w:rsidRDefault="00C623D2">
      <w:pPr>
        <w:spacing w:after="0" w:line="240" w:lineRule="auto"/>
      </w:pPr>
      <w:r>
        <w:separator/>
      </w:r>
    </w:p>
  </w:endnote>
  <w:endnote w:type="continuationSeparator" w:id="0">
    <w:p w14:paraId="1006601C" w14:textId="77777777" w:rsidR="00C623D2" w:rsidRDefault="00C6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D5EEF9D1-45E7-4476-B167-B07D48D855D1}"/>
    <w:embedBold r:id="rId2" w:fontKey="{C8B25355-B18C-42B5-A33F-19AE1D07F81D}"/>
    <w:embedItalic r:id="rId3" w:fontKey="{94C3AB30-C33D-4780-9EC8-63C7488683F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4F398896-98B6-4AFF-9C3C-203F4AD52C3B}"/>
    <w:embedItalic r:id="rId5" w:fontKey="{B13B318A-7747-4B46-97C6-FEF4B80C85AF}"/>
  </w:font>
  <w:font w:name="Times">
    <w:altName w:val="Sylfaen"/>
    <w:panose1 w:val="02020603050405020304"/>
    <w:charset w:val="00"/>
    <w:family w:val="auto"/>
    <w:pitch w:val="default"/>
    <w:embedRegular r:id="rId6" w:fontKey="{D94B8DAD-AB55-45A3-A87C-BDD8A1F1E721}"/>
    <w:embedBold r:id="rId7" w:fontKey="{DF200510-AF75-4FC9-ADA8-85B78F15DB9C}"/>
  </w:font>
  <w:font w:name="Aptos Display">
    <w:charset w:val="00"/>
    <w:family w:val="swiss"/>
    <w:pitch w:val="variable"/>
    <w:sig w:usb0="20000287" w:usb1="00000003" w:usb2="00000000" w:usb3="00000000" w:csb0="0000019F" w:csb1="00000000"/>
    <w:embedRegular r:id="rId8" w:fontKey="{FEE9BEA5-CAF7-422E-9F86-0411D8A1AA0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96C2A" w14:textId="77777777" w:rsidR="00C623D2" w:rsidRDefault="00C623D2">
      <w:pPr>
        <w:spacing w:after="0" w:line="240" w:lineRule="auto"/>
      </w:pPr>
      <w:r>
        <w:separator/>
      </w:r>
    </w:p>
  </w:footnote>
  <w:footnote w:type="continuationSeparator" w:id="0">
    <w:p w14:paraId="2CE78C85" w14:textId="77777777" w:rsidR="00C623D2" w:rsidRDefault="00C62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7" w14:textId="77777777" w:rsidR="000654B4" w:rsidRDefault="007059F3">
    <w:pPr>
      <w:jc w:val="right"/>
      <w:rPr>
        <w:rFonts w:ascii="Times New Roman" w:eastAsia="Times New Roman" w:hAnsi="Times New Roman" w:cs="Times New Roman"/>
      </w:rPr>
    </w:pPr>
    <w:r>
      <w:rPr>
        <w:rFonts w:ascii="Times New Roman" w:eastAsia="Times New Roman" w:hAnsi="Times New Roman" w:cs="Times New Roman"/>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4B4"/>
    <w:rsid w:val="000654B4"/>
    <w:rsid w:val="001C37A2"/>
    <w:rsid w:val="00262172"/>
    <w:rsid w:val="002B65CF"/>
    <w:rsid w:val="002D5996"/>
    <w:rsid w:val="002F0B91"/>
    <w:rsid w:val="003133D5"/>
    <w:rsid w:val="00320B2F"/>
    <w:rsid w:val="00416024"/>
    <w:rsid w:val="004608BA"/>
    <w:rsid w:val="004A410D"/>
    <w:rsid w:val="005105D6"/>
    <w:rsid w:val="00564E2E"/>
    <w:rsid w:val="005D26FC"/>
    <w:rsid w:val="00692F5E"/>
    <w:rsid w:val="006B13AF"/>
    <w:rsid w:val="006F0355"/>
    <w:rsid w:val="007059F3"/>
    <w:rsid w:val="00723B3A"/>
    <w:rsid w:val="00867A2D"/>
    <w:rsid w:val="008A4E7A"/>
    <w:rsid w:val="008F1BCA"/>
    <w:rsid w:val="008F6062"/>
    <w:rsid w:val="00936E91"/>
    <w:rsid w:val="00983FE1"/>
    <w:rsid w:val="00B411EB"/>
    <w:rsid w:val="00BE2C74"/>
    <w:rsid w:val="00C3052C"/>
    <w:rsid w:val="00C623D2"/>
    <w:rsid w:val="00C70397"/>
    <w:rsid w:val="00D02DCA"/>
    <w:rsid w:val="00F0513E"/>
    <w:rsid w:val="00F61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7EED20"/>
  <w15:docId w15:val="{FCDCF3C4-7E43-4562-A69B-A65323F99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line="240" w:lineRule="auto"/>
      <w:jc w:val="center"/>
      <w:outlineLvl w:val="0"/>
    </w:pPr>
    <w:rPr>
      <w:rFonts w:ascii="Times New Roman" w:eastAsia="Times New Roman" w:hAnsi="Times New Roman" w:cs="Times New Roman"/>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0" w:line="240" w:lineRule="auto"/>
      <w:jc w:val="center"/>
    </w:pPr>
    <w:rPr>
      <w:rFonts w:ascii="Times New Roman" w:eastAsia="Times New Roman" w:hAnsi="Times New Roman" w:cs="Times New Roman"/>
      <w:b/>
    </w:rPr>
  </w:style>
  <w:style w:type="table" w:customStyle="1" w:styleId="TableNormal1">
    <w:name w:val="TableNormal"/>
    <w:tblPr>
      <w:tblCellMar>
        <w:top w:w="100" w:type="dxa"/>
        <w:left w:w="100" w:type="dxa"/>
        <w:bottom w:w="100" w:type="dxa"/>
        <w:right w:w="100" w:type="dxa"/>
      </w:tblCellMar>
    </w:tblPr>
  </w:style>
  <w:style w:type="character" w:styleId="Hyperlink">
    <w:name w:val="Hyperlink"/>
    <w:basedOn w:val="DefaultParagraphFont"/>
    <w:uiPriority w:val="99"/>
    <w:unhideWhenUsed/>
    <w:rsid w:val="55D0D689"/>
    <w:rPr>
      <w:color w:val="467886"/>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TitleChar">
    <w:name w:val="Title Char"/>
    <w:basedOn w:val="DefaultParagraphFont"/>
    <w:link w:val="Title"/>
    <w:uiPriority w:val="10"/>
    <w:rsid w:val="002B65CF"/>
    <w:rPr>
      <w:rFonts w:ascii="Times New Roman" w:eastAsia="Times New Roman" w:hAnsi="Times New Roman"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uygQT+6VYv6xTzHAPlknTHWEjw==">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1341</Words>
  <Characters>8344</Characters>
  <Application>Microsoft Office Word</Application>
  <DocSecurity>0</DocSecurity>
  <Lines>69</Lines>
  <Paragraphs>19</Paragraphs>
  <ScaleCrop>false</ScaleCrop>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Sanderson, Rebekah</dc:creator>
  <cp:lastModifiedBy>Milliken, Brett</cp:lastModifiedBy>
  <cp:revision>27</cp:revision>
  <dcterms:created xsi:type="dcterms:W3CDTF">2025-10-05T21:16:00Z</dcterms:created>
  <dcterms:modified xsi:type="dcterms:W3CDTF">2026-01-06T01:44:00Z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43311a68-d9c0-4257-8331-a41e5c066cba</vt:lpwstr>
  </property>
</Properties>
</file>