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38BA9" w14:textId="77777777" w:rsidR="006A492C" w:rsidRDefault="006A492C" w:rsidP="006A492C">
      <w:pPr>
        <w:pStyle w:val="Title"/>
        <w:rPr>
          <w:rFonts w:ascii="Times" w:eastAsia="Times" w:hAnsi="Times" w:cs="Times"/>
          <w:highlight w:val="white"/>
        </w:rPr>
      </w:pPr>
      <w:bookmarkStart w:id="0" w:name="_heading=h.vz7pvl6eezar" w:colFirst="0" w:colLast="0"/>
      <w:bookmarkEnd w:id="0"/>
    </w:p>
    <w:p w14:paraId="065366E5" w14:textId="77777777" w:rsidR="006A492C" w:rsidRDefault="006A492C" w:rsidP="001B1C2F">
      <w:pPr>
        <w:pStyle w:val="Title"/>
        <w:jc w:val="left"/>
        <w:rPr>
          <w:rFonts w:ascii="Times" w:eastAsia="Times" w:hAnsi="Times" w:cs="Times"/>
          <w:highlight w:val="white"/>
        </w:rPr>
      </w:pPr>
    </w:p>
    <w:p w14:paraId="5E5C18C7" w14:textId="569752E1" w:rsidR="006A492C" w:rsidRDefault="006A492C" w:rsidP="006A492C">
      <w:pPr>
        <w:pStyle w:val="Title"/>
        <w:rPr>
          <w:rFonts w:ascii="Times" w:eastAsia="Times" w:hAnsi="Times" w:cs="Times"/>
        </w:rPr>
      </w:pPr>
      <w:r>
        <w:rPr>
          <w:rFonts w:ascii="Times" w:eastAsia="Times" w:hAnsi="Times" w:cs="Times"/>
          <w:highlight w:val="white"/>
        </w:rPr>
        <w:t>Seeing the Bigger Picture: Youth Perceptions of Agriculture’s Interconnected Systems</w:t>
      </w:r>
    </w:p>
    <w:p w14:paraId="1FF8F5CF" w14:textId="77777777" w:rsidR="00A12C27" w:rsidRPr="00A12C27" w:rsidRDefault="00A12C27" w:rsidP="00A12C27">
      <w:pPr>
        <w:spacing w:after="0" w:line="240" w:lineRule="auto"/>
        <w:jc w:val="center"/>
        <w:rPr>
          <w:rFonts w:ascii="Times New Roman" w:hAnsi="Times New Roman" w:cs="Times New Roman"/>
        </w:rPr>
      </w:pPr>
    </w:p>
    <w:p w14:paraId="2CFAD6D3" w14:textId="77777777" w:rsidR="00A12C27" w:rsidRPr="00A12C27" w:rsidRDefault="00A12C27" w:rsidP="00A12C27">
      <w:pPr>
        <w:spacing w:after="0" w:line="240" w:lineRule="auto"/>
        <w:jc w:val="center"/>
        <w:rPr>
          <w:rFonts w:ascii="Times New Roman" w:hAnsi="Times New Roman" w:cs="Times New Roman"/>
        </w:rPr>
      </w:pPr>
    </w:p>
    <w:p w14:paraId="2E102137" w14:textId="77777777" w:rsidR="00A12C27" w:rsidRPr="00A12C27" w:rsidRDefault="00A12C27" w:rsidP="00A12C27">
      <w:pPr>
        <w:spacing w:after="0" w:line="240" w:lineRule="auto"/>
        <w:jc w:val="center"/>
        <w:rPr>
          <w:rFonts w:ascii="Times New Roman" w:hAnsi="Times New Roman" w:cs="Times New Roman"/>
        </w:rPr>
      </w:pPr>
    </w:p>
    <w:p w14:paraId="3BD6F62D" w14:textId="77777777" w:rsidR="00A12C27" w:rsidRPr="00A12C27" w:rsidRDefault="00A12C27" w:rsidP="00A12C27">
      <w:pPr>
        <w:spacing w:after="0" w:line="240" w:lineRule="auto"/>
        <w:jc w:val="center"/>
        <w:rPr>
          <w:rFonts w:ascii="Times New Roman" w:hAnsi="Times New Roman" w:cs="Times New Roman"/>
        </w:rPr>
      </w:pPr>
    </w:p>
    <w:p w14:paraId="1041C27B"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Lynelis Villanueva-Rios</w:t>
      </w:r>
    </w:p>
    <w:p w14:paraId="45CE90C5" w14:textId="77777777" w:rsid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Rebekah Sanderson</w:t>
      </w:r>
    </w:p>
    <w:p w14:paraId="4CDC18D9" w14:textId="26D0CC90" w:rsidR="00632688" w:rsidRPr="00A12C27" w:rsidRDefault="00632688" w:rsidP="00632688">
      <w:pPr>
        <w:spacing w:after="0" w:line="240" w:lineRule="auto"/>
        <w:jc w:val="center"/>
        <w:rPr>
          <w:rFonts w:ascii="Times New Roman" w:hAnsi="Times New Roman" w:cs="Times New Roman"/>
          <w:bCs/>
        </w:rPr>
      </w:pPr>
      <w:r w:rsidRPr="00A12C27">
        <w:rPr>
          <w:rFonts w:ascii="Times New Roman" w:hAnsi="Times New Roman" w:cs="Times New Roman"/>
          <w:bCs/>
        </w:rPr>
        <w:t>Katlyn Newman</w:t>
      </w:r>
    </w:p>
    <w:p w14:paraId="2094B63A"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D. Brett Milliken, Ph.D.</w:t>
      </w:r>
    </w:p>
    <w:p w14:paraId="041F8EB0" w14:textId="77777777" w:rsidR="00A12C27" w:rsidRPr="00A12C27" w:rsidRDefault="00A12C27" w:rsidP="00A12C27">
      <w:pPr>
        <w:spacing w:after="0" w:line="240" w:lineRule="auto"/>
        <w:jc w:val="center"/>
        <w:rPr>
          <w:rFonts w:ascii="Times New Roman" w:hAnsi="Times New Roman" w:cs="Times New Roman"/>
          <w:bCs/>
        </w:rPr>
      </w:pPr>
    </w:p>
    <w:p w14:paraId="49B1B195"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Department of Agricultural, Leadership, and Community Education</w:t>
      </w:r>
    </w:p>
    <w:p w14:paraId="40F66B15"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Virginia Tech</w:t>
      </w:r>
    </w:p>
    <w:p w14:paraId="4876E92F" w14:textId="77777777" w:rsidR="00A12C27" w:rsidRPr="00A12C27" w:rsidRDefault="00A12C27" w:rsidP="00A12C27">
      <w:pPr>
        <w:spacing w:after="0" w:line="240" w:lineRule="auto"/>
        <w:jc w:val="center"/>
        <w:rPr>
          <w:rFonts w:ascii="Times New Roman" w:hAnsi="Times New Roman" w:cs="Times New Roman"/>
          <w:bCs/>
        </w:rPr>
      </w:pPr>
    </w:p>
    <w:p w14:paraId="14DC80C6" w14:textId="77777777" w:rsidR="00A12C27" w:rsidRPr="00A12C27" w:rsidRDefault="00A12C27" w:rsidP="00A12C27">
      <w:pPr>
        <w:spacing w:after="0" w:line="240" w:lineRule="auto"/>
        <w:jc w:val="center"/>
        <w:rPr>
          <w:rFonts w:ascii="Times New Roman" w:hAnsi="Times New Roman" w:cs="Times New Roman"/>
          <w:bCs/>
        </w:rPr>
      </w:pPr>
    </w:p>
    <w:p w14:paraId="6A44F775" w14:textId="77777777" w:rsidR="00A12C27" w:rsidRPr="00A12C27" w:rsidRDefault="00A12C27" w:rsidP="00A12C27">
      <w:pPr>
        <w:spacing w:after="0" w:line="240" w:lineRule="auto"/>
        <w:jc w:val="center"/>
        <w:rPr>
          <w:rFonts w:ascii="Times New Roman" w:hAnsi="Times New Roman" w:cs="Times New Roman"/>
          <w:bCs/>
        </w:rPr>
      </w:pPr>
    </w:p>
    <w:p w14:paraId="72D620F0"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Contact Information</w:t>
      </w:r>
    </w:p>
    <w:p w14:paraId="1BBA846F"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D. Brett Milliken, Ph.D.</w:t>
      </w:r>
    </w:p>
    <w:p w14:paraId="5D7769DE"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 xml:space="preserve"> Virginia Tech </w:t>
      </w:r>
    </w:p>
    <w:p w14:paraId="492557CB"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 xml:space="preserve">Litton-Reaves Hall, Mail Code 0343 </w:t>
      </w:r>
    </w:p>
    <w:p w14:paraId="38A5E109"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 xml:space="preserve">Blacksburg, VA 24061 </w:t>
      </w:r>
    </w:p>
    <w:p w14:paraId="4EB6EB63"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 xml:space="preserve">(540-231-1003) </w:t>
      </w:r>
    </w:p>
    <w:p w14:paraId="5A711BFD" w14:textId="77777777" w:rsidR="00A12C27" w:rsidRPr="00A12C27" w:rsidRDefault="00A12C27" w:rsidP="00A12C27">
      <w:pPr>
        <w:spacing w:after="0" w:line="240" w:lineRule="auto"/>
        <w:jc w:val="center"/>
        <w:rPr>
          <w:rFonts w:ascii="Times New Roman" w:hAnsi="Times New Roman" w:cs="Times New Roman"/>
          <w:bCs/>
        </w:rPr>
      </w:pPr>
      <w:r w:rsidRPr="00A12C27">
        <w:rPr>
          <w:rFonts w:ascii="Times New Roman" w:hAnsi="Times New Roman" w:cs="Times New Roman"/>
          <w:bCs/>
        </w:rPr>
        <w:t xml:space="preserve">bmilliken@vt.edu </w:t>
      </w:r>
    </w:p>
    <w:p w14:paraId="091B9076" w14:textId="6A866C16" w:rsidR="0081680D" w:rsidRPr="00A12C27" w:rsidRDefault="00A12C27" w:rsidP="008D3001">
      <w:pPr>
        <w:spacing w:after="120"/>
        <w:rPr>
          <w:rFonts w:ascii="Times" w:eastAsia="Times" w:hAnsi="Times" w:cs="Times"/>
          <w:b/>
          <w:bCs/>
        </w:rPr>
      </w:pPr>
      <w:r>
        <w:rPr>
          <w:rFonts w:ascii="Times New Roman" w:eastAsia="Times New Roman" w:hAnsi="Times New Roman" w:cs="Times New Roman"/>
          <w:b/>
        </w:rPr>
        <w:br w:type="page"/>
      </w:r>
      <w:r w:rsidRPr="00A12C27">
        <w:rPr>
          <w:rFonts w:ascii="Times" w:eastAsia="Times" w:hAnsi="Times" w:cs="Times"/>
          <w:b/>
          <w:bCs/>
          <w:highlight w:val="white"/>
        </w:rPr>
        <w:lastRenderedPageBreak/>
        <w:t>Seeing the Bigger Picture: Youth Perceptions of Agriculture’s Interconnected Systems</w:t>
      </w:r>
    </w:p>
    <w:p w14:paraId="091B9078" w14:textId="77777777" w:rsidR="0081680D" w:rsidRDefault="00000000">
      <w:pPr>
        <w:spacing w:after="0" w:line="240" w:lineRule="auto"/>
        <w:ind w:firstLine="720"/>
        <w:rPr>
          <w:rFonts w:ascii="Times New Roman" w:eastAsia="Times New Roman" w:hAnsi="Times New Roman" w:cs="Times New Roman"/>
        </w:rPr>
      </w:pPr>
      <w:bookmarkStart w:id="1" w:name="_heading=h.qzhv5f1v8f8d" w:colFirst="0" w:colLast="0"/>
      <w:bookmarkEnd w:id="1"/>
      <w:r>
        <w:rPr>
          <w:rFonts w:ascii="Times New Roman" w:eastAsia="Times New Roman" w:hAnsi="Times New Roman" w:cs="Times New Roman"/>
        </w:rPr>
        <w:t xml:space="preserve">Agriculture is the backbone of society, contributing about $3.52 billion to the global economy (Vayro et al. 2020). It is paramount to our survival and relies on more than just the farmer cultivating crops to function. The industry relies on nutritionists, embryologists, economists, farmers, and many other key stakeholders. Trends show that the average consumer is becoming more aware of the importance of agriculture (Macias, 2008), but there is still work to do, particularly with educating youth about the scope of the broader agricultural industry. </w:t>
      </w:r>
    </w:p>
    <w:p w14:paraId="091B9079" w14:textId="6D6D2C33" w:rsidR="0081680D" w:rsidRDefault="00000000">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sidR="002A0ED0">
        <w:rPr>
          <w:rFonts w:ascii="Times New Roman" w:eastAsia="Times New Roman" w:hAnsi="Times New Roman" w:cs="Times New Roman"/>
        </w:rPr>
        <w:t xml:space="preserve">Virginia Governor’s School for Agriculture (VGSA) </w:t>
      </w:r>
      <w:r>
        <w:rPr>
          <w:rFonts w:ascii="Times New Roman" w:eastAsia="Times New Roman" w:hAnsi="Times New Roman" w:cs="Times New Roman"/>
        </w:rPr>
        <w:t>is a three-week residential governors’ school that fo</w:t>
      </w:r>
      <w:r w:rsidR="001E1D64">
        <w:rPr>
          <w:rFonts w:ascii="Times New Roman" w:eastAsia="Times New Roman" w:hAnsi="Times New Roman" w:cs="Times New Roman"/>
        </w:rPr>
        <w:t>cuse</w:t>
      </w:r>
      <w:r>
        <w:rPr>
          <w:rFonts w:ascii="Times New Roman" w:eastAsia="Times New Roman" w:hAnsi="Times New Roman" w:cs="Times New Roman"/>
        </w:rPr>
        <w:t>s on all aspects of agriculture (</w:t>
      </w:r>
      <w:r w:rsidR="002A0ED0">
        <w:rPr>
          <w:rFonts w:ascii="Times New Roman" w:eastAsia="Times New Roman" w:hAnsi="Times New Roman" w:cs="Times New Roman"/>
        </w:rPr>
        <w:t>Virginia</w:t>
      </w:r>
      <w:r>
        <w:rPr>
          <w:rFonts w:ascii="Times New Roman" w:eastAsia="Times New Roman" w:hAnsi="Times New Roman" w:cs="Times New Roman"/>
        </w:rPr>
        <w:t xml:space="preserve"> Department of Education, 2024). </w:t>
      </w:r>
      <w:r w:rsidR="001E1D64">
        <w:rPr>
          <w:rFonts w:ascii="Times New Roman" w:eastAsia="Times New Roman" w:hAnsi="Times New Roman" w:cs="Times New Roman"/>
        </w:rPr>
        <w:t>Each year</w:t>
      </w:r>
      <w:r>
        <w:rPr>
          <w:rFonts w:ascii="Times New Roman" w:eastAsia="Times New Roman" w:hAnsi="Times New Roman" w:cs="Times New Roman"/>
        </w:rPr>
        <w:t>, 90</w:t>
      </w:r>
      <w:r w:rsidR="001E1D64">
        <w:rPr>
          <w:rFonts w:ascii="Times New Roman" w:eastAsia="Times New Roman" w:hAnsi="Times New Roman" w:cs="Times New Roman"/>
        </w:rPr>
        <w:t xml:space="preserve"> to 100</w:t>
      </w:r>
      <w:r>
        <w:rPr>
          <w:rFonts w:ascii="Times New Roman" w:eastAsia="Times New Roman" w:hAnsi="Times New Roman" w:cs="Times New Roman"/>
        </w:rPr>
        <w:t xml:space="preserve"> rising high school juniors and seniors are invited to attend the </w:t>
      </w:r>
      <w:r w:rsidR="002A0ED0">
        <w:rPr>
          <w:rFonts w:ascii="Times New Roman" w:eastAsia="Times New Roman" w:hAnsi="Times New Roman" w:cs="Times New Roman"/>
        </w:rPr>
        <w:t>VGSA</w:t>
      </w:r>
      <w:r>
        <w:rPr>
          <w:rFonts w:ascii="Times New Roman" w:eastAsia="Times New Roman" w:hAnsi="Times New Roman" w:cs="Times New Roman"/>
        </w:rPr>
        <w:t xml:space="preserve">, held each summer at </w:t>
      </w:r>
      <w:r w:rsidR="002A0ED0">
        <w:rPr>
          <w:rFonts w:ascii="Times New Roman" w:eastAsia="Times New Roman" w:hAnsi="Times New Roman" w:cs="Times New Roman"/>
        </w:rPr>
        <w:t>Virginia Tech</w:t>
      </w:r>
      <w:r>
        <w:rPr>
          <w:rFonts w:ascii="Times New Roman" w:eastAsia="Times New Roman" w:hAnsi="Times New Roman" w:cs="Times New Roman"/>
        </w:rPr>
        <w:t xml:space="preserve">. Participants attend both field and lecture-based courses, taught by industry professionals, </w:t>
      </w:r>
      <w:r w:rsidR="002A0ED0">
        <w:rPr>
          <w:rFonts w:ascii="Times New Roman" w:eastAsia="Times New Roman" w:hAnsi="Times New Roman" w:cs="Times New Roman"/>
        </w:rPr>
        <w:t>Virginia Tech</w:t>
      </w:r>
      <w:r>
        <w:rPr>
          <w:rFonts w:ascii="Times New Roman" w:eastAsia="Times New Roman" w:hAnsi="Times New Roman" w:cs="Times New Roman"/>
        </w:rPr>
        <w:t xml:space="preserve"> faculty, and graduate students. These courses range from animal science, crop and soil sciences, to economics, biochemistry, and business management. Additionally, participants are expected to work in groups to write a literary review, prepare a presentation, and create a research poster centered on challenges in the agriculture industry. (</w:t>
      </w:r>
      <w:r w:rsidR="002A0ED0">
        <w:rPr>
          <w:rFonts w:ascii="Times New Roman" w:eastAsia="Times New Roman" w:hAnsi="Times New Roman" w:cs="Times New Roman"/>
        </w:rPr>
        <w:t>Virginia Tech</w:t>
      </w:r>
      <w:r>
        <w:rPr>
          <w:rFonts w:ascii="Times New Roman" w:eastAsia="Times New Roman" w:hAnsi="Times New Roman" w:cs="Times New Roman"/>
        </w:rPr>
        <w:t xml:space="preserve">, 2025a). The </w:t>
      </w:r>
      <w:r w:rsidR="002A0ED0">
        <w:rPr>
          <w:rFonts w:ascii="Times New Roman" w:eastAsia="Times New Roman" w:hAnsi="Times New Roman" w:cs="Times New Roman"/>
        </w:rPr>
        <w:t>VGSA</w:t>
      </w:r>
      <w:r>
        <w:rPr>
          <w:rFonts w:ascii="Times New Roman" w:eastAsia="Times New Roman" w:hAnsi="Times New Roman" w:cs="Times New Roman"/>
        </w:rPr>
        <w:t xml:space="preserve"> is uniquely positioned to educate participants from a wide range of backgrounds and communities in agriculture, thereby “developing future leaders and scientists for careers in agriculture” (</w:t>
      </w:r>
      <w:r w:rsidR="002A0ED0">
        <w:rPr>
          <w:rFonts w:ascii="Times New Roman" w:eastAsia="Times New Roman" w:hAnsi="Times New Roman" w:cs="Times New Roman"/>
        </w:rPr>
        <w:t>Virginia Tech</w:t>
      </w:r>
      <w:r>
        <w:rPr>
          <w:rFonts w:ascii="Times New Roman" w:eastAsia="Times New Roman" w:hAnsi="Times New Roman" w:cs="Times New Roman"/>
        </w:rPr>
        <w:t xml:space="preserve">, 2025b). The purpose of this study is to examine how participating in </w:t>
      </w:r>
      <w:r w:rsidR="002A0ED0">
        <w:rPr>
          <w:rFonts w:ascii="Times New Roman" w:eastAsia="Times New Roman" w:hAnsi="Times New Roman" w:cs="Times New Roman"/>
        </w:rPr>
        <w:t>VGSA</w:t>
      </w:r>
      <w:r>
        <w:rPr>
          <w:rFonts w:ascii="Times New Roman" w:eastAsia="Times New Roman" w:hAnsi="Times New Roman" w:cs="Times New Roman"/>
        </w:rPr>
        <w:t xml:space="preserve"> influences students’ perceptions of the agriculture industry, particularly their understanding of its interconnected nature.</w:t>
      </w:r>
    </w:p>
    <w:p w14:paraId="091B907A" w14:textId="77777777" w:rsidR="0081680D" w:rsidRDefault="00000000">
      <w:pPr>
        <w:pStyle w:val="Heading1"/>
      </w:pPr>
      <w:bookmarkStart w:id="2" w:name="_heading=h.7yos88h2deue" w:colFirst="0" w:colLast="0"/>
      <w:bookmarkEnd w:id="2"/>
      <w:r>
        <w:t>Theoretical Framework</w:t>
      </w:r>
    </w:p>
    <w:p w14:paraId="091B907B" w14:textId="62D0F1A6" w:rsidR="0081680D" w:rsidRDefault="00000000">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From a young age, individuals have a natural set of biases and develop a set view of the world. This perspective can be difficult to change (Mezirow, 1997), and this has only been amplified by the onset of social media. Furthermore, people tend not to interact with other thoughts and perceptions that contradict their own. For example, someone from an urban area may not see many representations of agriculture within their social media, their schools, and their home lives, and may hold incorrect beliefs about agriculture. Transformative </w:t>
      </w:r>
      <w:r w:rsidR="00E00A0B">
        <w:rPr>
          <w:rFonts w:ascii="Times New Roman" w:eastAsia="Times New Roman" w:hAnsi="Times New Roman" w:cs="Times New Roman"/>
        </w:rPr>
        <w:t>l</w:t>
      </w:r>
      <w:r>
        <w:rPr>
          <w:rFonts w:ascii="Times New Roman" w:eastAsia="Times New Roman" w:hAnsi="Times New Roman" w:cs="Times New Roman"/>
        </w:rPr>
        <w:t xml:space="preserve">earning </w:t>
      </w:r>
      <w:r w:rsidR="00E00A0B">
        <w:rPr>
          <w:rFonts w:ascii="Times New Roman" w:eastAsia="Times New Roman" w:hAnsi="Times New Roman" w:cs="Times New Roman"/>
        </w:rPr>
        <w:t>t</w:t>
      </w:r>
      <w:r>
        <w:rPr>
          <w:rFonts w:ascii="Times New Roman" w:eastAsia="Times New Roman" w:hAnsi="Times New Roman" w:cs="Times New Roman"/>
        </w:rPr>
        <w:t xml:space="preserve">heory works to explore an individual's frame of reference or bias and how that changes through transformative learning experiences (Mezirow, 1997). We utilize </w:t>
      </w:r>
      <w:r w:rsidR="00E00A0B">
        <w:rPr>
          <w:rFonts w:ascii="Times New Roman" w:eastAsia="Times New Roman" w:hAnsi="Times New Roman" w:cs="Times New Roman"/>
        </w:rPr>
        <w:t>t</w:t>
      </w:r>
      <w:r>
        <w:rPr>
          <w:rFonts w:ascii="Times New Roman" w:eastAsia="Times New Roman" w:hAnsi="Times New Roman" w:cs="Times New Roman"/>
        </w:rPr>
        <w:t xml:space="preserve">ransformative </w:t>
      </w:r>
      <w:r w:rsidR="00E00A0B">
        <w:rPr>
          <w:rFonts w:ascii="Times New Roman" w:eastAsia="Times New Roman" w:hAnsi="Times New Roman" w:cs="Times New Roman"/>
        </w:rPr>
        <w:t>l</w:t>
      </w:r>
      <w:r>
        <w:rPr>
          <w:rFonts w:ascii="Times New Roman" w:eastAsia="Times New Roman" w:hAnsi="Times New Roman" w:cs="Times New Roman"/>
        </w:rPr>
        <w:t xml:space="preserve">earning </w:t>
      </w:r>
      <w:r w:rsidR="00E00A0B">
        <w:rPr>
          <w:rFonts w:ascii="Times New Roman" w:eastAsia="Times New Roman" w:hAnsi="Times New Roman" w:cs="Times New Roman"/>
        </w:rPr>
        <w:t>t</w:t>
      </w:r>
      <w:r>
        <w:rPr>
          <w:rFonts w:ascii="Times New Roman" w:eastAsia="Times New Roman" w:hAnsi="Times New Roman" w:cs="Times New Roman"/>
        </w:rPr>
        <w:t xml:space="preserve">heory to examine </w:t>
      </w:r>
      <w:r w:rsidR="00465203">
        <w:rPr>
          <w:rFonts w:ascii="Times New Roman" w:eastAsia="Times New Roman" w:hAnsi="Times New Roman" w:cs="Times New Roman"/>
        </w:rPr>
        <w:t>VGSA</w:t>
      </w:r>
      <w:r>
        <w:rPr>
          <w:rFonts w:ascii="Times New Roman" w:eastAsia="Times New Roman" w:hAnsi="Times New Roman" w:cs="Times New Roman"/>
        </w:rPr>
        <w:t xml:space="preserve"> participants' changing perceptions of agriculture as they engage with the agricultural industry during their time in the </w:t>
      </w:r>
      <w:r w:rsidR="002A0ED0">
        <w:rPr>
          <w:rFonts w:ascii="Times New Roman" w:eastAsia="Times New Roman" w:hAnsi="Times New Roman" w:cs="Times New Roman"/>
        </w:rPr>
        <w:t>VGSA</w:t>
      </w:r>
      <w:r>
        <w:rPr>
          <w:rFonts w:ascii="Times New Roman" w:eastAsia="Times New Roman" w:hAnsi="Times New Roman" w:cs="Times New Roman"/>
        </w:rPr>
        <w:t>.</w:t>
      </w:r>
    </w:p>
    <w:p w14:paraId="091B907C" w14:textId="77777777" w:rsidR="0081680D" w:rsidRDefault="00000000">
      <w:pPr>
        <w:pStyle w:val="Heading1"/>
      </w:pPr>
      <w:bookmarkStart w:id="3" w:name="_heading=h.duwn0cijuux5" w:colFirst="0" w:colLast="0"/>
      <w:bookmarkEnd w:id="3"/>
      <w:r>
        <w:t>Methodology</w:t>
      </w:r>
    </w:p>
    <w:p w14:paraId="091B907D" w14:textId="4E311AD8" w:rsidR="0081680D" w:rsidRDefault="00000000">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Photo elicitation is a research method that utilizes either researcher- or participant-provided photographs to help expand upon and enhance the traditional interview process by evoking deeper reactions from the participants (Harper</w:t>
      </w:r>
      <w:r w:rsidR="00B93D78">
        <w:rPr>
          <w:rFonts w:ascii="Times New Roman" w:eastAsia="Times New Roman" w:hAnsi="Times New Roman" w:cs="Times New Roman"/>
        </w:rPr>
        <w:t>,</w:t>
      </w:r>
      <w:r>
        <w:rPr>
          <w:rFonts w:ascii="Times New Roman" w:eastAsia="Times New Roman" w:hAnsi="Times New Roman" w:cs="Times New Roman"/>
        </w:rPr>
        <w:t xml:space="preserve"> 2002). Respondent-generated images, in particular, allow participants to articulate themselves with a clarity they may not achieve without the use of a photo while reducing biases in researcher image selection (Margolis &amp; Pauwels, 2011). Ultimately, photo elicitation is a powerful tool in the research process that can make responses more meaningful for both researcher and respondent. </w:t>
      </w:r>
    </w:p>
    <w:p w14:paraId="091B907E" w14:textId="3574E155" w:rsidR="0081680D" w:rsidRDefault="00000000">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This study used a participant-driven photo elicitation method where the 87 </w:t>
      </w:r>
      <w:r w:rsidR="00465203">
        <w:rPr>
          <w:rFonts w:ascii="Times New Roman" w:eastAsia="Times New Roman" w:hAnsi="Times New Roman" w:cs="Times New Roman"/>
        </w:rPr>
        <w:t>VGSA</w:t>
      </w:r>
      <w:r>
        <w:rPr>
          <w:rFonts w:ascii="Times New Roman" w:eastAsia="Times New Roman" w:hAnsi="Times New Roman" w:cs="Times New Roman"/>
        </w:rPr>
        <w:t xml:space="preserve"> participants submitted and captioned a photo responding to the prompt “</w:t>
      </w:r>
      <w:r>
        <w:rPr>
          <w:rFonts w:ascii="Times New Roman" w:eastAsia="Times New Roman" w:hAnsi="Times New Roman" w:cs="Times New Roman"/>
          <w:i/>
        </w:rPr>
        <w:t>What is agriculture?</w:t>
      </w:r>
      <w:r>
        <w:rPr>
          <w:rFonts w:ascii="Times New Roman" w:eastAsia="Times New Roman" w:hAnsi="Times New Roman" w:cs="Times New Roman"/>
        </w:rPr>
        <w:t xml:space="preserve">”. The research team drew on data analysis procedures established by Creswell and Creswell (2018) to analyze the photos and reflections and to create codes. Once the data were analyzed, the team followed recommendations for intercoder reliability as described by O’Connor and Jeoff (2020) to review codes and identify themes. </w:t>
      </w:r>
    </w:p>
    <w:p w14:paraId="091B907F" w14:textId="77777777" w:rsidR="0081680D" w:rsidRDefault="00000000" w:rsidP="00AD24F0">
      <w:pPr>
        <w:pStyle w:val="Heading1"/>
      </w:pPr>
      <w:bookmarkStart w:id="4" w:name="_heading=h.jf8561m5mtye" w:colFirst="0" w:colLast="0"/>
      <w:bookmarkEnd w:id="4"/>
      <w:r>
        <w:lastRenderedPageBreak/>
        <w:t>Results</w:t>
      </w:r>
    </w:p>
    <w:p w14:paraId="091B9080" w14:textId="3B4401C8" w:rsidR="0081680D" w:rsidRDefault="00000000">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 xml:space="preserve">The </w:t>
      </w:r>
      <w:r w:rsidR="00465203">
        <w:rPr>
          <w:rFonts w:ascii="Times New Roman" w:eastAsia="Times New Roman" w:hAnsi="Times New Roman" w:cs="Times New Roman"/>
        </w:rPr>
        <w:t>VGSA</w:t>
      </w:r>
      <w:r>
        <w:rPr>
          <w:rFonts w:ascii="Times New Roman" w:eastAsia="Times New Roman" w:hAnsi="Times New Roman" w:cs="Times New Roman"/>
        </w:rPr>
        <w:t xml:space="preserve"> is positioned to educate students from a variety of backgrounds and communities about the interconnectedness of agriculture. Namely, the </w:t>
      </w:r>
      <w:r w:rsidR="00465203">
        <w:rPr>
          <w:rFonts w:ascii="Times New Roman" w:eastAsia="Times New Roman" w:hAnsi="Times New Roman" w:cs="Times New Roman"/>
        </w:rPr>
        <w:t>VGSA</w:t>
      </w:r>
      <w:r>
        <w:rPr>
          <w:rFonts w:ascii="Times New Roman" w:eastAsia="Times New Roman" w:hAnsi="Times New Roman" w:cs="Times New Roman"/>
        </w:rPr>
        <w:t xml:space="preserve"> exposes students to the </w:t>
      </w:r>
      <w:r>
        <w:rPr>
          <w:rFonts w:ascii="Times New Roman" w:eastAsia="Times New Roman" w:hAnsi="Times New Roman" w:cs="Times New Roman"/>
          <w:i/>
        </w:rPr>
        <w:t>interconnectedness of agriculture</w:t>
      </w:r>
      <w:r>
        <w:rPr>
          <w:rFonts w:ascii="Times New Roman" w:eastAsia="Times New Roman" w:hAnsi="Times New Roman" w:cs="Times New Roman"/>
        </w:rPr>
        <w:t xml:space="preserve"> between innovation, sustainability, education, economics, and more. This project is part of a larger study exploring </w:t>
      </w:r>
      <w:r w:rsidR="00465203">
        <w:rPr>
          <w:rFonts w:ascii="Times New Roman" w:eastAsia="Times New Roman" w:hAnsi="Times New Roman" w:cs="Times New Roman"/>
        </w:rPr>
        <w:t>VGSA</w:t>
      </w:r>
      <w:r>
        <w:rPr>
          <w:rFonts w:ascii="Times New Roman" w:eastAsia="Times New Roman" w:hAnsi="Times New Roman" w:cs="Times New Roman"/>
        </w:rPr>
        <w:t xml:space="preserve"> participants’ transformative learning experiences, with particular attention to how their perceptions of agriculture evolve.</w:t>
      </w:r>
    </w:p>
    <w:p w14:paraId="091B9081" w14:textId="77777777" w:rsidR="0081680D" w:rsidRDefault="00000000">
      <w:pPr>
        <w:spacing w:after="0" w:line="240" w:lineRule="auto"/>
        <w:ind w:firstLine="720"/>
        <w:rPr>
          <w:rFonts w:ascii="Times New Roman" w:eastAsia="Times New Roman" w:hAnsi="Times New Roman" w:cs="Times New Roman"/>
        </w:rPr>
      </w:pPr>
      <w:r>
        <w:rPr>
          <w:rFonts w:ascii="Times New Roman" w:eastAsia="Times New Roman" w:hAnsi="Times New Roman" w:cs="Times New Roman"/>
        </w:rPr>
        <w:t>Participant 4 asserted that “Agriculture connects to larger systems like the environment, education, and even community values,” while participant 85 noted:</w:t>
      </w:r>
    </w:p>
    <w:p w14:paraId="091B9082" w14:textId="77777777" w:rsidR="0081680D" w:rsidRDefault="00000000">
      <w:pPr>
        <w:spacing w:after="0" w:line="240" w:lineRule="auto"/>
        <w:ind w:left="720"/>
        <w:rPr>
          <w:rFonts w:ascii="Times New Roman" w:eastAsia="Times New Roman" w:hAnsi="Times New Roman" w:cs="Times New Roman"/>
        </w:rPr>
      </w:pPr>
      <w:r>
        <w:rPr>
          <w:rFonts w:ascii="Times New Roman" w:eastAsia="Times New Roman" w:hAnsi="Times New Roman" w:cs="Times New Roman"/>
        </w:rPr>
        <w:t>...agriculture is community. It is the glue that intertwines society, the environment, and the economy. Agriculture requires teamwork, community, and dedication … It also brings people together for a common goal.</w:t>
      </w:r>
    </w:p>
    <w:p w14:paraId="091B9083" w14:textId="77777777" w:rsidR="0081680D"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Participant 27 relayed the importance of economics in agriculture when stating that “...this relates to agriculture as a whole, as it demonstrates the necessity to rely on all living things and their lifestyles to facilitate economic viability”. Participant 4 further recognized the scope of the industry by relating it to what the average individual sees and uses daily: </w:t>
      </w:r>
    </w:p>
    <w:p w14:paraId="091B9084" w14:textId="77777777" w:rsidR="0081680D" w:rsidRDefault="00000000">
      <w:pPr>
        <w:spacing w:after="0" w:line="240" w:lineRule="auto"/>
        <w:ind w:left="720"/>
        <w:rPr>
          <w:rFonts w:ascii="Times New Roman" w:eastAsia="Times New Roman" w:hAnsi="Times New Roman" w:cs="Times New Roman"/>
        </w:rPr>
      </w:pPr>
      <w:r>
        <w:rPr>
          <w:rFonts w:ascii="Times New Roman" w:eastAsia="Times New Roman" w:hAnsi="Times New Roman" w:cs="Times New Roman"/>
        </w:rPr>
        <w:t>...everything that surrounds you can be agriculture from the groceries in supermarket to the engineering of advanced technologies which makes us to one step closer in achieving specified or international goals.</w:t>
      </w:r>
    </w:p>
    <w:p w14:paraId="091B9085" w14:textId="04C34D9E" w:rsidR="0081680D"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Furthermore, participant 33 acknowledged agriculture’s contributions to modern-day innovation: “</w:t>
      </w:r>
      <w:r w:rsidR="00E63054">
        <w:rPr>
          <w:rFonts w:ascii="Times New Roman" w:eastAsia="Times New Roman" w:hAnsi="Times New Roman" w:cs="Times New Roman"/>
        </w:rPr>
        <w:t>Agriculture</w:t>
      </w:r>
      <w:r>
        <w:rPr>
          <w:rFonts w:ascii="Times New Roman" w:eastAsia="Times New Roman" w:hAnsi="Times New Roman" w:cs="Times New Roman"/>
        </w:rPr>
        <w:t xml:space="preserve"> is driven by the same passion to improve the world, not just through greenspace or farming, but through collaboration, innovation, and compassion”. Not only did participants recognize the contributions, scope, and connections of the industry, but they also recognized the importance of the farmers’ role. “It's a lifestyle. Agriculture is within one throughout their whole life. It is nurtured; it is one's passion. Agriculture is beyond one's understanding” (Participant 27). Similarly, Participant 46 said: </w:t>
      </w:r>
    </w:p>
    <w:p w14:paraId="091B9086" w14:textId="77777777" w:rsidR="0081680D" w:rsidRDefault="00000000">
      <w:pPr>
        <w:spacing w:after="0" w:line="240" w:lineRule="auto"/>
        <w:ind w:left="720"/>
        <w:rPr>
          <w:rFonts w:ascii="Times New Roman" w:eastAsia="Times New Roman" w:hAnsi="Times New Roman" w:cs="Times New Roman"/>
        </w:rPr>
      </w:pPr>
      <w:r>
        <w:rPr>
          <w:rFonts w:ascii="Times New Roman" w:eastAsia="Times New Roman" w:hAnsi="Times New Roman" w:cs="Times New Roman"/>
        </w:rPr>
        <w:t xml:space="preserve">Agriculture is both a science and a way of living. …These connections teach empathy, responsibility, and respect for all living things. In a fast-paced world, agriculture slows us down and reminds us of the value of hard work, nature, and genuine companionship. … It's about forming lasting relationships with the living world around us. </w:t>
      </w:r>
    </w:p>
    <w:p w14:paraId="091B9087" w14:textId="350EC586" w:rsidR="0081680D"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These participants’ responses demonstrate their </w:t>
      </w:r>
      <w:r w:rsidR="00D663BE">
        <w:rPr>
          <w:rFonts w:ascii="Times New Roman" w:eastAsia="Times New Roman" w:hAnsi="Times New Roman" w:cs="Times New Roman"/>
        </w:rPr>
        <w:t xml:space="preserve">growth in </w:t>
      </w:r>
      <w:r>
        <w:rPr>
          <w:rFonts w:ascii="Times New Roman" w:eastAsia="Times New Roman" w:hAnsi="Times New Roman" w:cs="Times New Roman"/>
        </w:rPr>
        <w:t xml:space="preserve">knowledge of agriculture at the completion of the </w:t>
      </w:r>
      <w:r w:rsidR="002A0ED0">
        <w:rPr>
          <w:rFonts w:ascii="Times New Roman" w:eastAsia="Times New Roman" w:hAnsi="Times New Roman" w:cs="Times New Roman"/>
        </w:rPr>
        <w:t>VGSA</w:t>
      </w:r>
      <w:r>
        <w:rPr>
          <w:rFonts w:ascii="Times New Roman" w:eastAsia="Times New Roman" w:hAnsi="Times New Roman" w:cs="Times New Roman"/>
        </w:rPr>
        <w:t xml:space="preserve">. Regardless of their starting point, participants learned to see the interconnected nature of agriculture. </w:t>
      </w:r>
    </w:p>
    <w:p w14:paraId="091B9088" w14:textId="77777777" w:rsidR="0081680D" w:rsidRDefault="00000000">
      <w:pPr>
        <w:pStyle w:val="Heading1"/>
      </w:pPr>
      <w:bookmarkStart w:id="5" w:name="_heading=h.xzvmuzm10w2b" w:colFirst="0" w:colLast="0"/>
      <w:bookmarkEnd w:id="5"/>
      <w:r>
        <w:t>Conclusion &amp; Recommendations</w:t>
      </w:r>
    </w:p>
    <w:p w14:paraId="091B9089" w14:textId="69638AA7" w:rsidR="0081680D"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tab/>
      </w:r>
      <w:r w:rsidR="00F04853">
        <w:rPr>
          <w:rFonts w:ascii="Times New Roman" w:eastAsia="Times New Roman" w:hAnsi="Times New Roman" w:cs="Times New Roman"/>
        </w:rPr>
        <w:t>B</w:t>
      </w:r>
      <w:r>
        <w:rPr>
          <w:rFonts w:ascii="Times New Roman" w:eastAsia="Times New Roman" w:hAnsi="Times New Roman" w:cs="Times New Roman"/>
        </w:rPr>
        <w:t xml:space="preserve">ased upon the participants' responses, they developed a greater understanding of the interconnectedness of agriculture to other industries, and on a deeper level, to our larger society and communities. </w:t>
      </w:r>
      <w:r w:rsidR="00465203">
        <w:rPr>
          <w:rFonts w:ascii="Times New Roman" w:eastAsia="Times New Roman" w:hAnsi="Times New Roman" w:cs="Times New Roman"/>
        </w:rPr>
        <w:t>VGSA</w:t>
      </w:r>
      <w:r>
        <w:rPr>
          <w:rFonts w:ascii="Times New Roman" w:eastAsia="Times New Roman" w:hAnsi="Times New Roman" w:cs="Times New Roman"/>
        </w:rPr>
        <w:t xml:space="preserve"> </w:t>
      </w:r>
      <w:r w:rsidR="0001516D">
        <w:rPr>
          <w:rFonts w:ascii="Times New Roman" w:eastAsia="Times New Roman" w:hAnsi="Times New Roman" w:cs="Times New Roman"/>
        </w:rPr>
        <w:t xml:space="preserve">participants </w:t>
      </w:r>
      <w:r w:rsidR="006507B4">
        <w:rPr>
          <w:rFonts w:ascii="Times New Roman" w:eastAsia="Times New Roman" w:hAnsi="Times New Roman" w:cs="Times New Roman"/>
        </w:rPr>
        <w:t>were able to identify</w:t>
      </w:r>
      <w:r>
        <w:rPr>
          <w:rFonts w:ascii="Times New Roman" w:eastAsia="Times New Roman" w:hAnsi="Times New Roman" w:cs="Times New Roman"/>
        </w:rPr>
        <w:t xml:space="preserve"> the broader impacts of agriculture </w:t>
      </w:r>
      <w:r w:rsidR="00E76B29">
        <w:rPr>
          <w:rFonts w:ascii="Times New Roman" w:eastAsia="Times New Roman" w:hAnsi="Times New Roman" w:cs="Times New Roman"/>
        </w:rPr>
        <w:t>and the</w:t>
      </w:r>
      <w:r>
        <w:rPr>
          <w:rFonts w:ascii="Times New Roman" w:eastAsia="Times New Roman" w:hAnsi="Times New Roman" w:cs="Times New Roman"/>
        </w:rPr>
        <w:t xml:space="preserve"> different</w:t>
      </w:r>
      <w:r w:rsidR="00E76B29">
        <w:rPr>
          <w:rFonts w:ascii="Times New Roman" w:eastAsia="Times New Roman" w:hAnsi="Times New Roman" w:cs="Times New Roman"/>
        </w:rPr>
        <w:t>, broader</w:t>
      </w:r>
      <w:r>
        <w:rPr>
          <w:rFonts w:ascii="Times New Roman" w:eastAsia="Times New Roman" w:hAnsi="Times New Roman" w:cs="Times New Roman"/>
        </w:rPr>
        <w:t xml:space="preserve"> parts of the industry</w:t>
      </w:r>
      <w:r w:rsidR="001F4905">
        <w:rPr>
          <w:rFonts w:ascii="Times New Roman" w:eastAsia="Times New Roman" w:hAnsi="Times New Roman" w:cs="Times New Roman"/>
        </w:rPr>
        <w:t xml:space="preserve"> through their first-hand experiences</w:t>
      </w:r>
      <w:r>
        <w:rPr>
          <w:rFonts w:ascii="Times New Roman" w:eastAsia="Times New Roman" w:hAnsi="Times New Roman" w:cs="Times New Roman"/>
        </w:rPr>
        <w:t xml:space="preserve">. </w:t>
      </w:r>
      <w:r w:rsidR="008B5EAF">
        <w:rPr>
          <w:rFonts w:ascii="Times New Roman" w:eastAsia="Times New Roman" w:hAnsi="Times New Roman" w:cs="Times New Roman"/>
        </w:rPr>
        <w:t xml:space="preserve">Many of </w:t>
      </w:r>
      <w:r w:rsidR="00F5658C">
        <w:rPr>
          <w:rFonts w:ascii="Times New Roman" w:eastAsia="Times New Roman" w:hAnsi="Times New Roman" w:cs="Times New Roman"/>
        </w:rPr>
        <w:t>the</w:t>
      </w:r>
      <w:r w:rsidR="008B5EAF">
        <w:rPr>
          <w:rFonts w:ascii="Times New Roman" w:eastAsia="Times New Roman" w:hAnsi="Times New Roman" w:cs="Times New Roman"/>
        </w:rPr>
        <w:t xml:space="preserve"> participants </w:t>
      </w:r>
      <w:r w:rsidR="00677027">
        <w:rPr>
          <w:rFonts w:ascii="Times New Roman" w:eastAsia="Times New Roman" w:hAnsi="Times New Roman" w:cs="Times New Roman"/>
        </w:rPr>
        <w:t xml:space="preserve">had a transformative learning experience that challenged their knowledge and understanding of agriculture </w:t>
      </w:r>
      <w:r w:rsidR="001F4905">
        <w:rPr>
          <w:rFonts w:ascii="Times New Roman" w:eastAsia="Times New Roman" w:hAnsi="Times New Roman" w:cs="Times New Roman"/>
        </w:rPr>
        <w:t>through</w:t>
      </w:r>
      <w:r w:rsidR="00677027">
        <w:rPr>
          <w:rFonts w:ascii="Times New Roman" w:eastAsia="Times New Roman" w:hAnsi="Times New Roman" w:cs="Times New Roman"/>
        </w:rPr>
        <w:t xml:space="preserve"> their participation in VGSA.</w:t>
      </w:r>
      <w:r w:rsidR="008B5EAF">
        <w:rPr>
          <w:rFonts w:ascii="Times New Roman" w:eastAsia="Times New Roman" w:hAnsi="Times New Roman" w:cs="Times New Roman"/>
        </w:rPr>
        <w:t xml:space="preserve"> </w:t>
      </w:r>
      <w:r>
        <w:rPr>
          <w:rFonts w:ascii="Times New Roman" w:eastAsia="Times New Roman" w:hAnsi="Times New Roman" w:cs="Times New Roman"/>
        </w:rPr>
        <w:t xml:space="preserve">We cannot generalize the findings from this study to other </w:t>
      </w:r>
      <w:r w:rsidR="0001516D">
        <w:rPr>
          <w:rFonts w:ascii="Times New Roman" w:eastAsia="Times New Roman" w:hAnsi="Times New Roman" w:cs="Times New Roman"/>
        </w:rPr>
        <w:t>programs</w:t>
      </w:r>
      <w:r>
        <w:rPr>
          <w:rFonts w:ascii="Times New Roman" w:eastAsia="Times New Roman" w:hAnsi="Times New Roman" w:cs="Times New Roman"/>
        </w:rPr>
        <w:t xml:space="preserve">. However, we recommend that other agricultural education </w:t>
      </w:r>
      <w:r w:rsidR="0001516D">
        <w:rPr>
          <w:rFonts w:ascii="Times New Roman" w:eastAsia="Times New Roman" w:hAnsi="Times New Roman" w:cs="Times New Roman"/>
        </w:rPr>
        <w:t>programs</w:t>
      </w:r>
      <w:r>
        <w:rPr>
          <w:rFonts w:ascii="Times New Roman" w:eastAsia="Times New Roman" w:hAnsi="Times New Roman" w:cs="Times New Roman"/>
        </w:rPr>
        <w:t xml:space="preserve"> </w:t>
      </w:r>
      <w:r w:rsidR="00170C05">
        <w:rPr>
          <w:rFonts w:ascii="Times New Roman" w:eastAsia="Times New Roman" w:hAnsi="Times New Roman" w:cs="Times New Roman"/>
        </w:rPr>
        <w:t>provide</w:t>
      </w:r>
      <w:r>
        <w:rPr>
          <w:rFonts w:ascii="Times New Roman" w:eastAsia="Times New Roman" w:hAnsi="Times New Roman" w:cs="Times New Roman"/>
        </w:rPr>
        <w:t xml:space="preserve"> </w:t>
      </w:r>
      <w:r w:rsidR="00677027">
        <w:rPr>
          <w:rFonts w:ascii="Times New Roman" w:eastAsia="Times New Roman" w:hAnsi="Times New Roman" w:cs="Times New Roman"/>
        </w:rPr>
        <w:t>a variety</w:t>
      </w:r>
      <w:r>
        <w:rPr>
          <w:rFonts w:ascii="Times New Roman" w:eastAsia="Times New Roman" w:hAnsi="Times New Roman" w:cs="Times New Roman"/>
        </w:rPr>
        <w:t xml:space="preserve"> of </w:t>
      </w:r>
      <w:r w:rsidR="00170C05">
        <w:rPr>
          <w:rFonts w:ascii="Times New Roman" w:eastAsia="Times New Roman" w:hAnsi="Times New Roman" w:cs="Times New Roman"/>
        </w:rPr>
        <w:t xml:space="preserve">transformative </w:t>
      </w:r>
      <w:r>
        <w:rPr>
          <w:rFonts w:ascii="Times New Roman" w:eastAsia="Times New Roman" w:hAnsi="Times New Roman" w:cs="Times New Roman"/>
        </w:rPr>
        <w:t xml:space="preserve">agriculture </w:t>
      </w:r>
      <w:r w:rsidR="00170C05">
        <w:rPr>
          <w:rFonts w:ascii="Times New Roman" w:eastAsia="Times New Roman" w:hAnsi="Times New Roman" w:cs="Times New Roman"/>
        </w:rPr>
        <w:t>experiences</w:t>
      </w:r>
      <w:r>
        <w:rPr>
          <w:rFonts w:ascii="Times New Roman" w:eastAsia="Times New Roman" w:hAnsi="Times New Roman" w:cs="Times New Roman"/>
        </w:rPr>
        <w:t xml:space="preserve"> </w:t>
      </w:r>
      <w:r w:rsidR="003C220C">
        <w:rPr>
          <w:rFonts w:ascii="Times New Roman" w:eastAsia="Times New Roman" w:hAnsi="Times New Roman" w:cs="Times New Roman"/>
        </w:rPr>
        <w:t xml:space="preserve">that challenge participants’ perceptions </w:t>
      </w:r>
      <w:r>
        <w:rPr>
          <w:rFonts w:ascii="Times New Roman" w:eastAsia="Times New Roman" w:hAnsi="Times New Roman" w:cs="Times New Roman"/>
        </w:rPr>
        <w:t xml:space="preserve">so that </w:t>
      </w:r>
      <w:r w:rsidR="002F2224">
        <w:rPr>
          <w:rFonts w:ascii="Times New Roman" w:eastAsia="Times New Roman" w:hAnsi="Times New Roman" w:cs="Times New Roman"/>
        </w:rPr>
        <w:t>participants</w:t>
      </w:r>
      <w:r>
        <w:rPr>
          <w:rFonts w:ascii="Times New Roman" w:eastAsia="Times New Roman" w:hAnsi="Times New Roman" w:cs="Times New Roman"/>
        </w:rPr>
        <w:t xml:space="preserve"> can </w:t>
      </w:r>
      <w:r w:rsidR="00D663BE">
        <w:rPr>
          <w:rFonts w:ascii="Times New Roman" w:eastAsia="Times New Roman" w:hAnsi="Times New Roman" w:cs="Times New Roman"/>
        </w:rPr>
        <w:t>discover</w:t>
      </w:r>
      <w:r>
        <w:rPr>
          <w:rFonts w:ascii="Times New Roman" w:eastAsia="Times New Roman" w:hAnsi="Times New Roman" w:cs="Times New Roman"/>
        </w:rPr>
        <w:t xml:space="preserve"> the industry's reach and interconnectedness. </w:t>
      </w:r>
      <w:r w:rsidR="00D663BE">
        <w:rPr>
          <w:rFonts w:ascii="Times New Roman" w:eastAsia="Times New Roman" w:hAnsi="Times New Roman" w:cs="Times New Roman"/>
        </w:rPr>
        <w:t>W</w:t>
      </w:r>
      <w:r w:rsidR="00560F08">
        <w:rPr>
          <w:rFonts w:ascii="Times New Roman" w:eastAsia="Times New Roman" w:hAnsi="Times New Roman" w:cs="Times New Roman"/>
        </w:rPr>
        <w:t>e</w:t>
      </w:r>
      <w:r w:rsidR="00D663BE">
        <w:rPr>
          <w:rFonts w:ascii="Times New Roman" w:eastAsia="Times New Roman" w:hAnsi="Times New Roman" w:cs="Times New Roman"/>
        </w:rPr>
        <w:t xml:space="preserve"> also</w:t>
      </w:r>
      <w:r>
        <w:rPr>
          <w:rFonts w:ascii="Times New Roman" w:eastAsia="Times New Roman" w:hAnsi="Times New Roman" w:cs="Times New Roman"/>
        </w:rPr>
        <w:t xml:space="preserve"> recommend </w:t>
      </w:r>
      <w:r w:rsidR="00A9020C">
        <w:rPr>
          <w:rFonts w:ascii="Times New Roman" w:eastAsia="Times New Roman" w:hAnsi="Times New Roman" w:cs="Times New Roman"/>
        </w:rPr>
        <w:t>having</w:t>
      </w:r>
      <w:r w:rsidR="00560F08">
        <w:rPr>
          <w:rFonts w:ascii="Times New Roman" w:eastAsia="Times New Roman" w:hAnsi="Times New Roman" w:cs="Times New Roman"/>
        </w:rPr>
        <w:t xml:space="preserve"> participants </w:t>
      </w:r>
      <w:r w:rsidR="00D663BE">
        <w:rPr>
          <w:rFonts w:ascii="Times New Roman" w:eastAsia="Times New Roman" w:hAnsi="Times New Roman" w:cs="Times New Roman"/>
        </w:rPr>
        <w:t>provide</w:t>
      </w:r>
      <w:r w:rsidR="00A9020C">
        <w:rPr>
          <w:rFonts w:ascii="Times New Roman" w:eastAsia="Times New Roman" w:hAnsi="Times New Roman" w:cs="Times New Roman"/>
        </w:rPr>
        <w:t xml:space="preserve"> a written reflection and photo at</w:t>
      </w:r>
      <w:r>
        <w:rPr>
          <w:rFonts w:ascii="Times New Roman" w:eastAsia="Times New Roman" w:hAnsi="Times New Roman" w:cs="Times New Roman"/>
        </w:rPr>
        <w:t xml:space="preserve"> the start and end of the </w:t>
      </w:r>
      <w:r w:rsidR="00A9020C">
        <w:rPr>
          <w:rFonts w:ascii="Times New Roman" w:eastAsia="Times New Roman" w:hAnsi="Times New Roman" w:cs="Times New Roman"/>
        </w:rPr>
        <w:t>program</w:t>
      </w:r>
      <w:r>
        <w:rPr>
          <w:rFonts w:ascii="Times New Roman" w:eastAsia="Times New Roman" w:hAnsi="Times New Roman" w:cs="Times New Roman"/>
        </w:rPr>
        <w:t xml:space="preserve"> to </w:t>
      </w:r>
      <w:r w:rsidR="00DE67C1">
        <w:rPr>
          <w:rFonts w:ascii="Times New Roman" w:eastAsia="Times New Roman" w:hAnsi="Times New Roman" w:cs="Times New Roman"/>
        </w:rPr>
        <w:t>better understand</w:t>
      </w:r>
      <w:r>
        <w:rPr>
          <w:rFonts w:ascii="Times New Roman" w:eastAsia="Times New Roman" w:hAnsi="Times New Roman" w:cs="Times New Roman"/>
        </w:rPr>
        <w:t xml:space="preserve"> the </w:t>
      </w:r>
      <w:r w:rsidR="00D663BE">
        <w:rPr>
          <w:rFonts w:ascii="Times New Roman" w:eastAsia="Times New Roman" w:hAnsi="Times New Roman" w:cs="Times New Roman"/>
        </w:rPr>
        <w:t xml:space="preserve">transformative </w:t>
      </w:r>
      <w:r>
        <w:rPr>
          <w:rFonts w:ascii="Times New Roman" w:eastAsia="Times New Roman" w:hAnsi="Times New Roman" w:cs="Times New Roman"/>
        </w:rPr>
        <w:t>growth of participants</w:t>
      </w:r>
      <w:r w:rsidR="001F3CCE">
        <w:rPr>
          <w:rFonts w:ascii="Times New Roman" w:eastAsia="Times New Roman" w:hAnsi="Times New Roman" w:cs="Times New Roman"/>
        </w:rPr>
        <w:t xml:space="preserve"> as a result of program experiences.</w:t>
      </w:r>
      <w:r w:rsidR="00A80DE7">
        <w:rPr>
          <w:rFonts w:ascii="Times New Roman" w:eastAsia="Times New Roman" w:hAnsi="Times New Roman" w:cs="Times New Roman"/>
        </w:rPr>
        <w:t xml:space="preserve"> </w:t>
      </w:r>
      <w:r w:rsidR="003F5245">
        <w:rPr>
          <w:rFonts w:ascii="Times New Roman" w:eastAsia="Times New Roman" w:hAnsi="Times New Roman" w:cs="Times New Roman"/>
        </w:rPr>
        <w:t xml:space="preserve">This </w:t>
      </w:r>
      <w:r w:rsidR="001E3CB5">
        <w:rPr>
          <w:rFonts w:ascii="Times New Roman" w:eastAsia="Times New Roman" w:hAnsi="Times New Roman" w:cs="Times New Roman"/>
        </w:rPr>
        <w:t xml:space="preserve">method of reflection </w:t>
      </w:r>
      <w:r w:rsidR="003F5245">
        <w:rPr>
          <w:rFonts w:ascii="Times New Roman" w:eastAsia="Times New Roman" w:hAnsi="Times New Roman" w:cs="Times New Roman"/>
        </w:rPr>
        <w:t>could be extended to an</w:t>
      </w:r>
      <w:r w:rsidR="001E3CB5">
        <w:rPr>
          <w:rFonts w:ascii="Times New Roman" w:eastAsia="Times New Roman" w:hAnsi="Times New Roman" w:cs="Times New Roman"/>
        </w:rPr>
        <w:t>y formal or non-formal program to explore learning transformation.</w:t>
      </w:r>
    </w:p>
    <w:p w14:paraId="091B908A" w14:textId="77777777" w:rsidR="0081680D" w:rsidRDefault="00000000">
      <w:pPr>
        <w:pStyle w:val="Heading1"/>
      </w:pPr>
      <w:bookmarkStart w:id="6" w:name="_heading=h.ko1a7ta3cfl7" w:colFirst="0" w:colLast="0"/>
      <w:bookmarkEnd w:id="6"/>
      <w:r>
        <w:lastRenderedPageBreak/>
        <w:t xml:space="preserve">References </w:t>
      </w:r>
    </w:p>
    <w:p w14:paraId="091B908B" w14:textId="77777777" w:rsidR="0081680D" w:rsidRDefault="0000000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Creswell, J. W., &amp; Creswell, J. D. (2018). </w:t>
      </w:r>
      <w:r>
        <w:rPr>
          <w:rFonts w:ascii="Times New Roman" w:eastAsia="Times New Roman" w:hAnsi="Times New Roman" w:cs="Times New Roman"/>
          <w:i/>
        </w:rPr>
        <w:t>Research design: Qualitative, quantitative, and mixed methods approaches</w:t>
      </w:r>
      <w:r>
        <w:rPr>
          <w:rFonts w:ascii="Times New Roman" w:eastAsia="Times New Roman" w:hAnsi="Times New Roman" w:cs="Times New Roman"/>
        </w:rPr>
        <w:t xml:space="preserve"> (5th ed.). Sage Publications.</w:t>
      </w:r>
    </w:p>
    <w:p w14:paraId="091B908C" w14:textId="77777777" w:rsidR="0081680D" w:rsidRDefault="0000000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Harper, D. (2002). Talking about pictures: A case for photo elicitation. </w:t>
      </w:r>
      <w:r>
        <w:rPr>
          <w:rFonts w:ascii="Times New Roman" w:eastAsia="Times New Roman" w:hAnsi="Times New Roman" w:cs="Times New Roman"/>
          <w:i/>
        </w:rPr>
        <w:t>Visual Studies, 17</w:t>
      </w:r>
      <w:r>
        <w:rPr>
          <w:rFonts w:ascii="Times New Roman" w:eastAsia="Times New Roman" w:hAnsi="Times New Roman" w:cs="Times New Roman"/>
        </w:rPr>
        <w:t>(1), 13–26. https://doi.org/10.1080/14725860220137345</w:t>
      </w:r>
    </w:p>
    <w:p w14:paraId="091B908D" w14:textId="77777777" w:rsidR="0081680D" w:rsidRDefault="0000000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Macias, T. (2008). Working toward a just, equitable, and local food system: The social impact of community-based agriculture. </w:t>
      </w:r>
      <w:r>
        <w:rPr>
          <w:rFonts w:ascii="Times New Roman" w:eastAsia="Times New Roman" w:hAnsi="Times New Roman" w:cs="Times New Roman"/>
          <w:i/>
        </w:rPr>
        <w:t>Social Science Quarterly, 89</w:t>
      </w:r>
      <w:r>
        <w:rPr>
          <w:rFonts w:ascii="Times New Roman" w:eastAsia="Times New Roman" w:hAnsi="Times New Roman" w:cs="Times New Roman"/>
        </w:rPr>
        <w:t>(5), 1086–1101. https://doi.org/10.1111/j.1540-6237.2008.00566.x</w:t>
      </w:r>
    </w:p>
    <w:p w14:paraId="091B908E" w14:textId="77777777" w:rsidR="0081680D" w:rsidRDefault="0000000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Margolis, E., &amp; Pauwels, L. (Eds.). (2011). </w:t>
      </w:r>
      <w:r>
        <w:rPr>
          <w:rFonts w:ascii="Times New Roman" w:eastAsia="Times New Roman" w:hAnsi="Times New Roman" w:cs="Times New Roman"/>
          <w:i/>
        </w:rPr>
        <w:t>The SAGE handbook of visual research methods.</w:t>
      </w:r>
      <w:r>
        <w:rPr>
          <w:rFonts w:ascii="Times New Roman" w:eastAsia="Times New Roman" w:hAnsi="Times New Roman" w:cs="Times New Roman"/>
        </w:rPr>
        <w:t xml:space="preserve"> SAGE Publications Ltd. https://doi.org/10.4135/9781446268278</w:t>
      </w:r>
    </w:p>
    <w:p w14:paraId="091B908F" w14:textId="77777777" w:rsidR="0081680D" w:rsidRDefault="0000000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Mezirow, J. (1997). Transformative learning: Theory to practice. </w:t>
      </w:r>
      <w:r>
        <w:rPr>
          <w:rFonts w:ascii="Times New Roman" w:eastAsia="Times New Roman" w:hAnsi="Times New Roman" w:cs="Times New Roman"/>
          <w:i/>
        </w:rPr>
        <w:t>New Directions for Adult and Continuing Education, 1997</w:t>
      </w:r>
      <w:r>
        <w:rPr>
          <w:rFonts w:ascii="Times New Roman" w:eastAsia="Times New Roman" w:hAnsi="Times New Roman" w:cs="Times New Roman"/>
        </w:rPr>
        <w:t>(74), 5–12. https://doi.org/10.1002/ace.7401</w:t>
      </w:r>
    </w:p>
    <w:p w14:paraId="466F1257" w14:textId="33018B1D" w:rsidR="00D652E1" w:rsidRPr="00D652E1" w:rsidRDefault="00D652E1" w:rsidP="00D652E1">
      <w:pPr>
        <w:spacing w:after="0"/>
        <w:ind w:left="720" w:hanging="720"/>
        <w:rPr>
          <w:rFonts w:ascii="Times New Roman" w:hAnsi="Times New Roman" w:cs="Times New Roman"/>
        </w:rPr>
      </w:pPr>
      <w:r w:rsidRPr="00D652E1">
        <w:rPr>
          <w:rFonts w:ascii="Times New Roman" w:hAnsi="Times New Roman" w:cs="Times New Roman"/>
        </w:rPr>
        <w:t xml:space="preserve">O’Connor, C., &amp; Joffe, H. (2020). Intercoder reliability in Qualitative Research: Debates and practical guidelines. </w:t>
      </w:r>
      <w:r w:rsidRPr="00D652E1">
        <w:rPr>
          <w:rFonts w:ascii="Times New Roman" w:hAnsi="Times New Roman" w:cs="Times New Roman"/>
          <w:i/>
        </w:rPr>
        <w:t>International Journal of Qualitative Methods</w:t>
      </w:r>
      <w:r w:rsidRPr="00D652E1">
        <w:rPr>
          <w:rFonts w:ascii="Times New Roman" w:hAnsi="Times New Roman" w:cs="Times New Roman"/>
        </w:rPr>
        <w:t xml:space="preserve">, </w:t>
      </w:r>
      <w:r w:rsidRPr="00D652E1">
        <w:rPr>
          <w:rFonts w:ascii="Times New Roman" w:hAnsi="Times New Roman" w:cs="Times New Roman"/>
          <w:i/>
        </w:rPr>
        <w:t>19</w:t>
      </w:r>
      <w:r w:rsidRPr="00D652E1">
        <w:rPr>
          <w:rFonts w:ascii="Times New Roman" w:hAnsi="Times New Roman" w:cs="Times New Roman"/>
        </w:rPr>
        <w:t>. https://doi.org/10.1177/1609406919899220</w:t>
      </w:r>
    </w:p>
    <w:p w14:paraId="091B9090" w14:textId="43EF17C1" w:rsidR="0081680D" w:rsidRDefault="002A0ED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Virginia Tech. (2025</w:t>
      </w:r>
      <w:r w:rsidR="005C301C">
        <w:rPr>
          <w:rFonts w:ascii="Times New Roman" w:eastAsia="Times New Roman" w:hAnsi="Times New Roman" w:cs="Times New Roman"/>
        </w:rPr>
        <w:t>b</w:t>
      </w:r>
      <w:r>
        <w:rPr>
          <w:rFonts w:ascii="Times New Roman" w:eastAsia="Times New Roman" w:hAnsi="Times New Roman" w:cs="Times New Roman"/>
        </w:rPr>
        <w:t xml:space="preserve">). </w:t>
      </w:r>
      <w:r w:rsidR="00CF4866">
        <w:rPr>
          <w:rFonts w:ascii="Times New Roman" w:eastAsia="Times New Roman" w:hAnsi="Times New Roman" w:cs="Times New Roman"/>
          <w:i/>
        </w:rPr>
        <w:t>Governor</w:t>
      </w:r>
      <w:r w:rsidR="00066A15">
        <w:rPr>
          <w:rFonts w:ascii="Times New Roman" w:eastAsia="Times New Roman" w:hAnsi="Times New Roman" w:cs="Times New Roman"/>
          <w:i/>
        </w:rPr>
        <w:t>’s School for Agriculture</w:t>
      </w:r>
      <w:r>
        <w:rPr>
          <w:rFonts w:ascii="Times New Roman" w:eastAsia="Times New Roman" w:hAnsi="Times New Roman" w:cs="Times New Roman"/>
        </w:rPr>
        <w:t xml:space="preserve">. </w:t>
      </w:r>
      <w:r w:rsidR="00066A15" w:rsidRPr="00066A15">
        <w:rPr>
          <w:rFonts w:ascii="Times New Roman" w:eastAsia="Times New Roman" w:hAnsi="Times New Roman" w:cs="Times New Roman"/>
        </w:rPr>
        <w:t>https://www.alce.vt.edu/signature-programs/governors-ag-school.html</w:t>
      </w:r>
    </w:p>
    <w:p w14:paraId="091B9091" w14:textId="42F1A0F5" w:rsidR="0081680D" w:rsidRDefault="002A0ED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Virginia Tech. (2025</w:t>
      </w:r>
      <w:r w:rsidR="005C301C">
        <w:rPr>
          <w:rFonts w:ascii="Times New Roman" w:eastAsia="Times New Roman" w:hAnsi="Times New Roman" w:cs="Times New Roman"/>
        </w:rPr>
        <w:t>a</w:t>
      </w:r>
      <w:r>
        <w:rPr>
          <w:rFonts w:ascii="Times New Roman" w:eastAsia="Times New Roman" w:hAnsi="Times New Roman" w:cs="Times New Roman"/>
        </w:rPr>
        <w:t xml:space="preserve">). </w:t>
      </w:r>
      <w:r w:rsidR="005C301C">
        <w:rPr>
          <w:rFonts w:ascii="Times New Roman" w:eastAsia="Times New Roman" w:hAnsi="Times New Roman" w:cs="Times New Roman"/>
          <w:i/>
        </w:rPr>
        <w:t>Curricul</w:t>
      </w:r>
      <w:r w:rsidR="00F44EA0">
        <w:rPr>
          <w:rFonts w:ascii="Times New Roman" w:eastAsia="Times New Roman" w:hAnsi="Times New Roman" w:cs="Times New Roman"/>
          <w:i/>
        </w:rPr>
        <w:t>um and Programming</w:t>
      </w:r>
      <w:r>
        <w:rPr>
          <w:rFonts w:ascii="Times New Roman" w:eastAsia="Times New Roman" w:hAnsi="Times New Roman" w:cs="Times New Roman"/>
        </w:rPr>
        <w:t xml:space="preserve">. </w:t>
      </w:r>
      <w:r w:rsidR="00F44EA0" w:rsidRPr="00F44EA0">
        <w:rPr>
          <w:rFonts w:ascii="Times New Roman" w:eastAsia="Times New Roman" w:hAnsi="Times New Roman" w:cs="Times New Roman"/>
        </w:rPr>
        <w:t>https://www.alce.vt.edu/signature-programs/governors-ag-school/curriculum-and-programming.html</w:t>
      </w:r>
    </w:p>
    <w:p w14:paraId="091B9092" w14:textId="77777777" w:rsidR="0081680D" w:rsidRDefault="00000000" w:rsidP="00D652E1">
      <w:pPr>
        <w:spacing w:after="0" w:line="240" w:lineRule="auto"/>
        <w:ind w:left="720" w:hanging="720"/>
        <w:rPr>
          <w:rFonts w:ascii="Times New Roman" w:eastAsia="Times New Roman" w:hAnsi="Times New Roman" w:cs="Times New Roman"/>
        </w:rPr>
      </w:pPr>
      <w:r>
        <w:rPr>
          <w:rFonts w:ascii="Times New Roman" w:eastAsia="Times New Roman" w:hAnsi="Times New Roman" w:cs="Times New Roman"/>
        </w:rPr>
        <w:t xml:space="preserve">Vayro, C., Brownlow, C., Ireland, M., &amp; March, S. (2020). “Farming is not just an occupation [but] a whole lifestyle”: A qualitative examination of lifestyle and cultural factors affecting mental-health help-seeking in Australian farmers. </w:t>
      </w:r>
      <w:r>
        <w:rPr>
          <w:rFonts w:ascii="Times New Roman" w:eastAsia="Times New Roman" w:hAnsi="Times New Roman" w:cs="Times New Roman"/>
          <w:i/>
        </w:rPr>
        <w:t>Sociologia Ruralis, 60</w:t>
      </w:r>
      <w:r>
        <w:rPr>
          <w:rFonts w:ascii="Times New Roman" w:eastAsia="Times New Roman" w:hAnsi="Times New Roman" w:cs="Times New Roman"/>
        </w:rPr>
        <w:t>(1), 151–173. https://doi.org/10.1111/soru.12274</w:t>
      </w:r>
    </w:p>
    <w:p w14:paraId="091B9093" w14:textId="2A5C8B46" w:rsidR="0081680D" w:rsidRDefault="002A0ED0" w:rsidP="00D652E1">
      <w:pPr>
        <w:spacing w:after="0" w:line="240" w:lineRule="auto"/>
        <w:ind w:left="720" w:hanging="720"/>
      </w:pPr>
      <w:r>
        <w:rPr>
          <w:rFonts w:ascii="Times New Roman" w:eastAsia="Times New Roman" w:hAnsi="Times New Roman" w:cs="Times New Roman"/>
        </w:rPr>
        <w:t xml:space="preserve">Virginia Department of Education. (2024). </w:t>
      </w:r>
      <w:r w:rsidR="002D0D76">
        <w:rPr>
          <w:rFonts w:ascii="Times New Roman" w:eastAsia="Times New Roman" w:hAnsi="Times New Roman" w:cs="Times New Roman"/>
          <w:i/>
        </w:rPr>
        <w:t>Summer Residential Governor’s Schools</w:t>
      </w:r>
      <w:r>
        <w:rPr>
          <w:rFonts w:ascii="Times New Roman" w:eastAsia="Times New Roman" w:hAnsi="Times New Roman" w:cs="Times New Roman"/>
          <w:i/>
        </w:rPr>
        <w:t>.</w:t>
      </w:r>
      <w:r>
        <w:rPr>
          <w:rFonts w:ascii="Times New Roman" w:eastAsia="Times New Roman" w:hAnsi="Times New Roman" w:cs="Times New Roman"/>
        </w:rPr>
        <w:t xml:space="preserve"> </w:t>
      </w:r>
      <w:r w:rsidR="002D0D76" w:rsidRPr="002D0D76">
        <w:rPr>
          <w:rFonts w:ascii="Times New Roman" w:eastAsia="Times New Roman" w:hAnsi="Times New Roman" w:cs="Times New Roman"/>
        </w:rPr>
        <w:t>https://www.doe.virginia.gov/teaching-learning-assessment/specialized-instruction/governor-s-schools/summer-residential-governor-s-schools</w:t>
      </w:r>
    </w:p>
    <w:sectPr w:rsidR="0081680D">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4F3CE" w14:textId="77777777" w:rsidR="003030CC" w:rsidRDefault="003030CC">
      <w:pPr>
        <w:spacing w:after="0" w:line="240" w:lineRule="auto"/>
      </w:pPr>
      <w:r>
        <w:separator/>
      </w:r>
    </w:p>
  </w:endnote>
  <w:endnote w:type="continuationSeparator" w:id="0">
    <w:p w14:paraId="1714F5E9" w14:textId="77777777" w:rsidR="003030CC" w:rsidRDefault="0030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548A68C7-AD80-41E1-8466-BC161F4E2728}"/>
    <w:embedItalic r:id="rId2" w:fontKey="{643CAE2F-4222-4790-A9B5-FF615FFCC86E}"/>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3" w:fontKey="{51F4DF5C-9476-4D7F-AF0C-4CE16926D3EA}"/>
  </w:font>
  <w:font w:name="Aptos Display">
    <w:charset w:val="00"/>
    <w:family w:val="swiss"/>
    <w:pitch w:val="variable"/>
    <w:sig w:usb0="20000287" w:usb1="00000003" w:usb2="00000000" w:usb3="00000000" w:csb0="0000019F" w:csb1="00000000"/>
    <w:embedRegular r:id="rId4" w:fontKey="{9306BE2B-B97B-4AA6-B3CE-516BD47DA85C}"/>
  </w:font>
  <w:font w:name="Times">
    <w:altName w:val="Sylfaen"/>
    <w:panose1 w:val="02020603050405020304"/>
    <w:charset w:val="00"/>
    <w:family w:val="auto"/>
    <w:pitch w:val="default"/>
    <w:embedRegular r:id="rId5" w:fontKey="{879A24BE-1C72-44F6-B2B8-218292AC19E0}"/>
    <w:embedBold r:id="rId6" w:fontKey="{AF05F4E5-B5C1-4CE7-98FB-55EFF5592E7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680E4" w14:textId="77777777" w:rsidR="003030CC" w:rsidRDefault="003030CC">
      <w:pPr>
        <w:spacing w:after="0" w:line="240" w:lineRule="auto"/>
      </w:pPr>
      <w:r>
        <w:separator/>
      </w:r>
    </w:p>
  </w:footnote>
  <w:footnote w:type="continuationSeparator" w:id="0">
    <w:p w14:paraId="72429EC0" w14:textId="77777777" w:rsidR="003030CC" w:rsidRDefault="00303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9094" w14:textId="77777777" w:rsidR="0081680D" w:rsidRDefault="00000000">
    <w:pPr>
      <w:jc w:val="right"/>
      <w:rPr>
        <w:rFonts w:ascii="Times New Roman" w:eastAsia="Times New Roman" w:hAnsi="Times New Roman" w:cs="Times New Roman"/>
      </w:rPr>
    </w:pPr>
    <w:r>
      <w:rPr>
        <w:rFonts w:ascii="Times New Roman" w:eastAsia="Times New Roman" w:hAnsi="Times New Roman" w:cs="Times New Roman"/>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80D"/>
    <w:rsid w:val="0001516D"/>
    <w:rsid w:val="00066A15"/>
    <w:rsid w:val="00170C05"/>
    <w:rsid w:val="001826F6"/>
    <w:rsid w:val="001B1C2F"/>
    <w:rsid w:val="001B79A2"/>
    <w:rsid w:val="001E1D64"/>
    <w:rsid w:val="001E3CB5"/>
    <w:rsid w:val="001F3CCE"/>
    <w:rsid w:val="001F4905"/>
    <w:rsid w:val="002A0ED0"/>
    <w:rsid w:val="002D0D76"/>
    <w:rsid w:val="002F2224"/>
    <w:rsid w:val="003030CC"/>
    <w:rsid w:val="00320B2F"/>
    <w:rsid w:val="003C220C"/>
    <w:rsid w:val="003F5245"/>
    <w:rsid w:val="00465203"/>
    <w:rsid w:val="004A2103"/>
    <w:rsid w:val="00560F08"/>
    <w:rsid w:val="00570736"/>
    <w:rsid w:val="005C301C"/>
    <w:rsid w:val="00632688"/>
    <w:rsid w:val="006507B4"/>
    <w:rsid w:val="00677027"/>
    <w:rsid w:val="006A492C"/>
    <w:rsid w:val="00716225"/>
    <w:rsid w:val="0081680D"/>
    <w:rsid w:val="00894E1D"/>
    <w:rsid w:val="008B5EAF"/>
    <w:rsid w:val="008D3001"/>
    <w:rsid w:val="009D334F"/>
    <w:rsid w:val="009E61C5"/>
    <w:rsid w:val="00A12C27"/>
    <w:rsid w:val="00A80DE7"/>
    <w:rsid w:val="00A9020C"/>
    <w:rsid w:val="00AD24F0"/>
    <w:rsid w:val="00B93D78"/>
    <w:rsid w:val="00BE2C74"/>
    <w:rsid w:val="00CF4866"/>
    <w:rsid w:val="00D652E1"/>
    <w:rsid w:val="00D663BE"/>
    <w:rsid w:val="00DE67C1"/>
    <w:rsid w:val="00E00A0B"/>
    <w:rsid w:val="00E56BDB"/>
    <w:rsid w:val="00E63054"/>
    <w:rsid w:val="00E76B29"/>
    <w:rsid w:val="00F04853"/>
    <w:rsid w:val="00F44EA0"/>
    <w:rsid w:val="00F5658C"/>
    <w:rsid w:val="00FD2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1B9076"/>
  <w15:docId w15:val="{A619ACAB-813D-4655-BBED-E7742D5EB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0" w:line="240" w:lineRule="auto"/>
      <w:jc w:val="center"/>
      <w:outlineLvl w:val="0"/>
    </w:pPr>
    <w:rPr>
      <w:rFonts w:ascii="Times New Roman" w:eastAsia="Times New Roman" w:hAnsi="Times New Roman" w:cs="Times New Roman"/>
      <w:b/>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600C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C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C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0" w:line="240" w:lineRule="auto"/>
      <w:jc w:val="center"/>
    </w:pPr>
    <w:rPr>
      <w:rFonts w:ascii="Times New Roman" w:eastAsia="Times New Roman" w:hAnsi="Times New Roman" w:cs="Times New Roman"/>
      <w:b/>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600C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C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C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C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C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C1E"/>
    <w:rPr>
      <w:rFonts w:eastAsiaTheme="majorEastAsia" w:cstheme="majorBidi"/>
      <w:color w:val="272727" w:themeColor="text1" w:themeTint="D8"/>
    </w:rPr>
  </w:style>
  <w:style w:type="character" w:customStyle="1" w:styleId="TitleChar">
    <w:name w:val="Title Char"/>
    <w:basedOn w:val="DefaultParagraphFont"/>
    <w:link w:val="Title"/>
    <w:uiPriority w:val="10"/>
    <w:rsid w:val="00600C1E"/>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00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C1E"/>
    <w:pPr>
      <w:spacing w:before="160"/>
      <w:jc w:val="center"/>
    </w:pPr>
    <w:rPr>
      <w:i/>
      <w:iCs/>
      <w:color w:val="404040" w:themeColor="text1" w:themeTint="BF"/>
    </w:rPr>
  </w:style>
  <w:style w:type="character" w:customStyle="1" w:styleId="QuoteChar">
    <w:name w:val="Quote Char"/>
    <w:basedOn w:val="DefaultParagraphFont"/>
    <w:link w:val="Quote"/>
    <w:uiPriority w:val="29"/>
    <w:rsid w:val="00600C1E"/>
    <w:rPr>
      <w:i/>
      <w:iCs/>
      <w:color w:val="404040" w:themeColor="text1" w:themeTint="BF"/>
    </w:rPr>
  </w:style>
  <w:style w:type="paragraph" w:styleId="ListParagraph">
    <w:name w:val="List Paragraph"/>
    <w:basedOn w:val="Normal"/>
    <w:uiPriority w:val="34"/>
    <w:qFormat/>
    <w:rsid w:val="00600C1E"/>
    <w:pPr>
      <w:ind w:left="720"/>
      <w:contextualSpacing/>
    </w:pPr>
  </w:style>
  <w:style w:type="character" w:styleId="IntenseEmphasis">
    <w:name w:val="Intense Emphasis"/>
    <w:basedOn w:val="DefaultParagraphFont"/>
    <w:uiPriority w:val="21"/>
    <w:qFormat/>
    <w:rsid w:val="00600C1E"/>
    <w:rPr>
      <w:i/>
      <w:iCs/>
      <w:color w:val="0F4761" w:themeColor="accent1" w:themeShade="BF"/>
    </w:rPr>
  </w:style>
  <w:style w:type="paragraph" w:styleId="IntenseQuote">
    <w:name w:val="Intense Quote"/>
    <w:basedOn w:val="Normal"/>
    <w:next w:val="Normal"/>
    <w:link w:val="IntenseQuoteChar"/>
    <w:uiPriority w:val="30"/>
    <w:qFormat/>
    <w:rsid w:val="00600C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C1E"/>
    <w:rPr>
      <w:i/>
      <w:iCs/>
      <w:color w:val="0F4761" w:themeColor="accent1" w:themeShade="BF"/>
    </w:rPr>
  </w:style>
  <w:style w:type="character" w:styleId="IntenseReference">
    <w:name w:val="Intense Reference"/>
    <w:basedOn w:val="DefaultParagraphFont"/>
    <w:uiPriority w:val="32"/>
    <w:qFormat/>
    <w:rsid w:val="00600C1E"/>
    <w:rPr>
      <w:b/>
      <w:bCs/>
      <w:smallCaps/>
      <w:color w:val="0F4761" w:themeColor="accent1" w:themeShade="BF"/>
      <w:spacing w:val="5"/>
    </w:r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efE5VcceiUxWYAeBHx1scuokuw==">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4</Pages>
  <Words>1482</Words>
  <Characters>8451</Characters>
  <Application>Microsoft Office Word</Application>
  <DocSecurity>0</DocSecurity>
  <Lines>70</Lines>
  <Paragraphs>19</Paragraphs>
  <ScaleCrop>false</ScaleCrop>
  <Company/>
  <LinksUpToDate>false</LinksUpToDate>
  <CharactersWithSpaces>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Villanueva-Rios, Lynelis</dc:creator>
  <cp:lastModifiedBy>Milliken, Brett</cp:lastModifiedBy>
  <cp:revision>49</cp:revision>
  <dcterms:created xsi:type="dcterms:W3CDTF">2025-10-21T22:23:00Z</dcterms:created>
  <dcterms:modified xsi:type="dcterms:W3CDTF">2026-01-06T01:46:00Z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0x010100F237F1851E1E7E42A4DB33A2FB2F0356</vt:lpwstr>
  </property>
  <property fmtid="{D5CDD505-2E9C-101B-9397-08002B2CF9AE}" pid="3" name="GrammarlyDocumentId">
    <vt:lpwstr>a7a4ce19-445e-4e43-b258-d481ad4bfa9a</vt:lpwstr>
  </property>
</Properties>
</file>