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CFFE6"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Assessing the Professional Development Needs and Experiences of Beginning SBAE Teachers in North Carolina</w:t>
      </w:r>
    </w:p>
    <w:p w14:paraId="7CC1FC55" w14:textId="77777777" w:rsidR="00330A5D" w:rsidRDefault="00330A5D">
      <w:pPr>
        <w:spacing w:line="240" w:lineRule="auto"/>
        <w:jc w:val="center"/>
        <w:rPr>
          <w:rFonts w:ascii="Times New Roman" w:eastAsia="Times New Roman" w:hAnsi="Times New Roman" w:cs="Times New Roman"/>
          <w:b/>
          <w:bCs/>
          <w:sz w:val="24"/>
          <w:szCs w:val="24"/>
        </w:rPr>
      </w:pPr>
    </w:p>
    <w:p w14:paraId="38FA4AA8"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Kayla L. Paglia, North Carolina State University</w:t>
      </w:r>
    </w:p>
    <w:p w14:paraId="750ED995"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Misty D. Lambert, North Carolina State University</w:t>
      </w:r>
    </w:p>
    <w:p w14:paraId="55BE1F11"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Haley R. Davis, North Carolina State University</w:t>
      </w:r>
    </w:p>
    <w:p w14:paraId="79BAA544" w14:textId="77777777" w:rsidR="00330A5D" w:rsidRDefault="00330A5D">
      <w:pPr>
        <w:spacing w:line="240" w:lineRule="auto"/>
        <w:rPr>
          <w:rFonts w:ascii="Times New Roman" w:eastAsia="Times New Roman" w:hAnsi="Times New Roman" w:cs="Times New Roman"/>
          <w:sz w:val="24"/>
          <w:szCs w:val="24"/>
        </w:rPr>
      </w:pPr>
    </w:p>
    <w:p w14:paraId="08631698"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5C66867B" w14:textId="77777777" w:rsidR="00330A5D" w:rsidRDefault="00330A5D">
      <w:pPr>
        <w:spacing w:line="240" w:lineRule="auto"/>
        <w:jc w:val="center"/>
        <w:rPr>
          <w:rFonts w:ascii="Times New Roman" w:eastAsia="Times New Roman" w:hAnsi="Times New Roman" w:cs="Times New Roman"/>
          <w:b/>
          <w:bCs/>
          <w:sz w:val="24"/>
          <w:szCs w:val="24"/>
        </w:rPr>
      </w:pPr>
    </w:p>
    <w:p w14:paraId="6441FE8A" w14:textId="77777777" w:rsidR="00330A5D"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This mixed-method study examines the professional development needs and experiences of North Carolina beginning School-Based Agricultural Education (SBAE) teachers within their first three years of teaching. This study was framed using Desimone's conceptual framework on the impact of professional development on teachers. A Borich needs assessment instrument was sent to all beginning teachers in North Carolina to assess beginning </w:t>
      </w:r>
      <w:proofErr w:type="gramStart"/>
      <w:r>
        <w:rPr>
          <w:rFonts w:ascii="Times New Roman" w:eastAsia="Times New Roman" w:hAnsi="Times New Roman" w:cs="Times New Roman"/>
          <w:i/>
          <w:iCs/>
          <w:sz w:val="24"/>
          <w:szCs w:val="24"/>
        </w:rPr>
        <w:t>teachers’</w:t>
      </w:r>
      <w:proofErr w:type="gramEnd"/>
      <w:r>
        <w:rPr>
          <w:rFonts w:ascii="Times New Roman" w:eastAsia="Times New Roman" w:hAnsi="Times New Roman" w:cs="Times New Roman"/>
          <w:i/>
          <w:iCs/>
          <w:sz w:val="24"/>
          <w:szCs w:val="24"/>
        </w:rPr>
        <w:t xml:space="preserve"> perceived ability versus the importance of topics associated with FFA, SAE, student management, curriculum, and program planning. The results of this assessment showed an increased need for information and support in implementing IEP/504 plans, teaching in the mechanics pathways, teaching problem-solving, and more. Those who opted to participate in an interview were randomly selected and contacted to participate in semi-structured interviews. Fourteen interviews were conducted to better understand experiences with North Carolina professional development. Deductive and inductive coding of interview data yielded seven themes. Themes </w:t>
      </w:r>
      <w:proofErr w:type="gramStart"/>
      <w:r>
        <w:rPr>
          <w:rFonts w:ascii="Times New Roman" w:eastAsia="Times New Roman" w:hAnsi="Times New Roman" w:cs="Times New Roman"/>
          <w:i/>
          <w:iCs/>
          <w:sz w:val="24"/>
          <w:szCs w:val="24"/>
        </w:rPr>
        <w:t>include:</w:t>
      </w:r>
      <w:proofErr w:type="gramEnd"/>
      <w:r>
        <w:rPr>
          <w:rFonts w:ascii="Times New Roman" w:eastAsia="Times New Roman" w:hAnsi="Times New Roman" w:cs="Times New Roman"/>
          <w:i/>
          <w:iCs/>
          <w:sz w:val="24"/>
          <w:szCs w:val="24"/>
        </w:rPr>
        <w:t xml:space="preserve"> struggles associated with the job, beneficial professional development experiences, recommendations for improvement of professional development, ideal professional development, desired resources and support, barriers, and the role of mentors. Professional development in North Carolina supports teachers through giving opportunities to grow, and continuing to enhance these opportunities may help the retention of beginning teachers.</w:t>
      </w:r>
    </w:p>
    <w:p w14:paraId="52CED683" w14:textId="77777777" w:rsidR="00330A5D" w:rsidRDefault="00330A5D">
      <w:pPr>
        <w:spacing w:line="240" w:lineRule="auto"/>
        <w:rPr>
          <w:rFonts w:ascii="Times New Roman" w:eastAsia="Times New Roman" w:hAnsi="Times New Roman" w:cs="Times New Roman"/>
          <w:i/>
          <w:iCs/>
          <w:sz w:val="24"/>
          <w:szCs w:val="24"/>
        </w:rPr>
      </w:pPr>
    </w:p>
    <w:p w14:paraId="64084C62" w14:textId="77777777" w:rsidR="00330A5D"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color w:val="222222"/>
          <w:sz w:val="24"/>
          <w:szCs w:val="24"/>
          <w:highlight w:val="white"/>
        </w:rPr>
        <w:t>This manuscript is based on data published in the Southern Region AAAE Conference Proceedings, Paglia et al. (2026).</w:t>
      </w:r>
    </w:p>
    <w:p w14:paraId="2D6741EA" w14:textId="77777777" w:rsidR="00330A5D" w:rsidRDefault="00330A5D">
      <w:pPr>
        <w:spacing w:line="240" w:lineRule="auto"/>
        <w:jc w:val="center"/>
        <w:rPr>
          <w:rFonts w:ascii="Times New Roman" w:eastAsia="Times New Roman" w:hAnsi="Times New Roman" w:cs="Times New Roman"/>
          <w:b/>
          <w:bCs/>
          <w:sz w:val="24"/>
          <w:szCs w:val="24"/>
        </w:rPr>
      </w:pPr>
    </w:p>
    <w:p w14:paraId="6D588094"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 &amp; Review of Literature</w:t>
      </w:r>
    </w:p>
    <w:p w14:paraId="77498E0C" w14:textId="77777777" w:rsidR="00330A5D" w:rsidRDefault="00330A5D">
      <w:pPr>
        <w:spacing w:line="240" w:lineRule="auto"/>
        <w:jc w:val="center"/>
        <w:rPr>
          <w:rFonts w:ascii="Times New Roman" w:eastAsia="Times New Roman" w:hAnsi="Times New Roman" w:cs="Times New Roman"/>
          <w:b/>
          <w:bCs/>
          <w:sz w:val="24"/>
          <w:szCs w:val="24"/>
        </w:rPr>
      </w:pPr>
    </w:p>
    <w:p w14:paraId="5BDB4BEF"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School-based agricultural education (SBAE) teachers are responsible for managing the three-circle model of agricultural education, which integrates classroom and laboratory instruction, supervised agriculture experiences (SAEs), and FFA leadership development  (Croom, 2008; National FFA Organization, 2017). This model is the center of agricultural education, which gives students expansive opportunities, but it places unique demands on teachers. In addition to day-to-day classroom responsibilities, they take on the additional responsibilities of supervising SAEs, advising and coaching FFA teams, and maintaining facilities such as mechanics shops, animal barns, and greenhouses (Torres et al., 2008). These demands easily push one's work week to 50 hours or more, with evenings and weekends often filled with coaching, travel, facility upkeep, and more (Murray et al., 2011; Sorensen et al., 2017). This workload often creates tension between professional and personal life. This can lead to stress, burnout, and early departure from the career field (</w:t>
      </w:r>
      <w:proofErr w:type="spellStart"/>
      <w:r>
        <w:rPr>
          <w:rFonts w:ascii="Times New Roman" w:eastAsia="Times New Roman" w:hAnsi="Times New Roman" w:cs="Times New Roman"/>
          <w:sz w:val="24"/>
          <w:szCs w:val="24"/>
        </w:rPr>
        <w:t>Cheveney</w:t>
      </w:r>
      <w:proofErr w:type="spellEnd"/>
      <w:r>
        <w:rPr>
          <w:rFonts w:ascii="Times New Roman" w:eastAsia="Times New Roman" w:hAnsi="Times New Roman" w:cs="Times New Roman"/>
          <w:sz w:val="24"/>
          <w:szCs w:val="24"/>
        </w:rPr>
        <w:t xml:space="preserve"> et al., 2008; Schmidt et al., 2022).</w:t>
      </w:r>
    </w:p>
    <w:p w14:paraId="06FCE71F" w14:textId="77777777" w:rsidR="00330A5D" w:rsidRDefault="00330A5D">
      <w:pPr>
        <w:spacing w:line="240" w:lineRule="auto"/>
        <w:rPr>
          <w:rFonts w:ascii="Times New Roman" w:eastAsia="Times New Roman" w:hAnsi="Times New Roman" w:cs="Times New Roman"/>
          <w:sz w:val="24"/>
          <w:szCs w:val="24"/>
        </w:rPr>
      </w:pPr>
    </w:p>
    <w:p w14:paraId="2F3B34D4" w14:textId="77777777" w:rsidR="00330A5D" w:rsidRDefault="00000000">
      <w:pPr>
        <w:spacing w:line="240" w:lineRule="auto"/>
        <w:ind w:firstLine="720"/>
        <w:rPr>
          <w:rFonts w:ascii="Times New Roman" w:eastAsia="Times New Roman" w:hAnsi="Times New Roman" w:cs="Times New Roman"/>
          <w:sz w:val="24"/>
          <w:szCs w:val="24"/>
          <w:highlight w:val="magenta"/>
        </w:rPr>
      </w:pPr>
      <w:r>
        <w:rPr>
          <w:rFonts w:ascii="Times New Roman" w:eastAsia="Times New Roman" w:hAnsi="Times New Roman" w:cs="Times New Roman"/>
          <w:sz w:val="24"/>
          <w:szCs w:val="24"/>
        </w:rPr>
        <w:lastRenderedPageBreak/>
        <w:t>Professional development and support systems are crucial to the success of beginning teachers (Podolsky et al., 2016). Unlike one-time workshops, professional development that is sustained, relevant, and tailored to one’s career stage has been shown to have the greatest impact on teacher effectiveness (Desimone, 2009). Roberts et al. (2020) noted professional development needs shift as teachers progress through their careers, with teachers in years one through three particularly focused on acquiring skills in classroom management, instructional strategies, and program planning. The application and practicality of professional development is essential. Similarly, Smalley et al. (2019), found teachers in their early years consistently ranked professional development in technical agriculture, teaching methods, and classroom management as most critical. Perry et al. (2025) observed multi-year professional development was more effective than a single-event professional development because teachers needed the ability to come back and refine their understanding. Specifically, after attending a professional development on safety operations training the scores increased with how many years they had attended (Perry et al., 2025).</w:t>
      </w:r>
    </w:p>
    <w:p w14:paraId="0D667512" w14:textId="77777777" w:rsidR="00330A5D" w:rsidRDefault="00330A5D">
      <w:pPr>
        <w:spacing w:line="240" w:lineRule="auto"/>
        <w:ind w:firstLine="720"/>
        <w:rPr>
          <w:rFonts w:ascii="Times New Roman" w:eastAsia="Times New Roman" w:hAnsi="Times New Roman" w:cs="Times New Roman"/>
          <w:sz w:val="24"/>
          <w:szCs w:val="24"/>
        </w:rPr>
      </w:pPr>
    </w:p>
    <w:p w14:paraId="2EA5F507"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Retention of early-career teachers is closely tied to the presence of supportive structures, including mentorship, professional development, and administrative resources (Norris et al., 2024; Richardson &amp; Guffey, 2025). Richardson and Guffey (2025) found teachers who receive guidance and feel supported are less likely to leave the profession. Relationally focused professional development emphasizes collaboration and community among new teachers, increases both retention and teacher satisfaction, and has a positive influence on teacher satisfaction (Moser &amp; McKim, 2020). For agriculture teachers, these findings suggest professional development opportunities, mentorship, and structured programs are all crucial in increasing retention in the beginning years of teaching. </w:t>
      </w:r>
    </w:p>
    <w:p w14:paraId="2FB5DDF1" w14:textId="77777777" w:rsidR="00330A5D" w:rsidRDefault="00330A5D">
      <w:pPr>
        <w:spacing w:line="240" w:lineRule="auto"/>
        <w:ind w:firstLine="720"/>
        <w:rPr>
          <w:rFonts w:ascii="Times New Roman" w:eastAsia="Times New Roman" w:hAnsi="Times New Roman" w:cs="Times New Roman"/>
          <w:sz w:val="24"/>
          <w:szCs w:val="24"/>
        </w:rPr>
      </w:pPr>
    </w:p>
    <w:p w14:paraId="6F103C91" w14:textId="77777777" w:rsidR="00330A5D" w:rsidRDefault="00000000">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Early-career teachers who receive structured mentoring alongside professional development report higher confidence, improved instructional skills, and better program management (Burris et al., 2006).</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One structured program in North Carolina is the Beginning Teacher Support Program which mandates all beginning teachers partake throughout their first two years teaching. This program provides an assigned mentor, professional development, and additional evaluations with the goal to ease the transition into teaching and increasing retention (North Carolina Department of Public Instruction, 2021). This type of program is valuable to beginning agriculture teachers across the state as it provides a systematic framework for support in an environment where teachers could potentially be isolated or serve as the sole agriculture teacher.</w:t>
      </w:r>
    </w:p>
    <w:p w14:paraId="5CF07498" w14:textId="77777777" w:rsidR="00330A5D" w:rsidRDefault="00330A5D">
      <w:pPr>
        <w:spacing w:line="240" w:lineRule="auto"/>
        <w:jc w:val="center"/>
        <w:rPr>
          <w:rFonts w:ascii="Times New Roman" w:eastAsia="Times New Roman" w:hAnsi="Times New Roman" w:cs="Times New Roman"/>
          <w:b/>
          <w:bCs/>
          <w:sz w:val="24"/>
          <w:szCs w:val="24"/>
        </w:rPr>
      </w:pPr>
    </w:p>
    <w:p w14:paraId="0FB5D70B" w14:textId="77777777" w:rsidR="00330A5D" w:rsidRDefault="00000000">
      <w:pPr>
        <w:spacing w:line="240" w:lineRule="auto"/>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ab/>
        <w:t xml:space="preserve">In North Carolina, SBAE teachers partake in both school/district and statewide professional development. At the school and district level, professional development varies. On a statewide level, professional development is typically put on by North Carolina FFA, by agricultural teacher educators, or by the North Carolina Agricultural Teachers Association. Common statewide professional development training includes the CTE summer conference, summer workshops on various topics (ex. hands-on plumbing, SAE for All, or horticulture), the Developing Educational Leaders and Teachers of Agriculture (DELTA) conference for teachers within their first five years of teaching, and regional meetings throughout the year that have workshops teachers attend. These professional development opportunities allow teachers to expand their knowledge. It is important to note, the only sustained professional development in </w:t>
      </w:r>
      <w:r>
        <w:rPr>
          <w:rFonts w:ascii="Times New Roman" w:eastAsia="Times New Roman" w:hAnsi="Times New Roman" w:cs="Times New Roman"/>
          <w:sz w:val="24"/>
          <w:szCs w:val="24"/>
        </w:rPr>
        <w:lastRenderedPageBreak/>
        <w:t xml:space="preserve">SBAE North Carolina is the DELTA program which is a </w:t>
      </w:r>
      <w:proofErr w:type="gramStart"/>
      <w:r>
        <w:rPr>
          <w:rFonts w:ascii="Times New Roman" w:eastAsia="Times New Roman" w:hAnsi="Times New Roman" w:cs="Times New Roman"/>
          <w:sz w:val="24"/>
          <w:szCs w:val="24"/>
        </w:rPr>
        <w:t>forty hour</w:t>
      </w:r>
      <w:proofErr w:type="gramEnd"/>
      <w:r>
        <w:rPr>
          <w:rFonts w:ascii="Times New Roman" w:eastAsia="Times New Roman" w:hAnsi="Times New Roman" w:cs="Times New Roman"/>
          <w:sz w:val="24"/>
          <w:szCs w:val="24"/>
        </w:rPr>
        <w:t xml:space="preserve"> induction program over two semesters. </w:t>
      </w:r>
    </w:p>
    <w:p w14:paraId="4E078315" w14:textId="77777777" w:rsidR="00330A5D" w:rsidRDefault="00330A5D">
      <w:pPr>
        <w:spacing w:line="240" w:lineRule="auto"/>
        <w:rPr>
          <w:rFonts w:ascii="Times New Roman" w:eastAsia="Times New Roman" w:hAnsi="Times New Roman" w:cs="Times New Roman"/>
          <w:color w:val="0E101A"/>
          <w:sz w:val="24"/>
          <w:szCs w:val="24"/>
        </w:rPr>
      </w:pPr>
    </w:p>
    <w:p w14:paraId="113C9E6A" w14:textId="77777777" w:rsidR="00330A5D" w:rsidRDefault="00000000">
      <w:pPr>
        <w:spacing w:line="24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Beginning teachers in years one through three have been widely studied, but there is limited research focused on </w:t>
      </w:r>
      <w:r>
        <w:rPr>
          <w:rFonts w:ascii="Times New Roman" w:eastAsia="Times New Roman" w:hAnsi="Times New Roman" w:cs="Times New Roman"/>
          <w:sz w:val="24"/>
          <w:szCs w:val="24"/>
        </w:rPr>
        <w:t>North Carolina</w:t>
      </w:r>
      <w:r>
        <w:rPr>
          <w:rFonts w:ascii="Times New Roman" w:eastAsia="Times New Roman" w:hAnsi="Times New Roman" w:cs="Times New Roman"/>
          <w:color w:val="0E101A"/>
          <w:sz w:val="24"/>
          <w:szCs w:val="24"/>
        </w:rPr>
        <w:t xml:space="preserve"> beginning agriculture teachers. Filling this gap is the aim of the current study, which seeks to identify the professional development experiences of </w:t>
      </w:r>
      <w:r>
        <w:rPr>
          <w:rFonts w:ascii="Times New Roman" w:eastAsia="Times New Roman" w:hAnsi="Times New Roman" w:cs="Times New Roman"/>
          <w:sz w:val="24"/>
          <w:szCs w:val="24"/>
        </w:rPr>
        <w:t>North Carolina</w:t>
      </w:r>
      <w:r>
        <w:rPr>
          <w:rFonts w:ascii="Times New Roman" w:eastAsia="Times New Roman" w:hAnsi="Times New Roman" w:cs="Times New Roman"/>
          <w:color w:val="0E101A"/>
          <w:sz w:val="24"/>
          <w:szCs w:val="24"/>
        </w:rPr>
        <w:t xml:space="preserve"> beginning SBAE teachers. This research will inform support structures and optimistically strengthen teacher retention within </w:t>
      </w:r>
      <w:r>
        <w:rPr>
          <w:rFonts w:ascii="Times New Roman" w:eastAsia="Times New Roman" w:hAnsi="Times New Roman" w:cs="Times New Roman"/>
          <w:sz w:val="24"/>
          <w:szCs w:val="24"/>
        </w:rPr>
        <w:t>North Carolina</w:t>
      </w:r>
      <w:r>
        <w:rPr>
          <w:rFonts w:ascii="Times New Roman" w:eastAsia="Times New Roman" w:hAnsi="Times New Roman" w:cs="Times New Roman"/>
          <w:color w:val="0E101A"/>
          <w:sz w:val="24"/>
          <w:szCs w:val="24"/>
        </w:rPr>
        <w:t>’s agricultural education programs.</w:t>
      </w:r>
    </w:p>
    <w:p w14:paraId="5D95FD8E" w14:textId="77777777" w:rsidR="00330A5D" w:rsidRDefault="00330A5D">
      <w:pPr>
        <w:spacing w:line="240" w:lineRule="auto"/>
        <w:ind w:firstLine="720"/>
        <w:rPr>
          <w:rFonts w:ascii="Times New Roman" w:eastAsia="Times New Roman" w:hAnsi="Times New Roman" w:cs="Times New Roman"/>
          <w:color w:val="0E101A"/>
          <w:sz w:val="24"/>
          <w:szCs w:val="24"/>
        </w:rPr>
      </w:pPr>
    </w:p>
    <w:p w14:paraId="5E2D2180"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Conceptual Framework</w:t>
      </w:r>
    </w:p>
    <w:p w14:paraId="046B2171" w14:textId="77777777" w:rsidR="00330A5D" w:rsidRDefault="00330A5D">
      <w:pPr>
        <w:spacing w:line="240" w:lineRule="auto"/>
        <w:jc w:val="center"/>
        <w:rPr>
          <w:rFonts w:ascii="Times New Roman" w:eastAsia="Times New Roman" w:hAnsi="Times New Roman" w:cs="Times New Roman"/>
          <w:b/>
          <w:bCs/>
          <w:sz w:val="24"/>
          <w:szCs w:val="24"/>
        </w:rPr>
      </w:pPr>
    </w:p>
    <w:p w14:paraId="1CEE9BC8"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was framed by the work of Desimone (2009) and her core conceptual framework for studying professional development and its impacts on teachers. Desimone argues that the core features of quality professional development include content focus, active learning, coherence, duration, and collective participation. In our study, content focus would include professional development that is </w:t>
      </w:r>
      <w:proofErr w:type="gramStart"/>
      <w:r>
        <w:rPr>
          <w:rFonts w:ascii="Times New Roman" w:eastAsia="Times New Roman" w:hAnsi="Times New Roman" w:cs="Times New Roman"/>
          <w:sz w:val="24"/>
          <w:szCs w:val="24"/>
        </w:rPr>
        <w:t>agriculture-specific</w:t>
      </w:r>
      <w:proofErr w:type="gramEnd"/>
      <w:r>
        <w:rPr>
          <w:rFonts w:ascii="Times New Roman" w:eastAsia="Times New Roman" w:hAnsi="Times New Roman" w:cs="Times New Roman"/>
          <w:sz w:val="24"/>
          <w:szCs w:val="24"/>
        </w:rPr>
        <w:t xml:space="preserve">. Active learning would be any version of PD activities where the teachers are engaged beyond lecture and passive observation. Coherence is defined as the professional development being in alignment with the teacher’s knowledge and beliefs (Desimone, 2009). Duration could be measured in the length of engagement in the professional development from the specific hours spent in a particular content or the number of days engaged in the PD activity with a likely “tipping point” of increased usefulness at the </w:t>
      </w:r>
      <w:proofErr w:type="gramStart"/>
      <w:r>
        <w:rPr>
          <w:rFonts w:ascii="Times New Roman" w:eastAsia="Times New Roman" w:hAnsi="Times New Roman" w:cs="Times New Roman"/>
          <w:sz w:val="24"/>
          <w:szCs w:val="24"/>
        </w:rPr>
        <w:t>20 hour</w:t>
      </w:r>
      <w:proofErr w:type="gramEnd"/>
      <w:r>
        <w:rPr>
          <w:rFonts w:ascii="Times New Roman" w:eastAsia="Times New Roman" w:hAnsi="Times New Roman" w:cs="Times New Roman"/>
          <w:sz w:val="24"/>
          <w:szCs w:val="24"/>
        </w:rPr>
        <w:t xml:space="preserve"> mark (Desimone, 2009). Lastly, collective participation increases the power of professional development with engagement being more powerful when a whole school or whole organization or whole discipline engages together in the same work (Desimone, 2009). </w:t>
      </w:r>
    </w:p>
    <w:p w14:paraId="08DB162F" w14:textId="77777777" w:rsidR="00330A5D" w:rsidRDefault="00330A5D">
      <w:pPr>
        <w:spacing w:line="240" w:lineRule="auto"/>
        <w:rPr>
          <w:rFonts w:ascii="Times New Roman" w:eastAsia="Times New Roman" w:hAnsi="Times New Roman" w:cs="Times New Roman"/>
          <w:sz w:val="24"/>
          <w:szCs w:val="24"/>
        </w:rPr>
      </w:pPr>
    </w:p>
    <w:p w14:paraId="57EECA56"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Purpose and Objectives</w:t>
      </w:r>
    </w:p>
    <w:p w14:paraId="7ED52718" w14:textId="77777777" w:rsidR="00330A5D" w:rsidRDefault="00330A5D">
      <w:pPr>
        <w:spacing w:line="240" w:lineRule="auto"/>
        <w:jc w:val="center"/>
        <w:rPr>
          <w:rFonts w:ascii="Times New Roman" w:eastAsia="Times New Roman" w:hAnsi="Times New Roman" w:cs="Times New Roman"/>
          <w:b/>
          <w:bCs/>
          <w:sz w:val="24"/>
          <w:szCs w:val="24"/>
        </w:rPr>
      </w:pPr>
    </w:p>
    <w:p w14:paraId="5249CC76"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mixed-method study was to 1) examine the professional development experiences of beginning agricultural teachers in North Carolina and 2) identify their ongoing needs within their first three years of teaching. The research questions that guided this study include:</w:t>
      </w:r>
    </w:p>
    <w:p w14:paraId="7435B7BC" w14:textId="77777777" w:rsidR="00330A5D"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do North Carolina beginning SBAE teachers experience professional development?</w:t>
      </w:r>
    </w:p>
    <w:p w14:paraId="4BD6A494" w14:textId="77777777" w:rsidR="00330A5D"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do </w:t>
      </w:r>
      <w:proofErr w:type="gramStart"/>
      <w:r>
        <w:rPr>
          <w:rFonts w:ascii="Times New Roman" w:eastAsia="Times New Roman" w:hAnsi="Times New Roman" w:cs="Times New Roman"/>
          <w:sz w:val="24"/>
          <w:szCs w:val="24"/>
        </w:rPr>
        <w:t>beginning</w:t>
      </w:r>
      <w:proofErr w:type="gramEnd"/>
      <w:r>
        <w:rPr>
          <w:rFonts w:ascii="Times New Roman" w:eastAsia="Times New Roman" w:hAnsi="Times New Roman" w:cs="Times New Roman"/>
          <w:sz w:val="24"/>
          <w:szCs w:val="24"/>
        </w:rPr>
        <w:t xml:space="preserve"> SBAE teachers describe is and is not working with professional development in North Carolina?</w:t>
      </w:r>
    </w:p>
    <w:p w14:paraId="04749038" w14:textId="77777777" w:rsidR="00330A5D"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resources, support, and offerings do beginning SBAE teachers indicate are desired to help beginning teachers?</w:t>
      </w:r>
    </w:p>
    <w:p w14:paraId="06CD6EA4" w14:textId="77777777" w:rsidR="00330A5D" w:rsidRDefault="00330A5D">
      <w:pPr>
        <w:spacing w:line="240" w:lineRule="auto"/>
        <w:jc w:val="center"/>
        <w:rPr>
          <w:rFonts w:ascii="Times New Roman" w:eastAsia="Times New Roman" w:hAnsi="Times New Roman" w:cs="Times New Roman"/>
          <w:b/>
          <w:bCs/>
          <w:sz w:val="24"/>
          <w:szCs w:val="24"/>
        </w:rPr>
      </w:pPr>
    </w:p>
    <w:p w14:paraId="121A4932"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Methods</w:t>
      </w:r>
    </w:p>
    <w:p w14:paraId="1576BECF" w14:textId="77777777" w:rsidR="00330A5D" w:rsidRDefault="00330A5D">
      <w:pPr>
        <w:spacing w:line="240" w:lineRule="auto"/>
        <w:jc w:val="center"/>
        <w:rPr>
          <w:rFonts w:ascii="Times New Roman" w:eastAsia="Times New Roman" w:hAnsi="Times New Roman" w:cs="Times New Roman"/>
          <w:b/>
          <w:bCs/>
          <w:sz w:val="24"/>
          <w:szCs w:val="24"/>
        </w:rPr>
      </w:pPr>
    </w:p>
    <w:p w14:paraId="0782D528"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This mixed-methods study was used to assess the professional development experiences and needs of beginning North Carolina SBAE teachers in their first three years. The quantitative portion utilized a survey instrument that was posted to the Facebook Group </w:t>
      </w:r>
      <w:r>
        <w:rPr>
          <w:rFonts w:ascii="Times New Roman" w:eastAsia="Times New Roman" w:hAnsi="Times New Roman" w:cs="Times New Roman"/>
          <w:i/>
          <w:iCs/>
          <w:sz w:val="24"/>
          <w:szCs w:val="24"/>
        </w:rPr>
        <w:t>NC Owls Who Give a Hoot!</w:t>
      </w:r>
      <w:r>
        <w:rPr>
          <w:rFonts w:ascii="Times New Roman" w:eastAsia="Times New Roman" w:hAnsi="Times New Roman" w:cs="Times New Roman"/>
          <w:sz w:val="24"/>
          <w:szCs w:val="24"/>
        </w:rPr>
        <w:t xml:space="preserve">, sent in the state agricultural education leader's weekly email, and sent via email to teachers identified as beginning teachers through the state directory. A census of all beginning teachers within the first year was the goal for study participants. Emails were sent according to </w:t>
      </w:r>
      <w:r>
        <w:rPr>
          <w:rFonts w:ascii="Times New Roman" w:eastAsia="Times New Roman" w:hAnsi="Times New Roman" w:cs="Times New Roman"/>
          <w:sz w:val="24"/>
          <w:szCs w:val="24"/>
        </w:rPr>
        <w:lastRenderedPageBreak/>
        <w:t xml:space="preserve">Dillman et al. (2014), with contact happening over five weeks, beginning at the end of April through the end of May. </w:t>
      </w:r>
    </w:p>
    <w:p w14:paraId="41381DB9" w14:textId="77777777" w:rsidR="00330A5D" w:rsidRDefault="00330A5D">
      <w:pPr>
        <w:spacing w:line="240" w:lineRule="auto"/>
        <w:rPr>
          <w:rFonts w:ascii="Times New Roman" w:eastAsia="Times New Roman" w:hAnsi="Times New Roman" w:cs="Times New Roman"/>
          <w:sz w:val="24"/>
          <w:szCs w:val="24"/>
        </w:rPr>
      </w:pPr>
    </w:p>
    <w:p w14:paraId="20D912E8"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Clear data on how many SBAE teachers are within their first three years of teaching is not solidified at the state or national level, but state staff provided data from ffa.org, which showcased 304 teachers were within their first three years of teaching (J. Bledsoe, personal communication). The survey response rate of the quantitative portion of this study was 15.1%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46). Demographic data of participants provides us with a scope of who took the survey (see Table 1). </w:t>
      </w:r>
    </w:p>
    <w:p w14:paraId="42B719CF" w14:textId="77777777" w:rsidR="00330A5D" w:rsidRDefault="00330A5D">
      <w:pPr>
        <w:spacing w:line="240" w:lineRule="auto"/>
        <w:rPr>
          <w:rFonts w:ascii="Times New Roman" w:eastAsia="Times New Roman" w:hAnsi="Times New Roman" w:cs="Times New Roman"/>
          <w:sz w:val="24"/>
          <w:szCs w:val="24"/>
        </w:rPr>
      </w:pPr>
    </w:p>
    <w:p w14:paraId="0565F7A4" w14:textId="77777777" w:rsidR="00330A5D"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w:t>
      </w:r>
    </w:p>
    <w:p w14:paraId="33D9EF19" w14:textId="77777777" w:rsidR="00330A5D"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Demographic Data of Survey Participants</w:t>
      </w:r>
    </w:p>
    <w:tbl>
      <w:tblPr>
        <w:tblStyle w:val="a"/>
        <w:tblW w:w="86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35"/>
        <w:gridCol w:w="3600"/>
        <w:gridCol w:w="1260"/>
        <w:gridCol w:w="960"/>
      </w:tblGrid>
      <w:tr w:rsidR="00330A5D" w14:paraId="5E2604A2" w14:textId="77777777">
        <w:trPr>
          <w:trHeight w:val="300"/>
        </w:trPr>
        <w:tc>
          <w:tcPr>
            <w:tcW w:w="2835" w:type="dxa"/>
            <w:tcBorders>
              <w:top w:val="single" w:sz="6" w:space="0" w:color="000000"/>
              <w:left w:val="nil"/>
              <w:bottom w:val="single" w:sz="6" w:space="0" w:color="000000"/>
              <w:right w:val="nil"/>
            </w:tcBorders>
            <w:tcMar>
              <w:top w:w="0" w:type="dxa"/>
              <w:left w:w="100" w:type="dxa"/>
              <w:bottom w:w="0" w:type="dxa"/>
              <w:right w:w="100" w:type="dxa"/>
            </w:tcMar>
          </w:tcPr>
          <w:p w14:paraId="4AB6657A"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3600" w:type="dxa"/>
            <w:tcBorders>
              <w:top w:val="single" w:sz="6" w:space="0" w:color="000000"/>
              <w:left w:val="nil"/>
              <w:bottom w:val="single" w:sz="6" w:space="0" w:color="000000"/>
              <w:right w:val="nil"/>
            </w:tcBorders>
            <w:tcMar>
              <w:top w:w="0" w:type="dxa"/>
              <w:left w:w="100" w:type="dxa"/>
              <w:bottom w:w="0" w:type="dxa"/>
              <w:right w:w="100" w:type="dxa"/>
            </w:tcMar>
          </w:tcPr>
          <w:p w14:paraId="525FD987"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Category</w:t>
            </w:r>
          </w:p>
        </w:tc>
        <w:tc>
          <w:tcPr>
            <w:tcW w:w="1260" w:type="dxa"/>
            <w:tcBorders>
              <w:top w:val="single" w:sz="6" w:space="0" w:color="000000"/>
              <w:left w:val="nil"/>
              <w:bottom w:val="single" w:sz="6" w:space="0" w:color="000000"/>
              <w:right w:val="nil"/>
            </w:tcBorders>
            <w:tcMar>
              <w:top w:w="0" w:type="dxa"/>
              <w:left w:w="100" w:type="dxa"/>
              <w:bottom w:w="0" w:type="dxa"/>
              <w:right w:w="100" w:type="dxa"/>
            </w:tcMar>
          </w:tcPr>
          <w:p w14:paraId="4228F293"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𝑓</w:t>
            </w:r>
          </w:p>
        </w:tc>
        <w:tc>
          <w:tcPr>
            <w:tcW w:w="960" w:type="dxa"/>
            <w:tcBorders>
              <w:top w:val="single" w:sz="6" w:space="0" w:color="000000"/>
              <w:left w:val="nil"/>
              <w:bottom w:val="single" w:sz="6" w:space="0" w:color="000000"/>
              <w:right w:val="nil"/>
            </w:tcBorders>
            <w:tcMar>
              <w:top w:w="0" w:type="dxa"/>
              <w:left w:w="100" w:type="dxa"/>
              <w:bottom w:w="0" w:type="dxa"/>
              <w:right w:w="100" w:type="dxa"/>
            </w:tcMar>
          </w:tcPr>
          <w:p w14:paraId="37EEC5C6" w14:textId="77777777" w:rsidR="00330A5D" w:rsidRDefault="00000000">
            <w:pPr>
              <w:spacing w:line="240"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330A5D" w14:paraId="7BDBBFC8" w14:textId="77777777">
        <w:trPr>
          <w:trHeight w:val="270"/>
        </w:trPr>
        <w:tc>
          <w:tcPr>
            <w:tcW w:w="2835" w:type="dxa"/>
            <w:tcBorders>
              <w:top w:val="nil"/>
              <w:left w:val="nil"/>
              <w:bottom w:val="nil"/>
              <w:right w:val="nil"/>
            </w:tcBorders>
            <w:tcMar>
              <w:top w:w="0" w:type="dxa"/>
              <w:left w:w="100" w:type="dxa"/>
              <w:bottom w:w="0" w:type="dxa"/>
              <w:right w:w="100" w:type="dxa"/>
            </w:tcMar>
          </w:tcPr>
          <w:p w14:paraId="738CB488"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Gender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45)</w:t>
            </w:r>
          </w:p>
        </w:tc>
        <w:tc>
          <w:tcPr>
            <w:tcW w:w="3600" w:type="dxa"/>
            <w:tcBorders>
              <w:top w:val="nil"/>
              <w:left w:val="nil"/>
              <w:bottom w:val="nil"/>
              <w:right w:val="nil"/>
            </w:tcBorders>
            <w:tcMar>
              <w:top w:w="0" w:type="dxa"/>
              <w:left w:w="100" w:type="dxa"/>
              <w:bottom w:w="0" w:type="dxa"/>
              <w:right w:w="100" w:type="dxa"/>
            </w:tcMar>
          </w:tcPr>
          <w:p w14:paraId="77F6C502"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260" w:type="dxa"/>
            <w:tcBorders>
              <w:top w:val="nil"/>
              <w:left w:val="nil"/>
              <w:bottom w:val="nil"/>
              <w:right w:val="nil"/>
            </w:tcBorders>
            <w:tcMar>
              <w:top w:w="0" w:type="dxa"/>
              <w:left w:w="100" w:type="dxa"/>
              <w:bottom w:w="0" w:type="dxa"/>
              <w:right w:w="100" w:type="dxa"/>
            </w:tcMar>
          </w:tcPr>
          <w:p w14:paraId="50F0C474"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60" w:type="dxa"/>
            <w:tcBorders>
              <w:top w:val="nil"/>
              <w:left w:val="nil"/>
              <w:bottom w:val="nil"/>
              <w:right w:val="nil"/>
            </w:tcBorders>
            <w:tcMar>
              <w:top w:w="0" w:type="dxa"/>
              <w:left w:w="100" w:type="dxa"/>
              <w:bottom w:w="0" w:type="dxa"/>
              <w:right w:w="100" w:type="dxa"/>
            </w:tcMar>
          </w:tcPr>
          <w:p w14:paraId="3FAD712E" w14:textId="77777777" w:rsidR="00330A5D" w:rsidRDefault="00000000">
            <w:pPr>
              <w:spacing w:line="240" w:lineRule="auto"/>
              <w:ind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330A5D" w14:paraId="34BE3A6F" w14:textId="77777777">
        <w:trPr>
          <w:trHeight w:val="270"/>
        </w:trPr>
        <w:tc>
          <w:tcPr>
            <w:tcW w:w="2835" w:type="dxa"/>
            <w:tcBorders>
              <w:top w:val="nil"/>
              <w:left w:val="nil"/>
              <w:bottom w:val="nil"/>
              <w:right w:val="nil"/>
            </w:tcBorders>
            <w:tcMar>
              <w:top w:w="0" w:type="dxa"/>
              <w:left w:w="100" w:type="dxa"/>
              <w:bottom w:w="0" w:type="dxa"/>
              <w:right w:w="100" w:type="dxa"/>
            </w:tcMar>
          </w:tcPr>
          <w:p w14:paraId="38596633"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600" w:type="dxa"/>
            <w:tcBorders>
              <w:top w:val="nil"/>
              <w:left w:val="nil"/>
              <w:bottom w:val="nil"/>
              <w:right w:val="nil"/>
            </w:tcBorders>
            <w:tcMar>
              <w:top w:w="0" w:type="dxa"/>
              <w:left w:w="100" w:type="dxa"/>
              <w:bottom w:w="0" w:type="dxa"/>
              <w:right w:w="100" w:type="dxa"/>
            </w:tcMar>
          </w:tcPr>
          <w:p w14:paraId="58B286D2"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1260" w:type="dxa"/>
            <w:tcBorders>
              <w:top w:val="nil"/>
              <w:left w:val="nil"/>
              <w:bottom w:val="nil"/>
              <w:right w:val="nil"/>
            </w:tcBorders>
            <w:tcMar>
              <w:top w:w="0" w:type="dxa"/>
              <w:left w:w="100" w:type="dxa"/>
              <w:bottom w:w="0" w:type="dxa"/>
              <w:right w:w="100" w:type="dxa"/>
            </w:tcMar>
          </w:tcPr>
          <w:p w14:paraId="53EB0D64"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960" w:type="dxa"/>
            <w:tcBorders>
              <w:top w:val="nil"/>
              <w:left w:val="nil"/>
              <w:bottom w:val="nil"/>
              <w:right w:val="nil"/>
            </w:tcBorders>
            <w:tcMar>
              <w:top w:w="0" w:type="dxa"/>
              <w:left w:w="100" w:type="dxa"/>
              <w:bottom w:w="0" w:type="dxa"/>
              <w:right w:w="100" w:type="dxa"/>
            </w:tcMar>
          </w:tcPr>
          <w:p w14:paraId="7B6D8CC4"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82.2</w:t>
            </w:r>
          </w:p>
        </w:tc>
      </w:tr>
      <w:tr w:rsidR="00330A5D" w14:paraId="024FBAB8" w14:textId="77777777">
        <w:trPr>
          <w:trHeight w:val="270"/>
        </w:trPr>
        <w:tc>
          <w:tcPr>
            <w:tcW w:w="2835" w:type="dxa"/>
            <w:tcBorders>
              <w:top w:val="nil"/>
              <w:left w:val="nil"/>
              <w:bottom w:val="nil"/>
              <w:right w:val="nil"/>
            </w:tcBorders>
            <w:tcMar>
              <w:top w:w="0" w:type="dxa"/>
              <w:left w:w="100" w:type="dxa"/>
              <w:bottom w:w="0" w:type="dxa"/>
              <w:right w:w="100" w:type="dxa"/>
            </w:tcMar>
          </w:tcPr>
          <w:p w14:paraId="00D47823"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600" w:type="dxa"/>
            <w:tcBorders>
              <w:top w:val="nil"/>
              <w:left w:val="nil"/>
              <w:bottom w:val="nil"/>
              <w:right w:val="nil"/>
            </w:tcBorders>
            <w:tcMar>
              <w:top w:w="0" w:type="dxa"/>
              <w:left w:w="100" w:type="dxa"/>
              <w:bottom w:w="0" w:type="dxa"/>
              <w:right w:w="100" w:type="dxa"/>
            </w:tcMar>
          </w:tcPr>
          <w:p w14:paraId="721198F3"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1260" w:type="dxa"/>
            <w:tcBorders>
              <w:top w:val="nil"/>
              <w:left w:val="nil"/>
              <w:bottom w:val="nil"/>
              <w:right w:val="nil"/>
            </w:tcBorders>
            <w:tcMar>
              <w:top w:w="0" w:type="dxa"/>
              <w:left w:w="100" w:type="dxa"/>
              <w:bottom w:w="0" w:type="dxa"/>
              <w:right w:w="100" w:type="dxa"/>
            </w:tcMar>
          </w:tcPr>
          <w:p w14:paraId="28259200"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60" w:type="dxa"/>
            <w:tcBorders>
              <w:top w:val="nil"/>
              <w:left w:val="nil"/>
              <w:bottom w:val="nil"/>
              <w:right w:val="nil"/>
            </w:tcBorders>
            <w:tcMar>
              <w:top w:w="0" w:type="dxa"/>
              <w:left w:w="100" w:type="dxa"/>
              <w:bottom w:w="0" w:type="dxa"/>
              <w:right w:w="100" w:type="dxa"/>
            </w:tcMar>
          </w:tcPr>
          <w:p w14:paraId="445EC245"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p>
        </w:tc>
      </w:tr>
      <w:tr w:rsidR="00330A5D" w14:paraId="7F09AF7A" w14:textId="77777777">
        <w:trPr>
          <w:trHeight w:val="270"/>
        </w:trPr>
        <w:tc>
          <w:tcPr>
            <w:tcW w:w="2835" w:type="dxa"/>
            <w:tcBorders>
              <w:top w:val="nil"/>
              <w:left w:val="nil"/>
              <w:bottom w:val="nil"/>
              <w:right w:val="nil"/>
            </w:tcBorders>
            <w:tcMar>
              <w:top w:w="0" w:type="dxa"/>
              <w:left w:w="100" w:type="dxa"/>
              <w:bottom w:w="0" w:type="dxa"/>
              <w:right w:w="100" w:type="dxa"/>
            </w:tcMar>
          </w:tcPr>
          <w:p w14:paraId="47BADCAA"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Years of Teaching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46)</w:t>
            </w:r>
          </w:p>
        </w:tc>
        <w:tc>
          <w:tcPr>
            <w:tcW w:w="3600" w:type="dxa"/>
            <w:tcBorders>
              <w:top w:val="nil"/>
              <w:left w:val="nil"/>
              <w:bottom w:val="nil"/>
              <w:right w:val="nil"/>
            </w:tcBorders>
            <w:tcMar>
              <w:top w:w="0" w:type="dxa"/>
              <w:left w:w="100" w:type="dxa"/>
              <w:bottom w:w="0" w:type="dxa"/>
              <w:right w:w="100" w:type="dxa"/>
            </w:tcMar>
          </w:tcPr>
          <w:p w14:paraId="66B04BF6" w14:textId="77777777" w:rsidR="00330A5D" w:rsidRDefault="00330A5D">
            <w:pPr>
              <w:spacing w:line="240" w:lineRule="auto"/>
              <w:rPr>
                <w:rFonts w:ascii="Times New Roman" w:eastAsia="Times New Roman" w:hAnsi="Times New Roman" w:cs="Times New Roman"/>
                <w:sz w:val="24"/>
                <w:szCs w:val="24"/>
              </w:rPr>
            </w:pPr>
          </w:p>
        </w:tc>
        <w:tc>
          <w:tcPr>
            <w:tcW w:w="1260" w:type="dxa"/>
            <w:tcBorders>
              <w:top w:val="nil"/>
              <w:left w:val="nil"/>
              <w:bottom w:val="nil"/>
              <w:right w:val="nil"/>
            </w:tcBorders>
            <w:tcMar>
              <w:top w:w="0" w:type="dxa"/>
              <w:left w:w="100" w:type="dxa"/>
              <w:bottom w:w="0" w:type="dxa"/>
              <w:right w:w="100" w:type="dxa"/>
            </w:tcMar>
          </w:tcPr>
          <w:p w14:paraId="145F03EC" w14:textId="77777777" w:rsidR="00330A5D" w:rsidRDefault="00330A5D">
            <w:pPr>
              <w:spacing w:line="240" w:lineRule="auto"/>
              <w:jc w:val="center"/>
              <w:rPr>
                <w:rFonts w:ascii="Times New Roman" w:eastAsia="Times New Roman" w:hAnsi="Times New Roman" w:cs="Times New Roman"/>
                <w:sz w:val="24"/>
                <w:szCs w:val="24"/>
              </w:rPr>
            </w:pPr>
          </w:p>
        </w:tc>
        <w:tc>
          <w:tcPr>
            <w:tcW w:w="960" w:type="dxa"/>
            <w:tcBorders>
              <w:top w:val="nil"/>
              <w:left w:val="nil"/>
              <w:bottom w:val="nil"/>
              <w:right w:val="nil"/>
            </w:tcBorders>
            <w:tcMar>
              <w:top w:w="0" w:type="dxa"/>
              <w:left w:w="100" w:type="dxa"/>
              <w:bottom w:w="0" w:type="dxa"/>
              <w:right w:w="100" w:type="dxa"/>
            </w:tcMar>
          </w:tcPr>
          <w:p w14:paraId="1C262943" w14:textId="77777777" w:rsidR="00330A5D" w:rsidRDefault="00330A5D">
            <w:pPr>
              <w:spacing w:line="240" w:lineRule="auto"/>
              <w:ind w:left="-360" w:right="30"/>
              <w:jc w:val="center"/>
              <w:rPr>
                <w:rFonts w:ascii="Times New Roman" w:eastAsia="Times New Roman" w:hAnsi="Times New Roman" w:cs="Times New Roman"/>
                <w:sz w:val="24"/>
                <w:szCs w:val="24"/>
              </w:rPr>
            </w:pPr>
          </w:p>
        </w:tc>
      </w:tr>
      <w:tr w:rsidR="00330A5D" w14:paraId="16B5A7E3" w14:textId="77777777">
        <w:trPr>
          <w:trHeight w:val="270"/>
        </w:trPr>
        <w:tc>
          <w:tcPr>
            <w:tcW w:w="2835" w:type="dxa"/>
            <w:tcBorders>
              <w:top w:val="nil"/>
              <w:left w:val="nil"/>
              <w:bottom w:val="nil"/>
              <w:right w:val="nil"/>
            </w:tcBorders>
            <w:tcMar>
              <w:top w:w="0" w:type="dxa"/>
              <w:left w:w="100" w:type="dxa"/>
              <w:bottom w:w="0" w:type="dxa"/>
              <w:right w:w="100" w:type="dxa"/>
            </w:tcMar>
          </w:tcPr>
          <w:p w14:paraId="319DC7BE" w14:textId="77777777" w:rsidR="00330A5D" w:rsidRDefault="00330A5D">
            <w:pPr>
              <w:spacing w:line="240" w:lineRule="auto"/>
              <w:rPr>
                <w:rFonts w:ascii="Times New Roman" w:eastAsia="Times New Roman" w:hAnsi="Times New Roman" w:cs="Times New Roman"/>
                <w:sz w:val="24"/>
                <w:szCs w:val="24"/>
              </w:rPr>
            </w:pPr>
          </w:p>
        </w:tc>
        <w:tc>
          <w:tcPr>
            <w:tcW w:w="3600" w:type="dxa"/>
            <w:tcBorders>
              <w:top w:val="nil"/>
              <w:left w:val="nil"/>
              <w:bottom w:val="nil"/>
              <w:right w:val="nil"/>
            </w:tcBorders>
            <w:tcMar>
              <w:top w:w="0" w:type="dxa"/>
              <w:left w:w="100" w:type="dxa"/>
              <w:bottom w:w="0" w:type="dxa"/>
              <w:right w:w="100" w:type="dxa"/>
            </w:tcMar>
          </w:tcPr>
          <w:p w14:paraId="0D049792"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w:t>
            </w:r>
          </w:p>
        </w:tc>
        <w:tc>
          <w:tcPr>
            <w:tcW w:w="1260" w:type="dxa"/>
            <w:tcBorders>
              <w:top w:val="nil"/>
              <w:left w:val="nil"/>
              <w:bottom w:val="nil"/>
              <w:right w:val="nil"/>
            </w:tcBorders>
            <w:tcMar>
              <w:top w:w="0" w:type="dxa"/>
              <w:left w:w="100" w:type="dxa"/>
              <w:bottom w:w="0" w:type="dxa"/>
              <w:right w:w="100" w:type="dxa"/>
            </w:tcMar>
          </w:tcPr>
          <w:p w14:paraId="043783D3"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960" w:type="dxa"/>
            <w:tcBorders>
              <w:top w:val="nil"/>
              <w:left w:val="nil"/>
              <w:bottom w:val="nil"/>
              <w:right w:val="nil"/>
            </w:tcBorders>
            <w:tcMar>
              <w:top w:w="0" w:type="dxa"/>
              <w:left w:w="100" w:type="dxa"/>
              <w:bottom w:w="0" w:type="dxa"/>
              <w:right w:w="100" w:type="dxa"/>
            </w:tcMar>
          </w:tcPr>
          <w:p w14:paraId="60C8E993"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w:t>
            </w:r>
          </w:p>
        </w:tc>
      </w:tr>
      <w:tr w:rsidR="00330A5D" w14:paraId="2980FD58" w14:textId="77777777">
        <w:trPr>
          <w:trHeight w:val="270"/>
        </w:trPr>
        <w:tc>
          <w:tcPr>
            <w:tcW w:w="2835" w:type="dxa"/>
            <w:tcBorders>
              <w:top w:val="nil"/>
              <w:left w:val="nil"/>
              <w:bottom w:val="nil"/>
              <w:right w:val="nil"/>
            </w:tcBorders>
            <w:tcMar>
              <w:top w:w="0" w:type="dxa"/>
              <w:left w:w="100" w:type="dxa"/>
              <w:bottom w:w="0" w:type="dxa"/>
              <w:right w:w="100" w:type="dxa"/>
            </w:tcMar>
          </w:tcPr>
          <w:p w14:paraId="51F67021" w14:textId="77777777" w:rsidR="00330A5D" w:rsidRDefault="00330A5D">
            <w:pPr>
              <w:spacing w:line="240" w:lineRule="auto"/>
              <w:rPr>
                <w:rFonts w:ascii="Times New Roman" w:eastAsia="Times New Roman" w:hAnsi="Times New Roman" w:cs="Times New Roman"/>
                <w:sz w:val="24"/>
                <w:szCs w:val="24"/>
              </w:rPr>
            </w:pPr>
          </w:p>
        </w:tc>
        <w:tc>
          <w:tcPr>
            <w:tcW w:w="3600" w:type="dxa"/>
            <w:tcBorders>
              <w:top w:val="nil"/>
              <w:left w:val="nil"/>
              <w:bottom w:val="nil"/>
              <w:right w:val="nil"/>
            </w:tcBorders>
            <w:tcMar>
              <w:top w:w="0" w:type="dxa"/>
              <w:left w:w="100" w:type="dxa"/>
              <w:bottom w:w="0" w:type="dxa"/>
              <w:right w:w="100" w:type="dxa"/>
            </w:tcMar>
          </w:tcPr>
          <w:p w14:paraId="76387275"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w:t>
            </w:r>
          </w:p>
        </w:tc>
        <w:tc>
          <w:tcPr>
            <w:tcW w:w="1260" w:type="dxa"/>
            <w:tcBorders>
              <w:top w:val="nil"/>
              <w:left w:val="nil"/>
              <w:bottom w:val="nil"/>
              <w:right w:val="nil"/>
            </w:tcBorders>
            <w:tcMar>
              <w:top w:w="0" w:type="dxa"/>
              <w:left w:w="100" w:type="dxa"/>
              <w:bottom w:w="0" w:type="dxa"/>
              <w:right w:w="100" w:type="dxa"/>
            </w:tcMar>
          </w:tcPr>
          <w:p w14:paraId="6E8BF5DA"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960" w:type="dxa"/>
            <w:tcBorders>
              <w:top w:val="nil"/>
              <w:left w:val="nil"/>
              <w:bottom w:val="nil"/>
              <w:right w:val="nil"/>
            </w:tcBorders>
            <w:tcMar>
              <w:top w:w="0" w:type="dxa"/>
              <w:left w:w="100" w:type="dxa"/>
              <w:bottom w:w="0" w:type="dxa"/>
              <w:right w:w="100" w:type="dxa"/>
            </w:tcMar>
          </w:tcPr>
          <w:p w14:paraId="0A639613"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37.0</w:t>
            </w:r>
          </w:p>
        </w:tc>
      </w:tr>
      <w:tr w:rsidR="00330A5D" w14:paraId="06DE5317" w14:textId="77777777">
        <w:trPr>
          <w:trHeight w:val="270"/>
        </w:trPr>
        <w:tc>
          <w:tcPr>
            <w:tcW w:w="2835" w:type="dxa"/>
            <w:tcBorders>
              <w:top w:val="nil"/>
              <w:left w:val="nil"/>
              <w:bottom w:val="nil"/>
              <w:right w:val="nil"/>
            </w:tcBorders>
            <w:tcMar>
              <w:top w:w="0" w:type="dxa"/>
              <w:left w:w="100" w:type="dxa"/>
              <w:bottom w:w="0" w:type="dxa"/>
              <w:right w:w="100" w:type="dxa"/>
            </w:tcMar>
          </w:tcPr>
          <w:p w14:paraId="5483D369" w14:textId="77777777" w:rsidR="00330A5D" w:rsidRDefault="00330A5D">
            <w:pPr>
              <w:spacing w:line="240" w:lineRule="auto"/>
              <w:rPr>
                <w:rFonts w:ascii="Times New Roman" w:eastAsia="Times New Roman" w:hAnsi="Times New Roman" w:cs="Times New Roman"/>
                <w:sz w:val="24"/>
                <w:szCs w:val="24"/>
              </w:rPr>
            </w:pPr>
          </w:p>
        </w:tc>
        <w:tc>
          <w:tcPr>
            <w:tcW w:w="3600" w:type="dxa"/>
            <w:tcBorders>
              <w:top w:val="nil"/>
              <w:left w:val="nil"/>
              <w:bottom w:val="nil"/>
              <w:right w:val="nil"/>
            </w:tcBorders>
            <w:tcMar>
              <w:top w:w="0" w:type="dxa"/>
              <w:left w:w="100" w:type="dxa"/>
              <w:bottom w:w="0" w:type="dxa"/>
              <w:right w:w="100" w:type="dxa"/>
            </w:tcMar>
          </w:tcPr>
          <w:p w14:paraId="6052570F"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Three</w:t>
            </w:r>
          </w:p>
        </w:tc>
        <w:tc>
          <w:tcPr>
            <w:tcW w:w="1260" w:type="dxa"/>
            <w:tcBorders>
              <w:top w:val="nil"/>
              <w:left w:val="nil"/>
              <w:bottom w:val="nil"/>
              <w:right w:val="nil"/>
            </w:tcBorders>
            <w:tcMar>
              <w:top w:w="0" w:type="dxa"/>
              <w:left w:w="100" w:type="dxa"/>
              <w:bottom w:w="0" w:type="dxa"/>
              <w:right w:w="100" w:type="dxa"/>
            </w:tcMar>
          </w:tcPr>
          <w:p w14:paraId="51E2B436"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960" w:type="dxa"/>
            <w:tcBorders>
              <w:top w:val="nil"/>
              <w:left w:val="nil"/>
              <w:bottom w:val="nil"/>
              <w:right w:val="nil"/>
            </w:tcBorders>
            <w:tcMar>
              <w:top w:w="0" w:type="dxa"/>
              <w:left w:w="100" w:type="dxa"/>
              <w:bottom w:w="0" w:type="dxa"/>
              <w:right w:w="100" w:type="dxa"/>
            </w:tcMar>
          </w:tcPr>
          <w:p w14:paraId="01286CB0"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32.6</w:t>
            </w:r>
          </w:p>
        </w:tc>
      </w:tr>
      <w:tr w:rsidR="00330A5D" w14:paraId="33DEB349" w14:textId="77777777">
        <w:trPr>
          <w:trHeight w:val="215"/>
        </w:trPr>
        <w:tc>
          <w:tcPr>
            <w:tcW w:w="2835" w:type="dxa"/>
            <w:tcBorders>
              <w:bottom w:val="single" w:sz="8" w:space="0" w:color="000000"/>
            </w:tcBorders>
          </w:tcPr>
          <w:p w14:paraId="1A2640D9"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License Type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46)</w:t>
            </w:r>
          </w:p>
        </w:tc>
        <w:tc>
          <w:tcPr>
            <w:tcW w:w="3600" w:type="dxa"/>
            <w:tcBorders>
              <w:bottom w:val="single" w:sz="8" w:space="0" w:color="000000"/>
            </w:tcBorders>
          </w:tcPr>
          <w:p w14:paraId="4892793F"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6422EC1"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in Agriculture</w:t>
            </w:r>
          </w:p>
          <w:p w14:paraId="24088193"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 in Other </w:t>
            </w:r>
          </w:p>
          <w:p w14:paraId="755FA79C"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 License in Agriculture</w:t>
            </w:r>
          </w:p>
          <w:p w14:paraId="71AE0940"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Restricted License through CTE</w:t>
            </w:r>
          </w:p>
          <w:p w14:paraId="3CA5C693"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License</w:t>
            </w:r>
          </w:p>
          <w:p w14:paraId="3EBFC5A7"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License</w:t>
            </w:r>
          </w:p>
        </w:tc>
        <w:tc>
          <w:tcPr>
            <w:tcW w:w="1260" w:type="dxa"/>
            <w:tcBorders>
              <w:bottom w:val="single" w:sz="8" w:space="0" w:color="000000"/>
            </w:tcBorders>
          </w:tcPr>
          <w:p w14:paraId="5E0E5FBF" w14:textId="77777777" w:rsidR="00330A5D" w:rsidRDefault="00330A5D">
            <w:pPr>
              <w:spacing w:line="240" w:lineRule="auto"/>
              <w:jc w:val="center"/>
              <w:rPr>
                <w:rFonts w:ascii="Times New Roman" w:eastAsia="Times New Roman" w:hAnsi="Times New Roman" w:cs="Times New Roman"/>
                <w:sz w:val="24"/>
                <w:szCs w:val="24"/>
              </w:rPr>
            </w:pPr>
          </w:p>
          <w:p w14:paraId="687C188C"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p w14:paraId="7BC69DDB"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0DA2C316"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p w14:paraId="3822E574"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2DC97167"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p w14:paraId="2410433A" w14:textId="77777777" w:rsidR="00330A5D"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60" w:type="dxa"/>
            <w:tcBorders>
              <w:bottom w:val="single" w:sz="8" w:space="0" w:color="000000"/>
            </w:tcBorders>
          </w:tcPr>
          <w:p w14:paraId="1EEFD480" w14:textId="77777777" w:rsidR="00330A5D" w:rsidRDefault="00330A5D">
            <w:pPr>
              <w:spacing w:line="240" w:lineRule="auto"/>
              <w:ind w:left="-360" w:right="30"/>
              <w:jc w:val="center"/>
              <w:rPr>
                <w:rFonts w:ascii="Times New Roman" w:eastAsia="Times New Roman" w:hAnsi="Times New Roman" w:cs="Times New Roman"/>
                <w:sz w:val="24"/>
                <w:szCs w:val="24"/>
              </w:rPr>
            </w:pPr>
          </w:p>
          <w:p w14:paraId="71B7F077"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47.8</w:t>
            </w:r>
          </w:p>
          <w:p w14:paraId="3890E763"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p w14:paraId="2A0998DB"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p w14:paraId="4D39E5DF"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15.2</w:t>
            </w:r>
          </w:p>
          <w:p w14:paraId="41346D76"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p w14:paraId="13580C5B" w14:textId="77777777" w:rsidR="00330A5D" w:rsidRDefault="00000000">
            <w:pPr>
              <w:spacing w:line="240" w:lineRule="auto"/>
              <w:ind w:left="-360"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r>
    </w:tbl>
    <w:p w14:paraId="0190C227" w14:textId="77777777" w:rsidR="00330A5D" w:rsidRDefault="00330A5D">
      <w:pPr>
        <w:spacing w:line="240" w:lineRule="auto"/>
        <w:rPr>
          <w:rFonts w:ascii="Times New Roman" w:eastAsia="Times New Roman" w:hAnsi="Times New Roman" w:cs="Times New Roman"/>
          <w:sz w:val="24"/>
          <w:szCs w:val="24"/>
        </w:rPr>
      </w:pPr>
    </w:p>
    <w:p w14:paraId="29750259"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Quantitative Methods</w:t>
      </w:r>
    </w:p>
    <w:p w14:paraId="08E7E24F" w14:textId="77777777" w:rsidR="00330A5D" w:rsidRDefault="00330A5D">
      <w:pPr>
        <w:spacing w:line="240" w:lineRule="auto"/>
        <w:jc w:val="center"/>
        <w:rPr>
          <w:rFonts w:ascii="Times New Roman" w:eastAsia="Times New Roman" w:hAnsi="Times New Roman" w:cs="Times New Roman"/>
          <w:sz w:val="24"/>
          <w:szCs w:val="24"/>
        </w:rPr>
      </w:pPr>
    </w:p>
    <w:p w14:paraId="42E1A4BD" w14:textId="77777777" w:rsidR="00330A5D"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The survey instrument was selected and modified from a Master’s project by Davis (2024) and a study by Smalley et al. (2019). Smalley et al. (2019) created a Borich needs assessment to analyze the ability and importance of topics in the SBAE profession. Davis (2024) modified the assessment to fit the needs of the state. Our study used the instrument used by Davis (2024), developed by Smalley et al. (2019), and was updated to match the curriculum and pathways that are taught in North Carolina. The formatting of the instrument was updated from a matrix to multiple-choice questions. Overall, the instrument had 104 questions, 8 demographic and consent, and the remaining being the Borich needs assessment assessing the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perceived ability and perceived importance of topics. Topics ranged from FFA, SAE, student management, curriculum, and program planning. </w:t>
      </w:r>
    </w:p>
    <w:p w14:paraId="6579B30C" w14:textId="77777777" w:rsidR="00330A5D" w:rsidRDefault="00330A5D">
      <w:pPr>
        <w:spacing w:line="240" w:lineRule="auto"/>
        <w:rPr>
          <w:rFonts w:ascii="Times New Roman" w:eastAsia="Times New Roman" w:hAnsi="Times New Roman" w:cs="Times New Roman"/>
          <w:b/>
          <w:bCs/>
          <w:sz w:val="24"/>
          <w:szCs w:val="24"/>
        </w:rPr>
      </w:pPr>
    </w:p>
    <w:p w14:paraId="08D6C76D"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Questions were based on a five-point Likert scale. Ability questions were scored on a scale from nonexistent, below average, average, above average, to exceptional. Importance questions included responses ranging from not important, slightly important, important, very important, to most important. After data was collected, the scores were taken and analyzed using </w:t>
      </w:r>
      <w:r>
        <w:rPr>
          <w:rFonts w:ascii="Times New Roman" w:eastAsia="Times New Roman" w:hAnsi="Times New Roman" w:cs="Times New Roman"/>
          <w:sz w:val="24"/>
          <w:szCs w:val="24"/>
        </w:rPr>
        <w:lastRenderedPageBreak/>
        <w:t>the McKim and Saucier (2011) weighted mean discrepancy (WDS) score calculator to decrease the error (see Table 2).</w:t>
      </w:r>
    </w:p>
    <w:p w14:paraId="32AD61F0" w14:textId="77777777" w:rsidR="00330A5D" w:rsidRDefault="00330A5D">
      <w:pPr>
        <w:spacing w:line="240" w:lineRule="auto"/>
        <w:rPr>
          <w:rFonts w:ascii="Times New Roman" w:eastAsia="Times New Roman" w:hAnsi="Times New Roman" w:cs="Times New Roman"/>
          <w:sz w:val="24"/>
          <w:szCs w:val="24"/>
        </w:rPr>
      </w:pPr>
    </w:p>
    <w:p w14:paraId="4092F6A6"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Quantitative Findings</w:t>
      </w:r>
    </w:p>
    <w:p w14:paraId="610D1C90" w14:textId="77777777" w:rsidR="00330A5D" w:rsidRDefault="00330A5D">
      <w:pPr>
        <w:spacing w:line="240" w:lineRule="auto"/>
        <w:rPr>
          <w:rFonts w:ascii="Times New Roman" w:eastAsia="Times New Roman" w:hAnsi="Times New Roman" w:cs="Times New Roman"/>
        </w:rPr>
      </w:pPr>
    </w:p>
    <w:tbl>
      <w:tblPr>
        <w:tblStyle w:val="a0"/>
        <w:tblW w:w="9465"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685"/>
        <w:gridCol w:w="4230"/>
        <w:gridCol w:w="2550"/>
      </w:tblGrid>
      <w:tr w:rsidR="00330A5D" w14:paraId="51EDE6BD" w14:textId="77777777">
        <w:tc>
          <w:tcPr>
            <w:tcW w:w="6915" w:type="dxa"/>
            <w:gridSpan w:val="2"/>
            <w:tcBorders>
              <w:bottom w:val="single" w:sz="4" w:space="0" w:color="000000"/>
            </w:tcBorders>
          </w:tcPr>
          <w:p w14:paraId="4F0DAD7C" w14:textId="77777777" w:rsidR="00330A5D"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w:t>
            </w:r>
          </w:p>
          <w:p w14:paraId="5AC53A79" w14:textId="77777777" w:rsidR="00330A5D"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B611849" w14:textId="77777777" w:rsidR="00330A5D" w:rsidRDefault="00000000">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Top 5 Borich Needs Assessment Questionnaire Results (n=46)</w:t>
            </w:r>
          </w:p>
        </w:tc>
        <w:tc>
          <w:tcPr>
            <w:tcW w:w="2550" w:type="dxa"/>
            <w:tcBorders>
              <w:bottom w:val="single" w:sz="4" w:space="0" w:color="000000"/>
            </w:tcBorders>
          </w:tcPr>
          <w:p w14:paraId="36ED8AAD" w14:textId="77777777" w:rsidR="00330A5D" w:rsidRDefault="00330A5D">
            <w:pPr>
              <w:widowControl w:val="0"/>
              <w:rPr>
                <w:rFonts w:ascii="Times New Roman" w:eastAsia="Times New Roman" w:hAnsi="Times New Roman" w:cs="Times New Roman"/>
                <w:sz w:val="24"/>
                <w:szCs w:val="24"/>
              </w:rPr>
            </w:pPr>
          </w:p>
        </w:tc>
      </w:tr>
      <w:tr w:rsidR="00330A5D" w14:paraId="6ABAD460" w14:textId="77777777">
        <w:trPr>
          <w:trHeight w:val="220"/>
        </w:trPr>
        <w:tc>
          <w:tcPr>
            <w:tcW w:w="2685" w:type="dxa"/>
            <w:tcBorders>
              <w:top w:val="single" w:sz="4" w:space="0" w:color="000000"/>
              <w:bottom w:val="single" w:sz="4" w:space="0" w:color="000000"/>
            </w:tcBorders>
          </w:tcPr>
          <w:p w14:paraId="2EB9BCF9" w14:textId="77777777" w:rsidR="00330A5D" w:rsidRDefault="00330A5D">
            <w:pPr>
              <w:rPr>
                <w:rFonts w:ascii="Times New Roman" w:eastAsia="Times New Roman" w:hAnsi="Times New Roman" w:cs="Times New Roman"/>
                <w:sz w:val="24"/>
                <w:szCs w:val="24"/>
              </w:rPr>
            </w:pPr>
          </w:p>
          <w:p w14:paraId="26936DE8" w14:textId="77777777" w:rsidR="00330A5D"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Question</w:t>
            </w:r>
          </w:p>
        </w:tc>
        <w:tc>
          <w:tcPr>
            <w:tcW w:w="4230" w:type="dxa"/>
            <w:tcBorders>
              <w:top w:val="single" w:sz="4" w:space="0" w:color="000000"/>
              <w:bottom w:val="single" w:sz="4" w:space="0" w:color="000000"/>
            </w:tcBorders>
          </w:tcPr>
          <w:p w14:paraId="00EC21C5" w14:textId="77777777" w:rsidR="00330A5D" w:rsidRDefault="00330A5D">
            <w:pPr>
              <w:jc w:val="center"/>
              <w:rPr>
                <w:rFonts w:ascii="Times New Roman" w:eastAsia="Times New Roman" w:hAnsi="Times New Roman" w:cs="Times New Roman"/>
                <w:i/>
                <w:iCs/>
                <w:sz w:val="24"/>
                <w:szCs w:val="24"/>
              </w:rPr>
            </w:pPr>
          </w:p>
        </w:tc>
        <w:tc>
          <w:tcPr>
            <w:tcW w:w="2550" w:type="dxa"/>
            <w:tcBorders>
              <w:top w:val="single" w:sz="4" w:space="0" w:color="000000"/>
              <w:bottom w:val="single" w:sz="4" w:space="0" w:color="000000"/>
            </w:tcBorders>
          </w:tcPr>
          <w:p w14:paraId="7DD836CA"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Weighted Mean Discrepancy Score</w:t>
            </w:r>
          </w:p>
        </w:tc>
      </w:tr>
      <w:tr w:rsidR="00330A5D" w14:paraId="431AF788" w14:textId="77777777">
        <w:tc>
          <w:tcPr>
            <w:tcW w:w="6915" w:type="dxa"/>
            <w:gridSpan w:val="2"/>
          </w:tcPr>
          <w:p w14:paraId="1C7248F5"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My ability to properly implement  IEPs/504s for students with disabilities is...</w:t>
            </w:r>
          </w:p>
        </w:tc>
        <w:tc>
          <w:tcPr>
            <w:tcW w:w="2550" w:type="dxa"/>
          </w:tcPr>
          <w:p w14:paraId="6765AFED"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4.35</w:t>
            </w:r>
          </w:p>
        </w:tc>
      </w:tr>
      <w:tr w:rsidR="00330A5D" w14:paraId="29FB0235" w14:textId="77777777">
        <w:tc>
          <w:tcPr>
            <w:tcW w:w="6915" w:type="dxa"/>
            <w:gridSpan w:val="2"/>
          </w:tcPr>
          <w:p w14:paraId="7C96ED7A" w14:textId="77777777" w:rsidR="00330A5D" w:rsidRDefault="00000000">
            <w:pPr>
              <w:widowControl w:val="0"/>
              <w:ind w:left="450" w:hanging="450"/>
              <w:rPr>
                <w:rFonts w:ascii="Times New Roman" w:eastAsia="Times New Roman" w:hAnsi="Times New Roman" w:cs="Times New Roman"/>
                <w:sz w:val="24"/>
                <w:szCs w:val="24"/>
              </w:rPr>
            </w:pPr>
            <w:r>
              <w:rPr>
                <w:rFonts w:ascii="Times New Roman" w:eastAsia="Times New Roman" w:hAnsi="Times New Roman" w:cs="Times New Roman"/>
                <w:sz w:val="24"/>
                <w:szCs w:val="24"/>
              </w:rPr>
              <w:t>My ability teaching knowledge and skills in the Power, Structural, and Technical Systems Pathway is...</w:t>
            </w:r>
          </w:p>
        </w:tc>
        <w:tc>
          <w:tcPr>
            <w:tcW w:w="2550" w:type="dxa"/>
          </w:tcPr>
          <w:p w14:paraId="45214FB1"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3.64</w:t>
            </w:r>
          </w:p>
        </w:tc>
      </w:tr>
      <w:tr w:rsidR="00330A5D" w14:paraId="5C55ED7A" w14:textId="77777777">
        <w:tc>
          <w:tcPr>
            <w:tcW w:w="6915" w:type="dxa"/>
            <w:gridSpan w:val="2"/>
          </w:tcPr>
          <w:p w14:paraId="1D907AFB" w14:textId="77777777" w:rsidR="00330A5D" w:rsidRDefault="00000000">
            <w:pPr>
              <w:widowControl w:val="0"/>
              <w:ind w:left="450" w:hanging="450"/>
              <w:rPr>
                <w:rFonts w:ascii="Times New Roman" w:eastAsia="Times New Roman" w:hAnsi="Times New Roman" w:cs="Times New Roman"/>
                <w:sz w:val="24"/>
                <w:szCs w:val="24"/>
              </w:rPr>
            </w:pPr>
            <w:r>
              <w:rPr>
                <w:rFonts w:ascii="Times New Roman" w:eastAsia="Times New Roman" w:hAnsi="Times New Roman" w:cs="Times New Roman"/>
                <w:sz w:val="24"/>
                <w:szCs w:val="24"/>
              </w:rPr>
              <w:t>My ability teaching students problem-solving skills is...</w:t>
            </w:r>
          </w:p>
        </w:tc>
        <w:tc>
          <w:tcPr>
            <w:tcW w:w="2550" w:type="dxa"/>
          </w:tcPr>
          <w:p w14:paraId="4ACAACD9"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3.34</w:t>
            </w:r>
          </w:p>
        </w:tc>
      </w:tr>
      <w:tr w:rsidR="00330A5D" w14:paraId="3E4783DB" w14:textId="77777777">
        <w:tc>
          <w:tcPr>
            <w:tcW w:w="6915" w:type="dxa"/>
            <w:gridSpan w:val="2"/>
          </w:tcPr>
          <w:p w14:paraId="678449B1" w14:textId="77777777" w:rsidR="00330A5D" w:rsidRDefault="00000000">
            <w:pPr>
              <w:widowControl w:val="0"/>
              <w:ind w:left="450" w:hanging="450"/>
              <w:rPr>
                <w:rFonts w:ascii="Times New Roman" w:eastAsia="Times New Roman" w:hAnsi="Times New Roman" w:cs="Times New Roman"/>
                <w:sz w:val="24"/>
                <w:szCs w:val="24"/>
              </w:rPr>
            </w:pPr>
            <w:r>
              <w:rPr>
                <w:rFonts w:ascii="Times New Roman" w:eastAsia="Times New Roman" w:hAnsi="Times New Roman" w:cs="Times New Roman"/>
                <w:sz w:val="24"/>
                <w:szCs w:val="24"/>
              </w:rPr>
              <w:t>My ability motivating students to learn is...</w:t>
            </w:r>
          </w:p>
        </w:tc>
        <w:tc>
          <w:tcPr>
            <w:tcW w:w="2550" w:type="dxa"/>
          </w:tcPr>
          <w:p w14:paraId="590C0C7A"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3.18</w:t>
            </w:r>
          </w:p>
        </w:tc>
      </w:tr>
      <w:tr w:rsidR="00330A5D" w14:paraId="4A9589D0" w14:textId="77777777">
        <w:tc>
          <w:tcPr>
            <w:tcW w:w="6915" w:type="dxa"/>
            <w:gridSpan w:val="2"/>
          </w:tcPr>
          <w:p w14:paraId="589A32BD" w14:textId="77777777" w:rsidR="00330A5D" w:rsidRDefault="00000000">
            <w:pPr>
              <w:widowControl w:val="0"/>
              <w:ind w:left="450" w:hanging="450"/>
              <w:rPr>
                <w:rFonts w:ascii="Times New Roman" w:eastAsia="Times New Roman" w:hAnsi="Times New Roman" w:cs="Times New Roman"/>
                <w:sz w:val="24"/>
                <w:szCs w:val="24"/>
              </w:rPr>
            </w:pPr>
            <w:r>
              <w:rPr>
                <w:rFonts w:ascii="Times New Roman" w:eastAsia="Times New Roman" w:hAnsi="Times New Roman" w:cs="Times New Roman"/>
                <w:sz w:val="24"/>
                <w:szCs w:val="24"/>
              </w:rPr>
              <w:t>My ability teaching knowledge and skills in the Food Products and Processing Systems Pathway is...</w:t>
            </w:r>
          </w:p>
        </w:tc>
        <w:tc>
          <w:tcPr>
            <w:tcW w:w="2550" w:type="dxa"/>
          </w:tcPr>
          <w:p w14:paraId="2E994FC2"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2.99</w:t>
            </w:r>
          </w:p>
        </w:tc>
      </w:tr>
      <w:tr w:rsidR="00330A5D" w14:paraId="2D6BB9DA" w14:textId="77777777">
        <w:trPr>
          <w:trHeight w:val="240"/>
        </w:trPr>
        <w:tc>
          <w:tcPr>
            <w:tcW w:w="9465" w:type="dxa"/>
            <w:gridSpan w:val="3"/>
            <w:tcBorders>
              <w:top w:val="single" w:sz="4" w:space="0" w:color="000000"/>
            </w:tcBorders>
          </w:tcPr>
          <w:p w14:paraId="65D4BD36" w14:textId="77777777" w:rsidR="00330A5D"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xml:space="preserve">. Only results with a WDS of 2.99 and above are included in this table. </w:t>
            </w:r>
          </w:p>
        </w:tc>
      </w:tr>
    </w:tbl>
    <w:p w14:paraId="18C5B5FE" w14:textId="77777777" w:rsidR="00330A5D" w:rsidRDefault="00330A5D">
      <w:pPr>
        <w:spacing w:line="240" w:lineRule="auto"/>
        <w:ind w:firstLine="720"/>
        <w:rPr>
          <w:rFonts w:ascii="Times New Roman" w:eastAsia="Times New Roman" w:hAnsi="Times New Roman" w:cs="Times New Roman"/>
          <w:sz w:val="24"/>
          <w:szCs w:val="24"/>
        </w:rPr>
      </w:pPr>
    </w:p>
    <w:p w14:paraId="73E383EC"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Areas where teachers had the highest WDS, meaning they had less ability and it was an important topic, include helping students with IEP/504s, teaching in the power, structural, and technical systems pathway, teaching problem solving, and motivating students to learn. The items with the lowest WDS scores were planning banquets (WDS = - 0.58), planning field trips (WDS = - 0.48), locating student references and materials (WDS = - 0.14,), and planning trips to the National FFA Convention (WDS = 0.0), indicating either an existing ability, a low perceived importance, or both.</w:t>
      </w:r>
    </w:p>
    <w:p w14:paraId="7A48ECD7" w14:textId="77777777" w:rsidR="00330A5D" w:rsidRDefault="00330A5D">
      <w:pPr>
        <w:spacing w:line="240" w:lineRule="auto"/>
        <w:jc w:val="center"/>
        <w:rPr>
          <w:rFonts w:ascii="Times New Roman" w:eastAsia="Times New Roman" w:hAnsi="Times New Roman" w:cs="Times New Roman"/>
          <w:b/>
          <w:bCs/>
          <w:sz w:val="24"/>
          <w:szCs w:val="24"/>
        </w:rPr>
      </w:pPr>
    </w:p>
    <w:p w14:paraId="5AB2FAE6"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Qualitative Methods</w:t>
      </w:r>
    </w:p>
    <w:p w14:paraId="1F504111" w14:textId="77777777" w:rsidR="00330A5D" w:rsidRDefault="00330A5D">
      <w:pPr>
        <w:spacing w:line="240" w:lineRule="auto"/>
        <w:jc w:val="center"/>
        <w:rPr>
          <w:rFonts w:ascii="Times New Roman" w:eastAsia="Times New Roman" w:hAnsi="Times New Roman" w:cs="Times New Roman"/>
          <w:b/>
          <w:bCs/>
          <w:sz w:val="24"/>
          <w:szCs w:val="24"/>
        </w:rPr>
      </w:pPr>
    </w:p>
    <w:p w14:paraId="64DCF826"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Participants who opted to participate in a virtual interview were randomly selected, contacted via email, and asked to share their experiences through semi-structured interviews. This study used qualitative interview methodology. One interview took place as training and calibration, and their data were not included in the results. Another interview was removed due to a lack of usable information provided by the participant. A semi-structured interview protocol was </w:t>
      </w:r>
      <w:proofErr w:type="gramStart"/>
      <w:r>
        <w:rPr>
          <w:rFonts w:ascii="Times New Roman" w:eastAsia="Times New Roman" w:hAnsi="Times New Roman" w:cs="Times New Roman"/>
          <w:sz w:val="24"/>
          <w:szCs w:val="24"/>
        </w:rPr>
        <w:t>used</w:t>
      </w:r>
      <w:proofErr w:type="gramEnd"/>
      <w:r>
        <w:rPr>
          <w:rFonts w:ascii="Times New Roman" w:eastAsia="Times New Roman" w:hAnsi="Times New Roman" w:cs="Times New Roman"/>
          <w:sz w:val="24"/>
          <w:szCs w:val="24"/>
        </w:rPr>
        <w:t xml:space="preserve"> and interviews took place from June through August, with fourteen interviews conducted virtually through Zoom. We reached saturation at interview </w:t>
      </w:r>
      <w:proofErr w:type="gramStart"/>
      <w:r>
        <w:rPr>
          <w:rFonts w:ascii="Times New Roman" w:eastAsia="Times New Roman" w:hAnsi="Times New Roman" w:cs="Times New Roman"/>
          <w:sz w:val="24"/>
          <w:szCs w:val="24"/>
        </w:rPr>
        <w:t>thirteen, but</w:t>
      </w:r>
      <w:proofErr w:type="gramEnd"/>
      <w:r>
        <w:rPr>
          <w:rFonts w:ascii="Times New Roman" w:eastAsia="Times New Roman" w:hAnsi="Times New Roman" w:cs="Times New Roman"/>
          <w:sz w:val="24"/>
          <w:szCs w:val="24"/>
        </w:rPr>
        <w:t xml:space="preserve"> reached out to more male teachers to have the minimum required through the IRB protocol, which was four of each gender. Two members of the research team conducted the </w:t>
      </w:r>
      <w:proofErr w:type="gramStart"/>
      <w:r>
        <w:rPr>
          <w:rFonts w:ascii="Times New Roman" w:eastAsia="Times New Roman" w:hAnsi="Times New Roman" w:cs="Times New Roman"/>
          <w:sz w:val="24"/>
          <w:szCs w:val="24"/>
        </w:rPr>
        <w:t>interviews;</w:t>
      </w:r>
      <w:proofErr w:type="gramEnd"/>
      <w:r>
        <w:rPr>
          <w:rFonts w:ascii="Times New Roman" w:eastAsia="Times New Roman" w:hAnsi="Times New Roman" w:cs="Times New Roman"/>
          <w:sz w:val="24"/>
          <w:szCs w:val="24"/>
        </w:rPr>
        <w:t xml:space="preserve"> one taking notes and one as the primary interviewer. A total of 429 minutes of interview data was collected. Ten female and four male beginning teachers, who ranged from just finishing their first through third years, were interviewed. Three teachers taught middle school, one taught both middle and high school, and the remaining ten taught high school. Eight teachers were lateral entry into the profession, meaning they did not go through a teacher preparation program as an undergraduate student. Six participants were traditionally certified through a teacher preparation program in North Carolina (see Table 3). </w:t>
      </w:r>
    </w:p>
    <w:tbl>
      <w:tblPr>
        <w:tblStyle w:val="a1"/>
        <w:tblW w:w="948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350"/>
        <w:gridCol w:w="255"/>
        <w:gridCol w:w="2985"/>
        <w:gridCol w:w="1755"/>
        <w:gridCol w:w="3135"/>
      </w:tblGrid>
      <w:tr w:rsidR="00330A5D" w14:paraId="1AFACA47" w14:textId="77777777">
        <w:trPr>
          <w:trHeight w:val="240"/>
        </w:trPr>
        <w:tc>
          <w:tcPr>
            <w:tcW w:w="6345" w:type="dxa"/>
            <w:gridSpan w:val="4"/>
            <w:tcBorders>
              <w:bottom w:val="single" w:sz="4" w:space="0" w:color="000000"/>
            </w:tcBorders>
          </w:tcPr>
          <w:p w14:paraId="0C28B4E1" w14:textId="77777777" w:rsidR="00330A5D"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3</w:t>
            </w:r>
          </w:p>
          <w:p w14:paraId="10AFE4DF" w14:textId="77777777" w:rsidR="00330A5D" w:rsidRDefault="00330A5D">
            <w:pPr>
              <w:rPr>
                <w:rFonts w:ascii="Times New Roman" w:eastAsia="Times New Roman" w:hAnsi="Times New Roman" w:cs="Times New Roman"/>
                <w:b/>
                <w:bCs/>
                <w:sz w:val="24"/>
                <w:szCs w:val="24"/>
              </w:rPr>
            </w:pPr>
          </w:p>
          <w:p w14:paraId="46EBFD47" w14:textId="77777777" w:rsidR="00330A5D" w:rsidRDefault="00000000">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Characteristics of Interview Participants (n=14)</w:t>
            </w:r>
          </w:p>
        </w:tc>
        <w:tc>
          <w:tcPr>
            <w:tcW w:w="3135" w:type="dxa"/>
            <w:tcBorders>
              <w:bottom w:val="single" w:sz="4" w:space="0" w:color="000000"/>
            </w:tcBorders>
          </w:tcPr>
          <w:p w14:paraId="66606475" w14:textId="77777777" w:rsidR="00330A5D" w:rsidRDefault="00330A5D">
            <w:pPr>
              <w:widowControl w:val="0"/>
              <w:rPr>
                <w:rFonts w:ascii="Times New Roman" w:eastAsia="Times New Roman" w:hAnsi="Times New Roman" w:cs="Times New Roman"/>
                <w:sz w:val="24"/>
                <w:szCs w:val="24"/>
              </w:rPr>
            </w:pPr>
          </w:p>
        </w:tc>
      </w:tr>
      <w:tr w:rsidR="00330A5D" w14:paraId="7770E995" w14:textId="77777777">
        <w:trPr>
          <w:trHeight w:val="240"/>
        </w:trPr>
        <w:tc>
          <w:tcPr>
            <w:tcW w:w="1605" w:type="dxa"/>
            <w:gridSpan w:val="2"/>
            <w:tcBorders>
              <w:top w:val="single" w:sz="4" w:space="0" w:color="000000"/>
              <w:bottom w:val="single" w:sz="4" w:space="0" w:color="000000"/>
            </w:tcBorders>
          </w:tcPr>
          <w:p w14:paraId="222EBD3E"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Pseudonym</w:t>
            </w:r>
          </w:p>
        </w:tc>
        <w:tc>
          <w:tcPr>
            <w:tcW w:w="2985" w:type="dxa"/>
            <w:tcBorders>
              <w:top w:val="single" w:sz="4" w:space="0" w:color="000000"/>
              <w:bottom w:val="single" w:sz="4" w:space="0" w:color="000000"/>
            </w:tcBorders>
          </w:tcPr>
          <w:p w14:paraId="761EB6E2"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Preparation Program</w:t>
            </w:r>
          </w:p>
        </w:tc>
        <w:tc>
          <w:tcPr>
            <w:tcW w:w="1755" w:type="dxa"/>
            <w:tcBorders>
              <w:top w:val="single" w:sz="4" w:space="0" w:color="000000"/>
              <w:bottom w:val="single" w:sz="4" w:space="0" w:color="000000"/>
            </w:tcBorders>
          </w:tcPr>
          <w:p w14:paraId="135AE142"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Type of School</w:t>
            </w:r>
          </w:p>
        </w:tc>
        <w:tc>
          <w:tcPr>
            <w:tcW w:w="3135" w:type="dxa"/>
            <w:tcBorders>
              <w:top w:val="single" w:sz="4" w:space="0" w:color="000000"/>
              <w:bottom w:val="single" w:sz="4" w:space="0" w:color="000000"/>
            </w:tcBorders>
          </w:tcPr>
          <w:p w14:paraId="20805CB2"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Years of Teaching Experience</w:t>
            </w:r>
          </w:p>
        </w:tc>
      </w:tr>
      <w:tr w:rsidR="00330A5D" w14:paraId="537468C4" w14:textId="77777777">
        <w:tc>
          <w:tcPr>
            <w:tcW w:w="1605" w:type="dxa"/>
            <w:gridSpan w:val="2"/>
          </w:tcPr>
          <w:p w14:paraId="41BDFFED"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Abby</w:t>
            </w:r>
          </w:p>
        </w:tc>
        <w:tc>
          <w:tcPr>
            <w:tcW w:w="2985" w:type="dxa"/>
          </w:tcPr>
          <w:p w14:paraId="310FF83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w:t>
            </w:r>
          </w:p>
        </w:tc>
        <w:tc>
          <w:tcPr>
            <w:tcW w:w="1755" w:type="dxa"/>
          </w:tcPr>
          <w:p w14:paraId="4CB357DC"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3135" w:type="dxa"/>
          </w:tcPr>
          <w:p w14:paraId="173E7DF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233DBAD1" w14:textId="77777777">
        <w:tc>
          <w:tcPr>
            <w:tcW w:w="1605" w:type="dxa"/>
            <w:gridSpan w:val="2"/>
          </w:tcPr>
          <w:p w14:paraId="33E40BD5"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Calvin</w:t>
            </w:r>
          </w:p>
        </w:tc>
        <w:tc>
          <w:tcPr>
            <w:tcW w:w="2985" w:type="dxa"/>
          </w:tcPr>
          <w:p w14:paraId="4EA6C20B"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6E6F0DC3"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3135" w:type="dxa"/>
          </w:tcPr>
          <w:p w14:paraId="356FF604"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r w:rsidR="00330A5D" w14:paraId="576D6394" w14:textId="77777777">
        <w:tc>
          <w:tcPr>
            <w:tcW w:w="1605" w:type="dxa"/>
            <w:gridSpan w:val="2"/>
          </w:tcPr>
          <w:p w14:paraId="1234A2B8"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Emily</w:t>
            </w:r>
          </w:p>
        </w:tc>
        <w:tc>
          <w:tcPr>
            <w:tcW w:w="2985" w:type="dxa"/>
          </w:tcPr>
          <w:p w14:paraId="08532891"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w:t>
            </w:r>
          </w:p>
        </w:tc>
        <w:tc>
          <w:tcPr>
            <w:tcW w:w="1755" w:type="dxa"/>
          </w:tcPr>
          <w:p w14:paraId="7947ED3B"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3135" w:type="dxa"/>
          </w:tcPr>
          <w:p w14:paraId="5764F73A"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330A5D" w14:paraId="386A48AA" w14:textId="77777777">
        <w:tc>
          <w:tcPr>
            <w:tcW w:w="1605" w:type="dxa"/>
            <w:gridSpan w:val="2"/>
          </w:tcPr>
          <w:p w14:paraId="1A921A1B"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Erica</w:t>
            </w:r>
          </w:p>
        </w:tc>
        <w:tc>
          <w:tcPr>
            <w:tcW w:w="2985" w:type="dxa"/>
          </w:tcPr>
          <w:p w14:paraId="72004284"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w:t>
            </w:r>
          </w:p>
        </w:tc>
        <w:tc>
          <w:tcPr>
            <w:tcW w:w="1755" w:type="dxa"/>
          </w:tcPr>
          <w:p w14:paraId="0F04B173"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3135" w:type="dxa"/>
          </w:tcPr>
          <w:p w14:paraId="4218470B"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2696D0D6" w14:textId="77777777">
        <w:tc>
          <w:tcPr>
            <w:tcW w:w="1605" w:type="dxa"/>
            <w:gridSpan w:val="2"/>
          </w:tcPr>
          <w:p w14:paraId="6072692A"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Garth</w:t>
            </w:r>
          </w:p>
        </w:tc>
        <w:tc>
          <w:tcPr>
            <w:tcW w:w="2985" w:type="dxa"/>
          </w:tcPr>
          <w:p w14:paraId="20394E12"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5174CBE6"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Middle </w:t>
            </w:r>
          </w:p>
        </w:tc>
        <w:tc>
          <w:tcPr>
            <w:tcW w:w="3135" w:type="dxa"/>
          </w:tcPr>
          <w:p w14:paraId="08BF1BB6"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7D95429E" w14:textId="77777777">
        <w:tc>
          <w:tcPr>
            <w:tcW w:w="1350" w:type="dxa"/>
          </w:tcPr>
          <w:p w14:paraId="02D672AB"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Greg</w:t>
            </w:r>
          </w:p>
        </w:tc>
        <w:tc>
          <w:tcPr>
            <w:tcW w:w="255" w:type="dxa"/>
          </w:tcPr>
          <w:p w14:paraId="77F9C430" w14:textId="77777777" w:rsidR="00330A5D" w:rsidRDefault="00330A5D">
            <w:pPr>
              <w:jc w:val="center"/>
              <w:rPr>
                <w:rFonts w:ascii="Times New Roman" w:eastAsia="Times New Roman" w:hAnsi="Times New Roman" w:cs="Times New Roman"/>
                <w:sz w:val="24"/>
                <w:szCs w:val="24"/>
              </w:rPr>
            </w:pPr>
          </w:p>
        </w:tc>
        <w:tc>
          <w:tcPr>
            <w:tcW w:w="2985" w:type="dxa"/>
          </w:tcPr>
          <w:p w14:paraId="43E85CE0"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443FDC4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Middle/High </w:t>
            </w:r>
          </w:p>
        </w:tc>
        <w:tc>
          <w:tcPr>
            <w:tcW w:w="3135" w:type="dxa"/>
          </w:tcPr>
          <w:p w14:paraId="60F3A1DB"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2B939045" w14:textId="77777777">
        <w:tc>
          <w:tcPr>
            <w:tcW w:w="1350" w:type="dxa"/>
          </w:tcPr>
          <w:p w14:paraId="6229B576"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Mabel</w:t>
            </w:r>
          </w:p>
        </w:tc>
        <w:tc>
          <w:tcPr>
            <w:tcW w:w="255" w:type="dxa"/>
          </w:tcPr>
          <w:p w14:paraId="752358B0" w14:textId="77777777" w:rsidR="00330A5D" w:rsidRDefault="00330A5D">
            <w:pPr>
              <w:jc w:val="center"/>
              <w:rPr>
                <w:rFonts w:ascii="Times New Roman" w:eastAsia="Times New Roman" w:hAnsi="Times New Roman" w:cs="Times New Roman"/>
                <w:sz w:val="24"/>
                <w:szCs w:val="24"/>
              </w:rPr>
            </w:pPr>
          </w:p>
        </w:tc>
        <w:tc>
          <w:tcPr>
            <w:tcW w:w="2985" w:type="dxa"/>
          </w:tcPr>
          <w:p w14:paraId="680E5C8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0A01C720"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3135" w:type="dxa"/>
          </w:tcPr>
          <w:p w14:paraId="0140BCB1"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330A5D" w14:paraId="68C0298B" w14:textId="77777777">
        <w:tc>
          <w:tcPr>
            <w:tcW w:w="1350" w:type="dxa"/>
          </w:tcPr>
          <w:p w14:paraId="571262DC"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Macy</w:t>
            </w:r>
          </w:p>
        </w:tc>
        <w:tc>
          <w:tcPr>
            <w:tcW w:w="255" w:type="dxa"/>
          </w:tcPr>
          <w:p w14:paraId="77677550" w14:textId="77777777" w:rsidR="00330A5D" w:rsidRDefault="00330A5D">
            <w:pPr>
              <w:jc w:val="center"/>
              <w:rPr>
                <w:rFonts w:ascii="Times New Roman" w:eastAsia="Times New Roman" w:hAnsi="Times New Roman" w:cs="Times New Roman"/>
                <w:sz w:val="24"/>
                <w:szCs w:val="24"/>
              </w:rPr>
            </w:pPr>
          </w:p>
        </w:tc>
        <w:tc>
          <w:tcPr>
            <w:tcW w:w="2985" w:type="dxa"/>
          </w:tcPr>
          <w:p w14:paraId="570C690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12274CFA"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3135" w:type="dxa"/>
          </w:tcPr>
          <w:p w14:paraId="08C0D536"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330A5D" w14:paraId="3A215157" w14:textId="77777777">
        <w:tc>
          <w:tcPr>
            <w:tcW w:w="1350" w:type="dxa"/>
          </w:tcPr>
          <w:p w14:paraId="2F06AACA"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Madison</w:t>
            </w:r>
          </w:p>
        </w:tc>
        <w:tc>
          <w:tcPr>
            <w:tcW w:w="255" w:type="dxa"/>
          </w:tcPr>
          <w:p w14:paraId="2DD2D370" w14:textId="77777777" w:rsidR="00330A5D" w:rsidRDefault="00330A5D">
            <w:pPr>
              <w:jc w:val="center"/>
              <w:rPr>
                <w:rFonts w:ascii="Times New Roman" w:eastAsia="Times New Roman" w:hAnsi="Times New Roman" w:cs="Times New Roman"/>
                <w:sz w:val="24"/>
                <w:szCs w:val="24"/>
              </w:rPr>
            </w:pPr>
          </w:p>
        </w:tc>
        <w:tc>
          <w:tcPr>
            <w:tcW w:w="2985" w:type="dxa"/>
          </w:tcPr>
          <w:p w14:paraId="0C06312E"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w:t>
            </w:r>
          </w:p>
        </w:tc>
        <w:tc>
          <w:tcPr>
            <w:tcW w:w="1755" w:type="dxa"/>
          </w:tcPr>
          <w:p w14:paraId="64995BBE"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Middle </w:t>
            </w:r>
          </w:p>
        </w:tc>
        <w:tc>
          <w:tcPr>
            <w:tcW w:w="3135" w:type="dxa"/>
          </w:tcPr>
          <w:p w14:paraId="6A618467"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1FDDACF5" w14:textId="77777777">
        <w:tc>
          <w:tcPr>
            <w:tcW w:w="1350" w:type="dxa"/>
          </w:tcPr>
          <w:p w14:paraId="2B3A3BFE"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Maggie</w:t>
            </w:r>
          </w:p>
        </w:tc>
        <w:tc>
          <w:tcPr>
            <w:tcW w:w="255" w:type="dxa"/>
          </w:tcPr>
          <w:p w14:paraId="741C3A64" w14:textId="77777777" w:rsidR="00330A5D" w:rsidRDefault="00330A5D">
            <w:pPr>
              <w:jc w:val="center"/>
              <w:rPr>
                <w:rFonts w:ascii="Times New Roman" w:eastAsia="Times New Roman" w:hAnsi="Times New Roman" w:cs="Times New Roman"/>
                <w:sz w:val="24"/>
                <w:szCs w:val="24"/>
              </w:rPr>
            </w:pPr>
          </w:p>
        </w:tc>
        <w:tc>
          <w:tcPr>
            <w:tcW w:w="2985" w:type="dxa"/>
          </w:tcPr>
          <w:p w14:paraId="79F8F43A"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w:t>
            </w:r>
          </w:p>
        </w:tc>
        <w:tc>
          <w:tcPr>
            <w:tcW w:w="1755" w:type="dxa"/>
          </w:tcPr>
          <w:p w14:paraId="5EBE5678"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3135" w:type="dxa"/>
          </w:tcPr>
          <w:p w14:paraId="47082E1B"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330A5D" w14:paraId="0BE57F24" w14:textId="77777777">
        <w:tc>
          <w:tcPr>
            <w:tcW w:w="1350" w:type="dxa"/>
          </w:tcPr>
          <w:p w14:paraId="1641031B"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Penelope</w:t>
            </w:r>
          </w:p>
        </w:tc>
        <w:tc>
          <w:tcPr>
            <w:tcW w:w="255" w:type="dxa"/>
          </w:tcPr>
          <w:p w14:paraId="5720DCF4" w14:textId="77777777" w:rsidR="00330A5D" w:rsidRDefault="00330A5D">
            <w:pPr>
              <w:jc w:val="center"/>
              <w:rPr>
                <w:rFonts w:ascii="Times New Roman" w:eastAsia="Times New Roman" w:hAnsi="Times New Roman" w:cs="Times New Roman"/>
                <w:sz w:val="24"/>
                <w:szCs w:val="24"/>
              </w:rPr>
            </w:pPr>
          </w:p>
        </w:tc>
        <w:tc>
          <w:tcPr>
            <w:tcW w:w="2985" w:type="dxa"/>
          </w:tcPr>
          <w:p w14:paraId="22C954A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20C28176"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3135" w:type="dxa"/>
          </w:tcPr>
          <w:p w14:paraId="60ED5512"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5CAF64A1" w14:textId="77777777">
        <w:tc>
          <w:tcPr>
            <w:tcW w:w="1605" w:type="dxa"/>
            <w:gridSpan w:val="2"/>
          </w:tcPr>
          <w:p w14:paraId="7E4B3542"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Quinn</w:t>
            </w:r>
          </w:p>
        </w:tc>
        <w:tc>
          <w:tcPr>
            <w:tcW w:w="2985" w:type="dxa"/>
          </w:tcPr>
          <w:p w14:paraId="2647131F"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Pr>
          <w:p w14:paraId="0FB5668E"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3135" w:type="dxa"/>
          </w:tcPr>
          <w:p w14:paraId="3D2C0457"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17B1A114" w14:textId="77777777">
        <w:tc>
          <w:tcPr>
            <w:tcW w:w="1605" w:type="dxa"/>
            <w:gridSpan w:val="2"/>
          </w:tcPr>
          <w:p w14:paraId="4FB46B53"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Samantha</w:t>
            </w:r>
          </w:p>
        </w:tc>
        <w:tc>
          <w:tcPr>
            <w:tcW w:w="2985" w:type="dxa"/>
          </w:tcPr>
          <w:p w14:paraId="57862C23"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w:t>
            </w:r>
          </w:p>
        </w:tc>
        <w:tc>
          <w:tcPr>
            <w:tcW w:w="1755" w:type="dxa"/>
          </w:tcPr>
          <w:p w14:paraId="51582483"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Middle</w:t>
            </w:r>
          </w:p>
        </w:tc>
        <w:tc>
          <w:tcPr>
            <w:tcW w:w="3135" w:type="dxa"/>
          </w:tcPr>
          <w:p w14:paraId="3D7DA1B6"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30A5D" w14:paraId="0470B4BF" w14:textId="77777777">
        <w:trPr>
          <w:trHeight w:val="290"/>
        </w:trPr>
        <w:tc>
          <w:tcPr>
            <w:tcW w:w="1350" w:type="dxa"/>
            <w:tcBorders>
              <w:bottom w:val="single" w:sz="8" w:space="0" w:color="000000"/>
            </w:tcBorders>
          </w:tcPr>
          <w:p w14:paraId="147D4D91" w14:textId="77777777" w:rsidR="00330A5D"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Vince</w:t>
            </w:r>
          </w:p>
        </w:tc>
        <w:tc>
          <w:tcPr>
            <w:tcW w:w="255" w:type="dxa"/>
            <w:tcBorders>
              <w:bottom w:val="single" w:sz="8" w:space="0" w:color="000000"/>
            </w:tcBorders>
          </w:tcPr>
          <w:p w14:paraId="26156A3A" w14:textId="77777777" w:rsidR="00330A5D" w:rsidRDefault="00330A5D">
            <w:pPr>
              <w:jc w:val="center"/>
              <w:rPr>
                <w:rFonts w:ascii="Times New Roman" w:eastAsia="Times New Roman" w:hAnsi="Times New Roman" w:cs="Times New Roman"/>
                <w:sz w:val="24"/>
                <w:szCs w:val="24"/>
              </w:rPr>
            </w:pPr>
          </w:p>
        </w:tc>
        <w:tc>
          <w:tcPr>
            <w:tcW w:w="2985" w:type="dxa"/>
            <w:tcBorders>
              <w:bottom w:val="single" w:sz="8" w:space="0" w:color="000000"/>
            </w:tcBorders>
          </w:tcPr>
          <w:p w14:paraId="1E98EF8A"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Lateral Entry</w:t>
            </w:r>
          </w:p>
        </w:tc>
        <w:tc>
          <w:tcPr>
            <w:tcW w:w="1755" w:type="dxa"/>
            <w:tcBorders>
              <w:bottom w:val="single" w:sz="8" w:space="0" w:color="000000"/>
            </w:tcBorders>
          </w:tcPr>
          <w:p w14:paraId="6C2A4B02"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3135" w:type="dxa"/>
            <w:tcBorders>
              <w:bottom w:val="single" w:sz="8" w:space="0" w:color="000000"/>
            </w:tcBorders>
          </w:tcPr>
          <w:p w14:paraId="2D8C8FAD"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330A5D" w14:paraId="1795FB48" w14:textId="77777777">
        <w:trPr>
          <w:trHeight w:val="240"/>
        </w:trPr>
        <w:tc>
          <w:tcPr>
            <w:tcW w:w="9480" w:type="dxa"/>
            <w:gridSpan w:val="5"/>
            <w:tcBorders>
              <w:top w:val="single" w:sz="8" w:space="0" w:color="000000"/>
            </w:tcBorders>
          </w:tcPr>
          <w:p w14:paraId="72D2AF24" w14:textId="77777777" w:rsidR="00330A5D" w:rsidRDefault="00330A5D">
            <w:pPr>
              <w:rPr>
                <w:rFonts w:ascii="Times New Roman" w:eastAsia="Times New Roman" w:hAnsi="Times New Roman" w:cs="Times New Roman"/>
                <w:sz w:val="24"/>
                <w:szCs w:val="24"/>
              </w:rPr>
            </w:pPr>
          </w:p>
        </w:tc>
      </w:tr>
    </w:tbl>
    <w:p w14:paraId="6FD5AEBA"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 transcripts were captured through Zoom and cleaned for clarity by the research team. Cleaned interview transcripts were coded using </w:t>
      </w:r>
      <w:proofErr w:type="spellStart"/>
      <w:r>
        <w:rPr>
          <w:rFonts w:ascii="Times New Roman" w:eastAsia="Times New Roman" w:hAnsi="Times New Roman" w:cs="Times New Roman"/>
          <w:sz w:val="24"/>
          <w:szCs w:val="24"/>
        </w:rPr>
        <w:t>Dedoose</w:t>
      </w:r>
      <w:proofErr w:type="spellEnd"/>
      <w:r>
        <w:rPr>
          <w:rFonts w:ascii="Times New Roman" w:eastAsia="Times New Roman" w:hAnsi="Times New Roman" w:cs="Times New Roman"/>
          <w:sz w:val="24"/>
          <w:szCs w:val="24"/>
        </w:rPr>
        <w:t>™️. Two rounds of coding took place: the first was deductive to assign themes based on interview questions and the second was inductive to review and synthesize the findings. Deductive coding was used based on the research questions and reinforced through analyzing the thematic notes that were taken during the interviews. An example of this includes taking the interview question, “what additional resources, training, or support do you wish were available to help you succeed as an agriculture teacher?” and assigning that as a theme of “desired resources and support”. Two team members collaborated to code two interviews and then discussed the similarities and differences to come to an agreement on a codebook. The second round of coding was inductive, which looked at codes from each theme and organized based on similarity of excerpts in each theme. One team member coded the remaining interviews using the established codebook, with check-ins with the research team. Through data analysis, seven themes were identified.</w:t>
      </w:r>
    </w:p>
    <w:p w14:paraId="739D10E6" w14:textId="77777777" w:rsidR="00330A5D" w:rsidRDefault="00330A5D">
      <w:pPr>
        <w:spacing w:line="240" w:lineRule="auto"/>
        <w:rPr>
          <w:rFonts w:ascii="Times New Roman" w:eastAsia="Times New Roman" w:hAnsi="Times New Roman" w:cs="Times New Roman"/>
          <w:sz w:val="24"/>
          <w:szCs w:val="24"/>
        </w:rPr>
      </w:pPr>
    </w:p>
    <w:p w14:paraId="6B9E4701"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Positionality</w:t>
      </w:r>
    </w:p>
    <w:p w14:paraId="3216F085" w14:textId="77777777" w:rsidR="00330A5D" w:rsidRDefault="00330A5D">
      <w:pPr>
        <w:spacing w:line="240" w:lineRule="auto"/>
        <w:jc w:val="center"/>
        <w:rPr>
          <w:rFonts w:ascii="Times New Roman" w:eastAsia="Times New Roman" w:hAnsi="Times New Roman" w:cs="Times New Roman"/>
          <w:b/>
          <w:bCs/>
          <w:sz w:val="24"/>
          <w:szCs w:val="24"/>
        </w:rPr>
      </w:pPr>
    </w:p>
    <w:p w14:paraId="3515DB3C" w14:textId="77777777" w:rsidR="00330A5D" w:rsidRDefault="00000000">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One of the team members is a graduate student who taught in a different state. The second is a graduate student who taught in North Carolina. The third is a faculty member at a [university] who taught high school in North Carolina and at the university level in multiple states. All three members have extensive experience with professional development through being members of the state agricultural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association, participating in state and district professional development, and have an interest in supporting beginning teachers. This influenced our interpretation of the data through allowing us to have a clear understanding of what typical professional development teachers will attend. This may have led to bias in assuming an interpretation of what a participant shared. This was guarded against through having two members present during the interview, and data analysis was checked through two team members with periodic check-ins. If we were to conduct this study again, we would have liked to </w:t>
      </w:r>
      <w:r>
        <w:rPr>
          <w:rFonts w:ascii="Times New Roman" w:eastAsia="Times New Roman" w:hAnsi="Times New Roman" w:cs="Times New Roman"/>
          <w:sz w:val="24"/>
          <w:szCs w:val="24"/>
        </w:rPr>
        <w:lastRenderedPageBreak/>
        <w:t xml:space="preserve">conduct member checking through sending an analysis of each participant’s transcript for validation. </w:t>
      </w:r>
    </w:p>
    <w:p w14:paraId="22885A20" w14:textId="77777777" w:rsidR="00330A5D" w:rsidRDefault="00330A5D">
      <w:pPr>
        <w:spacing w:line="240" w:lineRule="auto"/>
        <w:rPr>
          <w:rFonts w:ascii="Times New Roman" w:eastAsia="Times New Roman" w:hAnsi="Times New Roman" w:cs="Times New Roman"/>
          <w:b/>
          <w:bCs/>
          <w:sz w:val="24"/>
          <w:szCs w:val="24"/>
        </w:rPr>
      </w:pPr>
    </w:p>
    <w:p w14:paraId="63F6427B"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Qualitative Findings</w:t>
      </w:r>
    </w:p>
    <w:p w14:paraId="7961661C" w14:textId="77777777" w:rsidR="00330A5D" w:rsidRDefault="00330A5D">
      <w:pPr>
        <w:spacing w:line="240" w:lineRule="auto"/>
        <w:rPr>
          <w:rFonts w:ascii="Times New Roman" w:eastAsia="Times New Roman" w:hAnsi="Times New Roman" w:cs="Times New Roman"/>
          <w:b/>
          <w:bCs/>
          <w:sz w:val="24"/>
          <w:szCs w:val="24"/>
        </w:rPr>
      </w:pPr>
    </w:p>
    <w:p w14:paraId="289742EC" w14:textId="77777777" w:rsidR="00330A5D" w:rsidRDefault="00000000">
      <w:pPr>
        <w:spacing w:line="240" w:lineRule="auto"/>
        <w:rPr>
          <w:rFonts w:ascii="Times New Roman" w:eastAsia="Times New Roman" w:hAnsi="Times New Roman" w:cs="Times New Roman"/>
          <w:strike/>
          <w:sz w:val="24"/>
          <w:szCs w:val="24"/>
        </w:rPr>
      </w:pPr>
      <w:r>
        <w:rPr>
          <w:rFonts w:ascii="Times New Roman" w:eastAsia="Times New Roman" w:hAnsi="Times New Roman" w:cs="Times New Roman"/>
          <w:sz w:val="24"/>
          <w:szCs w:val="24"/>
        </w:rPr>
        <w:tab/>
        <w:t>Through data analysis, seven themes were identified: struggles associated with the job, beneficial professional development, recommendations for improvement of professional development, ideal professional development, desired resources and support, barriers, and the role of mentors.</w:t>
      </w:r>
    </w:p>
    <w:p w14:paraId="4DEF3039" w14:textId="77777777" w:rsidR="00330A5D" w:rsidRDefault="00330A5D">
      <w:pPr>
        <w:spacing w:line="240" w:lineRule="auto"/>
        <w:rPr>
          <w:rFonts w:ascii="Times New Roman" w:eastAsia="Times New Roman" w:hAnsi="Times New Roman" w:cs="Times New Roman"/>
          <w:sz w:val="24"/>
          <w:szCs w:val="24"/>
        </w:rPr>
      </w:pPr>
    </w:p>
    <w:p w14:paraId="6C19E866"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One - Struggles of the Job</w:t>
      </w:r>
    </w:p>
    <w:p w14:paraId="38F58E43" w14:textId="77777777" w:rsidR="00330A5D" w:rsidRDefault="00330A5D">
      <w:pPr>
        <w:spacing w:line="240" w:lineRule="auto"/>
        <w:rPr>
          <w:rFonts w:ascii="Times New Roman" w:eastAsia="Times New Roman" w:hAnsi="Times New Roman" w:cs="Times New Roman"/>
          <w:b/>
          <w:bCs/>
          <w:i/>
          <w:iCs/>
          <w:sz w:val="24"/>
          <w:szCs w:val="24"/>
        </w:rPr>
      </w:pPr>
    </w:p>
    <w:p w14:paraId="3F5F67E6"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Struggles of the job were discussed by all fourteen of the participants. Many participants had overlapping struggles; for example, Samantha, Vince, Penelope, Macy, and Erica all struggled with finding a balance between the demands of the job outside of the classroom/laboratory instruction circle of the three-component model. Penelope said, “That's what made my FFA advisor journey so hard was because they went so hard on me as a teacher. Which is great, and that's like that is my first job, my first role. But while I was still trying to accomplish everything else.” Erica shared, “[When] I'm a great FFA advisor, [I’m] not such a great ag teacher… I’m focusing too much on SAE right now…Oh wait!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go back into the classroom mode.” Another struggle was time management, which was discussed by Garth and Quinn. Garth shared “how long it's going to take to plan things or have things approved” was a learning </w:t>
      </w:r>
      <w:proofErr w:type="gramStart"/>
      <w:r>
        <w:rPr>
          <w:rFonts w:ascii="Times New Roman" w:eastAsia="Times New Roman" w:hAnsi="Times New Roman" w:cs="Times New Roman"/>
          <w:sz w:val="24"/>
          <w:szCs w:val="24"/>
        </w:rPr>
        <w:t>curve, and</w:t>
      </w:r>
      <w:proofErr w:type="gramEnd"/>
      <w:r>
        <w:rPr>
          <w:rFonts w:ascii="Times New Roman" w:eastAsia="Times New Roman" w:hAnsi="Times New Roman" w:cs="Times New Roman"/>
          <w:sz w:val="24"/>
          <w:szCs w:val="24"/>
        </w:rPr>
        <w:t xml:space="preserve"> finding the balance between work and how to manage his time in an efficient manner was difficult to find what worked for him. Specifically in middle school, participants shared that the leniency of the middle school curriculum was a challenge in choosing what to teach and how to teach the material. Madison shared, “I have a really hard time figuring out where to stop in the curriculum” and she works to not “steal” what they may teach at the high school level. Middle school teachers have flexibility to teach what they want in the curriculum, but sometimes freedom is a challenge.</w:t>
      </w:r>
    </w:p>
    <w:p w14:paraId="4A21A7F0" w14:textId="77777777" w:rsidR="00330A5D" w:rsidRDefault="00330A5D">
      <w:pPr>
        <w:spacing w:line="240" w:lineRule="auto"/>
        <w:rPr>
          <w:rFonts w:ascii="Times New Roman" w:eastAsia="Times New Roman" w:hAnsi="Times New Roman" w:cs="Times New Roman"/>
          <w:sz w:val="24"/>
          <w:szCs w:val="24"/>
        </w:rPr>
      </w:pPr>
    </w:p>
    <w:p w14:paraId="083483AC"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Two - Beneficial Professional Development Experiences</w:t>
      </w:r>
    </w:p>
    <w:p w14:paraId="61AC1D06" w14:textId="77777777" w:rsidR="00330A5D" w:rsidRDefault="00330A5D">
      <w:pPr>
        <w:spacing w:line="240" w:lineRule="auto"/>
        <w:ind w:firstLine="720"/>
        <w:rPr>
          <w:rFonts w:ascii="Times New Roman" w:eastAsia="Times New Roman" w:hAnsi="Times New Roman" w:cs="Times New Roman"/>
          <w:b/>
          <w:bCs/>
          <w:i/>
          <w:iCs/>
          <w:sz w:val="24"/>
          <w:szCs w:val="24"/>
        </w:rPr>
      </w:pPr>
    </w:p>
    <w:p w14:paraId="22E24A38"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shared their experiences with beneficial professional development, both at the district/school and agricultural levels. Looking specifically at agricultural professional development, many participants discussed attending the summer teachers conference, summer workshops, DELTA conference, and working with their agricultural teaching partners were beneficial to their learning. Workshops that were specifically helpful included boutonniere making, utilizing the AET, developing SAE in the classroom, CASE curriculum training, and establishing alumni chapters.</w:t>
      </w:r>
    </w:p>
    <w:p w14:paraId="5E46146B" w14:textId="77777777" w:rsidR="00330A5D" w:rsidRDefault="00330A5D">
      <w:pPr>
        <w:spacing w:line="240" w:lineRule="auto"/>
        <w:rPr>
          <w:rFonts w:ascii="Times New Roman" w:eastAsia="Times New Roman" w:hAnsi="Times New Roman" w:cs="Times New Roman"/>
          <w:sz w:val="24"/>
          <w:szCs w:val="24"/>
        </w:rPr>
      </w:pPr>
    </w:p>
    <w:p w14:paraId="418A310D"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Emily, Macy, Maggie, Greg, Penelope, Abby, Quinn, and Erica agreed the workshops offered at the summer conference and networking with other teachers were key to feeling like they got something useful from the professional development. Many participants shared that the agriculture-specific professional development experiences have been most useful because they are getting resources that can help them build skills in what they will be teaching students. On the district and school level, two single-teacher participants (Garth and Samantha) shared having </w:t>
      </w:r>
      <w:r>
        <w:rPr>
          <w:rFonts w:ascii="Times New Roman" w:eastAsia="Times New Roman" w:hAnsi="Times New Roman" w:cs="Times New Roman"/>
          <w:sz w:val="24"/>
          <w:szCs w:val="24"/>
        </w:rPr>
        <w:lastRenderedPageBreak/>
        <w:t>district-provided Professional Learning Community time with fellow agricultural teachers was beneficial for allowing them to learn more about their duties as SBAE teachers and discuss the curriculum with experienced teachers. Penelope, Quinn, Calvin, and Abby found their school or district was providing helpful workshops on artificial intelligence.</w:t>
      </w:r>
    </w:p>
    <w:p w14:paraId="6D8893F1" w14:textId="77777777" w:rsidR="00330A5D" w:rsidRDefault="00330A5D">
      <w:pPr>
        <w:spacing w:line="240" w:lineRule="auto"/>
        <w:rPr>
          <w:rFonts w:ascii="Times New Roman" w:eastAsia="Times New Roman" w:hAnsi="Times New Roman" w:cs="Times New Roman"/>
          <w:sz w:val="24"/>
          <w:szCs w:val="24"/>
        </w:rPr>
      </w:pPr>
    </w:p>
    <w:p w14:paraId="2BA064AF"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Three - Recommendations for Improvement of Professional Development</w:t>
      </w:r>
    </w:p>
    <w:p w14:paraId="43436936" w14:textId="77777777" w:rsidR="00330A5D" w:rsidRDefault="00330A5D">
      <w:pPr>
        <w:spacing w:line="240" w:lineRule="auto"/>
        <w:ind w:firstLine="720"/>
        <w:rPr>
          <w:rFonts w:ascii="Times New Roman" w:eastAsia="Times New Roman" w:hAnsi="Times New Roman" w:cs="Times New Roman"/>
          <w:b/>
          <w:bCs/>
          <w:i/>
          <w:iCs/>
          <w:sz w:val="24"/>
          <w:szCs w:val="24"/>
        </w:rPr>
      </w:pPr>
    </w:p>
    <w:p w14:paraId="0C281C14"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identified areas of improvement for professional development. Multiple participants (Quinn, Abby, Penelope, Maggie, Calvin, Emily, Erica) believe school and district-level professional developments are not as helpful to their jobs because they focus on core subject information </w:t>
      </w:r>
      <w:proofErr w:type="gramStart"/>
      <w:r>
        <w:rPr>
          <w:rFonts w:ascii="Times New Roman" w:eastAsia="Times New Roman" w:hAnsi="Times New Roman" w:cs="Times New Roman"/>
          <w:sz w:val="24"/>
          <w:szCs w:val="24"/>
        </w:rPr>
        <w:t>only, and</w:t>
      </w:r>
      <w:proofErr w:type="gramEnd"/>
      <w:r>
        <w:rPr>
          <w:rFonts w:ascii="Times New Roman" w:eastAsia="Times New Roman" w:hAnsi="Times New Roman" w:cs="Times New Roman"/>
          <w:sz w:val="24"/>
          <w:szCs w:val="24"/>
        </w:rPr>
        <w:t xml:space="preserve"> are not as applicable to their jobs. When comparing school/district professional development to agriculture professional development, Calvin shared, “but not as beneficial as what I see at… the ones that are specifically focused to ag teachers.” Considering lateral entry teachers, both Garth and Mabel found school and district professional development helpful during their first years because they were new to the teaching profession, but in their second year, they saw the same content and felt it was not as helpful. </w:t>
      </w:r>
    </w:p>
    <w:p w14:paraId="79C9EE79" w14:textId="77777777" w:rsidR="00330A5D" w:rsidRDefault="00330A5D">
      <w:pPr>
        <w:spacing w:line="240" w:lineRule="auto"/>
        <w:ind w:firstLine="720"/>
        <w:rPr>
          <w:rFonts w:ascii="Times New Roman" w:eastAsia="Times New Roman" w:hAnsi="Times New Roman" w:cs="Times New Roman"/>
          <w:sz w:val="24"/>
          <w:szCs w:val="24"/>
        </w:rPr>
      </w:pPr>
    </w:p>
    <w:p w14:paraId="52CE9589"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Agriculture-specific professional development has room for growth. The most common improvement recommendation was that the state provides many resources, but teachers have challenges “even finding those resources” (Quinn) when there are so many given to teachers through the state website and the state Facebook page. Another recommendation for agricultural professional development was discussed by multiple teachers (Calvin, Erica, Quinn) was that workshops for specific content areas, such as animal science or horticulture, typically happened at the same time, which proved difficult for teachers to have to choose which to attend when they wanted to learn the skills in both workshops. Erica offered, “we can't attend all the workshops… I wish they would still provide those resources.”</w:t>
      </w:r>
    </w:p>
    <w:p w14:paraId="5A4B9317" w14:textId="77777777" w:rsidR="00330A5D" w:rsidRDefault="00330A5D">
      <w:pPr>
        <w:spacing w:line="240" w:lineRule="auto"/>
        <w:ind w:firstLine="720"/>
        <w:rPr>
          <w:rFonts w:ascii="Times New Roman" w:eastAsia="Times New Roman" w:hAnsi="Times New Roman" w:cs="Times New Roman"/>
          <w:sz w:val="24"/>
          <w:szCs w:val="24"/>
        </w:rPr>
      </w:pPr>
    </w:p>
    <w:p w14:paraId="2056CFE5"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Four - Ideal Professional Development</w:t>
      </w:r>
    </w:p>
    <w:p w14:paraId="3D72454E" w14:textId="77777777" w:rsidR="00330A5D" w:rsidRDefault="00330A5D">
      <w:pPr>
        <w:spacing w:line="240" w:lineRule="auto"/>
        <w:ind w:firstLine="720"/>
        <w:rPr>
          <w:rFonts w:ascii="Times New Roman" w:eastAsia="Times New Roman" w:hAnsi="Times New Roman" w:cs="Times New Roman"/>
          <w:b/>
          <w:bCs/>
          <w:i/>
          <w:iCs/>
          <w:sz w:val="24"/>
          <w:szCs w:val="24"/>
        </w:rPr>
      </w:pPr>
    </w:p>
    <w:p w14:paraId="63D99541"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were asked to share their ideal professional development for beginning teachers. Quinn suggested there be an ag teacher specific version of the state-mandated beginning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program. Multiple teachers (Samantha, Mabel, Vince) discussed wanting a longer conference where it would break down the curriculum by content, describe the state-level performance-based measures, and walk through resources. When directly asked about virtual professional development, participants thought it could be helpful, but not as beneficial as in-person, because of the hands-on component and making connections (Mable, Emily, Samantha).</w:t>
      </w:r>
    </w:p>
    <w:p w14:paraId="2D3FC93D" w14:textId="77777777" w:rsidR="00330A5D" w:rsidRDefault="00330A5D">
      <w:pPr>
        <w:spacing w:line="240" w:lineRule="auto"/>
        <w:rPr>
          <w:rFonts w:ascii="Times New Roman" w:eastAsia="Times New Roman" w:hAnsi="Times New Roman" w:cs="Times New Roman"/>
          <w:sz w:val="24"/>
          <w:szCs w:val="24"/>
        </w:rPr>
      </w:pPr>
    </w:p>
    <w:p w14:paraId="0317EED9"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Greg and Penelope believed the Developing Educational Leaders and Teachers of Agriculture (DELTA) program, offered as an option of the North Carolina new teacher induction program, is the ideal professional development to help prepare agricultural teachers. This is a seven-part workshop series featuring two 14-hour conferences conducted by state agricultural leaders, faculty, and current teachers to provide workshops and skills to prepare beginning teachers within their first five years of teaching. Other teachers discussed how this program has helped prepare them to be more effective SBAE teachers (Erica, Greg, Penelope, Mabel, Quinn, Abby, Calvin). Greg offered that DELTA “is just more relevant…this is something you can actually, you know, do with your classes”.</w:t>
      </w:r>
    </w:p>
    <w:p w14:paraId="4832AB76" w14:textId="77777777" w:rsidR="00330A5D" w:rsidRDefault="00330A5D">
      <w:pPr>
        <w:spacing w:line="240" w:lineRule="auto"/>
        <w:rPr>
          <w:rFonts w:ascii="Times New Roman" w:eastAsia="Times New Roman" w:hAnsi="Times New Roman" w:cs="Times New Roman"/>
          <w:sz w:val="24"/>
          <w:szCs w:val="24"/>
        </w:rPr>
      </w:pPr>
    </w:p>
    <w:p w14:paraId="5AE8A349"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Five - Desired Resources and Support</w:t>
      </w:r>
    </w:p>
    <w:p w14:paraId="29CD1B10" w14:textId="77777777" w:rsidR="00330A5D" w:rsidRDefault="00330A5D">
      <w:pPr>
        <w:spacing w:line="240" w:lineRule="auto"/>
        <w:rPr>
          <w:rFonts w:ascii="Times New Roman" w:eastAsia="Times New Roman" w:hAnsi="Times New Roman" w:cs="Times New Roman"/>
          <w:b/>
          <w:bCs/>
          <w:i/>
          <w:iCs/>
          <w:sz w:val="24"/>
          <w:szCs w:val="24"/>
        </w:rPr>
      </w:pPr>
    </w:p>
    <w:p w14:paraId="3C93EBBC"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fourteen participants shared what they would like to see from professional development to feel the most supported. Overall, twenty-seven specific resources or supports were desired. Most focused on agricultural-based professional development, while two shared what they would like to see at the school/district level (Maggie, Vince). Five participants (Greg, Madison, Penelope, Abby, and Emily) wanted to see more professional development on how to train or coach Career/Leadership Development Event (C/LDE) teams. Participants also wanted to see workshops about specific C/LDEs (Spanish creed, parliamentary procedure). Professional development on how to balance or manage the three-circle model was shared by Macy, Erica, Emily, and Penelope. </w:t>
      </w:r>
    </w:p>
    <w:p w14:paraId="11C76A9C" w14:textId="77777777" w:rsidR="00330A5D" w:rsidRDefault="00330A5D">
      <w:pPr>
        <w:spacing w:line="240" w:lineRule="auto"/>
        <w:ind w:firstLine="720"/>
        <w:rPr>
          <w:rFonts w:ascii="Times New Roman" w:eastAsia="Times New Roman" w:hAnsi="Times New Roman" w:cs="Times New Roman"/>
          <w:sz w:val="24"/>
          <w:szCs w:val="24"/>
        </w:rPr>
      </w:pPr>
    </w:p>
    <w:p w14:paraId="2A5197F3"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Samantha, Vince, and Madison shared the desire to see more hands-on activities and projects in the agricultural education curriculum. Madison shared, “I have a lot of kids who they don't want to sit there and take notes. I don't want to sit there and teach notes. I want to be able to have them do a lot of hands-on projects.” This pairs with Erica and Vince wanting to see professional development, which was focused more on practical skills they could then bring directly back into the classroom for their students to try out or to help improve their programs. </w:t>
      </w:r>
    </w:p>
    <w:p w14:paraId="173EFE60" w14:textId="77777777" w:rsidR="00330A5D" w:rsidRDefault="00330A5D">
      <w:pPr>
        <w:spacing w:line="240" w:lineRule="auto"/>
        <w:ind w:firstLine="720"/>
        <w:rPr>
          <w:rFonts w:ascii="Times New Roman" w:eastAsia="Times New Roman" w:hAnsi="Times New Roman" w:cs="Times New Roman"/>
          <w:sz w:val="24"/>
          <w:szCs w:val="24"/>
        </w:rPr>
      </w:pPr>
    </w:p>
    <w:p w14:paraId="66B16C15"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Six - Barriers to Accessing Professional Development</w:t>
      </w:r>
    </w:p>
    <w:p w14:paraId="3F8C5F36" w14:textId="77777777" w:rsidR="00330A5D" w:rsidRDefault="00330A5D">
      <w:pPr>
        <w:spacing w:line="240" w:lineRule="auto"/>
        <w:ind w:firstLine="720"/>
        <w:rPr>
          <w:rFonts w:ascii="Times New Roman" w:eastAsia="Times New Roman" w:hAnsi="Times New Roman" w:cs="Times New Roman"/>
          <w:b/>
          <w:bCs/>
          <w:i/>
          <w:iCs/>
          <w:sz w:val="24"/>
          <w:szCs w:val="24"/>
        </w:rPr>
      </w:pPr>
    </w:p>
    <w:p w14:paraId="072D5E95"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were asked to reflect on what barriers kept them from accessing professional development. Teachers indicated keeping up on email was a challenge and they sometimes missed registration deadlines for professional development. In addition to this, the two most common barriers were traveling to attend professional development (Mabel, Vince, Calvin, Maggie, Penelope) and teachers missing school to attend (Mabel, Greg, Calvin, Maggie, Penelope). Calvin also felt that travel was a struggle because “I don't want to take away from my family, or from work. But also, there's a lot of value in PD.” Finding a balance between advancing professionally and keeping a work-life balance was a barrier. Administration, including small budgets and buy-in from administrators, was a barrier for some participants to being able to attend professional development (Madison, Vince). Madison shared her experience of having district budgets cut so drastically she was not allowed to attend professional development unless it was mandatory for her licensure. For others, administrative support allowed them to take advantage of professional development opportunities (Samantha, Erica). </w:t>
      </w:r>
    </w:p>
    <w:p w14:paraId="729223F0" w14:textId="77777777" w:rsidR="00330A5D" w:rsidRDefault="00330A5D">
      <w:pPr>
        <w:spacing w:line="240" w:lineRule="auto"/>
        <w:rPr>
          <w:rFonts w:ascii="Times New Roman" w:eastAsia="Times New Roman" w:hAnsi="Times New Roman" w:cs="Times New Roman"/>
          <w:sz w:val="24"/>
          <w:szCs w:val="24"/>
        </w:rPr>
      </w:pPr>
    </w:p>
    <w:p w14:paraId="6B7995A9" w14:textId="77777777" w:rsidR="00330A5D"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Theme Seven - Role of Mentors</w:t>
      </w:r>
    </w:p>
    <w:p w14:paraId="326F6EC1" w14:textId="77777777" w:rsidR="00330A5D" w:rsidRDefault="00330A5D">
      <w:pPr>
        <w:spacing w:line="240" w:lineRule="auto"/>
        <w:ind w:firstLine="720"/>
        <w:rPr>
          <w:rFonts w:ascii="Times New Roman" w:eastAsia="Times New Roman" w:hAnsi="Times New Roman" w:cs="Times New Roman"/>
          <w:b/>
          <w:bCs/>
          <w:i/>
          <w:iCs/>
          <w:sz w:val="24"/>
          <w:szCs w:val="24"/>
        </w:rPr>
      </w:pPr>
    </w:p>
    <w:p w14:paraId="77F8AD6A"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seventh theme was the effect mentors had on beginning teachers. Maggie shared, “All of my support has come through like people through FFA, or you know, other Ag teachers.” Overall, agricultural mentors were helpful (Garth, Mabel, Calvin, Maggie, Penelope, Abby, Quinn) for beginning teachers because they were able to provide support related directly to their needs as SBAE teachers. It is worth noting that multiple participants' agriculture mentors did not have an official role, rather sought to help the beginning teachers through informal connections or being in the same area (Quinn, Calvin, Penelope, Maggie). Quinn shared, “I had a lot of support from my local [agriculture] teachers. I mean, they </w:t>
      </w:r>
      <w:proofErr w:type="gramStart"/>
      <w:r>
        <w:rPr>
          <w:rFonts w:ascii="Times New Roman" w:eastAsia="Times New Roman" w:hAnsi="Times New Roman" w:cs="Times New Roman"/>
          <w:sz w:val="24"/>
          <w:szCs w:val="24"/>
        </w:rPr>
        <w:t>really just</w:t>
      </w:r>
      <w:proofErr w:type="gramEnd"/>
      <w:r>
        <w:rPr>
          <w:rFonts w:ascii="Times New Roman" w:eastAsia="Times New Roman" w:hAnsi="Times New Roman" w:cs="Times New Roman"/>
          <w:sz w:val="24"/>
          <w:szCs w:val="24"/>
        </w:rPr>
        <w:t xml:space="preserve"> welcomed me with open </w:t>
      </w:r>
      <w:r>
        <w:rPr>
          <w:rFonts w:ascii="Times New Roman" w:eastAsia="Times New Roman" w:hAnsi="Times New Roman" w:cs="Times New Roman"/>
          <w:sz w:val="24"/>
          <w:szCs w:val="24"/>
        </w:rPr>
        <w:lastRenderedPageBreak/>
        <w:t>arms, even though I wasn't at their school.” In North Carolina, all beginning teachers are mandated to have a mentor assigned through their school or district. Some beginning teacher mentors were from other content areas other than agriculture; these mentors received mixed reviews on whether they were helpful to beginning teachers. A few participants gained insight and support from their non-agriculture mentors (Erica, Garth, Mabel, Penelope, Macy). Others did not find their non-agriculture mentor provided them the guidance they desired (Mabel, Vince, Emily).</w:t>
      </w:r>
    </w:p>
    <w:p w14:paraId="1A21AA68" w14:textId="77777777" w:rsidR="00330A5D" w:rsidRDefault="00330A5D">
      <w:pPr>
        <w:spacing w:line="240" w:lineRule="auto"/>
        <w:rPr>
          <w:rFonts w:ascii="Times New Roman" w:eastAsia="Times New Roman" w:hAnsi="Times New Roman" w:cs="Times New Roman"/>
          <w:b/>
          <w:bCs/>
          <w:i/>
          <w:iCs/>
          <w:sz w:val="24"/>
          <w:szCs w:val="24"/>
        </w:rPr>
      </w:pPr>
    </w:p>
    <w:p w14:paraId="189304AB"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Limitations</w:t>
      </w:r>
    </w:p>
    <w:p w14:paraId="5B26C007" w14:textId="77777777" w:rsidR="00330A5D" w:rsidRDefault="00330A5D">
      <w:pPr>
        <w:spacing w:line="240" w:lineRule="auto"/>
        <w:jc w:val="center"/>
        <w:rPr>
          <w:rFonts w:ascii="Times New Roman" w:eastAsia="Times New Roman" w:hAnsi="Times New Roman" w:cs="Times New Roman"/>
          <w:b/>
          <w:bCs/>
          <w:sz w:val="24"/>
          <w:szCs w:val="24"/>
        </w:rPr>
      </w:pPr>
    </w:p>
    <w:p w14:paraId="78A1B750"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It is possible those who participated in the survey or opted into the interview have a desire to attend professional </w:t>
      </w:r>
      <w:proofErr w:type="gramStart"/>
      <w:r>
        <w:rPr>
          <w:rFonts w:ascii="Times New Roman" w:eastAsia="Times New Roman" w:hAnsi="Times New Roman" w:cs="Times New Roman"/>
          <w:sz w:val="24"/>
          <w:szCs w:val="24"/>
        </w:rPr>
        <w:t>development, or</w:t>
      </w:r>
      <w:proofErr w:type="gramEnd"/>
      <w:r>
        <w:rPr>
          <w:rFonts w:ascii="Times New Roman" w:eastAsia="Times New Roman" w:hAnsi="Times New Roman" w:cs="Times New Roman"/>
          <w:sz w:val="24"/>
          <w:szCs w:val="24"/>
        </w:rPr>
        <w:t xml:space="preserve"> are teachers who feel like they need more help. Participants were interviewed in the summer, which means teachers who do not monitor emails in the summer may not be included in this sample. Findings were not sent to participants as a form of member checking. This study was limited to North Carolina SBAE teachers and caution should be taken to generalize to other states or areas of SBAE teachers.</w:t>
      </w:r>
    </w:p>
    <w:p w14:paraId="6F02720B" w14:textId="77777777" w:rsidR="00330A5D" w:rsidRDefault="00330A5D">
      <w:pPr>
        <w:spacing w:line="240" w:lineRule="auto"/>
        <w:ind w:firstLine="720"/>
        <w:rPr>
          <w:rFonts w:ascii="Times New Roman" w:eastAsia="Times New Roman" w:hAnsi="Times New Roman" w:cs="Times New Roman"/>
          <w:sz w:val="24"/>
          <w:szCs w:val="24"/>
        </w:rPr>
      </w:pPr>
    </w:p>
    <w:p w14:paraId="4BDE051C"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Conclusions/Recommendations/Implications</w:t>
      </w:r>
    </w:p>
    <w:p w14:paraId="1F76D96B" w14:textId="77777777" w:rsidR="00330A5D" w:rsidRDefault="00330A5D">
      <w:pPr>
        <w:spacing w:line="240" w:lineRule="auto"/>
        <w:jc w:val="center"/>
        <w:rPr>
          <w:rFonts w:ascii="Times New Roman" w:eastAsia="Times New Roman" w:hAnsi="Times New Roman" w:cs="Times New Roman"/>
          <w:b/>
          <w:bCs/>
          <w:sz w:val="24"/>
          <w:szCs w:val="24"/>
        </w:rPr>
      </w:pPr>
    </w:p>
    <w:p w14:paraId="2D7F93F9" w14:textId="77777777" w:rsidR="00330A5D" w:rsidRDefault="00000000">
      <w:pPr>
        <w:spacing w:line="240" w:lineRule="auto"/>
        <w:ind w:firstLine="72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The Borich needs assessment showed beginning teachers need professional development on implementing IEP/504s for students, knowledge in power, structural, and technical systems pathway, teaching problem solving, and motivating their students. They do not need training on planning banquets or field trips, locating student references/materials, and planning trips to National FFA Convention. These areas of need should be addressed through statewide professional development and at the local level.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Smalley et. al (2019), they also found teachers needed support in mechanics pathways, motivating students to learn, teaching problem solving skills, and implementing IEP/504s for their students at a WDS of above a 3. It is important to note, Smalley et al. (2019) surveyed all in-service teachers and was not limited to beginning teachers.</w:t>
      </w:r>
    </w:p>
    <w:p w14:paraId="125C707B" w14:textId="77777777" w:rsidR="00330A5D" w:rsidRDefault="00330A5D">
      <w:pPr>
        <w:spacing w:line="240" w:lineRule="auto"/>
        <w:ind w:firstLine="720"/>
        <w:rPr>
          <w:rFonts w:ascii="Times New Roman" w:eastAsia="Times New Roman" w:hAnsi="Times New Roman" w:cs="Times New Roman"/>
          <w:sz w:val="24"/>
          <w:szCs w:val="24"/>
        </w:rPr>
      </w:pPr>
    </w:p>
    <w:p w14:paraId="7F53DAEC"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Overwhelmingly, the new teachers felt North Carolina agricultural stakeholders were providing useful professional development. The state should continue their efforts. Teachers also indicated power in discussing being an SBAE teacher with other SBAE teachers. In single teacher programs, this could be occurring through district level professional learning communities while in other places it could be occurring with teaching partners. It could also be coming from mentors or other agriculture teachers while engaging in professional development.</w:t>
      </w:r>
    </w:p>
    <w:p w14:paraId="4F02916F" w14:textId="77777777" w:rsidR="00330A5D" w:rsidRDefault="00330A5D">
      <w:pPr>
        <w:spacing w:line="240" w:lineRule="auto"/>
        <w:ind w:firstLine="720"/>
        <w:rPr>
          <w:rFonts w:ascii="Times New Roman" w:eastAsia="Times New Roman" w:hAnsi="Times New Roman" w:cs="Times New Roman"/>
          <w:sz w:val="24"/>
          <w:szCs w:val="24"/>
        </w:rPr>
      </w:pPr>
    </w:p>
    <w:p w14:paraId="30923959"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When describing their ideal professional development, participants pointed to the components outlined by the Desimone (2009) model and many of them called out the DELTA conference by name. This program may be the model for professional development for new teachers. While it is required for certain license types in North Carolina, it is open to all. However, some teachers may not know this is happening and many who authorize professional development within districts might not be aware of the value noted by DELTA program participants. We recommend intentional efforts to advertise DELTA to those who support beginning teachers.</w:t>
      </w:r>
    </w:p>
    <w:p w14:paraId="74AEE5FE" w14:textId="77777777" w:rsidR="00330A5D" w:rsidRDefault="00330A5D">
      <w:pPr>
        <w:spacing w:line="240" w:lineRule="auto"/>
        <w:ind w:firstLine="720"/>
        <w:rPr>
          <w:rFonts w:ascii="Times New Roman" w:eastAsia="Times New Roman" w:hAnsi="Times New Roman" w:cs="Times New Roman"/>
          <w:sz w:val="24"/>
          <w:szCs w:val="24"/>
        </w:rPr>
      </w:pPr>
    </w:p>
    <w:p w14:paraId="74BA393B"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Teachers are struggling with balance and time management. Those teachers in later stages of the career (beyond year three) who have found more balance should be tasked with sharing their strategies with new teachers. While this sharing is important, it is also important that our early career teachers hear a consistent message that the classroom component is the most important first. While we want them to have SAE and FFA as part of a total program, when time is limited, choose classroom instruction. There was also a struggle related to our current middle school curriculum and its lack of clarity on what should be taught. One third of the teachers in the state are middle school teachers and a majority are early career teachers. Clarity in the curriculum would assist teachers in moving towards a total program while not impinging on the high school curriculum. </w:t>
      </w:r>
    </w:p>
    <w:p w14:paraId="2732854B" w14:textId="77777777" w:rsidR="00330A5D" w:rsidRDefault="00330A5D">
      <w:pPr>
        <w:spacing w:line="240" w:lineRule="auto"/>
        <w:ind w:firstLine="720"/>
        <w:rPr>
          <w:rFonts w:ascii="Times New Roman" w:eastAsia="Times New Roman" w:hAnsi="Times New Roman" w:cs="Times New Roman"/>
          <w:sz w:val="24"/>
          <w:szCs w:val="24"/>
        </w:rPr>
      </w:pPr>
    </w:p>
    <w:p w14:paraId="583067A2"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Teachers identified 27 different areas of needed support. The range of needs require that multiple groups be involved in providing professional development to meet those needs such as: North Carolina FFA, SBAE teacher educators, and NCATA. When looking at desired resources sought by beginning agriculture teachers, they indicated a desire for workshops and training on balancing classroom/laboratory, SAE, and FFA duties which would help these beginning teachers feel like they can focus on building a complete agricultural education program and not just focus on one or two of the components. Helping beginning teachers balance the three-circle model would be beneficial in establishing routine and balance within their programs and lives. Hands-on professional development would help these beginning teachers provide their students high-quality and engaging curriculum. Information on general tips, timelines, and frequently asked questions would be beneficial to help beginning teachers feel prepared and understand what may need to happen at different times throughout the year.</w:t>
      </w:r>
    </w:p>
    <w:p w14:paraId="5404A670" w14:textId="77777777" w:rsidR="00330A5D" w:rsidRDefault="00330A5D">
      <w:pPr>
        <w:spacing w:line="240" w:lineRule="auto"/>
        <w:ind w:firstLine="720"/>
        <w:rPr>
          <w:rFonts w:ascii="Times New Roman" w:eastAsia="Times New Roman" w:hAnsi="Times New Roman" w:cs="Times New Roman"/>
          <w:sz w:val="24"/>
          <w:szCs w:val="24"/>
        </w:rPr>
      </w:pPr>
    </w:p>
    <w:p w14:paraId="517208CD"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Districts should make every effort to scaffold their instruction as teachers develop their skills to meet them where they are, rather than repeat all material from  year 1 in year 2 of induction programs. This repetition without considering already developed skills was seen as less than beneficial for most teachers. There were also concerns about the timing of some professional development. For some conferences, multiple concurrent sessions </w:t>
      </w:r>
      <w:proofErr w:type="gramStart"/>
      <w:r>
        <w:rPr>
          <w:rFonts w:ascii="Times New Roman" w:eastAsia="Times New Roman" w:hAnsi="Times New Roman" w:cs="Times New Roman"/>
          <w:sz w:val="24"/>
          <w:szCs w:val="24"/>
        </w:rPr>
        <w:t>means</w:t>
      </w:r>
      <w:proofErr w:type="gramEnd"/>
      <w:r>
        <w:rPr>
          <w:rFonts w:ascii="Times New Roman" w:eastAsia="Times New Roman" w:hAnsi="Times New Roman" w:cs="Times New Roman"/>
          <w:sz w:val="24"/>
          <w:szCs w:val="24"/>
        </w:rPr>
        <w:t xml:space="preserve"> having to choose one when you need both. Archiving resources, posting recordings to a course management system, and other alternative methods of sharing relevant information would meet more needs in a just-in-time way.</w:t>
      </w:r>
    </w:p>
    <w:p w14:paraId="1EC892D1" w14:textId="77777777" w:rsidR="00330A5D" w:rsidRDefault="00330A5D">
      <w:pPr>
        <w:spacing w:line="240" w:lineRule="auto"/>
        <w:ind w:firstLine="720"/>
        <w:rPr>
          <w:rFonts w:ascii="Times New Roman" w:eastAsia="Times New Roman" w:hAnsi="Times New Roman" w:cs="Times New Roman"/>
          <w:sz w:val="24"/>
          <w:szCs w:val="24"/>
        </w:rPr>
      </w:pPr>
    </w:p>
    <w:p w14:paraId="0FB51673"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supportive administration and having a budget to support teachers attending professional development are crucial to helping beginning teachers access such resources. Teachers indicating the timing of registration for the summer professional development workshop series offered in the state is a challenge. It has recently been May 30. Our early career teachers indicate this overlaps with a very chaotic end of the school year. While we understand the need to firm up commitments and arrange presenters, the state should consider staggered deadlines. Additionally, teachers tell us traveling and missing school days are a challenge for engaging in professional development. The solution may be asynchronous or virtual professional development options teachers can do from any location. </w:t>
      </w:r>
    </w:p>
    <w:p w14:paraId="312AE7EF" w14:textId="77777777" w:rsidR="00330A5D" w:rsidRDefault="00330A5D">
      <w:pPr>
        <w:spacing w:line="240" w:lineRule="auto"/>
        <w:ind w:firstLine="720"/>
        <w:rPr>
          <w:rFonts w:ascii="Times New Roman" w:eastAsia="Times New Roman" w:hAnsi="Times New Roman" w:cs="Times New Roman"/>
          <w:sz w:val="24"/>
          <w:szCs w:val="24"/>
        </w:rPr>
      </w:pPr>
    </w:p>
    <w:p w14:paraId="56109177" w14:textId="77777777" w:rsidR="00330A5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Informal support from other ag teachers helped many beginning teachers to feel like they had someone who could answer their questions about being an SBAE teacher. Every effort should be made to assign beginning teacher mentors by content area when possible. The North </w:t>
      </w:r>
      <w:r>
        <w:rPr>
          <w:rFonts w:ascii="Times New Roman" w:eastAsia="Times New Roman" w:hAnsi="Times New Roman" w:cs="Times New Roman"/>
          <w:sz w:val="24"/>
          <w:szCs w:val="24"/>
        </w:rPr>
        <w:lastRenderedPageBreak/>
        <w:t>Carolina State Agricultural Teachers Association mentoring program can help fill in gaps. Quality teacher mentors are valuable regardless of content.</w:t>
      </w:r>
    </w:p>
    <w:p w14:paraId="54A973AC" w14:textId="77777777" w:rsidR="00330A5D" w:rsidRDefault="00330A5D">
      <w:pPr>
        <w:spacing w:line="240" w:lineRule="auto"/>
        <w:rPr>
          <w:rFonts w:ascii="Times New Roman" w:eastAsia="Times New Roman" w:hAnsi="Times New Roman" w:cs="Times New Roman"/>
          <w:sz w:val="24"/>
          <w:szCs w:val="24"/>
        </w:rPr>
      </w:pPr>
    </w:p>
    <w:p w14:paraId="03C7677A"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Desimone et al. (2006) indicate the teachers who seek out content-specific professional development are likely the most qualified teachers. We know some participants were discussing professional development they were mandated to attend whether that is school and district PD or mandatory induction programming. While policy can play a role in influencing teachers to attend professional development, mandates to attend do not always lead to engagement or behavior change for teachers (Desimone et al., 2007). However, it is one way to get teachers to a professional development in a time when administrative constraints and budget limitations may not otherwise permit travel.</w:t>
      </w:r>
    </w:p>
    <w:p w14:paraId="13D96C92" w14:textId="77777777" w:rsidR="00330A5D" w:rsidRDefault="00330A5D">
      <w:pPr>
        <w:spacing w:line="240" w:lineRule="auto"/>
        <w:rPr>
          <w:rFonts w:ascii="Times New Roman" w:eastAsia="Times New Roman" w:hAnsi="Times New Roman" w:cs="Times New Roman"/>
          <w:sz w:val="24"/>
          <w:szCs w:val="24"/>
        </w:rPr>
      </w:pPr>
    </w:p>
    <w:p w14:paraId="1726C7D3" w14:textId="77777777" w:rsidR="00330A5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In this study, the experiences and needs of beginning SBAE teachers showed key findings:</w:t>
      </w:r>
    </w:p>
    <w:p w14:paraId="45CCB8A0"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Beginning teachers are struggling with time management, balancing the three-component model, and middle school teachers struggle with curriculum guidance.</w:t>
      </w:r>
    </w:p>
    <w:p w14:paraId="59D3BD32"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North Carolina is providing beneficial professional development opportunities which are giving teachers tools to enhance their overall teaching.</w:t>
      </w:r>
    </w:p>
    <w:p w14:paraId="2B0E16A9"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SBAE beginning teachers have recommendations on how professional development can change. Specifically, ensuring school/districts are diversifying content and the SBAE profession are providing access to resources when teachers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attend all workshops.</w:t>
      </w:r>
    </w:p>
    <w:p w14:paraId="56880FA9"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Ideal professional development is content-specific and sustained in practice. </w:t>
      </w:r>
    </w:p>
    <w:p w14:paraId="3CCD9E10"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SBAE beginning teachers have a variety of desired resources and supports including but not limited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how to coach C/LDE teams, managing the three-circle model (classroom, SAE, and FFA), more hands-on and technical projects, and more. </w:t>
      </w:r>
    </w:p>
    <w:p w14:paraId="37359338"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Beginning teachers face barriers to access professional development including keeping up with deadlines, administration/budget support, and travelling to events. </w:t>
      </w:r>
    </w:p>
    <w:p w14:paraId="1D5DA928" w14:textId="77777777" w:rsidR="00330A5D"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Mentors who are agriculturally content-focused are most helpful to beginning teachers.</w:t>
      </w:r>
    </w:p>
    <w:p w14:paraId="2D2F26E5" w14:textId="77777777" w:rsidR="00330A5D" w:rsidRDefault="00330A5D">
      <w:pPr>
        <w:spacing w:line="240" w:lineRule="auto"/>
        <w:ind w:firstLine="720"/>
        <w:rPr>
          <w:rFonts w:ascii="Times New Roman" w:eastAsia="Times New Roman" w:hAnsi="Times New Roman" w:cs="Times New Roman"/>
          <w:sz w:val="24"/>
          <w:szCs w:val="24"/>
        </w:rPr>
      </w:pPr>
    </w:p>
    <w:p w14:paraId="04F3DDFC" w14:textId="77777777" w:rsidR="00330A5D" w:rsidRDefault="00000000">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This study examined the professional development needs and experiences of beginning (years 1-3) SBAE teachers in North Carolina. Findings show that teachers desire a vast number of resources, North Carolina professional development is providing beneficial content and materials, and there are recommendations for improving what is currently offered. By districts, schools, North Carolina FFA, NCATA, and SBAE teacher educators acting on these recommendations, SBAE beginning teachers will have more support, which will enhance their ability to perform their job associated with classroom/laboratory instruction, Supervised Agricultural Experiences, and FFA. This enhancement will help ease the burden of the job, potentially increase retention, and create more opportunities to engage SBAE students.</w:t>
      </w:r>
      <w:r>
        <w:br w:type="page"/>
      </w:r>
    </w:p>
    <w:p w14:paraId="1A97C844" w14:textId="77777777" w:rsidR="00330A5D"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References </w:t>
      </w:r>
    </w:p>
    <w:p w14:paraId="4BEAA9A0" w14:textId="77777777" w:rsidR="00330A5D" w:rsidRDefault="00330A5D">
      <w:pPr>
        <w:spacing w:line="240" w:lineRule="auto"/>
        <w:rPr>
          <w:rFonts w:ascii="Times New Roman" w:eastAsia="Times New Roman" w:hAnsi="Times New Roman" w:cs="Times New Roman"/>
          <w:b/>
          <w:bCs/>
          <w:sz w:val="24"/>
          <w:szCs w:val="24"/>
        </w:rPr>
      </w:pPr>
    </w:p>
    <w:p w14:paraId="047A3F90"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Burris, S., Kitchel, T., Greiman, B. C., &amp; Torres, R. M. (2006). Beginning and mentor agriculture teachers’ perceptions of psychosocial assistance, similarities, and satisfaction.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47</w:t>
      </w:r>
      <w:r>
        <w:rPr>
          <w:rFonts w:ascii="Times New Roman" w:eastAsia="Times New Roman" w:hAnsi="Times New Roman" w:cs="Times New Roman"/>
          <w:sz w:val="24"/>
          <w:szCs w:val="24"/>
        </w:rPr>
        <w:t>(4), 64–75. https://doi.org/10.5032/jae.2006.04064</w:t>
      </w:r>
    </w:p>
    <w:p w14:paraId="60E52205" w14:textId="77777777" w:rsidR="00330A5D" w:rsidRDefault="00330A5D" w:rsidP="00DF28DD">
      <w:pPr>
        <w:widowControl w:val="0"/>
        <w:spacing w:line="240" w:lineRule="auto"/>
        <w:ind w:left="720" w:hanging="720"/>
        <w:rPr>
          <w:rFonts w:ascii="Times New Roman" w:eastAsia="Times New Roman" w:hAnsi="Times New Roman" w:cs="Times New Roman"/>
          <w:sz w:val="24"/>
          <w:szCs w:val="24"/>
        </w:rPr>
      </w:pPr>
    </w:p>
    <w:p w14:paraId="5157082F" w14:textId="77777777" w:rsidR="00330A5D" w:rsidRDefault="00000000" w:rsidP="00DF28DD">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Chenevey, J. L., Ewing, J. C., &amp; Whittington, M. S. (2008). Teacher burnout and job satisfaction among agricultural education teachers.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49</w:t>
      </w:r>
      <w:r>
        <w:rPr>
          <w:rFonts w:ascii="Times New Roman" w:eastAsia="Times New Roman" w:hAnsi="Times New Roman" w:cs="Times New Roman"/>
          <w:sz w:val="24"/>
          <w:szCs w:val="24"/>
        </w:rPr>
        <w:t>(3), 12–22. https://doi.org/10.5032/jae.2008.03012</w:t>
      </w:r>
    </w:p>
    <w:p w14:paraId="12E1E245" w14:textId="77777777" w:rsidR="00330A5D" w:rsidRDefault="00330A5D" w:rsidP="00DF28DD">
      <w:pPr>
        <w:widowControl w:val="0"/>
        <w:spacing w:line="240" w:lineRule="auto"/>
        <w:ind w:left="720" w:hanging="720"/>
        <w:rPr>
          <w:rFonts w:ascii="Times New Roman" w:eastAsia="Times New Roman" w:hAnsi="Times New Roman" w:cs="Times New Roman"/>
          <w:sz w:val="24"/>
          <w:szCs w:val="24"/>
        </w:rPr>
      </w:pPr>
    </w:p>
    <w:p w14:paraId="7EB239D1" w14:textId="77777777" w:rsidR="00330A5D" w:rsidRDefault="00000000" w:rsidP="00DF28DD">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Croom, D. B. (2008). The development of the integrated three-component model of agricultural education. </w:t>
      </w:r>
      <w:r>
        <w:rPr>
          <w:rFonts w:ascii="Times New Roman" w:eastAsia="Times New Roman" w:hAnsi="Times New Roman" w:cs="Times New Roman"/>
          <w:i/>
          <w:iCs/>
          <w:sz w:val="24"/>
          <w:szCs w:val="24"/>
        </w:rPr>
        <w:t>Journal of Agricultural Education, 49</w:t>
      </w:r>
      <w:r>
        <w:rPr>
          <w:rFonts w:ascii="Times New Roman" w:eastAsia="Times New Roman" w:hAnsi="Times New Roman" w:cs="Times New Roman"/>
          <w:sz w:val="24"/>
          <w:szCs w:val="24"/>
        </w:rPr>
        <w:t>(1), 110–120. https://doi.org/10.5032/jae.2008.01110</w:t>
      </w:r>
    </w:p>
    <w:p w14:paraId="16611571"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258055F6"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Davis, K. R. (2024). </w:t>
      </w:r>
      <w:r>
        <w:rPr>
          <w:rFonts w:ascii="Times New Roman" w:eastAsia="Times New Roman" w:hAnsi="Times New Roman" w:cs="Times New Roman"/>
          <w:i/>
          <w:iCs/>
          <w:sz w:val="24"/>
          <w:szCs w:val="24"/>
        </w:rPr>
        <w:t>Professional development needs of early-career agriculture teachers in Washington State</w:t>
      </w:r>
      <w:r>
        <w:rPr>
          <w:rFonts w:ascii="Times New Roman" w:eastAsia="Times New Roman" w:hAnsi="Times New Roman" w:cs="Times New Roman"/>
          <w:sz w:val="24"/>
          <w:szCs w:val="24"/>
        </w:rPr>
        <w:t xml:space="preserve"> (Publication No. 31142276)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Washington State University]. ProQuest Dissertations &amp; Theses Global.</w:t>
      </w:r>
    </w:p>
    <w:p w14:paraId="476E83E7"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75C6FDF8"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Desimone, L.M. (2009). Improving Impact Studies of Teachers’ Professional Development: Toward Better Conceptualizations and Measures. </w:t>
      </w:r>
      <w:r>
        <w:rPr>
          <w:rFonts w:ascii="Times New Roman" w:eastAsia="Times New Roman" w:hAnsi="Times New Roman" w:cs="Times New Roman"/>
          <w:i/>
          <w:iCs/>
          <w:sz w:val="24"/>
          <w:szCs w:val="24"/>
        </w:rPr>
        <w:t>Educational Researcher, 38</w:t>
      </w:r>
      <w:r>
        <w:rPr>
          <w:rFonts w:ascii="Times New Roman" w:eastAsia="Times New Roman" w:hAnsi="Times New Roman" w:cs="Times New Roman"/>
          <w:sz w:val="24"/>
          <w:szCs w:val="24"/>
        </w:rPr>
        <w:t>(3),  181–199. https://doi.org/10.3102/0013189X08331140</w:t>
      </w:r>
    </w:p>
    <w:p w14:paraId="6E0A171D"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1425B5B0" w14:textId="0EBA8789"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Desimone, L. M., Smith, T. M., &amp; Rowley, K. (2007). Does policy influence mathematics and science teachers’</w:t>
      </w:r>
      <w:r w:rsidR="00BB1B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participation in professional development? </w:t>
      </w:r>
      <w:r>
        <w:rPr>
          <w:rFonts w:ascii="Times New Roman" w:eastAsia="Times New Roman" w:hAnsi="Times New Roman" w:cs="Times New Roman"/>
          <w:i/>
          <w:iCs/>
          <w:sz w:val="24"/>
          <w:szCs w:val="24"/>
        </w:rPr>
        <w:t>Teachers College Record, 109</w:t>
      </w:r>
      <w:r>
        <w:rPr>
          <w:rFonts w:ascii="Times New Roman" w:eastAsia="Times New Roman" w:hAnsi="Times New Roman" w:cs="Times New Roman"/>
          <w:sz w:val="24"/>
          <w:szCs w:val="24"/>
        </w:rPr>
        <w:t xml:space="preserve">(5), 1086–1122. </w:t>
      </w:r>
      <w:r>
        <w:rPr>
          <w:rFonts w:ascii="Times New Roman" w:eastAsia="Times New Roman" w:hAnsi="Times New Roman" w:cs="Times New Roman"/>
          <w:sz w:val="24"/>
          <w:szCs w:val="24"/>
          <w:highlight w:val="white"/>
        </w:rPr>
        <w:t>https://doi.org/10.1177/016146810710900504</w:t>
      </w:r>
    </w:p>
    <w:p w14:paraId="05B7E80C"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7B4DD64B"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Desimone, L. M., Smith, T., &amp; Ueno, K. (2006). Are teachers who need sustained,  content-focused professional development getting it? An administrator’s dilemma. </w:t>
      </w:r>
      <w:r>
        <w:rPr>
          <w:rFonts w:ascii="Times New Roman" w:eastAsia="Times New Roman" w:hAnsi="Times New Roman" w:cs="Times New Roman"/>
          <w:i/>
          <w:iCs/>
          <w:sz w:val="24"/>
          <w:szCs w:val="24"/>
        </w:rPr>
        <w:t>Educational Administration Quarterly</w:t>
      </w: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 xml:space="preserve"> 42</w:t>
      </w:r>
      <w:r>
        <w:rPr>
          <w:rFonts w:ascii="Times New Roman" w:eastAsia="Times New Roman" w:hAnsi="Times New Roman" w:cs="Times New Roman"/>
          <w:sz w:val="24"/>
          <w:szCs w:val="24"/>
        </w:rPr>
        <w:t xml:space="preserve">(2), 179–215. </w:t>
      </w:r>
      <w:r>
        <w:rPr>
          <w:rFonts w:ascii="Times New Roman" w:eastAsia="Times New Roman" w:hAnsi="Times New Roman" w:cs="Times New Roman"/>
          <w:sz w:val="24"/>
          <w:szCs w:val="24"/>
          <w:highlight w:val="white"/>
        </w:rPr>
        <w:t>https://doi.org/10.1177/0013161X04273848</w:t>
      </w:r>
    </w:p>
    <w:p w14:paraId="7422F574"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7C2F46DE"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Dillman, D. A., Smyth, J. D., &amp; Christian, L. M. (2014). </w:t>
      </w:r>
      <w:r>
        <w:rPr>
          <w:rFonts w:ascii="Times New Roman" w:eastAsia="Times New Roman" w:hAnsi="Times New Roman" w:cs="Times New Roman"/>
          <w:i/>
          <w:iCs/>
          <w:sz w:val="24"/>
          <w:szCs w:val="24"/>
        </w:rPr>
        <w:t>Internet, phone, mail, and mixed-mode surveys: The tailored design method.</w:t>
      </w:r>
      <w:r>
        <w:rPr>
          <w:rFonts w:ascii="Times New Roman" w:eastAsia="Times New Roman" w:hAnsi="Times New Roman" w:cs="Times New Roman"/>
          <w:sz w:val="24"/>
          <w:szCs w:val="24"/>
        </w:rPr>
        <w:t xml:space="preserve"> John Wiley &amp; Sons, Inc.</w:t>
      </w:r>
    </w:p>
    <w:p w14:paraId="3CBEA9DC"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79873675"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McKim, B. R., &amp; Saucier, P. (2011). An Excel-based mean weighted discrepancy score calculator. </w:t>
      </w:r>
      <w:r>
        <w:rPr>
          <w:rFonts w:ascii="Times New Roman" w:eastAsia="Times New Roman" w:hAnsi="Times New Roman" w:cs="Times New Roman"/>
          <w:i/>
          <w:iCs/>
          <w:sz w:val="24"/>
          <w:szCs w:val="24"/>
          <w:highlight w:val="white"/>
        </w:rPr>
        <w:t>The Journal of Extension, 49</w:t>
      </w:r>
      <w:r>
        <w:rPr>
          <w:rFonts w:ascii="Times New Roman" w:eastAsia="Times New Roman" w:hAnsi="Times New Roman" w:cs="Times New Roman"/>
          <w:sz w:val="24"/>
          <w:szCs w:val="24"/>
          <w:highlight w:val="white"/>
        </w:rPr>
        <w:t>(2), Article 31. https://doi.org/10.34068/joe.49.02.31</w:t>
      </w:r>
    </w:p>
    <w:p w14:paraId="53412907"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05CFDB6C" w14:textId="77777777" w:rsidR="00330A5D" w:rsidRDefault="00000000" w:rsidP="00DF28DD">
      <w:pPr>
        <w:spacing w:line="240" w:lineRule="auto"/>
        <w:ind w:left="720" w:hanging="720"/>
        <w:rPr>
          <w:rFonts w:ascii="Times New Roman" w:eastAsia="Times New Roman" w:hAnsi="Times New Roman" w:cs="Times New Roman"/>
          <w:color w:val="1B1B1B"/>
          <w:sz w:val="24"/>
          <w:szCs w:val="24"/>
        </w:rPr>
      </w:pPr>
      <w:r>
        <w:rPr>
          <w:rFonts w:ascii="Times New Roman" w:eastAsia="Times New Roman" w:hAnsi="Times New Roman" w:cs="Times New Roman"/>
          <w:sz w:val="24"/>
          <w:szCs w:val="24"/>
        </w:rPr>
        <w:t xml:space="preserve">Moser, E. M., &amp; McKim, A. J. (2020). Teacher Retention: A Relational Perspective.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61</w:t>
      </w:r>
      <w:r>
        <w:rPr>
          <w:rFonts w:ascii="Times New Roman" w:eastAsia="Times New Roman" w:hAnsi="Times New Roman" w:cs="Times New Roman"/>
          <w:sz w:val="24"/>
          <w:szCs w:val="24"/>
        </w:rPr>
        <w:t xml:space="preserve">(2), 263–275. https://doi.org/10.5032/jae.2020.02263 </w:t>
      </w:r>
    </w:p>
    <w:p w14:paraId="1221649A" w14:textId="77777777" w:rsidR="00330A5D" w:rsidRDefault="00330A5D" w:rsidP="00DF28DD">
      <w:pPr>
        <w:spacing w:line="240" w:lineRule="auto"/>
        <w:ind w:left="720" w:hanging="720"/>
        <w:rPr>
          <w:rFonts w:ascii="Times New Roman" w:eastAsia="Times New Roman" w:hAnsi="Times New Roman" w:cs="Times New Roman"/>
          <w:color w:val="1B1B1B"/>
          <w:sz w:val="24"/>
          <w:szCs w:val="24"/>
        </w:rPr>
      </w:pPr>
    </w:p>
    <w:p w14:paraId="261D1B6C" w14:textId="77777777" w:rsidR="00330A5D" w:rsidRDefault="00000000" w:rsidP="00DF28DD">
      <w:pPr>
        <w:spacing w:line="240" w:lineRule="auto"/>
        <w:ind w:left="720" w:hanging="720"/>
        <w:rPr>
          <w:rFonts w:ascii="Times New Roman" w:eastAsia="Times New Roman" w:hAnsi="Times New Roman" w:cs="Times New Roman"/>
          <w:color w:val="1B1B1B"/>
          <w:sz w:val="24"/>
          <w:szCs w:val="24"/>
        </w:rPr>
      </w:pPr>
      <w:r>
        <w:rPr>
          <w:rFonts w:ascii="Times New Roman" w:eastAsia="Times New Roman" w:hAnsi="Times New Roman" w:cs="Times New Roman"/>
          <w:color w:val="1B1B1B"/>
          <w:sz w:val="24"/>
          <w:szCs w:val="24"/>
        </w:rPr>
        <w:t xml:space="preserve">Murray, K., Flowers, J., Croom, B., Wilson, B. (2011). The agricultural teacher’s struggle for balance between career and family. </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52</w:t>
      </w:r>
      <w:r>
        <w:rPr>
          <w:rFonts w:ascii="Times New Roman" w:eastAsia="Times New Roman" w:hAnsi="Times New Roman" w:cs="Times New Roman"/>
          <w:sz w:val="24"/>
          <w:szCs w:val="24"/>
        </w:rPr>
        <w:t>(2), 107–117. https://doi.org/10.5032/jae.2011.02107</w:t>
      </w:r>
    </w:p>
    <w:p w14:paraId="45B1CFE8"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5181D0AC"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(2017). </w:t>
      </w:r>
      <w:r>
        <w:rPr>
          <w:rFonts w:ascii="Times New Roman" w:eastAsia="Times New Roman" w:hAnsi="Times New Roman" w:cs="Times New Roman"/>
          <w:i/>
          <w:iCs/>
          <w:sz w:val="24"/>
          <w:szCs w:val="24"/>
        </w:rPr>
        <w:t>FFA student handbook</w:t>
      </w:r>
      <w:r>
        <w:rPr>
          <w:rFonts w:ascii="Times New Roman" w:eastAsia="Times New Roman" w:hAnsi="Times New Roman" w:cs="Times New Roman"/>
          <w:sz w:val="24"/>
          <w:szCs w:val="24"/>
        </w:rPr>
        <w:t>. https://ffa.app.box.com/v/studenthandbook/file/639012943093</w:t>
      </w:r>
    </w:p>
    <w:p w14:paraId="7C2F24B5"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37A025DF"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Norris, W., Swortzel, K. A., &amp; McCubbins, O. P. (2024). Stability in a transitional time: Factors contributing to agricultural educator’s decision to remain in the profession.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65</w:t>
      </w:r>
      <w:r>
        <w:rPr>
          <w:rFonts w:ascii="Times New Roman" w:eastAsia="Times New Roman" w:hAnsi="Times New Roman" w:cs="Times New Roman"/>
          <w:sz w:val="24"/>
          <w:szCs w:val="24"/>
        </w:rPr>
        <w:t xml:space="preserve">(2), 35–53. https://doi.org/10.5032/jae.v65i2.84 </w:t>
      </w:r>
    </w:p>
    <w:p w14:paraId="15D9A811"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5A1155A9"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 Carolina Department of Public Instruction. (2021). </w:t>
      </w:r>
      <w:r>
        <w:rPr>
          <w:rFonts w:ascii="Times New Roman" w:eastAsia="Times New Roman" w:hAnsi="Times New Roman" w:cs="Times New Roman"/>
          <w:i/>
          <w:iCs/>
          <w:sz w:val="24"/>
          <w:szCs w:val="24"/>
        </w:rPr>
        <w:t>Beginning Teacher Support Program Handbook</w:t>
      </w:r>
      <w:r>
        <w:rPr>
          <w:rFonts w:ascii="Times New Roman" w:eastAsia="Times New Roman" w:hAnsi="Times New Roman" w:cs="Times New Roman"/>
          <w:sz w:val="24"/>
          <w:szCs w:val="24"/>
        </w:rPr>
        <w:t xml:space="preserve"> [PDF]. https://www.dpi.nc.gov/educators/recruitment-support/beginning-teacher-support/bt-support-program</w:t>
      </w:r>
    </w:p>
    <w:p w14:paraId="66102B27"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1554738D" w14:textId="77777777" w:rsidR="00330A5D" w:rsidRDefault="00000000" w:rsidP="00DF28DD">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Paglia, K. L., Lambert, M. D., &amp; Davis, H. R. (2026). </w:t>
      </w:r>
      <w:r>
        <w:rPr>
          <w:rFonts w:ascii="Times New Roman" w:eastAsia="Times New Roman" w:hAnsi="Times New Roman" w:cs="Times New Roman"/>
          <w:color w:val="222222"/>
          <w:sz w:val="24"/>
          <w:szCs w:val="24"/>
          <w:highlight w:val="white"/>
        </w:rPr>
        <w:t xml:space="preserve">Examining the Professional Development Needs and Experiences of Beginning North Carolina Agricultural Teachers [Conference Presentation]. </w:t>
      </w:r>
      <w:r>
        <w:rPr>
          <w:rFonts w:ascii="Times New Roman" w:eastAsia="Times New Roman" w:hAnsi="Times New Roman" w:cs="Times New Roman"/>
          <w:i/>
          <w:iCs/>
          <w:sz w:val="24"/>
          <w:szCs w:val="24"/>
          <w:highlight w:val="white"/>
        </w:rPr>
        <w:t xml:space="preserve">Proceedings of the 2026 National American Association for Agricultural Education Research Conference, </w:t>
      </w:r>
      <w:r>
        <w:rPr>
          <w:rFonts w:ascii="Times New Roman" w:eastAsia="Times New Roman" w:hAnsi="Times New Roman" w:cs="Times New Roman"/>
          <w:sz w:val="24"/>
          <w:szCs w:val="24"/>
          <w:highlight w:val="white"/>
        </w:rPr>
        <w:t>Louisville, KY.</w:t>
      </w:r>
    </w:p>
    <w:p w14:paraId="63E1AFC7" w14:textId="77777777" w:rsidR="00330A5D" w:rsidRDefault="00330A5D" w:rsidP="00DF28DD">
      <w:pPr>
        <w:spacing w:line="240" w:lineRule="auto"/>
        <w:ind w:left="720" w:hanging="720"/>
        <w:rPr>
          <w:rFonts w:ascii="Times New Roman" w:eastAsia="Times New Roman" w:hAnsi="Times New Roman" w:cs="Times New Roman"/>
          <w:sz w:val="24"/>
          <w:szCs w:val="24"/>
          <w:highlight w:val="white"/>
        </w:rPr>
      </w:pPr>
    </w:p>
    <w:p w14:paraId="6421510A"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Perry, D. K., Smalley, S. W., Pate, M. L., &amp; Lawver, R. G. (2025). Analysis of a multi-year teacher professional development: Perspectives from the final year.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66</w:t>
      </w:r>
      <w:r>
        <w:rPr>
          <w:rFonts w:ascii="Times New Roman" w:eastAsia="Times New Roman" w:hAnsi="Times New Roman" w:cs="Times New Roman"/>
          <w:sz w:val="24"/>
          <w:szCs w:val="24"/>
        </w:rPr>
        <w:t xml:space="preserve">(1), 35–35. https://doi.org/10.5032/jae.v66i1.2731 </w:t>
      </w:r>
    </w:p>
    <w:p w14:paraId="6D2ECE1D"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37A61470"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Podolsky, A., Kini, T., Bishop, J., &amp; Darling-Hammond, L. (2016). </w:t>
      </w:r>
      <w:r>
        <w:rPr>
          <w:rFonts w:ascii="Times New Roman" w:eastAsia="Times New Roman" w:hAnsi="Times New Roman" w:cs="Times New Roman"/>
          <w:i/>
          <w:iCs/>
          <w:sz w:val="24"/>
          <w:szCs w:val="24"/>
        </w:rPr>
        <w:t>Solving the teacher shortage: How to attract and retain excellent educators</w:t>
      </w:r>
      <w:r>
        <w:rPr>
          <w:rFonts w:ascii="Times New Roman" w:eastAsia="Times New Roman" w:hAnsi="Times New Roman" w:cs="Times New Roman"/>
          <w:sz w:val="24"/>
          <w:szCs w:val="24"/>
        </w:rPr>
        <w:t>. Palo Alto, CA: Learning Policy Institute. https://doi.org/10.54300/262.960</w:t>
      </w:r>
    </w:p>
    <w:p w14:paraId="796AE7B9"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154898A6"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Richardson, A., &amp; Guffey, K. (2025). </w:t>
      </w:r>
      <w:r>
        <w:rPr>
          <w:rFonts w:ascii="Times New Roman" w:eastAsia="Times New Roman" w:hAnsi="Times New Roman" w:cs="Times New Roman"/>
          <w:i/>
          <w:iCs/>
          <w:sz w:val="24"/>
          <w:szCs w:val="24"/>
        </w:rPr>
        <w:t>Teachers stay and go: The impacts of agriculture education teacher retention in Georgia</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Murray State University]. Murray State Theses and Dissertations. https://digitalcommons.murraystate.edu/etd/379</w:t>
      </w:r>
    </w:p>
    <w:p w14:paraId="1D14D61F" w14:textId="77777777" w:rsidR="00330A5D" w:rsidRDefault="00330A5D" w:rsidP="00DF28DD">
      <w:pPr>
        <w:spacing w:line="240" w:lineRule="auto"/>
        <w:ind w:left="720" w:hanging="720"/>
        <w:rPr>
          <w:rFonts w:ascii="Times New Roman" w:eastAsia="Times New Roman" w:hAnsi="Times New Roman" w:cs="Times New Roman"/>
          <w:sz w:val="24"/>
          <w:szCs w:val="24"/>
        </w:rPr>
      </w:pPr>
    </w:p>
    <w:p w14:paraId="4367377B" w14:textId="77777777" w:rsidR="00330A5D" w:rsidRDefault="00000000" w:rsidP="00DF28DD">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R., Wittie, B. M., Stair, K. S., Blackburn, J. J., &amp; Smith, H. E. (2020). The dimensions of professional development needs for secondary agricultural education teachers across career stages: A multiple case study comparison.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61</w:t>
      </w:r>
      <w:r>
        <w:rPr>
          <w:rFonts w:ascii="Times New Roman" w:eastAsia="Times New Roman" w:hAnsi="Times New Roman" w:cs="Times New Roman"/>
          <w:sz w:val="24"/>
          <w:szCs w:val="24"/>
        </w:rPr>
        <w:t>(3), 128–143. https://doi.org/10.5032/jae.2020.03128</w:t>
      </w:r>
    </w:p>
    <w:p w14:paraId="69C849D0" w14:textId="77777777" w:rsidR="00330A5D" w:rsidRDefault="00330A5D" w:rsidP="00DF28DD">
      <w:pPr>
        <w:widowControl w:val="0"/>
        <w:spacing w:line="240" w:lineRule="auto"/>
        <w:ind w:left="720" w:hanging="720"/>
        <w:rPr>
          <w:rFonts w:ascii="Times New Roman" w:eastAsia="Times New Roman" w:hAnsi="Times New Roman" w:cs="Times New Roman"/>
          <w:sz w:val="24"/>
          <w:szCs w:val="24"/>
        </w:rPr>
      </w:pPr>
    </w:p>
    <w:p w14:paraId="43C4B27D" w14:textId="77777777" w:rsidR="00330A5D" w:rsidRDefault="00000000" w:rsidP="00DF28DD">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Schmidt, K. J., Milliken, D. B., Morales, A. M. G., Traini, H. Q., &amp; Velez, J. J. (2022). When teaching hurts: Exploring the secondary traumatic stress experiences of early-career SBAE teachers.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63</w:t>
      </w:r>
      <w:r>
        <w:rPr>
          <w:rFonts w:ascii="Times New Roman" w:eastAsia="Times New Roman" w:hAnsi="Times New Roman" w:cs="Times New Roman"/>
          <w:sz w:val="24"/>
          <w:szCs w:val="24"/>
        </w:rPr>
        <w:t>(3), 216–232. https://doi.org/10.5032/jae.2022.03216</w:t>
      </w:r>
    </w:p>
    <w:p w14:paraId="6C003DE6" w14:textId="77777777" w:rsidR="00330A5D" w:rsidRDefault="00330A5D" w:rsidP="00DF28DD">
      <w:pPr>
        <w:widowControl w:val="0"/>
        <w:spacing w:line="240" w:lineRule="auto"/>
        <w:ind w:left="720" w:hanging="720"/>
        <w:rPr>
          <w:rFonts w:ascii="Times New Roman" w:eastAsia="Times New Roman" w:hAnsi="Times New Roman" w:cs="Times New Roman"/>
          <w:sz w:val="24"/>
          <w:szCs w:val="24"/>
        </w:rPr>
      </w:pPr>
    </w:p>
    <w:p w14:paraId="09FAD434" w14:textId="4A65BC2A" w:rsidR="00330A5D" w:rsidRDefault="00000000" w:rsidP="00DF28DD">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Smalley, S. W., Hainline, M. S., &amp; Sands, K. (2019). School-based agricultural education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perceived professional development needs associated with teaching, classroom management, and technical agriculture.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 xml:space="preserve">(2), 85–98. https://doi.org/10.5032/jae.2019.02085 </w:t>
      </w:r>
    </w:p>
    <w:p w14:paraId="76AB8D4E" w14:textId="77777777" w:rsidR="00330A5D" w:rsidRDefault="00330A5D" w:rsidP="00DF28DD">
      <w:pPr>
        <w:widowControl w:val="0"/>
        <w:spacing w:line="240" w:lineRule="auto"/>
        <w:ind w:left="720" w:hanging="720"/>
        <w:rPr>
          <w:rFonts w:ascii="Times New Roman" w:eastAsia="Times New Roman" w:hAnsi="Times New Roman" w:cs="Times New Roman"/>
          <w:sz w:val="24"/>
          <w:szCs w:val="24"/>
        </w:rPr>
      </w:pPr>
    </w:p>
    <w:p w14:paraId="2E58DA71" w14:textId="77777777" w:rsidR="00330A5D" w:rsidRDefault="00000000" w:rsidP="00DF28DD">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Sorenson, T. J., McKim, A. J., &amp; Velez, J. J. (2017). A national study of work characteristics and work-family conflict among secondary agricultural educators.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58</w:t>
      </w:r>
      <w:r>
        <w:rPr>
          <w:rFonts w:ascii="Times New Roman" w:eastAsia="Times New Roman" w:hAnsi="Times New Roman" w:cs="Times New Roman"/>
          <w:sz w:val="24"/>
          <w:szCs w:val="24"/>
        </w:rPr>
        <w:t>(2), 214–231. https://doi.org/10.5032/jae.2017.02214</w:t>
      </w:r>
    </w:p>
    <w:p w14:paraId="21C0EEE7" w14:textId="77777777" w:rsidR="00330A5D" w:rsidRDefault="00330A5D" w:rsidP="00DF28DD">
      <w:pPr>
        <w:widowControl w:val="0"/>
        <w:spacing w:line="240" w:lineRule="auto"/>
        <w:ind w:left="720" w:hanging="720"/>
        <w:rPr>
          <w:rFonts w:ascii="Times New Roman" w:eastAsia="Times New Roman" w:hAnsi="Times New Roman" w:cs="Times New Roman"/>
          <w:sz w:val="24"/>
          <w:szCs w:val="24"/>
        </w:rPr>
      </w:pPr>
    </w:p>
    <w:p w14:paraId="113B48C0" w14:textId="77777777" w:rsidR="00DF28DD" w:rsidRDefault="00DF28DD" w:rsidP="00DF28DD">
      <w:pPr>
        <w:widowControl w:val="0"/>
        <w:spacing w:line="240" w:lineRule="auto"/>
        <w:ind w:left="720" w:hanging="720"/>
        <w:rPr>
          <w:rFonts w:ascii="Times New Roman" w:eastAsia="Times New Roman" w:hAnsi="Times New Roman" w:cs="Times New Roman"/>
          <w:sz w:val="24"/>
          <w:szCs w:val="24"/>
        </w:rPr>
      </w:pPr>
    </w:p>
    <w:p w14:paraId="0199E332" w14:textId="3BF06ABA" w:rsidR="00330A5D" w:rsidRDefault="00000000" w:rsidP="00DF28DD">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Torres, R. M., Ulmer, J. D., &amp; Aschenbrener, M. S. (2008). Workload distribution among agriculture teachers.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49</w:t>
      </w:r>
      <w:r>
        <w:rPr>
          <w:rFonts w:ascii="Times New Roman" w:eastAsia="Times New Roman" w:hAnsi="Times New Roman" w:cs="Times New Roman"/>
          <w:sz w:val="24"/>
          <w:szCs w:val="24"/>
        </w:rPr>
        <w:t>(2), 75–87. https://doi.org/10.5032/jae.2008.02075</w:t>
      </w:r>
    </w:p>
    <w:p w14:paraId="07ADAF63" w14:textId="77777777" w:rsidR="00330A5D" w:rsidRDefault="00330A5D">
      <w:pPr>
        <w:widowControl w:val="0"/>
        <w:spacing w:line="240" w:lineRule="auto"/>
        <w:ind w:left="720"/>
        <w:rPr>
          <w:rFonts w:ascii="Times New Roman" w:eastAsia="Times New Roman" w:hAnsi="Times New Roman" w:cs="Times New Roman"/>
          <w:sz w:val="24"/>
          <w:szCs w:val="24"/>
        </w:rPr>
      </w:pPr>
    </w:p>
    <w:sectPr w:rsidR="00330A5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35545" w14:textId="77777777" w:rsidR="00D41C3A" w:rsidRDefault="00D41C3A">
      <w:pPr>
        <w:spacing w:line="240" w:lineRule="auto"/>
      </w:pPr>
      <w:r>
        <w:separator/>
      </w:r>
    </w:p>
  </w:endnote>
  <w:endnote w:type="continuationSeparator" w:id="0">
    <w:p w14:paraId="2FDFE0F5" w14:textId="77777777" w:rsidR="00D41C3A" w:rsidRDefault="00D41C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B44DFC0-D22E-6845-8F43-5557050D84DD}"/>
    <w:embedBold r:id="rId2" w:fontKey="{BE6ED45D-1840-A446-828E-E1387C18487C}"/>
    <w:embedItalic r:id="rId3" w:fontKey="{2676B1DD-6749-D648-A44F-1F137EF40A81}"/>
    <w:embedBoldItalic r:id="rId4" w:fontKey="{019ECABB-0CF2-6845-9FCC-CC7EAD2F1C56}"/>
  </w:font>
  <w:font w:name="Arial">
    <w:panose1 w:val="020B0604020202020204"/>
    <w:charset w:val="00"/>
    <w:family w:val="swiss"/>
    <w:pitch w:val="variable"/>
    <w:sig w:usb0="E0002AFF" w:usb1="C0007843" w:usb2="00000009" w:usb3="00000000" w:csb0="000001FF" w:csb1="00000000"/>
    <w:embedRegular r:id="rId5" w:fontKey="{7E25FCC6-058F-6F40-BE74-2AD109B38AE0}"/>
    <w:embedItalic r:id="rId6" w:fontKey="{02CB0626-CA47-4D41-A73D-60497EA7BA12}"/>
  </w:font>
  <w:font w:name="Calibri">
    <w:panose1 w:val="020F0502020204030204"/>
    <w:charset w:val="00"/>
    <w:family w:val="swiss"/>
    <w:pitch w:val="variable"/>
    <w:sig w:usb0="E4002EFF" w:usb1="C200247B" w:usb2="00000009" w:usb3="00000000" w:csb0="000001FF" w:csb1="00000000"/>
    <w:embedRegular r:id="rId7" w:fontKey="{AE681C1D-88BE-7443-8D51-C5E118EF31BD}"/>
  </w:font>
  <w:font w:name="Cambria">
    <w:panose1 w:val="02040503050406030204"/>
    <w:charset w:val="00"/>
    <w:family w:val="roman"/>
    <w:pitch w:val="variable"/>
    <w:sig w:usb0="E00002FF" w:usb1="400004FF" w:usb2="00000000" w:usb3="00000000" w:csb0="0000019F" w:csb1="00000000"/>
    <w:embedRegular r:id="rId8" w:fontKey="{E1CCC9FE-63F2-8640-AC13-37D4B146ED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A55E4" w14:textId="77777777" w:rsidR="00330A5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3639B">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2A5FE" w14:textId="77777777" w:rsidR="00D41C3A" w:rsidRDefault="00D41C3A">
      <w:pPr>
        <w:spacing w:line="240" w:lineRule="auto"/>
      </w:pPr>
      <w:r>
        <w:separator/>
      </w:r>
    </w:p>
  </w:footnote>
  <w:footnote w:type="continuationSeparator" w:id="0">
    <w:p w14:paraId="058A472E" w14:textId="77777777" w:rsidR="00D41C3A" w:rsidRDefault="00D41C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90EBD"/>
    <w:multiLevelType w:val="multilevel"/>
    <w:tmpl w:val="154426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3B30CB8"/>
    <w:multiLevelType w:val="multilevel"/>
    <w:tmpl w:val="532408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83449276">
    <w:abstractNumId w:val="0"/>
  </w:num>
  <w:num w:numId="2" w16cid:durableId="41178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5D"/>
    <w:rsid w:val="00330A5D"/>
    <w:rsid w:val="0043639B"/>
    <w:rsid w:val="00BB1B28"/>
    <w:rsid w:val="00D41C3A"/>
    <w:rsid w:val="00D805DE"/>
    <w:rsid w:val="00DF2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B2BA06"/>
  <w15:docId w15:val="{F426EB11-8618-4D43-AFA2-4878311C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6379</Words>
  <Characters>36365</Characters>
  <Application>Microsoft Office Word</Application>
  <DocSecurity>0</DocSecurity>
  <Lines>303</Lines>
  <Paragraphs>85</Paragraphs>
  <ScaleCrop>false</ScaleCrop>
  <Company/>
  <LinksUpToDate>false</LinksUpToDate>
  <CharactersWithSpaces>42659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Kayla Leanne Paglia</cp:lastModifiedBy>
  <cp:revision>4</cp:revision>
  <dcterms:created xsi:type="dcterms:W3CDTF">2026-03-27T01:00:00Z</dcterms:created>
  <dcterms:modified xsi:type="dcterms:W3CDTF">2026-03-27T01:02:00Z</dcterms:modified>
</cp:coreProperties>
</file>