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624F4" w14:textId="3BEDE98A" w:rsidR="00603878" w:rsidRPr="004B380C" w:rsidRDefault="00603878" w:rsidP="001B5072">
      <w:pPr>
        <w:spacing w:line="240" w:lineRule="auto"/>
        <w:jc w:val="center"/>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Teaching Science Through Agriculture: Examining Presage and Contextual Influences in a Multi-Case Study of SBAE</w:t>
      </w:r>
    </w:p>
    <w:p w14:paraId="3AA79CAE" w14:textId="26E5103A" w:rsidR="001B5072" w:rsidRPr="004B380C" w:rsidRDefault="001B5072" w:rsidP="004B380C">
      <w:pPr>
        <w:spacing w:line="240" w:lineRule="auto"/>
        <w:jc w:val="center"/>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Taylor D. Bird, </w:t>
      </w:r>
      <w:r w:rsidR="004B380C" w:rsidRPr="004B380C">
        <w:rPr>
          <w:rFonts w:ascii="Times New Roman" w:eastAsia="Times New Roman" w:hAnsi="Times New Roman" w:cs="Times New Roman"/>
          <w:kern w:val="0"/>
          <w14:ligatures w14:val="none"/>
        </w:rPr>
        <w:t>Eric D. Rubenstein, Jason B. Peake, Alexa J. Lamm, Scott W. Smalley</w:t>
      </w:r>
    </w:p>
    <w:p w14:paraId="273B1C3F" w14:textId="5D379C44" w:rsidR="004B380C" w:rsidRPr="004B380C" w:rsidRDefault="004B380C" w:rsidP="004B380C">
      <w:pPr>
        <w:spacing w:line="240" w:lineRule="auto"/>
        <w:jc w:val="center"/>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University of Georgia, Iowa State University</w:t>
      </w:r>
    </w:p>
    <w:p w14:paraId="4A7D223B" w14:textId="1D26503E" w:rsidR="00354D7D" w:rsidRPr="004B380C" w:rsidRDefault="00354D7D" w:rsidP="004B380C">
      <w:pPr>
        <w:spacing w:line="240" w:lineRule="auto"/>
        <w:jc w:val="center"/>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Abstract</w:t>
      </w:r>
    </w:p>
    <w:p w14:paraId="166673B0" w14:textId="3A4884BE" w:rsidR="00354D7D" w:rsidRPr="004B380C" w:rsidRDefault="00354D7D" w:rsidP="001B5072">
      <w:pPr>
        <w:pStyle w:val="paragraph"/>
        <w:spacing w:before="0" w:beforeAutospacing="0" w:after="240" w:afterAutospacing="0"/>
        <w:textAlignment w:val="baseline"/>
        <w:rPr>
          <w:i/>
          <w:iCs/>
        </w:rPr>
      </w:pPr>
      <w:r w:rsidRPr="004B380C">
        <w:rPr>
          <w:rStyle w:val="normaltextrun"/>
          <w:rFonts w:eastAsiaTheme="majorEastAsia"/>
          <w:i/>
          <w:iCs/>
        </w:rPr>
        <w:t>This qualitative multi-case study examined how secondary school-based agricultural education (SBAE) teachers integrate scientific concepts into their classrooms and the factors that shape these practices, guided by Dunkin and Biddle’s Model of Teaching and Learning. Participants included 10 secondary SBAE teachers</w:t>
      </w:r>
      <w:r w:rsidR="00314C09" w:rsidRPr="004B380C">
        <w:rPr>
          <w:rStyle w:val="normaltextrun"/>
          <w:rFonts w:eastAsiaTheme="majorEastAsia"/>
          <w:i/>
          <w:iCs/>
        </w:rPr>
        <w:t>,</w:t>
      </w:r>
      <w:r w:rsidRPr="004B380C">
        <w:rPr>
          <w:rStyle w:val="normaltextrun"/>
          <w:rFonts w:eastAsiaTheme="majorEastAsia"/>
          <w:i/>
          <w:iCs/>
        </w:rPr>
        <w:t xml:space="preserve"> with data sources co</w:t>
      </w:r>
      <w:r w:rsidR="00314C09" w:rsidRPr="004B380C">
        <w:rPr>
          <w:rStyle w:val="normaltextrun"/>
          <w:rFonts w:eastAsiaTheme="majorEastAsia"/>
          <w:i/>
          <w:iCs/>
        </w:rPr>
        <w:t>mprised of</w:t>
      </w:r>
      <w:r w:rsidRPr="004B380C">
        <w:rPr>
          <w:rStyle w:val="normaltextrun"/>
          <w:rFonts w:eastAsiaTheme="majorEastAsia"/>
          <w:i/>
          <w:iCs/>
        </w:rPr>
        <w:t xml:space="preserve"> classroom observations, semi-structured interviews, and teacher-supplied instructional materials. Data were analyzed using constant comparative methods</w:t>
      </w:r>
      <w:r w:rsidR="003E7338" w:rsidRPr="004B380C">
        <w:rPr>
          <w:rStyle w:val="normaltextrun"/>
          <w:rFonts w:eastAsiaTheme="majorEastAsia"/>
          <w:i/>
          <w:iCs/>
        </w:rPr>
        <w:t>,</w:t>
      </w:r>
      <w:r w:rsidRPr="004B380C">
        <w:rPr>
          <w:rStyle w:val="normaltextrun"/>
          <w:rFonts w:eastAsiaTheme="majorEastAsia"/>
          <w:i/>
          <w:iCs/>
        </w:rPr>
        <w:t xml:space="preserve"> with deductive and inductive coding</w:t>
      </w:r>
      <w:r w:rsidR="003E7338" w:rsidRPr="004B380C">
        <w:rPr>
          <w:rStyle w:val="normaltextrun"/>
          <w:rFonts w:eastAsiaTheme="majorEastAsia"/>
          <w:i/>
          <w:iCs/>
        </w:rPr>
        <w:t>,</w:t>
      </w:r>
      <w:r w:rsidRPr="004B380C">
        <w:rPr>
          <w:rStyle w:val="normaltextrun"/>
          <w:rFonts w:eastAsiaTheme="majorEastAsia"/>
          <w:i/>
          <w:iCs/>
        </w:rPr>
        <w:t xml:space="preserve"> to align with the theoretical framework and allow themes to emerge in and across cases. This process yielded three overarching themes including: 1) Approaches to Integrating Science in SBAE Classrooms, 2) How Much Science Makes it into the </w:t>
      </w:r>
      <w:proofErr w:type="gramStart"/>
      <w:r w:rsidRPr="004B380C">
        <w:rPr>
          <w:rStyle w:val="normaltextrun"/>
          <w:rFonts w:eastAsiaTheme="majorEastAsia"/>
          <w:i/>
          <w:iCs/>
        </w:rPr>
        <w:t>Classroom</w:t>
      </w:r>
      <w:proofErr w:type="gramEnd"/>
      <w:r w:rsidRPr="004B380C">
        <w:rPr>
          <w:rStyle w:val="normaltextrun"/>
          <w:rFonts w:eastAsiaTheme="majorEastAsia"/>
          <w:i/>
          <w:iCs/>
        </w:rPr>
        <w:t>, and 3) Factors Influencing Teachers’ Science Integration Practices.</w:t>
      </w:r>
      <w:r w:rsidRPr="004B380C">
        <w:rPr>
          <w:rStyle w:val="eop"/>
          <w:rFonts w:eastAsiaTheme="majorEastAsia"/>
          <w:i/>
          <w:iCs/>
        </w:rPr>
        <w:t> </w:t>
      </w:r>
      <w:r w:rsidRPr="004B380C">
        <w:rPr>
          <w:rStyle w:val="normaltextrun"/>
          <w:rFonts w:eastAsiaTheme="majorEastAsia"/>
          <w:i/>
          <w:iCs/>
        </w:rPr>
        <w:t>The study concluded that strengthening science integration in SBAE will require more intentional lesson planning that treats science as foundational to agricultural instruction; enhanced preservice coursework and collaborative preparation with science education faculty; and sustained, practical professional development focused on low-cost, standards-aligned inquiry experiences. Future research should explore student learning outcomes associated with different integration approaches, examine how teacher beliefs and professional identity shape science’s role in SBAE, and investigate how varying policy and community contexts influence opportunities for applied, agriculture-based science learning.</w:t>
      </w:r>
      <w:r w:rsidRPr="004B380C">
        <w:rPr>
          <w:rStyle w:val="eop"/>
          <w:rFonts w:eastAsiaTheme="majorEastAsia"/>
          <w:i/>
          <w:iCs/>
        </w:rPr>
        <w:t> </w:t>
      </w:r>
    </w:p>
    <w:p w14:paraId="642631A7" w14:textId="404C4EF0" w:rsidR="00F27FFC" w:rsidRPr="004B380C" w:rsidRDefault="00F27FFC" w:rsidP="004B380C">
      <w:pPr>
        <w:spacing w:line="240" w:lineRule="auto"/>
        <w:jc w:val="center"/>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Introduction and Literature Review</w:t>
      </w:r>
    </w:p>
    <w:p w14:paraId="42702036" w14:textId="55DDDDB0" w:rsidR="009941AF" w:rsidRPr="004B380C" w:rsidRDefault="00AF6E27"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color w:val="000000"/>
          <w:kern w:val="0"/>
          <w14:ligatures w14:val="none"/>
        </w:rPr>
        <w:t>Following the 1988 National Research Council (NRC) report, Understanding Agriculture: New Directions for Education, a call to move school-based agricultural education (SBAE) beyond traditional production agriculture prompted renewed emphasis on science and inquiry within agricultural instruction (Parr et al., 2006; Wells et al., 2015; Young et al., 2009). This directive emphasized teaching “about” agriculture through agricultural literacy and “in” agriculture through vocational preparation. It further highlighted science through agriculture, teacher training, and experiential learning as critical components of effective agricultural education programs (Talbert et al., 2005).</w:t>
      </w:r>
    </w:p>
    <w:p w14:paraId="62909E45" w14:textId="363FFC04" w:rsidR="009941AF" w:rsidRPr="004B380C" w:rsidRDefault="009941AF"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color w:val="000000"/>
          <w:kern w:val="0"/>
          <w14:ligatures w14:val="none"/>
        </w:rPr>
        <w:t>Over the past decade, careers in agriculture, food, and natural resources (AFNR) have exp</w:t>
      </w:r>
      <w:r w:rsidR="00D708B0" w:rsidRPr="004B380C">
        <w:rPr>
          <w:rFonts w:ascii="Times New Roman" w:eastAsia="Times New Roman" w:hAnsi="Times New Roman" w:cs="Times New Roman"/>
          <w:color w:val="000000"/>
          <w:kern w:val="0"/>
          <w14:ligatures w14:val="none"/>
        </w:rPr>
        <w:t>ande</w:t>
      </w:r>
      <w:r w:rsidRPr="004B380C">
        <w:rPr>
          <w:rFonts w:ascii="Times New Roman" w:eastAsia="Times New Roman" w:hAnsi="Times New Roman" w:cs="Times New Roman"/>
          <w:color w:val="000000"/>
          <w:kern w:val="0"/>
          <w14:ligatures w14:val="none"/>
        </w:rPr>
        <w:t xml:space="preserve">d </w:t>
      </w:r>
      <w:r w:rsidR="00D708B0" w:rsidRPr="004B380C">
        <w:rPr>
          <w:rFonts w:ascii="Times New Roman" w:eastAsia="Times New Roman" w:hAnsi="Times New Roman" w:cs="Times New Roman"/>
          <w:color w:val="000000"/>
          <w:kern w:val="0"/>
          <w14:ligatures w14:val="none"/>
        </w:rPr>
        <w:t>rapidly</w:t>
      </w:r>
      <w:r w:rsidRPr="004B380C">
        <w:rPr>
          <w:rFonts w:ascii="Times New Roman" w:eastAsia="Times New Roman" w:hAnsi="Times New Roman" w:cs="Times New Roman"/>
          <w:color w:val="000000"/>
          <w:kern w:val="0"/>
          <w14:ligatures w14:val="none"/>
        </w:rPr>
        <w:t xml:space="preserve">, offering numerous opportunities in science, technology, engineering, and mathematics (STEM) fields (United States Department of Agriculture [USDA], 2015). As a </w:t>
      </w:r>
      <w:bookmarkStart w:id="0" w:name="_Int_ZRY4uwT9"/>
      <w:r w:rsidRPr="004B380C">
        <w:rPr>
          <w:rFonts w:ascii="Times New Roman" w:eastAsia="Times New Roman" w:hAnsi="Times New Roman" w:cs="Times New Roman"/>
          <w:color w:val="000000"/>
          <w:kern w:val="0"/>
          <w14:ligatures w14:val="none"/>
        </w:rPr>
        <w:t>result, SBAE teachers</w:t>
      </w:r>
      <w:bookmarkEnd w:id="0"/>
      <w:r w:rsidRPr="004B380C">
        <w:rPr>
          <w:rFonts w:ascii="Times New Roman" w:eastAsia="Times New Roman" w:hAnsi="Times New Roman" w:cs="Times New Roman"/>
          <w:color w:val="000000"/>
          <w:kern w:val="0"/>
          <w14:ligatures w14:val="none"/>
        </w:rPr>
        <w:t xml:space="preserve"> are responsible for developing curricula that integrate technical agricultural skills with STEM concepts (Wang &amp; Knoblock, 2018) but research has revealed that many SBAE teachers face challenges implementing STEM concepts due to gaps in their science content knowledge and limited preparation in how to integrate science within agricultural contexts. These challenges often include difficulty explaining underlying scientific principles, lack of confidence in teaching lab-based or inquiry-driven activities, and limited access to </w:t>
      </w:r>
      <w:r w:rsidR="00D92851" w:rsidRPr="004B380C">
        <w:rPr>
          <w:rFonts w:ascii="Times New Roman" w:eastAsia="Times New Roman" w:hAnsi="Times New Roman" w:cs="Times New Roman"/>
          <w:color w:val="000000"/>
          <w:kern w:val="0"/>
          <w14:ligatures w14:val="none"/>
        </w:rPr>
        <w:t>high-</w:t>
      </w:r>
      <w:r w:rsidRPr="004B380C">
        <w:rPr>
          <w:rFonts w:ascii="Times New Roman" w:eastAsia="Times New Roman" w:hAnsi="Times New Roman" w:cs="Times New Roman"/>
          <w:color w:val="000000"/>
          <w:kern w:val="0"/>
          <w14:ligatures w14:val="none"/>
        </w:rPr>
        <w:t xml:space="preserve">quality, </w:t>
      </w:r>
      <w:r w:rsidR="00D92851" w:rsidRPr="004B380C">
        <w:rPr>
          <w:rFonts w:ascii="Times New Roman" w:eastAsia="Times New Roman" w:hAnsi="Times New Roman" w:cs="Times New Roman"/>
          <w:color w:val="000000"/>
          <w:kern w:val="0"/>
          <w14:ligatures w14:val="none"/>
        </w:rPr>
        <w:t>science-</w:t>
      </w:r>
      <w:r w:rsidRPr="004B380C">
        <w:rPr>
          <w:rFonts w:ascii="Times New Roman" w:eastAsia="Times New Roman" w:hAnsi="Times New Roman" w:cs="Times New Roman"/>
          <w:color w:val="000000"/>
          <w:kern w:val="0"/>
          <w14:ligatures w14:val="none"/>
        </w:rPr>
        <w:t>aligned curriculum materials (Baker et al., 2015</w:t>
      </w:r>
      <w:r w:rsidR="00AF6E27" w:rsidRPr="004B380C">
        <w:rPr>
          <w:rFonts w:ascii="Times New Roman" w:eastAsia="Times New Roman" w:hAnsi="Times New Roman" w:cs="Times New Roman"/>
          <w:color w:val="000000"/>
          <w:kern w:val="0"/>
          <w14:ligatures w14:val="none"/>
        </w:rPr>
        <w:t xml:space="preserve">; Branscum et al., 2025; Honeyman &amp; Eck, 2025; </w:t>
      </w:r>
      <w:r w:rsidRPr="004B380C">
        <w:rPr>
          <w:rFonts w:ascii="Times New Roman" w:eastAsia="Times New Roman" w:hAnsi="Times New Roman" w:cs="Times New Roman"/>
          <w:color w:val="000000"/>
          <w:kern w:val="0"/>
          <w14:ligatures w14:val="none"/>
        </w:rPr>
        <w:t xml:space="preserve">Thoron &amp; Myers, 2010; Washburn &amp; Myers, 2010). In one study, 90% </w:t>
      </w:r>
      <w:r w:rsidRPr="004B380C">
        <w:rPr>
          <w:rFonts w:ascii="Times New Roman" w:eastAsia="Times New Roman" w:hAnsi="Times New Roman" w:cs="Times New Roman"/>
          <w:color w:val="000000"/>
          <w:kern w:val="0"/>
          <w14:ligatures w14:val="none"/>
        </w:rPr>
        <w:lastRenderedPageBreak/>
        <w:t xml:space="preserve">of SBAE teachers surveyed recognized experiments as effective for STEM integration; however, most were only moderately confident in implementing </w:t>
      </w:r>
      <w:r w:rsidR="00D92851" w:rsidRPr="004B380C">
        <w:rPr>
          <w:rFonts w:ascii="Times New Roman" w:eastAsia="Times New Roman" w:hAnsi="Times New Roman" w:cs="Times New Roman"/>
          <w:color w:val="000000"/>
          <w:kern w:val="0"/>
          <w14:ligatures w14:val="none"/>
        </w:rPr>
        <w:t>them</w:t>
      </w:r>
      <w:r w:rsidRPr="004B380C">
        <w:rPr>
          <w:rFonts w:ascii="Times New Roman" w:eastAsia="Times New Roman" w:hAnsi="Times New Roman" w:cs="Times New Roman"/>
          <w:color w:val="000000"/>
          <w:kern w:val="0"/>
          <w14:ligatures w14:val="none"/>
        </w:rPr>
        <w:t xml:space="preserve">, </w:t>
      </w:r>
      <w:r w:rsidR="00D92851" w:rsidRPr="004B380C">
        <w:rPr>
          <w:rFonts w:ascii="Times New Roman" w:eastAsia="Times New Roman" w:hAnsi="Times New Roman" w:cs="Times New Roman"/>
          <w:color w:val="000000"/>
          <w:kern w:val="0"/>
          <w14:ligatures w14:val="none"/>
        </w:rPr>
        <w:t xml:space="preserve">using </w:t>
      </w:r>
      <w:r w:rsidRPr="004B380C">
        <w:rPr>
          <w:rFonts w:ascii="Times New Roman" w:eastAsia="Times New Roman" w:hAnsi="Times New Roman" w:cs="Times New Roman"/>
          <w:color w:val="000000"/>
          <w:kern w:val="0"/>
          <w14:ligatures w14:val="none"/>
        </w:rPr>
        <w:t xml:space="preserve">them in </w:t>
      </w:r>
      <w:r w:rsidR="00D92851" w:rsidRPr="004B380C">
        <w:rPr>
          <w:rFonts w:ascii="Times New Roman" w:eastAsia="Times New Roman" w:hAnsi="Times New Roman" w:cs="Times New Roman"/>
          <w:color w:val="000000"/>
          <w:kern w:val="0"/>
          <w14:ligatures w14:val="none"/>
        </w:rPr>
        <w:t>only</w:t>
      </w:r>
      <w:r w:rsidRPr="004B380C">
        <w:rPr>
          <w:rFonts w:ascii="Times New Roman" w:eastAsia="Times New Roman" w:hAnsi="Times New Roman" w:cs="Times New Roman"/>
          <w:color w:val="000000"/>
          <w:kern w:val="0"/>
          <w14:ligatures w14:val="none"/>
        </w:rPr>
        <w:t xml:space="preserve"> 6% of instruction (Smith et al., 2015). Collectively, this body of literature suggests that barriers to STEM integration are not merely about willingness but a</w:t>
      </w:r>
      <w:r w:rsidR="00D92851" w:rsidRPr="004B380C">
        <w:rPr>
          <w:rFonts w:ascii="Times New Roman" w:eastAsia="Times New Roman" w:hAnsi="Times New Roman" w:cs="Times New Roman"/>
          <w:color w:val="000000"/>
          <w:kern w:val="0"/>
          <w14:ligatures w14:val="none"/>
        </w:rPr>
        <w:t>lso</w:t>
      </w:r>
      <w:r w:rsidRPr="004B380C">
        <w:rPr>
          <w:rFonts w:ascii="Times New Roman" w:eastAsia="Times New Roman" w:hAnsi="Times New Roman" w:cs="Times New Roman"/>
          <w:color w:val="000000"/>
          <w:kern w:val="0"/>
          <w14:ligatures w14:val="none"/>
        </w:rPr>
        <w:t xml:space="preserve"> rooted in </w:t>
      </w:r>
      <w:r w:rsidR="00D92851" w:rsidRPr="004B380C">
        <w:rPr>
          <w:rFonts w:ascii="Times New Roman" w:eastAsia="Times New Roman" w:hAnsi="Times New Roman" w:cs="Times New Roman"/>
          <w:color w:val="000000"/>
          <w:kern w:val="0"/>
          <w14:ligatures w14:val="none"/>
        </w:rPr>
        <w:t>how</w:t>
      </w:r>
      <w:r w:rsidRPr="004B380C">
        <w:rPr>
          <w:rFonts w:ascii="Times New Roman" w:eastAsia="Times New Roman" w:hAnsi="Times New Roman" w:cs="Times New Roman"/>
          <w:color w:val="000000"/>
          <w:kern w:val="0"/>
          <w14:ligatures w14:val="none"/>
        </w:rPr>
        <w:t xml:space="preserve"> SBAE teachers are prepared to engage with science content.</w:t>
      </w:r>
    </w:p>
    <w:p w14:paraId="6114A810" w14:textId="2A86461D" w:rsidR="009941AF" w:rsidRPr="004B380C" w:rsidRDefault="009941AF"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color w:val="000000"/>
          <w:kern w:val="0"/>
          <w14:ligatures w14:val="none"/>
        </w:rPr>
        <w:t>Understanding how teacher preparation influences these challenges require</w:t>
      </w:r>
      <w:r w:rsidR="00D92851" w:rsidRPr="004B380C">
        <w:rPr>
          <w:rFonts w:ascii="Times New Roman" w:eastAsia="Times New Roman" w:hAnsi="Times New Roman" w:cs="Times New Roman"/>
          <w:color w:val="000000"/>
          <w:kern w:val="0"/>
          <w14:ligatures w14:val="none"/>
        </w:rPr>
        <w:t>s</w:t>
      </w:r>
      <w:r w:rsidRPr="004B380C">
        <w:rPr>
          <w:rFonts w:ascii="Times New Roman" w:eastAsia="Times New Roman" w:hAnsi="Times New Roman" w:cs="Times New Roman"/>
          <w:color w:val="000000"/>
          <w:kern w:val="0"/>
          <w14:ligatures w14:val="none"/>
        </w:rPr>
        <w:t xml:space="preserve"> a closer comparison of how science education programs traditionally develop teachers’ pedagogical content knowledge (PCK). Traditional science teacher preparation emphasizes building PCK through coursework aligned with scientific disciplinary standards, ongoing reflection, and deliberate practice connecting instructional strategies to student learning and concept mastery (Sjöberg &amp; Nyberg, 2020). These programs also include early exposure to research-based field experiences and structured research experiences for teachers (Leong &amp; Smetana, 2025), which help strengthen scientific literacy, deepen conceptual comprehension, and build confidence in performing and teaching laboratory-based activities (Azra Ates et al., 2025). This intentional, science-focused preparation establishes a strong foundation that supports teachers’ ability to explain scientific phenomena, design inquiry lessons, and interpret student</w:t>
      </w:r>
      <w:r w:rsidR="00EC504F" w:rsidRPr="004B380C">
        <w:rPr>
          <w:rFonts w:ascii="Times New Roman" w:eastAsia="Times New Roman" w:hAnsi="Times New Roman" w:cs="Times New Roman"/>
          <w:color w:val="000000"/>
          <w:kern w:val="0"/>
          <w14:ligatures w14:val="none"/>
        </w:rPr>
        <w:t>s’</w:t>
      </w:r>
      <w:r w:rsidRPr="004B380C">
        <w:rPr>
          <w:rFonts w:ascii="Times New Roman" w:eastAsia="Times New Roman" w:hAnsi="Times New Roman" w:cs="Times New Roman"/>
          <w:color w:val="000000"/>
          <w:kern w:val="0"/>
          <w14:ligatures w14:val="none"/>
        </w:rPr>
        <w:t xml:space="preserve"> comprehension</w:t>
      </w:r>
      <w:r w:rsidR="00D92851" w:rsidRPr="004B380C">
        <w:rPr>
          <w:rFonts w:ascii="Times New Roman" w:eastAsia="Times New Roman" w:hAnsi="Times New Roman" w:cs="Times New Roman"/>
          <w:color w:val="000000"/>
          <w:kern w:val="0"/>
          <w14:ligatures w14:val="none"/>
        </w:rPr>
        <w:t>,</w:t>
      </w:r>
      <w:r w:rsidRPr="004B380C">
        <w:rPr>
          <w:rFonts w:ascii="Times New Roman" w:eastAsia="Times New Roman" w:hAnsi="Times New Roman" w:cs="Times New Roman"/>
          <w:color w:val="000000"/>
          <w:kern w:val="0"/>
          <w14:ligatures w14:val="none"/>
        </w:rPr>
        <w:t xml:space="preserve"> all </w:t>
      </w:r>
      <w:r w:rsidR="00EC504F" w:rsidRPr="004B380C">
        <w:rPr>
          <w:rFonts w:ascii="Times New Roman" w:eastAsia="Times New Roman" w:hAnsi="Times New Roman" w:cs="Times New Roman"/>
          <w:color w:val="000000"/>
          <w:kern w:val="0"/>
          <w14:ligatures w14:val="none"/>
        </w:rPr>
        <w:t>of</w:t>
      </w:r>
      <w:r w:rsidRPr="004B380C">
        <w:rPr>
          <w:rFonts w:ascii="Times New Roman" w:eastAsia="Times New Roman" w:hAnsi="Times New Roman" w:cs="Times New Roman"/>
          <w:color w:val="000000"/>
          <w:kern w:val="0"/>
          <w14:ligatures w14:val="none"/>
        </w:rPr>
        <w:t xml:space="preserve"> </w:t>
      </w:r>
      <w:r w:rsidR="00EC504F" w:rsidRPr="004B380C">
        <w:rPr>
          <w:rFonts w:ascii="Times New Roman" w:eastAsia="Times New Roman" w:hAnsi="Times New Roman" w:cs="Times New Roman"/>
          <w:color w:val="000000"/>
          <w:kern w:val="0"/>
          <w14:ligatures w14:val="none"/>
        </w:rPr>
        <w:t>which</w:t>
      </w:r>
      <w:r w:rsidRPr="004B380C">
        <w:rPr>
          <w:rFonts w:ascii="Times New Roman" w:eastAsia="Times New Roman" w:hAnsi="Times New Roman" w:cs="Times New Roman"/>
          <w:color w:val="000000"/>
          <w:kern w:val="0"/>
          <w14:ligatures w14:val="none"/>
        </w:rPr>
        <w:t xml:space="preserve"> </w:t>
      </w:r>
      <w:r w:rsidR="00EC504F" w:rsidRPr="004B380C">
        <w:rPr>
          <w:rFonts w:ascii="Times New Roman" w:eastAsia="Times New Roman" w:hAnsi="Times New Roman" w:cs="Times New Roman"/>
          <w:color w:val="000000"/>
          <w:kern w:val="0"/>
          <w14:ligatures w14:val="none"/>
        </w:rPr>
        <w:t>are essential</w:t>
      </w:r>
      <w:r w:rsidRPr="004B380C">
        <w:rPr>
          <w:rFonts w:ascii="Times New Roman" w:eastAsia="Times New Roman" w:hAnsi="Times New Roman" w:cs="Times New Roman"/>
          <w:color w:val="000000"/>
          <w:kern w:val="0"/>
          <w14:ligatures w14:val="none"/>
        </w:rPr>
        <w:t xml:space="preserve"> for effective STEM integration. </w:t>
      </w:r>
    </w:p>
    <w:p w14:paraId="70805656" w14:textId="29B34CE0" w:rsidR="009941AF" w:rsidRPr="004B380C" w:rsidRDefault="009941AF"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color w:val="000000"/>
          <w:kern w:val="0"/>
          <w14:ligatures w14:val="none"/>
        </w:rPr>
        <w:t xml:space="preserve">In contrast, the preparation of SBAE teachers </w:t>
      </w:r>
      <w:r w:rsidR="00D92851" w:rsidRPr="004B380C">
        <w:rPr>
          <w:rFonts w:ascii="Times New Roman" w:eastAsia="Times New Roman" w:hAnsi="Times New Roman" w:cs="Times New Roman"/>
          <w:color w:val="000000"/>
          <w:kern w:val="0"/>
          <w14:ligatures w14:val="none"/>
        </w:rPr>
        <w:t xml:space="preserve">entails </w:t>
      </w:r>
      <w:r w:rsidRPr="004B380C">
        <w:rPr>
          <w:rFonts w:ascii="Times New Roman" w:eastAsia="Times New Roman" w:hAnsi="Times New Roman" w:cs="Times New Roman"/>
          <w:color w:val="000000"/>
          <w:kern w:val="0"/>
          <w14:ligatures w14:val="none"/>
        </w:rPr>
        <w:t>a broader</w:t>
      </w:r>
      <w:r w:rsidR="00EC504F" w:rsidRPr="004B380C">
        <w:rPr>
          <w:rFonts w:ascii="Times New Roman" w:eastAsia="Times New Roman" w:hAnsi="Times New Roman" w:cs="Times New Roman"/>
          <w:color w:val="000000"/>
          <w:kern w:val="0"/>
          <w14:ligatures w14:val="none"/>
        </w:rPr>
        <w:t>,</w:t>
      </w:r>
      <w:r w:rsidRPr="004B380C">
        <w:rPr>
          <w:rFonts w:ascii="Times New Roman" w:eastAsia="Times New Roman" w:hAnsi="Times New Roman" w:cs="Times New Roman"/>
          <w:color w:val="000000"/>
          <w:kern w:val="0"/>
          <w14:ligatures w14:val="none"/>
        </w:rPr>
        <w:t xml:space="preserve"> more multifaceted set of responsibilities </w:t>
      </w:r>
      <w:r w:rsidR="00EC504F" w:rsidRPr="004B380C">
        <w:rPr>
          <w:rFonts w:ascii="Times New Roman" w:eastAsia="Times New Roman" w:hAnsi="Times New Roman" w:cs="Times New Roman"/>
          <w:color w:val="000000"/>
          <w:kern w:val="0"/>
          <w14:ligatures w14:val="none"/>
        </w:rPr>
        <w:t>that</w:t>
      </w:r>
      <w:r w:rsidRPr="004B380C">
        <w:rPr>
          <w:rFonts w:ascii="Times New Roman" w:eastAsia="Times New Roman" w:hAnsi="Times New Roman" w:cs="Times New Roman"/>
          <w:color w:val="000000"/>
          <w:kern w:val="0"/>
          <w14:ligatures w14:val="none"/>
        </w:rPr>
        <w:t xml:space="preserve"> shapes </w:t>
      </w:r>
      <w:r w:rsidR="00EC504F" w:rsidRPr="004B380C">
        <w:rPr>
          <w:rFonts w:ascii="Times New Roman" w:eastAsia="Times New Roman" w:hAnsi="Times New Roman" w:cs="Times New Roman"/>
          <w:color w:val="000000"/>
          <w:kern w:val="0"/>
          <w14:ligatures w14:val="none"/>
        </w:rPr>
        <w:t>how</w:t>
      </w:r>
      <w:r w:rsidRPr="004B380C">
        <w:rPr>
          <w:rFonts w:ascii="Times New Roman" w:eastAsia="Times New Roman" w:hAnsi="Times New Roman" w:cs="Times New Roman"/>
          <w:color w:val="000000"/>
          <w:kern w:val="0"/>
          <w14:ligatures w14:val="none"/>
        </w:rPr>
        <w:t xml:space="preserve"> science is addressed in agricultural classrooms. While SBAE programs include early field experiences (EFEs), teacher candidates must also be prepared to supervise student Supervised Agricultural Experiences (SAE) programs and advise local FFA chapters, roles that extend well beyond traditional classroom instruction (Smalley &amp; Rank, 2019). Balancing these instructional and leadership responsibilities contributes to the development of a unique professional identity</w:t>
      </w:r>
      <w:r w:rsidR="00EC504F" w:rsidRPr="004B380C">
        <w:rPr>
          <w:rFonts w:ascii="Times New Roman" w:eastAsia="Times New Roman" w:hAnsi="Times New Roman" w:cs="Times New Roman"/>
          <w:color w:val="000000"/>
          <w:kern w:val="0"/>
          <w14:ligatures w14:val="none"/>
        </w:rPr>
        <w:t>.</w:t>
      </w:r>
      <w:r w:rsidRPr="004B380C">
        <w:rPr>
          <w:rFonts w:ascii="Times New Roman" w:eastAsia="Times New Roman" w:hAnsi="Times New Roman" w:cs="Times New Roman"/>
          <w:color w:val="000000"/>
          <w:kern w:val="0"/>
          <w14:ligatures w14:val="none"/>
        </w:rPr>
        <w:t xml:space="preserve"> </w:t>
      </w:r>
      <w:r w:rsidR="00EC504F" w:rsidRPr="004B380C">
        <w:rPr>
          <w:rFonts w:ascii="Times New Roman" w:eastAsia="Times New Roman" w:hAnsi="Times New Roman" w:cs="Times New Roman"/>
          <w:color w:val="000000"/>
          <w:kern w:val="0"/>
          <w14:ligatures w14:val="none"/>
        </w:rPr>
        <w:t>It</w:t>
      </w:r>
      <w:r w:rsidRPr="004B380C">
        <w:rPr>
          <w:rFonts w:ascii="Times New Roman" w:eastAsia="Times New Roman" w:hAnsi="Times New Roman" w:cs="Times New Roman"/>
          <w:color w:val="000000"/>
          <w:kern w:val="0"/>
          <w14:ligatures w14:val="none"/>
        </w:rPr>
        <w:t xml:space="preserve"> influences how and to what extent teachers conceptualize science as a part of agricultural education. These multifaceted responsibilities contribute to the development of a unique professional identity </w:t>
      </w:r>
      <w:r w:rsidR="00EC504F" w:rsidRPr="004B380C">
        <w:rPr>
          <w:rFonts w:ascii="Times New Roman" w:eastAsia="Times New Roman" w:hAnsi="Times New Roman" w:cs="Times New Roman"/>
          <w:color w:val="000000"/>
          <w:kern w:val="0"/>
          <w14:ligatures w14:val="none"/>
        </w:rPr>
        <w:t>among</w:t>
      </w:r>
      <w:r w:rsidRPr="004B380C">
        <w:rPr>
          <w:rFonts w:ascii="Times New Roman" w:eastAsia="Times New Roman" w:hAnsi="Times New Roman" w:cs="Times New Roman"/>
          <w:color w:val="000000"/>
          <w:kern w:val="0"/>
          <w14:ligatures w14:val="none"/>
        </w:rPr>
        <w:t xml:space="preserve"> SBAE teachers and often </w:t>
      </w:r>
      <w:r w:rsidR="00EC504F" w:rsidRPr="004B380C">
        <w:rPr>
          <w:rFonts w:ascii="Times New Roman" w:eastAsia="Times New Roman" w:hAnsi="Times New Roman" w:cs="Times New Roman"/>
          <w:color w:val="000000"/>
          <w:kern w:val="0"/>
          <w14:ligatures w14:val="none"/>
        </w:rPr>
        <w:t>lead</w:t>
      </w:r>
      <w:r w:rsidRPr="004B380C">
        <w:rPr>
          <w:rFonts w:ascii="Times New Roman" w:eastAsia="Times New Roman" w:hAnsi="Times New Roman" w:cs="Times New Roman"/>
          <w:color w:val="000000"/>
          <w:kern w:val="0"/>
          <w14:ligatures w14:val="none"/>
        </w:rPr>
        <w:t xml:space="preserve"> </w:t>
      </w:r>
      <w:r w:rsidR="00EC504F" w:rsidRPr="004B380C">
        <w:rPr>
          <w:rFonts w:ascii="Times New Roman" w:eastAsia="Times New Roman" w:hAnsi="Times New Roman" w:cs="Times New Roman"/>
          <w:color w:val="000000"/>
          <w:kern w:val="0"/>
          <w14:ligatures w14:val="none"/>
        </w:rPr>
        <w:t>to</w:t>
      </w:r>
      <w:r w:rsidRPr="004B380C">
        <w:rPr>
          <w:rFonts w:ascii="Times New Roman" w:eastAsia="Times New Roman" w:hAnsi="Times New Roman" w:cs="Times New Roman"/>
          <w:color w:val="000000"/>
          <w:kern w:val="0"/>
          <w14:ligatures w14:val="none"/>
        </w:rPr>
        <w:t xml:space="preserve"> diverse perspectives on how science should be integrated </w:t>
      </w:r>
      <w:r w:rsidR="00EC504F" w:rsidRPr="004B380C">
        <w:rPr>
          <w:rFonts w:ascii="Times New Roman" w:eastAsia="Times New Roman" w:hAnsi="Times New Roman" w:cs="Times New Roman"/>
          <w:color w:val="000000"/>
          <w:kern w:val="0"/>
          <w14:ligatures w14:val="none"/>
        </w:rPr>
        <w:t>into</w:t>
      </w:r>
      <w:r w:rsidRPr="004B380C">
        <w:rPr>
          <w:rFonts w:ascii="Times New Roman" w:eastAsia="Times New Roman" w:hAnsi="Times New Roman" w:cs="Times New Roman"/>
          <w:color w:val="000000"/>
          <w:kern w:val="0"/>
          <w14:ligatures w14:val="none"/>
        </w:rPr>
        <w:t xml:space="preserve"> agricultural education (Smalley &amp; Rank, 2019). Building on this, Baker et al. (2015) </w:t>
      </w:r>
      <w:r w:rsidR="0085483E" w:rsidRPr="004B380C">
        <w:rPr>
          <w:rFonts w:ascii="Times New Roman" w:eastAsia="Times New Roman" w:hAnsi="Times New Roman" w:cs="Times New Roman"/>
          <w:color w:val="000000"/>
          <w:kern w:val="0"/>
          <w14:ligatures w14:val="none"/>
        </w:rPr>
        <w:t xml:space="preserve">posited </w:t>
      </w:r>
      <w:r w:rsidRPr="004B380C">
        <w:rPr>
          <w:rFonts w:ascii="Times New Roman" w:eastAsia="Times New Roman" w:hAnsi="Times New Roman" w:cs="Times New Roman"/>
          <w:color w:val="000000"/>
          <w:kern w:val="0"/>
          <w14:ligatures w14:val="none"/>
        </w:rPr>
        <w:t>that “for science integration with inquiry-based pedagogical techniques to succeed, pre-service teachers should be trained and supported in how to teach both agricultural and STEM content subjects concurrently” (p. 232), highlighting the importance of intentional preparation and ongoing support for SBAE teachers as they navigate STEM integration.</w:t>
      </w:r>
    </w:p>
    <w:p w14:paraId="067D09FF" w14:textId="760EAE08" w:rsidR="009941AF" w:rsidRPr="004B380C" w:rsidRDefault="009941AF"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color w:val="000000"/>
          <w:kern w:val="0"/>
          <w14:ligatures w14:val="none"/>
        </w:rPr>
        <w:t xml:space="preserve">A common way that SBAE teachers integrate science within the classroom is by student participation in the Agriscience Fair, an award program housed in the National FFA Organization (2025), to recognize students “engaged in outstanding experimental immersion SAE programs… [who] use scientific principles and emerging technologies to solve complex problems related to AFNR systems” (p. 5). Previous research by Ford et al. (2025) suggested that the Agriscience Fair is a helpful tool for strengthening the overall agricultural education program; however, it often led teachers to find ways to “play the game” (pp. 8–9) to increase chances of success and award recognition in FFA on the state and national level. </w:t>
      </w:r>
      <w:r w:rsidR="00441EB7" w:rsidRPr="004B380C">
        <w:rPr>
          <w:rFonts w:ascii="Times New Roman" w:eastAsia="Times New Roman" w:hAnsi="Times New Roman" w:cs="Times New Roman"/>
          <w:color w:val="000000"/>
          <w:kern w:val="0"/>
          <w14:ligatures w14:val="none"/>
        </w:rPr>
        <w:t>Despite</w:t>
      </w:r>
      <w:r w:rsidRPr="004B380C">
        <w:rPr>
          <w:rFonts w:ascii="Times New Roman" w:eastAsia="Times New Roman" w:hAnsi="Times New Roman" w:cs="Times New Roman"/>
          <w:color w:val="000000"/>
          <w:kern w:val="0"/>
          <w14:ligatures w14:val="none"/>
        </w:rPr>
        <w:t xml:space="preserve"> th</w:t>
      </w:r>
      <w:r w:rsidR="00441EB7" w:rsidRPr="004B380C">
        <w:rPr>
          <w:rFonts w:ascii="Times New Roman" w:eastAsia="Times New Roman" w:hAnsi="Times New Roman" w:cs="Times New Roman"/>
          <w:color w:val="000000"/>
          <w:kern w:val="0"/>
          <w14:ligatures w14:val="none"/>
        </w:rPr>
        <w:t>is</w:t>
      </w:r>
      <w:r w:rsidRPr="004B380C">
        <w:rPr>
          <w:rFonts w:ascii="Times New Roman" w:eastAsia="Times New Roman" w:hAnsi="Times New Roman" w:cs="Times New Roman"/>
          <w:color w:val="000000"/>
          <w:kern w:val="0"/>
          <w14:ligatures w14:val="none"/>
        </w:rPr>
        <w:t xml:space="preserve">, the Agriscience Fair </w:t>
      </w:r>
      <w:r w:rsidR="00441EB7" w:rsidRPr="004B380C">
        <w:rPr>
          <w:rFonts w:ascii="Times New Roman" w:eastAsia="Times New Roman" w:hAnsi="Times New Roman" w:cs="Times New Roman"/>
          <w:color w:val="000000"/>
          <w:kern w:val="0"/>
          <w14:ligatures w14:val="none"/>
        </w:rPr>
        <w:t>encourages</w:t>
      </w:r>
      <w:r w:rsidRPr="004B380C">
        <w:rPr>
          <w:rFonts w:ascii="Times New Roman" w:eastAsia="Times New Roman" w:hAnsi="Times New Roman" w:cs="Times New Roman"/>
          <w:color w:val="000000"/>
          <w:kern w:val="0"/>
          <w14:ligatures w14:val="none"/>
        </w:rPr>
        <w:t xml:space="preserve"> effective science instruction through inquiry-based approaches directly related to AFNR (Smith et al., 2015).</w:t>
      </w:r>
    </w:p>
    <w:p w14:paraId="05F52C92" w14:textId="338D5C4A" w:rsidR="009941AF" w:rsidRPr="004B380C" w:rsidRDefault="009941AF"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color w:val="000000"/>
          <w:kern w:val="0"/>
          <w14:ligatures w14:val="none"/>
        </w:rPr>
        <w:t xml:space="preserve">Inquiry-based approaches encourage students to ask questions, explore concepts, and develop explanations through investigation and by drawing on their natural inquisitiveness </w:t>
      </w:r>
      <w:r w:rsidRPr="004B380C">
        <w:rPr>
          <w:rFonts w:ascii="Times New Roman" w:eastAsia="Times New Roman" w:hAnsi="Times New Roman" w:cs="Times New Roman"/>
          <w:color w:val="000000"/>
          <w:kern w:val="0"/>
          <w14:ligatures w14:val="none"/>
        </w:rPr>
        <w:lastRenderedPageBreak/>
        <w:t xml:space="preserve">(Bybee, 2014). Historically, traditional science instruction has often taught students to follow the linear scientific method; </w:t>
      </w:r>
      <w:proofErr w:type="gramStart"/>
      <w:r w:rsidRPr="004B380C">
        <w:rPr>
          <w:rFonts w:ascii="Times New Roman" w:eastAsia="Times New Roman" w:hAnsi="Times New Roman" w:cs="Times New Roman"/>
          <w:color w:val="000000"/>
          <w:kern w:val="0"/>
          <w14:ligatures w14:val="none"/>
        </w:rPr>
        <w:t>yet,</w:t>
      </w:r>
      <w:proofErr w:type="gramEnd"/>
      <w:r w:rsidRPr="004B380C">
        <w:rPr>
          <w:rFonts w:ascii="Times New Roman" w:eastAsia="Times New Roman" w:hAnsi="Times New Roman" w:cs="Times New Roman"/>
          <w:color w:val="000000"/>
          <w:kern w:val="0"/>
          <w14:ligatures w14:val="none"/>
        </w:rPr>
        <w:t xml:space="preserve"> recent research suggests this model oversimplifies how science is conducted and can lead to misconceptions about the nature of scientific inquiry (Lederman et al., 201</w:t>
      </w:r>
      <w:r w:rsidR="00EC1695">
        <w:rPr>
          <w:rFonts w:ascii="Times New Roman" w:eastAsia="Times New Roman" w:hAnsi="Times New Roman" w:cs="Times New Roman"/>
          <w:color w:val="000000"/>
          <w:kern w:val="0"/>
          <w14:ligatures w14:val="none"/>
        </w:rPr>
        <w:t>8</w:t>
      </w:r>
      <w:r w:rsidRPr="004B380C">
        <w:rPr>
          <w:rFonts w:ascii="Times New Roman" w:eastAsia="Times New Roman" w:hAnsi="Times New Roman" w:cs="Times New Roman"/>
          <w:color w:val="000000"/>
          <w:kern w:val="0"/>
          <w14:ligatures w14:val="none"/>
        </w:rPr>
        <w:t xml:space="preserve">; McComas, 2020). Instead, many science educators now advocate for an approach that emphasizes that scientific knowledge is tentative, empirically based, and socially and culturally embedded (Bierema, 2021). Instructional strategies should prioritize authentic learning experiences, modeling, data analysis, and problem-solving to reflect how science knowledge is acquired in real-world applications (Duran &amp; Duran, 2004). It is vital for teachers to be prepared to implement these strategies to foster natural curiosity while teaching the true iterative cycle of science (Bierema, 2021; </w:t>
      </w:r>
      <w:proofErr w:type="spellStart"/>
      <w:r w:rsidRPr="004B380C">
        <w:rPr>
          <w:rFonts w:ascii="Times New Roman" w:eastAsia="Times New Roman" w:hAnsi="Times New Roman" w:cs="Times New Roman"/>
          <w:color w:val="000000"/>
          <w:kern w:val="0"/>
          <w14:ligatures w14:val="none"/>
        </w:rPr>
        <w:t>Tsivitanidou</w:t>
      </w:r>
      <w:proofErr w:type="spellEnd"/>
      <w:r w:rsidRPr="004B380C">
        <w:rPr>
          <w:rFonts w:ascii="Times New Roman" w:eastAsia="Times New Roman" w:hAnsi="Times New Roman" w:cs="Times New Roman"/>
          <w:color w:val="000000"/>
          <w:kern w:val="0"/>
          <w14:ligatures w14:val="none"/>
        </w:rPr>
        <w:t xml:space="preserve"> et al., 2018). Given this shift towards more authentic and inquiry-driven science instruction, it becomes increasingly important to consider how these approaches align with the goals and structure of SBAE. </w:t>
      </w:r>
    </w:p>
    <w:p w14:paraId="29BB819B" w14:textId="77777777" w:rsidR="009941AF" w:rsidRPr="004B380C" w:rsidRDefault="009941AF"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color w:val="000000"/>
          <w:kern w:val="0"/>
          <w14:ligatures w14:val="none"/>
        </w:rPr>
        <w:t>SBAE uniquely blends technical agricultural knowledge with STEM concepts, creating opportunities to deliver authentic, real-world learning experiences that mirror how scientific knowledge is developed and applied in AFNR contexts (Stubbs &amp; Myers, 2016). This interdisciplinary nature positions SBAE as a powerful setting for promoting inquiry-based learning, as students can investigate real agricultural problems through experimentation, data collection, and hands-on applications. Furthermore, aligning instruction with authentic AFNR challenges not only strengthens agricultural literacy but also supports broader STEM education goals by promoting relevance, problem-solving, and workforce readiness (</w:t>
      </w:r>
      <w:proofErr w:type="spellStart"/>
      <w:r w:rsidRPr="004B380C">
        <w:rPr>
          <w:rFonts w:ascii="Times New Roman" w:eastAsia="Times New Roman" w:hAnsi="Times New Roman" w:cs="Times New Roman"/>
          <w:color w:val="000000"/>
          <w:kern w:val="0"/>
          <w14:ligatures w14:val="none"/>
        </w:rPr>
        <w:t>Perwaiz</w:t>
      </w:r>
      <w:proofErr w:type="spellEnd"/>
      <w:r w:rsidRPr="004B380C">
        <w:rPr>
          <w:rFonts w:ascii="Times New Roman" w:eastAsia="Times New Roman" w:hAnsi="Times New Roman" w:cs="Times New Roman"/>
          <w:color w:val="000000"/>
          <w:kern w:val="0"/>
          <w14:ligatures w14:val="none"/>
        </w:rPr>
        <w:t xml:space="preserve"> &amp; </w:t>
      </w:r>
      <w:proofErr w:type="spellStart"/>
      <w:r w:rsidRPr="004B380C">
        <w:rPr>
          <w:rFonts w:ascii="Times New Roman" w:eastAsia="Times New Roman" w:hAnsi="Times New Roman" w:cs="Times New Roman"/>
          <w:color w:val="000000"/>
          <w:kern w:val="0"/>
          <w14:ligatures w14:val="none"/>
        </w:rPr>
        <w:t>Asunda</w:t>
      </w:r>
      <w:proofErr w:type="spellEnd"/>
      <w:r w:rsidRPr="004B380C">
        <w:rPr>
          <w:rFonts w:ascii="Times New Roman" w:eastAsia="Times New Roman" w:hAnsi="Times New Roman" w:cs="Times New Roman"/>
          <w:color w:val="000000"/>
          <w:kern w:val="0"/>
          <w14:ligatures w14:val="none"/>
        </w:rPr>
        <w:t xml:space="preserve">, 2025). As STEM-related demands continue to grow across agriculture and allied industries, the ability of SBAE programs to provide inquiry-rich, contextually meaningful experiences becomes increasingly essential. </w:t>
      </w:r>
    </w:p>
    <w:p w14:paraId="1967E35D" w14:textId="1B2E2006" w:rsidR="009941AF" w:rsidRPr="004B380C" w:rsidRDefault="009941AF"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color w:val="000000"/>
          <w:kern w:val="0"/>
          <w14:ligatures w14:val="none"/>
        </w:rPr>
        <w:t>One way to achieve this alignment is through cross-curricular learning, an educational approach that links multiple subject areas around a shared theme while maintaining the distinctiveness</w:t>
      </w:r>
      <w:r w:rsidR="00F54E07" w:rsidRPr="004B380C">
        <w:rPr>
          <w:rFonts w:ascii="Times New Roman" w:eastAsia="Times New Roman" w:hAnsi="Times New Roman" w:cs="Times New Roman"/>
          <w:color w:val="000000"/>
          <w:kern w:val="0"/>
          <w14:ligatures w14:val="none"/>
        </w:rPr>
        <w:t xml:space="preserve"> of each discipline</w:t>
      </w:r>
      <w:r w:rsidRPr="004B380C">
        <w:rPr>
          <w:rFonts w:ascii="Times New Roman" w:eastAsia="Times New Roman" w:hAnsi="Times New Roman" w:cs="Times New Roman"/>
          <w:color w:val="000000"/>
          <w:kern w:val="0"/>
          <w14:ligatures w14:val="none"/>
        </w:rPr>
        <w:t xml:space="preserve"> (Early, 2019; Jeya Harish et al., 2012). In this model, learners can transfer knowledge and skills from one discipline to another in meaningful ways without merging the subjects into a single lesson. For example, using the decline in pollinator populations as a theme, a biology lesson might focus on bee anatomy and the role of pollinators in plant reproduction</w:t>
      </w:r>
      <w:r w:rsidR="00F37E12" w:rsidRPr="004B380C">
        <w:rPr>
          <w:rFonts w:ascii="Times New Roman" w:eastAsia="Times New Roman" w:hAnsi="Times New Roman" w:cs="Times New Roman"/>
          <w:color w:val="000000"/>
          <w:kern w:val="0"/>
          <w14:ligatures w14:val="none"/>
        </w:rPr>
        <w:t>. In contrast,</w:t>
      </w:r>
      <w:r w:rsidRPr="004B380C">
        <w:rPr>
          <w:rFonts w:ascii="Times New Roman" w:eastAsia="Times New Roman" w:hAnsi="Times New Roman" w:cs="Times New Roman"/>
          <w:color w:val="000000"/>
          <w:kern w:val="0"/>
          <w14:ligatures w14:val="none"/>
        </w:rPr>
        <w:t xml:space="preserve"> a math lesson could involve calculating percentage changes in population. Although the lessons remain separate, </w:t>
      </w:r>
      <w:r w:rsidR="00F37E12" w:rsidRPr="004B380C">
        <w:rPr>
          <w:rFonts w:ascii="Times New Roman" w:eastAsia="Times New Roman" w:hAnsi="Times New Roman" w:cs="Times New Roman"/>
          <w:color w:val="000000"/>
          <w:kern w:val="0"/>
          <w14:ligatures w14:val="none"/>
        </w:rPr>
        <w:t xml:space="preserve">a </w:t>
      </w:r>
      <w:r w:rsidRPr="004B380C">
        <w:rPr>
          <w:rFonts w:ascii="Times New Roman" w:eastAsia="Times New Roman" w:hAnsi="Times New Roman" w:cs="Times New Roman"/>
          <w:color w:val="000000"/>
          <w:kern w:val="0"/>
          <w14:ligatures w14:val="none"/>
        </w:rPr>
        <w:t xml:space="preserve">common thread ties them together, helping students </w:t>
      </w:r>
      <w:r w:rsidR="00F37E12" w:rsidRPr="004B380C">
        <w:rPr>
          <w:rFonts w:ascii="Times New Roman" w:eastAsia="Times New Roman" w:hAnsi="Times New Roman" w:cs="Times New Roman"/>
          <w:color w:val="000000"/>
          <w:kern w:val="0"/>
          <w14:ligatures w14:val="none"/>
        </w:rPr>
        <w:t>recogniz</w:t>
      </w:r>
      <w:r w:rsidRPr="004B380C">
        <w:rPr>
          <w:rFonts w:ascii="Times New Roman" w:eastAsia="Times New Roman" w:hAnsi="Times New Roman" w:cs="Times New Roman"/>
          <w:color w:val="000000"/>
          <w:kern w:val="0"/>
          <w14:ligatures w14:val="none"/>
        </w:rPr>
        <w:t xml:space="preserve">e connections </w:t>
      </w:r>
      <w:r w:rsidR="00F37E12" w:rsidRPr="004B380C">
        <w:rPr>
          <w:rFonts w:ascii="Times New Roman" w:eastAsia="Times New Roman" w:hAnsi="Times New Roman" w:cs="Times New Roman"/>
          <w:color w:val="000000"/>
          <w:kern w:val="0"/>
          <w14:ligatures w14:val="none"/>
        </w:rPr>
        <w:t>across</w:t>
      </w:r>
      <w:r w:rsidRPr="004B380C">
        <w:rPr>
          <w:rFonts w:ascii="Times New Roman" w:eastAsia="Times New Roman" w:hAnsi="Times New Roman" w:cs="Times New Roman"/>
          <w:color w:val="000000"/>
          <w:kern w:val="0"/>
          <w14:ligatures w14:val="none"/>
        </w:rPr>
        <w:t xml:space="preserve"> disciplines.</w:t>
      </w:r>
    </w:p>
    <w:p w14:paraId="418A2846" w14:textId="18AE7E42" w:rsidR="009941AF" w:rsidRPr="004B380C" w:rsidRDefault="009941AF"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color w:val="000000"/>
          <w:kern w:val="0"/>
          <w14:ligatures w14:val="none"/>
        </w:rPr>
        <w:t xml:space="preserve">In contrast, interdisciplinary learning moves beyond connecting themes </w:t>
      </w:r>
      <w:r w:rsidR="008B3449" w:rsidRPr="004B380C">
        <w:rPr>
          <w:rFonts w:ascii="Times New Roman" w:eastAsia="Times New Roman" w:hAnsi="Times New Roman" w:cs="Times New Roman"/>
          <w:color w:val="000000"/>
          <w:kern w:val="0"/>
          <w14:ligatures w14:val="none"/>
        </w:rPr>
        <w:t>to</w:t>
      </w:r>
      <w:r w:rsidRPr="004B380C">
        <w:rPr>
          <w:rFonts w:ascii="Times New Roman" w:eastAsia="Times New Roman" w:hAnsi="Times New Roman" w:cs="Times New Roman"/>
          <w:color w:val="000000"/>
          <w:kern w:val="0"/>
          <w14:ligatures w14:val="none"/>
        </w:rPr>
        <w:t xml:space="preserve"> integrate knowledge, methods, and perspectives from two or more disciplines into a unified educational experience (Holley, 2017; </w:t>
      </w:r>
      <w:proofErr w:type="spellStart"/>
      <w:r w:rsidRPr="004B380C">
        <w:rPr>
          <w:rFonts w:ascii="Times New Roman" w:eastAsia="Times New Roman" w:hAnsi="Times New Roman" w:cs="Times New Roman"/>
          <w:color w:val="000000"/>
          <w:kern w:val="0"/>
          <w14:ligatures w14:val="none"/>
        </w:rPr>
        <w:t>Oudenampsen</w:t>
      </w:r>
      <w:proofErr w:type="spellEnd"/>
      <w:r w:rsidRPr="004B380C">
        <w:rPr>
          <w:rFonts w:ascii="Times New Roman" w:eastAsia="Times New Roman" w:hAnsi="Times New Roman" w:cs="Times New Roman"/>
          <w:color w:val="000000"/>
          <w:kern w:val="0"/>
          <w14:ligatures w14:val="none"/>
        </w:rPr>
        <w:t xml:space="preserve"> et al., 2023). Using the same pollinator example, students might </w:t>
      </w:r>
      <w:r w:rsidR="008B3449" w:rsidRPr="004B380C">
        <w:rPr>
          <w:rFonts w:ascii="Times New Roman" w:eastAsia="Times New Roman" w:hAnsi="Times New Roman" w:cs="Times New Roman"/>
          <w:color w:val="000000"/>
          <w:kern w:val="0"/>
          <w14:ligatures w14:val="none"/>
        </w:rPr>
        <w:t>collaborate</w:t>
      </w:r>
      <w:r w:rsidRPr="004B380C">
        <w:rPr>
          <w:rFonts w:ascii="Times New Roman" w:eastAsia="Times New Roman" w:hAnsi="Times New Roman" w:cs="Times New Roman"/>
          <w:color w:val="000000"/>
          <w:kern w:val="0"/>
          <w14:ligatures w14:val="none"/>
        </w:rPr>
        <w:t xml:space="preserve"> on a research-based action proposal that integrates science, math</w:t>
      </w:r>
      <w:r w:rsidR="008B3449" w:rsidRPr="004B380C">
        <w:rPr>
          <w:rFonts w:ascii="Times New Roman" w:eastAsia="Times New Roman" w:hAnsi="Times New Roman" w:cs="Times New Roman"/>
          <w:color w:val="000000"/>
          <w:kern w:val="0"/>
          <w14:ligatures w14:val="none"/>
        </w:rPr>
        <w:t>ematics</w:t>
      </w:r>
      <w:r w:rsidRPr="004B380C">
        <w:rPr>
          <w:rFonts w:ascii="Times New Roman" w:eastAsia="Times New Roman" w:hAnsi="Times New Roman" w:cs="Times New Roman"/>
          <w:color w:val="000000"/>
          <w:kern w:val="0"/>
          <w14:ligatures w14:val="none"/>
        </w:rPr>
        <w:t xml:space="preserve">, and social studies into a cohesive project. They could collect and analyze field data on pollinator activity, interpret statistical trends, and investigate agricultural policies that affect pollinator habitats. In this approach, all disciplines work together toward </w:t>
      </w:r>
      <w:r w:rsidR="008B3449" w:rsidRPr="004B380C">
        <w:rPr>
          <w:rFonts w:ascii="Times New Roman" w:eastAsia="Times New Roman" w:hAnsi="Times New Roman" w:cs="Times New Roman"/>
          <w:color w:val="000000"/>
          <w:kern w:val="0"/>
          <w14:ligatures w14:val="none"/>
        </w:rPr>
        <w:t xml:space="preserve">a </w:t>
      </w:r>
      <w:r w:rsidRPr="004B380C">
        <w:rPr>
          <w:rFonts w:ascii="Times New Roman" w:eastAsia="Times New Roman" w:hAnsi="Times New Roman" w:cs="Times New Roman"/>
          <w:color w:val="000000"/>
          <w:kern w:val="0"/>
          <w14:ligatures w14:val="none"/>
        </w:rPr>
        <w:t xml:space="preserve">shared outcome, </w:t>
      </w:r>
      <w:r w:rsidR="008B3449" w:rsidRPr="004B380C">
        <w:rPr>
          <w:rFonts w:ascii="Times New Roman" w:eastAsia="Times New Roman" w:hAnsi="Times New Roman" w:cs="Times New Roman"/>
          <w:color w:val="000000"/>
          <w:kern w:val="0"/>
          <w14:ligatures w14:val="none"/>
        </w:rPr>
        <w:t>enabl</w:t>
      </w:r>
      <w:r w:rsidRPr="004B380C">
        <w:rPr>
          <w:rFonts w:ascii="Times New Roman" w:eastAsia="Times New Roman" w:hAnsi="Times New Roman" w:cs="Times New Roman"/>
          <w:color w:val="000000"/>
          <w:kern w:val="0"/>
          <w14:ligatures w14:val="none"/>
        </w:rPr>
        <w:t xml:space="preserve">ing students to develop deeper, more </w:t>
      </w:r>
      <w:r w:rsidR="008B3449" w:rsidRPr="004B380C">
        <w:rPr>
          <w:rFonts w:ascii="Times New Roman" w:eastAsia="Times New Roman" w:hAnsi="Times New Roman" w:cs="Times New Roman"/>
          <w:color w:val="000000"/>
          <w:kern w:val="0"/>
          <w14:ligatures w14:val="none"/>
        </w:rPr>
        <w:t>integra</w:t>
      </w:r>
      <w:r w:rsidRPr="004B380C">
        <w:rPr>
          <w:rFonts w:ascii="Times New Roman" w:eastAsia="Times New Roman" w:hAnsi="Times New Roman" w:cs="Times New Roman"/>
          <w:color w:val="000000"/>
          <w:kern w:val="0"/>
          <w14:ligatures w14:val="none"/>
        </w:rPr>
        <w:t>ted understandings than a single discipline could achieve on its own.</w:t>
      </w:r>
    </w:p>
    <w:p w14:paraId="77C4E16B" w14:textId="6B81AEBC" w:rsidR="00F27FFC" w:rsidRPr="004B380C" w:rsidRDefault="00AF6E27" w:rsidP="001B5072">
      <w:pPr>
        <w:spacing w:line="240" w:lineRule="auto"/>
        <w:ind w:firstLine="720"/>
        <w:rPr>
          <w:rFonts w:ascii="Times New Roman" w:eastAsia="Times New Roman" w:hAnsi="Times New Roman" w:cs="Times New Roman"/>
          <w:color w:val="000000"/>
          <w:kern w:val="0"/>
          <w14:ligatures w14:val="none"/>
        </w:rPr>
      </w:pPr>
      <w:r w:rsidRPr="004B380C">
        <w:rPr>
          <w:rFonts w:ascii="Times New Roman" w:eastAsia="Times New Roman" w:hAnsi="Times New Roman" w:cs="Times New Roman"/>
          <w:kern w:val="0"/>
          <w14:ligatures w14:val="none"/>
        </w:rPr>
        <w:t xml:space="preserve">McKim et al. (2025) examined exemplary STEM lessons self-identified by agriculture teachers; however, there remains a gap in literature if lessons like these meet the rigor and relevance needs of current science learning practices. </w:t>
      </w:r>
      <w:r w:rsidR="009941AF" w:rsidRPr="004B380C">
        <w:rPr>
          <w:rFonts w:ascii="Times New Roman" w:eastAsia="Times New Roman" w:hAnsi="Times New Roman" w:cs="Times New Roman"/>
          <w:color w:val="000000"/>
          <w:kern w:val="0"/>
          <w14:ligatures w14:val="none"/>
        </w:rPr>
        <w:t xml:space="preserve">Scherer et al. (2019), </w:t>
      </w:r>
      <w:r w:rsidR="008B3449" w:rsidRPr="004B380C">
        <w:rPr>
          <w:rFonts w:ascii="Times New Roman" w:eastAsia="Times New Roman" w:hAnsi="Times New Roman" w:cs="Times New Roman"/>
          <w:color w:val="000000"/>
          <w:kern w:val="0"/>
          <w14:ligatures w14:val="none"/>
        </w:rPr>
        <w:t>in</w:t>
      </w:r>
      <w:r w:rsidR="009941AF" w:rsidRPr="004B380C">
        <w:rPr>
          <w:rFonts w:ascii="Times New Roman" w:eastAsia="Times New Roman" w:hAnsi="Times New Roman" w:cs="Times New Roman"/>
          <w:color w:val="000000"/>
          <w:kern w:val="0"/>
          <w14:ligatures w14:val="none"/>
        </w:rPr>
        <w:t xml:space="preserve"> a systematic </w:t>
      </w:r>
      <w:r w:rsidR="009941AF" w:rsidRPr="004B380C">
        <w:rPr>
          <w:rFonts w:ascii="Times New Roman" w:eastAsia="Times New Roman" w:hAnsi="Times New Roman" w:cs="Times New Roman"/>
          <w:color w:val="000000"/>
          <w:kern w:val="0"/>
          <w14:ligatures w14:val="none"/>
        </w:rPr>
        <w:lastRenderedPageBreak/>
        <w:t xml:space="preserve">review of “STEM” in AFNR education, </w:t>
      </w:r>
      <w:r w:rsidR="008B3449" w:rsidRPr="004B380C">
        <w:rPr>
          <w:rFonts w:ascii="Times New Roman" w:eastAsia="Times New Roman" w:hAnsi="Times New Roman" w:cs="Times New Roman"/>
          <w:color w:val="000000"/>
          <w:kern w:val="0"/>
          <w14:ligatures w14:val="none"/>
        </w:rPr>
        <w:t xml:space="preserve">recommended </w:t>
      </w:r>
      <w:r w:rsidR="009941AF" w:rsidRPr="004B380C">
        <w:rPr>
          <w:rFonts w:ascii="Times New Roman" w:eastAsia="Times New Roman" w:hAnsi="Times New Roman" w:cs="Times New Roman"/>
          <w:color w:val="000000"/>
          <w:kern w:val="0"/>
          <w14:ligatures w14:val="none"/>
        </w:rPr>
        <w:t>a more collaborative and interdisciplinary approach that clarifies what STEM means in applied, real-world contexts rather than treating it as a generic buzzword. Despite national calls for STEM alignment, there remains limited research on how SBAE teachers interpret and implement scientific content in practice. As a result, the field lacks a clear understanding of the instructional strategies, content depth, and contextual factors that shape science integration in SBAE classrooms. This gap is especially important because teachers’ perceptions strongly influence the depth, accuracy, and consistency with which scientific concepts are integrated into agricultural instruction. As a result, the field still lacks a comprehensive understanding of the instructional strategies, content depth, and contextual factors that shape effective science integration in SBAE classrooms.</w:t>
      </w:r>
    </w:p>
    <w:p w14:paraId="5708B058" w14:textId="30D2B376" w:rsidR="00F27FFC" w:rsidRPr="004B380C" w:rsidRDefault="00F27FFC" w:rsidP="004B380C">
      <w:pPr>
        <w:spacing w:line="240" w:lineRule="auto"/>
        <w:jc w:val="center"/>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Theoretical Framework</w:t>
      </w:r>
    </w:p>
    <w:p w14:paraId="785521C3" w14:textId="68B419BF" w:rsidR="009941AF" w:rsidRPr="004B380C" w:rsidRDefault="009941AF" w:rsidP="004B380C">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This study was grounded in Dunkin and Biddle’s (1974) Model of Teaching and Learning. This model provided a comprehensive framework for understanding the complex effect</w:t>
      </w:r>
      <w:r w:rsidR="008B3449" w:rsidRPr="004B380C">
        <w:rPr>
          <w:rFonts w:ascii="Times New Roman" w:eastAsia="Times New Roman" w:hAnsi="Times New Roman" w:cs="Times New Roman"/>
          <w:kern w:val="0"/>
          <w14:ligatures w14:val="none"/>
        </w:rPr>
        <w:t>s</w:t>
      </w:r>
      <w:r w:rsidRPr="004B380C">
        <w:rPr>
          <w:rFonts w:ascii="Times New Roman" w:eastAsia="Times New Roman" w:hAnsi="Times New Roman" w:cs="Times New Roman"/>
          <w:kern w:val="0"/>
          <w14:ligatures w14:val="none"/>
        </w:rPr>
        <w:t xml:space="preserve"> of variables </w:t>
      </w:r>
      <w:r w:rsidR="008B3449" w:rsidRPr="004B380C">
        <w:rPr>
          <w:rFonts w:ascii="Times New Roman" w:eastAsia="Times New Roman" w:hAnsi="Times New Roman" w:cs="Times New Roman"/>
          <w:kern w:val="0"/>
          <w14:ligatures w14:val="none"/>
        </w:rPr>
        <w:t>influencing</w:t>
      </w:r>
      <w:r w:rsidRPr="004B380C">
        <w:rPr>
          <w:rFonts w:ascii="Times New Roman" w:eastAsia="Times New Roman" w:hAnsi="Times New Roman" w:cs="Times New Roman"/>
          <w:kern w:val="0"/>
          <w14:ligatures w14:val="none"/>
        </w:rPr>
        <w:t xml:space="preserve"> classroom instruction and student outcomes by identifying four types of variables representing components of the teaching and learning environment: presage, context, process, and product variables. This study was part of a larger research project that examined the broader curricular impacts of integrating science into SBAE classrooms using this model as a guiding framework. While the overall project sought to understand how all components of the model influenced teaching and learning, the present study focuses specifically on the presage and context variables. By concentrating on these two areas, this study contributes foundational insight into the teacher- and environment-related factors that shape how SBAE educators interpret, plan for, and implement science integration in their instruction. </w:t>
      </w:r>
    </w:p>
    <w:p w14:paraId="74FD2F98" w14:textId="4DBCDDA7"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Presage variables </w:t>
      </w:r>
      <w:r w:rsidR="008B3449" w:rsidRPr="004B380C">
        <w:rPr>
          <w:rFonts w:ascii="Times New Roman" w:eastAsia="Times New Roman" w:hAnsi="Times New Roman" w:cs="Times New Roman"/>
          <w:kern w:val="0"/>
          <w14:ligatures w14:val="none"/>
        </w:rPr>
        <w:t>ar</w:t>
      </w:r>
      <w:r w:rsidRPr="004B380C">
        <w:rPr>
          <w:rFonts w:ascii="Times New Roman" w:eastAsia="Times New Roman" w:hAnsi="Times New Roman" w:cs="Times New Roman"/>
          <w:kern w:val="0"/>
          <w14:ligatures w14:val="none"/>
        </w:rPr>
        <w:t xml:space="preserve">e characteristics that teachers bring to the classroom </w:t>
      </w:r>
      <w:r w:rsidR="008B3449" w:rsidRPr="004B380C">
        <w:rPr>
          <w:rFonts w:ascii="Times New Roman" w:eastAsia="Times New Roman" w:hAnsi="Times New Roman" w:cs="Times New Roman"/>
          <w:kern w:val="0"/>
          <w14:ligatures w14:val="none"/>
        </w:rPr>
        <w:t>before</w:t>
      </w:r>
      <w:r w:rsidRPr="004B380C">
        <w:rPr>
          <w:rFonts w:ascii="Times New Roman" w:eastAsia="Times New Roman" w:hAnsi="Times New Roman" w:cs="Times New Roman"/>
          <w:kern w:val="0"/>
          <w14:ligatures w14:val="none"/>
        </w:rPr>
        <w:t xml:space="preserve"> instruction. In this study, key presage variables include teachers’ preparation, certification pathways, professional development experiences, science content knowledge, and perceptions of science integration in SBAE. These factors influence instructional decision-making in teachers’ ability to effectively highlight science content within agriculture content. For example, teachers’ beliefs about the value or relevance of science in agriculture may influence the extent to which they incorporate science.</w:t>
      </w:r>
    </w:p>
    <w:p w14:paraId="3017E0DE" w14:textId="77777777"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Research has demonstrated that teacher preparation and professional development play critical roles in shaping science integration practices. Teachers who receive targeted preparation in scientific inquiry and content tend to demonstrate greater confidence and competence when embedding science within SBAE instruction (Swafford, 2018). Certification pathways also influence teachers’ readiness to integrate science, as those with secondary science certifications often report higher self-efficacy in teaching science-based content than traditionally certified teachers (Smith et al., 2015).</w:t>
      </w:r>
    </w:p>
    <w:p w14:paraId="1F1A67DD" w14:textId="77777777"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Context variables represent external conditions that shape the teaching environment and influence both instructional practices and student engagement. In this study, context variables include student perceptions of agriculture and science education, socioeconomic status, career goals, community norms, and school or district support. These elements provide important background information that informs how and why science integration may differ across SBAE programs. For example, a student’s interest in science careers or the level of support provided by the school district for STEM-related initiatives may affect a teacher’s desire to prioritize integrated science instruction. </w:t>
      </w:r>
    </w:p>
    <w:p w14:paraId="5C77CAC0" w14:textId="1F33C483"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lastRenderedPageBreak/>
        <w:t xml:space="preserve">Community norms also shape expectations for SBAE programs. In rural areas, for instance, agriculture is often viewed through a production-oriented lens, whereas suburban or urban programs may emphasize STEM-focused applications and technological innovations (Zachery et al., 2025). These differences affect both student perceptions and teacher decision-making when designing lessons. Access to resources, laboratory space, and technology frequently varies across these contexts, creating inequities in </w:t>
      </w:r>
      <w:r w:rsidR="002E3E84" w:rsidRPr="004B380C">
        <w:rPr>
          <w:rFonts w:ascii="Times New Roman" w:eastAsia="Times New Roman" w:hAnsi="Times New Roman" w:cs="Times New Roman"/>
          <w:kern w:val="0"/>
          <w14:ligatures w14:val="none"/>
        </w:rPr>
        <w:t>the</w:t>
      </w:r>
      <w:r w:rsidRPr="004B380C">
        <w:rPr>
          <w:rFonts w:ascii="Times New Roman" w:eastAsia="Times New Roman" w:hAnsi="Times New Roman" w:cs="Times New Roman"/>
          <w:kern w:val="0"/>
          <w14:ligatures w14:val="none"/>
        </w:rPr>
        <w:t xml:space="preserve"> </w:t>
      </w:r>
      <w:r w:rsidR="002E3E84" w:rsidRPr="004B380C">
        <w:rPr>
          <w:rFonts w:ascii="Times New Roman" w:eastAsia="Times New Roman" w:hAnsi="Times New Roman" w:cs="Times New Roman"/>
          <w:kern w:val="0"/>
          <w14:ligatures w14:val="none"/>
        </w:rPr>
        <w:t>implementation</w:t>
      </w:r>
      <w:r w:rsidRPr="004B380C">
        <w:rPr>
          <w:rFonts w:ascii="Times New Roman" w:eastAsia="Times New Roman" w:hAnsi="Times New Roman" w:cs="Times New Roman"/>
          <w:kern w:val="0"/>
          <w14:ligatures w14:val="none"/>
        </w:rPr>
        <w:t xml:space="preserve"> </w:t>
      </w:r>
      <w:r w:rsidR="002E3E84" w:rsidRPr="004B380C">
        <w:rPr>
          <w:rFonts w:ascii="Times New Roman" w:eastAsia="Times New Roman" w:hAnsi="Times New Roman" w:cs="Times New Roman"/>
          <w:kern w:val="0"/>
          <w14:ligatures w14:val="none"/>
        </w:rPr>
        <w:t>of</w:t>
      </w:r>
      <w:r w:rsidRPr="004B380C">
        <w:rPr>
          <w:rFonts w:ascii="Times New Roman" w:eastAsia="Times New Roman" w:hAnsi="Times New Roman" w:cs="Times New Roman"/>
          <w:kern w:val="0"/>
          <w14:ligatures w14:val="none"/>
        </w:rPr>
        <w:t xml:space="preserve"> </w:t>
      </w:r>
      <w:r w:rsidR="002E3E84" w:rsidRPr="004B380C">
        <w:rPr>
          <w:rFonts w:ascii="Times New Roman" w:eastAsia="Times New Roman" w:hAnsi="Times New Roman" w:cs="Times New Roman"/>
          <w:kern w:val="0"/>
          <w14:ligatures w14:val="none"/>
        </w:rPr>
        <w:t>science</w:t>
      </w:r>
      <w:r w:rsidRPr="004B380C">
        <w:rPr>
          <w:rFonts w:ascii="Times New Roman" w:eastAsia="Times New Roman" w:hAnsi="Times New Roman" w:cs="Times New Roman"/>
          <w:kern w:val="0"/>
          <w14:ligatures w14:val="none"/>
        </w:rPr>
        <w:t xml:space="preserve"> i</w:t>
      </w:r>
      <w:r w:rsidR="002E3E84" w:rsidRPr="004B380C">
        <w:rPr>
          <w:rFonts w:ascii="Times New Roman" w:eastAsia="Times New Roman" w:hAnsi="Times New Roman" w:cs="Times New Roman"/>
          <w:kern w:val="0"/>
          <w14:ligatures w14:val="none"/>
        </w:rPr>
        <w:t>ntegration</w:t>
      </w:r>
      <w:r w:rsidRPr="004B380C">
        <w:rPr>
          <w:rFonts w:ascii="Times New Roman" w:eastAsia="Times New Roman" w:hAnsi="Times New Roman" w:cs="Times New Roman"/>
          <w:kern w:val="0"/>
          <w14:ligatures w14:val="none"/>
        </w:rPr>
        <w:t xml:space="preserve"> (Myers &amp; Washburn, 2008). By focusing on presage and context variables as outlined in Dunkin &amp; Biddle’s (1974), this study aimed to better understand the teacher- and environmental-related factors that set the stage for science integration in SBAE.</w:t>
      </w:r>
    </w:p>
    <w:p w14:paraId="6D7F47F7" w14:textId="15A455AF" w:rsidR="00F27FFC" w:rsidRPr="004B380C" w:rsidRDefault="00F27FFC" w:rsidP="004B380C">
      <w:pPr>
        <w:spacing w:line="240" w:lineRule="auto"/>
        <w:jc w:val="center"/>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Purpose and Research Questions</w:t>
      </w:r>
    </w:p>
    <w:p w14:paraId="46F8B190" w14:textId="39403AC2" w:rsidR="00F27FFC" w:rsidRPr="004B380C" w:rsidRDefault="00F27FFC" w:rsidP="001B5072">
      <w:pPr>
        <w:spacing w:line="240" w:lineRule="auto"/>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ab/>
        <w:t xml:space="preserve">The purpose of this study </w:t>
      </w:r>
      <w:r w:rsidR="00D52464" w:rsidRPr="004B380C">
        <w:rPr>
          <w:rFonts w:ascii="Times New Roman" w:eastAsia="Times New Roman" w:hAnsi="Times New Roman" w:cs="Times New Roman"/>
          <w:kern w:val="0"/>
          <w14:ligatures w14:val="none"/>
        </w:rPr>
        <w:t>was</w:t>
      </w:r>
      <w:r w:rsidRPr="004B380C">
        <w:rPr>
          <w:rFonts w:ascii="Times New Roman" w:eastAsia="Times New Roman" w:hAnsi="Times New Roman" w:cs="Times New Roman"/>
          <w:kern w:val="0"/>
          <w14:ligatures w14:val="none"/>
        </w:rPr>
        <w:t xml:space="preserve"> to explore how secondary SBAE educators </w:t>
      </w:r>
      <w:r w:rsidR="00CB3374" w:rsidRPr="004B380C">
        <w:rPr>
          <w:rFonts w:ascii="Times New Roman" w:eastAsia="Times New Roman" w:hAnsi="Times New Roman" w:cs="Times New Roman"/>
          <w:kern w:val="0"/>
          <w14:ligatures w14:val="none"/>
        </w:rPr>
        <w:t>incorporate</w:t>
      </w:r>
      <w:r w:rsidRPr="004B380C">
        <w:rPr>
          <w:rFonts w:ascii="Times New Roman" w:eastAsia="Times New Roman" w:hAnsi="Times New Roman" w:cs="Times New Roman"/>
          <w:kern w:val="0"/>
          <w14:ligatures w14:val="none"/>
        </w:rPr>
        <w:t xml:space="preserve"> scientific concepts into their classrooms, examining </w:t>
      </w:r>
      <w:r w:rsidR="00CB3374" w:rsidRPr="004B380C">
        <w:rPr>
          <w:rFonts w:ascii="Times New Roman" w:eastAsia="Times New Roman" w:hAnsi="Times New Roman" w:cs="Times New Roman"/>
          <w:kern w:val="0"/>
          <w14:ligatures w14:val="none"/>
        </w:rPr>
        <w:t xml:space="preserve">their </w:t>
      </w:r>
      <w:r w:rsidRPr="004B380C">
        <w:rPr>
          <w:rFonts w:ascii="Times New Roman" w:eastAsia="Times New Roman" w:hAnsi="Times New Roman" w:cs="Times New Roman"/>
          <w:kern w:val="0"/>
          <w14:ligatures w14:val="none"/>
        </w:rPr>
        <w:t xml:space="preserve">philosophical approaches, pedagogical strategies, instructional practices, and language used to convey science-related content in </w:t>
      </w:r>
      <w:r w:rsidR="00BC5E97" w:rsidRPr="004B380C">
        <w:rPr>
          <w:rFonts w:ascii="Times New Roman" w:eastAsia="Times New Roman" w:hAnsi="Times New Roman" w:cs="Times New Roman"/>
          <w:kern w:val="0"/>
          <w14:ligatures w14:val="none"/>
        </w:rPr>
        <w:t>agricultural</w:t>
      </w:r>
      <w:r w:rsidRPr="004B380C">
        <w:rPr>
          <w:rFonts w:ascii="Times New Roman" w:eastAsia="Times New Roman" w:hAnsi="Times New Roman" w:cs="Times New Roman"/>
          <w:kern w:val="0"/>
          <w14:ligatures w14:val="none"/>
        </w:rPr>
        <w:t xml:space="preserve"> </w:t>
      </w:r>
      <w:r w:rsidR="00BC5E97" w:rsidRPr="004B380C">
        <w:rPr>
          <w:rFonts w:ascii="Times New Roman" w:eastAsia="Times New Roman" w:hAnsi="Times New Roman" w:cs="Times New Roman"/>
          <w:kern w:val="0"/>
          <w14:ligatures w14:val="none"/>
        </w:rPr>
        <w:t>contexts</w:t>
      </w:r>
      <w:r w:rsidRPr="004B380C">
        <w:rPr>
          <w:rFonts w:ascii="Times New Roman" w:eastAsia="Times New Roman" w:hAnsi="Times New Roman" w:cs="Times New Roman"/>
          <w:kern w:val="0"/>
          <w14:ligatures w14:val="none"/>
        </w:rPr>
        <w:t xml:space="preserve">. The research questions for this study </w:t>
      </w:r>
      <w:r w:rsidR="00D52464" w:rsidRPr="004B380C">
        <w:rPr>
          <w:rFonts w:ascii="Times New Roman" w:eastAsia="Times New Roman" w:hAnsi="Times New Roman" w:cs="Times New Roman"/>
          <w:kern w:val="0"/>
          <w14:ligatures w14:val="none"/>
        </w:rPr>
        <w:t>included</w:t>
      </w:r>
      <w:r w:rsidRPr="004B380C">
        <w:rPr>
          <w:rFonts w:ascii="Times New Roman" w:eastAsia="Times New Roman" w:hAnsi="Times New Roman" w:cs="Times New Roman"/>
          <w:kern w:val="0"/>
          <w14:ligatures w14:val="none"/>
        </w:rPr>
        <w:t xml:space="preserve">: </w:t>
      </w:r>
    </w:p>
    <w:p w14:paraId="4DC0AB44" w14:textId="77777777" w:rsidR="00F27FFC" w:rsidRPr="004B380C" w:rsidRDefault="00F27FFC" w:rsidP="001B5072">
      <w:pPr>
        <w:numPr>
          <w:ilvl w:val="0"/>
          <w:numId w:val="1"/>
        </w:numPr>
        <w:spacing w:line="240" w:lineRule="auto"/>
        <w:contextualSpacing/>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How do agriculture teachers incorporate scientific concepts into instruction?</w:t>
      </w:r>
    </w:p>
    <w:p w14:paraId="73773441" w14:textId="77777777" w:rsidR="00F27FFC" w:rsidRPr="004B380C" w:rsidRDefault="00F27FFC" w:rsidP="001B5072">
      <w:pPr>
        <w:numPr>
          <w:ilvl w:val="0"/>
          <w:numId w:val="1"/>
        </w:numPr>
        <w:spacing w:line="240" w:lineRule="auto"/>
        <w:contextualSpacing/>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What levels of scientific content are agriculture teachers integrating?</w:t>
      </w:r>
    </w:p>
    <w:p w14:paraId="3F1C98AD" w14:textId="77777777" w:rsidR="00F27FFC" w:rsidRPr="004B380C" w:rsidRDefault="00F27FFC" w:rsidP="001B5072">
      <w:pPr>
        <w:numPr>
          <w:ilvl w:val="0"/>
          <w:numId w:val="1"/>
        </w:numPr>
        <w:spacing w:line="240" w:lineRule="auto"/>
        <w:contextualSpacing/>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What presage and contextual variables influence how agriculture teachers integrate science? </w:t>
      </w:r>
    </w:p>
    <w:p w14:paraId="4719F073" w14:textId="544338B1" w:rsidR="00F27FFC" w:rsidRPr="004B380C" w:rsidRDefault="00F27FFC" w:rsidP="004B380C">
      <w:pPr>
        <w:spacing w:line="240" w:lineRule="auto"/>
        <w:jc w:val="center"/>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Methods</w:t>
      </w:r>
    </w:p>
    <w:p w14:paraId="4204B84D" w14:textId="1E599E63" w:rsidR="009941AF" w:rsidRPr="004B380C" w:rsidRDefault="009941AF" w:rsidP="001B5072">
      <w:pPr>
        <w:spacing w:line="240" w:lineRule="auto"/>
        <w:ind w:firstLine="720"/>
        <w:textAlignment w:val="baseline"/>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This study employed a qualitative multi-case study design (Yin, 201</w:t>
      </w:r>
      <w:r w:rsidR="003671E9">
        <w:rPr>
          <w:rFonts w:ascii="Times New Roman" w:eastAsia="Times New Roman" w:hAnsi="Times New Roman" w:cs="Times New Roman"/>
          <w:kern w:val="0"/>
          <w14:ligatures w14:val="none"/>
        </w:rPr>
        <w:t>8</w:t>
      </w:r>
      <w:r w:rsidRPr="004B380C">
        <w:rPr>
          <w:rFonts w:ascii="Times New Roman" w:eastAsia="Times New Roman" w:hAnsi="Times New Roman" w:cs="Times New Roman"/>
          <w:kern w:val="0"/>
          <w14:ligatures w14:val="none"/>
        </w:rPr>
        <w:t>) to explore how SBAE teachers integrate and communicate scientific concepts in their classrooms, with each teacher serving as a case. A case study design offers a valuable approach for examining processes in real-world settings (Yin, 201</w:t>
      </w:r>
      <w:r w:rsidR="003671E9">
        <w:rPr>
          <w:rFonts w:ascii="Times New Roman" w:eastAsia="Times New Roman" w:hAnsi="Times New Roman" w:cs="Times New Roman"/>
          <w:kern w:val="0"/>
          <w14:ligatures w14:val="none"/>
        </w:rPr>
        <w:t>8</w:t>
      </w:r>
      <w:r w:rsidRPr="004B380C">
        <w:rPr>
          <w:rFonts w:ascii="Times New Roman" w:eastAsia="Times New Roman" w:hAnsi="Times New Roman" w:cs="Times New Roman"/>
          <w:kern w:val="0"/>
          <w14:ligatures w14:val="none"/>
        </w:rPr>
        <w:t>), making it well</w:t>
      </w:r>
      <w:r w:rsidR="00BC5E97" w:rsidRPr="004B380C">
        <w:rPr>
          <w:rFonts w:ascii="Times New Roman" w:eastAsia="Times New Roman" w:hAnsi="Times New Roman" w:cs="Times New Roman"/>
          <w:kern w:val="0"/>
          <w14:ligatures w14:val="none"/>
        </w:rPr>
        <w:t>-suited to</w:t>
      </w:r>
      <w:r w:rsidRPr="004B380C">
        <w:rPr>
          <w:rFonts w:ascii="Times New Roman" w:eastAsia="Times New Roman" w:hAnsi="Times New Roman" w:cs="Times New Roman"/>
          <w:kern w:val="0"/>
          <w14:ligatures w14:val="none"/>
        </w:rPr>
        <w:t xml:space="preserve"> analyzing the complex dynamics of how SBAE teachers implement science concepts in agriculture. Consistent with Yin’s (201</w:t>
      </w:r>
      <w:r w:rsidR="003671E9">
        <w:rPr>
          <w:rFonts w:ascii="Times New Roman" w:eastAsia="Times New Roman" w:hAnsi="Times New Roman" w:cs="Times New Roman"/>
          <w:kern w:val="0"/>
          <w14:ligatures w14:val="none"/>
        </w:rPr>
        <w:t>8</w:t>
      </w:r>
      <w:r w:rsidRPr="004B380C">
        <w:rPr>
          <w:rFonts w:ascii="Times New Roman" w:eastAsia="Times New Roman" w:hAnsi="Times New Roman" w:cs="Times New Roman"/>
          <w:kern w:val="0"/>
          <w14:ligatures w14:val="none"/>
        </w:rPr>
        <w:t xml:space="preserve">) guidance, this study was grounded in a pragmatic epistemological perspective, emphasizing practical inquiry and the usefulness of ideas in real-world contexts (Crotty, 2012). From a pragmatic perspective, reality is understood as shaped by individual experiences, and interpretations of phenomena may vary </w:t>
      </w:r>
      <w:r w:rsidR="00BC5E97" w:rsidRPr="004B380C">
        <w:rPr>
          <w:rFonts w:ascii="Times New Roman" w:eastAsia="Times New Roman" w:hAnsi="Times New Roman" w:cs="Times New Roman"/>
          <w:kern w:val="0"/>
          <w14:ligatures w14:val="none"/>
        </w:rPr>
        <w:t>with</w:t>
      </w:r>
      <w:r w:rsidRPr="004B380C">
        <w:rPr>
          <w:rFonts w:ascii="Times New Roman" w:eastAsia="Times New Roman" w:hAnsi="Times New Roman" w:cs="Times New Roman"/>
          <w:kern w:val="0"/>
          <w14:ligatures w14:val="none"/>
        </w:rPr>
        <w:t xml:space="preserve"> those </w:t>
      </w:r>
      <w:r w:rsidR="00BC5E97" w:rsidRPr="004B380C">
        <w:rPr>
          <w:rFonts w:ascii="Times New Roman" w:eastAsia="Times New Roman" w:hAnsi="Times New Roman" w:cs="Times New Roman"/>
          <w:kern w:val="0"/>
          <w14:ligatures w14:val="none"/>
        </w:rPr>
        <w:t>experienc</w:t>
      </w:r>
      <w:r w:rsidRPr="004B380C">
        <w:rPr>
          <w:rFonts w:ascii="Times New Roman" w:eastAsia="Times New Roman" w:hAnsi="Times New Roman" w:cs="Times New Roman"/>
          <w:kern w:val="0"/>
          <w14:ligatures w14:val="none"/>
        </w:rPr>
        <w:t xml:space="preserve">es (Crotty, 2012). </w:t>
      </w:r>
    </w:p>
    <w:p w14:paraId="4A1F2795" w14:textId="77777777" w:rsidR="009941AF" w:rsidRPr="004B380C" w:rsidRDefault="009941AF" w:rsidP="001B5072">
      <w:pPr>
        <w:spacing w:line="240" w:lineRule="auto"/>
        <w:textAlignment w:val="baseline"/>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 xml:space="preserve">Participants </w:t>
      </w:r>
    </w:p>
    <w:p w14:paraId="283E4F27" w14:textId="50E4E445" w:rsidR="009941AF" w:rsidRPr="004B380C" w:rsidRDefault="001B5072" w:rsidP="001B5072">
      <w:pPr>
        <w:spacing w:line="240" w:lineRule="auto"/>
        <w:ind w:firstLine="720"/>
        <w:textAlignment w:val="baseline"/>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Recruitment of participants involved criterion-based purposeful sampling (Palinkas et al., 2015) to ensure that teachers met specific inclusion criteria relevant to the study. Specifically, participants were required to be middle or high school SBAE teachers in Georgia who had completed at least three years of teaching experience, allowing them to be more established in their instructional practices (Patton, 2015). In qualitative case study research, sample size is not predetermined but guided by the concept of saturation which is the point at which no new themes emerge from the data (Guest et al., 2006; Tracy, 2020). Multi-case studies typically include several cases to allow for cross-case comparison and replication logic (Yin, 2018). Therefore, this study targeted 5–10 secondary SBAE teachers to allow for in-depth case analysis while reaching thematic saturation across cases. </w:t>
      </w:r>
      <w:r w:rsidR="009941AF" w:rsidRPr="004B380C">
        <w:rPr>
          <w:rFonts w:ascii="Times New Roman" w:eastAsia="Times New Roman" w:hAnsi="Times New Roman" w:cs="Times New Roman"/>
          <w:kern w:val="0"/>
          <w14:ligatures w14:val="none"/>
        </w:rPr>
        <w:t xml:space="preserve">Participants included ten secondary SBAE teachers in </w:t>
      </w:r>
      <w:r w:rsidRPr="004B380C">
        <w:rPr>
          <w:rFonts w:ascii="Times New Roman" w:eastAsia="Times New Roman" w:hAnsi="Times New Roman" w:cs="Times New Roman"/>
          <w:kern w:val="0"/>
          <w14:ligatures w14:val="none"/>
        </w:rPr>
        <w:t>Georgia</w:t>
      </w:r>
      <w:r w:rsidR="009941AF" w:rsidRPr="004B380C">
        <w:rPr>
          <w:rFonts w:ascii="Times New Roman" w:eastAsia="Times New Roman" w:hAnsi="Times New Roman" w:cs="Times New Roman"/>
          <w:kern w:val="0"/>
          <w14:ligatures w14:val="none"/>
        </w:rPr>
        <w:t xml:space="preserve"> (see Table 1</w:t>
      </w:r>
      <w:r w:rsidRPr="004B380C">
        <w:rPr>
          <w:rFonts w:ascii="Times New Roman" w:eastAsia="Times New Roman" w:hAnsi="Times New Roman" w:cs="Times New Roman"/>
          <w:kern w:val="0"/>
          <w14:ligatures w14:val="none"/>
        </w:rPr>
        <w:t xml:space="preserve">). </w:t>
      </w:r>
      <w:r w:rsidR="009941AF" w:rsidRPr="004B380C">
        <w:rPr>
          <w:rFonts w:ascii="Times New Roman" w:eastAsia="Times New Roman" w:hAnsi="Times New Roman" w:cs="Times New Roman"/>
          <w:kern w:val="0"/>
          <w14:ligatures w14:val="none"/>
        </w:rPr>
        <w:t>Teachers were contacted via their school email addresses, retrieved from the open-</w:t>
      </w:r>
      <w:bookmarkStart w:id="1" w:name="_Int_D5qgkffv"/>
      <w:r w:rsidR="009941AF" w:rsidRPr="004B380C">
        <w:rPr>
          <w:rFonts w:ascii="Times New Roman" w:eastAsia="Times New Roman" w:hAnsi="Times New Roman" w:cs="Times New Roman"/>
          <w:kern w:val="0"/>
          <w14:ligatures w14:val="none"/>
        </w:rPr>
        <w:t xml:space="preserve">access </w:t>
      </w:r>
      <w:bookmarkEnd w:id="1"/>
      <w:r w:rsidRPr="004B380C">
        <w:rPr>
          <w:rFonts w:ascii="Times New Roman" w:eastAsia="Times New Roman" w:hAnsi="Times New Roman" w:cs="Times New Roman"/>
          <w:kern w:val="0"/>
          <w14:ligatures w14:val="none"/>
        </w:rPr>
        <w:t>Georgia</w:t>
      </w:r>
      <w:r w:rsidR="009941AF" w:rsidRPr="004B380C">
        <w:rPr>
          <w:rFonts w:ascii="Times New Roman" w:eastAsia="Times New Roman" w:hAnsi="Times New Roman" w:cs="Times New Roman"/>
          <w:kern w:val="0"/>
          <w14:ligatures w14:val="none"/>
        </w:rPr>
        <w:t xml:space="preserve"> Agricultural Education Directory, to determine interest and eligibility for the study. Teachers </w:t>
      </w:r>
      <w:bookmarkStart w:id="2" w:name="_Int_6ChIfI36"/>
      <w:r w:rsidR="009941AF" w:rsidRPr="004B380C">
        <w:rPr>
          <w:rFonts w:ascii="Times New Roman" w:eastAsia="Times New Roman" w:hAnsi="Times New Roman" w:cs="Times New Roman"/>
          <w:kern w:val="0"/>
          <w14:ligatures w14:val="none"/>
        </w:rPr>
        <w:t>needed</w:t>
      </w:r>
      <w:bookmarkEnd w:id="2"/>
      <w:r w:rsidR="009941AF" w:rsidRPr="004B380C">
        <w:rPr>
          <w:rFonts w:ascii="Times New Roman" w:eastAsia="Times New Roman" w:hAnsi="Times New Roman" w:cs="Times New Roman"/>
          <w:kern w:val="0"/>
          <w14:ligatures w14:val="none"/>
        </w:rPr>
        <w:t xml:space="preserve"> to have taught for at least three years to be eligible to participate. </w:t>
      </w:r>
    </w:p>
    <w:p w14:paraId="64A6346D" w14:textId="77777777" w:rsidR="00F27FFC" w:rsidRPr="004B380C" w:rsidRDefault="00F27FFC" w:rsidP="001B5072">
      <w:pPr>
        <w:spacing w:line="240" w:lineRule="auto"/>
        <w:textAlignment w:val="baseline"/>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lastRenderedPageBreak/>
        <w:t>Table 1</w:t>
      </w:r>
    </w:p>
    <w:p w14:paraId="57361575" w14:textId="77777777" w:rsidR="00F27FFC" w:rsidRPr="004B380C" w:rsidRDefault="00F27FFC" w:rsidP="001B5072">
      <w:pPr>
        <w:spacing w:line="240" w:lineRule="auto"/>
        <w:textAlignment w:val="baseline"/>
        <w:rPr>
          <w:rFonts w:ascii="Times New Roman" w:eastAsia="Times New Roman" w:hAnsi="Times New Roman" w:cs="Times New Roman"/>
          <w:i/>
          <w:iCs/>
          <w:kern w:val="0"/>
          <w14:ligatures w14:val="none"/>
        </w:rPr>
      </w:pPr>
      <w:r w:rsidRPr="004B380C">
        <w:rPr>
          <w:rFonts w:ascii="Times New Roman" w:eastAsia="Times New Roman" w:hAnsi="Times New Roman" w:cs="Times New Roman"/>
          <w:i/>
          <w:iCs/>
          <w:kern w:val="0"/>
          <w14:ligatures w14:val="none"/>
        </w:rPr>
        <w:t>Participant Demographics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0"/>
        <w:gridCol w:w="1860"/>
        <w:gridCol w:w="1875"/>
        <w:gridCol w:w="1860"/>
        <w:gridCol w:w="1875"/>
      </w:tblGrid>
      <w:tr w:rsidR="009941AF" w:rsidRPr="004B380C" w14:paraId="4BA87FA3" w14:textId="77777777" w:rsidTr="00F25F7E">
        <w:trPr>
          <w:trHeight w:val="300"/>
          <w:tblHeader/>
        </w:trPr>
        <w:tc>
          <w:tcPr>
            <w:tcW w:w="1860" w:type="dxa"/>
            <w:tcBorders>
              <w:top w:val="single" w:sz="6" w:space="0" w:color="000000"/>
              <w:left w:val="nil"/>
              <w:bottom w:val="nil"/>
              <w:right w:val="nil"/>
            </w:tcBorders>
            <w:hideMark/>
          </w:tcPr>
          <w:p w14:paraId="3BCCEECD"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rPr>
              <w:t>Pseudonym</w:t>
            </w:r>
          </w:p>
        </w:tc>
        <w:tc>
          <w:tcPr>
            <w:tcW w:w="3735" w:type="dxa"/>
            <w:gridSpan w:val="2"/>
            <w:tcBorders>
              <w:top w:val="single" w:sz="6" w:space="0" w:color="000000"/>
              <w:left w:val="nil"/>
              <w:bottom w:val="single" w:sz="6" w:space="0" w:color="000000"/>
              <w:right w:val="nil"/>
            </w:tcBorders>
            <w:hideMark/>
          </w:tcPr>
          <w:p w14:paraId="3FF2017E"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Participant Information</w:t>
            </w:r>
          </w:p>
        </w:tc>
        <w:tc>
          <w:tcPr>
            <w:tcW w:w="3735" w:type="dxa"/>
            <w:gridSpan w:val="2"/>
            <w:tcBorders>
              <w:top w:val="single" w:sz="6" w:space="0" w:color="000000"/>
              <w:left w:val="nil"/>
              <w:bottom w:val="single" w:sz="6" w:space="0" w:color="000000"/>
              <w:right w:val="nil"/>
            </w:tcBorders>
            <w:hideMark/>
          </w:tcPr>
          <w:p w14:paraId="42302281"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Program Information</w:t>
            </w:r>
          </w:p>
        </w:tc>
      </w:tr>
      <w:tr w:rsidR="009941AF" w:rsidRPr="004B380C" w14:paraId="470FCF22" w14:textId="77777777" w:rsidTr="00F25F7E">
        <w:trPr>
          <w:trHeight w:val="300"/>
          <w:tblHeader/>
        </w:trPr>
        <w:tc>
          <w:tcPr>
            <w:tcW w:w="1860" w:type="dxa"/>
            <w:tcBorders>
              <w:top w:val="nil"/>
              <w:left w:val="nil"/>
              <w:bottom w:val="single" w:sz="6" w:space="0" w:color="000000"/>
              <w:right w:val="nil"/>
            </w:tcBorders>
            <w:hideMark/>
          </w:tcPr>
          <w:p w14:paraId="1A3562B7" w14:textId="77777777" w:rsidR="009941AF" w:rsidRPr="004B380C" w:rsidRDefault="009941AF" w:rsidP="001B5072">
            <w:pPr>
              <w:spacing w:after="0" w:line="240" w:lineRule="auto"/>
              <w:rPr>
                <w:rFonts w:ascii="Times New Roman" w:eastAsia="Times New Roman" w:hAnsi="Times New Roman" w:cs="Times New Roman"/>
              </w:rPr>
            </w:pPr>
          </w:p>
        </w:tc>
        <w:tc>
          <w:tcPr>
            <w:tcW w:w="1860" w:type="dxa"/>
            <w:tcBorders>
              <w:top w:val="single" w:sz="6" w:space="0" w:color="000000"/>
              <w:left w:val="nil"/>
              <w:bottom w:val="single" w:sz="6" w:space="0" w:color="000000"/>
              <w:right w:val="nil"/>
            </w:tcBorders>
            <w:hideMark/>
          </w:tcPr>
          <w:p w14:paraId="0D18B96F"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Years Taught</w:t>
            </w:r>
          </w:p>
        </w:tc>
        <w:tc>
          <w:tcPr>
            <w:tcW w:w="1860" w:type="dxa"/>
            <w:tcBorders>
              <w:top w:val="single" w:sz="6" w:space="0" w:color="000000"/>
              <w:left w:val="nil"/>
              <w:bottom w:val="single" w:sz="6" w:space="0" w:color="000000"/>
              <w:right w:val="nil"/>
            </w:tcBorders>
            <w:hideMark/>
          </w:tcPr>
          <w:p w14:paraId="088E9E96"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Highest Degree</w:t>
            </w:r>
          </w:p>
        </w:tc>
        <w:tc>
          <w:tcPr>
            <w:tcW w:w="1860" w:type="dxa"/>
            <w:tcBorders>
              <w:top w:val="single" w:sz="6" w:space="0" w:color="000000"/>
              <w:left w:val="nil"/>
              <w:bottom w:val="single" w:sz="6" w:space="0" w:color="000000"/>
              <w:right w:val="nil"/>
            </w:tcBorders>
            <w:hideMark/>
          </w:tcPr>
          <w:p w14:paraId="62668A00"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Program Type</w:t>
            </w:r>
          </w:p>
        </w:tc>
        <w:tc>
          <w:tcPr>
            <w:tcW w:w="1860" w:type="dxa"/>
            <w:tcBorders>
              <w:top w:val="single" w:sz="6" w:space="0" w:color="000000"/>
              <w:left w:val="nil"/>
              <w:bottom w:val="single" w:sz="6" w:space="0" w:color="000000"/>
              <w:right w:val="nil"/>
            </w:tcBorders>
            <w:hideMark/>
          </w:tcPr>
          <w:p w14:paraId="12C913F8"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Program Area</w:t>
            </w:r>
          </w:p>
        </w:tc>
      </w:tr>
      <w:tr w:rsidR="009941AF" w:rsidRPr="004B380C" w14:paraId="2E5BB049" w14:textId="77777777" w:rsidTr="00F25F7E">
        <w:trPr>
          <w:trHeight w:val="300"/>
        </w:trPr>
        <w:tc>
          <w:tcPr>
            <w:tcW w:w="1860" w:type="dxa"/>
            <w:tcBorders>
              <w:top w:val="nil"/>
              <w:left w:val="nil"/>
              <w:bottom w:val="nil"/>
              <w:right w:val="nil"/>
            </w:tcBorders>
            <w:hideMark/>
          </w:tcPr>
          <w:p w14:paraId="448A347A"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Ethan </w:t>
            </w:r>
          </w:p>
        </w:tc>
        <w:tc>
          <w:tcPr>
            <w:tcW w:w="1860" w:type="dxa"/>
            <w:tcBorders>
              <w:top w:val="nil"/>
              <w:left w:val="nil"/>
              <w:bottom w:val="nil"/>
              <w:right w:val="nil"/>
            </w:tcBorders>
            <w:hideMark/>
          </w:tcPr>
          <w:p w14:paraId="050C0018"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24</w:t>
            </w:r>
          </w:p>
        </w:tc>
        <w:tc>
          <w:tcPr>
            <w:tcW w:w="1860" w:type="dxa"/>
            <w:tcBorders>
              <w:top w:val="nil"/>
              <w:left w:val="nil"/>
              <w:bottom w:val="nil"/>
              <w:right w:val="nil"/>
            </w:tcBorders>
            <w:hideMark/>
          </w:tcPr>
          <w:p w14:paraId="386C4F0B"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Specialist’s</w:t>
            </w:r>
          </w:p>
        </w:tc>
        <w:tc>
          <w:tcPr>
            <w:tcW w:w="1860" w:type="dxa"/>
            <w:tcBorders>
              <w:top w:val="nil"/>
              <w:left w:val="nil"/>
              <w:bottom w:val="nil"/>
              <w:right w:val="nil"/>
            </w:tcBorders>
            <w:hideMark/>
          </w:tcPr>
          <w:p w14:paraId="2E2126EC"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High School</w:t>
            </w:r>
          </w:p>
        </w:tc>
        <w:tc>
          <w:tcPr>
            <w:tcW w:w="1860" w:type="dxa"/>
            <w:tcBorders>
              <w:top w:val="nil"/>
              <w:left w:val="nil"/>
              <w:bottom w:val="nil"/>
              <w:right w:val="nil"/>
            </w:tcBorders>
            <w:hideMark/>
          </w:tcPr>
          <w:p w14:paraId="48DF01FA"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Urban</w:t>
            </w:r>
          </w:p>
        </w:tc>
      </w:tr>
      <w:tr w:rsidR="009941AF" w:rsidRPr="004B380C" w14:paraId="68839327" w14:textId="77777777" w:rsidTr="00F25F7E">
        <w:trPr>
          <w:trHeight w:val="300"/>
        </w:trPr>
        <w:tc>
          <w:tcPr>
            <w:tcW w:w="1860" w:type="dxa"/>
            <w:tcBorders>
              <w:top w:val="nil"/>
              <w:left w:val="nil"/>
              <w:bottom w:val="nil"/>
              <w:right w:val="nil"/>
            </w:tcBorders>
            <w:hideMark/>
          </w:tcPr>
          <w:p w14:paraId="0E86998B"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Jake </w:t>
            </w:r>
          </w:p>
        </w:tc>
        <w:tc>
          <w:tcPr>
            <w:tcW w:w="1860" w:type="dxa"/>
            <w:tcBorders>
              <w:top w:val="nil"/>
              <w:left w:val="nil"/>
              <w:bottom w:val="nil"/>
              <w:right w:val="nil"/>
            </w:tcBorders>
            <w:hideMark/>
          </w:tcPr>
          <w:p w14:paraId="5CBD25BD"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10</w:t>
            </w:r>
          </w:p>
        </w:tc>
        <w:tc>
          <w:tcPr>
            <w:tcW w:w="1860" w:type="dxa"/>
            <w:tcBorders>
              <w:top w:val="nil"/>
              <w:left w:val="nil"/>
              <w:bottom w:val="nil"/>
              <w:right w:val="nil"/>
            </w:tcBorders>
            <w:hideMark/>
          </w:tcPr>
          <w:p w14:paraId="5F5D9EFF"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Bachelor’s</w:t>
            </w:r>
          </w:p>
        </w:tc>
        <w:tc>
          <w:tcPr>
            <w:tcW w:w="1860" w:type="dxa"/>
            <w:tcBorders>
              <w:top w:val="nil"/>
              <w:left w:val="nil"/>
              <w:bottom w:val="nil"/>
              <w:right w:val="nil"/>
            </w:tcBorders>
            <w:hideMark/>
          </w:tcPr>
          <w:p w14:paraId="25A98696"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High School</w:t>
            </w:r>
          </w:p>
        </w:tc>
        <w:tc>
          <w:tcPr>
            <w:tcW w:w="1860" w:type="dxa"/>
            <w:tcBorders>
              <w:top w:val="nil"/>
              <w:left w:val="nil"/>
              <w:bottom w:val="nil"/>
              <w:right w:val="nil"/>
            </w:tcBorders>
            <w:hideMark/>
          </w:tcPr>
          <w:p w14:paraId="739CFC2F"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Rural</w:t>
            </w:r>
          </w:p>
        </w:tc>
      </w:tr>
      <w:tr w:rsidR="009941AF" w:rsidRPr="004B380C" w14:paraId="060435B0" w14:textId="77777777" w:rsidTr="00F25F7E">
        <w:trPr>
          <w:trHeight w:val="300"/>
        </w:trPr>
        <w:tc>
          <w:tcPr>
            <w:tcW w:w="1860" w:type="dxa"/>
            <w:tcBorders>
              <w:top w:val="nil"/>
              <w:left w:val="nil"/>
              <w:bottom w:val="nil"/>
              <w:right w:val="nil"/>
            </w:tcBorders>
            <w:hideMark/>
          </w:tcPr>
          <w:p w14:paraId="1AB13795"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Noah </w:t>
            </w:r>
          </w:p>
        </w:tc>
        <w:tc>
          <w:tcPr>
            <w:tcW w:w="1860" w:type="dxa"/>
            <w:tcBorders>
              <w:top w:val="nil"/>
              <w:left w:val="nil"/>
              <w:bottom w:val="nil"/>
              <w:right w:val="nil"/>
            </w:tcBorders>
            <w:hideMark/>
          </w:tcPr>
          <w:p w14:paraId="1BADFEA3"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10</w:t>
            </w:r>
          </w:p>
        </w:tc>
        <w:tc>
          <w:tcPr>
            <w:tcW w:w="1860" w:type="dxa"/>
            <w:tcBorders>
              <w:top w:val="nil"/>
              <w:left w:val="nil"/>
              <w:bottom w:val="nil"/>
              <w:right w:val="nil"/>
            </w:tcBorders>
            <w:hideMark/>
          </w:tcPr>
          <w:p w14:paraId="7D0E6CD5"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Master’s</w:t>
            </w:r>
          </w:p>
        </w:tc>
        <w:tc>
          <w:tcPr>
            <w:tcW w:w="1860" w:type="dxa"/>
            <w:tcBorders>
              <w:top w:val="nil"/>
              <w:left w:val="nil"/>
              <w:bottom w:val="nil"/>
              <w:right w:val="nil"/>
            </w:tcBorders>
            <w:hideMark/>
          </w:tcPr>
          <w:p w14:paraId="2D721B5F"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High School</w:t>
            </w:r>
          </w:p>
        </w:tc>
        <w:tc>
          <w:tcPr>
            <w:tcW w:w="1860" w:type="dxa"/>
            <w:tcBorders>
              <w:top w:val="nil"/>
              <w:left w:val="nil"/>
              <w:bottom w:val="nil"/>
              <w:right w:val="nil"/>
            </w:tcBorders>
            <w:hideMark/>
          </w:tcPr>
          <w:p w14:paraId="0D90C5E2"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Urban</w:t>
            </w:r>
          </w:p>
        </w:tc>
      </w:tr>
      <w:tr w:rsidR="009941AF" w:rsidRPr="004B380C" w14:paraId="1EE21016" w14:textId="77777777" w:rsidTr="00F25F7E">
        <w:trPr>
          <w:trHeight w:val="300"/>
        </w:trPr>
        <w:tc>
          <w:tcPr>
            <w:tcW w:w="1860" w:type="dxa"/>
            <w:tcBorders>
              <w:top w:val="nil"/>
              <w:left w:val="nil"/>
              <w:bottom w:val="nil"/>
              <w:right w:val="nil"/>
            </w:tcBorders>
            <w:hideMark/>
          </w:tcPr>
          <w:p w14:paraId="6A8C5875"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Lily </w:t>
            </w:r>
          </w:p>
        </w:tc>
        <w:tc>
          <w:tcPr>
            <w:tcW w:w="1860" w:type="dxa"/>
            <w:tcBorders>
              <w:top w:val="nil"/>
              <w:left w:val="nil"/>
              <w:bottom w:val="nil"/>
              <w:right w:val="nil"/>
            </w:tcBorders>
            <w:hideMark/>
          </w:tcPr>
          <w:p w14:paraId="252A7133"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8</w:t>
            </w:r>
          </w:p>
        </w:tc>
        <w:tc>
          <w:tcPr>
            <w:tcW w:w="1860" w:type="dxa"/>
            <w:tcBorders>
              <w:top w:val="nil"/>
              <w:left w:val="nil"/>
              <w:bottom w:val="nil"/>
              <w:right w:val="nil"/>
            </w:tcBorders>
            <w:hideMark/>
          </w:tcPr>
          <w:p w14:paraId="68456C32"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Specialist’s</w:t>
            </w:r>
          </w:p>
        </w:tc>
        <w:tc>
          <w:tcPr>
            <w:tcW w:w="1860" w:type="dxa"/>
            <w:tcBorders>
              <w:top w:val="nil"/>
              <w:left w:val="nil"/>
              <w:bottom w:val="nil"/>
              <w:right w:val="nil"/>
            </w:tcBorders>
            <w:hideMark/>
          </w:tcPr>
          <w:p w14:paraId="4A549C9F"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High School</w:t>
            </w:r>
          </w:p>
        </w:tc>
        <w:tc>
          <w:tcPr>
            <w:tcW w:w="1860" w:type="dxa"/>
            <w:tcBorders>
              <w:top w:val="nil"/>
              <w:left w:val="nil"/>
              <w:bottom w:val="nil"/>
              <w:right w:val="nil"/>
            </w:tcBorders>
            <w:hideMark/>
          </w:tcPr>
          <w:p w14:paraId="2B094D2A"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Rural</w:t>
            </w:r>
          </w:p>
        </w:tc>
      </w:tr>
      <w:tr w:rsidR="009941AF" w:rsidRPr="004B380C" w14:paraId="0F30EBCF" w14:textId="77777777" w:rsidTr="00F25F7E">
        <w:trPr>
          <w:trHeight w:val="300"/>
        </w:trPr>
        <w:tc>
          <w:tcPr>
            <w:tcW w:w="1860" w:type="dxa"/>
            <w:tcBorders>
              <w:top w:val="nil"/>
              <w:left w:val="nil"/>
              <w:bottom w:val="nil"/>
              <w:right w:val="nil"/>
            </w:tcBorders>
            <w:hideMark/>
          </w:tcPr>
          <w:p w14:paraId="618FEEF0"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Caleb </w:t>
            </w:r>
          </w:p>
        </w:tc>
        <w:tc>
          <w:tcPr>
            <w:tcW w:w="1860" w:type="dxa"/>
            <w:tcBorders>
              <w:top w:val="nil"/>
              <w:left w:val="nil"/>
              <w:bottom w:val="nil"/>
              <w:right w:val="nil"/>
            </w:tcBorders>
            <w:hideMark/>
          </w:tcPr>
          <w:p w14:paraId="69CE49F2"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8</w:t>
            </w:r>
          </w:p>
        </w:tc>
        <w:tc>
          <w:tcPr>
            <w:tcW w:w="1860" w:type="dxa"/>
            <w:tcBorders>
              <w:top w:val="nil"/>
              <w:left w:val="nil"/>
              <w:bottom w:val="nil"/>
              <w:right w:val="nil"/>
            </w:tcBorders>
            <w:hideMark/>
          </w:tcPr>
          <w:p w14:paraId="29F7C42C"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Master’s</w:t>
            </w:r>
          </w:p>
        </w:tc>
        <w:tc>
          <w:tcPr>
            <w:tcW w:w="1860" w:type="dxa"/>
            <w:tcBorders>
              <w:top w:val="nil"/>
              <w:left w:val="nil"/>
              <w:bottom w:val="nil"/>
              <w:right w:val="nil"/>
            </w:tcBorders>
            <w:hideMark/>
          </w:tcPr>
          <w:p w14:paraId="212D9E1C"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High School</w:t>
            </w:r>
          </w:p>
        </w:tc>
        <w:tc>
          <w:tcPr>
            <w:tcW w:w="1860" w:type="dxa"/>
            <w:tcBorders>
              <w:top w:val="nil"/>
              <w:left w:val="nil"/>
              <w:bottom w:val="nil"/>
              <w:right w:val="nil"/>
            </w:tcBorders>
            <w:hideMark/>
          </w:tcPr>
          <w:p w14:paraId="6E174EA4"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Urban</w:t>
            </w:r>
          </w:p>
        </w:tc>
      </w:tr>
      <w:tr w:rsidR="009941AF" w:rsidRPr="004B380C" w14:paraId="35A4A0F3" w14:textId="77777777" w:rsidTr="00F25F7E">
        <w:trPr>
          <w:trHeight w:val="300"/>
        </w:trPr>
        <w:tc>
          <w:tcPr>
            <w:tcW w:w="1860" w:type="dxa"/>
            <w:tcBorders>
              <w:top w:val="nil"/>
              <w:left w:val="nil"/>
              <w:bottom w:val="nil"/>
              <w:right w:val="nil"/>
            </w:tcBorders>
            <w:hideMark/>
          </w:tcPr>
          <w:p w14:paraId="62D30BD6"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Hannah </w:t>
            </w:r>
          </w:p>
        </w:tc>
        <w:tc>
          <w:tcPr>
            <w:tcW w:w="1860" w:type="dxa"/>
            <w:tcBorders>
              <w:top w:val="nil"/>
              <w:left w:val="nil"/>
              <w:bottom w:val="nil"/>
              <w:right w:val="nil"/>
            </w:tcBorders>
            <w:hideMark/>
          </w:tcPr>
          <w:p w14:paraId="5579EDF4"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5</w:t>
            </w:r>
          </w:p>
        </w:tc>
        <w:tc>
          <w:tcPr>
            <w:tcW w:w="1860" w:type="dxa"/>
            <w:tcBorders>
              <w:top w:val="nil"/>
              <w:left w:val="nil"/>
              <w:bottom w:val="nil"/>
              <w:right w:val="nil"/>
            </w:tcBorders>
            <w:hideMark/>
          </w:tcPr>
          <w:p w14:paraId="41AA81FB"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Bachelor’s</w:t>
            </w:r>
          </w:p>
        </w:tc>
        <w:tc>
          <w:tcPr>
            <w:tcW w:w="1860" w:type="dxa"/>
            <w:tcBorders>
              <w:top w:val="nil"/>
              <w:left w:val="nil"/>
              <w:bottom w:val="nil"/>
              <w:right w:val="nil"/>
            </w:tcBorders>
            <w:hideMark/>
          </w:tcPr>
          <w:p w14:paraId="454959F1"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High School</w:t>
            </w:r>
          </w:p>
        </w:tc>
        <w:tc>
          <w:tcPr>
            <w:tcW w:w="1860" w:type="dxa"/>
            <w:tcBorders>
              <w:top w:val="nil"/>
              <w:left w:val="nil"/>
              <w:bottom w:val="nil"/>
              <w:right w:val="nil"/>
            </w:tcBorders>
            <w:hideMark/>
          </w:tcPr>
          <w:p w14:paraId="2A0C51A3"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Rural</w:t>
            </w:r>
          </w:p>
        </w:tc>
      </w:tr>
      <w:tr w:rsidR="009941AF" w:rsidRPr="004B380C" w14:paraId="54CE964D" w14:textId="77777777" w:rsidTr="00F25F7E">
        <w:trPr>
          <w:trHeight w:val="300"/>
        </w:trPr>
        <w:tc>
          <w:tcPr>
            <w:tcW w:w="1860" w:type="dxa"/>
            <w:tcBorders>
              <w:top w:val="nil"/>
              <w:left w:val="nil"/>
              <w:bottom w:val="nil"/>
              <w:right w:val="nil"/>
            </w:tcBorders>
            <w:hideMark/>
          </w:tcPr>
          <w:p w14:paraId="07BF4FBD"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Sophia </w:t>
            </w:r>
          </w:p>
        </w:tc>
        <w:tc>
          <w:tcPr>
            <w:tcW w:w="1860" w:type="dxa"/>
            <w:tcBorders>
              <w:top w:val="nil"/>
              <w:left w:val="nil"/>
              <w:bottom w:val="nil"/>
              <w:right w:val="nil"/>
            </w:tcBorders>
            <w:hideMark/>
          </w:tcPr>
          <w:p w14:paraId="5162C7BF"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5</w:t>
            </w:r>
          </w:p>
        </w:tc>
        <w:tc>
          <w:tcPr>
            <w:tcW w:w="1860" w:type="dxa"/>
            <w:tcBorders>
              <w:top w:val="nil"/>
              <w:left w:val="nil"/>
              <w:bottom w:val="nil"/>
              <w:right w:val="nil"/>
            </w:tcBorders>
            <w:hideMark/>
          </w:tcPr>
          <w:p w14:paraId="5595CC2B"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Specialist’s</w:t>
            </w:r>
          </w:p>
        </w:tc>
        <w:tc>
          <w:tcPr>
            <w:tcW w:w="1860" w:type="dxa"/>
            <w:tcBorders>
              <w:top w:val="nil"/>
              <w:left w:val="nil"/>
              <w:bottom w:val="nil"/>
              <w:right w:val="nil"/>
            </w:tcBorders>
            <w:hideMark/>
          </w:tcPr>
          <w:p w14:paraId="6EC66908"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High School</w:t>
            </w:r>
          </w:p>
        </w:tc>
        <w:tc>
          <w:tcPr>
            <w:tcW w:w="1860" w:type="dxa"/>
            <w:tcBorders>
              <w:top w:val="nil"/>
              <w:left w:val="nil"/>
              <w:bottom w:val="nil"/>
              <w:right w:val="nil"/>
            </w:tcBorders>
            <w:hideMark/>
          </w:tcPr>
          <w:p w14:paraId="4CB848D3"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Rural</w:t>
            </w:r>
          </w:p>
        </w:tc>
      </w:tr>
      <w:tr w:rsidR="009941AF" w:rsidRPr="004B380C" w14:paraId="3CD6FF8B" w14:textId="77777777" w:rsidTr="00F25F7E">
        <w:trPr>
          <w:trHeight w:val="300"/>
        </w:trPr>
        <w:tc>
          <w:tcPr>
            <w:tcW w:w="1860" w:type="dxa"/>
            <w:tcBorders>
              <w:top w:val="nil"/>
              <w:left w:val="nil"/>
              <w:bottom w:val="nil"/>
              <w:right w:val="nil"/>
            </w:tcBorders>
            <w:hideMark/>
          </w:tcPr>
          <w:p w14:paraId="1468E509"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Natalie </w:t>
            </w:r>
          </w:p>
        </w:tc>
        <w:tc>
          <w:tcPr>
            <w:tcW w:w="1860" w:type="dxa"/>
            <w:tcBorders>
              <w:top w:val="nil"/>
              <w:left w:val="nil"/>
              <w:bottom w:val="nil"/>
              <w:right w:val="nil"/>
            </w:tcBorders>
            <w:hideMark/>
          </w:tcPr>
          <w:p w14:paraId="172754AD"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17</w:t>
            </w:r>
          </w:p>
        </w:tc>
        <w:tc>
          <w:tcPr>
            <w:tcW w:w="1860" w:type="dxa"/>
            <w:tcBorders>
              <w:top w:val="nil"/>
              <w:left w:val="nil"/>
              <w:bottom w:val="nil"/>
              <w:right w:val="nil"/>
            </w:tcBorders>
            <w:hideMark/>
          </w:tcPr>
          <w:p w14:paraId="5AE8327C"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Specialist’s</w:t>
            </w:r>
          </w:p>
        </w:tc>
        <w:tc>
          <w:tcPr>
            <w:tcW w:w="1860" w:type="dxa"/>
            <w:tcBorders>
              <w:top w:val="nil"/>
              <w:left w:val="nil"/>
              <w:bottom w:val="nil"/>
              <w:right w:val="nil"/>
            </w:tcBorders>
            <w:hideMark/>
          </w:tcPr>
          <w:p w14:paraId="18E59D62"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Middle School</w:t>
            </w:r>
          </w:p>
        </w:tc>
        <w:tc>
          <w:tcPr>
            <w:tcW w:w="1860" w:type="dxa"/>
            <w:tcBorders>
              <w:top w:val="nil"/>
              <w:left w:val="nil"/>
              <w:bottom w:val="nil"/>
              <w:right w:val="nil"/>
            </w:tcBorders>
            <w:hideMark/>
          </w:tcPr>
          <w:p w14:paraId="3BD38661"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Rural</w:t>
            </w:r>
          </w:p>
        </w:tc>
      </w:tr>
      <w:tr w:rsidR="009941AF" w:rsidRPr="004B380C" w14:paraId="29204F0F" w14:textId="77777777" w:rsidTr="00F25F7E">
        <w:trPr>
          <w:trHeight w:val="300"/>
        </w:trPr>
        <w:tc>
          <w:tcPr>
            <w:tcW w:w="1860" w:type="dxa"/>
            <w:tcBorders>
              <w:top w:val="nil"/>
              <w:left w:val="nil"/>
              <w:bottom w:val="nil"/>
              <w:right w:val="nil"/>
            </w:tcBorders>
            <w:hideMark/>
          </w:tcPr>
          <w:p w14:paraId="1F165C34"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Chloe </w:t>
            </w:r>
          </w:p>
        </w:tc>
        <w:tc>
          <w:tcPr>
            <w:tcW w:w="1860" w:type="dxa"/>
            <w:tcBorders>
              <w:top w:val="nil"/>
              <w:left w:val="nil"/>
              <w:bottom w:val="nil"/>
              <w:right w:val="nil"/>
            </w:tcBorders>
            <w:hideMark/>
          </w:tcPr>
          <w:p w14:paraId="37DBEF2A"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9</w:t>
            </w:r>
          </w:p>
        </w:tc>
        <w:tc>
          <w:tcPr>
            <w:tcW w:w="1860" w:type="dxa"/>
            <w:tcBorders>
              <w:top w:val="nil"/>
              <w:left w:val="nil"/>
              <w:bottom w:val="nil"/>
              <w:right w:val="nil"/>
            </w:tcBorders>
            <w:hideMark/>
          </w:tcPr>
          <w:p w14:paraId="0B72E18C"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Master’s</w:t>
            </w:r>
          </w:p>
        </w:tc>
        <w:tc>
          <w:tcPr>
            <w:tcW w:w="1860" w:type="dxa"/>
            <w:tcBorders>
              <w:top w:val="nil"/>
              <w:left w:val="nil"/>
              <w:bottom w:val="nil"/>
              <w:right w:val="nil"/>
            </w:tcBorders>
            <w:hideMark/>
          </w:tcPr>
          <w:p w14:paraId="51436FAE"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Middle School</w:t>
            </w:r>
          </w:p>
        </w:tc>
        <w:tc>
          <w:tcPr>
            <w:tcW w:w="1860" w:type="dxa"/>
            <w:tcBorders>
              <w:top w:val="nil"/>
              <w:left w:val="nil"/>
              <w:bottom w:val="nil"/>
              <w:right w:val="nil"/>
            </w:tcBorders>
            <w:hideMark/>
          </w:tcPr>
          <w:p w14:paraId="23204C6A"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Rural</w:t>
            </w:r>
          </w:p>
        </w:tc>
      </w:tr>
      <w:tr w:rsidR="009941AF" w:rsidRPr="004B380C" w14:paraId="2BF3E5C9" w14:textId="77777777" w:rsidTr="00F25F7E">
        <w:trPr>
          <w:trHeight w:val="300"/>
        </w:trPr>
        <w:tc>
          <w:tcPr>
            <w:tcW w:w="1860" w:type="dxa"/>
            <w:tcBorders>
              <w:top w:val="nil"/>
              <w:left w:val="nil"/>
              <w:bottom w:val="single" w:sz="6" w:space="0" w:color="auto"/>
              <w:right w:val="nil"/>
            </w:tcBorders>
            <w:hideMark/>
          </w:tcPr>
          <w:p w14:paraId="5785B00A" w14:textId="77777777" w:rsidR="009941AF" w:rsidRPr="004B380C" w:rsidRDefault="009941AF" w:rsidP="001B5072">
            <w:pPr>
              <w:spacing w:after="0" w:line="240" w:lineRule="auto"/>
              <w:textAlignment w:val="baseline"/>
              <w:rPr>
                <w:rFonts w:ascii="Times New Roman" w:eastAsia="Times New Roman" w:hAnsi="Times New Roman" w:cs="Times New Roman"/>
              </w:rPr>
            </w:pPr>
            <w:r w:rsidRPr="004B380C">
              <w:rPr>
                <w:rFonts w:ascii="Times New Roman" w:eastAsia="Times New Roman" w:hAnsi="Times New Roman" w:cs="Times New Roman"/>
                <w:color w:val="000000"/>
              </w:rPr>
              <w:t>Ari </w:t>
            </w:r>
          </w:p>
        </w:tc>
        <w:tc>
          <w:tcPr>
            <w:tcW w:w="1860" w:type="dxa"/>
            <w:tcBorders>
              <w:top w:val="nil"/>
              <w:left w:val="nil"/>
              <w:bottom w:val="single" w:sz="6" w:space="0" w:color="auto"/>
              <w:right w:val="nil"/>
            </w:tcBorders>
            <w:hideMark/>
          </w:tcPr>
          <w:p w14:paraId="3EBF5550"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5</w:t>
            </w:r>
          </w:p>
        </w:tc>
        <w:tc>
          <w:tcPr>
            <w:tcW w:w="1860" w:type="dxa"/>
            <w:tcBorders>
              <w:top w:val="nil"/>
              <w:left w:val="nil"/>
              <w:bottom w:val="single" w:sz="6" w:space="0" w:color="auto"/>
              <w:right w:val="nil"/>
            </w:tcBorders>
            <w:hideMark/>
          </w:tcPr>
          <w:p w14:paraId="4D38A432"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Specialist’s</w:t>
            </w:r>
          </w:p>
        </w:tc>
        <w:tc>
          <w:tcPr>
            <w:tcW w:w="1860" w:type="dxa"/>
            <w:tcBorders>
              <w:top w:val="nil"/>
              <w:left w:val="nil"/>
              <w:bottom w:val="single" w:sz="6" w:space="0" w:color="auto"/>
              <w:right w:val="nil"/>
            </w:tcBorders>
            <w:hideMark/>
          </w:tcPr>
          <w:p w14:paraId="10FFEC9B"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Middle School</w:t>
            </w:r>
          </w:p>
        </w:tc>
        <w:tc>
          <w:tcPr>
            <w:tcW w:w="1860" w:type="dxa"/>
            <w:tcBorders>
              <w:top w:val="nil"/>
              <w:left w:val="nil"/>
              <w:bottom w:val="single" w:sz="6" w:space="0" w:color="auto"/>
              <w:right w:val="nil"/>
            </w:tcBorders>
            <w:hideMark/>
          </w:tcPr>
          <w:p w14:paraId="4524B300" w14:textId="77777777" w:rsidR="009941AF" w:rsidRPr="004B380C" w:rsidRDefault="009941AF" w:rsidP="001B5072">
            <w:pPr>
              <w:spacing w:after="0" w:line="240" w:lineRule="auto"/>
              <w:jc w:val="center"/>
              <w:textAlignment w:val="baseline"/>
              <w:rPr>
                <w:rFonts w:ascii="Times New Roman" w:eastAsia="Times New Roman" w:hAnsi="Times New Roman" w:cs="Times New Roman"/>
              </w:rPr>
            </w:pPr>
            <w:r w:rsidRPr="004B380C">
              <w:rPr>
                <w:rFonts w:ascii="Times New Roman" w:eastAsia="Times New Roman" w:hAnsi="Times New Roman" w:cs="Times New Roman"/>
              </w:rPr>
              <w:t>Urban</w:t>
            </w:r>
          </w:p>
        </w:tc>
      </w:tr>
    </w:tbl>
    <w:p w14:paraId="0E775B94" w14:textId="77777777" w:rsidR="009941AF" w:rsidRPr="004B380C" w:rsidRDefault="009941AF" w:rsidP="001B5072">
      <w:pPr>
        <w:spacing w:line="240" w:lineRule="auto"/>
        <w:ind w:firstLine="720"/>
        <w:rPr>
          <w:rFonts w:ascii="Times New Roman" w:eastAsia="Times New Roman" w:hAnsi="Times New Roman" w:cs="Times New Roman"/>
          <w:kern w:val="0"/>
          <w14:ligatures w14:val="none"/>
        </w:rPr>
      </w:pPr>
    </w:p>
    <w:p w14:paraId="6AEAD0A3" w14:textId="13F37A83" w:rsidR="009941AF" w:rsidRPr="004B380C" w:rsidRDefault="009941AF" w:rsidP="004B380C">
      <w:pPr>
        <w:spacing w:line="240" w:lineRule="auto"/>
        <w:ind w:firstLine="720"/>
        <w:rPr>
          <w:rFonts w:ascii="Times New Roman" w:eastAsia="Times New Roman" w:hAnsi="Times New Roman" w:cs="Times New Roman"/>
        </w:rPr>
      </w:pPr>
      <w:r w:rsidRPr="004B380C">
        <w:rPr>
          <w:rFonts w:ascii="Times New Roman" w:eastAsia="Times New Roman" w:hAnsi="Times New Roman" w:cs="Times New Roman"/>
        </w:rPr>
        <w:t xml:space="preserve">Multiple </w:t>
      </w:r>
      <w:r w:rsidR="00BC5E97" w:rsidRPr="004B380C">
        <w:rPr>
          <w:rFonts w:ascii="Times New Roman" w:eastAsia="Times New Roman" w:hAnsi="Times New Roman" w:cs="Times New Roman"/>
        </w:rPr>
        <w:t>data</w:t>
      </w:r>
      <w:r w:rsidRPr="004B380C">
        <w:rPr>
          <w:rFonts w:ascii="Times New Roman" w:eastAsia="Times New Roman" w:hAnsi="Times New Roman" w:cs="Times New Roman"/>
        </w:rPr>
        <w:t xml:space="preserve"> </w:t>
      </w:r>
      <w:r w:rsidR="00BC5E97" w:rsidRPr="004B380C">
        <w:rPr>
          <w:rFonts w:ascii="Times New Roman" w:eastAsia="Times New Roman" w:hAnsi="Times New Roman" w:cs="Times New Roman"/>
        </w:rPr>
        <w:t>sources</w:t>
      </w:r>
      <w:r w:rsidRPr="004B380C">
        <w:rPr>
          <w:rFonts w:ascii="Times New Roman" w:eastAsia="Times New Roman" w:hAnsi="Times New Roman" w:cs="Times New Roman"/>
        </w:rPr>
        <w:t xml:space="preserve"> were collected for each case, including classroom observations, semi-structured one-on-one interviews, and analysis of a resource document. Each participating teacher was observed during one to two class periods </w:t>
      </w:r>
      <w:r w:rsidR="00BC5E97" w:rsidRPr="004B380C">
        <w:rPr>
          <w:rFonts w:ascii="Times New Roman" w:eastAsia="Times New Roman" w:hAnsi="Times New Roman" w:cs="Times New Roman"/>
        </w:rPr>
        <w:t>during which</w:t>
      </w:r>
      <w:r w:rsidRPr="004B380C">
        <w:rPr>
          <w:rFonts w:ascii="Times New Roman" w:eastAsia="Times New Roman" w:hAnsi="Times New Roman" w:cs="Times New Roman"/>
        </w:rPr>
        <w:t xml:space="preserve"> they implemented a lesson that included scientific content. Observations lasted 45</w:t>
      </w:r>
      <w:r w:rsidR="00BC5E97" w:rsidRPr="004B380C">
        <w:rPr>
          <w:rFonts w:ascii="Times New Roman" w:eastAsia="Times New Roman" w:hAnsi="Times New Roman" w:cs="Times New Roman"/>
        </w:rPr>
        <w:t xml:space="preserve"> to </w:t>
      </w:r>
      <w:r w:rsidRPr="004B380C">
        <w:rPr>
          <w:rFonts w:ascii="Times New Roman" w:eastAsia="Times New Roman" w:hAnsi="Times New Roman" w:cs="Times New Roman"/>
        </w:rPr>
        <w:t xml:space="preserve">90 minutes, depending on the school’s bell schedule. Field notes were taken to document instructional strategies, classroom interactions, and the use of scientific language. Researchers remained unobtrusive in the classroom and did not interfere with the instructional process. Additionally, teachers participated in a semi-structured one-on-one interview lasting approximately 45 to 60 minutes. Interview questions focused on instructional decision-making, the integration of science within agricultural contexts, and perceptions of students’ understanding and engagement. Participants were then asked to submit two to three resources (e.g., lesson plans, lab sheets, PowerPoint slides, etc.) that they </w:t>
      </w:r>
      <w:r w:rsidR="00702310" w:rsidRPr="004B380C">
        <w:rPr>
          <w:rFonts w:ascii="Times New Roman" w:eastAsia="Times New Roman" w:hAnsi="Times New Roman" w:cs="Times New Roman"/>
        </w:rPr>
        <w:t>considered effective</w:t>
      </w:r>
      <w:r w:rsidRPr="004B380C">
        <w:rPr>
          <w:rFonts w:ascii="Times New Roman" w:eastAsia="Times New Roman" w:hAnsi="Times New Roman" w:cs="Times New Roman"/>
        </w:rPr>
        <w:t xml:space="preserve"> examples of integrating science </w:t>
      </w:r>
      <w:r w:rsidR="00702310" w:rsidRPr="004B380C">
        <w:rPr>
          <w:rFonts w:ascii="Times New Roman" w:eastAsia="Times New Roman" w:hAnsi="Times New Roman" w:cs="Times New Roman"/>
        </w:rPr>
        <w:t xml:space="preserve">in </w:t>
      </w:r>
      <w:r w:rsidRPr="004B380C">
        <w:rPr>
          <w:rFonts w:ascii="Times New Roman" w:eastAsia="Times New Roman" w:hAnsi="Times New Roman" w:cs="Times New Roman"/>
        </w:rPr>
        <w:t>their classroom</w:t>
      </w:r>
      <w:r w:rsidR="00702310" w:rsidRPr="004B380C">
        <w:rPr>
          <w:rFonts w:ascii="Times New Roman" w:eastAsia="Times New Roman" w:hAnsi="Times New Roman" w:cs="Times New Roman"/>
        </w:rPr>
        <w:t>s</w:t>
      </w:r>
      <w:r w:rsidRPr="004B380C">
        <w:rPr>
          <w:rFonts w:ascii="Times New Roman" w:eastAsia="Times New Roman" w:hAnsi="Times New Roman" w:cs="Times New Roman"/>
        </w:rPr>
        <w:t>. These materials provided further context for understanding how scientific concepts were embedded within the curriculum and teaching approach through a document analysis.  </w:t>
      </w:r>
    </w:p>
    <w:p w14:paraId="4D52E07F" w14:textId="5C67ECE3" w:rsidR="009941AF" w:rsidRPr="004B380C" w:rsidRDefault="009941AF" w:rsidP="001B5072">
      <w:pPr>
        <w:spacing w:line="240" w:lineRule="auto"/>
        <w:ind w:firstLine="720"/>
        <w:rPr>
          <w:rFonts w:ascii="Times New Roman" w:eastAsia="Times New Roman" w:hAnsi="Times New Roman" w:cs="Times New Roman"/>
        </w:rPr>
      </w:pPr>
      <w:r w:rsidRPr="004B380C">
        <w:rPr>
          <w:rFonts w:ascii="Times New Roman" w:eastAsia="Times New Roman" w:hAnsi="Times New Roman" w:cs="Times New Roman"/>
        </w:rPr>
        <w:t>Data were analyzed using the constant comparative method within and across cases (Creswell &amp; Creswell, 2023). All data were coded using both deductive and inductive approaches, allowing for comparison to the theoretical framework while also permitting themes to emerge directly from the data (Creswell &amp; Creswell, 2023). Open codes were grouped into cross-compar</w:t>
      </w:r>
      <w:r w:rsidR="006673E6" w:rsidRPr="004B380C">
        <w:rPr>
          <w:rFonts w:ascii="Times New Roman" w:eastAsia="Times New Roman" w:hAnsi="Times New Roman" w:cs="Times New Roman"/>
        </w:rPr>
        <w:t>ative</w:t>
      </w:r>
      <w:r w:rsidRPr="004B380C">
        <w:rPr>
          <w:rFonts w:ascii="Times New Roman" w:eastAsia="Times New Roman" w:hAnsi="Times New Roman" w:cs="Times New Roman"/>
        </w:rPr>
        <w:t xml:space="preserve"> categories and further condensed into three overarching themes, which </w:t>
      </w:r>
      <w:r w:rsidR="006673E6" w:rsidRPr="004B380C">
        <w:rPr>
          <w:rFonts w:ascii="Times New Roman" w:eastAsia="Times New Roman" w:hAnsi="Times New Roman" w:cs="Times New Roman"/>
        </w:rPr>
        <w:t>constituted</w:t>
      </w:r>
      <w:r w:rsidRPr="004B380C">
        <w:rPr>
          <w:rFonts w:ascii="Times New Roman" w:eastAsia="Times New Roman" w:hAnsi="Times New Roman" w:cs="Times New Roman"/>
        </w:rPr>
        <w:t xml:space="preserve"> the </w:t>
      </w:r>
      <w:r w:rsidR="006673E6" w:rsidRPr="004B380C">
        <w:rPr>
          <w:rFonts w:ascii="Times New Roman" w:eastAsia="Times New Roman" w:hAnsi="Times New Roman" w:cs="Times New Roman"/>
        </w:rPr>
        <w:t>study'</w:t>
      </w:r>
      <w:r w:rsidRPr="004B380C">
        <w:rPr>
          <w:rFonts w:ascii="Times New Roman" w:eastAsia="Times New Roman" w:hAnsi="Times New Roman" w:cs="Times New Roman"/>
        </w:rPr>
        <w:t xml:space="preserve">s </w:t>
      </w:r>
      <w:r w:rsidR="006673E6" w:rsidRPr="004B380C">
        <w:rPr>
          <w:rFonts w:ascii="Times New Roman" w:eastAsia="Times New Roman" w:hAnsi="Times New Roman" w:cs="Times New Roman"/>
        </w:rPr>
        <w:t>findings</w:t>
      </w:r>
      <w:r w:rsidRPr="004B380C">
        <w:rPr>
          <w:rFonts w:ascii="Times New Roman" w:eastAsia="Times New Roman" w:hAnsi="Times New Roman" w:cs="Times New Roman"/>
        </w:rPr>
        <w:t>.  </w:t>
      </w:r>
    </w:p>
    <w:p w14:paraId="7F7B3589" w14:textId="7E8ADDD4" w:rsidR="009941AF" w:rsidRPr="004B380C" w:rsidRDefault="009941AF" w:rsidP="001B5072">
      <w:pPr>
        <w:spacing w:line="240" w:lineRule="auto"/>
        <w:ind w:firstLine="720"/>
        <w:rPr>
          <w:rFonts w:ascii="Times New Roman" w:eastAsia="Times New Roman" w:hAnsi="Times New Roman" w:cs="Times New Roman"/>
        </w:rPr>
      </w:pPr>
      <w:r w:rsidRPr="004B380C">
        <w:rPr>
          <w:rFonts w:ascii="Times New Roman" w:eastAsia="Times New Roman" w:hAnsi="Times New Roman" w:cs="Times New Roman"/>
        </w:rPr>
        <w:t xml:space="preserve">To uphold the study’s trustworthiness and rigor, several strategies were implemented in line with qualitative research best practices. Triangulation across multiple data sources strengthened the credibility of the findings by allowing themes to emerge across different perspectives and contexts (Lincoln &amp; Guba, 1985). Additionally, member checking was conducted with participants to confirm the accuracy and resonance of the interpretations, while peer debriefing sessions with colleagues provided opportunities to critically examine the coding process and ensure alignment with the data (Creswell &amp; Creswell, 2023). To address potential </w:t>
      </w:r>
      <w:r w:rsidRPr="004B380C">
        <w:rPr>
          <w:rFonts w:ascii="Times New Roman" w:eastAsia="Times New Roman" w:hAnsi="Times New Roman" w:cs="Times New Roman"/>
        </w:rPr>
        <w:lastRenderedPageBreak/>
        <w:t xml:space="preserve">researcher bias and enhance confirmability, the researcher developed a detailed subjectivity statement outlining their positionality, prior experiences, and assumptions that may have influenced data collection and interpretation. Finally, rich, thick descriptions were included throughout the reporting of findings to </w:t>
      </w:r>
      <w:r w:rsidR="006673E6" w:rsidRPr="004B380C">
        <w:rPr>
          <w:rFonts w:ascii="Times New Roman" w:eastAsia="Times New Roman" w:hAnsi="Times New Roman" w:cs="Times New Roman"/>
        </w:rPr>
        <w:t>enhance</w:t>
      </w:r>
      <w:r w:rsidRPr="004B380C">
        <w:rPr>
          <w:rFonts w:ascii="Times New Roman" w:eastAsia="Times New Roman" w:hAnsi="Times New Roman" w:cs="Times New Roman"/>
        </w:rPr>
        <w:t xml:space="preserve"> transferability, </w:t>
      </w:r>
      <w:r w:rsidR="006673E6" w:rsidRPr="004B380C">
        <w:rPr>
          <w:rFonts w:ascii="Times New Roman" w:eastAsia="Times New Roman" w:hAnsi="Times New Roman" w:cs="Times New Roman"/>
        </w:rPr>
        <w:t>provid</w:t>
      </w:r>
      <w:r w:rsidRPr="004B380C">
        <w:rPr>
          <w:rFonts w:ascii="Times New Roman" w:eastAsia="Times New Roman" w:hAnsi="Times New Roman" w:cs="Times New Roman"/>
        </w:rPr>
        <w:t xml:space="preserve">ing sufficient context for readers to </w:t>
      </w:r>
      <w:r w:rsidR="006673E6" w:rsidRPr="004B380C">
        <w:rPr>
          <w:rFonts w:ascii="Times New Roman" w:eastAsia="Times New Roman" w:hAnsi="Times New Roman" w:cs="Times New Roman"/>
        </w:rPr>
        <w:t>assess</w:t>
      </w:r>
      <w:r w:rsidRPr="004B380C">
        <w:rPr>
          <w:rFonts w:ascii="Times New Roman" w:eastAsia="Times New Roman" w:hAnsi="Times New Roman" w:cs="Times New Roman"/>
        </w:rPr>
        <w:t xml:space="preserve"> the applicability of the results to other settings (Lincoln &amp; Guba, 1985). Collectively, these strategies ensured that the study adhered to established standards of rigor in qualitative research and that the findings were trustworthy, transparent, and grounded in the data.</w:t>
      </w:r>
    </w:p>
    <w:p w14:paraId="55BFBC7C" w14:textId="34C1BAF6" w:rsidR="009941AF" w:rsidRPr="004B380C" w:rsidRDefault="009941AF" w:rsidP="004B380C">
      <w:pPr>
        <w:spacing w:before="240" w:line="240" w:lineRule="auto"/>
        <w:jc w:val="center"/>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Findings</w:t>
      </w:r>
    </w:p>
    <w:p w14:paraId="37AED214" w14:textId="77777777" w:rsidR="009941AF" w:rsidRPr="004B380C" w:rsidRDefault="009941AF" w:rsidP="001B5072">
      <w:pPr>
        <w:spacing w:line="240" w:lineRule="auto"/>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Approaches to Integrating Science in SBAE Classrooms</w:t>
      </w:r>
    </w:p>
    <w:p w14:paraId="48BE1026" w14:textId="77777777"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Participants in the study described various ways they incorporate science into their classrooms, with many emphasizing the value of inquiry-based and hands-on strategies. Ari explained teaching about the scientific method through fun experiment designs, “I also do a bubble gum lab…They make up hypothesis, questions, and all kinds of things for absolute ridiculous stuff like hair, makeup, and stuff… and it's so that they can learn… how to word a hypothesis and follow instructions.” Even so, Ari did not discuss how she bridges that connection to agricultural content. She noted that while the scientific method can sometimes be oversimplified in classrooms, even a simplified version provides students with an essential foundation in scientific thinking. </w:t>
      </w:r>
    </w:p>
    <w:p w14:paraId="3E7E5533" w14:textId="21B6C36F"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Similarly, Lily described her classes as involving hands-on dissections, experiments, and analyses in her courses</w:t>
      </w:r>
      <w:r w:rsidR="006673E6"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saying, </w:t>
      </w:r>
    </w:p>
    <w:p w14:paraId="0F9765BD" w14:textId="3D2FE288" w:rsidR="009941AF" w:rsidRPr="004B380C" w:rsidRDefault="009941AF" w:rsidP="001B5072">
      <w:pPr>
        <w:spacing w:line="240" w:lineRule="auto"/>
        <w:ind w:left="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In Basic Ag we have a section that is purely agriscience. </w:t>
      </w:r>
      <w:proofErr w:type="gramStart"/>
      <w:r w:rsidRPr="004B380C">
        <w:rPr>
          <w:rFonts w:ascii="Times New Roman" w:eastAsia="Times New Roman" w:hAnsi="Times New Roman" w:cs="Times New Roman"/>
          <w:kern w:val="0"/>
          <w14:ligatures w14:val="none"/>
        </w:rPr>
        <w:t>So</w:t>
      </w:r>
      <w:proofErr w:type="gramEnd"/>
      <w:r w:rsidRPr="004B380C">
        <w:rPr>
          <w:rFonts w:ascii="Times New Roman" w:eastAsia="Times New Roman" w:hAnsi="Times New Roman" w:cs="Times New Roman"/>
          <w:kern w:val="0"/>
          <w14:ligatures w14:val="none"/>
        </w:rPr>
        <w:t xml:space="preserve"> I teach them, what does a science experiment look like? What's a hypothesis? What are independent (and) dependent variables? They learn how a scientific experiment is done. So that way when they move into my upper level course, when we </w:t>
      </w:r>
      <w:proofErr w:type="gramStart"/>
      <w:r w:rsidRPr="004B380C">
        <w:rPr>
          <w:rFonts w:ascii="Times New Roman" w:eastAsia="Times New Roman" w:hAnsi="Times New Roman" w:cs="Times New Roman"/>
          <w:kern w:val="0"/>
          <w14:ligatures w14:val="none"/>
        </w:rPr>
        <w:t>actually start</w:t>
      </w:r>
      <w:proofErr w:type="gramEnd"/>
      <w:r w:rsidRPr="004B380C">
        <w:rPr>
          <w:rFonts w:ascii="Times New Roman" w:eastAsia="Times New Roman" w:hAnsi="Times New Roman" w:cs="Times New Roman"/>
          <w:kern w:val="0"/>
          <w14:ligatures w14:val="none"/>
        </w:rPr>
        <w:t xml:space="preserve"> to talk about those science experiments, they have a better grasp of it, especially for those that haven't taken biology ye</w:t>
      </w:r>
      <w:r w:rsidR="00354D7D" w:rsidRPr="004B380C">
        <w:rPr>
          <w:rFonts w:ascii="Times New Roman" w:eastAsia="Times New Roman" w:hAnsi="Times New Roman" w:cs="Times New Roman"/>
          <w:kern w:val="0"/>
          <w14:ligatures w14:val="none"/>
        </w:rPr>
        <w:t>t.</w:t>
      </w:r>
    </w:p>
    <w:p w14:paraId="3E26BFD4" w14:textId="442053B5"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These experiences </w:t>
      </w:r>
      <w:r w:rsidR="00217D1E" w:rsidRPr="004B380C">
        <w:rPr>
          <w:rFonts w:ascii="Times New Roman" w:eastAsia="Times New Roman" w:hAnsi="Times New Roman" w:cs="Times New Roman"/>
          <w:kern w:val="0"/>
          <w14:ligatures w14:val="none"/>
        </w:rPr>
        <w:t xml:space="preserve">provide </w:t>
      </w:r>
      <w:r w:rsidRPr="004B380C">
        <w:rPr>
          <w:rFonts w:ascii="Times New Roman" w:eastAsia="Times New Roman" w:hAnsi="Times New Roman" w:cs="Times New Roman"/>
          <w:kern w:val="0"/>
          <w14:ligatures w14:val="none"/>
        </w:rPr>
        <w:t xml:space="preserve">students </w:t>
      </w:r>
      <w:r w:rsidR="00217D1E" w:rsidRPr="004B380C">
        <w:rPr>
          <w:rFonts w:ascii="Times New Roman" w:eastAsia="Times New Roman" w:hAnsi="Times New Roman" w:cs="Times New Roman"/>
          <w:kern w:val="0"/>
          <w14:ligatures w14:val="none"/>
        </w:rPr>
        <w:t xml:space="preserve">with </w:t>
      </w:r>
      <w:r w:rsidRPr="004B380C">
        <w:rPr>
          <w:rFonts w:ascii="Times New Roman" w:eastAsia="Times New Roman" w:hAnsi="Times New Roman" w:cs="Times New Roman"/>
          <w:kern w:val="0"/>
          <w14:ligatures w14:val="none"/>
        </w:rPr>
        <w:t xml:space="preserve">opportunities to apply scientific concepts </w:t>
      </w:r>
      <w:r w:rsidR="00217D1E" w:rsidRPr="004B380C">
        <w:rPr>
          <w:rFonts w:ascii="Times New Roman" w:eastAsia="Times New Roman" w:hAnsi="Times New Roman" w:cs="Times New Roman"/>
          <w:kern w:val="0"/>
          <w14:ligatures w14:val="none"/>
        </w:rPr>
        <w:t>as</w:t>
      </w:r>
      <w:r w:rsidRPr="004B380C">
        <w:rPr>
          <w:rFonts w:ascii="Times New Roman" w:eastAsia="Times New Roman" w:hAnsi="Times New Roman" w:cs="Times New Roman"/>
          <w:kern w:val="0"/>
          <w14:ligatures w14:val="none"/>
        </w:rPr>
        <w:t xml:space="preserve"> </w:t>
      </w:r>
      <w:r w:rsidR="00217D1E" w:rsidRPr="004B380C">
        <w:rPr>
          <w:rFonts w:ascii="Times New Roman" w:eastAsia="Times New Roman" w:hAnsi="Times New Roman" w:cs="Times New Roman"/>
          <w:kern w:val="0"/>
          <w14:ligatures w14:val="none"/>
        </w:rPr>
        <w:t>they learn</w:t>
      </w:r>
      <w:r w:rsidRPr="004B380C">
        <w:rPr>
          <w:rFonts w:ascii="Times New Roman" w:eastAsia="Times New Roman" w:hAnsi="Times New Roman" w:cs="Times New Roman"/>
          <w:kern w:val="0"/>
          <w14:ligatures w14:val="none"/>
        </w:rPr>
        <w:t xml:space="preserve"> agricultural content</w:t>
      </w:r>
      <w:r w:rsidR="00217D1E" w:rsidRPr="004B380C">
        <w:rPr>
          <w:rFonts w:ascii="Times New Roman" w:eastAsia="Times New Roman" w:hAnsi="Times New Roman" w:cs="Times New Roman"/>
          <w:kern w:val="0"/>
          <w14:ligatures w14:val="none"/>
        </w:rPr>
        <w:t xml:space="preserve"> directly</w:t>
      </w:r>
      <w:r w:rsidRPr="004B380C">
        <w:rPr>
          <w:rFonts w:ascii="Times New Roman" w:eastAsia="Times New Roman" w:hAnsi="Times New Roman" w:cs="Times New Roman"/>
          <w:kern w:val="0"/>
          <w14:ligatures w14:val="none"/>
        </w:rPr>
        <w:t>. Sophia shared an activity she loves doing with students, explaining</w:t>
      </w:r>
      <w:r w:rsidR="00217D1E"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“on the back of Wandering Jew leaves and looking at the stomata, if you put sugar water on it, it'll open and close and so you can see it opening and closing.” Although she could describe what was happening in the activity, she admitted </w:t>
      </w:r>
      <w:r w:rsidR="00C17071" w:rsidRPr="004B380C">
        <w:rPr>
          <w:rFonts w:ascii="Times New Roman" w:eastAsia="Times New Roman" w:hAnsi="Times New Roman" w:cs="Times New Roman"/>
          <w:kern w:val="0"/>
          <w14:ligatures w14:val="none"/>
        </w:rPr>
        <w:t>that she struggled</w:t>
      </w:r>
      <w:r w:rsidRPr="004B380C">
        <w:rPr>
          <w:rFonts w:ascii="Times New Roman" w:eastAsia="Times New Roman" w:hAnsi="Times New Roman" w:cs="Times New Roman"/>
          <w:kern w:val="0"/>
          <w14:ligatures w14:val="none"/>
        </w:rPr>
        <w:t xml:space="preserve"> to fully explain the underlying scientific processes of osmosis and water potential in plant cells. </w:t>
      </w:r>
    </w:p>
    <w:p w14:paraId="6F99FC62" w14:textId="45C0F904"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In contrast, not all participants emphasized inquiry or application in their </w:t>
      </w:r>
      <w:r w:rsidR="00C17071" w:rsidRPr="004B380C">
        <w:rPr>
          <w:rFonts w:ascii="Times New Roman" w:eastAsia="Times New Roman" w:hAnsi="Times New Roman" w:cs="Times New Roman"/>
          <w:kern w:val="0"/>
          <w14:ligatures w14:val="none"/>
        </w:rPr>
        <w:t xml:space="preserve">classroom </w:t>
      </w:r>
      <w:r w:rsidRPr="004B380C">
        <w:rPr>
          <w:rFonts w:ascii="Times New Roman" w:eastAsia="Times New Roman" w:hAnsi="Times New Roman" w:cs="Times New Roman"/>
          <w:kern w:val="0"/>
          <w14:ligatures w14:val="none"/>
        </w:rPr>
        <w:t xml:space="preserve">science integration. Additionally, multiple participants had </w:t>
      </w:r>
      <w:r w:rsidR="00C17071" w:rsidRPr="004B380C">
        <w:rPr>
          <w:rFonts w:ascii="Times New Roman" w:eastAsia="Times New Roman" w:hAnsi="Times New Roman" w:cs="Times New Roman"/>
          <w:kern w:val="0"/>
          <w14:ligatures w14:val="none"/>
        </w:rPr>
        <w:t>difficulty</w:t>
      </w:r>
      <w:r w:rsidRPr="004B380C">
        <w:rPr>
          <w:rFonts w:ascii="Times New Roman" w:eastAsia="Times New Roman" w:hAnsi="Times New Roman" w:cs="Times New Roman"/>
          <w:kern w:val="0"/>
          <w14:ligatures w14:val="none"/>
        </w:rPr>
        <w:t xml:space="preserve"> explaining how they integrate science into their class</w:t>
      </w:r>
      <w:r w:rsidR="00C17071" w:rsidRPr="004B380C">
        <w:rPr>
          <w:rFonts w:ascii="Times New Roman" w:eastAsia="Times New Roman" w:hAnsi="Times New Roman" w:cs="Times New Roman"/>
          <w:kern w:val="0"/>
          <w14:ligatures w14:val="none"/>
        </w:rPr>
        <w:t>es</w:t>
      </w:r>
      <w:r w:rsidRPr="004B380C">
        <w:rPr>
          <w:rFonts w:ascii="Times New Roman" w:eastAsia="Times New Roman" w:hAnsi="Times New Roman" w:cs="Times New Roman"/>
          <w:kern w:val="0"/>
          <w14:ligatures w14:val="none"/>
        </w:rPr>
        <w:t xml:space="preserve">. For example, during his classroom observation, Caleb </w:t>
      </w:r>
      <w:r w:rsidR="00C17071" w:rsidRPr="004B380C">
        <w:rPr>
          <w:rFonts w:ascii="Times New Roman" w:eastAsia="Times New Roman" w:hAnsi="Times New Roman" w:cs="Times New Roman"/>
          <w:kern w:val="0"/>
          <w14:ligatures w14:val="none"/>
        </w:rPr>
        <w:t>informe</w:t>
      </w:r>
      <w:r w:rsidRPr="004B380C">
        <w:rPr>
          <w:rFonts w:ascii="Times New Roman" w:eastAsia="Times New Roman" w:hAnsi="Times New Roman" w:cs="Times New Roman"/>
          <w:kern w:val="0"/>
          <w14:ligatures w14:val="none"/>
        </w:rPr>
        <w:t xml:space="preserve">d the research team that he was using an inquiry approach with his students that day </w:t>
      </w:r>
      <w:r w:rsidR="00C17071" w:rsidRPr="004B380C">
        <w:rPr>
          <w:rFonts w:ascii="Times New Roman" w:eastAsia="Times New Roman" w:hAnsi="Times New Roman" w:cs="Times New Roman"/>
          <w:kern w:val="0"/>
          <w14:ligatures w14:val="none"/>
        </w:rPr>
        <w:t>to</w:t>
      </w:r>
      <w:r w:rsidRPr="004B380C">
        <w:rPr>
          <w:rFonts w:ascii="Times New Roman" w:eastAsia="Times New Roman" w:hAnsi="Times New Roman" w:cs="Times New Roman"/>
          <w:kern w:val="0"/>
          <w14:ligatures w14:val="none"/>
        </w:rPr>
        <w:t xml:space="preserve"> learn </w:t>
      </w:r>
      <w:r w:rsidR="00C17071" w:rsidRPr="004B380C">
        <w:rPr>
          <w:rFonts w:ascii="Times New Roman" w:eastAsia="Times New Roman" w:hAnsi="Times New Roman" w:cs="Times New Roman"/>
          <w:kern w:val="0"/>
          <w14:ligatures w14:val="none"/>
        </w:rPr>
        <w:t xml:space="preserve">about </w:t>
      </w:r>
      <w:r w:rsidRPr="004B380C">
        <w:rPr>
          <w:rFonts w:ascii="Times New Roman" w:eastAsia="Times New Roman" w:hAnsi="Times New Roman" w:cs="Times New Roman"/>
          <w:kern w:val="0"/>
          <w14:ligatures w14:val="none"/>
        </w:rPr>
        <w:t>nutrient deficiencies in plants</w:t>
      </w:r>
      <w:r w:rsidR="00C17071" w:rsidRPr="004B380C">
        <w:rPr>
          <w:rFonts w:ascii="Times New Roman" w:eastAsia="Times New Roman" w:hAnsi="Times New Roman" w:cs="Times New Roman"/>
          <w:kern w:val="0"/>
          <w14:ligatures w14:val="none"/>
        </w:rPr>
        <w:t>. Still,</w:t>
      </w:r>
      <w:r w:rsidRPr="004B380C">
        <w:rPr>
          <w:rFonts w:ascii="Times New Roman" w:eastAsia="Times New Roman" w:hAnsi="Times New Roman" w:cs="Times New Roman"/>
          <w:kern w:val="0"/>
          <w14:ligatures w14:val="none"/>
        </w:rPr>
        <w:t xml:space="preserve"> the primary classroom learning activity that day involved students taking self-paced notes from a PowerPoint posted </w:t>
      </w:r>
      <w:r w:rsidR="00C17071" w:rsidRPr="004B380C">
        <w:rPr>
          <w:rFonts w:ascii="Times New Roman" w:eastAsia="Times New Roman" w:hAnsi="Times New Roman" w:cs="Times New Roman"/>
          <w:kern w:val="0"/>
          <w14:ligatures w14:val="none"/>
        </w:rPr>
        <w:t xml:space="preserve">on </w:t>
      </w:r>
      <w:r w:rsidRPr="004B380C">
        <w:rPr>
          <w:rFonts w:ascii="Times New Roman" w:eastAsia="Times New Roman" w:hAnsi="Times New Roman" w:cs="Times New Roman"/>
          <w:kern w:val="0"/>
          <w14:ligatures w14:val="none"/>
        </w:rPr>
        <w:t xml:space="preserve">the online learning platform, </w:t>
      </w:r>
      <w:r w:rsidR="00C17071" w:rsidRPr="004B380C">
        <w:rPr>
          <w:rFonts w:ascii="Times New Roman" w:eastAsia="Times New Roman" w:hAnsi="Times New Roman" w:cs="Times New Roman"/>
          <w:kern w:val="0"/>
          <w14:ligatures w14:val="none"/>
        </w:rPr>
        <w:t xml:space="preserve">indicating </w:t>
      </w:r>
      <w:r w:rsidRPr="004B380C">
        <w:rPr>
          <w:rFonts w:ascii="Times New Roman" w:eastAsia="Times New Roman" w:hAnsi="Times New Roman" w:cs="Times New Roman"/>
          <w:kern w:val="0"/>
          <w14:ligatures w14:val="none"/>
        </w:rPr>
        <w:t xml:space="preserve">a misalignment </w:t>
      </w:r>
      <w:r w:rsidR="00C17071" w:rsidRPr="004B380C">
        <w:rPr>
          <w:rFonts w:ascii="Times New Roman" w:eastAsia="Times New Roman" w:hAnsi="Times New Roman" w:cs="Times New Roman"/>
          <w:kern w:val="0"/>
          <w14:ligatures w14:val="none"/>
        </w:rPr>
        <w:t xml:space="preserve">between </w:t>
      </w:r>
      <w:r w:rsidRPr="004B380C">
        <w:rPr>
          <w:rFonts w:ascii="Times New Roman" w:eastAsia="Times New Roman" w:hAnsi="Times New Roman" w:cs="Times New Roman"/>
          <w:kern w:val="0"/>
          <w14:ligatures w14:val="none"/>
        </w:rPr>
        <w:t>the teacher’s knowledge of inquiry-based learning</w:t>
      </w:r>
      <w:r w:rsidR="00C17071" w:rsidRPr="004B380C">
        <w:rPr>
          <w:rFonts w:ascii="Times New Roman" w:eastAsia="Times New Roman" w:hAnsi="Times New Roman" w:cs="Times New Roman"/>
          <w:kern w:val="0"/>
          <w14:ligatures w14:val="none"/>
        </w:rPr>
        <w:t xml:space="preserve"> and the teacher's instructional practice</w:t>
      </w:r>
      <w:r w:rsidRPr="004B380C">
        <w:rPr>
          <w:rFonts w:ascii="Times New Roman" w:eastAsia="Times New Roman" w:hAnsi="Times New Roman" w:cs="Times New Roman"/>
          <w:kern w:val="0"/>
          <w14:ligatures w14:val="none"/>
        </w:rPr>
        <w:t>.</w:t>
      </w:r>
    </w:p>
    <w:p w14:paraId="017429AD" w14:textId="0EB02468"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When asked about incorporating science, Sophia explained that she will sometimes do laboratory activities graded on completion to highlight a topic. Ethan described a different </w:t>
      </w:r>
      <w:r w:rsidRPr="004B380C">
        <w:rPr>
          <w:rFonts w:ascii="Times New Roman" w:eastAsia="Times New Roman" w:hAnsi="Times New Roman" w:cs="Times New Roman"/>
          <w:kern w:val="0"/>
          <w14:ligatures w14:val="none"/>
        </w:rPr>
        <w:lastRenderedPageBreak/>
        <w:t>approach</w:t>
      </w:r>
      <w:r w:rsidR="005C35EC"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noting, “honestly, I design my agricultural lessons first and then I as I see opportunities to incorporate the science part then I will [integrate]” He later explained a belief that students were more receptive when science connections were introduced secondarily. Taken together, Ethan’s comments position science as </w:t>
      </w:r>
      <w:r w:rsidR="005C35EC" w:rsidRPr="004B380C">
        <w:rPr>
          <w:rFonts w:ascii="Times New Roman" w:eastAsia="Times New Roman" w:hAnsi="Times New Roman" w:cs="Times New Roman"/>
          <w:kern w:val="0"/>
          <w14:ligatures w14:val="none"/>
        </w:rPr>
        <w:t>an</w:t>
      </w:r>
      <w:r w:rsidRPr="004B380C">
        <w:rPr>
          <w:rFonts w:ascii="Times New Roman" w:eastAsia="Times New Roman" w:hAnsi="Times New Roman" w:cs="Times New Roman"/>
          <w:kern w:val="0"/>
          <w14:ligatures w14:val="none"/>
        </w:rPr>
        <w:t xml:space="preserve"> add</w:t>
      </w:r>
      <w:r w:rsidR="005C35EC" w:rsidRPr="004B380C">
        <w:rPr>
          <w:rFonts w:ascii="Times New Roman" w:eastAsia="Times New Roman" w:hAnsi="Times New Roman" w:cs="Times New Roman"/>
          <w:kern w:val="0"/>
          <w14:ligatures w14:val="none"/>
        </w:rPr>
        <w:t>-on</w:t>
      </w:r>
      <w:r w:rsidRPr="004B380C">
        <w:rPr>
          <w:rFonts w:ascii="Times New Roman" w:eastAsia="Times New Roman" w:hAnsi="Times New Roman" w:cs="Times New Roman"/>
          <w:kern w:val="0"/>
          <w14:ligatures w14:val="none"/>
        </w:rPr>
        <w:t xml:space="preserve"> to an already</w:t>
      </w:r>
      <w:r w:rsidR="005C35EC" w:rsidRPr="004B380C">
        <w:rPr>
          <w:rFonts w:ascii="Times New Roman" w:eastAsia="Times New Roman" w:hAnsi="Times New Roman" w:cs="Times New Roman"/>
          <w:kern w:val="0"/>
          <w14:ligatures w14:val="none"/>
        </w:rPr>
        <w:t xml:space="preserve"> </w:t>
      </w:r>
      <w:r w:rsidRPr="004B380C">
        <w:rPr>
          <w:rFonts w:ascii="Times New Roman" w:eastAsia="Times New Roman" w:hAnsi="Times New Roman" w:cs="Times New Roman"/>
          <w:kern w:val="0"/>
          <w14:ligatures w14:val="none"/>
        </w:rPr>
        <w:t>planned agricultural lesson rather than as a core organizing principle, suggesting that for some teachers, science functions more as an afterthought than a central component of lesson planning.</w:t>
      </w:r>
    </w:p>
    <w:p w14:paraId="606F7EE1" w14:textId="77777777" w:rsidR="009941AF" w:rsidRPr="004B380C" w:rsidRDefault="009941AF" w:rsidP="001B5072">
      <w:pPr>
        <w:spacing w:line="240" w:lineRule="auto"/>
        <w:rPr>
          <w:rFonts w:ascii="Times New Roman" w:eastAsia="Times New Roman" w:hAnsi="Times New Roman" w:cs="Times New Roman"/>
          <w:b/>
          <w:bCs/>
          <w:i/>
          <w:iCs/>
          <w:kern w:val="0"/>
          <w14:ligatures w14:val="none"/>
        </w:rPr>
      </w:pPr>
      <w:r w:rsidRPr="004B380C">
        <w:rPr>
          <w:rFonts w:ascii="Times New Roman" w:eastAsia="Times New Roman" w:hAnsi="Times New Roman" w:cs="Times New Roman"/>
          <w:b/>
          <w:bCs/>
          <w:i/>
          <w:iCs/>
          <w:kern w:val="0"/>
          <w14:ligatures w14:val="none"/>
        </w:rPr>
        <w:t>Student Motivation and Engagement</w:t>
      </w:r>
    </w:p>
    <w:p w14:paraId="30635DF3" w14:textId="08DB64EF"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Participants reported a mix of student reactions to science integration in SBAE. Some noted resistance or hesitation, but </w:t>
      </w:r>
      <w:r w:rsidR="005C35EC" w:rsidRPr="004B380C">
        <w:rPr>
          <w:rFonts w:ascii="Times New Roman" w:eastAsia="Times New Roman" w:hAnsi="Times New Roman" w:cs="Times New Roman"/>
          <w:kern w:val="0"/>
          <w14:ligatures w14:val="none"/>
        </w:rPr>
        <w:t>many</w:t>
      </w:r>
      <w:r w:rsidRPr="004B380C">
        <w:rPr>
          <w:rFonts w:ascii="Times New Roman" w:eastAsia="Times New Roman" w:hAnsi="Times New Roman" w:cs="Times New Roman"/>
          <w:kern w:val="0"/>
          <w14:ligatures w14:val="none"/>
        </w:rPr>
        <w:t xml:space="preserve"> emphasized that positive engagement was </w:t>
      </w:r>
      <w:r w:rsidR="005C35EC" w:rsidRPr="004B380C">
        <w:rPr>
          <w:rFonts w:ascii="Times New Roman" w:eastAsia="Times New Roman" w:hAnsi="Times New Roman" w:cs="Times New Roman"/>
          <w:kern w:val="0"/>
          <w14:ligatures w14:val="none"/>
        </w:rPr>
        <w:t>associa</w:t>
      </w:r>
      <w:r w:rsidRPr="004B380C">
        <w:rPr>
          <w:rFonts w:ascii="Times New Roman" w:eastAsia="Times New Roman" w:hAnsi="Times New Roman" w:cs="Times New Roman"/>
          <w:kern w:val="0"/>
          <w14:ligatures w14:val="none"/>
        </w:rPr>
        <w:t xml:space="preserve">ted </w:t>
      </w:r>
      <w:r w:rsidR="005C35EC" w:rsidRPr="004B380C">
        <w:rPr>
          <w:rFonts w:ascii="Times New Roman" w:eastAsia="Times New Roman" w:hAnsi="Times New Roman" w:cs="Times New Roman"/>
          <w:kern w:val="0"/>
          <w14:ligatures w14:val="none"/>
        </w:rPr>
        <w:t>with</w:t>
      </w:r>
      <w:r w:rsidRPr="004B380C">
        <w:rPr>
          <w:rFonts w:ascii="Times New Roman" w:eastAsia="Times New Roman" w:hAnsi="Times New Roman" w:cs="Times New Roman"/>
          <w:kern w:val="0"/>
          <w14:ligatures w14:val="none"/>
        </w:rPr>
        <w:t xml:space="preserve"> hands-on or relevant activities. Ethan explained how students approached science with preconceived “roadblocks” that affected confidence. He explained his approach to teaching agriculture content and then connecting back to science, saying, “Sometimes I'll teach a concept</w:t>
      </w:r>
      <w:r w:rsidR="005C35EC"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and then I'll be like, by the way, this was this [science] concept.” For him, positioning science as a secondary element helped reduce barriers and allowed students to recognize connections without intimidation. Lily echoes this, saying, “I have found that [students] are more receptive when they realize it's science later.”</w:t>
      </w:r>
    </w:p>
    <w:p w14:paraId="6F17FAE8" w14:textId="77777777"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Similarly, Chloe also observed that students respond positively when science is emphasized through engaging activities. She explained, “I've had really good feedback from kids when you make that shift. Since making that shift [to more scientific </w:t>
      </w:r>
      <w:proofErr w:type="gramStart"/>
      <w:r w:rsidRPr="004B380C">
        <w:rPr>
          <w:rFonts w:ascii="Times New Roman" w:eastAsia="Times New Roman" w:hAnsi="Times New Roman" w:cs="Times New Roman"/>
          <w:kern w:val="0"/>
          <w14:ligatures w14:val="none"/>
        </w:rPr>
        <w:t>labs]…</w:t>
      </w:r>
      <w:proofErr w:type="gramEnd"/>
      <w:r w:rsidRPr="004B380C">
        <w:rPr>
          <w:rFonts w:ascii="Times New Roman" w:eastAsia="Times New Roman" w:hAnsi="Times New Roman" w:cs="Times New Roman"/>
          <w:kern w:val="0"/>
          <w14:ligatures w14:val="none"/>
        </w:rPr>
        <w:t xml:space="preserve"> I think kids really do get into them.” This shift highlights how applied science activities can spark students' enthusiasm and curiosity, leading to more meaningful engagement.</w:t>
      </w:r>
    </w:p>
    <w:p w14:paraId="06018900" w14:textId="77777777" w:rsidR="009941AF" w:rsidRPr="004B380C" w:rsidRDefault="009941AF" w:rsidP="001B5072">
      <w:pPr>
        <w:spacing w:line="240" w:lineRule="auto"/>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 xml:space="preserve">How Much Science Makes it into the </w:t>
      </w:r>
      <w:proofErr w:type="gramStart"/>
      <w:r w:rsidRPr="004B380C">
        <w:rPr>
          <w:rFonts w:ascii="Times New Roman" w:eastAsia="Times New Roman" w:hAnsi="Times New Roman" w:cs="Times New Roman"/>
          <w:b/>
          <w:bCs/>
          <w:kern w:val="0"/>
          <w14:ligatures w14:val="none"/>
        </w:rPr>
        <w:t>Classroom</w:t>
      </w:r>
      <w:proofErr w:type="gramEnd"/>
    </w:p>
    <w:p w14:paraId="03F17C14" w14:textId="618604C5"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Teachers varied in </w:t>
      </w:r>
      <w:r w:rsidR="00952909" w:rsidRPr="004B380C">
        <w:rPr>
          <w:rFonts w:ascii="Times New Roman" w:eastAsia="Times New Roman" w:hAnsi="Times New Roman" w:cs="Times New Roman"/>
          <w:kern w:val="0"/>
          <w14:ligatures w14:val="none"/>
        </w:rPr>
        <w:t>the extent to which</w:t>
      </w:r>
      <w:r w:rsidRPr="004B380C">
        <w:rPr>
          <w:rFonts w:ascii="Times New Roman" w:eastAsia="Times New Roman" w:hAnsi="Times New Roman" w:cs="Times New Roman"/>
          <w:kern w:val="0"/>
          <w14:ligatures w14:val="none"/>
        </w:rPr>
        <w:t xml:space="preserve"> they reported integrating </w:t>
      </w:r>
      <w:r w:rsidR="00952909" w:rsidRPr="004B380C">
        <w:rPr>
          <w:rFonts w:ascii="Times New Roman" w:eastAsia="Times New Roman" w:hAnsi="Times New Roman" w:cs="Times New Roman"/>
          <w:kern w:val="0"/>
          <w14:ligatures w14:val="none"/>
        </w:rPr>
        <w:t xml:space="preserve">science into </w:t>
      </w:r>
      <w:r w:rsidRPr="004B380C">
        <w:rPr>
          <w:rFonts w:ascii="Times New Roman" w:eastAsia="Times New Roman" w:hAnsi="Times New Roman" w:cs="Times New Roman"/>
          <w:kern w:val="0"/>
          <w14:ligatures w14:val="none"/>
        </w:rPr>
        <w:t xml:space="preserve">their agriculture courses, with some emphasizing scaffolding, others </w:t>
      </w:r>
      <w:r w:rsidR="00952909" w:rsidRPr="004B380C">
        <w:rPr>
          <w:rFonts w:ascii="Times New Roman" w:eastAsia="Times New Roman" w:hAnsi="Times New Roman" w:cs="Times New Roman"/>
          <w:kern w:val="0"/>
          <w14:ligatures w14:val="none"/>
        </w:rPr>
        <w:t>identifying</w:t>
      </w:r>
      <w:r w:rsidRPr="004B380C">
        <w:rPr>
          <w:rFonts w:ascii="Times New Roman" w:eastAsia="Times New Roman" w:hAnsi="Times New Roman" w:cs="Times New Roman"/>
          <w:kern w:val="0"/>
          <w14:ligatures w14:val="none"/>
        </w:rPr>
        <w:t xml:space="preserve"> specific content areas, and several </w:t>
      </w:r>
      <w:r w:rsidR="00952909" w:rsidRPr="004B380C">
        <w:rPr>
          <w:rFonts w:ascii="Times New Roman" w:eastAsia="Times New Roman" w:hAnsi="Times New Roman" w:cs="Times New Roman"/>
          <w:kern w:val="0"/>
          <w14:ligatures w14:val="none"/>
        </w:rPr>
        <w:t>link</w:t>
      </w:r>
      <w:r w:rsidRPr="004B380C">
        <w:rPr>
          <w:rFonts w:ascii="Times New Roman" w:eastAsia="Times New Roman" w:hAnsi="Times New Roman" w:cs="Times New Roman"/>
          <w:kern w:val="0"/>
          <w14:ligatures w14:val="none"/>
        </w:rPr>
        <w:t>ing integrations solely to the Agriscience Fair. Hannah talked about how she scaffolds instruction within a class during a unit, saying, “So I kind of build base knowledge, do something to, you know, make them learn that base knowledge or apply, not apply quite yet, but like for it to stick and then apply.” Chloe echoed this with how she scaffolds across grade levels:</w:t>
      </w:r>
    </w:p>
    <w:p w14:paraId="6231ABC8" w14:textId="77777777" w:rsidR="009941AF" w:rsidRPr="004B380C" w:rsidRDefault="009941AF" w:rsidP="001B5072">
      <w:pPr>
        <w:spacing w:line="240" w:lineRule="auto"/>
        <w:ind w:left="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[in 8th grade] I just want to introduce them to like, here's a question that I have. How can I test this question? And what are the steps that I'm going to do that with which then leads them in. If they do </w:t>
      </w:r>
      <w:proofErr w:type="gramStart"/>
      <w:r w:rsidRPr="004B380C">
        <w:rPr>
          <w:rFonts w:ascii="Times New Roman" w:eastAsia="Times New Roman" w:hAnsi="Times New Roman" w:cs="Times New Roman"/>
          <w:kern w:val="0"/>
          <w14:ligatures w14:val="none"/>
        </w:rPr>
        <w:t>continue on</w:t>
      </w:r>
      <w:proofErr w:type="gramEnd"/>
      <w:r w:rsidRPr="004B380C">
        <w:rPr>
          <w:rFonts w:ascii="Times New Roman" w:eastAsia="Times New Roman" w:hAnsi="Times New Roman" w:cs="Times New Roman"/>
          <w:kern w:val="0"/>
          <w14:ligatures w14:val="none"/>
        </w:rPr>
        <w:t xml:space="preserve"> with my class in the 9th </w:t>
      </w:r>
      <w:proofErr w:type="gramStart"/>
      <w:r w:rsidRPr="004B380C">
        <w:rPr>
          <w:rFonts w:ascii="Times New Roman" w:eastAsia="Times New Roman" w:hAnsi="Times New Roman" w:cs="Times New Roman"/>
          <w:kern w:val="0"/>
          <w14:ligatures w14:val="none"/>
        </w:rPr>
        <w:t>grade</w:t>
      </w:r>
      <w:proofErr w:type="gramEnd"/>
      <w:r w:rsidRPr="004B380C">
        <w:rPr>
          <w:rFonts w:ascii="Times New Roman" w:eastAsia="Times New Roman" w:hAnsi="Times New Roman" w:cs="Times New Roman"/>
          <w:kern w:val="0"/>
          <w14:ligatures w14:val="none"/>
        </w:rPr>
        <w:t xml:space="preserve"> they're ready [for the] small experiments that we do in class.</w:t>
      </w:r>
    </w:p>
    <w:p w14:paraId="2698116B" w14:textId="6D71EC47"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Ethan listed the range of scientific content he incorporates into his class, explaining, “We </w:t>
      </w:r>
      <w:proofErr w:type="gramStart"/>
      <w:r w:rsidRPr="004B380C">
        <w:rPr>
          <w:rFonts w:ascii="Times New Roman" w:eastAsia="Times New Roman" w:hAnsi="Times New Roman" w:cs="Times New Roman"/>
          <w:kern w:val="0"/>
          <w14:ligatures w14:val="none"/>
        </w:rPr>
        <w:t>definitely go</w:t>
      </w:r>
      <w:proofErr w:type="gramEnd"/>
      <w:r w:rsidRPr="004B380C">
        <w:rPr>
          <w:rFonts w:ascii="Times New Roman" w:eastAsia="Times New Roman" w:hAnsi="Times New Roman" w:cs="Times New Roman"/>
          <w:kern w:val="0"/>
          <w14:ligatures w14:val="none"/>
        </w:rPr>
        <w:t xml:space="preserve"> through biology in both intro when I get into </w:t>
      </w:r>
      <w:r w:rsidR="00952909" w:rsidRPr="004B380C">
        <w:rPr>
          <w:rFonts w:ascii="Times New Roman" w:eastAsia="Times New Roman" w:hAnsi="Times New Roman" w:cs="Times New Roman"/>
          <w:kern w:val="0"/>
          <w14:ligatures w14:val="none"/>
        </w:rPr>
        <w:t xml:space="preserve">the </w:t>
      </w:r>
      <w:r w:rsidRPr="004B380C">
        <w:rPr>
          <w:rFonts w:ascii="Times New Roman" w:eastAsia="Times New Roman" w:hAnsi="Times New Roman" w:cs="Times New Roman"/>
          <w:kern w:val="0"/>
          <w14:ligatures w14:val="none"/>
        </w:rPr>
        <w:t>animal science unit</w:t>
      </w:r>
      <w:r w:rsidR="00952909"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and </w:t>
      </w:r>
      <w:proofErr w:type="gramStart"/>
      <w:r w:rsidRPr="004B380C">
        <w:rPr>
          <w:rFonts w:ascii="Times New Roman" w:eastAsia="Times New Roman" w:hAnsi="Times New Roman" w:cs="Times New Roman"/>
          <w:kern w:val="0"/>
          <w14:ligatures w14:val="none"/>
        </w:rPr>
        <w:t>definitely in</w:t>
      </w:r>
      <w:proofErr w:type="gramEnd"/>
      <w:r w:rsidRPr="004B380C">
        <w:rPr>
          <w:rFonts w:ascii="Times New Roman" w:eastAsia="Times New Roman" w:hAnsi="Times New Roman" w:cs="Times New Roman"/>
          <w:kern w:val="0"/>
          <w14:ligatures w14:val="none"/>
        </w:rPr>
        <w:t xml:space="preserve"> animal science biotech. We also cover environmental science in my natural resource class. In forestry</w:t>
      </w:r>
      <w:r w:rsidR="00952909"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we do physics.” He added, “We do a little bit of chemistry when we talk about plant science and talk about pH and how it limits plants</w:t>
      </w:r>
      <w:r w:rsidR="000C5F30"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ability to absorb nutrients…then we go through the parts of the flower in the plant.” In another interview, Chloe said, “[Admin] thinks it's so cool that we dissect flowers, which is not too scientific. But we just talk about like the parts of a flower.” where she talks about a scientific </w:t>
      </w:r>
      <w:proofErr w:type="gramStart"/>
      <w:r w:rsidRPr="004B380C">
        <w:rPr>
          <w:rFonts w:ascii="Times New Roman" w:eastAsia="Times New Roman" w:hAnsi="Times New Roman" w:cs="Times New Roman"/>
          <w:kern w:val="0"/>
          <w14:ligatures w14:val="none"/>
        </w:rPr>
        <w:t>concept, but</w:t>
      </w:r>
      <w:proofErr w:type="gramEnd"/>
      <w:r w:rsidRPr="004B380C">
        <w:rPr>
          <w:rFonts w:ascii="Times New Roman" w:eastAsia="Times New Roman" w:hAnsi="Times New Roman" w:cs="Times New Roman"/>
          <w:kern w:val="0"/>
          <w14:ligatures w14:val="none"/>
        </w:rPr>
        <w:t xml:space="preserve"> does not think of it as too scientific. </w:t>
      </w:r>
    </w:p>
    <w:p w14:paraId="32E0EFB8" w14:textId="77777777"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lastRenderedPageBreak/>
        <w:t xml:space="preserve">For some participants, science integration was tied almost exclusively to the Agriscience Fair. Natalie described building an entire class around it, saying, </w:t>
      </w:r>
    </w:p>
    <w:p w14:paraId="7A592202" w14:textId="77777777" w:rsidR="009941AF" w:rsidRPr="004B380C" w:rsidRDefault="009941AF" w:rsidP="001B5072">
      <w:pPr>
        <w:spacing w:line="240" w:lineRule="auto"/>
        <w:ind w:left="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My students and I kind of discovered the agriscience [fair] route together more than a decade ago. I think it is a </w:t>
      </w:r>
      <w:proofErr w:type="gramStart"/>
      <w:r w:rsidRPr="004B380C">
        <w:rPr>
          <w:rFonts w:ascii="Times New Roman" w:eastAsia="Times New Roman" w:hAnsi="Times New Roman" w:cs="Times New Roman"/>
          <w:kern w:val="0"/>
          <w14:ligatures w14:val="none"/>
        </w:rPr>
        <w:t>really good</w:t>
      </w:r>
      <w:proofErr w:type="gramEnd"/>
      <w:r w:rsidRPr="004B380C">
        <w:rPr>
          <w:rFonts w:ascii="Times New Roman" w:eastAsia="Times New Roman" w:hAnsi="Times New Roman" w:cs="Times New Roman"/>
          <w:kern w:val="0"/>
          <w14:ligatures w14:val="none"/>
        </w:rPr>
        <w:t xml:space="preserve"> opportunity for those students. It incorporates a tremendous amount of science and math, of course, and makes it very hands-on for them, but from an FFA standpoint, is one of the very few opportunities that middle schoolers at least </w:t>
      </w:r>
      <w:proofErr w:type="gramStart"/>
      <w:r w:rsidRPr="004B380C">
        <w:rPr>
          <w:rFonts w:ascii="Times New Roman" w:eastAsia="Times New Roman" w:hAnsi="Times New Roman" w:cs="Times New Roman"/>
          <w:kern w:val="0"/>
          <w14:ligatures w14:val="none"/>
        </w:rPr>
        <w:t>have to</w:t>
      </w:r>
      <w:proofErr w:type="gramEnd"/>
      <w:r w:rsidRPr="004B380C">
        <w:rPr>
          <w:rFonts w:ascii="Times New Roman" w:eastAsia="Times New Roman" w:hAnsi="Times New Roman" w:cs="Times New Roman"/>
          <w:kern w:val="0"/>
          <w14:ligatures w14:val="none"/>
        </w:rPr>
        <w:t xml:space="preserve"> compete at the national level. And we have found a lot of success and kind of built the program. And so that motivates them to, you know, appreciate the science a little bit more.</w:t>
      </w:r>
    </w:p>
    <w:p w14:paraId="487AA175" w14:textId="4C3F9FF3" w:rsidR="009941AF" w:rsidRPr="004B380C" w:rsidRDefault="009941AF" w:rsidP="001B5072">
      <w:pPr>
        <w:spacing w:line="240" w:lineRule="auto"/>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Ari also tied her use of the scientific method to the Agriscience Fair, explaining, “But I do teach scientific method and my kids in 7th grade, for their as a project, they have to do an actual science fair just because we don't do a school one.” </w:t>
      </w:r>
      <w:r w:rsidR="000C5F30" w:rsidRPr="004B380C">
        <w:rPr>
          <w:rFonts w:ascii="Times New Roman" w:eastAsia="Times New Roman" w:hAnsi="Times New Roman" w:cs="Times New Roman"/>
          <w:kern w:val="0"/>
          <w14:ligatures w14:val="none"/>
        </w:rPr>
        <w:t>In</w:t>
      </w:r>
      <w:r w:rsidRPr="004B380C">
        <w:rPr>
          <w:rFonts w:ascii="Times New Roman" w:eastAsia="Times New Roman" w:hAnsi="Times New Roman" w:cs="Times New Roman"/>
          <w:kern w:val="0"/>
          <w14:ligatures w14:val="none"/>
        </w:rPr>
        <w:t xml:space="preserve"> </w:t>
      </w:r>
      <w:r w:rsidR="000C5F30" w:rsidRPr="004B380C">
        <w:rPr>
          <w:rFonts w:ascii="Times New Roman" w:eastAsia="Times New Roman" w:hAnsi="Times New Roman" w:cs="Times New Roman"/>
          <w:kern w:val="0"/>
          <w14:ligatures w14:val="none"/>
        </w:rPr>
        <w:t>addition to</w:t>
      </w:r>
      <w:r w:rsidRPr="004B380C">
        <w:rPr>
          <w:rFonts w:ascii="Times New Roman" w:eastAsia="Times New Roman" w:hAnsi="Times New Roman" w:cs="Times New Roman"/>
          <w:kern w:val="0"/>
          <w14:ligatures w14:val="none"/>
        </w:rPr>
        <w:t xml:space="preserve"> the Agriscience Fair, Ari submitted multiple lesson resources </w:t>
      </w:r>
      <w:r w:rsidR="000C5F30" w:rsidRPr="004B380C">
        <w:rPr>
          <w:rFonts w:ascii="Times New Roman" w:eastAsia="Times New Roman" w:hAnsi="Times New Roman" w:cs="Times New Roman"/>
          <w:kern w:val="0"/>
          <w14:ligatures w14:val="none"/>
        </w:rPr>
        <w:t>that highlight</w:t>
      </w:r>
      <w:r w:rsidRPr="004B380C">
        <w:rPr>
          <w:rFonts w:ascii="Times New Roman" w:eastAsia="Times New Roman" w:hAnsi="Times New Roman" w:cs="Times New Roman"/>
          <w:kern w:val="0"/>
          <w14:ligatures w14:val="none"/>
        </w:rPr>
        <w:t xml:space="preserve"> the use of scientific language and concepts across all grades, including a photosynthesis relay race as an engaging way to recall the reactants and products in the full photosynthesis equation.</w:t>
      </w:r>
    </w:p>
    <w:p w14:paraId="2390F393" w14:textId="2BA660AF" w:rsidR="009941AF" w:rsidRPr="004B380C" w:rsidRDefault="00BD43E0"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More than </w:t>
      </w:r>
      <w:r w:rsidR="009941AF" w:rsidRPr="004B380C">
        <w:rPr>
          <w:rFonts w:ascii="Times New Roman" w:eastAsia="Times New Roman" w:hAnsi="Times New Roman" w:cs="Times New Roman"/>
          <w:kern w:val="0"/>
          <w14:ligatures w14:val="none"/>
        </w:rPr>
        <w:t>half of the participants reported that their schools offer some agricultur</w:t>
      </w:r>
      <w:r w:rsidRPr="004B380C">
        <w:rPr>
          <w:rFonts w:ascii="Times New Roman" w:eastAsia="Times New Roman" w:hAnsi="Times New Roman" w:cs="Times New Roman"/>
          <w:kern w:val="0"/>
          <w14:ligatures w14:val="none"/>
        </w:rPr>
        <w:t>al</w:t>
      </w:r>
      <w:r w:rsidR="009941AF" w:rsidRPr="004B380C">
        <w:rPr>
          <w:rFonts w:ascii="Times New Roman" w:eastAsia="Times New Roman" w:hAnsi="Times New Roman" w:cs="Times New Roman"/>
          <w:kern w:val="0"/>
          <w14:ligatures w14:val="none"/>
        </w:rPr>
        <w:t xml:space="preserve"> courses as science credit</w:t>
      </w:r>
      <w:r w:rsidRPr="004B380C">
        <w:rPr>
          <w:rFonts w:ascii="Times New Roman" w:eastAsia="Times New Roman" w:hAnsi="Times New Roman" w:cs="Times New Roman"/>
          <w:kern w:val="0"/>
          <w14:ligatures w14:val="none"/>
        </w:rPr>
        <w:t>s</w:t>
      </w:r>
      <w:r w:rsidR="009941AF" w:rsidRPr="004B380C">
        <w:rPr>
          <w:rFonts w:ascii="Times New Roman" w:eastAsia="Times New Roman" w:hAnsi="Times New Roman" w:cs="Times New Roman"/>
          <w:kern w:val="0"/>
          <w14:ligatures w14:val="none"/>
        </w:rPr>
        <w:t xml:space="preserve"> for students. Even so, Ethan explained why he intentionally avoided promoting his class for a science credit,</w:t>
      </w:r>
    </w:p>
    <w:p w14:paraId="0ADD21BA" w14:textId="77777777" w:rsidR="009941AF" w:rsidRPr="004B380C" w:rsidRDefault="009941AF" w:rsidP="001B5072">
      <w:pPr>
        <w:spacing w:line="240" w:lineRule="auto"/>
        <w:ind w:left="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 I don't advertise it… We don't advertise that basic ag counts as a 4th science credit if a student is not going to a four-year college… because I'm going to get a class full of kids that can't pass a 4th science class, and I don't want [that]. If I end up with a kid that's a senior and they can't pass that for science class, and they just happen to have taken my class, and they apply it, I'm all cool with that. But don't fill my class with a bunch of kids that can't pass.</w:t>
      </w:r>
    </w:p>
    <w:p w14:paraId="60638F72" w14:textId="77777777" w:rsidR="009941AF" w:rsidRPr="004B380C" w:rsidRDefault="009941AF" w:rsidP="001B5072">
      <w:pPr>
        <w:spacing w:line="240" w:lineRule="auto"/>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Factors Influencing Teachers’ Science Integration Practices</w:t>
      </w:r>
    </w:p>
    <w:p w14:paraId="6682EF10" w14:textId="77777777" w:rsidR="009941AF" w:rsidRPr="004B380C" w:rsidRDefault="009941AF" w:rsidP="001B5072">
      <w:pPr>
        <w:spacing w:line="240" w:lineRule="auto"/>
        <w:rPr>
          <w:rFonts w:ascii="Times New Roman" w:eastAsia="Times New Roman" w:hAnsi="Times New Roman" w:cs="Times New Roman"/>
          <w:b/>
          <w:bCs/>
          <w:i/>
          <w:iCs/>
          <w:kern w:val="0"/>
          <w14:ligatures w14:val="none"/>
        </w:rPr>
      </w:pPr>
      <w:r w:rsidRPr="004B380C">
        <w:rPr>
          <w:rFonts w:ascii="Times New Roman" w:eastAsia="Times New Roman" w:hAnsi="Times New Roman" w:cs="Times New Roman"/>
          <w:b/>
          <w:bCs/>
          <w:i/>
          <w:iCs/>
          <w:kern w:val="0"/>
          <w14:ligatures w14:val="none"/>
        </w:rPr>
        <w:t>Teacher Preparation and Professional Development</w:t>
      </w:r>
    </w:p>
    <w:p w14:paraId="481A332C" w14:textId="77777777"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Teachers consistently described their preparation programs as offering limited exposure to science integration. For many, undergraduate coursework emphasized pedagogy and general teaching methods but did not explicitly address how to incorporate scientific content into agricultural education. Noah reflected, “I wasn't well prepared to integrate science because… I don't ever remember covering that in my bachelor’s degree…I mean, I'm sure that we talked about it, but you know, it's a lot of pedagogical type things about how to teach.” Similarly, Ari shared that science integration was not framed as a core expectation during their college preparation, explaining, “But I don't think that it was ever like shoved down my throat in college, like you have to teach </w:t>
      </w:r>
      <w:proofErr w:type="gramStart"/>
      <w:r w:rsidRPr="004B380C">
        <w:rPr>
          <w:rFonts w:ascii="Times New Roman" w:eastAsia="Times New Roman" w:hAnsi="Times New Roman" w:cs="Times New Roman"/>
          <w:kern w:val="0"/>
          <w14:ligatures w14:val="none"/>
        </w:rPr>
        <w:t>science</w:t>
      </w:r>
      <w:proofErr w:type="gramEnd"/>
      <w:r w:rsidRPr="004B380C">
        <w:rPr>
          <w:rFonts w:ascii="Times New Roman" w:eastAsia="Times New Roman" w:hAnsi="Times New Roman" w:cs="Times New Roman"/>
          <w:kern w:val="0"/>
          <w14:ligatures w14:val="none"/>
        </w:rPr>
        <w:t xml:space="preserve"> or you need to teach it this way.”</w:t>
      </w:r>
    </w:p>
    <w:p w14:paraId="3029EA37" w14:textId="00BD7C4C"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In contrast, participants highlighted professional development as a </w:t>
      </w:r>
      <w:r w:rsidR="00BD43E0" w:rsidRPr="004B380C">
        <w:rPr>
          <w:rFonts w:ascii="Times New Roman" w:eastAsia="Times New Roman" w:hAnsi="Times New Roman" w:cs="Times New Roman"/>
          <w:kern w:val="0"/>
          <w14:ligatures w14:val="none"/>
        </w:rPr>
        <w:t>significant</w:t>
      </w:r>
      <w:r w:rsidRPr="004B380C">
        <w:rPr>
          <w:rFonts w:ascii="Times New Roman" w:eastAsia="Times New Roman" w:hAnsi="Times New Roman" w:cs="Times New Roman"/>
          <w:kern w:val="0"/>
          <w14:ligatures w14:val="none"/>
        </w:rPr>
        <w:t xml:space="preserve"> </w:t>
      </w:r>
      <w:r w:rsidR="00BD43E0" w:rsidRPr="004B380C">
        <w:rPr>
          <w:rFonts w:ascii="Times New Roman" w:eastAsia="Times New Roman" w:hAnsi="Times New Roman" w:cs="Times New Roman"/>
          <w:kern w:val="0"/>
          <w14:ligatures w14:val="none"/>
        </w:rPr>
        <w:t>factor</w:t>
      </w:r>
      <w:r w:rsidRPr="004B380C">
        <w:rPr>
          <w:rFonts w:ascii="Times New Roman" w:eastAsia="Times New Roman" w:hAnsi="Times New Roman" w:cs="Times New Roman"/>
          <w:kern w:val="0"/>
          <w14:ligatures w14:val="none"/>
        </w:rPr>
        <w:t xml:space="preserve"> </w:t>
      </w:r>
      <w:r w:rsidR="00BD43E0" w:rsidRPr="004B380C">
        <w:rPr>
          <w:rFonts w:ascii="Times New Roman" w:eastAsia="Times New Roman" w:hAnsi="Times New Roman" w:cs="Times New Roman"/>
          <w:kern w:val="0"/>
          <w14:ligatures w14:val="none"/>
        </w:rPr>
        <w:t xml:space="preserve">in </w:t>
      </w:r>
      <w:r w:rsidRPr="004B380C">
        <w:rPr>
          <w:rFonts w:ascii="Times New Roman" w:eastAsia="Times New Roman" w:hAnsi="Times New Roman" w:cs="Times New Roman"/>
          <w:kern w:val="0"/>
          <w14:ligatures w14:val="none"/>
        </w:rPr>
        <w:t xml:space="preserve">their ability to integrate science into SBAE. Chloe emphasized the importance of targeted opportunities that directly connect science content to classroom practice, “I think there should be more that are science-based…Here are some plant science labs that you can put into your middle school or high school classroom tomorrow, and you can feel confident implementing.” Natalie echoed this point, underscoring the need for accessible, resource-driven professional development. She explained that effective professional development “shows you experiments or </w:t>
      </w:r>
      <w:r w:rsidRPr="004B380C">
        <w:rPr>
          <w:rFonts w:ascii="Times New Roman" w:eastAsia="Times New Roman" w:hAnsi="Times New Roman" w:cs="Times New Roman"/>
          <w:kern w:val="0"/>
          <w14:ligatures w14:val="none"/>
        </w:rPr>
        <w:lastRenderedPageBreak/>
        <w:t>labs that you can do in your classroom. They're cheap and gives you the resources…that is powerful. The more of that we do the more of that we will see teachers incorporating [science] into their classrooms.”</w:t>
      </w:r>
    </w:p>
    <w:p w14:paraId="530B018B" w14:textId="77777777" w:rsidR="009941AF" w:rsidRPr="004B380C" w:rsidRDefault="009941AF" w:rsidP="001B5072">
      <w:pPr>
        <w:spacing w:line="240" w:lineRule="auto"/>
        <w:rPr>
          <w:rFonts w:ascii="Times New Roman" w:eastAsia="Times New Roman" w:hAnsi="Times New Roman" w:cs="Times New Roman"/>
          <w:b/>
          <w:bCs/>
          <w:i/>
          <w:iCs/>
          <w:kern w:val="0"/>
          <w14:ligatures w14:val="none"/>
        </w:rPr>
      </w:pPr>
      <w:r w:rsidRPr="004B380C">
        <w:rPr>
          <w:rFonts w:ascii="Times New Roman" w:eastAsia="Times New Roman" w:hAnsi="Times New Roman" w:cs="Times New Roman"/>
          <w:b/>
          <w:bCs/>
          <w:i/>
          <w:iCs/>
          <w:kern w:val="0"/>
          <w14:ligatures w14:val="none"/>
        </w:rPr>
        <w:t>Course Standards</w:t>
      </w:r>
    </w:p>
    <w:p w14:paraId="684708DC" w14:textId="18F068D1"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Many teachers noted that the </w:t>
      </w:r>
      <w:r w:rsidR="00677391">
        <w:rPr>
          <w:rFonts w:ascii="Times New Roman" w:eastAsia="Times New Roman" w:hAnsi="Times New Roman" w:cs="Times New Roman"/>
          <w:kern w:val="0"/>
          <w14:ligatures w14:val="none"/>
        </w:rPr>
        <w:t>Georgia</w:t>
      </w:r>
      <w:r w:rsidRPr="004B380C">
        <w:rPr>
          <w:rFonts w:ascii="Times New Roman" w:eastAsia="Times New Roman" w:hAnsi="Times New Roman" w:cs="Times New Roman"/>
          <w:kern w:val="0"/>
          <w14:ligatures w14:val="none"/>
        </w:rPr>
        <w:t xml:space="preserve"> Performance Standards of each course within the AFNR cluster determine how much science integration can be achieved. When asked if the course standards allow for adequate science integration, Caleb responded, “Yes, and no. I'm </w:t>
      </w:r>
      <w:proofErr w:type="spellStart"/>
      <w:r w:rsidRPr="004B380C">
        <w:rPr>
          <w:rFonts w:ascii="Times New Roman" w:eastAsia="Times New Roman" w:hAnsi="Times New Roman" w:cs="Times New Roman"/>
          <w:kern w:val="0"/>
          <w14:ligatures w14:val="none"/>
        </w:rPr>
        <w:t>gonna</w:t>
      </w:r>
      <w:proofErr w:type="spellEnd"/>
      <w:r w:rsidRPr="004B380C">
        <w:rPr>
          <w:rFonts w:ascii="Times New Roman" w:eastAsia="Times New Roman" w:hAnsi="Times New Roman" w:cs="Times New Roman"/>
          <w:kern w:val="0"/>
          <w14:ligatures w14:val="none"/>
        </w:rPr>
        <w:t xml:space="preserve"> say, some of them </w:t>
      </w:r>
      <w:proofErr w:type="gramStart"/>
      <w:r w:rsidRPr="004B380C">
        <w:rPr>
          <w:rFonts w:ascii="Times New Roman" w:eastAsia="Times New Roman" w:hAnsi="Times New Roman" w:cs="Times New Roman"/>
          <w:kern w:val="0"/>
          <w14:ligatures w14:val="none"/>
        </w:rPr>
        <w:t>definitely do</w:t>
      </w:r>
      <w:proofErr w:type="gramEnd"/>
      <w:r w:rsidRPr="004B380C">
        <w:rPr>
          <w:rFonts w:ascii="Times New Roman" w:eastAsia="Times New Roman" w:hAnsi="Times New Roman" w:cs="Times New Roman"/>
          <w:kern w:val="0"/>
          <w14:ligatures w14:val="none"/>
        </w:rPr>
        <w:t xml:space="preserve"> not. I think some of them are…like a course like floral design, is much less science-based than a course like horticulture.” Lily supported this idea by adding, “I think that for some classes it's really it leaves it a lot of open-endedness about it like you could go a lot of different ways and a different routes about teaching some aspects [of science],” but elaborated on the rigidity of some courses saying, “There are some [courses], where it's very specific, you can only teach them the standard about animal bioterrorism. It's very nitpicky about what you can teach…less opportunities you have to incorporate some of the science principles that would be connected.”</w:t>
      </w:r>
    </w:p>
    <w:p w14:paraId="082BD82F" w14:textId="77777777" w:rsidR="009941AF" w:rsidRPr="004B380C" w:rsidRDefault="009941AF" w:rsidP="001B5072">
      <w:pPr>
        <w:spacing w:line="240" w:lineRule="auto"/>
        <w:rPr>
          <w:rFonts w:ascii="Times New Roman" w:eastAsia="Times New Roman" w:hAnsi="Times New Roman" w:cs="Times New Roman"/>
          <w:b/>
          <w:bCs/>
          <w:i/>
          <w:iCs/>
          <w:kern w:val="0"/>
          <w14:ligatures w14:val="none"/>
        </w:rPr>
      </w:pPr>
      <w:r w:rsidRPr="004B380C">
        <w:rPr>
          <w:rFonts w:ascii="Times New Roman" w:eastAsia="Times New Roman" w:hAnsi="Times New Roman" w:cs="Times New Roman"/>
          <w:b/>
          <w:bCs/>
          <w:i/>
          <w:iCs/>
          <w:kern w:val="0"/>
          <w14:ligatures w14:val="none"/>
        </w:rPr>
        <w:t>Context Variables</w:t>
      </w:r>
    </w:p>
    <w:p w14:paraId="15114B02" w14:textId="04110EB8" w:rsidR="009941AF" w:rsidRPr="004B380C" w:rsidRDefault="009941AF" w:rsidP="001B5072">
      <w:pPr>
        <w:spacing w:line="240" w:lineRule="auto"/>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ab/>
        <w:t xml:space="preserve">Participants emphasized that local contexts, such as community industries and students’ backgrounds, influenced </w:t>
      </w:r>
      <w:r w:rsidR="00FB7B1F" w:rsidRPr="004B380C">
        <w:rPr>
          <w:rFonts w:ascii="Times New Roman" w:eastAsia="Times New Roman" w:hAnsi="Times New Roman" w:cs="Times New Roman"/>
          <w:kern w:val="0"/>
          <w14:ligatures w14:val="none"/>
        </w:rPr>
        <w:t>th</w:t>
      </w:r>
      <w:r w:rsidRPr="004B380C">
        <w:rPr>
          <w:rFonts w:ascii="Times New Roman" w:eastAsia="Times New Roman" w:hAnsi="Times New Roman" w:cs="Times New Roman"/>
          <w:kern w:val="0"/>
          <w14:ligatures w14:val="none"/>
        </w:rPr>
        <w:t>e integration o</w:t>
      </w:r>
      <w:r w:rsidR="00FB7B1F" w:rsidRPr="004B380C">
        <w:rPr>
          <w:rFonts w:ascii="Times New Roman" w:eastAsia="Times New Roman" w:hAnsi="Times New Roman" w:cs="Times New Roman"/>
          <w:kern w:val="0"/>
          <w14:ligatures w14:val="none"/>
        </w:rPr>
        <w:t>f science</w:t>
      </w:r>
      <w:r w:rsidRPr="004B380C">
        <w:rPr>
          <w:rFonts w:ascii="Times New Roman" w:eastAsia="Times New Roman" w:hAnsi="Times New Roman" w:cs="Times New Roman"/>
          <w:kern w:val="0"/>
          <w14:ligatures w14:val="none"/>
        </w:rPr>
        <w:t xml:space="preserve"> in their classrooms. Chloe explained how connecting agriculture content to the dominant industry in her area made learning more relevant by saying, “That helps me, because poultry is so important in our area…It pays a lot of our bills. That way I can then tell students, ‘Agriscience is one thing, but then you have poultry science included in that.’” </w:t>
      </w:r>
    </w:p>
    <w:p w14:paraId="53774D96" w14:textId="77777777"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Similarly, Caleb described how aligning instruction to community interests and identities sparked student engagement. He said, “That's kind of opened a lot of students’ eyes with starting the nursery landscape pathway…because we live here in [city] and taking turf type stuff and applying it to sports. Because just living in [city], it’s a big sports town.” Observational data reinforced this pattern of localized connections. During one lesson, Lily had students select an agricultural issue in their town as the basis for an in-class debate. Students were required to support their arguments with scientific data, and their engagement increased when the issues were tied directly to community concerns.</w:t>
      </w:r>
    </w:p>
    <w:p w14:paraId="22E866BC" w14:textId="2FD6AC63"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Sophia highlighted </w:t>
      </w:r>
      <w:r w:rsidR="00FB7B1F" w:rsidRPr="004B380C">
        <w:rPr>
          <w:rFonts w:ascii="Times New Roman" w:eastAsia="Times New Roman" w:hAnsi="Times New Roman" w:cs="Times New Roman"/>
          <w:kern w:val="0"/>
          <w14:ligatures w14:val="none"/>
        </w:rPr>
        <w:t>that</w:t>
      </w:r>
      <w:r w:rsidRPr="004B380C">
        <w:rPr>
          <w:rFonts w:ascii="Times New Roman" w:eastAsia="Times New Roman" w:hAnsi="Times New Roman" w:cs="Times New Roman"/>
          <w:kern w:val="0"/>
          <w14:ligatures w14:val="none"/>
        </w:rPr>
        <w:t xml:space="preserve"> differences in community demographics shape how she adapts her instruction across the various schools </w:t>
      </w:r>
      <w:r w:rsidR="00FB7B1F" w:rsidRPr="004B380C">
        <w:rPr>
          <w:rFonts w:ascii="Times New Roman" w:eastAsia="Times New Roman" w:hAnsi="Times New Roman" w:cs="Times New Roman"/>
          <w:kern w:val="0"/>
          <w14:ligatures w14:val="none"/>
        </w:rPr>
        <w:t xml:space="preserve">in which </w:t>
      </w:r>
      <w:r w:rsidRPr="004B380C">
        <w:rPr>
          <w:rFonts w:ascii="Times New Roman" w:eastAsia="Times New Roman" w:hAnsi="Times New Roman" w:cs="Times New Roman"/>
          <w:kern w:val="0"/>
          <w14:ligatures w14:val="none"/>
        </w:rPr>
        <w:t xml:space="preserve">she has taught. She said, </w:t>
      </w:r>
    </w:p>
    <w:p w14:paraId="48B9FBB6" w14:textId="1F6227A5" w:rsidR="009941AF" w:rsidRPr="004B380C" w:rsidRDefault="009941AF" w:rsidP="001B5072">
      <w:pPr>
        <w:spacing w:line="240" w:lineRule="auto"/>
        <w:ind w:left="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I came from a community…I lived in the backyard of one of my students in a barn, and she raised her own Herefords. I then I would go to school, and I would have students that lived in apartments so, or they would tell everybody they were from Atlanta. And I think in this community it's going to be completely different. I mean, a good half of the kids yesterday that we had open house came in with boots and jeans and a belt buckle on. And I'm like this is different. And </w:t>
      </w:r>
      <w:proofErr w:type="gramStart"/>
      <w:r w:rsidRPr="004B380C">
        <w:rPr>
          <w:rFonts w:ascii="Times New Roman" w:eastAsia="Times New Roman" w:hAnsi="Times New Roman" w:cs="Times New Roman"/>
          <w:kern w:val="0"/>
          <w14:ligatures w14:val="none"/>
        </w:rPr>
        <w:t>so</w:t>
      </w:r>
      <w:proofErr w:type="gramEnd"/>
      <w:r w:rsidRPr="004B380C">
        <w:rPr>
          <w:rFonts w:ascii="Times New Roman" w:eastAsia="Times New Roman" w:hAnsi="Times New Roman" w:cs="Times New Roman"/>
          <w:kern w:val="0"/>
          <w14:ligatures w14:val="none"/>
        </w:rPr>
        <w:t xml:space="preserve"> I think it really, truly based, like, it's based on where you are, what you're teaching, what grade, what level, how, what age you're teaching on, how you</w:t>
      </w:r>
      <w:r w:rsidR="00354D7D" w:rsidRPr="004B380C">
        <w:rPr>
          <w:rFonts w:ascii="Times New Roman" w:eastAsia="Times New Roman" w:hAnsi="Times New Roman" w:cs="Times New Roman"/>
          <w:kern w:val="0"/>
          <w14:ligatures w14:val="none"/>
        </w:rPr>
        <w:t xml:space="preserve"> </w:t>
      </w:r>
      <w:proofErr w:type="gramStart"/>
      <w:r w:rsidRPr="004B380C">
        <w:rPr>
          <w:rFonts w:ascii="Times New Roman" w:eastAsia="Times New Roman" w:hAnsi="Times New Roman" w:cs="Times New Roman"/>
          <w:kern w:val="0"/>
          <w14:ligatures w14:val="none"/>
        </w:rPr>
        <w:t>have to</w:t>
      </w:r>
      <w:proofErr w:type="gramEnd"/>
      <w:r w:rsidRPr="004B380C">
        <w:rPr>
          <w:rFonts w:ascii="Times New Roman" w:eastAsia="Times New Roman" w:hAnsi="Times New Roman" w:cs="Times New Roman"/>
          <w:kern w:val="0"/>
          <w14:ligatures w14:val="none"/>
        </w:rPr>
        <w:t xml:space="preserve"> relate them in the importance of the concepts of what they're learning.</w:t>
      </w:r>
    </w:p>
    <w:p w14:paraId="21FA3E8D" w14:textId="599EFB6C" w:rsidR="009941AF" w:rsidRPr="004B380C" w:rsidRDefault="009941AF" w:rsidP="004B380C">
      <w:pPr>
        <w:spacing w:line="240" w:lineRule="auto"/>
        <w:jc w:val="center"/>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Conclusions, Discussions, and Recommendations</w:t>
      </w:r>
    </w:p>
    <w:p w14:paraId="183E5B00" w14:textId="6B890371"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lastRenderedPageBreak/>
        <w:t xml:space="preserve">The findings of this study revealed that the </w:t>
      </w:r>
      <w:r w:rsidR="00FB7B1F" w:rsidRPr="004B380C">
        <w:rPr>
          <w:rFonts w:ascii="Times New Roman" w:eastAsia="Times New Roman" w:hAnsi="Times New Roman" w:cs="Times New Roman"/>
          <w:kern w:val="0"/>
          <w14:ligatures w14:val="none"/>
        </w:rPr>
        <w:t>exte</w:t>
      </w:r>
      <w:r w:rsidRPr="004B380C">
        <w:rPr>
          <w:rFonts w:ascii="Times New Roman" w:eastAsia="Times New Roman" w:hAnsi="Times New Roman" w:cs="Times New Roman"/>
          <w:kern w:val="0"/>
          <w14:ligatures w14:val="none"/>
        </w:rPr>
        <w:t xml:space="preserve">nt of science and </w:t>
      </w:r>
      <w:r w:rsidR="00FB7B1F" w:rsidRPr="004B380C">
        <w:rPr>
          <w:rFonts w:ascii="Times New Roman" w:eastAsia="Times New Roman" w:hAnsi="Times New Roman" w:cs="Times New Roman"/>
          <w:kern w:val="0"/>
          <w14:ligatures w14:val="none"/>
        </w:rPr>
        <w:t xml:space="preserve">the </w:t>
      </w:r>
      <w:r w:rsidRPr="004B380C">
        <w:rPr>
          <w:rFonts w:ascii="Times New Roman" w:eastAsia="Times New Roman" w:hAnsi="Times New Roman" w:cs="Times New Roman"/>
          <w:kern w:val="0"/>
          <w14:ligatures w14:val="none"/>
        </w:rPr>
        <w:t xml:space="preserve">approaches to integrating science in SBAE classrooms varied significantly </w:t>
      </w:r>
      <w:r w:rsidR="00FB7B1F" w:rsidRPr="004B380C">
        <w:rPr>
          <w:rFonts w:ascii="Times New Roman" w:eastAsia="Times New Roman" w:hAnsi="Times New Roman" w:cs="Times New Roman"/>
          <w:kern w:val="0"/>
          <w14:ligatures w14:val="none"/>
        </w:rPr>
        <w:t>across</w:t>
      </w:r>
      <w:r w:rsidRPr="004B380C">
        <w:rPr>
          <w:rFonts w:ascii="Times New Roman" w:eastAsia="Times New Roman" w:hAnsi="Times New Roman" w:cs="Times New Roman"/>
          <w:kern w:val="0"/>
          <w14:ligatures w14:val="none"/>
        </w:rPr>
        <w:t xml:space="preserve"> case</w:t>
      </w:r>
      <w:r w:rsidR="00FB7B1F" w:rsidRPr="004B380C">
        <w:rPr>
          <w:rFonts w:ascii="Times New Roman" w:eastAsia="Times New Roman" w:hAnsi="Times New Roman" w:cs="Times New Roman"/>
          <w:kern w:val="0"/>
          <w14:ligatures w14:val="none"/>
        </w:rPr>
        <w:t>s</w:t>
      </w:r>
      <w:r w:rsidRPr="004B380C">
        <w:rPr>
          <w:rFonts w:ascii="Times New Roman" w:eastAsia="Times New Roman" w:hAnsi="Times New Roman" w:cs="Times New Roman"/>
          <w:kern w:val="0"/>
          <w14:ligatures w14:val="none"/>
        </w:rPr>
        <w:t xml:space="preserve">. </w:t>
      </w:r>
      <w:r w:rsidR="00FB7B1F" w:rsidRPr="004B380C">
        <w:rPr>
          <w:rFonts w:ascii="Times New Roman" w:eastAsia="Times New Roman" w:hAnsi="Times New Roman" w:cs="Times New Roman"/>
          <w:kern w:val="0"/>
          <w14:ligatures w14:val="none"/>
        </w:rPr>
        <w:t>Consistent</w:t>
      </w:r>
      <w:r w:rsidRPr="004B380C">
        <w:rPr>
          <w:rFonts w:ascii="Times New Roman" w:eastAsia="Times New Roman" w:hAnsi="Times New Roman" w:cs="Times New Roman"/>
          <w:kern w:val="0"/>
          <w14:ligatures w14:val="none"/>
        </w:rPr>
        <w:t xml:space="preserve"> with pr</w:t>
      </w:r>
      <w:r w:rsidR="00FB7B1F" w:rsidRPr="004B380C">
        <w:rPr>
          <w:rFonts w:ascii="Times New Roman" w:eastAsia="Times New Roman" w:hAnsi="Times New Roman" w:cs="Times New Roman"/>
          <w:kern w:val="0"/>
          <w14:ligatures w14:val="none"/>
        </w:rPr>
        <w:t>ior</w:t>
      </w:r>
      <w:r w:rsidRPr="004B380C">
        <w:rPr>
          <w:rFonts w:ascii="Times New Roman" w:eastAsia="Times New Roman" w:hAnsi="Times New Roman" w:cs="Times New Roman"/>
          <w:kern w:val="0"/>
          <w14:ligatures w14:val="none"/>
        </w:rPr>
        <w:t xml:space="preserve"> research on effective STEM education (Bybee, 2014), some participants emphasized science through hands-on, inquiry-based approaches. Others were significantly less intentional </w:t>
      </w:r>
      <w:r w:rsidR="00FB7B1F" w:rsidRPr="004B380C">
        <w:rPr>
          <w:rFonts w:ascii="Times New Roman" w:eastAsia="Times New Roman" w:hAnsi="Times New Roman" w:cs="Times New Roman"/>
          <w:kern w:val="0"/>
          <w14:ligatures w14:val="none"/>
        </w:rPr>
        <w:t xml:space="preserve">in </w:t>
      </w:r>
      <w:r w:rsidRPr="004B380C">
        <w:rPr>
          <w:rFonts w:ascii="Times New Roman" w:eastAsia="Times New Roman" w:hAnsi="Times New Roman" w:cs="Times New Roman"/>
          <w:kern w:val="0"/>
          <w14:ligatures w14:val="none"/>
        </w:rPr>
        <w:t xml:space="preserve">integrating science or </w:t>
      </w:r>
      <w:r w:rsidR="00037AEC" w:rsidRPr="004B380C">
        <w:rPr>
          <w:rFonts w:ascii="Times New Roman" w:eastAsia="Times New Roman" w:hAnsi="Times New Roman" w:cs="Times New Roman"/>
          <w:kern w:val="0"/>
          <w14:ligatures w14:val="none"/>
        </w:rPr>
        <w:t>treat</w:t>
      </w:r>
      <w:r w:rsidRPr="004B380C">
        <w:rPr>
          <w:rFonts w:ascii="Times New Roman" w:eastAsia="Times New Roman" w:hAnsi="Times New Roman" w:cs="Times New Roman"/>
          <w:kern w:val="0"/>
          <w14:ligatures w14:val="none"/>
        </w:rPr>
        <w:t xml:space="preserve">ed it as an opportunity for cross-curricular connections, as defined by Early (2019) and Jeya Harish et al. (2012), rather than </w:t>
      </w:r>
      <w:r w:rsidR="00037AEC" w:rsidRPr="004B380C">
        <w:rPr>
          <w:rFonts w:ascii="Times New Roman" w:eastAsia="Times New Roman" w:hAnsi="Times New Roman" w:cs="Times New Roman"/>
          <w:kern w:val="0"/>
          <w14:ligatures w14:val="none"/>
        </w:rPr>
        <w:t xml:space="preserve">as </w:t>
      </w:r>
      <w:r w:rsidRPr="004B380C">
        <w:rPr>
          <w:rFonts w:ascii="Times New Roman" w:eastAsia="Times New Roman" w:hAnsi="Times New Roman" w:cs="Times New Roman"/>
          <w:kern w:val="0"/>
          <w14:ligatures w14:val="none"/>
        </w:rPr>
        <w:t xml:space="preserve">true interdisciplinary learning opportunities. Numerous teachers achieve science integration through the implementation of Agriscience fair projects, where the competition's structure inherently requires the scientific method and experimentation. </w:t>
      </w:r>
      <w:r w:rsidR="004B380C" w:rsidRPr="004B380C">
        <w:rPr>
          <w:rFonts w:ascii="Times New Roman" w:eastAsia="Times New Roman" w:hAnsi="Times New Roman" w:cs="Times New Roman"/>
          <w:kern w:val="0"/>
          <w14:ligatures w14:val="none"/>
        </w:rPr>
        <w:t xml:space="preserve">These </w:t>
      </w:r>
      <w:r w:rsidR="004B380C">
        <w:rPr>
          <w:rFonts w:ascii="Times New Roman" w:eastAsia="Times New Roman" w:hAnsi="Times New Roman" w:cs="Times New Roman"/>
          <w:kern w:val="0"/>
          <w14:ligatures w14:val="none"/>
        </w:rPr>
        <w:t xml:space="preserve">findings </w:t>
      </w:r>
      <w:r w:rsidR="004B380C" w:rsidRPr="004B380C">
        <w:rPr>
          <w:rFonts w:ascii="Times New Roman" w:eastAsia="Times New Roman" w:hAnsi="Times New Roman" w:cs="Times New Roman"/>
          <w:kern w:val="0"/>
          <w14:ligatures w14:val="none"/>
        </w:rPr>
        <w:t xml:space="preserve">further </w:t>
      </w:r>
      <w:proofErr w:type="gramStart"/>
      <w:r w:rsidR="004B380C" w:rsidRPr="004B380C">
        <w:rPr>
          <w:rFonts w:ascii="Times New Roman" w:eastAsia="Times New Roman" w:hAnsi="Times New Roman" w:cs="Times New Roman"/>
          <w:kern w:val="0"/>
          <w14:ligatures w14:val="none"/>
        </w:rPr>
        <w:t>underscore</w:t>
      </w:r>
      <w:r w:rsidR="004B380C">
        <w:rPr>
          <w:rFonts w:ascii="Times New Roman" w:eastAsia="Times New Roman" w:hAnsi="Times New Roman" w:cs="Times New Roman"/>
          <w:kern w:val="0"/>
          <w14:ligatures w14:val="none"/>
        </w:rPr>
        <w:t>s</w:t>
      </w:r>
      <w:proofErr w:type="gramEnd"/>
      <w:r w:rsidRPr="004B380C">
        <w:rPr>
          <w:rFonts w:ascii="Times New Roman" w:eastAsia="Times New Roman" w:hAnsi="Times New Roman" w:cs="Times New Roman"/>
          <w:kern w:val="0"/>
          <w14:ligatures w14:val="none"/>
        </w:rPr>
        <w:t xml:space="preserve"> Ford et al.</w:t>
      </w:r>
      <w:r w:rsidR="00C34880" w:rsidRPr="004B380C">
        <w:rPr>
          <w:rFonts w:ascii="Times New Roman" w:eastAsia="Times New Roman" w:hAnsi="Times New Roman" w:cs="Times New Roman"/>
          <w:kern w:val="0"/>
          <w14:ligatures w14:val="none"/>
        </w:rPr>
        <w:t>’s</w:t>
      </w:r>
      <w:r w:rsidRPr="004B380C">
        <w:rPr>
          <w:rFonts w:ascii="Times New Roman" w:eastAsia="Times New Roman" w:hAnsi="Times New Roman" w:cs="Times New Roman"/>
          <w:kern w:val="0"/>
          <w14:ligatures w14:val="none"/>
        </w:rPr>
        <w:t xml:space="preserve"> (2025) </w:t>
      </w:r>
      <w:r w:rsidR="00C34880" w:rsidRPr="004B380C">
        <w:rPr>
          <w:rFonts w:ascii="Times New Roman" w:eastAsia="Times New Roman" w:hAnsi="Times New Roman" w:cs="Times New Roman"/>
          <w:kern w:val="0"/>
          <w14:ligatures w14:val="none"/>
        </w:rPr>
        <w:t xml:space="preserve">finding </w:t>
      </w:r>
      <w:r w:rsidRPr="004B380C">
        <w:rPr>
          <w:rFonts w:ascii="Times New Roman" w:eastAsia="Times New Roman" w:hAnsi="Times New Roman" w:cs="Times New Roman"/>
          <w:kern w:val="0"/>
          <w14:ligatures w14:val="none"/>
        </w:rPr>
        <w:t xml:space="preserve">that the Agriscience Fair is a </w:t>
      </w:r>
      <w:r w:rsidR="00C34880" w:rsidRPr="004B380C">
        <w:rPr>
          <w:rFonts w:ascii="Times New Roman" w:eastAsia="Times New Roman" w:hAnsi="Times New Roman" w:cs="Times New Roman"/>
          <w:kern w:val="0"/>
          <w14:ligatures w14:val="none"/>
        </w:rPr>
        <w:t>valuable</w:t>
      </w:r>
      <w:r w:rsidRPr="004B380C">
        <w:rPr>
          <w:rFonts w:ascii="Times New Roman" w:eastAsia="Times New Roman" w:hAnsi="Times New Roman" w:cs="Times New Roman"/>
          <w:kern w:val="0"/>
          <w14:ligatures w14:val="none"/>
        </w:rPr>
        <w:t xml:space="preserve"> learning opportunity for students when teachers incorporate it into </w:t>
      </w:r>
      <w:r w:rsidR="00C34880" w:rsidRPr="004B380C">
        <w:rPr>
          <w:rFonts w:ascii="Times New Roman" w:eastAsia="Times New Roman" w:hAnsi="Times New Roman" w:cs="Times New Roman"/>
          <w:kern w:val="0"/>
          <w14:ligatures w14:val="none"/>
        </w:rPr>
        <w:t>the curriculum</w:t>
      </w:r>
      <w:r w:rsidRPr="004B380C">
        <w:rPr>
          <w:rFonts w:ascii="Times New Roman" w:eastAsia="Times New Roman" w:hAnsi="Times New Roman" w:cs="Times New Roman"/>
          <w:kern w:val="0"/>
          <w14:ligatures w14:val="none"/>
        </w:rPr>
        <w:t xml:space="preserve">.  </w:t>
      </w:r>
    </w:p>
    <w:p w14:paraId="2B35D62F" w14:textId="1C173F86"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Similarly, levels of science concepts varied widely, ranging from basic introductions to scientific thinking to more advanced applications of biology, chemistry, physics, and environmental science. All teachers who discussed the scientific method described it in oversimplified, linear terms. This outdated representation, as noted in previous research (Lederman et al., 201</w:t>
      </w:r>
      <w:r w:rsidR="00EC1695">
        <w:rPr>
          <w:rFonts w:ascii="Times New Roman" w:eastAsia="Times New Roman" w:hAnsi="Times New Roman" w:cs="Times New Roman"/>
          <w:kern w:val="0"/>
          <w14:ligatures w14:val="none"/>
        </w:rPr>
        <w:t>8</w:t>
      </w:r>
      <w:r w:rsidRPr="004B380C">
        <w:rPr>
          <w:rFonts w:ascii="Times New Roman" w:eastAsia="Times New Roman" w:hAnsi="Times New Roman" w:cs="Times New Roman"/>
          <w:kern w:val="0"/>
          <w14:ligatures w14:val="none"/>
        </w:rPr>
        <w:t xml:space="preserve">; McComas, 2020), can contribute to misconceptions about how scientific processes </w:t>
      </w:r>
      <w:r w:rsidR="004B380C" w:rsidRPr="004B380C">
        <w:rPr>
          <w:rFonts w:ascii="Times New Roman" w:eastAsia="Times New Roman" w:hAnsi="Times New Roman" w:cs="Times New Roman"/>
          <w:kern w:val="0"/>
          <w14:ligatures w14:val="none"/>
        </w:rPr>
        <w:t>work</w:t>
      </w:r>
      <w:r w:rsidRPr="004B380C">
        <w:rPr>
          <w:rFonts w:ascii="Times New Roman" w:eastAsia="Times New Roman" w:hAnsi="Times New Roman" w:cs="Times New Roman"/>
          <w:kern w:val="0"/>
          <w14:ligatures w14:val="none"/>
        </w:rPr>
        <w:t xml:space="preserve">. For others, integration remained surface-level without deeper exploration of underlying processes. </w:t>
      </w:r>
      <w:r w:rsidR="00C34880" w:rsidRPr="004B380C">
        <w:rPr>
          <w:rFonts w:ascii="Times New Roman" w:eastAsia="Times New Roman" w:hAnsi="Times New Roman" w:cs="Times New Roman"/>
          <w:kern w:val="0"/>
          <w14:ligatures w14:val="none"/>
        </w:rPr>
        <w:t>Consistent</w:t>
      </w:r>
      <w:r w:rsidRPr="004B380C">
        <w:rPr>
          <w:rFonts w:ascii="Times New Roman" w:eastAsia="Times New Roman" w:hAnsi="Times New Roman" w:cs="Times New Roman"/>
          <w:kern w:val="0"/>
          <w14:ligatures w14:val="none"/>
        </w:rPr>
        <w:t xml:space="preserve"> </w:t>
      </w:r>
      <w:r w:rsidR="00C34880" w:rsidRPr="004B380C">
        <w:rPr>
          <w:rFonts w:ascii="Times New Roman" w:eastAsia="Times New Roman" w:hAnsi="Times New Roman" w:cs="Times New Roman"/>
          <w:kern w:val="0"/>
          <w14:ligatures w14:val="none"/>
        </w:rPr>
        <w:t>with</w:t>
      </w:r>
      <w:r w:rsidRPr="004B380C">
        <w:rPr>
          <w:rFonts w:ascii="Times New Roman" w:eastAsia="Times New Roman" w:hAnsi="Times New Roman" w:cs="Times New Roman"/>
          <w:kern w:val="0"/>
          <w14:ligatures w14:val="none"/>
        </w:rPr>
        <w:t xml:space="preserve"> prior research (Baker et al., 2015; Thoron &amp; Myers, 2010; Washburn &amp; Myers, 2010), many teachers reported deficiencies in content knowledge </w:t>
      </w:r>
      <w:r w:rsidR="00C34880" w:rsidRPr="004B380C">
        <w:rPr>
          <w:rFonts w:ascii="Times New Roman" w:eastAsia="Times New Roman" w:hAnsi="Times New Roman" w:cs="Times New Roman"/>
          <w:kern w:val="0"/>
          <w14:ligatures w14:val="none"/>
        </w:rPr>
        <w:t>of</w:t>
      </w:r>
      <w:r w:rsidRPr="004B380C">
        <w:rPr>
          <w:rFonts w:ascii="Times New Roman" w:eastAsia="Times New Roman" w:hAnsi="Times New Roman" w:cs="Times New Roman"/>
          <w:kern w:val="0"/>
          <w14:ligatures w14:val="none"/>
        </w:rPr>
        <w:t xml:space="preserve"> deeper scientific processes. Consequently, in some classrooms, science was comprehensive and embedded across courses, while in others, it was limited to isolated lessons or projects. </w:t>
      </w:r>
    </w:p>
    <w:p w14:paraId="4B6691FB" w14:textId="088A016E"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Another pattern that emerged across cases was the way teachers planned for science integration. Several participants described designing agricultural lessons first and then adding science concepts “where they fit,” rather than planning lessons with science as a core learning objective. With approaches like Ethan’s</w:t>
      </w:r>
      <w:r w:rsidR="00F66959"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w:t>
      </w:r>
      <w:r w:rsidR="00F66959" w:rsidRPr="004B380C">
        <w:rPr>
          <w:rFonts w:ascii="Times New Roman" w:eastAsia="Times New Roman" w:hAnsi="Times New Roman" w:cs="Times New Roman"/>
          <w:kern w:val="0"/>
          <w14:ligatures w14:val="none"/>
        </w:rPr>
        <w:t xml:space="preserve">in which </w:t>
      </w:r>
      <w:r w:rsidRPr="004B380C">
        <w:rPr>
          <w:rFonts w:ascii="Times New Roman" w:eastAsia="Times New Roman" w:hAnsi="Times New Roman" w:cs="Times New Roman"/>
          <w:kern w:val="0"/>
          <w14:ligatures w14:val="none"/>
        </w:rPr>
        <w:t xml:space="preserve">he teaches agricultural content and then </w:t>
      </w:r>
      <w:r w:rsidR="00F66959" w:rsidRPr="004B380C">
        <w:rPr>
          <w:rFonts w:ascii="Times New Roman" w:eastAsia="Times New Roman" w:hAnsi="Times New Roman" w:cs="Times New Roman"/>
          <w:kern w:val="0"/>
          <w14:ligatures w14:val="none"/>
        </w:rPr>
        <w:t xml:space="preserve">informs </w:t>
      </w:r>
      <w:r w:rsidRPr="004B380C">
        <w:rPr>
          <w:rFonts w:ascii="Times New Roman" w:eastAsia="Times New Roman" w:hAnsi="Times New Roman" w:cs="Times New Roman"/>
          <w:kern w:val="0"/>
          <w14:ligatures w14:val="none"/>
        </w:rPr>
        <w:t>students that embedded science concepts</w:t>
      </w:r>
      <w:r w:rsidR="00F66959" w:rsidRPr="004B380C">
        <w:rPr>
          <w:rFonts w:ascii="Times New Roman" w:eastAsia="Times New Roman" w:hAnsi="Times New Roman" w:cs="Times New Roman"/>
          <w:kern w:val="0"/>
          <w14:ligatures w14:val="none"/>
        </w:rPr>
        <w:t xml:space="preserve"> are present</w:t>
      </w:r>
      <w:r w:rsidRPr="004B380C">
        <w:rPr>
          <w:rFonts w:ascii="Times New Roman" w:eastAsia="Times New Roman" w:hAnsi="Times New Roman" w:cs="Times New Roman"/>
          <w:kern w:val="0"/>
          <w14:ligatures w14:val="none"/>
        </w:rPr>
        <w:t xml:space="preserve">, the findings suggest that science serves as a secondary layer rather than a central, intentional component of lesson design. This approach positions science as supplemental or incidental rather than fundamental, which may limit the depth and consistency of students’ scientific learning in SBAE courses. Teachers’ descriptions of this planning process also suggest that reduced intentionality may be tied to gaps in science content knowledge. As noted in prior studies (Thoron &amp; Myers, 2010; Washburn &amp; Myers, 2010), teachers who feel less confident in scientific concepts are more likely to avoid deeper integration </w:t>
      </w:r>
      <w:r w:rsidR="007808D4" w:rsidRPr="004B380C">
        <w:rPr>
          <w:rFonts w:ascii="Times New Roman" w:eastAsia="Times New Roman" w:hAnsi="Times New Roman" w:cs="Times New Roman"/>
          <w:kern w:val="0"/>
          <w14:ligatures w14:val="none"/>
        </w:rPr>
        <w:t xml:space="preserve">of science </w:t>
      </w:r>
      <w:r w:rsidRPr="004B380C">
        <w:rPr>
          <w:rFonts w:ascii="Times New Roman" w:eastAsia="Times New Roman" w:hAnsi="Times New Roman" w:cs="Times New Roman"/>
          <w:kern w:val="0"/>
          <w14:ligatures w14:val="none"/>
        </w:rPr>
        <w:t xml:space="preserve">or </w:t>
      </w:r>
      <w:r w:rsidR="007808D4" w:rsidRPr="004B380C">
        <w:rPr>
          <w:rFonts w:ascii="Times New Roman" w:eastAsia="Times New Roman" w:hAnsi="Times New Roman" w:cs="Times New Roman"/>
          <w:kern w:val="0"/>
          <w14:ligatures w14:val="none"/>
        </w:rPr>
        <w:t xml:space="preserve">to </w:t>
      </w:r>
      <w:r w:rsidRPr="004B380C">
        <w:rPr>
          <w:rFonts w:ascii="Times New Roman" w:eastAsia="Times New Roman" w:hAnsi="Times New Roman" w:cs="Times New Roman"/>
          <w:kern w:val="0"/>
          <w14:ligatures w14:val="none"/>
        </w:rPr>
        <w:t>rely on surface-level activities. This connection reinforces Dunkin and Biddle’s (197</w:t>
      </w:r>
      <w:r w:rsidR="003671E9">
        <w:rPr>
          <w:rFonts w:ascii="Times New Roman" w:eastAsia="Times New Roman" w:hAnsi="Times New Roman" w:cs="Times New Roman"/>
          <w:kern w:val="0"/>
          <w14:ligatures w14:val="none"/>
        </w:rPr>
        <w:t>4</w:t>
      </w:r>
      <w:r w:rsidRPr="004B380C">
        <w:rPr>
          <w:rFonts w:ascii="Times New Roman" w:eastAsia="Times New Roman" w:hAnsi="Times New Roman" w:cs="Times New Roman"/>
          <w:kern w:val="0"/>
          <w14:ligatures w14:val="none"/>
        </w:rPr>
        <w:t>) model, which identifies teacher characteristics and context variables as key determinants of instructional decision-making, suggesting that efforts to strengthen science integration must include both content development and pedagogical support.</w:t>
      </w:r>
    </w:p>
    <w:p w14:paraId="38FB19E8" w14:textId="01B4E822"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Numerous participants reported that their teacher preparation programs often left them unprepared to integrate science, but that this skill had to be developed through classroom practice. This finding underscores a contrast between the preparation of science teachers, as described in the science education literature (Leong &amp; Smetana, 2025), and agriculture teachers. Science teachers typically develop higher levels of scientific literacy through lab-based activities and hands-on learning. In contrast, agriculture teachers often enter their classroom</w:t>
      </w:r>
      <w:r w:rsidR="007808D4" w:rsidRPr="004B380C">
        <w:rPr>
          <w:rFonts w:ascii="Times New Roman" w:eastAsia="Times New Roman" w:hAnsi="Times New Roman" w:cs="Times New Roman"/>
          <w:kern w:val="0"/>
          <w14:ligatures w14:val="none"/>
        </w:rPr>
        <w:t>s</w:t>
      </w:r>
      <w:r w:rsidRPr="004B380C">
        <w:rPr>
          <w:rFonts w:ascii="Times New Roman" w:eastAsia="Times New Roman" w:hAnsi="Times New Roman" w:cs="Times New Roman"/>
          <w:kern w:val="0"/>
          <w14:ligatures w14:val="none"/>
        </w:rPr>
        <w:t xml:space="preserve"> without comparable </w:t>
      </w:r>
      <w:r w:rsidR="007808D4" w:rsidRPr="004B380C">
        <w:rPr>
          <w:rFonts w:ascii="Times New Roman" w:eastAsia="Times New Roman" w:hAnsi="Times New Roman" w:cs="Times New Roman"/>
          <w:kern w:val="0"/>
          <w14:ligatures w14:val="none"/>
        </w:rPr>
        <w:t>preparation</w:t>
      </w:r>
      <w:r w:rsidRPr="004B380C">
        <w:rPr>
          <w:rFonts w:ascii="Times New Roman" w:eastAsia="Times New Roman" w:hAnsi="Times New Roman" w:cs="Times New Roman"/>
          <w:kern w:val="0"/>
          <w14:ligatures w14:val="none"/>
        </w:rPr>
        <w:t>, even though such preparation is critical for effective science instruction</w:t>
      </w:r>
      <w:r w:rsidR="007808D4"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as identified </w:t>
      </w:r>
      <w:r w:rsidR="007808D4" w:rsidRPr="004B380C">
        <w:rPr>
          <w:rFonts w:ascii="Times New Roman" w:eastAsia="Times New Roman" w:hAnsi="Times New Roman" w:cs="Times New Roman"/>
          <w:kern w:val="0"/>
          <w14:ligatures w14:val="none"/>
        </w:rPr>
        <w:t>by</w:t>
      </w:r>
      <w:r w:rsidRPr="004B380C">
        <w:rPr>
          <w:rFonts w:ascii="Times New Roman" w:eastAsia="Times New Roman" w:hAnsi="Times New Roman" w:cs="Times New Roman"/>
          <w:kern w:val="0"/>
          <w14:ligatures w14:val="none"/>
        </w:rPr>
        <w:t xml:space="preserve"> Azra Ates et al. (2025).</w:t>
      </w:r>
    </w:p>
    <w:p w14:paraId="53F46C58" w14:textId="20115321"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lastRenderedPageBreak/>
        <w:t xml:space="preserve">Professional development was identified as a stronger influence, </w:t>
      </w:r>
      <w:r w:rsidR="007808D4" w:rsidRPr="004B380C">
        <w:rPr>
          <w:rFonts w:ascii="Times New Roman" w:eastAsia="Times New Roman" w:hAnsi="Times New Roman" w:cs="Times New Roman"/>
          <w:kern w:val="0"/>
          <w14:ligatures w14:val="none"/>
        </w:rPr>
        <w:t>consistent</w:t>
      </w:r>
      <w:r w:rsidRPr="004B380C">
        <w:rPr>
          <w:rFonts w:ascii="Times New Roman" w:eastAsia="Times New Roman" w:hAnsi="Times New Roman" w:cs="Times New Roman"/>
          <w:kern w:val="0"/>
          <w14:ligatures w14:val="none"/>
        </w:rPr>
        <w:t xml:space="preserve"> </w:t>
      </w:r>
      <w:r w:rsidR="007808D4" w:rsidRPr="004B380C">
        <w:rPr>
          <w:rFonts w:ascii="Times New Roman" w:eastAsia="Times New Roman" w:hAnsi="Times New Roman" w:cs="Times New Roman"/>
          <w:kern w:val="0"/>
          <w14:ligatures w14:val="none"/>
        </w:rPr>
        <w:t>with prior</w:t>
      </w:r>
      <w:r w:rsidRPr="004B380C">
        <w:rPr>
          <w:rFonts w:ascii="Times New Roman" w:eastAsia="Times New Roman" w:hAnsi="Times New Roman" w:cs="Times New Roman"/>
          <w:kern w:val="0"/>
          <w14:ligatures w14:val="none"/>
        </w:rPr>
        <w:t xml:space="preserve"> literature (Swafford, 2018), with resource-driven, practical training </w:t>
      </w:r>
      <w:r w:rsidR="007808D4" w:rsidRPr="004B380C">
        <w:rPr>
          <w:rFonts w:ascii="Times New Roman" w:eastAsia="Times New Roman" w:hAnsi="Times New Roman" w:cs="Times New Roman"/>
          <w:kern w:val="0"/>
          <w14:ligatures w14:val="none"/>
        </w:rPr>
        <w:t>facilita</w:t>
      </w:r>
      <w:r w:rsidRPr="004B380C">
        <w:rPr>
          <w:rFonts w:ascii="Times New Roman" w:eastAsia="Times New Roman" w:hAnsi="Times New Roman" w:cs="Times New Roman"/>
          <w:kern w:val="0"/>
          <w14:ligatures w14:val="none"/>
        </w:rPr>
        <w:t>ting immediate classroom implementation. Participants expressed a desire for professional development explicitly aligned with course standards, which influenced the degree of science integration in their classrooms and served as a clear context variable identified in this study (Dunkin &amp; Biddle, 197</w:t>
      </w:r>
      <w:r w:rsidR="003671E9">
        <w:rPr>
          <w:rFonts w:ascii="Times New Roman" w:eastAsia="Times New Roman" w:hAnsi="Times New Roman" w:cs="Times New Roman"/>
          <w:kern w:val="0"/>
          <w14:ligatures w14:val="none"/>
        </w:rPr>
        <w:t>4</w:t>
      </w:r>
      <w:r w:rsidRPr="004B380C">
        <w:rPr>
          <w:rFonts w:ascii="Times New Roman" w:eastAsia="Times New Roman" w:hAnsi="Times New Roman" w:cs="Times New Roman"/>
          <w:kern w:val="0"/>
          <w14:ligatures w14:val="none"/>
        </w:rPr>
        <w:t>). Some course standards were naturally more science-intensive (e.g., horticulture, natural resources), while others offered fewer opportunities for integration (e.g., floral design)</w:t>
      </w:r>
      <w:r w:rsidR="00354D7D" w:rsidRPr="004B380C">
        <w:rPr>
          <w:rFonts w:ascii="Times New Roman" w:eastAsia="Times New Roman" w:hAnsi="Times New Roman" w:cs="Times New Roman"/>
          <w:kern w:val="0"/>
          <w14:ligatures w14:val="none"/>
        </w:rPr>
        <w:t xml:space="preserve">. </w:t>
      </w:r>
      <w:r w:rsidRPr="004B380C">
        <w:rPr>
          <w:rFonts w:ascii="Times New Roman" w:eastAsia="Times New Roman" w:hAnsi="Times New Roman" w:cs="Times New Roman"/>
          <w:kern w:val="0"/>
          <w14:ligatures w14:val="none"/>
        </w:rPr>
        <w:t xml:space="preserve">Furthermore, local community contexts, including industries, cultural values, and student backgrounds, heavily influenced how teachers framed and emphasized science, making integration more relevant and engaging, in line with the conclusions of previous research (Duran &amp; Duran, 2004; </w:t>
      </w:r>
      <w:proofErr w:type="spellStart"/>
      <w:r w:rsidRPr="004B380C">
        <w:rPr>
          <w:rFonts w:ascii="Times New Roman" w:eastAsia="Times New Roman" w:hAnsi="Times New Roman" w:cs="Times New Roman"/>
          <w:kern w:val="0"/>
          <w14:ligatures w14:val="none"/>
        </w:rPr>
        <w:t>Perwaiz</w:t>
      </w:r>
      <w:proofErr w:type="spellEnd"/>
      <w:r w:rsidRPr="004B380C">
        <w:rPr>
          <w:rFonts w:ascii="Times New Roman" w:eastAsia="Times New Roman" w:hAnsi="Times New Roman" w:cs="Times New Roman"/>
          <w:kern w:val="0"/>
          <w14:ligatures w14:val="none"/>
        </w:rPr>
        <w:t xml:space="preserve"> &amp; </w:t>
      </w:r>
      <w:proofErr w:type="spellStart"/>
      <w:r w:rsidRPr="004B380C">
        <w:rPr>
          <w:rFonts w:ascii="Times New Roman" w:eastAsia="Times New Roman" w:hAnsi="Times New Roman" w:cs="Times New Roman"/>
          <w:kern w:val="0"/>
          <w14:ligatures w14:val="none"/>
        </w:rPr>
        <w:t>Asunda</w:t>
      </w:r>
      <w:proofErr w:type="spellEnd"/>
      <w:r w:rsidRPr="004B380C">
        <w:rPr>
          <w:rFonts w:ascii="Times New Roman" w:eastAsia="Times New Roman" w:hAnsi="Times New Roman" w:cs="Times New Roman"/>
          <w:kern w:val="0"/>
          <w14:ligatures w14:val="none"/>
        </w:rPr>
        <w:t xml:space="preserve">, 2025). Numerous teachers adapted their instruction to local contexts and community industries, framing science concepts in ways that </w:t>
      </w:r>
      <w:r w:rsidR="007808D4" w:rsidRPr="004B380C">
        <w:rPr>
          <w:rFonts w:ascii="Times New Roman" w:eastAsia="Times New Roman" w:hAnsi="Times New Roman" w:cs="Times New Roman"/>
          <w:kern w:val="0"/>
          <w14:ligatures w14:val="none"/>
        </w:rPr>
        <w:t>enabled</w:t>
      </w:r>
      <w:r w:rsidRPr="004B380C">
        <w:rPr>
          <w:rFonts w:ascii="Times New Roman" w:eastAsia="Times New Roman" w:hAnsi="Times New Roman" w:cs="Times New Roman"/>
          <w:kern w:val="0"/>
          <w14:ligatures w14:val="none"/>
        </w:rPr>
        <w:t xml:space="preserve"> </w:t>
      </w:r>
      <w:r w:rsidR="007808D4" w:rsidRPr="004B380C">
        <w:rPr>
          <w:rFonts w:ascii="Times New Roman" w:eastAsia="Times New Roman" w:hAnsi="Times New Roman" w:cs="Times New Roman"/>
          <w:kern w:val="0"/>
          <w14:ligatures w14:val="none"/>
        </w:rPr>
        <w:t>students</w:t>
      </w:r>
      <w:r w:rsidRPr="004B380C">
        <w:rPr>
          <w:rFonts w:ascii="Times New Roman" w:eastAsia="Times New Roman" w:hAnsi="Times New Roman" w:cs="Times New Roman"/>
          <w:kern w:val="0"/>
          <w14:ligatures w14:val="none"/>
        </w:rPr>
        <w:t xml:space="preserve"> </w:t>
      </w:r>
      <w:r w:rsidR="007808D4" w:rsidRPr="004B380C">
        <w:rPr>
          <w:rFonts w:ascii="Times New Roman" w:eastAsia="Times New Roman" w:hAnsi="Times New Roman" w:cs="Times New Roman"/>
          <w:kern w:val="0"/>
          <w14:ligatures w14:val="none"/>
        </w:rPr>
        <w:t>to</w:t>
      </w:r>
      <w:r w:rsidRPr="004B380C">
        <w:rPr>
          <w:rFonts w:ascii="Times New Roman" w:eastAsia="Times New Roman" w:hAnsi="Times New Roman" w:cs="Times New Roman"/>
          <w:kern w:val="0"/>
          <w14:ligatures w14:val="none"/>
        </w:rPr>
        <w:t xml:space="preserve"> connect </w:t>
      </w:r>
      <w:r w:rsidR="007808D4" w:rsidRPr="004B380C">
        <w:rPr>
          <w:rFonts w:ascii="Times New Roman" w:eastAsia="Times New Roman" w:hAnsi="Times New Roman" w:cs="Times New Roman"/>
          <w:kern w:val="0"/>
          <w14:ligatures w14:val="none"/>
        </w:rPr>
        <w:t xml:space="preserve">directly </w:t>
      </w:r>
      <w:r w:rsidRPr="004B380C">
        <w:rPr>
          <w:rFonts w:ascii="Times New Roman" w:eastAsia="Times New Roman" w:hAnsi="Times New Roman" w:cs="Times New Roman"/>
          <w:kern w:val="0"/>
          <w14:ligatures w14:val="none"/>
        </w:rPr>
        <w:t xml:space="preserve">with their environment. </w:t>
      </w:r>
    </w:p>
    <w:p w14:paraId="62ED5458" w14:textId="77777777" w:rsidR="009941AF" w:rsidRPr="004B380C" w:rsidRDefault="009941AF" w:rsidP="001B5072">
      <w:pPr>
        <w:spacing w:line="240" w:lineRule="auto"/>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t>Recommendations</w:t>
      </w:r>
    </w:p>
    <w:p w14:paraId="60776E30" w14:textId="03E0D8CA"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Teachers are encouraged to engage in more intentional planning for science integration. Treating science as an </w:t>
      </w:r>
      <w:r w:rsidR="007808D4" w:rsidRPr="004B380C">
        <w:rPr>
          <w:rFonts w:ascii="Times New Roman" w:eastAsia="Times New Roman" w:hAnsi="Times New Roman" w:cs="Times New Roman"/>
          <w:kern w:val="0"/>
          <w14:ligatures w14:val="none"/>
        </w:rPr>
        <w:t>add-</w:t>
      </w:r>
      <w:r w:rsidRPr="004B380C">
        <w:rPr>
          <w:rFonts w:ascii="Times New Roman" w:eastAsia="Times New Roman" w:hAnsi="Times New Roman" w:cs="Times New Roman"/>
          <w:kern w:val="0"/>
          <w14:ligatures w14:val="none"/>
        </w:rPr>
        <w:t>on limits the depth of student learning and reinforces the perception that agricultural education is separate from science</w:t>
      </w:r>
      <w:r w:rsidR="007808D4" w:rsidRPr="004B380C">
        <w:rPr>
          <w:rFonts w:ascii="Times New Roman" w:eastAsia="Times New Roman" w:hAnsi="Times New Roman" w:cs="Times New Roman"/>
          <w:kern w:val="0"/>
          <w14:ligatures w14:val="none"/>
        </w:rPr>
        <w:t>,</w:t>
      </w:r>
      <w:r w:rsidRPr="004B380C">
        <w:rPr>
          <w:rFonts w:ascii="Times New Roman" w:eastAsia="Times New Roman" w:hAnsi="Times New Roman" w:cs="Times New Roman"/>
          <w:kern w:val="0"/>
          <w14:ligatures w14:val="none"/>
        </w:rPr>
        <w:t xml:space="preserve"> rather than an applied context for it. SBAE teachers should instead design lessons that view science as foundational </w:t>
      </w:r>
      <w:r w:rsidR="007808D4" w:rsidRPr="004B380C">
        <w:rPr>
          <w:rFonts w:ascii="Times New Roman" w:eastAsia="Times New Roman" w:hAnsi="Times New Roman" w:cs="Times New Roman"/>
          <w:kern w:val="0"/>
          <w14:ligatures w14:val="none"/>
        </w:rPr>
        <w:t>to</w:t>
      </w:r>
      <w:r w:rsidRPr="004B380C">
        <w:rPr>
          <w:rFonts w:ascii="Times New Roman" w:eastAsia="Times New Roman" w:hAnsi="Times New Roman" w:cs="Times New Roman"/>
          <w:kern w:val="0"/>
          <w14:ligatures w14:val="none"/>
        </w:rPr>
        <w:t xml:space="preserve"> agricultural instruction by identifying the biological, chemical, and </w:t>
      </w:r>
      <w:r w:rsidR="004B380C">
        <w:rPr>
          <w:rFonts w:ascii="Times New Roman" w:eastAsia="Times New Roman" w:hAnsi="Times New Roman" w:cs="Times New Roman"/>
          <w:kern w:val="0"/>
          <w14:ligatures w14:val="none"/>
        </w:rPr>
        <w:t xml:space="preserve">community </w:t>
      </w:r>
      <w:r w:rsidRPr="004B380C">
        <w:rPr>
          <w:rFonts w:ascii="Times New Roman" w:eastAsia="Times New Roman" w:hAnsi="Times New Roman" w:cs="Times New Roman"/>
          <w:kern w:val="0"/>
          <w14:ligatures w14:val="none"/>
        </w:rPr>
        <w:t xml:space="preserve">environmental principles during the planning process. Teachers are also encouraged to </w:t>
      </w:r>
      <w:r w:rsidR="007808D4" w:rsidRPr="004B380C">
        <w:rPr>
          <w:rFonts w:ascii="Times New Roman" w:eastAsia="Times New Roman" w:hAnsi="Times New Roman" w:cs="Times New Roman"/>
          <w:kern w:val="0"/>
          <w14:ligatures w14:val="none"/>
        </w:rPr>
        <w:t>draw on</w:t>
      </w:r>
      <w:r w:rsidRPr="004B380C">
        <w:rPr>
          <w:rFonts w:ascii="Times New Roman" w:eastAsia="Times New Roman" w:hAnsi="Times New Roman" w:cs="Times New Roman"/>
          <w:kern w:val="0"/>
          <w14:ligatures w14:val="none"/>
        </w:rPr>
        <w:t xml:space="preserve"> community industries, environmental conditions, and student</w:t>
      </w:r>
      <w:r w:rsidR="007808D4" w:rsidRPr="004B380C">
        <w:rPr>
          <w:rFonts w:ascii="Times New Roman" w:eastAsia="Times New Roman" w:hAnsi="Times New Roman" w:cs="Times New Roman"/>
          <w:kern w:val="0"/>
          <w14:ligatures w14:val="none"/>
        </w:rPr>
        <w:t>s’</w:t>
      </w:r>
      <w:r w:rsidRPr="004B380C">
        <w:rPr>
          <w:rFonts w:ascii="Times New Roman" w:eastAsia="Times New Roman" w:hAnsi="Times New Roman" w:cs="Times New Roman"/>
          <w:kern w:val="0"/>
          <w14:ligatures w14:val="none"/>
        </w:rPr>
        <w:t xml:space="preserve"> backgrounds to make science instruction relevant and engaging. Local examples can help students connect abstract scientific ideas to meaningful </w:t>
      </w:r>
      <w:r w:rsidR="007808D4" w:rsidRPr="004B380C">
        <w:rPr>
          <w:rFonts w:ascii="Times New Roman" w:eastAsia="Times New Roman" w:hAnsi="Times New Roman" w:cs="Times New Roman"/>
          <w:kern w:val="0"/>
          <w14:ligatures w14:val="none"/>
        </w:rPr>
        <w:t>real-</w:t>
      </w:r>
      <w:r w:rsidRPr="004B380C">
        <w:rPr>
          <w:rFonts w:ascii="Times New Roman" w:eastAsia="Times New Roman" w:hAnsi="Times New Roman" w:cs="Times New Roman"/>
          <w:kern w:val="0"/>
          <w14:ligatures w14:val="none"/>
        </w:rPr>
        <w:t xml:space="preserve">world contexts. </w:t>
      </w:r>
    </w:p>
    <w:p w14:paraId="60CB17FA" w14:textId="185805BD" w:rsidR="009941AF"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The results of this study indicate </w:t>
      </w:r>
      <w:r w:rsidR="007808D4" w:rsidRPr="004B380C">
        <w:rPr>
          <w:rFonts w:ascii="Times New Roman" w:eastAsia="Times New Roman" w:hAnsi="Times New Roman" w:cs="Times New Roman"/>
          <w:kern w:val="0"/>
          <w14:ligatures w14:val="none"/>
        </w:rPr>
        <w:t>that</w:t>
      </w:r>
      <w:r w:rsidRPr="004B380C">
        <w:rPr>
          <w:rFonts w:ascii="Times New Roman" w:eastAsia="Times New Roman" w:hAnsi="Times New Roman" w:cs="Times New Roman"/>
          <w:kern w:val="0"/>
          <w14:ligatures w14:val="none"/>
        </w:rPr>
        <w:t xml:space="preserve"> agricultural teacher preparation programs </w:t>
      </w:r>
      <w:r w:rsidR="007808D4" w:rsidRPr="004B380C">
        <w:rPr>
          <w:rFonts w:ascii="Times New Roman" w:eastAsia="Times New Roman" w:hAnsi="Times New Roman" w:cs="Times New Roman"/>
          <w:kern w:val="0"/>
          <w14:ligatures w14:val="none"/>
        </w:rPr>
        <w:t>should</w:t>
      </w:r>
      <w:r w:rsidRPr="004B380C">
        <w:rPr>
          <w:rFonts w:ascii="Times New Roman" w:eastAsia="Times New Roman" w:hAnsi="Times New Roman" w:cs="Times New Roman"/>
          <w:kern w:val="0"/>
          <w14:ligatures w14:val="none"/>
        </w:rPr>
        <w:t xml:space="preserve"> provide more explicit instruction in science integration. Collaboration between agricultural education and science education faculty can ensure that preservice teachers develop stronger science content knowledge and experience with </w:t>
      </w:r>
      <w:r w:rsidR="007808D4" w:rsidRPr="004B380C">
        <w:rPr>
          <w:rFonts w:ascii="Times New Roman" w:eastAsia="Times New Roman" w:hAnsi="Times New Roman" w:cs="Times New Roman"/>
          <w:kern w:val="0"/>
          <w14:ligatures w14:val="none"/>
        </w:rPr>
        <w:t>inquiry-</w:t>
      </w:r>
      <w:r w:rsidRPr="004B380C">
        <w:rPr>
          <w:rFonts w:ascii="Times New Roman" w:eastAsia="Times New Roman" w:hAnsi="Times New Roman" w:cs="Times New Roman"/>
          <w:kern w:val="0"/>
          <w14:ligatures w14:val="none"/>
        </w:rPr>
        <w:t>based instruction. Teacher preparation and professional development should model the iterative and complex nature of scientific inquiry rather than focus on a simplified and linear scientific method.</w:t>
      </w:r>
    </w:p>
    <w:p w14:paraId="6A63CB47" w14:textId="1F90FD74" w:rsidR="009941AF" w:rsidRPr="004B380C" w:rsidRDefault="007808D4"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Resource-driven p</w:t>
      </w:r>
      <w:r w:rsidR="009941AF" w:rsidRPr="004B380C">
        <w:rPr>
          <w:rFonts w:ascii="Times New Roman" w:eastAsia="Times New Roman" w:hAnsi="Times New Roman" w:cs="Times New Roman"/>
          <w:kern w:val="0"/>
          <w14:ligatures w14:val="none"/>
        </w:rPr>
        <w:t>rofessional development that is ready for classroom use may help current teachers overcome barriers related to limited time, materials, or confidence. Effective support includes training that provides ready</w:t>
      </w:r>
      <w:r w:rsidRPr="004B380C">
        <w:rPr>
          <w:rFonts w:ascii="Times New Roman" w:eastAsia="Times New Roman" w:hAnsi="Times New Roman" w:cs="Times New Roman"/>
          <w:kern w:val="0"/>
          <w14:ligatures w14:val="none"/>
        </w:rPr>
        <w:t>-to-</w:t>
      </w:r>
      <w:r w:rsidR="009941AF" w:rsidRPr="004B380C">
        <w:rPr>
          <w:rFonts w:ascii="Times New Roman" w:eastAsia="Times New Roman" w:hAnsi="Times New Roman" w:cs="Times New Roman"/>
          <w:kern w:val="0"/>
          <w14:ligatures w14:val="none"/>
        </w:rPr>
        <w:t xml:space="preserve">implement labs, </w:t>
      </w:r>
      <w:r w:rsidRPr="004B380C">
        <w:rPr>
          <w:rFonts w:ascii="Times New Roman" w:eastAsia="Times New Roman" w:hAnsi="Times New Roman" w:cs="Times New Roman"/>
          <w:kern w:val="0"/>
          <w14:ligatures w14:val="none"/>
        </w:rPr>
        <w:t>low-</w:t>
      </w:r>
      <w:r w:rsidR="009941AF" w:rsidRPr="004B380C">
        <w:rPr>
          <w:rFonts w:ascii="Times New Roman" w:eastAsia="Times New Roman" w:hAnsi="Times New Roman" w:cs="Times New Roman"/>
          <w:kern w:val="0"/>
          <w14:ligatures w14:val="none"/>
        </w:rPr>
        <w:t xml:space="preserve">cost investigations, and scaffolding strategies that assist students who struggle with scientific reasoning. Sustained professional learning opportunities are recommended in place of </w:t>
      </w:r>
      <w:r w:rsidR="00430A90" w:rsidRPr="004B380C">
        <w:rPr>
          <w:rFonts w:ascii="Times New Roman" w:eastAsia="Times New Roman" w:hAnsi="Times New Roman" w:cs="Times New Roman"/>
          <w:kern w:val="0"/>
          <w14:ligatures w14:val="none"/>
        </w:rPr>
        <w:t>single-</w:t>
      </w:r>
      <w:r w:rsidR="009941AF" w:rsidRPr="004B380C">
        <w:rPr>
          <w:rFonts w:ascii="Times New Roman" w:eastAsia="Times New Roman" w:hAnsi="Times New Roman" w:cs="Times New Roman"/>
          <w:kern w:val="0"/>
          <w14:ligatures w14:val="none"/>
        </w:rPr>
        <w:t xml:space="preserve">session workshops to build </w:t>
      </w:r>
      <w:r w:rsidR="00430A90" w:rsidRPr="004B380C">
        <w:rPr>
          <w:rFonts w:ascii="Times New Roman" w:eastAsia="Times New Roman" w:hAnsi="Times New Roman" w:cs="Times New Roman"/>
          <w:kern w:val="0"/>
          <w14:ligatures w14:val="none"/>
        </w:rPr>
        <w:t>larger,</w:t>
      </w:r>
      <w:r w:rsidR="009941AF" w:rsidRPr="004B380C">
        <w:rPr>
          <w:rFonts w:ascii="Times New Roman" w:eastAsia="Times New Roman" w:hAnsi="Times New Roman" w:cs="Times New Roman"/>
          <w:kern w:val="0"/>
          <w14:ligatures w14:val="none"/>
        </w:rPr>
        <w:t xml:space="preserve"> </w:t>
      </w:r>
      <w:r w:rsidR="00430A90" w:rsidRPr="004B380C">
        <w:rPr>
          <w:rFonts w:ascii="Times New Roman" w:eastAsia="Times New Roman" w:hAnsi="Times New Roman" w:cs="Times New Roman"/>
          <w:kern w:val="0"/>
          <w14:ligatures w14:val="none"/>
        </w:rPr>
        <w:t>more</w:t>
      </w:r>
      <w:r w:rsidR="009941AF" w:rsidRPr="004B380C">
        <w:rPr>
          <w:rFonts w:ascii="Times New Roman" w:eastAsia="Times New Roman" w:hAnsi="Times New Roman" w:cs="Times New Roman"/>
          <w:kern w:val="0"/>
          <w14:ligatures w14:val="none"/>
        </w:rPr>
        <w:t xml:space="preserve"> lasting instructional change.</w:t>
      </w:r>
    </w:p>
    <w:p w14:paraId="0AE91CC9" w14:textId="6A240796" w:rsidR="00354D7D" w:rsidRPr="004B380C" w:rsidRDefault="009941AF" w:rsidP="001B5072">
      <w:pPr>
        <w:spacing w:line="240" w:lineRule="auto"/>
        <w:ind w:firstLine="720"/>
        <w:rPr>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Future research should continue examining how science integration occurs across diverse SBAE programs. Comparative studies across states may provide insight into how AFNR standards and policy conditions influence instructional decisions. Additional research is needed to investigate student learning outcomes, including how students retain and apply scientific concepts learned through agricultur</w:t>
      </w:r>
      <w:r w:rsidR="00430A90" w:rsidRPr="004B380C">
        <w:rPr>
          <w:rFonts w:ascii="Times New Roman" w:eastAsia="Times New Roman" w:hAnsi="Times New Roman" w:cs="Times New Roman"/>
          <w:kern w:val="0"/>
          <w14:ligatures w14:val="none"/>
        </w:rPr>
        <w:t>al contexts</w:t>
      </w:r>
      <w:r w:rsidRPr="004B380C">
        <w:rPr>
          <w:rFonts w:ascii="Times New Roman" w:eastAsia="Times New Roman" w:hAnsi="Times New Roman" w:cs="Times New Roman"/>
          <w:kern w:val="0"/>
          <w14:ligatures w14:val="none"/>
        </w:rPr>
        <w:t>. Research on teacher beliefs and professional identity is recommended because these factors influence whether science is viewed as a central or secondary component of instruction. Further exploration of community influences may also strengthen understanding of how local agricultural systems shape opportunities for applied science learning.</w:t>
      </w:r>
    </w:p>
    <w:p w14:paraId="3DDE732F" w14:textId="713149CC" w:rsidR="00F27FFC" w:rsidRPr="004B380C" w:rsidRDefault="00F27FFC" w:rsidP="004B380C">
      <w:pPr>
        <w:spacing w:line="240" w:lineRule="auto"/>
        <w:jc w:val="center"/>
        <w:rPr>
          <w:rFonts w:ascii="Times New Roman" w:eastAsia="Times New Roman" w:hAnsi="Times New Roman" w:cs="Times New Roman"/>
          <w:b/>
          <w:bCs/>
          <w:kern w:val="0"/>
          <w14:ligatures w14:val="none"/>
        </w:rPr>
      </w:pPr>
      <w:r w:rsidRPr="004B380C">
        <w:rPr>
          <w:rFonts w:ascii="Times New Roman" w:eastAsia="Times New Roman" w:hAnsi="Times New Roman" w:cs="Times New Roman"/>
          <w:b/>
          <w:bCs/>
          <w:kern w:val="0"/>
          <w14:ligatures w14:val="none"/>
        </w:rPr>
        <w:lastRenderedPageBreak/>
        <w:t>References</w:t>
      </w:r>
    </w:p>
    <w:p w14:paraId="4EF80719"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color w:val="000000"/>
          <w:shd w:val="clear" w:color="auto" w:fill="FFFFFF"/>
        </w:rPr>
        <w:t xml:space="preserve">Azra Ates, K., Lundqvist, E., &amp; Almqvist, J. (2025). “Why am I going to teach science?”: Pre-service science teachers’ perspectives on science education. </w:t>
      </w:r>
      <w:r w:rsidRPr="00F567D1">
        <w:rPr>
          <w:rStyle w:val="normaltextrun"/>
          <w:rFonts w:eastAsiaTheme="majorEastAsia"/>
          <w:i/>
          <w:iCs/>
          <w:color w:val="000000"/>
          <w:shd w:val="clear" w:color="auto" w:fill="FFFFFF"/>
        </w:rPr>
        <w:t>Journal of Science Teacher Education, 36</w:t>
      </w:r>
      <w:r w:rsidRPr="004B380C">
        <w:rPr>
          <w:rStyle w:val="normaltextrun"/>
          <w:rFonts w:eastAsiaTheme="majorEastAsia"/>
          <w:color w:val="000000"/>
          <w:shd w:val="clear" w:color="auto" w:fill="FFFFFF"/>
        </w:rPr>
        <w:t xml:space="preserve">(6), 781–802. </w:t>
      </w:r>
      <w:hyperlink r:id="rId7" w:tgtFrame="_blank" w:history="1">
        <w:r w:rsidRPr="004B380C">
          <w:rPr>
            <w:rStyle w:val="normaltextrun"/>
            <w:rFonts w:eastAsiaTheme="majorEastAsia"/>
            <w:color w:val="000000"/>
            <w:shd w:val="clear" w:color="auto" w:fill="FFFFFF"/>
          </w:rPr>
          <w:t>https://doi.org/10.1080/1046560X.2025.2452070</w:t>
        </w:r>
      </w:hyperlink>
      <w:r w:rsidRPr="004B380C">
        <w:rPr>
          <w:rStyle w:val="normaltextrun"/>
          <w:rFonts w:eastAsiaTheme="majorEastAsia"/>
          <w:color w:val="000000"/>
          <w:shd w:val="clear" w:color="auto" w:fill="FFFFFF"/>
        </w:rPr>
        <w:t> </w:t>
      </w:r>
      <w:r w:rsidRPr="004B380C">
        <w:rPr>
          <w:rStyle w:val="eop"/>
          <w:rFonts w:eastAsiaTheme="majorEastAsia"/>
          <w:color w:val="000000"/>
        </w:rPr>
        <w:t> </w:t>
      </w:r>
    </w:p>
    <w:p w14:paraId="1C353B87"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color w:val="000000"/>
          <w:shd w:val="clear" w:color="auto" w:fill="FFFFFF"/>
        </w:rPr>
        <w:t xml:space="preserve">Baker, M. A., Bunch, J., &amp; Kelsey, K. D. (2015). An instrumental case study of effective science integration in a traditional agricultural education program. </w:t>
      </w:r>
      <w:r w:rsidRPr="00F567D1">
        <w:rPr>
          <w:rStyle w:val="normaltextrun"/>
          <w:rFonts w:eastAsiaTheme="majorEastAsia"/>
          <w:i/>
          <w:iCs/>
          <w:color w:val="000000"/>
          <w:shd w:val="clear" w:color="auto" w:fill="FFFFFF"/>
        </w:rPr>
        <w:t>Journal of Agricultural Education, 56</w:t>
      </w:r>
      <w:r w:rsidRPr="004B380C">
        <w:rPr>
          <w:rStyle w:val="normaltextrun"/>
          <w:rFonts w:eastAsiaTheme="majorEastAsia"/>
          <w:color w:val="000000"/>
          <w:shd w:val="clear" w:color="auto" w:fill="FFFFFF"/>
        </w:rPr>
        <w:t xml:space="preserve">(1), 221–236. </w:t>
      </w:r>
      <w:hyperlink r:id="rId8" w:tgtFrame="_blank" w:history="1">
        <w:r w:rsidRPr="004B380C">
          <w:rPr>
            <w:rStyle w:val="normaltextrun"/>
            <w:rFonts w:eastAsiaTheme="majorEastAsia"/>
            <w:color w:val="000000"/>
            <w:shd w:val="clear" w:color="auto" w:fill="FFFFFF"/>
          </w:rPr>
          <w:t>https://doi.org/10.5032/jae.2015.01221</w:t>
        </w:r>
      </w:hyperlink>
      <w:r w:rsidRPr="004B380C">
        <w:rPr>
          <w:rStyle w:val="normaltextrun"/>
          <w:rFonts w:eastAsiaTheme="majorEastAsia"/>
          <w:color w:val="000000"/>
          <w:shd w:val="clear" w:color="auto" w:fill="FFFFFF"/>
        </w:rPr>
        <w:t> </w:t>
      </w:r>
      <w:r w:rsidRPr="004B380C">
        <w:rPr>
          <w:rStyle w:val="eop"/>
          <w:rFonts w:eastAsiaTheme="majorEastAsia"/>
          <w:color w:val="000000"/>
        </w:rPr>
        <w:t> </w:t>
      </w:r>
    </w:p>
    <w:p w14:paraId="41395DAB" w14:textId="075E98BF"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color w:val="000000"/>
          <w:shd w:val="clear" w:color="auto" w:fill="FFFFFF"/>
        </w:rPr>
        <w:t xml:space="preserve">Bierema, A. (2021). Nature of </w:t>
      </w:r>
      <w:r w:rsidR="00F567D1">
        <w:rPr>
          <w:rStyle w:val="normaltextrun"/>
          <w:rFonts w:eastAsiaTheme="majorEastAsia"/>
          <w:color w:val="000000"/>
          <w:shd w:val="clear" w:color="auto" w:fill="FFFFFF"/>
        </w:rPr>
        <w:t>s</w:t>
      </w:r>
      <w:r w:rsidRPr="004B380C">
        <w:rPr>
          <w:rStyle w:val="normaltextrun"/>
          <w:rFonts w:eastAsiaTheme="majorEastAsia"/>
          <w:color w:val="000000"/>
          <w:shd w:val="clear" w:color="auto" w:fill="FFFFFF"/>
        </w:rPr>
        <w:t xml:space="preserve">cience. In A. Bierema (Ed.), </w:t>
      </w:r>
      <w:r w:rsidRPr="00F567D1">
        <w:rPr>
          <w:rStyle w:val="normaltextrun"/>
          <w:rFonts w:eastAsiaTheme="majorEastAsia"/>
          <w:i/>
          <w:iCs/>
          <w:color w:val="000000"/>
          <w:shd w:val="clear" w:color="auto" w:fill="FFFFFF"/>
        </w:rPr>
        <w:t xml:space="preserve">An </w:t>
      </w:r>
      <w:r w:rsidR="00F567D1" w:rsidRPr="00F567D1">
        <w:rPr>
          <w:rStyle w:val="normaltextrun"/>
          <w:rFonts w:eastAsiaTheme="majorEastAsia"/>
          <w:i/>
          <w:iCs/>
          <w:color w:val="000000"/>
          <w:shd w:val="clear" w:color="auto" w:fill="FFFFFF"/>
        </w:rPr>
        <w:t>interactive introduction to organismal and molecular biology</w:t>
      </w:r>
      <w:r w:rsidRPr="004B380C">
        <w:rPr>
          <w:rStyle w:val="normaltextrun"/>
          <w:rFonts w:eastAsiaTheme="majorEastAsia"/>
          <w:color w:val="000000"/>
          <w:shd w:val="clear" w:color="auto" w:fill="FFFFFF"/>
        </w:rPr>
        <w:t xml:space="preserve"> (2</w:t>
      </w:r>
      <w:r w:rsidRPr="004B380C">
        <w:rPr>
          <w:rStyle w:val="normaltextrun"/>
          <w:rFonts w:eastAsiaTheme="majorEastAsia"/>
          <w:color w:val="000000"/>
          <w:shd w:val="clear" w:color="auto" w:fill="FFFFFF"/>
          <w:vertAlign w:val="superscript"/>
        </w:rPr>
        <w:t>nd</w:t>
      </w:r>
      <w:r w:rsidRPr="004B380C">
        <w:rPr>
          <w:rStyle w:val="normaltextrun"/>
          <w:rFonts w:eastAsiaTheme="majorEastAsia"/>
          <w:color w:val="000000"/>
          <w:shd w:val="clear" w:color="auto" w:fill="FFFFFF"/>
        </w:rPr>
        <w:t xml:space="preserve"> ed.). Pressbooks. </w:t>
      </w:r>
      <w:hyperlink r:id="rId9" w:tgtFrame="_blank" w:history="1">
        <w:r w:rsidRPr="004B380C">
          <w:rPr>
            <w:rStyle w:val="normaltextrun"/>
            <w:rFonts w:eastAsiaTheme="majorEastAsia"/>
            <w:color w:val="000000"/>
            <w:shd w:val="clear" w:color="auto" w:fill="FFFFFF"/>
          </w:rPr>
          <w:t>https://openbooks.lib.msu.edu/isb202/chapter/nature-of-science-draft/</w:t>
        </w:r>
      </w:hyperlink>
      <w:r w:rsidRPr="004B380C">
        <w:rPr>
          <w:rStyle w:val="normaltextrun"/>
          <w:rFonts w:eastAsiaTheme="majorEastAsia"/>
          <w:color w:val="000000"/>
          <w:shd w:val="clear" w:color="auto" w:fill="FFFFFF"/>
        </w:rPr>
        <w:t> </w:t>
      </w:r>
      <w:r w:rsidRPr="004B380C">
        <w:rPr>
          <w:rStyle w:val="eop"/>
          <w:rFonts w:eastAsiaTheme="majorEastAsia"/>
          <w:color w:val="000000"/>
        </w:rPr>
        <w:t> </w:t>
      </w:r>
    </w:p>
    <w:p w14:paraId="6331CC09" w14:textId="21AAE1B0" w:rsidR="00AF6E27" w:rsidRPr="004B380C" w:rsidRDefault="00AF6E27" w:rsidP="001B5072">
      <w:pPr>
        <w:spacing w:after="240" w:line="240" w:lineRule="auto"/>
        <w:ind w:left="720" w:hanging="720"/>
        <w:rPr>
          <w:rStyle w:val="normaltextrun"/>
          <w:rFonts w:ascii="Times New Roman" w:eastAsia="Times New Roman" w:hAnsi="Times New Roman" w:cs="Times New Roman"/>
          <w:color w:val="000000"/>
          <w:kern w:val="0"/>
          <w:shd w:val="clear" w:color="auto" w:fill="FFFFFF"/>
          <w14:ligatures w14:val="none"/>
        </w:rPr>
      </w:pPr>
      <w:r w:rsidRPr="004B380C">
        <w:rPr>
          <w:rFonts w:ascii="Times New Roman" w:eastAsia="Times New Roman" w:hAnsi="Times New Roman" w:cs="Times New Roman"/>
          <w:color w:val="000000"/>
          <w:kern w:val="0"/>
          <w:shd w:val="clear" w:color="auto" w:fill="FFFFFF"/>
          <w14:ligatures w14:val="none"/>
        </w:rPr>
        <w:t xml:space="preserve">Branscum, R., Eck, C. J., Marsh, K. N., &amp; Coleman, B. M. (2025). Instructional practice needs of Oklahoma agricultural educators by career phase. </w:t>
      </w:r>
      <w:r w:rsidRPr="00F567D1">
        <w:rPr>
          <w:rFonts w:ascii="Times New Roman" w:eastAsia="Times New Roman" w:hAnsi="Times New Roman" w:cs="Times New Roman"/>
          <w:i/>
          <w:iCs/>
          <w:color w:val="000000"/>
          <w:kern w:val="0"/>
          <w:shd w:val="clear" w:color="auto" w:fill="FFFFFF"/>
          <w14:ligatures w14:val="none"/>
        </w:rPr>
        <w:t>Journal of Agricultural Education, 66</w:t>
      </w:r>
      <w:r w:rsidRPr="004B380C">
        <w:rPr>
          <w:rFonts w:ascii="Times New Roman" w:eastAsia="Times New Roman" w:hAnsi="Times New Roman" w:cs="Times New Roman"/>
          <w:color w:val="000000"/>
          <w:kern w:val="0"/>
          <w:shd w:val="clear" w:color="auto" w:fill="FFFFFF"/>
          <w14:ligatures w14:val="none"/>
        </w:rPr>
        <w:t xml:space="preserve">(3), Article 8. </w:t>
      </w:r>
      <w:hyperlink r:id="rId10" w:history="1">
        <w:r w:rsidRPr="004B380C">
          <w:rPr>
            <w:rStyle w:val="Hyperlink"/>
            <w:rFonts w:ascii="Times New Roman" w:eastAsia="Times New Roman" w:hAnsi="Times New Roman" w:cs="Times New Roman"/>
            <w:color w:val="000000" w:themeColor="text1"/>
            <w:kern w:val="0"/>
            <w:u w:val="none"/>
            <w:shd w:val="clear" w:color="auto" w:fill="FFFFFF"/>
            <w14:ligatures w14:val="none"/>
          </w:rPr>
          <w:t>https://doi.org/10.5032/jae.v66i3.3024</w:t>
        </w:r>
      </w:hyperlink>
      <w:r w:rsidRPr="004B380C">
        <w:rPr>
          <w:rFonts w:ascii="Times New Roman" w:eastAsia="Times New Roman" w:hAnsi="Times New Roman" w:cs="Times New Roman"/>
          <w:color w:val="000000" w:themeColor="text1"/>
          <w:kern w:val="0"/>
          <w:shd w:val="clear" w:color="auto" w:fill="FFFFFF"/>
          <w14:ligatures w14:val="none"/>
        </w:rPr>
        <w:t xml:space="preserve"> </w:t>
      </w:r>
    </w:p>
    <w:p w14:paraId="14393BEE" w14:textId="25CEC3C0" w:rsidR="00935840" w:rsidRPr="00935840" w:rsidRDefault="00935840" w:rsidP="00935840">
      <w:pPr>
        <w:autoSpaceDE w:val="0"/>
        <w:autoSpaceDN w:val="0"/>
        <w:adjustRightInd w:val="0"/>
        <w:spacing w:after="0" w:line="240" w:lineRule="auto"/>
        <w:ind w:left="720" w:hanging="720"/>
        <w:rPr>
          <w:rFonts w:ascii="Times New Roman" w:hAnsi="Times New Roman" w:cs="Times New Roman"/>
          <w:kern w:val="0"/>
        </w:rPr>
      </w:pPr>
      <w:r w:rsidRPr="00935840">
        <w:rPr>
          <w:rFonts w:ascii="Times New Roman" w:hAnsi="Times New Roman" w:cs="Times New Roman"/>
          <w:kern w:val="0"/>
        </w:rPr>
        <w:t>Bybee, R. W. (2014). The BSCS 5E instructional model: Personal reflections and</w:t>
      </w:r>
      <w:r>
        <w:rPr>
          <w:rFonts w:ascii="Times New Roman" w:hAnsi="Times New Roman" w:cs="Times New Roman"/>
          <w:kern w:val="0"/>
        </w:rPr>
        <w:t xml:space="preserve"> contemporary </w:t>
      </w:r>
    </w:p>
    <w:p w14:paraId="72BCDB18" w14:textId="1F5124CB" w:rsidR="00935840" w:rsidRPr="00935840" w:rsidRDefault="00935840" w:rsidP="00935840">
      <w:pPr>
        <w:autoSpaceDE w:val="0"/>
        <w:autoSpaceDN w:val="0"/>
        <w:adjustRightInd w:val="0"/>
        <w:spacing w:after="0" w:line="240" w:lineRule="auto"/>
        <w:ind w:left="1170" w:hanging="450"/>
        <w:rPr>
          <w:rFonts w:ascii="Times New Roman" w:hAnsi="Times New Roman" w:cs="Times New Roman"/>
          <w:kern w:val="0"/>
        </w:rPr>
      </w:pPr>
      <w:r w:rsidRPr="00935840">
        <w:rPr>
          <w:rFonts w:ascii="Times New Roman" w:hAnsi="Times New Roman" w:cs="Times New Roman"/>
          <w:kern w:val="0"/>
        </w:rPr>
        <w:t xml:space="preserve">implications. </w:t>
      </w:r>
      <w:r w:rsidRPr="00935840">
        <w:rPr>
          <w:rFonts w:ascii="Times New Roman" w:hAnsi="Times New Roman" w:cs="Times New Roman"/>
          <w:i/>
          <w:iCs/>
          <w:kern w:val="0"/>
        </w:rPr>
        <w:t>Science &amp; Children, 51</w:t>
      </w:r>
      <w:r w:rsidRPr="00935840">
        <w:rPr>
          <w:rFonts w:ascii="Times New Roman" w:hAnsi="Times New Roman" w:cs="Times New Roman"/>
          <w:kern w:val="0"/>
        </w:rPr>
        <w:t>(8), 10–13.</w:t>
      </w:r>
    </w:p>
    <w:p w14:paraId="522E2C6A" w14:textId="77777777" w:rsidR="00935840" w:rsidRPr="00935840" w:rsidRDefault="00935840" w:rsidP="00935840">
      <w:pPr>
        <w:autoSpaceDE w:val="0"/>
        <w:autoSpaceDN w:val="0"/>
        <w:adjustRightInd w:val="0"/>
        <w:spacing w:after="0" w:line="240" w:lineRule="auto"/>
        <w:ind w:left="1170" w:hanging="450"/>
        <w:rPr>
          <w:rFonts w:ascii="Times New Roman" w:hAnsi="Times New Roman" w:cs="Times New Roman"/>
          <w:kern w:val="0"/>
        </w:rPr>
      </w:pPr>
      <w:r w:rsidRPr="00935840">
        <w:rPr>
          <w:rFonts w:ascii="Times New Roman" w:hAnsi="Times New Roman" w:cs="Times New Roman"/>
          <w:kern w:val="0"/>
        </w:rPr>
        <w:t>https://education.sdsu.edu/dle/current-students/05329-5e_instructional_model-rbybee.</w:t>
      </w:r>
    </w:p>
    <w:p w14:paraId="14D06710" w14:textId="506AD2B9" w:rsidR="00935840" w:rsidRPr="00935840" w:rsidRDefault="00935840" w:rsidP="00935840">
      <w:pPr>
        <w:pStyle w:val="paragraph"/>
        <w:spacing w:before="0" w:beforeAutospacing="0" w:after="240" w:afterAutospacing="0"/>
        <w:ind w:left="1170" w:hanging="450"/>
        <w:textAlignment w:val="baseline"/>
        <w:rPr>
          <w:rStyle w:val="normaltextrun"/>
          <w:rFonts w:eastAsiaTheme="majorEastAsia"/>
          <w:color w:val="000000"/>
          <w:shd w:val="clear" w:color="auto" w:fill="FFFFFF"/>
        </w:rPr>
      </w:pPr>
      <w:r w:rsidRPr="00935840">
        <w:t>pdf</w:t>
      </w:r>
    </w:p>
    <w:p w14:paraId="50CB48BB" w14:textId="79F8033E"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color w:val="000000"/>
          <w:shd w:val="clear" w:color="auto" w:fill="FFFFFF"/>
        </w:rPr>
        <w:t xml:space="preserve">Creswell, J. W., &amp; Creswell, J. D. (2023). </w:t>
      </w:r>
      <w:r w:rsidRPr="00F567D1">
        <w:rPr>
          <w:rStyle w:val="normaltextrun"/>
          <w:rFonts w:eastAsiaTheme="majorEastAsia"/>
          <w:i/>
          <w:iCs/>
          <w:color w:val="000000"/>
          <w:shd w:val="clear" w:color="auto" w:fill="FFFFFF"/>
        </w:rPr>
        <w:t xml:space="preserve">Research </w:t>
      </w:r>
      <w:r w:rsidR="00F567D1" w:rsidRPr="00F567D1">
        <w:rPr>
          <w:rStyle w:val="normaltextrun"/>
          <w:rFonts w:eastAsiaTheme="majorEastAsia"/>
          <w:i/>
          <w:iCs/>
          <w:color w:val="000000"/>
          <w:shd w:val="clear" w:color="auto" w:fill="FFFFFF"/>
        </w:rPr>
        <w:t xml:space="preserve">design: qualitative, quantitative, and mixed methods </w:t>
      </w:r>
      <w:proofErr w:type="gramStart"/>
      <w:r w:rsidR="00F567D1" w:rsidRPr="00F567D1">
        <w:rPr>
          <w:rStyle w:val="normaltextrun"/>
          <w:rFonts w:eastAsiaTheme="majorEastAsia"/>
          <w:i/>
          <w:iCs/>
          <w:color w:val="000000"/>
          <w:shd w:val="clear" w:color="auto" w:fill="FFFFFF"/>
        </w:rPr>
        <w:t>approaches</w:t>
      </w:r>
      <w:proofErr w:type="gramEnd"/>
      <w:r w:rsidR="00F567D1" w:rsidRPr="004B380C">
        <w:rPr>
          <w:rStyle w:val="normaltextrun"/>
          <w:rFonts w:eastAsiaTheme="majorEastAsia"/>
          <w:color w:val="000000"/>
          <w:shd w:val="clear" w:color="auto" w:fill="FFFFFF"/>
        </w:rPr>
        <w:t xml:space="preserve"> </w:t>
      </w:r>
      <w:r w:rsidRPr="004B380C">
        <w:rPr>
          <w:rStyle w:val="normaltextrun"/>
          <w:rFonts w:eastAsiaTheme="majorEastAsia"/>
          <w:color w:val="000000"/>
          <w:shd w:val="clear" w:color="auto" w:fill="FFFFFF"/>
        </w:rPr>
        <w:t>(6</w:t>
      </w:r>
      <w:r w:rsidRPr="004B380C">
        <w:rPr>
          <w:rStyle w:val="normaltextrun"/>
          <w:rFonts w:eastAsiaTheme="majorEastAsia"/>
          <w:color w:val="000000"/>
          <w:shd w:val="clear" w:color="auto" w:fill="FFFFFF"/>
          <w:vertAlign w:val="superscript"/>
        </w:rPr>
        <w:t>th</w:t>
      </w:r>
      <w:r w:rsidRPr="004B380C">
        <w:rPr>
          <w:rStyle w:val="normaltextrun"/>
          <w:rFonts w:eastAsiaTheme="majorEastAsia"/>
          <w:color w:val="000000"/>
          <w:shd w:val="clear" w:color="auto" w:fill="FFFFFF"/>
        </w:rPr>
        <w:t xml:space="preserve"> ed.). SAGE Publications. </w:t>
      </w:r>
      <w:r w:rsidRPr="004B380C">
        <w:rPr>
          <w:rStyle w:val="eop"/>
          <w:rFonts w:eastAsiaTheme="majorEastAsia"/>
          <w:color w:val="000000"/>
        </w:rPr>
        <w:t> </w:t>
      </w:r>
    </w:p>
    <w:p w14:paraId="21B1FF15"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Crotty, M. (2012). </w:t>
      </w:r>
      <w:r w:rsidRPr="00F567D1">
        <w:rPr>
          <w:rStyle w:val="normaltextrun"/>
          <w:rFonts w:eastAsiaTheme="majorEastAsia"/>
          <w:i/>
          <w:iCs/>
        </w:rPr>
        <w:t>The foundations of social research: Meaning and perspective in the research process.</w:t>
      </w:r>
      <w:r w:rsidRPr="004B380C">
        <w:rPr>
          <w:rStyle w:val="normaltextrun"/>
          <w:rFonts w:eastAsiaTheme="majorEastAsia"/>
        </w:rPr>
        <w:t xml:space="preserve"> SAGE Publications.</w:t>
      </w:r>
      <w:r w:rsidRPr="004B380C">
        <w:rPr>
          <w:rStyle w:val="eop"/>
          <w:rFonts w:eastAsiaTheme="majorEastAsia"/>
        </w:rPr>
        <w:t> </w:t>
      </w:r>
    </w:p>
    <w:p w14:paraId="4493979A" w14:textId="75A44EDB"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Dunkin, M. J., &amp; Biddle, B. J. (197</w:t>
      </w:r>
      <w:r w:rsidR="003671E9">
        <w:rPr>
          <w:rStyle w:val="normaltextrun"/>
          <w:rFonts w:eastAsiaTheme="majorEastAsia"/>
        </w:rPr>
        <w:t>4</w:t>
      </w:r>
      <w:r w:rsidRPr="004B380C">
        <w:rPr>
          <w:rStyle w:val="normaltextrun"/>
          <w:rFonts w:eastAsiaTheme="majorEastAsia"/>
        </w:rPr>
        <w:t xml:space="preserve">). </w:t>
      </w:r>
      <w:r w:rsidRPr="00F567D1">
        <w:rPr>
          <w:rStyle w:val="normaltextrun"/>
          <w:rFonts w:eastAsiaTheme="majorEastAsia"/>
          <w:i/>
          <w:iCs/>
        </w:rPr>
        <w:t>The study of teaching</w:t>
      </w:r>
      <w:r w:rsidRPr="004B380C">
        <w:rPr>
          <w:rStyle w:val="normaltextrun"/>
          <w:rFonts w:eastAsiaTheme="majorEastAsia"/>
        </w:rPr>
        <w:t xml:space="preserve"> (2</w:t>
      </w:r>
      <w:r w:rsidRPr="004B380C">
        <w:rPr>
          <w:rStyle w:val="normaltextrun"/>
          <w:rFonts w:eastAsiaTheme="majorEastAsia"/>
          <w:vertAlign w:val="superscript"/>
        </w:rPr>
        <w:t>nd</w:t>
      </w:r>
      <w:r w:rsidRPr="004B380C">
        <w:rPr>
          <w:rStyle w:val="normaltextrun"/>
          <w:rFonts w:eastAsiaTheme="majorEastAsia"/>
        </w:rPr>
        <w:t xml:space="preserve"> ed.). Holt, Rinehart and Winston. </w:t>
      </w:r>
      <w:r w:rsidRPr="004B380C">
        <w:rPr>
          <w:rStyle w:val="eop"/>
          <w:rFonts w:eastAsiaTheme="majorEastAsia"/>
        </w:rPr>
        <w:t> </w:t>
      </w:r>
    </w:p>
    <w:p w14:paraId="6D2BDA04"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Duran, L. B., &amp; Duran, E. (2004). The 5E instructional model: A learning cycle approach for inquiry-based science teaching. </w:t>
      </w:r>
      <w:r w:rsidRPr="00F567D1">
        <w:rPr>
          <w:rStyle w:val="normaltextrun"/>
          <w:rFonts w:eastAsiaTheme="majorEastAsia"/>
          <w:i/>
          <w:iCs/>
        </w:rPr>
        <w:t>The Science Education Review, 3</w:t>
      </w:r>
      <w:r w:rsidRPr="004B380C">
        <w:rPr>
          <w:rStyle w:val="normaltextrun"/>
          <w:rFonts w:eastAsiaTheme="majorEastAsia"/>
        </w:rPr>
        <w:t xml:space="preserve">(2), 49–58. </w:t>
      </w:r>
      <w:hyperlink r:id="rId11" w:tgtFrame="_blank" w:history="1">
        <w:r w:rsidRPr="004B380C">
          <w:rPr>
            <w:rStyle w:val="normaltextrun"/>
            <w:rFonts w:eastAsiaTheme="majorEastAsia"/>
            <w:color w:val="000000"/>
          </w:rPr>
          <w:t>https://files.eric.ed.gov/fulltext/EJ1058007.pdf</w:t>
        </w:r>
      </w:hyperlink>
      <w:r w:rsidRPr="004B380C">
        <w:rPr>
          <w:rStyle w:val="eop"/>
          <w:rFonts w:eastAsiaTheme="majorEastAsia"/>
        </w:rPr>
        <w:t> </w:t>
      </w:r>
    </w:p>
    <w:p w14:paraId="1D933C73" w14:textId="568789C7" w:rsidR="003671E9" w:rsidRPr="003671E9" w:rsidRDefault="003671E9" w:rsidP="001B5072">
      <w:pPr>
        <w:pStyle w:val="paragraph"/>
        <w:spacing w:before="0" w:beforeAutospacing="0" w:after="240" w:afterAutospacing="0"/>
        <w:ind w:left="720" w:hanging="720"/>
        <w:textAlignment w:val="baseline"/>
        <w:rPr>
          <w:rStyle w:val="normaltextrun"/>
          <w:rFonts w:eastAsiaTheme="majorEastAsia"/>
          <w:vertAlign w:val="subscript"/>
        </w:rPr>
      </w:pPr>
      <w:r>
        <w:rPr>
          <w:rStyle w:val="normaltextrun"/>
          <w:rFonts w:eastAsiaTheme="majorEastAsia"/>
        </w:rPr>
        <w:t xml:space="preserve">Early, S. (2019). An investigation into the implementation of a cross-curricular approach in an Irish primary school classroom. </w:t>
      </w:r>
      <w:r>
        <w:rPr>
          <w:rStyle w:val="normaltextrun"/>
          <w:rFonts w:eastAsiaTheme="majorEastAsia"/>
          <w:i/>
          <w:iCs/>
        </w:rPr>
        <w:t>International Journal for Cross-Disciplinary Subjects in Education, 10</w:t>
      </w:r>
      <w:r>
        <w:rPr>
          <w:rStyle w:val="normaltextrun"/>
          <w:rFonts w:eastAsiaTheme="majorEastAsia"/>
        </w:rPr>
        <w:t xml:space="preserve">(2), 4031–4040. </w:t>
      </w:r>
      <w:r w:rsidRPr="003671E9">
        <w:rPr>
          <w:rStyle w:val="normaltextrun"/>
          <w:rFonts w:eastAsiaTheme="majorEastAsia"/>
        </w:rPr>
        <w:t>https://infonomics-society.org/wp-content/uploads/An-Investigation-into-the-Implementation-of-a-Cross-Curricular-Approach.pdf</w:t>
      </w:r>
    </w:p>
    <w:p w14:paraId="4657BAF2" w14:textId="58CAD55F"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Ford, J., Dossett, J., Lambert, M., &amp; Easterly III, R. (2025). Implementation of </w:t>
      </w:r>
      <w:r w:rsidR="00F567D1" w:rsidRPr="004B380C">
        <w:rPr>
          <w:rStyle w:val="normaltextrun"/>
          <w:rFonts w:eastAsiaTheme="majorEastAsia"/>
        </w:rPr>
        <w:t>agriscience fair by middle school agricultural education teachers</w:t>
      </w:r>
      <w:r w:rsidRPr="004B380C">
        <w:rPr>
          <w:rStyle w:val="normaltextrun"/>
          <w:rFonts w:eastAsiaTheme="majorEastAsia"/>
        </w:rPr>
        <w:t>.</w:t>
      </w:r>
      <w:r w:rsidRPr="00F567D1">
        <w:rPr>
          <w:rStyle w:val="normaltextrun"/>
          <w:rFonts w:eastAsiaTheme="majorEastAsia"/>
          <w:i/>
          <w:iCs/>
        </w:rPr>
        <w:t> Journal of Agricultural Education, 66</w:t>
      </w:r>
      <w:r w:rsidRPr="004B380C">
        <w:rPr>
          <w:rStyle w:val="normaltextrun"/>
          <w:rFonts w:eastAsiaTheme="majorEastAsia"/>
        </w:rPr>
        <w:t xml:space="preserve">(1), Article 3. </w:t>
      </w:r>
      <w:hyperlink r:id="rId12" w:tgtFrame="_blank" w:history="1">
        <w:r w:rsidRPr="004B380C">
          <w:rPr>
            <w:rStyle w:val="normaltextrun"/>
            <w:rFonts w:eastAsiaTheme="majorEastAsia"/>
            <w:color w:val="000000"/>
          </w:rPr>
          <w:t>https://doi.org/10.5032/jae.v66i1.2920</w:t>
        </w:r>
      </w:hyperlink>
      <w:r w:rsidRPr="004B380C">
        <w:rPr>
          <w:rStyle w:val="normaltextrun"/>
          <w:rFonts w:eastAsiaTheme="majorEastAsia"/>
          <w:color w:val="000000"/>
        </w:rPr>
        <w:t> </w:t>
      </w:r>
      <w:r w:rsidRPr="004B380C">
        <w:rPr>
          <w:rStyle w:val="eop"/>
          <w:rFonts w:eastAsiaTheme="majorEastAsia"/>
          <w:color w:val="000000"/>
        </w:rPr>
        <w:t> </w:t>
      </w:r>
    </w:p>
    <w:p w14:paraId="036218B7" w14:textId="6CA4F2C9" w:rsidR="00F567D1" w:rsidRPr="00F567D1" w:rsidRDefault="00F567D1" w:rsidP="001B5072">
      <w:pPr>
        <w:pStyle w:val="paragraph"/>
        <w:spacing w:before="0" w:beforeAutospacing="0" w:after="240" w:afterAutospacing="0"/>
        <w:ind w:left="720" w:hanging="720"/>
        <w:textAlignment w:val="baseline"/>
        <w:rPr>
          <w:rStyle w:val="normaltextrun"/>
          <w:rFonts w:eastAsiaTheme="majorEastAsia"/>
        </w:rPr>
      </w:pPr>
      <w:r>
        <w:rPr>
          <w:rStyle w:val="normaltextrun"/>
          <w:rFonts w:eastAsiaTheme="majorEastAsia"/>
        </w:rPr>
        <w:t xml:space="preserve">Guest, G., Bunce, A., &amp; Johnson, L. (2006). How many interviews are enough? </w:t>
      </w:r>
      <w:r>
        <w:rPr>
          <w:rStyle w:val="normaltextrun"/>
          <w:rFonts w:eastAsiaTheme="majorEastAsia"/>
          <w:i/>
          <w:iCs/>
        </w:rPr>
        <w:t>Field methods, 18</w:t>
      </w:r>
      <w:r>
        <w:rPr>
          <w:rStyle w:val="normaltextrun"/>
          <w:rFonts w:eastAsiaTheme="majorEastAsia"/>
        </w:rPr>
        <w:t>(1), 59–82. https://doi.org/10.1177/152822X05279903</w:t>
      </w:r>
    </w:p>
    <w:p w14:paraId="2EABBA8B" w14:textId="40AB36CC"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lastRenderedPageBreak/>
        <w:t xml:space="preserve">Holley, K. (2017). </w:t>
      </w:r>
      <w:r w:rsidRPr="00F567D1">
        <w:rPr>
          <w:rStyle w:val="normaltextrun"/>
          <w:rFonts w:eastAsiaTheme="majorEastAsia"/>
          <w:i/>
          <w:iCs/>
        </w:rPr>
        <w:t>Interdisciplinary curriculum and learning in higher education</w:t>
      </w:r>
      <w:r w:rsidRPr="004B380C">
        <w:rPr>
          <w:rStyle w:val="normaltextrun"/>
          <w:rFonts w:eastAsiaTheme="majorEastAsia"/>
        </w:rPr>
        <w:t xml:space="preserve">. Oxford Research Encyclopedia of Education. </w:t>
      </w:r>
      <w:hyperlink r:id="rId13" w:tgtFrame="_blank" w:history="1">
        <w:r w:rsidRPr="004B380C">
          <w:rPr>
            <w:rStyle w:val="normaltextrun"/>
            <w:rFonts w:eastAsiaTheme="majorEastAsia"/>
            <w:color w:val="000000"/>
          </w:rPr>
          <w:t>https://doi.org/10.1093/acrefore/9780190264093.013.138</w:t>
        </w:r>
      </w:hyperlink>
      <w:r w:rsidRPr="004B380C">
        <w:rPr>
          <w:rStyle w:val="normaltextrun"/>
          <w:rFonts w:eastAsiaTheme="majorEastAsia"/>
          <w:color w:val="000000"/>
        </w:rPr>
        <w:t> </w:t>
      </w:r>
      <w:r w:rsidRPr="004B380C">
        <w:rPr>
          <w:rStyle w:val="eop"/>
          <w:rFonts w:eastAsiaTheme="majorEastAsia"/>
          <w:color w:val="000000"/>
        </w:rPr>
        <w:t> </w:t>
      </w:r>
    </w:p>
    <w:p w14:paraId="1BE269E8" w14:textId="5805B6D5" w:rsidR="00AF6E27" w:rsidRPr="004B380C" w:rsidRDefault="00AF6E27" w:rsidP="001B5072">
      <w:pPr>
        <w:pStyle w:val="paragraph"/>
        <w:spacing w:before="0" w:beforeAutospacing="0" w:after="240" w:afterAutospacing="0"/>
        <w:ind w:left="720" w:hanging="720"/>
        <w:textAlignment w:val="baseline"/>
        <w:rPr>
          <w:rStyle w:val="normaltextrun"/>
          <w:rFonts w:eastAsiaTheme="majorEastAsia"/>
        </w:rPr>
      </w:pPr>
      <w:r w:rsidRPr="004B380C">
        <w:t xml:space="preserve">Honeyman, K., &amp; Eck, C. J. (2025). Beyond content knowledge: Inquiry-based learning and preservice </w:t>
      </w:r>
      <w:proofErr w:type="gramStart"/>
      <w:r w:rsidRPr="004B380C">
        <w:t>teachers’</w:t>
      </w:r>
      <w:proofErr w:type="gramEnd"/>
      <w:r w:rsidRPr="004B380C">
        <w:t xml:space="preserve"> perceived ability to incorporate STEM and AFNR concepts. </w:t>
      </w:r>
      <w:r w:rsidRPr="00F567D1">
        <w:rPr>
          <w:i/>
          <w:iCs/>
        </w:rPr>
        <w:t>Journal of Agricultural Education, 66</w:t>
      </w:r>
      <w:r w:rsidRPr="004B380C">
        <w:t xml:space="preserve">(3), Article 19. </w:t>
      </w:r>
      <w:hyperlink r:id="rId14" w:history="1">
        <w:r w:rsidRPr="004B380C">
          <w:rPr>
            <w:rStyle w:val="Hyperlink"/>
            <w:color w:val="000000" w:themeColor="text1"/>
            <w:u w:val="none"/>
          </w:rPr>
          <w:t>https://doi.org/10.5032/jae.v66i3.3232</w:t>
        </w:r>
      </w:hyperlink>
    </w:p>
    <w:p w14:paraId="0D203E2A" w14:textId="3DAFC9ED"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Jeya Harish, H. G., Krishnakumar, R., &amp; William Dharma Raja, B. (2012). Cross curricular connections: An innovative model for curriculum transaction. </w:t>
      </w:r>
      <w:r w:rsidRPr="00F567D1">
        <w:rPr>
          <w:rStyle w:val="normaltextrun"/>
          <w:rFonts w:eastAsiaTheme="majorEastAsia"/>
          <w:i/>
          <w:iCs/>
        </w:rPr>
        <w:t>I-manager’s Journal on School Educational Technology, 7</w:t>
      </w:r>
      <w:r w:rsidRPr="004B380C">
        <w:rPr>
          <w:rStyle w:val="normaltextrun"/>
          <w:rFonts w:eastAsiaTheme="majorEastAsia"/>
        </w:rPr>
        <w:t xml:space="preserve">(3), 1–9. </w:t>
      </w:r>
      <w:hyperlink r:id="rId15" w:tgtFrame="_blank" w:history="1">
        <w:r w:rsidRPr="004B380C">
          <w:rPr>
            <w:rStyle w:val="normaltextrun"/>
            <w:rFonts w:eastAsiaTheme="majorEastAsia"/>
            <w:color w:val="000000"/>
          </w:rPr>
          <w:t>https://doi.org/10.26634/jsch.7.3.1668</w:t>
        </w:r>
      </w:hyperlink>
      <w:r w:rsidRPr="004B380C">
        <w:rPr>
          <w:rStyle w:val="normaltextrun"/>
          <w:rFonts w:eastAsiaTheme="majorEastAsia"/>
          <w:color w:val="000000"/>
        </w:rPr>
        <w:t> </w:t>
      </w:r>
      <w:r w:rsidRPr="004B380C">
        <w:rPr>
          <w:rStyle w:val="eop"/>
          <w:rFonts w:eastAsiaTheme="majorEastAsia"/>
          <w:color w:val="000000"/>
        </w:rPr>
        <w:t> </w:t>
      </w:r>
    </w:p>
    <w:p w14:paraId="3EB75EC0" w14:textId="28697B28" w:rsidR="00EC1695" w:rsidRPr="00EC1695" w:rsidRDefault="00EC1695" w:rsidP="001B5072">
      <w:pPr>
        <w:pStyle w:val="paragraph"/>
        <w:spacing w:before="0" w:beforeAutospacing="0" w:after="240" w:afterAutospacing="0"/>
        <w:ind w:left="720" w:hanging="720"/>
        <w:textAlignment w:val="baseline"/>
        <w:rPr>
          <w:rStyle w:val="normaltextrun"/>
          <w:rFonts w:eastAsiaTheme="majorEastAsia"/>
        </w:rPr>
      </w:pPr>
      <w:r>
        <w:rPr>
          <w:rStyle w:val="normaltextrun"/>
          <w:rFonts w:eastAsiaTheme="majorEastAsia"/>
        </w:rPr>
        <w:t>Lederman, N. G., Abd-El-</w:t>
      </w:r>
      <w:proofErr w:type="spellStart"/>
      <w:r>
        <w:rPr>
          <w:rStyle w:val="normaltextrun"/>
          <w:rFonts w:eastAsiaTheme="majorEastAsia"/>
        </w:rPr>
        <w:t>Khalick</w:t>
      </w:r>
      <w:proofErr w:type="spellEnd"/>
      <w:r>
        <w:rPr>
          <w:rStyle w:val="normaltextrun"/>
          <w:rFonts w:eastAsiaTheme="majorEastAsia"/>
        </w:rPr>
        <w:t xml:space="preserve">, F., &amp; Smith, M. U. (2018). Teaching nature of scientific knowledge to kindergarten through university students. </w:t>
      </w:r>
      <w:r>
        <w:rPr>
          <w:rStyle w:val="normaltextrun"/>
          <w:rFonts w:eastAsiaTheme="majorEastAsia"/>
          <w:i/>
          <w:iCs/>
        </w:rPr>
        <w:t xml:space="preserve">Science &amp; Education, 28, </w:t>
      </w:r>
      <w:r>
        <w:rPr>
          <w:rStyle w:val="normaltextrun"/>
          <w:rFonts w:eastAsiaTheme="majorEastAsia"/>
        </w:rPr>
        <w:t>197–203. https://doi.org/10.1007/s11191-019-00057-x</w:t>
      </w:r>
    </w:p>
    <w:p w14:paraId="28FD98AB" w14:textId="34410DB3"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Leong, B. A., &amp; Smetana, L. K. (2025). Exploring the longitudinal value of a research experience for preservice secondary science teachers. </w:t>
      </w:r>
      <w:r w:rsidRPr="00F567D1">
        <w:rPr>
          <w:rStyle w:val="normaltextrun"/>
          <w:rFonts w:eastAsiaTheme="majorEastAsia"/>
          <w:i/>
          <w:iCs/>
        </w:rPr>
        <w:t>Journal of Science Teacher Education.</w:t>
      </w:r>
      <w:r w:rsidRPr="004B380C">
        <w:rPr>
          <w:rStyle w:val="normaltextrun"/>
          <w:rFonts w:eastAsiaTheme="majorEastAsia"/>
        </w:rPr>
        <w:t xml:space="preserve"> </w:t>
      </w:r>
      <w:hyperlink r:id="rId16" w:tgtFrame="_blank" w:history="1">
        <w:r w:rsidRPr="004B380C">
          <w:rPr>
            <w:rStyle w:val="normaltextrun"/>
            <w:rFonts w:eastAsiaTheme="majorEastAsia"/>
            <w:color w:val="000000"/>
          </w:rPr>
          <w:t>https://doi.org/10.1080/1046560X.2025.2531312</w:t>
        </w:r>
      </w:hyperlink>
      <w:r w:rsidRPr="004B380C">
        <w:rPr>
          <w:rStyle w:val="normaltextrun"/>
          <w:rFonts w:eastAsiaTheme="majorEastAsia"/>
          <w:color w:val="000000"/>
        </w:rPr>
        <w:t> </w:t>
      </w:r>
      <w:r w:rsidRPr="004B380C">
        <w:rPr>
          <w:rStyle w:val="eop"/>
          <w:rFonts w:eastAsiaTheme="majorEastAsia"/>
          <w:color w:val="000000"/>
        </w:rPr>
        <w:t> </w:t>
      </w:r>
    </w:p>
    <w:p w14:paraId="23D68F92"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Lincoln, Y. S., &amp; Guba, E. G. (1985). </w:t>
      </w:r>
      <w:r w:rsidRPr="00F567D1">
        <w:rPr>
          <w:rStyle w:val="normaltextrun"/>
          <w:rFonts w:eastAsiaTheme="majorEastAsia"/>
          <w:i/>
          <w:iCs/>
        </w:rPr>
        <w:t>Naturalistic inquiry.</w:t>
      </w:r>
      <w:r w:rsidRPr="004B380C">
        <w:rPr>
          <w:rStyle w:val="normaltextrun"/>
          <w:rFonts w:eastAsiaTheme="majorEastAsia"/>
        </w:rPr>
        <w:t xml:space="preserve"> SAGE Publications.</w:t>
      </w:r>
      <w:r w:rsidRPr="004B380C">
        <w:rPr>
          <w:rStyle w:val="eop"/>
          <w:rFonts w:eastAsiaTheme="majorEastAsia"/>
        </w:rPr>
        <w:t> </w:t>
      </w:r>
    </w:p>
    <w:p w14:paraId="0DE49E65" w14:textId="26E28D80" w:rsidR="00EC1695" w:rsidRDefault="00EC1695" w:rsidP="001B5072">
      <w:pPr>
        <w:spacing w:after="240" w:line="240" w:lineRule="auto"/>
        <w:ind w:left="720" w:hanging="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McComas, W. F. (2020). </w:t>
      </w:r>
      <w:r w:rsidRPr="003671E9">
        <w:rPr>
          <w:rFonts w:ascii="Times New Roman" w:eastAsia="Times New Roman" w:hAnsi="Times New Roman" w:cs="Times New Roman"/>
          <w:i/>
          <w:iCs/>
          <w:kern w:val="0"/>
          <w14:ligatures w14:val="none"/>
        </w:rPr>
        <w:t>Nature of science in science instruction: Rationales and strategies (Science: Philosophy, history, and education)</w:t>
      </w:r>
      <w:r w:rsidR="003671E9" w:rsidRPr="003671E9">
        <w:rPr>
          <w:rFonts w:ascii="Times New Roman" w:eastAsia="Times New Roman" w:hAnsi="Times New Roman" w:cs="Times New Roman"/>
          <w:i/>
          <w:iCs/>
          <w:kern w:val="0"/>
          <w14:ligatures w14:val="none"/>
        </w:rPr>
        <w:t>,</w:t>
      </w:r>
      <w:r w:rsidR="003671E9">
        <w:rPr>
          <w:rFonts w:ascii="Times New Roman" w:eastAsia="Times New Roman" w:hAnsi="Times New Roman" w:cs="Times New Roman"/>
          <w:kern w:val="0"/>
          <w14:ligatures w14:val="none"/>
        </w:rPr>
        <w:t xml:space="preserve"> (1</w:t>
      </w:r>
      <w:r w:rsidR="003671E9" w:rsidRPr="003671E9">
        <w:rPr>
          <w:rFonts w:ascii="Times New Roman" w:eastAsia="Times New Roman" w:hAnsi="Times New Roman" w:cs="Times New Roman"/>
          <w:kern w:val="0"/>
          <w:vertAlign w:val="superscript"/>
          <w14:ligatures w14:val="none"/>
        </w:rPr>
        <w:t>st</w:t>
      </w:r>
      <w:r w:rsidR="003671E9">
        <w:rPr>
          <w:rFonts w:ascii="Times New Roman" w:eastAsia="Times New Roman" w:hAnsi="Times New Roman" w:cs="Times New Roman"/>
          <w:kern w:val="0"/>
          <w14:ligatures w14:val="none"/>
        </w:rPr>
        <w:t xml:space="preserve"> ed.). Springer.</w:t>
      </w:r>
    </w:p>
    <w:p w14:paraId="21F52586" w14:textId="42ECB4E5" w:rsidR="00031588" w:rsidRPr="004B380C" w:rsidRDefault="00031588" w:rsidP="001B5072">
      <w:pPr>
        <w:spacing w:after="240" w:line="240" w:lineRule="auto"/>
        <w:ind w:left="720" w:hanging="720"/>
        <w:rPr>
          <w:rStyle w:val="normaltextrun"/>
          <w:rFonts w:ascii="Times New Roman" w:eastAsia="Times New Roman" w:hAnsi="Times New Roman" w:cs="Times New Roman"/>
          <w:kern w:val="0"/>
          <w14:ligatures w14:val="none"/>
        </w:rPr>
      </w:pPr>
      <w:r w:rsidRPr="004B380C">
        <w:rPr>
          <w:rFonts w:ascii="Times New Roman" w:eastAsia="Times New Roman" w:hAnsi="Times New Roman" w:cs="Times New Roman"/>
          <w:kern w:val="0"/>
          <w14:ligatures w14:val="none"/>
        </w:rPr>
        <w:t xml:space="preserve">McKim, A. J., Sorensen, T. J., Goodwin, C. M., &amp; Wilkinson, S. W. (2025). Exploring exemplary STEM lessons in agricultural education. </w:t>
      </w:r>
      <w:r w:rsidRPr="00F567D1">
        <w:rPr>
          <w:rFonts w:ascii="Times New Roman" w:eastAsia="Times New Roman" w:hAnsi="Times New Roman" w:cs="Times New Roman"/>
          <w:i/>
          <w:iCs/>
          <w:kern w:val="0"/>
          <w14:ligatures w14:val="none"/>
        </w:rPr>
        <w:t>Journal of Agricultural Education, 66</w:t>
      </w:r>
      <w:r w:rsidRPr="004B380C">
        <w:rPr>
          <w:rFonts w:ascii="Times New Roman" w:eastAsia="Times New Roman" w:hAnsi="Times New Roman" w:cs="Times New Roman"/>
          <w:kern w:val="0"/>
          <w14:ligatures w14:val="none"/>
        </w:rPr>
        <w:t xml:space="preserve">(2), Article 4. </w:t>
      </w:r>
      <w:hyperlink r:id="rId17" w:history="1">
        <w:r w:rsidRPr="004B380C">
          <w:rPr>
            <w:rStyle w:val="Hyperlink"/>
            <w:rFonts w:ascii="Times New Roman" w:eastAsia="Times New Roman" w:hAnsi="Times New Roman" w:cs="Times New Roman"/>
            <w:color w:val="000000" w:themeColor="text1"/>
            <w:kern w:val="0"/>
            <w:u w:val="none"/>
            <w14:ligatures w14:val="none"/>
          </w:rPr>
          <w:t>https://doi.org/10.5032/jae.v66i2.2906</w:t>
        </w:r>
      </w:hyperlink>
      <w:r w:rsidRPr="004B380C">
        <w:rPr>
          <w:rFonts w:ascii="Times New Roman" w:eastAsia="Times New Roman" w:hAnsi="Times New Roman" w:cs="Times New Roman"/>
          <w:color w:val="000000" w:themeColor="text1"/>
          <w:kern w:val="0"/>
          <w14:ligatures w14:val="none"/>
        </w:rPr>
        <w:t xml:space="preserve"> </w:t>
      </w:r>
    </w:p>
    <w:p w14:paraId="794E9765" w14:textId="5DC9CE1D"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Myers, B. E., &amp; Washburn, S. G. (2008). Integrating science in the agriculture curriculum: Agriculture teacher perceptions of the opportunities, barriers, and impact on student enrollment. </w:t>
      </w:r>
      <w:r w:rsidRPr="00F567D1">
        <w:rPr>
          <w:rStyle w:val="normaltextrun"/>
          <w:rFonts w:eastAsiaTheme="majorEastAsia"/>
          <w:i/>
          <w:iCs/>
        </w:rPr>
        <w:t>Journal of Agricultural Education, 49</w:t>
      </w:r>
      <w:r w:rsidRPr="004B380C">
        <w:rPr>
          <w:rStyle w:val="normaltextrun"/>
          <w:rFonts w:eastAsiaTheme="majorEastAsia"/>
        </w:rPr>
        <w:t xml:space="preserve">(2), 27–37. </w:t>
      </w:r>
      <w:hyperlink r:id="rId18" w:tgtFrame="_blank" w:history="1">
        <w:r w:rsidRPr="004B380C">
          <w:rPr>
            <w:rStyle w:val="normaltextrun"/>
            <w:rFonts w:eastAsiaTheme="majorEastAsia"/>
            <w:color w:val="000000"/>
          </w:rPr>
          <w:t>https://doi.org/10.5032/jae.2008.02027</w:t>
        </w:r>
      </w:hyperlink>
      <w:r w:rsidRPr="004B380C">
        <w:rPr>
          <w:rStyle w:val="normaltextrun"/>
          <w:rFonts w:eastAsiaTheme="majorEastAsia"/>
          <w:color w:val="000000"/>
        </w:rPr>
        <w:t> </w:t>
      </w:r>
      <w:r w:rsidRPr="004B380C">
        <w:rPr>
          <w:rStyle w:val="eop"/>
          <w:rFonts w:eastAsiaTheme="majorEastAsia"/>
          <w:color w:val="000000"/>
        </w:rPr>
        <w:t> </w:t>
      </w:r>
    </w:p>
    <w:p w14:paraId="57130935" w14:textId="5E3B40E3"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National FFA Organization. (2025). </w:t>
      </w:r>
      <w:r w:rsidRPr="00F567D1">
        <w:rPr>
          <w:rStyle w:val="normaltextrun"/>
          <w:rFonts w:eastAsiaTheme="majorEastAsia"/>
          <w:i/>
          <w:iCs/>
        </w:rPr>
        <w:t xml:space="preserve">2025 Agriscience Fair </w:t>
      </w:r>
      <w:r w:rsidR="00F567D1" w:rsidRPr="00F567D1">
        <w:rPr>
          <w:rStyle w:val="normaltextrun"/>
          <w:rFonts w:eastAsiaTheme="majorEastAsia"/>
          <w:i/>
          <w:iCs/>
        </w:rPr>
        <w:t>award program</w:t>
      </w:r>
      <w:r w:rsidRPr="00F567D1">
        <w:rPr>
          <w:rStyle w:val="normaltextrun"/>
          <w:rFonts w:eastAsiaTheme="majorEastAsia"/>
          <w:i/>
          <w:iCs/>
        </w:rPr>
        <w:t>.</w:t>
      </w:r>
      <w:r w:rsidRPr="004B380C">
        <w:rPr>
          <w:rStyle w:val="normaltextrun"/>
          <w:rFonts w:eastAsiaTheme="majorEastAsia"/>
        </w:rPr>
        <w:t xml:space="preserve"> </w:t>
      </w:r>
      <w:hyperlink r:id="rId19" w:tgtFrame="_blank" w:history="1">
        <w:r w:rsidRPr="004B380C">
          <w:rPr>
            <w:rStyle w:val="normaltextrun"/>
            <w:rFonts w:eastAsiaTheme="majorEastAsia"/>
            <w:color w:val="000000"/>
          </w:rPr>
          <w:t>https://ffa.app.box.com/s/x4rd2h4a6fvwkrf5yogk9jbwwxouehnr/file/1621703913393</w:t>
        </w:r>
      </w:hyperlink>
      <w:r w:rsidRPr="004B380C">
        <w:rPr>
          <w:rStyle w:val="normaltextrun"/>
          <w:rFonts w:eastAsiaTheme="majorEastAsia"/>
          <w:color w:val="000000"/>
        </w:rPr>
        <w:t> </w:t>
      </w:r>
      <w:r w:rsidRPr="004B380C">
        <w:rPr>
          <w:rStyle w:val="eop"/>
          <w:rFonts w:eastAsiaTheme="majorEastAsia"/>
          <w:color w:val="000000"/>
        </w:rPr>
        <w:t> </w:t>
      </w:r>
    </w:p>
    <w:p w14:paraId="10551857" w14:textId="77777777" w:rsidR="009941AF" w:rsidRPr="004B380C" w:rsidRDefault="009941AF" w:rsidP="001B5072">
      <w:pPr>
        <w:pStyle w:val="paragraph"/>
        <w:spacing w:before="0" w:beforeAutospacing="0" w:after="240" w:afterAutospacing="0"/>
        <w:ind w:left="720" w:hanging="720"/>
        <w:textAlignment w:val="baseline"/>
      </w:pPr>
      <w:proofErr w:type="spellStart"/>
      <w:r w:rsidRPr="004B380C">
        <w:rPr>
          <w:rStyle w:val="normaltextrun"/>
          <w:rFonts w:eastAsiaTheme="majorEastAsia"/>
        </w:rPr>
        <w:t>Oudenampsen</w:t>
      </w:r>
      <w:proofErr w:type="spellEnd"/>
      <w:r w:rsidRPr="004B380C">
        <w:rPr>
          <w:rStyle w:val="normaltextrun"/>
          <w:rFonts w:eastAsiaTheme="majorEastAsia"/>
        </w:rPr>
        <w:t xml:space="preserve">, J., van de Pol, M., </w:t>
      </w:r>
      <w:proofErr w:type="spellStart"/>
      <w:r w:rsidRPr="004B380C">
        <w:rPr>
          <w:rStyle w:val="normaltextrun"/>
          <w:rFonts w:eastAsiaTheme="majorEastAsia"/>
        </w:rPr>
        <w:t>Blijlevens</w:t>
      </w:r>
      <w:proofErr w:type="spellEnd"/>
      <w:r w:rsidRPr="004B380C">
        <w:rPr>
          <w:rStyle w:val="normaltextrun"/>
          <w:rFonts w:eastAsiaTheme="majorEastAsia"/>
        </w:rPr>
        <w:t>, N., &amp; Das, E. (2023). Interdisciplinary education affects student learning: a focus group study</w:t>
      </w:r>
      <w:r w:rsidRPr="00F567D1">
        <w:rPr>
          <w:rStyle w:val="normaltextrun"/>
          <w:rFonts w:eastAsiaTheme="majorEastAsia"/>
          <w:i/>
          <w:iCs/>
        </w:rPr>
        <w:t>. BMC Medical Education, 23</w:t>
      </w:r>
      <w:r w:rsidRPr="004B380C">
        <w:rPr>
          <w:rStyle w:val="normaltextrun"/>
          <w:rFonts w:eastAsiaTheme="majorEastAsia"/>
        </w:rPr>
        <w:t xml:space="preserve">, 169. </w:t>
      </w:r>
      <w:hyperlink r:id="rId20" w:tgtFrame="_blank" w:history="1">
        <w:r w:rsidRPr="004B380C">
          <w:rPr>
            <w:rStyle w:val="normaltextrun"/>
            <w:rFonts w:eastAsiaTheme="majorEastAsia"/>
            <w:color w:val="000000"/>
          </w:rPr>
          <w:t>https://doi.org/10.1186/s12909-023-014103-9</w:t>
        </w:r>
      </w:hyperlink>
      <w:r w:rsidRPr="004B380C">
        <w:rPr>
          <w:rStyle w:val="normaltextrun"/>
          <w:rFonts w:eastAsiaTheme="majorEastAsia"/>
          <w:color w:val="000000"/>
        </w:rPr>
        <w:t> </w:t>
      </w:r>
      <w:r w:rsidRPr="004B380C">
        <w:rPr>
          <w:rStyle w:val="eop"/>
          <w:rFonts w:eastAsiaTheme="majorEastAsia"/>
          <w:color w:val="000000"/>
        </w:rPr>
        <w:t> </w:t>
      </w:r>
    </w:p>
    <w:p w14:paraId="50747DFC" w14:textId="5E14CBE2" w:rsidR="00930560" w:rsidRPr="00930560" w:rsidRDefault="00930560" w:rsidP="001B5072">
      <w:pPr>
        <w:pStyle w:val="paragraph"/>
        <w:spacing w:before="0" w:beforeAutospacing="0" w:after="240" w:afterAutospacing="0"/>
        <w:ind w:left="720" w:hanging="720"/>
        <w:textAlignment w:val="baseline"/>
        <w:rPr>
          <w:rStyle w:val="normaltextrun"/>
          <w:rFonts w:eastAsiaTheme="majorEastAsia"/>
        </w:rPr>
      </w:pPr>
      <w:r>
        <w:rPr>
          <w:rStyle w:val="normaltextrun"/>
          <w:rFonts w:eastAsiaTheme="majorEastAsia"/>
        </w:rPr>
        <w:t xml:space="preserve">Palinkas, L. A., </w:t>
      </w:r>
      <w:proofErr w:type="spellStart"/>
      <w:r>
        <w:rPr>
          <w:rStyle w:val="normaltextrun"/>
          <w:rFonts w:eastAsiaTheme="majorEastAsia"/>
        </w:rPr>
        <w:t>Horwtiz</w:t>
      </w:r>
      <w:proofErr w:type="spellEnd"/>
      <w:r>
        <w:rPr>
          <w:rStyle w:val="normaltextrun"/>
          <w:rFonts w:eastAsiaTheme="majorEastAsia"/>
        </w:rPr>
        <w:t xml:space="preserve">, S. M., Green, C. A., Wisdom, J. P., Duan, N., &amp; </w:t>
      </w:r>
      <w:proofErr w:type="spellStart"/>
      <w:r>
        <w:rPr>
          <w:rStyle w:val="normaltextrun"/>
          <w:rFonts w:eastAsiaTheme="majorEastAsia"/>
        </w:rPr>
        <w:t>Hoagwood</w:t>
      </w:r>
      <w:proofErr w:type="spellEnd"/>
      <w:r>
        <w:rPr>
          <w:rStyle w:val="normaltextrun"/>
          <w:rFonts w:eastAsiaTheme="majorEastAsia"/>
        </w:rPr>
        <w:t xml:space="preserve">, K. (2015). Purposeful sampling for qualitative data collection and analysis in mixed method implementation research. </w:t>
      </w:r>
      <w:r>
        <w:rPr>
          <w:rStyle w:val="normaltextrun"/>
          <w:rFonts w:eastAsiaTheme="majorEastAsia"/>
          <w:i/>
          <w:iCs/>
        </w:rPr>
        <w:t>Administration and Policy in Mental Health and Mental Health Services Research, 42</w:t>
      </w:r>
      <w:r>
        <w:rPr>
          <w:rStyle w:val="normaltextrun"/>
          <w:rFonts w:eastAsiaTheme="majorEastAsia"/>
        </w:rPr>
        <w:t>(5), 533–544. https://doi.org/10.1007/s1048-013-0528-y</w:t>
      </w:r>
    </w:p>
    <w:p w14:paraId="2B936C2B" w14:textId="746E8F18"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Parr, B. A., Edwards, M. C., &amp; Leising, J. G. (2006). Effects of a math-enhanced curriculum and instructional approach on the mathematics achievement of agricultural power and </w:t>
      </w:r>
      <w:r w:rsidRPr="004B380C">
        <w:rPr>
          <w:rStyle w:val="normaltextrun"/>
          <w:rFonts w:eastAsiaTheme="majorEastAsia"/>
        </w:rPr>
        <w:lastRenderedPageBreak/>
        <w:t>technology students: An experimental study.</w:t>
      </w:r>
      <w:r w:rsidRPr="00F567D1">
        <w:rPr>
          <w:rStyle w:val="normaltextrun"/>
          <w:rFonts w:eastAsiaTheme="majorEastAsia"/>
          <w:i/>
          <w:iCs/>
        </w:rPr>
        <w:t> Journal of Agricultural Education, 47</w:t>
      </w:r>
      <w:r w:rsidRPr="004B380C">
        <w:rPr>
          <w:rStyle w:val="normaltextrun"/>
          <w:rFonts w:eastAsiaTheme="majorEastAsia"/>
        </w:rPr>
        <w:t xml:space="preserve">(3), 81–93. </w:t>
      </w:r>
      <w:hyperlink r:id="rId21" w:tgtFrame="_blank" w:history="1">
        <w:r w:rsidRPr="004B380C">
          <w:rPr>
            <w:rStyle w:val="normaltextrun"/>
            <w:rFonts w:eastAsiaTheme="majorEastAsia"/>
            <w:color w:val="000000"/>
          </w:rPr>
          <w:t>https://doi.org/10.5032/jae.2006.03081</w:t>
        </w:r>
      </w:hyperlink>
      <w:r w:rsidRPr="004B380C">
        <w:rPr>
          <w:rStyle w:val="normaltextrun"/>
          <w:rFonts w:eastAsiaTheme="majorEastAsia"/>
          <w:color w:val="000000"/>
        </w:rPr>
        <w:t> </w:t>
      </w:r>
      <w:r w:rsidRPr="004B380C">
        <w:rPr>
          <w:rStyle w:val="eop"/>
          <w:rFonts w:eastAsiaTheme="majorEastAsia"/>
          <w:color w:val="000000"/>
        </w:rPr>
        <w:t> </w:t>
      </w:r>
    </w:p>
    <w:p w14:paraId="0C7B17AF" w14:textId="61457520" w:rsidR="00F567D1" w:rsidRPr="00F567D1" w:rsidRDefault="00F567D1" w:rsidP="001B5072">
      <w:pPr>
        <w:pStyle w:val="paragraph"/>
        <w:spacing w:before="0" w:beforeAutospacing="0" w:after="240" w:afterAutospacing="0"/>
        <w:ind w:left="720" w:hanging="720"/>
        <w:textAlignment w:val="baseline"/>
        <w:rPr>
          <w:rStyle w:val="normaltextrun"/>
          <w:rFonts w:eastAsiaTheme="majorEastAsia"/>
        </w:rPr>
      </w:pPr>
      <w:r>
        <w:rPr>
          <w:rStyle w:val="normaltextrun"/>
          <w:rFonts w:eastAsiaTheme="majorEastAsia"/>
        </w:rPr>
        <w:t xml:space="preserve">Patton, M. Q. (2015). </w:t>
      </w:r>
      <w:r>
        <w:rPr>
          <w:rStyle w:val="normaltextrun"/>
          <w:rFonts w:eastAsiaTheme="majorEastAsia"/>
          <w:i/>
          <w:iCs/>
        </w:rPr>
        <w:t xml:space="preserve">Qualitative research and evaluation methods </w:t>
      </w:r>
      <w:r>
        <w:rPr>
          <w:rStyle w:val="normaltextrun"/>
          <w:rFonts w:eastAsiaTheme="majorEastAsia"/>
        </w:rPr>
        <w:t>(4</w:t>
      </w:r>
      <w:r w:rsidRPr="00F567D1">
        <w:rPr>
          <w:rStyle w:val="normaltextrun"/>
          <w:rFonts w:eastAsiaTheme="majorEastAsia"/>
          <w:vertAlign w:val="superscript"/>
        </w:rPr>
        <w:t>th</w:t>
      </w:r>
      <w:r>
        <w:rPr>
          <w:rStyle w:val="normaltextrun"/>
          <w:rFonts w:eastAsiaTheme="majorEastAsia"/>
        </w:rPr>
        <w:t xml:space="preserve"> ed.). SAGE. </w:t>
      </w:r>
    </w:p>
    <w:p w14:paraId="51A967B1" w14:textId="7FA23292"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Perwaiz, F., &amp; </w:t>
      </w:r>
      <w:proofErr w:type="spellStart"/>
      <w:r w:rsidRPr="004B380C">
        <w:rPr>
          <w:rStyle w:val="normaltextrun"/>
          <w:rFonts w:eastAsiaTheme="majorEastAsia"/>
        </w:rPr>
        <w:t>Asunda</w:t>
      </w:r>
      <w:proofErr w:type="spellEnd"/>
      <w:r w:rsidRPr="004B380C">
        <w:rPr>
          <w:rStyle w:val="normaltextrun"/>
          <w:rFonts w:eastAsiaTheme="majorEastAsia"/>
        </w:rPr>
        <w:t xml:space="preserve">, P. (2025). Teachers’ instructional practices and students’ responses in middle school integrated STEM learning environments. </w:t>
      </w:r>
      <w:r w:rsidRPr="00F567D1">
        <w:rPr>
          <w:rStyle w:val="normaltextrun"/>
          <w:rFonts w:eastAsiaTheme="majorEastAsia"/>
          <w:i/>
          <w:iCs/>
        </w:rPr>
        <w:t>Journal of STEM Education: Innovations and Research, 26</w:t>
      </w:r>
      <w:r w:rsidRPr="004B380C">
        <w:rPr>
          <w:rStyle w:val="normaltextrun"/>
          <w:rFonts w:eastAsiaTheme="majorEastAsia"/>
        </w:rPr>
        <w:t xml:space="preserve">(2), 19–25. </w:t>
      </w:r>
      <w:hyperlink r:id="rId22" w:tgtFrame="_blank" w:history="1">
        <w:r w:rsidRPr="004B380C">
          <w:rPr>
            <w:rStyle w:val="normaltextrun"/>
            <w:rFonts w:eastAsiaTheme="majorEastAsia"/>
            <w:color w:val="000000"/>
          </w:rPr>
          <w:t>https://doi.org/10.63504/jstem.v26i2.2682</w:t>
        </w:r>
      </w:hyperlink>
      <w:r w:rsidRPr="004B380C">
        <w:rPr>
          <w:rStyle w:val="normaltextrun"/>
          <w:rFonts w:eastAsiaTheme="majorEastAsia"/>
          <w:color w:val="000000"/>
        </w:rPr>
        <w:t> </w:t>
      </w:r>
      <w:r w:rsidRPr="004B380C">
        <w:rPr>
          <w:rStyle w:val="eop"/>
          <w:rFonts w:eastAsiaTheme="majorEastAsia"/>
          <w:color w:val="000000"/>
        </w:rPr>
        <w:t> </w:t>
      </w:r>
    </w:p>
    <w:p w14:paraId="6AFBC25F" w14:textId="78B1CB1A"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Scherer, H. H., McKim, A. J., Wang, H.-H., DiBenedetto, C. A., &amp; Robinson, K. (2019). Making </w:t>
      </w:r>
      <w:r w:rsidR="00F567D1" w:rsidRPr="004B380C">
        <w:rPr>
          <w:rStyle w:val="normaltextrun"/>
          <w:rFonts w:eastAsiaTheme="majorEastAsia"/>
        </w:rPr>
        <w:t>sense of the buzz: a systematic review of "</w:t>
      </w:r>
      <w:r w:rsidR="00F567D1">
        <w:rPr>
          <w:rStyle w:val="normaltextrun"/>
          <w:rFonts w:eastAsiaTheme="majorEastAsia"/>
        </w:rPr>
        <w:t>STEM</w:t>
      </w:r>
      <w:r w:rsidR="00F567D1" w:rsidRPr="004B380C">
        <w:rPr>
          <w:rStyle w:val="normaltextrun"/>
          <w:rFonts w:eastAsiaTheme="majorEastAsia"/>
        </w:rPr>
        <w:t>" in agriculture, food, and natural resources education literature</w:t>
      </w:r>
      <w:r w:rsidRPr="004B380C">
        <w:rPr>
          <w:rStyle w:val="normaltextrun"/>
          <w:rFonts w:eastAsiaTheme="majorEastAsia"/>
        </w:rPr>
        <w:t xml:space="preserve">. </w:t>
      </w:r>
      <w:r w:rsidRPr="00F567D1">
        <w:rPr>
          <w:rStyle w:val="normaltextrun"/>
          <w:rFonts w:eastAsiaTheme="majorEastAsia"/>
          <w:i/>
          <w:iCs/>
        </w:rPr>
        <w:t>Journal of Agricultural Education, 60</w:t>
      </w:r>
      <w:r w:rsidRPr="004B380C">
        <w:rPr>
          <w:rStyle w:val="normaltextrun"/>
          <w:rFonts w:eastAsiaTheme="majorEastAsia"/>
        </w:rPr>
        <w:t xml:space="preserve">(2), 28–53. </w:t>
      </w:r>
      <w:hyperlink r:id="rId23" w:tgtFrame="_blank" w:history="1">
        <w:r w:rsidRPr="004B380C">
          <w:rPr>
            <w:rStyle w:val="normaltextrun"/>
            <w:rFonts w:eastAsiaTheme="majorEastAsia"/>
            <w:color w:val="000000"/>
          </w:rPr>
          <w:t>https://doi.org/10.5032/jae.2019.02028</w:t>
        </w:r>
      </w:hyperlink>
      <w:r w:rsidRPr="004B380C">
        <w:rPr>
          <w:rStyle w:val="normaltextrun"/>
          <w:rFonts w:eastAsiaTheme="majorEastAsia"/>
          <w:color w:val="000000"/>
        </w:rPr>
        <w:t> </w:t>
      </w:r>
      <w:r w:rsidRPr="004B380C">
        <w:rPr>
          <w:rStyle w:val="eop"/>
          <w:rFonts w:eastAsiaTheme="majorEastAsia"/>
          <w:color w:val="000000"/>
        </w:rPr>
        <w:t> </w:t>
      </w:r>
    </w:p>
    <w:p w14:paraId="575CA4E1"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Sjöberg, M., &amp; Nyberg, E. (2020). Professional knowledge for teaching in student teachers’ conversations about field experiences. </w:t>
      </w:r>
      <w:r w:rsidRPr="00F567D1">
        <w:rPr>
          <w:rStyle w:val="normaltextrun"/>
          <w:rFonts w:eastAsiaTheme="majorEastAsia"/>
          <w:i/>
          <w:iCs/>
        </w:rPr>
        <w:t>Journal of Science Teacher Education, 31</w:t>
      </w:r>
      <w:r w:rsidRPr="004B380C">
        <w:rPr>
          <w:rStyle w:val="normaltextrun"/>
          <w:rFonts w:eastAsiaTheme="majorEastAsia"/>
        </w:rPr>
        <w:t xml:space="preserve">(2), 236–244. </w:t>
      </w:r>
      <w:hyperlink r:id="rId24" w:tgtFrame="_blank" w:history="1">
        <w:r w:rsidRPr="004B380C">
          <w:rPr>
            <w:rStyle w:val="normaltextrun"/>
            <w:rFonts w:eastAsiaTheme="majorEastAsia"/>
            <w:color w:val="000000"/>
          </w:rPr>
          <w:t>https://doi.org/10.1080/1046560X.2019.1688533</w:t>
        </w:r>
      </w:hyperlink>
      <w:r w:rsidRPr="004B380C">
        <w:rPr>
          <w:rStyle w:val="normaltextrun"/>
          <w:rFonts w:eastAsiaTheme="majorEastAsia"/>
          <w:color w:val="000000"/>
        </w:rPr>
        <w:t> </w:t>
      </w:r>
      <w:r w:rsidRPr="004B380C">
        <w:rPr>
          <w:rStyle w:val="eop"/>
          <w:rFonts w:eastAsiaTheme="majorEastAsia"/>
          <w:color w:val="000000"/>
        </w:rPr>
        <w:t> </w:t>
      </w:r>
    </w:p>
    <w:p w14:paraId="182E3B02"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Smalley, S. W., &amp; Rank, B. D. (2019). Preservice teacher perceptions of the role an agriculture teacher during their early field experience. </w:t>
      </w:r>
      <w:r w:rsidRPr="00F567D1">
        <w:rPr>
          <w:rStyle w:val="normaltextrun"/>
          <w:rFonts w:eastAsiaTheme="majorEastAsia"/>
          <w:i/>
          <w:iCs/>
        </w:rPr>
        <w:t>Journal of Agricultural Education, 60</w:t>
      </w:r>
      <w:r w:rsidRPr="004B380C">
        <w:rPr>
          <w:rStyle w:val="normaltextrun"/>
          <w:rFonts w:eastAsiaTheme="majorEastAsia"/>
        </w:rPr>
        <w:t xml:space="preserve">(2), 99–108. </w:t>
      </w:r>
      <w:hyperlink r:id="rId25" w:tgtFrame="_blank" w:history="1">
        <w:r w:rsidRPr="004B380C">
          <w:rPr>
            <w:rStyle w:val="normaltextrun"/>
            <w:rFonts w:eastAsiaTheme="majorEastAsia"/>
            <w:color w:val="000000"/>
          </w:rPr>
          <w:t>https://doi.org/10.5032/jae.2019.02099</w:t>
        </w:r>
      </w:hyperlink>
      <w:r w:rsidRPr="004B380C">
        <w:rPr>
          <w:rStyle w:val="normaltextrun"/>
          <w:rFonts w:eastAsiaTheme="majorEastAsia"/>
          <w:color w:val="000000"/>
        </w:rPr>
        <w:t> </w:t>
      </w:r>
      <w:r w:rsidRPr="004B380C">
        <w:rPr>
          <w:rStyle w:val="eop"/>
          <w:rFonts w:eastAsiaTheme="majorEastAsia"/>
          <w:color w:val="000000"/>
        </w:rPr>
        <w:t> </w:t>
      </w:r>
    </w:p>
    <w:p w14:paraId="409A8B73" w14:textId="4B5F964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Smith, K. L., Rayfield, J., &amp; McKim, B. R. (2015). Effective </w:t>
      </w:r>
      <w:r w:rsidR="00F567D1" w:rsidRPr="004B380C">
        <w:rPr>
          <w:rStyle w:val="normaltextrun"/>
          <w:rFonts w:eastAsiaTheme="majorEastAsia"/>
        </w:rPr>
        <w:t xml:space="preserve">practices in </w:t>
      </w:r>
      <w:r w:rsidR="00F567D1">
        <w:rPr>
          <w:rStyle w:val="normaltextrun"/>
          <w:rFonts w:eastAsiaTheme="majorEastAsia"/>
        </w:rPr>
        <w:t>STEM</w:t>
      </w:r>
      <w:r w:rsidR="00F567D1" w:rsidRPr="004B380C">
        <w:rPr>
          <w:rStyle w:val="normaltextrun"/>
          <w:rFonts w:eastAsiaTheme="majorEastAsia"/>
        </w:rPr>
        <w:t xml:space="preserve"> integration: describing teacher perceptions and instructional method use</w:t>
      </w:r>
      <w:r w:rsidRPr="004B380C">
        <w:rPr>
          <w:rStyle w:val="normaltextrun"/>
          <w:rFonts w:eastAsiaTheme="majorEastAsia"/>
        </w:rPr>
        <w:t xml:space="preserve">. </w:t>
      </w:r>
      <w:r w:rsidRPr="00F567D1">
        <w:rPr>
          <w:rStyle w:val="normaltextrun"/>
          <w:rFonts w:eastAsiaTheme="majorEastAsia"/>
          <w:i/>
          <w:iCs/>
        </w:rPr>
        <w:t>Journal of Agricultural Education, 56</w:t>
      </w:r>
      <w:r w:rsidRPr="004B380C">
        <w:rPr>
          <w:rStyle w:val="normaltextrun"/>
          <w:rFonts w:eastAsiaTheme="majorEastAsia"/>
        </w:rPr>
        <w:t xml:space="preserve">(4), 182–201. </w:t>
      </w:r>
      <w:hyperlink r:id="rId26" w:tgtFrame="_blank" w:history="1">
        <w:r w:rsidRPr="004B380C">
          <w:rPr>
            <w:rStyle w:val="normaltextrun"/>
            <w:rFonts w:eastAsiaTheme="majorEastAsia"/>
            <w:color w:val="000000"/>
          </w:rPr>
          <w:t>https://doi.org/10.5032/jae.2015.04183</w:t>
        </w:r>
      </w:hyperlink>
      <w:r w:rsidRPr="004B380C">
        <w:rPr>
          <w:rStyle w:val="normaltextrun"/>
          <w:rFonts w:eastAsiaTheme="majorEastAsia"/>
          <w:color w:val="000000"/>
        </w:rPr>
        <w:t> </w:t>
      </w:r>
      <w:r w:rsidRPr="004B380C">
        <w:rPr>
          <w:rStyle w:val="eop"/>
          <w:rFonts w:eastAsiaTheme="majorEastAsia"/>
          <w:color w:val="000000"/>
        </w:rPr>
        <w:t> </w:t>
      </w:r>
    </w:p>
    <w:p w14:paraId="03E49ED0" w14:textId="423B62C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Stubbs, E. A., &amp; Myers, B. E. (2016). </w:t>
      </w:r>
      <w:r w:rsidR="00F567D1">
        <w:rPr>
          <w:rStyle w:val="normaltextrun"/>
          <w:rFonts w:eastAsiaTheme="majorEastAsia"/>
        </w:rPr>
        <w:t>P</w:t>
      </w:r>
      <w:r w:rsidR="00F567D1" w:rsidRPr="004B380C">
        <w:rPr>
          <w:rStyle w:val="normaltextrun"/>
          <w:rFonts w:eastAsiaTheme="majorEastAsia"/>
        </w:rPr>
        <w:t>art of what we do: teacher perceptions of</w:t>
      </w:r>
      <w:r w:rsidR="00F567D1">
        <w:rPr>
          <w:rStyle w:val="normaltextrun"/>
          <w:rFonts w:eastAsiaTheme="majorEastAsia"/>
        </w:rPr>
        <w:t xml:space="preserve"> STEM</w:t>
      </w:r>
      <w:r w:rsidR="00F567D1" w:rsidRPr="004B380C">
        <w:rPr>
          <w:rStyle w:val="normaltextrun"/>
          <w:rFonts w:eastAsiaTheme="majorEastAsia"/>
        </w:rPr>
        <w:t xml:space="preserve"> integration</w:t>
      </w:r>
      <w:r w:rsidRPr="004B380C">
        <w:rPr>
          <w:rStyle w:val="normaltextrun"/>
          <w:rFonts w:eastAsiaTheme="majorEastAsia"/>
        </w:rPr>
        <w:t xml:space="preserve">. </w:t>
      </w:r>
      <w:r w:rsidRPr="00F567D1">
        <w:rPr>
          <w:rStyle w:val="normaltextrun"/>
          <w:rFonts w:eastAsiaTheme="majorEastAsia"/>
          <w:i/>
          <w:iCs/>
        </w:rPr>
        <w:t>Journal of Agricultural Education, 57</w:t>
      </w:r>
      <w:r w:rsidRPr="004B380C">
        <w:rPr>
          <w:rStyle w:val="normaltextrun"/>
          <w:rFonts w:eastAsiaTheme="majorEastAsia"/>
        </w:rPr>
        <w:t xml:space="preserve">(3), 87–100. </w:t>
      </w:r>
      <w:hyperlink r:id="rId27" w:tgtFrame="_blank" w:history="1">
        <w:r w:rsidRPr="004B380C">
          <w:rPr>
            <w:rStyle w:val="normaltextrun"/>
            <w:rFonts w:eastAsiaTheme="majorEastAsia"/>
            <w:color w:val="000000"/>
          </w:rPr>
          <w:t>https://doi.org/10.5032/jae.2016.0308</w:t>
        </w:r>
      </w:hyperlink>
      <w:r w:rsidRPr="004B380C">
        <w:rPr>
          <w:rStyle w:val="normaltextrun"/>
          <w:rFonts w:eastAsiaTheme="majorEastAsia"/>
          <w:color w:val="000000"/>
        </w:rPr>
        <w:t> </w:t>
      </w:r>
      <w:r w:rsidRPr="004B380C">
        <w:rPr>
          <w:rStyle w:val="eop"/>
          <w:rFonts w:eastAsiaTheme="majorEastAsia"/>
          <w:color w:val="000000"/>
        </w:rPr>
        <w:t> </w:t>
      </w:r>
    </w:p>
    <w:p w14:paraId="3350240F"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Swafford, M. (2018). The state of the profession: STEM in agricultural education. </w:t>
      </w:r>
      <w:r w:rsidRPr="00F567D1">
        <w:rPr>
          <w:rStyle w:val="normaltextrun"/>
          <w:rFonts w:eastAsiaTheme="majorEastAsia"/>
          <w:i/>
          <w:iCs/>
        </w:rPr>
        <w:t>Journal of Agricultural Education, 59</w:t>
      </w:r>
      <w:r w:rsidRPr="004B380C">
        <w:rPr>
          <w:rStyle w:val="normaltextrun"/>
          <w:rFonts w:eastAsiaTheme="majorEastAsia"/>
        </w:rPr>
        <w:t xml:space="preserve">(4), 315–333. </w:t>
      </w:r>
      <w:hyperlink r:id="rId28" w:tgtFrame="_blank" w:history="1">
        <w:r w:rsidRPr="004B380C">
          <w:rPr>
            <w:rStyle w:val="normaltextrun"/>
            <w:rFonts w:eastAsiaTheme="majorEastAsia"/>
            <w:color w:val="000000"/>
          </w:rPr>
          <w:t>https://doi.org/20.5032/jae.2018.04315</w:t>
        </w:r>
      </w:hyperlink>
      <w:r w:rsidRPr="004B380C">
        <w:rPr>
          <w:rStyle w:val="normaltextrun"/>
          <w:rFonts w:eastAsiaTheme="majorEastAsia"/>
          <w:color w:val="000000"/>
        </w:rPr>
        <w:t> </w:t>
      </w:r>
      <w:r w:rsidRPr="004B380C">
        <w:rPr>
          <w:rStyle w:val="eop"/>
          <w:rFonts w:eastAsiaTheme="majorEastAsia"/>
          <w:color w:val="000000"/>
        </w:rPr>
        <w:t> </w:t>
      </w:r>
    </w:p>
    <w:p w14:paraId="24842E57"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Talbert, B. A., Vaugn, R., &amp; Croom, D. B. (2005). </w:t>
      </w:r>
      <w:r w:rsidRPr="00F567D1">
        <w:rPr>
          <w:rStyle w:val="normaltextrun"/>
          <w:rFonts w:eastAsiaTheme="majorEastAsia"/>
          <w:i/>
          <w:iCs/>
        </w:rPr>
        <w:t>Foundations of Agricultural Education</w:t>
      </w:r>
      <w:r w:rsidRPr="004B380C">
        <w:rPr>
          <w:rStyle w:val="normaltextrun"/>
          <w:rFonts w:eastAsiaTheme="majorEastAsia"/>
        </w:rPr>
        <w:t>. Professionals Educators Publishers, Inc. </w:t>
      </w:r>
      <w:r w:rsidRPr="004B380C">
        <w:rPr>
          <w:rStyle w:val="eop"/>
          <w:rFonts w:eastAsiaTheme="majorEastAsia"/>
        </w:rPr>
        <w:t> </w:t>
      </w:r>
    </w:p>
    <w:p w14:paraId="3AD8C23A" w14:textId="53857274" w:rsidR="00935840" w:rsidRDefault="00935840" w:rsidP="001B5072">
      <w:pPr>
        <w:pStyle w:val="paragraph"/>
        <w:spacing w:before="0" w:beforeAutospacing="0" w:after="240" w:afterAutospacing="0"/>
        <w:ind w:left="720" w:hanging="720"/>
        <w:textAlignment w:val="baseline"/>
        <w:rPr>
          <w:rStyle w:val="normaltextrun"/>
          <w:rFonts w:eastAsiaTheme="majorEastAsia"/>
        </w:rPr>
      </w:pPr>
      <w:r w:rsidRPr="00935840">
        <w:rPr>
          <w:rFonts w:eastAsiaTheme="majorEastAsia"/>
        </w:rPr>
        <w:t xml:space="preserve">Thoron, A. C., &amp; Myers, B. E. (2010). Perceptions of </w:t>
      </w:r>
      <w:r w:rsidRPr="00935840">
        <w:rPr>
          <w:rFonts w:eastAsiaTheme="majorEastAsia"/>
        </w:rPr>
        <w:t>preservice teachers toward integrating science into school-based agricultural education curriculum</w:t>
      </w:r>
      <w:r w:rsidRPr="00935840">
        <w:rPr>
          <w:rFonts w:eastAsiaTheme="majorEastAsia"/>
        </w:rPr>
        <w:t>. </w:t>
      </w:r>
      <w:r w:rsidRPr="00935840">
        <w:rPr>
          <w:rFonts w:eastAsiaTheme="majorEastAsia"/>
          <w:i/>
          <w:iCs/>
        </w:rPr>
        <w:t>Journal of Agricultural Education</w:t>
      </w:r>
      <w:r w:rsidRPr="00935840">
        <w:rPr>
          <w:rFonts w:eastAsiaTheme="majorEastAsia"/>
        </w:rPr>
        <w:t>, </w:t>
      </w:r>
      <w:r w:rsidRPr="00935840">
        <w:rPr>
          <w:rFonts w:eastAsiaTheme="majorEastAsia"/>
          <w:i/>
          <w:iCs/>
        </w:rPr>
        <w:t>51</w:t>
      </w:r>
      <w:r w:rsidRPr="00935840">
        <w:rPr>
          <w:rFonts w:eastAsiaTheme="majorEastAsia"/>
        </w:rPr>
        <w:t>(2), 70–80. https://doi.org/10.5032/jae.2010.02070</w:t>
      </w:r>
    </w:p>
    <w:p w14:paraId="7EBA0D2A" w14:textId="3764418B" w:rsidR="00F567D1" w:rsidRPr="00F567D1" w:rsidRDefault="00F567D1" w:rsidP="001B5072">
      <w:pPr>
        <w:pStyle w:val="paragraph"/>
        <w:spacing w:before="0" w:beforeAutospacing="0" w:after="240" w:afterAutospacing="0"/>
        <w:ind w:left="720" w:hanging="720"/>
        <w:textAlignment w:val="baseline"/>
        <w:rPr>
          <w:rStyle w:val="normaltextrun"/>
          <w:rFonts w:eastAsiaTheme="majorEastAsia"/>
        </w:rPr>
      </w:pPr>
      <w:r>
        <w:rPr>
          <w:rStyle w:val="normaltextrun"/>
          <w:rFonts w:eastAsiaTheme="majorEastAsia"/>
        </w:rPr>
        <w:t xml:space="preserve">Tracy, S. J. (2020). </w:t>
      </w:r>
      <w:r>
        <w:rPr>
          <w:rStyle w:val="normaltextrun"/>
          <w:rFonts w:eastAsiaTheme="majorEastAsia"/>
          <w:i/>
          <w:iCs/>
        </w:rPr>
        <w:t xml:space="preserve">Qualitative research methods: Collecting evidence, crafting analysis, communicating impact </w:t>
      </w:r>
      <w:r>
        <w:rPr>
          <w:rStyle w:val="normaltextrun"/>
          <w:rFonts w:eastAsiaTheme="majorEastAsia"/>
        </w:rPr>
        <w:t>(2</w:t>
      </w:r>
      <w:r w:rsidRPr="00F567D1">
        <w:rPr>
          <w:rStyle w:val="normaltextrun"/>
          <w:rFonts w:eastAsiaTheme="majorEastAsia"/>
          <w:vertAlign w:val="superscript"/>
        </w:rPr>
        <w:t>nd</w:t>
      </w:r>
      <w:r>
        <w:rPr>
          <w:rStyle w:val="normaltextrun"/>
          <w:rFonts w:eastAsiaTheme="majorEastAsia"/>
        </w:rPr>
        <w:t xml:space="preserve"> ed.). Wiley.</w:t>
      </w:r>
    </w:p>
    <w:p w14:paraId="7DF27FBE" w14:textId="6A04CAAB" w:rsidR="009941AF" w:rsidRPr="004B380C" w:rsidRDefault="009941AF" w:rsidP="001B5072">
      <w:pPr>
        <w:pStyle w:val="paragraph"/>
        <w:spacing w:before="0" w:beforeAutospacing="0" w:after="240" w:afterAutospacing="0"/>
        <w:ind w:left="720" w:hanging="720"/>
        <w:textAlignment w:val="baseline"/>
      </w:pPr>
      <w:proofErr w:type="spellStart"/>
      <w:r w:rsidRPr="004B380C">
        <w:rPr>
          <w:rStyle w:val="normaltextrun"/>
          <w:rFonts w:eastAsiaTheme="majorEastAsia"/>
        </w:rPr>
        <w:t>Tsivitanidou</w:t>
      </w:r>
      <w:proofErr w:type="spellEnd"/>
      <w:r w:rsidRPr="004B380C">
        <w:rPr>
          <w:rStyle w:val="normaltextrun"/>
          <w:rFonts w:eastAsiaTheme="majorEastAsia"/>
        </w:rPr>
        <w:t xml:space="preserve">, O. E., Gray, P., </w:t>
      </w:r>
      <w:proofErr w:type="spellStart"/>
      <w:r w:rsidRPr="004B380C">
        <w:rPr>
          <w:rStyle w:val="normaltextrun"/>
          <w:rFonts w:eastAsiaTheme="majorEastAsia"/>
        </w:rPr>
        <w:t>Rybska</w:t>
      </w:r>
      <w:proofErr w:type="spellEnd"/>
      <w:r w:rsidRPr="004B380C">
        <w:rPr>
          <w:rStyle w:val="normaltextrun"/>
          <w:rFonts w:eastAsiaTheme="majorEastAsia"/>
        </w:rPr>
        <w:t xml:space="preserve">, E., Louca, L., &amp; Constantinou, C. P. (Eds.) (2018). </w:t>
      </w:r>
      <w:r w:rsidRPr="00F567D1">
        <w:rPr>
          <w:rStyle w:val="normaltextrun"/>
          <w:rFonts w:eastAsiaTheme="majorEastAsia"/>
          <w:i/>
          <w:iCs/>
        </w:rPr>
        <w:t xml:space="preserve">Professional </w:t>
      </w:r>
      <w:r w:rsidR="00F567D1" w:rsidRPr="00F567D1">
        <w:rPr>
          <w:rStyle w:val="normaltextrun"/>
          <w:rFonts w:eastAsiaTheme="majorEastAsia"/>
          <w:i/>
          <w:iCs/>
        </w:rPr>
        <w:t>development for inquiry-based science teaching and learning</w:t>
      </w:r>
      <w:r w:rsidR="00F567D1" w:rsidRPr="004B380C">
        <w:rPr>
          <w:rStyle w:val="normaltextrun"/>
          <w:rFonts w:eastAsiaTheme="majorEastAsia"/>
        </w:rPr>
        <w:t xml:space="preserve">. </w:t>
      </w:r>
      <w:r w:rsidRPr="004B380C">
        <w:rPr>
          <w:rStyle w:val="normaltextrun"/>
          <w:rFonts w:eastAsiaTheme="majorEastAsia"/>
        </w:rPr>
        <w:t xml:space="preserve">Spring Cham. </w:t>
      </w:r>
      <w:hyperlink r:id="rId29" w:tgtFrame="_blank" w:history="1">
        <w:r w:rsidRPr="004B380C">
          <w:rPr>
            <w:rStyle w:val="normaltextrun"/>
            <w:rFonts w:eastAsiaTheme="majorEastAsia"/>
            <w:color w:val="000000"/>
          </w:rPr>
          <w:t>https://doi.org/10.1007/978-3-319-91406-0</w:t>
        </w:r>
      </w:hyperlink>
      <w:r w:rsidRPr="004B380C">
        <w:rPr>
          <w:rStyle w:val="normaltextrun"/>
          <w:rFonts w:eastAsiaTheme="majorEastAsia"/>
          <w:color w:val="000000"/>
        </w:rPr>
        <w:t> </w:t>
      </w:r>
      <w:r w:rsidRPr="004B380C">
        <w:rPr>
          <w:rStyle w:val="eop"/>
          <w:rFonts w:eastAsiaTheme="majorEastAsia"/>
          <w:color w:val="000000"/>
        </w:rPr>
        <w:t> </w:t>
      </w:r>
    </w:p>
    <w:p w14:paraId="5B1B8871"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lastRenderedPageBreak/>
        <w:t xml:space="preserve">United States Department of Agriculture. (2015). </w:t>
      </w:r>
      <w:r w:rsidRPr="00F567D1">
        <w:rPr>
          <w:rStyle w:val="normaltextrun"/>
          <w:rFonts w:eastAsiaTheme="majorEastAsia"/>
          <w:i/>
          <w:iCs/>
        </w:rPr>
        <w:t xml:space="preserve">Employment opportunities for college graduates in food, agriculture, renewable natural resources, and the environment. </w:t>
      </w:r>
      <w:hyperlink r:id="rId30" w:tgtFrame="_blank" w:history="1">
        <w:r w:rsidRPr="004B380C">
          <w:rPr>
            <w:rStyle w:val="normaltextrun"/>
            <w:rFonts w:eastAsiaTheme="majorEastAsia"/>
            <w:color w:val="000000"/>
          </w:rPr>
          <w:t>https://www.purdue.edu/usda/employment/wp-content/uploads/2015/04/2-Page-USDA-Employ.pdf</w:t>
        </w:r>
      </w:hyperlink>
      <w:r w:rsidRPr="004B380C">
        <w:rPr>
          <w:rStyle w:val="normaltextrun"/>
          <w:rFonts w:eastAsiaTheme="majorEastAsia"/>
          <w:color w:val="000000"/>
        </w:rPr>
        <w:t> </w:t>
      </w:r>
      <w:r w:rsidRPr="004B380C">
        <w:rPr>
          <w:rStyle w:val="eop"/>
          <w:rFonts w:eastAsiaTheme="majorEastAsia"/>
          <w:color w:val="000000"/>
        </w:rPr>
        <w:t> </w:t>
      </w:r>
    </w:p>
    <w:p w14:paraId="4A4E50F5" w14:textId="2D9B604C"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Wang, H.-H., &amp; Knobloch, N. A. (2018). Levels of STEM </w:t>
      </w:r>
      <w:r w:rsidR="00F567D1" w:rsidRPr="004B380C">
        <w:rPr>
          <w:rStyle w:val="normaltextrun"/>
          <w:rFonts w:eastAsiaTheme="majorEastAsia"/>
        </w:rPr>
        <w:t>integration through agriculture, food, and natural resources</w:t>
      </w:r>
      <w:r w:rsidRPr="004B380C">
        <w:rPr>
          <w:rStyle w:val="normaltextrun"/>
          <w:rFonts w:eastAsiaTheme="majorEastAsia"/>
        </w:rPr>
        <w:t xml:space="preserve">. </w:t>
      </w:r>
      <w:r w:rsidRPr="00F567D1">
        <w:rPr>
          <w:rStyle w:val="normaltextrun"/>
          <w:rFonts w:eastAsiaTheme="majorEastAsia"/>
          <w:i/>
          <w:iCs/>
        </w:rPr>
        <w:t>Journal of Agricultural Education, 59</w:t>
      </w:r>
      <w:r w:rsidRPr="004B380C">
        <w:rPr>
          <w:rStyle w:val="normaltextrun"/>
          <w:rFonts w:eastAsiaTheme="majorEastAsia"/>
        </w:rPr>
        <w:t xml:space="preserve">(3), 258–277. </w:t>
      </w:r>
      <w:hyperlink r:id="rId31" w:tgtFrame="_blank" w:history="1">
        <w:r w:rsidRPr="004B380C">
          <w:rPr>
            <w:rStyle w:val="normaltextrun"/>
            <w:rFonts w:eastAsiaTheme="majorEastAsia"/>
            <w:color w:val="000000"/>
          </w:rPr>
          <w:t>https://doi.org/10.5032/jae.2018.03258</w:t>
        </w:r>
      </w:hyperlink>
      <w:r w:rsidRPr="004B380C">
        <w:rPr>
          <w:rStyle w:val="normaltextrun"/>
          <w:rFonts w:eastAsiaTheme="majorEastAsia"/>
          <w:color w:val="000000"/>
        </w:rPr>
        <w:t> </w:t>
      </w:r>
      <w:r w:rsidRPr="004B380C">
        <w:rPr>
          <w:rStyle w:val="eop"/>
          <w:rFonts w:eastAsiaTheme="majorEastAsia"/>
          <w:color w:val="000000"/>
        </w:rPr>
        <w:t> </w:t>
      </w:r>
    </w:p>
    <w:p w14:paraId="1CD15277" w14:textId="683A1ACD" w:rsidR="00935840" w:rsidRDefault="00935840" w:rsidP="001B5072">
      <w:pPr>
        <w:pStyle w:val="paragraph"/>
        <w:spacing w:before="0" w:beforeAutospacing="0" w:after="240" w:afterAutospacing="0"/>
        <w:ind w:left="720" w:hanging="720"/>
        <w:textAlignment w:val="baseline"/>
        <w:rPr>
          <w:rStyle w:val="normaltextrun"/>
          <w:rFonts w:eastAsiaTheme="majorEastAsia"/>
        </w:rPr>
      </w:pPr>
      <w:r w:rsidRPr="00935840">
        <w:rPr>
          <w:rFonts w:eastAsiaTheme="majorEastAsia"/>
        </w:rPr>
        <w:t xml:space="preserve">Washburn, S. G., &amp; Myers, B. E. (2010). Agriculture </w:t>
      </w:r>
      <w:r w:rsidRPr="00935840">
        <w:rPr>
          <w:rFonts w:eastAsiaTheme="majorEastAsia"/>
        </w:rPr>
        <w:t>teacher perceptions of preparation to integrate science and their current use of inquiry based learning</w:t>
      </w:r>
      <w:r w:rsidRPr="00935840">
        <w:rPr>
          <w:rFonts w:eastAsiaTheme="majorEastAsia"/>
        </w:rPr>
        <w:t>. </w:t>
      </w:r>
      <w:r w:rsidRPr="00935840">
        <w:rPr>
          <w:rFonts w:eastAsiaTheme="majorEastAsia"/>
          <w:i/>
          <w:iCs/>
        </w:rPr>
        <w:t>Journal of Agricultural Education</w:t>
      </w:r>
      <w:r w:rsidRPr="00935840">
        <w:rPr>
          <w:rFonts w:eastAsiaTheme="majorEastAsia"/>
        </w:rPr>
        <w:t>, </w:t>
      </w:r>
      <w:r w:rsidRPr="00935840">
        <w:rPr>
          <w:rFonts w:eastAsiaTheme="majorEastAsia"/>
          <w:i/>
          <w:iCs/>
        </w:rPr>
        <w:t>51</w:t>
      </w:r>
      <w:r w:rsidRPr="00935840">
        <w:rPr>
          <w:rFonts w:eastAsiaTheme="majorEastAsia"/>
        </w:rPr>
        <w:t>(1), 88–98. https://doi.org/10.5032/jae.2010.01088</w:t>
      </w:r>
    </w:p>
    <w:p w14:paraId="3984B526" w14:textId="4184C048"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Wells, T., Matthews, J., Caudle, L., &amp; Lunceford, C. (2015). The infusion of inquiry-based learning into school-based agricultural education: A review of literature. </w:t>
      </w:r>
      <w:r w:rsidRPr="00F567D1">
        <w:rPr>
          <w:rStyle w:val="normaltextrun"/>
          <w:rFonts w:eastAsiaTheme="majorEastAsia"/>
          <w:i/>
          <w:iCs/>
        </w:rPr>
        <w:t>Journal of Agricultural Education, 56</w:t>
      </w:r>
      <w:r w:rsidRPr="004B380C">
        <w:rPr>
          <w:rStyle w:val="normaltextrun"/>
          <w:rFonts w:eastAsiaTheme="majorEastAsia"/>
        </w:rPr>
        <w:t xml:space="preserve">(4), 169–181. </w:t>
      </w:r>
      <w:hyperlink r:id="rId32" w:tgtFrame="_blank" w:history="1">
        <w:r w:rsidRPr="004B380C">
          <w:rPr>
            <w:rStyle w:val="normaltextrun"/>
            <w:rFonts w:eastAsiaTheme="majorEastAsia"/>
            <w:color w:val="000000"/>
          </w:rPr>
          <w:t>https://doi.org/10.5032/jae.2015.04170</w:t>
        </w:r>
      </w:hyperlink>
      <w:r w:rsidRPr="004B380C">
        <w:rPr>
          <w:rStyle w:val="normaltextrun"/>
          <w:rFonts w:eastAsiaTheme="majorEastAsia"/>
          <w:color w:val="000000"/>
        </w:rPr>
        <w:t> </w:t>
      </w:r>
      <w:r w:rsidRPr="004B380C">
        <w:rPr>
          <w:rStyle w:val="eop"/>
          <w:rFonts w:eastAsiaTheme="majorEastAsia"/>
          <w:color w:val="000000"/>
        </w:rPr>
        <w:t> </w:t>
      </w:r>
    </w:p>
    <w:p w14:paraId="33264D18" w14:textId="10B2A6D3"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Yin, R. K. (201</w:t>
      </w:r>
      <w:r w:rsidR="003671E9">
        <w:rPr>
          <w:rStyle w:val="normaltextrun"/>
          <w:rFonts w:eastAsiaTheme="majorEastAsia"/>
        </w:rPr>
        <w:t>8</w:t>
      </w:r>
      <w:r w:rsidRPr="004B380C">
        <w:rPr>
          <w:rStyle w:val="normaltextrun"/>
          <w:rFonts w:eastAsiaTheme="majorEastAsia"/>
        </w:rPr>
        <w:t xml:space="preserve">). </w:t>
      </w:r>
      <w:r w:rsidRPr="00F567D1">
        <w:rPr>
          <w:rStyle w:val="normaltextrun"/>
          <w:rFonts w:eastAsiaTheme="majorEastAsia"/>
          <w:i/>
          <w:iCs/>
        </w:rPr>
        <w:t>Case study research: Design and methods</w:t>
      </w:r>
      <w:r w:rsidRPr="004B380C">
        <w:rPr>
          <w:rStyle w:val="normaltextrun"/>
          <w:rFonts w:eastAsiaTheme="majorEastAsia"/>
        </w:rPr>
        <w:t xml:space="preserve"> (5</w:t>
      </w:r>
      <w:r w:rsidRPr="004B380C">
        <w:rPr>
          <w:rStyle w:val="normaltextrun"/>
          <w:rFonts w:eastAsiaTheme="majorEastAsia"/>
          <w:vertAlign w:val="superscript"/>
        </w:rPr>
        <w:t>th</w:t>
      </w:r>
      <w:r w:rsidRPr="004B380C">
        <w:rPr>
          <w:rStyle w:val="normaltextrun"/>
          <w:rFonts w:eastAsiaTheme="majorEastAsia"/>
        </w:rPr>
        <w:t xml:space="preserve"> ed.). SAGE Publications.</w:t>
      </w:r>
      <w:r w:rsidRPr="004B380C">
        <w:rPr>
          <w:rStyle w:val="eop"/>
          <w:rFonts w:eastAsiaTheme="majorEastAsia"/>
        </w:rPr>
        <w:t> </w:t>
      </w:r>
    </w:p>
    <w:p w14:paraId="5F6866D6" w14:textId="77777777" w:rsidR="009941AF" w:rsidRPr="004B380C" w:rsidRDefault="009941AF" w:rsidP="001B5072">
      <w:pPr>
        <w:pStyle w:val="paragraph"/>
        <w:spacing w:before="0" w:beforeAutospacing="0" w:after="240" w:afterAutospacing="0"/>
        <w:ind w:left="720" w:hanging="720"/>
        <w:textAlignment w:val="baseline"/>
      </w:pPr>
      <w:r w:rsidRPr="004B380C">
        <w:rPr>
          <w:rStyle w:val="normaltextrun"/>
          <w:rFonts w:eastAsiaTheme="majorEastAsia"/>
        </w:rPr>
        <w:t xml:space="preserve">Young, R. B., Edwards, M. C., &amp; Leising, J. G. (2009). Does a math-enhanced curriculum and instructional approach diminish students’ attainment of technical skills? A year-long experimental study in agricultural power and technology. </w:t>
      </w:r>
      <w:r w:rsidRPr="00F567D1">
        <w:rPr>
          <w:rStyle w:val="normaltextrun"/>
          <w:rFonts w:eastAsiaTheme="majorEastAsia"/>
          <w:i/>
          <w:iCs/>
        </w:rPr>
        <w:t>Journal of Agricultural Education, 50</w:t>
      </w:r>
      <w:r w:rsidRPr="004B380C">
        <w:rPr>
          <w:rStyle w:val="normaltextrun"/>
          <w:rFonts w:eastAsiaTheme="majorEastAsia"/>
        </w:rPr>
        <w:t xml:space="preserve">(1), 116–126. </w:t>
      </w:r>
      <w:hyperlink r:id="rId33" w:tgtFrame="_blank" w:history="1">
        <w:r w:rsidRPr="004B380C">
          <w:rPr>
            <w:rStyle w:val="normaltextrun"/>
            <w:rFonts w:eastAsiaTheme="majorEastAsia"/>
            <w:color w:val="000000"/>
          </w:rPr>
          <w:t>https://doi.org/10.5032/jae.2009.01116</w:t>
        </w:r>
      </w:hyperlink>
      <w:r w:rsidRPr="004B380C">
        <w:rPr>
          <w:rStyle w:val="normaltextrun"/>
          <w:rFonts w:eastAsiaTheme="majorEastAsia"/>
          <w:color w:val="000000"/>
        </w:rPr>
        <w:t> </w:t>
      </w:r>
      <w:r w:rsidRPr="004B380C">
        <w:rPr>
          <w:rStyle w:val="eop"/>
          <w:rFonts w:eastAsiaTheme="majorEastAsia"/>
          <w:color w:val="000000"/>
        </w:rPr>
        <w:t> </w:t>
      </w:r>
    </w:p>
    <w:p w14:paraId="69B65C5A" w14:textId="38DB774F" w:rsidR="00BC64E1" w:rsidRPr="003671E9" w:rsidRDefault="003671E9" w:rsidP="001B5072">
      <w:pPr>
        <w:spacing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Zachery, G. M., Bird, T. D., Pike, L., &amp; Rubenstein, E. D. (2025). </w:t>
      </w:r>
      <w:r>
        <w:rPr>
          <w:rFonts w:ascii="Times New Roman" w:eastAsia="Times New Roman" w:hAnsi="Times New Roman" w:cs="Times New Roman"/>
          <w:i/>
          <w:iCs/>
        </w:rPr>
        <w:t xml:space="preserve">The effectiveness of CASE at integrating science into agricultural education: A stakeholder perspective </w:t>
      </w:r>
      <w:r>
        <w:rPr>
          <w:rFonts w:ascii="Times New Roman" w:eastAsia="Times New Roman" w:hAnsi="Times New Roman" w:cs="Times New Roman"/>
        </w:rPr>
        <w:t>[Oral research presentation]. University of Georgia College of Agriculture and Environmental Sciences Undergraduate Research Symposium. Athens, GA.</w:t>
      </w:r>
    </w:p>
    <w:sectPr w:rsidR="00BC64E1" w:rsidRPr="003671E9" w:rsidSect="00F27FFC">
      <w:footerReference w:type="even" r:id="rId34"/>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8EBBB" w14:textId="77777777" w:rsidR="00837BB7" w:rsidRDefault="00837BB7" w:rsidP="00603878">
      <w:pPr>
        <w:spacing w:after="0" w:line="240" w:lineRule="auto"/>
      </w:pPr>
      <w:r>
        <w:separator/>
      </w:r>
    </w:p>
  </w:endnote>
  <w:endnote w:type="continuationSeparator" w:id="0">
    <w:p w14:paraId="794878AE" w14:textId="77777777" w:rsidR="00837BB7" w:rsidRDefault="00837BB7" w:rsidP="00603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2036345"/>
      <w:docPartObj>
        <w:docPartGallery w:val="Page Numbers (Bottom of Page)"/>
        <w:docPartUnique/>
      </w:docPartObj>
    </w:sdtPr>
    <w:sdtEndPr>
      <w:rPr>
        <w:rStyle w:val="PageNumber"/>
      </w:rPr>
    </w:sdtEndPr>
    <w:sdtContent>
      <w:p w14:paraId="2D8E6084" w14:textId="4AE0B09B" w:rsidR="00A46170" w:rsidRDefault="00A4617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77C7B2D" w14:textId="77777777" w:rsidR="00A46170" w:rsidRDefault="00A461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1066682"/>
      <w:docPartObj>
        <w:docPartGallery w:val="Page Numbers (Bottom of Page)"/>
        <w:docPartUnique/>
      </w:docPartObj>
    </w:sdtPr>
    <w:sdtEndPr>
      <w:rPr>
        <w:rStyle w:val="PageNumber"/>
      </w:rPr>
    </w:sdtEndPr>
    <w:sdtContent>
      <w:p w14:paraId="6146245A" w14:textId="3172CD7F" w:rsidR="00A46170" w:rsidRDefault="00A4617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5E4B023" w14:textId="77777777" w:rsidR="00A46170" w:rsidRDefault="00A46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ACA15" w14:textId="77777777" w:rsidR="00837BB7" w:rsidRDefault="00837BB7" w:rsidP="00603878">
      <w:pPr>
        <w:spacing w:after="0" w:line="240" w:lineRule="auto"/>
      </w:pPr>
      <w:r>
        <w:separator/>
      </w:r>
    </w:p>
  </w:footnote>
  <w:footnote w:type="continuationSeparator" w:id="0">
    <w:p w14:paraId="3DD44DD1" w14:textId="77777777" w:rsidR="00837BB7" w:rsidRDefault="00837BB7" w:rsidP="0060387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CE6AC5"/>
    <w:multiLevelType w:val="hybridMultilevel"/>
    <w:tmpl w:val="494AF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0750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FFC"/>
    <w:rsid w:val="00000265"/>
    <w:rsid w:val="000161D9"/>
    <w:rsid w:val="00024C27"/>
    <w:rsid w:val="00031588"/>
    <w:rsid w:val="00036E23"/>
    <w:rsid w:val="00037AEC"/>
    <w:rsid w:val="00042B53"/>
    <w:rsid w:val="00050AF3"/>
    <w:rsid w:val="00056C40"/>
    <w:rsid w:val="00066A96"/>
    <w:rsid w:val="00076853"/>
    <w:rsid w:val="00081F68"/>
    <w:rsid w:val="000839B9"/>
    <w:rsid w:val="00085D63"/>
    <w:rsid w:val="00091A3E"/>
    <w:rsid w:val="000922D7"/>
    <w:rsid w:val="000A7B0A"/>
    <w:rsid w:val="000B2FE2"/>
    <w:rsid w:val="000C124D"/>
    <w:rsid w:val="000C34E9"/>
    <w:rsid w:val="000C5F30"/>
    <w:rsid w:val="000E2B02"/>
    <w:rsid w:val="000F0A62"/>
    <w:rsid w:val="000F6D90"/>
    <w:rsid w:val="00106725"/>
    <w:rsid w:val="00113D49"/>
    <w:rsid w:val="00114D8A"/>
    <w:rsid w:val="00115856"/>
    <w:rsid w:val="00127135"/>
    <w:rsid w:val="0014575A"/>
    <w:rsid w:val="00170A0F"/>
    <w:rsid w:val="00170E55"/>
    <w:rsid w:val="001B4CCF"/>
    <w:rsid w:val="001B5072"/>
    <w:rsid w:val="001F5362"/>
    <w:rsid w:val="0021071D"/>
    <w:rsid w:val="002177C6"/>
    <w:rsid w:val="00217D1E"/>
    <w:rsid w:val="002223D6"/>
    <w:rsid w:val="00236EE7"/>
    <w:rsid w:val="002A70FC"/>
    <w:rsid w:val="002D4EA3"/>
    <w:rsid w:val="002D6FDB"/>
    <w:rsid w:val="002E3E84"/>
    <w:rsid w:val="002F7E94"/>
    <w:rsid w:val="00313A48"/>
    <w:rsid w:val="00314C09"/>
    <w:rsid w:val="0031752B"/>
    <w:rsid w:val="003232A0"/>
    <w:rsid w:val="00331C89"/>
    <w:rsid w:val="00334BF6"/>
    <w:rsid w:val="00345007"/>
    <w:rsid w:val="00354D7D"/>
    <w:rsid w:val="003671E9"/>
    <w:rsid w:val="003805C0"/>
    <w:rsid w:val="003936CD"/>
    <w:rsid w:val="003A3479"/>
    <w:rsid w:val="003C7AFC"/>
    <w:rsid w:val="003D4C5D"/>
    <w:rsid w:val="003E5BF5"/>
    <w:rsid w:val="003E7338"/>
    <w:rsid w:val="003F4C99"/>
    <w:rsid w:val="00404808"/>
    <w:rsid w:val="004262D1"/>
    <w:rsid w:val="00430A90"/>
    <w:rsid w:val="00436669"/>
    <w:rsid w:val="00441EB7"/>
    <w:rsid w:val="00480A28"/>
    <w:rsid w:val="00484969"/>
    <w:rsid w:val="0048791F"/>
    <w:rsid w:val="004B380C"/>
    <w:rsid w:val="004B6DE3"/>
    <w:rsid w:val="004C2256"/>
    <w:rsid w:val="004D2B88"/>
    <w:rsid w:val="004D6873"/>
    <w:rsid w:val="004E1E59"/>
    <w:rsid w:val="004F5CBA"/>
    <w:rsid w:val="0052343F"/>
    <w:rsid w:val="00555DB3"/>
    <w:rsid w:val="0056423A"/>
    <w:rsid w:val="005936BD"/>
    <w:rsid w:val="005C35EC"/>
    <w:rsid w:val="005E385B"/>
    <w:rsid w:val="005F139E"/>
    <w:rsid w:val="005F1886"/>
    <w:rsid w:val="005F5A7D"/>
    <w:rsid w:val="00603878"/>
    <w:rsid w:val="0063422A"/>
    <w:rsid w:val="00635C40"/>
    <w:rsid w:val="006673E6"/>
    <w:rsid w:val="00677391"/>
    <w:rsid w:val="00683E7F"/>
    <w:rsid w:val="006973E2"/>
    <w:rsid w:val="006977BA"/>
    <w:rsid w:val="00702310"/>
    <w:rsid w:val="00710C35"/>
    <w:rsid w:val="0071228A"/>
    <w:rsid w:val="0072CB8F"/>
    <w:rsid w:val="007346ED"/>
    <w:rsid w:val="00735E07"/>
    <w:rsid w:val="00740D37"/>
    <w:rsid w:val="00741F6E"/>
    <w:rsid w:val="007425AB"/>
    <w:rsid w:val="007468BB"/>
    <w:rsid w:val="0075544A"/>
    <w:rsid w:val="007808D4"/>
    <w:rsid w:val="007A5609"/>
    <w:rsid w:val="007C6BB0"/>
    <w:rsid w:val="007D1D56"/>
    <w:rsid w:val="007F612B"/>
    <w:rsid w:val="00803751"/>
    <w:rsid w:val="008240A4"/>
    <w:rsid w:val="00837BB7"/>
    <w:rsid w:val="0085483E"/>
    <w:rsid w:val="008A4AE7"/>
    <w:rsid w:val="008A736E"/>
    <w:rsid w:val="008B3449"/>
    <w:rsid w:val="008E1006"/>
    <w:rsid w:val="00907C6F"/>
    <w:rsid w:val="00912C3A"/>
    <w:rsid w:val="00925EA2"/>
    <w:rsid w:val="00930560"/>
    <w:rsid w:val="00935840"/>
    <w:rsid w:val="00952909"/>
    <w:rsid w:val="009629CE"/>
    <w:rsid w:val="009674F7"/>
    <w:rsid w:val="00986024"/>
    <w:rsid w:val="009941AF"/>
    <w:rsid w:val="009D25DA"/>
    <w:rsid w:val="009D26AA"/>
    <w:rsid w:val="009E0269"/>
    <w:rsid w:val="009E168A"/>
    <w:rsid w:val="00A177FA"/>
    <w:rsid w:val="00A46170"/>
    <w:rsid w:val="00AA7F2F"/>
    <w:rsid w:val="00AB7ACD"/>
    <w:rsid w:val="00AD2732"/>
    <w:rsid w:val="00AD456E"/>
    <w:rsid w:val="00AD486E"/>
    <w:rsid w:val="00AD6552"/>
    <w:rsid w:val="00AF04FF"/>
    <w:rsid w:val="00AF6E27"/>
    <w:rsid w:val="00B111D8"/>
    <w:rsid w:val="00B25E83"/>
    <w:rsid w:val="00B260C4"/>
    <w:rsid w:val="00B27F57"/>
    <w:rsid w:val="00B4112F"/>
    <w:rsid w:val="00B44A05"/>
    <w:rsid w:val="00B810A0"/>
    <w:rsid w:val="00BC5E97"/>
    <w:rsid w:val="00BC64E1"/>
    <w:rsid w:val="00BD43E0"/>
    <w:rsid w:val="00C0449C"/>
    <w:rsid w:val="00C04FCA"/>
    <w:rsid w:val="00C06498"/>
    <w:rsid w:val="00C12715"/>
    <w:rsid w:val="00C15D4E"/>
    <w:rsid w:val="00C17071"/>
    <w:rsid w:val="00C32030"/>
    <w:rsid w:val="00C34880"/>
    <w:rsid w:val="00C53DEA"/>
    <w:rsid w:val="00C654ED"/>
    <w:rsid w:val="00C832A9"/>
    <w:rsid w:val="00C85943"/>
    <w:rsid w:val="00C9692B"/>
    <w:rsid w:val="00C9737F"/>
    <w:rsid w:val="00CB3374"/>
    <w:rsid w:val="00CD34DB"/>
    <w:rsid w:val="00CE7AC6"/>
    <w:rsid w:val="00CF042C"/>
    <w:rsid w:val="00CF5206"/>
    <w:rsid w:val="00CF6942"/>
    <w:rsid w:val="00D02C99"/>
    <w:rsid w:val="00D10C8B"/>
    <w:rsid w:val="00D20A06"/>
    <w:rsid w:val="00D501D7"/>
    <w:rsid w:val="00D51702"/>
    <w:rsid w:val="00D52464"/>
    <w:rsid w:val="00D5691E"/>
    <w:rsid w:val="00D708B0"/>
    <w:rsid w:val="00D853A6"/>
    <w:rsid w:val="00D92851"/>
    <w:rsid w:val="00DA52F9"/>
    <w:rsid w:val="00DD4609"/>
    <w:rsid w:val="00E02845"/>
    <w:rsid w:val="00E03F0C"/>
    <w:rsid w:val="00E10D2F"/>
    <w:rsid w:val="00E11174"/>
    <w:rsid w:val="00E11DB5"/>
    <w:rsid w:val="00E178D4"/>
    <w:rsid w:val="00E35270"/>
    <w:rsid w:val="00E46666"/>
    <w:rsid w:val="00E72986"/>
    <w:rsid w:val="00E833DD"/>
    <w:rsid w:val="00E841D4"/>
    <w:rsid w:val="00E9072A"/>
    <w:rsid w:val="00E95316"/>
    <w:rsid w:val="00EA1068"/>
    <w:rsid w:val="00EB4482"/>
    <w:rsid w:val="00EC1695"/>
    <w:rsid w:val="00EC4B10"/>
    <w:rsid w:val="00EC504F"/>
    <w:rsid w:val="00ED14AF"/>
    <w:rsid w:val="00F02083"/>
    <w:rsid w:val="00F27FFC"/>
    <w:rsid w:val="00F37245"/>
    <w:rsid w:val="00F37E12"/>
    <w:rsid w:val="00F47503"/>
    <w:rsid w:val="00F53B6E"/>
    <w:rsid w:val="00F54E07"/>
    <w:rsid w:val="00F567D1"/>
    <w:rsid w:val="00F66959"/>
    <w:rsid w:val="00F73562"/>
    <w:rsid w:val="00F820B1"/>
    <w:rsid w:val="00F92476"/>
    <w:rsid w:val="00FB7B1F"/>
    <w:rsid w:val="00FC2467"/>
    <w:rsid w:val="00FD2566"/>
    <w:rsid w:val="00FD50A9"/>
    <w:rsid w:val="0119FF0B"/>
    <w:rsid w:val="0E321D46"/>
    <w:rsid w:val="0E7D563F"/>
    <w:rsid w:val="0FFD7AE9"/>
    <w:rsid w:val="115AFAAE"/>
    <w:rsid w:val="1509FB16"/>
    <w:rsid w:val="1714B838"/>
    <w:rsid w:val="180A111E"/>
    <w:rsid w:val="1B156FFB"/>
    <w:rsid w:val="1F319F9C"/>
    <w:rsid w:val="21A37D44"/>
    <w:rsid w:val="2754D626"/>
    <w:rsid w:val="28CE0E75"/>
    <w:rsid w:val="3446327A"/>
    <w:rsid w:val="357F0B0C"/>
    <w:rsid w:val="362DD6BD"/>
    <w:rsid w:val="368759ED"/>
    <w:rsid w:val="379FB93F"/>
    <w:rsid w:val="38FD8908"/>
    <w:rsid w:val="3A10E58B"/>
    <w:rsid w:val="3ADD1D97"/>
    <w:rsid w:val="3B19245F"/>
    <w:rsid w:val="3C8C1E33"/>
    <w:rsid w:val="3E1F30D1"/>
    <w:rsid w:val="4B8E500A"/>
    <w:rsid w:val="54D21152"/>
    <w:rsid w:val="5999FBEC"/>
    <w:rsid w:val="5AA39224"/>
    <w:rsid w:val="5B6311FA"/>
    <w:rsid w:val="5F61DC60"/>
    <w:rsid w:val="609640C4"/>
    <w:rsid w:val="60DE8C53"/>
    <w:rsid w:val="6B0E4225"/>
    <w:rsid w:val="6FDD329B"/>
    <w:rsid w:val="760776A1"/>
    <w:rsid w:val="777EF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44BF51"/>
  <w15:chartTrackingRefBased/>
  <w15:docId w15:val="{761B7C9F-23DD-42E3-92EA-DF60643C1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F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F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F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F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F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F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F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F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F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F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F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F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F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F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F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F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F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FFC"/>
    <w:rPr>
      <w:rFonts w:eastAsiaTheme="majorEastAsia" w:cstheme="majorBidi"/>
      <w:color w:val="272727" w:themeColor="text1" w:themeTint="D8"/>
    </w:rPr>
  </w:style>
  <w:style w:type="paragraph" w:styleId="Title">
    <w:name w:val="Title"/>
    <w:basedOn w:val="Normal"/>
    <w:next w:val="Normal"/>
    <w:link w:val="TitleChar"/>
    <w:uiPriority w:val="10"/>
    <w:qFormat/>
    <w:rsid w:val="00F27F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F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F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F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FFC"/>
    <w:pPr>
      <w:spacing w:before="160"/>
      <w:jc w:val="center"/>
    </w:pPr>
    <w:rPr>
      <w:i/>
      <w:iCs/>
      <w:color w:val="404040" w:themeColor="text1" w:themeTint="BF"/>
    </w:rPr>
  </w:style>
  <w:style w:type="character" w:customStyle="1" w:styleId="QuoteChar">
    <w:name w:val="Quote Char"/>
    <w:basedOn w:val="DefaultParagraphFont"/>
    <w:link w:val="Quote"/>
    <w:uiPriority w:val="29"/>
    <w:rsid w:val="00F27FFC"/>
    <w:rPr>
      <w:i/>
      <w:iCs/>
      <w:color w:val="404040" w:themeColor="text1" w:themeTint="BF"/>
    </w:rPr>
  </w:style>
  <w:style w:type="paragraph" w:styleId="ListParagraph">
    <w:name w:val="List Paragraph"/>
    <w:basedOn w:val="Normal"/>
    <w:uiPriority w:val="34"/>
    <w:qFormat/>
    <w:rsid w:val="00F27FFC"/>
    <w:pPr>
      <w:ind w:left="720"/>
      <w:contextualSpacing/>
    </w:pPr>
  </w:style>
  <w:style w:type="character" w:styleId="IntenseEmphasis">
    <w:name w:val="Intense Emphasis"/>
    <w:basedOn w:val="DefaultParagraphFont"/>
    <w:uiPriority w:val="21"/>
    <w:qFormat/>
    <w:rsid w:val="00F27FFC"/>
    <w:rPr>
      <w:i/>
      <w:iCs/>
      <w:color w:val="0F4761" w:themeColor="accent1" w:themeShade="BF"/>
    </w:rPr>
  </w:style>
  <w:style w:type="paragraph" w:styleId="IntenseQuote">
    <w:name w:val="Intense Quote"/>
    <w:basedOn w:val="Normal"/>
    <w:next w:val="Normal"/>
    <w:link w:val="IntenseQuoteChar"/>
    <w:uiPriority w:val="30"/>
    <w:qFormat/>
    <w:rsid w:val="00F27F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FFC"/>
    <w:rPr>
      <w:i/>
      <w:iCs/>
      <w:color w:val="0F4761" w:themeColor="accent1" w:themeShade="BF"/>
    </w:rPr>
  </w:style>
  <w:style w:type="character" w:styleId="IntenseReference">
    <w:name w:val="Intense Reference"/>
    <w:basedOn w:val="DefaultParagraphFont"/>
    <w:uiPriority w:val="32"/>
    <w:qFormat/>
    <w:rsid w:val="00F27FFC"/>
    <w:rPr>
      <w:b/>
      <w:bCs/>
      <w:smallCaps/>
      <w:color w:val="0F4761" w:themeColor="accent1" w:themeShade="BF"/>
      <w:spacing w:val="5"/>
    </w:rPr>
  </w:style>
  <w:style w:type="paragraph" w:styleId="Header">
    <w:name w:val="header"/>
    <w:basedOn w:val="Normal"/>
    <w:link w:val="HeaderChar"/>
    <w:uiPriority w:val="99"/>
    <w:unhideWhenUsed/>
    <w:rsid w:val="006038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878"/>
  </w:style>
  <w:style w:type="paragraph" w:styleId="Footer">
    <w:name w:val="footer"/>
    <w:basedOn w:val="Normal"/>
    <w:link w:val="FooterChar"/>
    <w:uiPriority w:val="99"/>
    <w:unhideWhenUsed/>
    <w:rsid w:val="006038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878"/>
  </w:style>
  <w:style w:type="character" w:styleId="PageNumber">
    <w:name w:val="page number"/>
    <w:basedOn w:val="DefaultParagraphFont"/>
    <w:uiPriority w:val="99"/>
    <w:semiHidden/>
    <w:unhideWhenUsed/>
    <w:rsid w:val="00A46170"/>
  </w:style>
  <w:style w:type="paragraph" w:styleId="NormalWeb">
    <w:name w:val="Normal (Web)"/>
    <w:basedOn w:val="Normal"/>
    <w:uiPriority w:val="99"/>
    <w:unhideWhenUsed/>
    <w:rsid w:val="00170A0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03751"/>
    <w:rPr>
      <w:b/>
      <w:bCs/>
    </w:rPr>
  </w:style>
  <w:style w:type="paragraph" w:styleId="Revision">
    <w:name w:val="Revision"/>
    <w:hidden/>
    <w:uiPriority w:val="99"/>
    <w:semiHidden/>
    <w:rsid w:val="00313A48"/>
    <w:pPr>
      <w:spacing w:after="0" w:line="240" w:lineRule="auto"/>
    </w:pPr>
  </w:style>
  <w:style w:type="paragraph" w:customStyle="1" w:styleId="paragraph">
    <w:name w:val="paragraph"/>
    <w:basedOn w:val="Normal"/>
    <w:rsid w:val="009941A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9941AF"/>
  </w:style>
  <w:style w:type="character" w:customStyle="1" w:styleId="eop">
    <w:name w:val="eop"/>
    <w:basedOn w:val="DefaultParagraphFont"/>
    <w:rsid w:val="009941AF"/>
  </w:style>
  <w:style w:type="character" w:styleId="CommentReference">
    <w:name w:val="annotation reference"/>
    <w:basedOn w:val="DefaultParagraphFont"/>
    <w:uiPriority w:val="99"/>
    <w:semiHidden/>
    <w:unhideWhenUsed/>
    <w:rsid w:val="00D708B0"/>
    <w:rPr>
      <w:sz w:val="16"/>
      <w:szCs w:val="16"/>
    </w:rPr>
  </w:style>
  <w:style w:type="paragraph" w:styleId="CommentText">
    <w:name w:val="annotation text"/>
    <w:basedOn w:val="Normal"/>
    <w:link w:val="CommentTextChar"/>
    <w:uiPriority w:val="99"/>
    <w:semiHidden/>
    <w:unhideWhenUsed/>
    <w:rsid w:val="00D708B0"/>
    <w:pPr>
      <w:spacing w:line="240" w:lineRule="auto"/>
    </w:pPr>
    <w:rPr>
      <w:sz w:val="20"/>
      <w:szCs w:val="20"/>
    </w:rPr>
  </w:style>
  <w:style w:type="character" w:customStyle="1" w:styleId="CommentTextChar">
    <w:name w:val="Comment Text Char"/>
    <w:basedOn w:val="DefaultParagraphFont"/>
    <w:link w:val="CommentText"/>
    <w:uiPriority w:val="99"/>
    <w:semiHidden/>
    <w:rsid w:val="00D708B0"/>
    <w:rPr>
      <w:sz w:val="20"/>
      <w:szCs w:val="20"/>
    </w:rPr>
  </w:style>
  <w:style w:type="paragraph" w:styleId="CommentSubject">
    <w:name w:val="annotation subject"/>
    <w:basedOn w:val="CommentText"/>
    <w:next w:val="CommentText"/>
    <w:link w:val="CommentSubjectChar"/>
    <w:uiPriority w:val="99"/>
    <w:semiHidden/>
    <w:unhideWhenUsed/>
    <w:rsid w:val="00D708B0"/>
    <w:rPr>
      <w:b/>
      <w:bCs/>
    </w:rPr>
  </w:style>
  <w:style w:type="character" w:customStyle="1" w:styleId="CommentSubjectChar">
    <w:name w:val="Comment Subject Char"/>
    <w:basedOn w:val="CommentTextChar"/>
    <w:link w:val="CommentSubject"/>
    <w:uiPriority w:val="99"/>
    <w:semiHidden/>
    <w:rsid w:val="00D708B0"/>
    <w:rPr>
      <w:b/>
      <w:bCs/>
      <w:sz w:val="20"/>
      <w:szCs w:val="20"/>
    </w:rPr>
  </w:style>
  <w:style w:type="character" w:styleId="Hyperlink">
    <w:name w:val="Hyperlink"/>
    <w:basedOn w:val="DefaultParagraphFont"/>
    <w:uiPriority w:val="99"/>
    <w:unhideWhenUsed/>
    <w:rsid w:val="00AF6E2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acrefore/9780190264093.013.138" TargetMode="External"/><Relationship Id="rId18" Type="http://schemas.openxmlformats.org/officeDocument/2006/relationships/hyperlink" Target="https://doi.org/10.5032/jae.2008.02027" TargetMode="External"/><Relationship Id="rId26" Type="http://schemas.openxmlformats.org/officeDocument/2006/relationships/hyperlink" Target="https://doi.org/10.5032/jae.2015.04183" TargetMode="External"/><Relationship Id="rId21" Type="http://schemas.openxmlformats.org/officeDocument/2006/relationships/hyperlink" Target="https://doi.org/10.5032/jae.2006.03081" TargetMode="External"/><Relationship Id="rId34" Type="http://schemas.openxmlformats.org/officeDocument/2006/relationships/footer" Target="footer1.xml"/><Relationship Id="rId7" Type="http://schemas.openxmlformats.org/officeDocument/2006/relationships/hyperlink" Target="https://doi.org/10.1080/1046560X.2025.2452070" TargetMode="External"/><Relationship Id="rId12" Type="http://schemas.openxmlformats.org/officeDocument/2006/relationships/hyperlink" Target="https://doi.org/10.5032/jae.v66i1.2920" TargetMode="External"/><Relationship Id="rId17" Type="http://schemas.openxmlformats.org/officeDocument/2006/relationships/hyperlink" Target="https://doi.org/10.5032/jae.v66i2.2906" TargetMode="External"/><Relationship Id="rId25" Type="http://schemas.openxmlformats.org/officeDocument/2006/relationships/hyperlink" Target="https://doi.org/10.5032/jae.2019.02099" TargetMode="External"/><Relationship Id="rId33" Type="http://schemas.openxmlformats.org/officeDocument/2006/relationships/hyperlink" Target="https://doi.org/10.5032/jae.2009.01116"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doi.org/10.1080/1046560X.2025.2531312" TargetMode="External"/><Relationship Id="rId20" Type="http://schemas.openxmlformats.org/officeDocument/2006/relationships/hyperlink" Target="https://doi.org/10.1186/s12909-023-014103-9" TargetMode="External"/><Relationship Id="rId29" Type="http://schemas.openxmlformats.org/officeDocument/2006/relationships/hyperlink" Target="https://doi.org/10.1007/978-3-319-9140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J1058007.pdf" TargetMode="External"/><Relationship Id="rId24" Type="http://schemas.openxmlformats.org/officeDocument/2006/relationships/hyperlink" Target="https://doi.org/10.1080/1046560X.2019.1688533" TargetMode="External"/><Relationship Id="rId32" Type="http://schemas.openxmlformats.org/officeDocument/2006/relationships/hyperlink" Target="https://doi.org/10.5032/jae.2015.0417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26634/jsch.7.3.1668" TargetMode="External"/><Relationship Id="rId23" Type="http://schemas.openxmlformats.org/officeDocument/2006/relationships/hyperlink" Target="https://doi.org/10.5032/jae.2019.02028" TargetMode="External"/><Relationship Id="rId28" Type="http://schemas.openxmlformats.org/officeDocument/2006/relationships/hyperlink" Target="https://doi.org/20.5032/jae.2018.04315" TargetMode="External"/><Relationship Id="rId36" Type="http://schemas.openxmlformats.org/officeDocument/2006/relationships/fontTable" Target="fontTable.xml"/><Relationship Id="rId10" Type="http://schemas.openxmlformats.org/officeDocument/2006/relationships/hyperlink" Target="https://doi.org/10.5032/jae.v66i3.3024" TargetMode="External"/><Relationship Id="rId19" Type="http://schemas.openxmlformats.org/officeDocument/2006/relationships/hyperlink" Target="https://ffa.app.box.com/s/x4rd2h4a6fvwkrf5yogk9jbwwxouehnr/file/1621703913393" TargetMode="External"/><Relationship Id="rId31" Type="http://schemas.openxmlformats.org/officeDocument/2006/relationships/hyperlink" Target="https://doi.org/10.5032/jae.2018.03258" TargetMode="External"/><Relationship Id="rId4" Type="http://schemas.openxmlformats.org/officeDocument/2006/relationships/webSettings" Target="webSettings.xml"/><Relationship Id="rId9" Type="http://schemas.openxmlformats.org/officeDocument/2006/relationships/hyperlink" Target="https://openbooks.lib.msu.edu/isb202/chapter/nature-of-science-draft/" TargetMode="External"/><Relationship Id="rId14" Type="http://schemas.openxmlformats.org/officeDocument/2006/relationships/hyperlink" Target="https://doi.org/10.5032/jae.v66i3.3232" TargetMode="External"/><Relationship Id="rId22" Type="http://schemas.openxmlformats.org/officeDocument/2006/relationships/hyperlink" Target="https://doi.org/10.63504/jstem.v26i2.2682" TargetMode="External"/><Relationship Id="rId27" Type="http://schemas.openxmlformats.org/officeDocument/2006/relationships/hyperlink" Target="https://doi.org/10.5032/jae.2016.0308" TargetMode="External"/><Relationship Id="rId30" Type="http://schemas.openxmlformats.org/officeDocument/2006/relationships/hyperlink" Target="https://www.purdue.edu/usda/employment/wp-content/uploads/2015/04/2-Page-USDA-Employ.pdf" TargetMode="External"/><Relationship Id="rId35" Type="http://schemas.openxmlformats.org/officeDocument/2006/relationships/footer" Target="footer2.xml"/><Relationship Id="rId8" Type="http://schemas.openxmlformats.org/officeDocument/2006/relationships/hyperlink" Target="https://doi.org/10.5032/jae.2015.0122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16</Pages>
  <Words>8025</Words>
  <Characters>46470</Characters>
  <Application>Microsoft Office Word</Application>
  <DocSecurity>0</DocSecurity>
  <Lines>1032</Lines>
  <Paragraphs>681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Bird</dc:creator>
  <cp:keywords/>
  <dc:description/>
  <cp:lastModifiedBy>Taylor Bird</cp:lastModifiedBy>
  <cp:revision>6</cp:revision>
  <dcterms:created xsi:type="dcterms:W3CDTF">2025-12-21T13:48:00Z</dcterms:created>
  <dcterms:modified xsi:type="dcterms:W3CDTF">2026-03-19T15:34:00Z</dcterms:modified>
</cp:coreProperties>
</file>