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28E71" w14:textId="77777777" w:rsidR="00BD2841"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Determining the Qualities of an Effectively Managed School-Based Agricultural Education Program: A National Delphi Study</w:t>
      </w:r>
    </w:p>
    <w:p w14:paraId="69FF3933" w14:textId="77777777" w:rsidR="00BD2841" w:rsidRDefault="00BD2841">
      <w:pPr>
        <w:spacing w:line="240" w:lineRule="auto"/>
        <w:jc w:val="center"/>
        <w:rPr>
          <w:rFonts w:ascii="Times New Roman" w:eastAsia="Times New Roman" w:hAnsi="Times New Roman" w:cs="Times New Roman"/>
          <w:b/>
          <w:bCs/>
          <w:sz w:val="12"/>
          <w:szCs w:val="12"/>
        </w:rPr>
      </w:pPr>
    </w:p>
    <w:p w14:paraId="7F42438C" w14:textId="77777777" w:rsidR="00BD2841" w:rsidRPr="00524A27" w:rsidRDefault="00000000">
      <w:pPr>
        <w:spacing w:line="240" w:lineRule="auto"/>
        <w:jc w:val="center"/>
        <w:rPr>
          <w:rFonts w:ascii="Times New Roman" w:eastAsia="Times New Roman" w:hAnsi="Times New Roman" w:cs="Times New Roman"/>
          <w:sz w:val="24"/>
          <w:szCs w:val="24"/>
        </w:rPr>
      </w:pPr>
      <w:r w:rsidRPr="00524A27">
        <w:rPr>
          <w:rFonts w:ascii="Times New Roman" w:eastAsia="Times New Roman" w:hAnsi="Times New Roman" w:cs="Times New Roman"/>
          <w:sz w:val="24"/>
          <w:szCs w:val="24"/>
        </w:rPr>
        <w:t>Joe Ramstad, Iowa State University</w:t>
      </w:r>
    </w:p>
    <w:p w14:paraId="2C2652E3" w14:textId="77777777" w:rsidR="00BD2841" w:rsidRPr="00524A27" w:rsidRDefault="00000000">
      <w:pPr>
        <w:spacing w:line="240" w:lineRule="auto"/>
        <w:jc w:val="center"/>
        <w:rPr>
          <w:rFonts w:ascii="Times New Roman" w:eastAsia="Times New Roman" w:hAnsi="Times New Roman" w:cs="Times New Roman"/>
          <w:sz w:val="24"/>
          <w:szCs w:val="24"/>
        </w:rPr>
      </w:pPr>
      <w:r w:rsidRPr="00524A27">
        <w:rPr>
          <w:rFonts w:ascii="Times New Roman" w:eastAsia="Times New Roman" w:hAnsi="Times New Roman" w:cs="Times New Roman"/>
          <w:sz w:val="24"/>
          <w:szCs w:val="24"/>
        </w:rPr>
        <w:t>Scott Smalley, Iowa State University</w:t>
      </w:r>
    </w:p>
    <w:p w14:paraId="5546A010" w14:textId="77777777" w:rsidR="00BD2841" w:rsidRDefault="00BD2841">
      <w:pPr>
        <w:spacing w:line="240" w:lineRule="auto"/>
        <w:jc w:val="center"/>
        <w:rPr>
          <w:rFonts w:ascii="Times New Roman" w:eastAsia="Times New Roman" w:hAnsi="Times New Roman" w:cs="Times New Roman"/>
          <w:b/>
          <w:bCs/>
          <w:sz w:val="12"/>
          <w:szCs w:val="12"/>
        </w:rPr>
      </w:pPr>
    </w:p>
    <w:p w14:paraId="1177583D" w14:textId="77777777" w:rsidR="00BD2841"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Abstract</w:t>
      </w:r>
    </w:p>
    <w:p w14:paraId="2A80C825" w14:textId="77777777" w:rsidR="00BD2841" w:rsidRDefault="00BD2841">
      <w:pPr>
        <w:spacing w:line="240" w:lineRule="auto"/>
        <w:jc w:val="center"/>
        <w:rPr>
          <w:rFonts w:ascii="Times New Roman" w:eastAsia="Times New Roman" w:hAnsi="Times New Roman" w:cs="Times New Roman"/>
          <w:b/>
          <w:bCs/>
          <w:sz w:val="12"/>
          <w:szCs w:val="12"/>
        </w:rPr>
      </w:pPr>
    </w:p>
    <w:p w14:paraId="298AFED2"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School-based agricultural education (SBAE) programs are tasked with several responsibilities which extend far beyond the traditionally recognized classroom, leadership development, and experiential learning traditions anchored within the three-component model. This Delphi study sought to identify the characteristics and best practices of effective SBAE programs from the perspective of 40 experts. Experts were asked to provide a listing of keywords and terms that they believe connect with their idea of an effective SBAE program, using a consistent definition from the National Council for Agricultural Education. After compiling the list of submitted characteristics, it was redistributed to the experts on a Qualtrics form to reach consensus of the most important characteristics of a SBAE program. After completing three rounds of the Delphi process, consensus was reached on 95 characteristics across nine themes. Future research efforts should investigate the extent to which agricultural educators are implementing these characteristics within their SBAE programs, as well as the degree to which resource limitations restrict programs from achieving these expert-validated characteristics. Further, the development of resources and professional development to support educators in planning and delivering high-quality SBAE programming is a key recommendation.</w:t>
      </w:r>
    </w:p>
    <w:p w14:paraId="545E8DC9" w14:textId="77777777" w:rsidR="00BD2841" w:rsidRDefault="00BD2841">
      <w:pPr>
        <w:spacing w:line="240" w:lineRule="auto"/>
        <w:ind w:firstLine="720"/>
        <w:rPr>
          <w:rFonts w:ascii="Times New Roman" w:eastAsia="Times New Roman" w:hAnsi="Times New Roman" w:cs="Times New Roman"/>
          <w:sz w:val="12"/>
          <w:szCs w:val="12"/>
        </w:rPr>
      </w:pPr>
    </w:p>
    <w:p w14:paraId="4A724D82" w14:textId="77777777" w:rsidR="00BD2841"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Introduction and Literature Review</w:t>
      </w:r>
    </w:p>
    <w:p w14:paraId="1E1446E0" w14:textId="77777777" w:rsidR="00BD2841" w:rsidRDefault="00BD2841">
      <w:pPr>
        <w:spacing w:line="240" w:lineRule="auto"/>
        <w:jc w:val="center"/>
        <w:rPr>
          <w:rFonts w:ascii="Times New Roman" w:eastAsia="Times New Roman" w:hAnsi="Times New Roman" w:cs="Times New Roman"/>
          <w:b/>
          <w:bCs/>
          <w:sz w:val="12"/>
          <w:szCs w:val="12"/>
        </w:rPr>
      </w:pPr>
    </w:p>
    <w:p w14:paraId="0AEFC044"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key attributes of SBAE is that each program is as unique as the community in which it is situated (Croom, 2009; Krieg &amp; Krieg, 2021). The content taught in the classroom should be driven by its surroundings and community in which it is located, and the SBAE teacher should strive to develop an agriculturally literate and skilled workforce to meet local and global needs (Roberts &amp; Ball, 2009). Although a specific SBAE program may look completely different from one school or community to the next (Roberts &amp; Ball, 2009), the three-component model of agricultural education has been thought to guide the development of meaningful opportunities within SBAE programs for nearly 100 years (Croom, 2008). This model has been utilized to establish a benchmark, or standard point of reference, for the overarching activities that SBAE programs should be doing (Croom, 2008; Phipps et al., 2008; Shoulders &amp; Toland, 2017). The three-component model has historically consisted of: (a) classroom and laboratory instruction, (b) leadership development and the National FFA Organization, and (c) experiential learning and supervised agricultural experience (SAE; Croom, 2008). Likewise, the National Council for Agricultural Education (2023a, para. 1) shares, “agricultural education prepares students for successful careers and a lifetime of informed choices in the global agriculture, food, fiber, and natural resources systems,” and this comprises the overall mission for the profession. To fulfill this mission, students must be afforded a wide range of opportunities to develop skills and acquire new knowledge that they can use to enhance their own agricultural literacy and their capacity to meet workforce needs (Roberts &amp; Ball, 2009). These opportunities should be offered within each of the components of the three-component model (Croom, 2008; Phipps et al., 2008).</w:t>
      </w:r>
    </w:p>
    <w:p w14:paraId="2AAFAFB8" w14:textId="77777777" w:rsidR="00BD2841" w:rsidRDefault="00BD2841">
      <w:pPr>
        <w:spacing w:line="240" w:lineRule="auto"/>
        <w:ind w:firstLine="720"/>
        <w:rPr>
          <w:rFonts w:ascii="Times New Roman" w:eastAsia="Times New Roman" w:hAnsi="Times New Roman" w:cs="Times New Roman"/>
          <w:sz w:val="24"/>
          <w:szCs w:val="24"/>
        </w:rPr>
      </w:pPr>
    </w:p>
    <w:p w14:paraId="30F4F678"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Fulfilling this mission and the elements of the three-component model may be easier said than done, as there is always the chance for barriers to stagnate or hinder the growth and development </w:t>
      </w:r>
      <w:r>
        <w:rPr>
          <w:rFonts w:ascii="Times New Roman" w:eastAsia="Times New Roman" w:hAnsi="Times New Roman" w:cs="Times New Roman"/>
          <w:sz w:val="24"/>
          <w:szCs w:val="24"/>
        </w:rPr>
        <w:lastRenderedPageBreak/>
        <w:t>of a SBAE program. These barriers will be highly contextualized, depending on the educator, community, and available resources. Therefore, regardless of the community, fulfilling the agricultural education mission requires a critical mass of stakeholders, including teachers, community members, and industry representatives who are committed to helping SBAE students to grow and develop (Phipps et al., 2008). This need is especially validated since SBAE covers a unique range of topics, ranging from agribusiness management to welding processes, and since the skills, knowledge levels, and perceived needs of educators are different at varying times within an agricultural educator’s career journey (Figland et al., 2019; National Association of Agricultural Educators, 2015; Thornton et al., 2020). The needs and barriers of SBAE programs are also influenced by the educator’s training or career stage (Figland et al., 2019; National Association of Agricultural Educators, 2015; Thornton et al., 2020), the location or context of the program (Roberts &amp; Ball, 2009), and the program’s access to funding and resources (Lambert et al., 2018; Shoulders &amp; Myers, 2012; Smalley et al., 2023; Wells et al., 2018; Wilson et al., 2002).</w:t>
      </w:r>
    </w:p>
    <w:p w14:paraId="40A01E27" w14:textId="77777777" w:rsidR="00BD2841" w:rsidRDefault="00BD2841">
      <w:pPr>
        <w:spacing w:line="240" w:lineRule="auto"/>
        <w:ind w:firstLine="720"/>
        <w:rPr>
          <w:rFonts w:ascii="Times New Roman" w:eastAsia="Times New Roman" w:hAnsi="Times New Roman" w:cs="Times New Roman"/>
          <w:sz w:val="24"/>
          <w:szCs w:val="24"/>
        </w:rPr>
      </w:pPr>
    </w:p>
    <w:p w14:paraId="59B19FB9"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Identifying what attributes contribute to a high-quality, rigorous, and relevant SBAE program that fulfills the SBAE mission is what lies at the root of this study, and can help SBAE programs work with stakeholders to identify priorities whenever barriers and challenges arise, as the responsibilities of a SBAE program often extend beyond the three-component model (Smith &amp; Smalley, 2018). The National Council for Agricultural Education periodically reviews and evaluates the agriculture, food, and natural resources framework (2023b) and the national quality program standards (NQPS; 2023c) to ensure programs have a sense of guidance and direction in designing, planning, and evaluating their programs. However, there have been no studies examining whether the three components of SBAE are aligned with the desired characteristics and current best practices for SBAE programs. Therefore, this study extends current knowledge by employing a national Delphi approach to establish expert consensus on the characteristics of effective SBAE programs. This study also provides a contemporary, research-supported framework to inform local program planning and evaluation efforts, while also contributing to ongoing philosophical discussions about the purpose and objectives of SBAE programs.</w:t>
      </w:r>
    </w:p>
    <w:p w14:paraId="0E496915" w14:textId="77777777" w:rsidR="00BD2841" w:rsidRDefault="00BD2841">
      <w:pPr>
        <w:spacing w:line="240" w:lineRule="auto"/>
        <w:ind w:firstLine="720"/>
        <w:rPr>
          <w:rFonts w:ascii="Times New Roman" w:eastAsia="Times New Roman" w:hAnsi="Times New Roman" w:cs="Times New Roman"/>
          <w:sz w:val="12"/>
          <w:szCs w:val="12"/>
        </w:rPr>
      </w:pPr>
    </w:p>
    <w:p w14:paraId="3150FB2F" w14:textId="77777777" w:rsidR="00BD2841"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Conceptual Framework</w:t>
      </w:r>
    </w:p>
    <w:p w14:paraId="0AC10887" w14:textId="77777777" w:rsidR="00BD2841" w:rsidRDefault="00BD2841">
      <w:pPr>
        <w:spacing w:line="240" w:lineRule="auto"/>
        <w:jc w:val="center"/>
        <w:rPr>
          <w:rFonts w:ascii="Times New Roman" w:eastAsia="Times New Roman" w:hAnsi="Times New Roman" w:cs="Times New Roman"/>
          <w:b/>
          <w:bCs/>
          <w:sz w:val="12"/>
          <w:szCs w:val="12"/>
        </w:rPr>
      </w:pPr>
    </w:p>
    <w:p w14:paraId="2A70DD57"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Roberts and Ball’s (2009) conceptual model emphasizes the importance of students acquiring agricultural knowledge (i.e., content) based on the current and emerging needs of the industry and local expectations (i.e., context), as well as the complex relationship between learners and educators. The knowledge and skills students gain are provided through classroom, FFA, and experiential learning domains (Croom, 2008). Student engagement within these domains, through both content- and context-specific experiences, provides the basis for identifying the characteristics of an effective SBAE program and serves as the framework for this study.</w:t>
      </w:r>
    </w:p>
    <w:p w14:paraId="46E81238" w14:textId="77777777" w:rsidR="00BD2841" w:rsidRDefault="00BD2841">
      <w:pPr>
        <w:spacing w:line="240" w:lineRule="auto"/>
        <w:rPr>
          <w:rFonts w:ascii="Times New Roman" w:eastAsia="Times New Roman" w:hAnsi="Times New Roman" w:cs="Times New Roman"/>
          <w:sz w:val="24"/>
          <w:szCs w:val="24"/>
        </w:rPr>
      </w:pPr>
    </w:p>
    <w:p w14:paraId="500FD059"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agricultural context broadly encompasses the SBAE program, which is dependent on the community in which it is situated (Roberts &amp; Ball, 2009). To account for the intricacies of agriculture, the National Council for Agricultural Education (2023b) identified nine pathways to prepare SBAE students for careers and a lifetime of informed decisions. SBAE programs are encouraged to utilize these pathways and stakeholder groups, such as advisory committees (Masser et al., 2014; Myers et al., 2005; Sorensen et al., 2010; Taylor et al., 2017), to ensure the activities across each area of the three-component model reflect the local agricultural context.</w:t>
      </w:r>
    </w:p>
    <w:p w14:paraId="09B8D6A7" w14:textId="77777777" w:rsidR="00BD2841" w:rsidRDefault="00BD2841">
      <w:pPr>
        <w:spacing w:line="240" w:lineRule="auto"/>
        <w:rPr>
          <w:rFonts w:ascii="Times New Roman" w:eastAsia="Times New Roman" w:hAnsi="Times New Roman" w:cs="Times New Roman"/>
          <w:sz w:val="24"/>
          <w:szCs w:val="24"/>
        </w:rPr>
      </w:pPr>
    </w:p>
    <w:p w14:paraId="130F82DD"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Content across domains and industry-validated curricula has an interconnected relationship within the model, driven by the broader agricultural context. Further, knowledge across domains and industry-validated curricula, achieved through participation in SBAE, results in an integrated curricular experience (Lundry et al., 2015; Roberts &amp; Ball, 2009). This integrated curriculum is greatly influenced by the dyadic relationship between SBAE learners and educators. These interactions foster learning through a variety of instructional methodologies, allowing for integrated learning experiences (Smith et al., 2015; Wells et al., 2015). The model emphasizes that this reciprocal and dynamic relationship should be driven by the broader agricultural context, giving students an opportunity to explore their interests and providing teachers an opportunity to share theirs (Friedel &amp; Anderson, 2017; Roberts &amp; Ball, 2009).</w:t>
      </w:r>
    </w:p>
    <w:p w14:paraId="551C029E" w14:textId="77777777" w:rsidR="00BD2841" w:rsidRDefault="00BD2841">
      <w:pPr>
        <w:spacing w:line="240" w:lineRule="auto"/>
        <w:ind w:firstLine="720"/>
        <w:rPr>
          <w:rFonts w:ascii="Times New Roman" w:eastAsia="Times New Roman" w:hAnsi="Times New Roman" w:cs="Times New Roman"/>
          <w:sz w:val="24"/>
          <w:szCs w:val="24"/>
        </w:rPr>
      </w:pPr>
    </w:p>
    <w:p w14:paraId="2E9D594A"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Activities conducted within a SBAE program’s agricultural context drive its ability to produce both successful lifelong learners who are agriculturally literate citizens and a skilled agricultural workforce. Both of these outputs fulfill the mission of SBAE. Not all students will ultimately choose to pursue careers in agriculture. However, offering experiences that prepare those who may consider these careers while also preparing today’s students to make informed decisions as adults will nurture an informed, agriculturally literate population, which is a key need now and looking toward the future (Hancock et al., 2024; Manning et al., 2024; Roberts &amp; Ball, 2009).</w:t>
      </w:r>
    </w:p>
    <w:p w14:paraId="65774951" w14:textId="77777777" w:rsidR="00BD2841" w:rsidRDefault="00BD2841">
      <w:pPr>
        <w:spacing w:line="240" w:lineRule="auto"/>
        <w:rPr>
          <w:rFonts w:ascii="Times New Roman" w:eastAsia="Times New Roman" w:hAnsi="Times New Roman" w:cs="Times New Roman"/>
          <w:sz w:val="12"/>
          <w:szCs w:val="12"/>
        </w:rPr>
      </w:pPr>
    </w:p>
    <w:p w14:paraId="2C4495AC" w14:textId="77777777" w:rsidR="00BD2841"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Purpose and Research Objectives</w:t>
      </w:r>
    </w:p>
    <w:p w14:paraId="5E2EBAE1" w14:textId="77777777" w:rsidR="00BD2841" w:rsidRDefault="00BD2841">
      <w:pPr>
        <w:spacing w:line="240" w:lineRule="auto"/>
        <w:jc w:val="center"/>
        <w:rPr>
          <w:rFonts w:ascii="Times New Roman" w:eastAsia="Times New Roman" w:hAnsi="Times New Roman" w:cs="Times New Roman"/>
          <w:b/>
          <w:bCs/>
          <w:sz w:val="12"/>
          <w:szCs w:val="12"/>
        </w:rPr>
      </w:pPr>
    </w:p>
    <w:p w14:paraId="41C429F2"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study was to identify the characteristics and best practices of effective SBAE programs. This study was guided by three key objectives:</w:t>
      </w:r>
    </w:p>
    <w:p w14:paraId="1D8A0B72" w14:textId="77777777" w:rsidR="00BD2841"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determine the characteristics of an effective SBAE program based on the traditional three-component model.</w:t>
      </w:r>
    </w:p>
    <w:p w14:paraId="53E5E8C8" w14:textId="77777777" w:rsidR="00BD2841"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the best management practices for coordinating an effective SBAE program.</w:t>
      </w:r>
    </w:p>
    <w:p w14:paraId="36202EBA" w14:textId="77777777" w:rsidR="00BD2841"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the resource and stakeholder needs of an effective SBAE program.</w:t>
      </w:r>
    </w:p>
    <w:p w14:paraId="0BAD68E5" w14:textId="77777777" w:rsidR="00BD2841" w:rsidRDefault="00BD2841">
      <w:pPr>
        <w:spacing w:line="240" w:lineRule="auto"/>
        <w:rPr>
          <w:rFonts w:ascii="Times New Roman" w:eastAsia="Times New Roman" w:hAnsi="Times New Roman" w:cs="Times New Roman"/>
          <w:b/>
          <w:bCs/>
          <w:sz w:val="12"/>
          <w:szCs w:val="12"/>
        </w:rPr>
      </w:pPr>
    </w:p>
    <w:p w14:paraId="169DCC12" w14:textId="77777777" w:rsidR="00BD2841"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Methods</w:t>
      </w:r>
    </w:p>
    <w:p w14:paraId="3EAA8ED4" w14:textId="77777777" w:rsidR="00BD2841" w:rsidRDefault="00BD2841">
      <w:pPr>
        <w:spacing w:line="240" w:lineRule="auto"/>
        <w:jc w:val="center"/>
        <w:rPr>
          <w:rFonts w:ascii="Times New Roman" w:eastAsia="Times New Roman" w:hAnsi="Times New Roman" w:cs="Times New Roman"/>
          <w:b/>
          <w:bCs/>
          <w:sz w:val="12"/>
          <w:szCs w:val="12"/>
        </w:rPr>
      </w:pPr>
    </w:p>
    <w:p w14:paraId="30362F03"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 IRB-approved Delphi methodology was employed to address the study’s purpose and objectives. The Delphi technique was developed at the RAND Corporation in the 1940s to obtain the opinions of experts within the field in an efficient and organized manner, and has had wide applications within the SBAE profession ever since (Martin &amp; Frick, 1998; Sackman, 1974).</w:t>
      </w:r>
    </w:p>
    <w:p w14:paraId="29B65152" w14:textId="77777777" w:rsidR="00BD2841" w:rsidRDefault="00BD2841">
      <w:pPr>
        <w:spacing w:line="240" w:lineRule="auto"/>
        <w:rPr>
          <w:rFonts w:ascii="Times New Roman" w:eastAsia="Times New Roman" w:hAnsi="Times New Roman" w:cs="Times New Roman"/>
          <w:sz w:val="24"/>
          <w:szCs w:val="24"/>
        </w:rPr>
      </w:pPr>
    </w:p>
    <w:p w14:paraId="525A785A" w14:textId="77777777" w:rsidR="00BD2841"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Respondents</w:t>
      </w:r>
    </w:p>
    <w:p w14:paraId="73C7EC0F"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Expert nominations were secured after obtaining IRB approval. Coordinators of teacher education at SBAE teacher preparation institutions were contacted in December 2024 to provide their nominations via a Qualtrics form; each nomination included the name and email address of each individual. From these nominations, 60 experts within the area of SBAE program facilitation, design, and planning were invited to participate. The panel initially consisted of 42 experts; 40 experts representing 18 states were retained for all three rounds (see Figure 1). With over 13 experts, this study achieved a reliability coefficient of 0.9 (Dalkey et al., 1972). Identifiers were extracted from individual responses to maintain the need for anonymity prescribed by Helmer (1966), Sackman (1974), and Skulmoski et al. (2007).</w:t>
      </w:r>
    </w:p>
    <w:p w14:paraId="57B7F3B5" w14:textId="77777777" w:rsidR="00BD2841" w:rsidRDefault="00BD2841">
      <w:pPr>
        <w:spacing w:line="240" w:lineRule="auto"/>
        <w:rPr>
          <w:rFonts w:ascii="Times New Roman" w:eastAsia="Times New Roman" w:hAnsi="Times New Roman" w:cs="Times New Roman"/>
          <w:b/>
          <w:bCs/>
          <w:sz w:val="24"/>
          <w:szCs w:val="24"/>
        </w:rPr>
      </w:pPr>
    </w:p>
    <w:p w14:paraId="470D5520" w14:textId="77777777" w:rsidR="00BD2841" w:rsidRDefault="00BD2841">
      <w:pPr>
        <w:spacing w:line="240" w:lineRule="auto"/>
        <w:rPr>
          <w:rFonts w:ascii="Times New Roman" w:eastAsia="Times New Roman" w:hAnsi="Times New Roman" w:cs="Times New Roman"/>
          <w:b/>
          <w:bCs/>
          <w:sz w:val="24"/>
          <w:szCs w:val="24"/>
        </w:rPr>
      </w:pPr>
    </w:p>
    <w:p w14:paraId="65877574" w14:textId="77777777" w:rsidR="00BD2841" w:rsidRDefault="00BD2841">
      <w:pPr>
        <w:spacing w:line="240" w:lineRule="auto"/>
        <w:rPr>
          <w:rFonts w:ascii="Times New Roman" w:eastAsia="Times New Roman" w:hAnsi="Times New Roman" w:cs="Times New Roman"/>
          <w:b/>
          <w:bCs/>
          <w:sz w:val="24"/>
          <w:szCs w:val="24"/>
        </w:rPr>
      </w:pPr>
    </w:p>
    <w:p w14:paraId="18B1D243" w14:textId="77777777" w:rsidR="00BD2841"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w:t>
      </w:r>
    </w:p>
    <w:p w14:paraId="78DC1620"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Geographic representation of respondents within the Delphi study</w:t>
      </w:r>
    </w:p>
    <w:p w14:paraId="2E49B5E6"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BCA768A" wp14:editId="6E256F1C">
            <wp:extent cx="2664372" cy="1592317"/>
            <wp:effectExtent l="0" t="0" r="3175"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t="9093"/>
                    <a:stretch>
                      <a:fillRect/>
                    </a:stretch>
                  </pic:blipFill>
                  <pic:spPr>
                    <a:xfrm>
                      <a:off x="0" y="0"/>
                      <a:ext cx="2672976" cy="1597459"/>
                    </a:xfrm>
                    <a:prstGeom prst="rect">
                      <a:avLst/>
                    </a:prstGeom>
                    <a:ln/>
                  </pic:spPr>
                </pic:pic>
              </a:graphicData>
            </a:graphic>
          </wp:inline>
        </w:drawing>
      </w:r>
    </w:p>
    <w:p w14:paraId="5CD3FE29" w14:textId="77777777" w:rsidR="00BD2841"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Data Collection</w:t>
      </w:r>
    </w:p>
    <w:p w14:paraId="4BCA6148"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maximize response rates and mitigate the risk of attrition, recommendations set forth by Dillman et al. (2009; 2014) were followed. For each round, experts were initially contacted on a different day of the week and at a different time for reminders. In Round 1, respondents anonymously shared characteristics that correspond with their idea of an effective SBAE program, along with demographic items. To ensure a consistent understanding of what SBAE refers to, an operationalized definition from The National Council for Agricultural Education (2023a) was provided at the start of the instrument:</w:t>
      </w:r>
    </w:p>
    <w:p w14:paraId="2E02E0B2" w14:textId="77777777" w:rsidR="00BD2841" w:rsidRDefault="00BD2841">
      <w:pPr>
        <w:spacing w:line="240" w:lineRule="auto"/>
        <w:ind w:firstLine="720"/>
        <w:rPr>
          <w:rFonts w:ascii="Times New Roman" w:eastAsia="Times New Roman" w:hAnsi="Times New Roman" w:cs="Times New Roman"/>
          <w:sz w:val="12"/>
          <w:szCs w:val="12"/>
        </w:rPr>
      </w:pPr>
    </w:p>
    <w:p w14:paraId="3F72E8D4"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A systematic program of instruction available to students desiring to learn about the science, business, and technology of plant and animal production and about the environmental and natural resources systems. Students are provided opportunities for leadership development, personal growth, and career success. Agricultural education instruction is delivered through three major components: classroom/laboratory instruction (contextual learning), supervised agricultural experience programs (work-based learning), and student leadership organizations.</w:t>
      </w:r>
    </w:p>
    <w:p w14:paraId="365AD087" w14:textId="77777777" w:rsidR="00BD2841" w:rsidRDefault="00BD2841">
      <w:pPr>
        <w:spacing w:line="240" w:lineRule="auto"/>
        <w:ind w:left="720"/>
        <w:rPr>
          <w:rFonts w:ascii="Times New Roman" w:eastAsia="Times New Roman" w:hAnsi="Times New Roman" w:cs="Times New Roman"/>
          <w:sz w:val="12"/>
          <w:szCs w:val="12"/>
        </w:rPr>
      </w:pPr>
    </w:p>
    <w:p w14:paraId="54FE97C5"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Expert-solicited terms were gathered on a Qualtrics form for Round 1. Experts collectively provided 542 unique terms. Once these terms were gathered, researchers compiled the lists and redistributed them to the expert panel for review, eliminating any duplicate or nearly identical statements and separating out compound statements to generate 174 characteristics across nine themes. Round 2 consisted of respondents indicating their level of agreement with each characteristic. Once again, the experts were reminded of the operationalized definition of SBAE utilized in Round 1. To indicate their agreement with each of the terms, respondents utilized a scale from 1, representing “strongly disagree,” to 6, representing “strongly agree,” for each characteristic. Respondents were also given the opportunity to provide any comments about their rankings or the instrument. This instrument was piloted with individuals not serving as experts for the actual study. After conducting validity checks and testing the reliability of the instrument (Creswell &amp; Creswell, 2018), the Round 2 instrument was sent to the expert panel.</w:t>
      </w:r>
    </w:p>
    <w:p w14:paraId="46113A68" w14:textId="77777777" w:rsidR="00BD2841" w:rsidRDefault="00BD2841">
      <w:pPr>
        <w:spacing w:line="240" w:lineRule="auto"/>
        <w:rPr>
          <w:rFonts w:ascii="Times New Roman" w:eastAsia="Times New Roman" w:hAnsi="Times New Roman" w:cs="Times New Roman"/>
          <w:sz w:val="24"/>
          <w:szCs w:val="24"/>
        </w:rPr>
      </w:pPr>
    </w:p>
    <w:p w14:paraId="1DFA7975"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determined consensus for each item using three criteria: (a) the item’s mean score, (b) the item’s standard deviation, and (c) the percentage of respondents who scored the item as a 5 or 6. First, it was determined that mean scores of 4.8 or greater represented achieving 80% consensus, as 4.8 is 80% of 6 (Sackman, 1974); items with a mean score lower than 4.8 were placed on another list to be sent out for future rounds. Second, in order for an item to reach consensus, the </w:t>
      </w:r>
      <w:r>
        <w:rPr>
          <w:rFonts w:ascii="Times New Roman" w:eastAsia="Times New Roman" w:hAnsi="Times New Roman" w:cs="Times New Roman"/>
          <w:sz w:val="24"/>
          <w:szCs w:val="24"/>
        </w:rPr>
        <w:lastRenderedPageBreak/>
        <w:t>standard deviation for that item needed to be a maximum of 1.0 (Sackman, 1974; Shinn, 1998; Trexler et al., 2006); items with a standard deviation greater than 1.0 were placed on another list to be sent out for future rounds. Lastly, items with a mean score greater than or equal to 4.8, and a standard deviation of no more than 1.0 were checked to ensure that at least 75% of respondents for those items provided an item rating of 5 or 6; any items with less than 75% were placed on another list to be sent out for future rounds (Barrios et al., 2014; Buriak &amp; Shinn, 1989; Diamond et al., 2014; Foth et al., 2016). The 87 items that met the three criteria reached consensus after Round 2. This process continued for Round 3. Only items that met one or two of the three consensus criteria were included in Round 3, which consisted of a total of 40 items. The remaining 47 items from Round 2 that did not meet any of the three consensus criteria were rejected. Characteristics reaching consensus after three rounds were declared the characteristics of an effective SBAE program. In total, the 95 characteristics that surfaced after Round 3 were emailed to all experts to verify their agreement and solicit any final comments.</w:t>
      </w:r>
    </w:p>
    <w:p w14:paraId="2D123088" w14:textId="77777777" w:rsidR="00BD2841" w:rsidRDefault="00BD2841">
      <w:pPr>
        <w:spacing w:line="240" w:lineRule="auto"/>
        <w:ind w:firstLine="720"/>
        <w:rPr>
          <w:rFonts w:ascii="Times New Roman" w:eastAsia="Times New Roman" w:hAnsi="Times New Roman" w:cs="Times New Roman"/>
          <w:sz w:val="12"/>
          <w:szCs w:val="12"/>
        </w:rPr>
      </w:pPr>
    </w:p>
    <w:p w14:paraId="2DDC9FA2" w14:textId="77777777" w:rsidR="00BD2841"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Results</w:t>
      </w:r>
    </w:p>
    <w:p w14:paraId="03E4D59C" w14:textId="77777777" w:rsidR="00BD2841" w:rsidRDefault="00BD2841">
      <w:pPr>
        <w:spacing w:line="240" w:lineRule="auto"/>
        <w:rPr>
          <w:rFonts w:ascii="Times New Roman" w:eastAsia="Times New Roman" w:hAnsi="Times New Roman" w:cs="Times New Roman"/>
          <w:sz w:val="12"/>
          <w:szCs w:val="12"/>
        </w:rPr>
      </w:pPr>
    </w:p>
    <w:p w14:paraId="7CE36748"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95 accepted SBAE program characteristics spanned across nine themes, and provide a holistic approach to thinking about SBAE programming. To highlight this, the findings are presented in alignment with the research objectives connected to the traditional three-component model (i.e., objective 1), best management practices (i.e., objective 2), and resource and stakeholder needs (i.e., objective 3). Objective 1 determined the characteristics of an effective SBAE program based on the traditional three-component model. Within the classroom instruction theme, experts reached agreement on 25 characteristics, including the opportunity to extend learning beyond the classroom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5.78;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0.42), having an up-to-date curriculum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5.78;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0.48), and an emphasis on real-world learning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5.75;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0.49; see Table 1).</w:t>
      </w:r>
    </w:p>
    <w:p w14:paraId="3AFE3C67" w14:textId="77777777" w:rsidR="00BD2841" w:rsidRDefault="00BD2841">
      <w:pPr>
        <w:spacing w:line="240" w:lineRule="auto"/>
        <w:rPr>
          <w:rFonts w:ascii="Times New Roman" w:eastAsia="Times New Roman" w:hAnsi="Times New Roman" w:cs="Times New Roman"/>
          <w:sz w:val="24"/>
          <w:szCs w:val="24"/>
        </w:rPr>
      </w:pPr>
    </w:p>
    <w:p w14:paraId="46601003" w14:textId="77777777" w:rsidR="00BD2841"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1</w:t>
      </w:r>
    </w:p>
    <w:p w14:paraId="6E531FB3"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Consensus-achieving curriculum or classroom characteristics (n = 40)</w:t>
      </w:r>
    </w:p>
    <w:tbl>
      <w:tblPr>
        <w:tblStyle w:val="a"/>
        <w:tblW w:w="943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0"/>
        <w:gridCol w:w="648"/>
        <w:gridCol w:w="648"/>
        <w:gridCol w:w="1296"/>
      </w:tblGrid>
      <w:tr w:rsidR="00BD2841" w14:paraId="1B648116" w14:textId="77777777">
        <w:trPr>
          <w:trHeight w:val="275"/>
        </w:trPr>
        <w:tc>
          <w:tcPr>
            <w:tcW w:w="6840" w:type="dxa"/>
            <w:tcBorders>
              <w:top w:val="single" w:sz="6" w:space="0" w:color="000000"/>
              <w:bottom w:val="single" w:sz="8" w:space="0" w:color="000000"/>
            </w:tcBorders>
            <w:tcMar>
              <w:top w:w="0" w:type="dxa"/>
              <w:bottom w:w="0" w:type="dxa"/>
            </w:tcMar>
            <w:vAlign w:val="center"/>
          </w:tcPr>
          <w:p w14:paraId="05F4035A"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Characteristic</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7D3147C4" w14:textId="77777777" w:rsidR="00BD2841"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μ</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669B339F" w14:textId="77777777" w:rsidR="00BD2841"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σ</w:t>
            </w:r>
          </w:p>
        </w:tc>
        <w:tc>
          <w:tcPr>
            <w:tcW w:w="1296"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6B18398B"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Agreement</w:t>
            </w:r>
          </w:p>
        </w:tc>
      </w:tr>
      <w:tr w:rsidR="00BD2841" w14:paraId="1348D57B" w14:textId="77777777">
        <w:tc>
          <w:tcPr>
            <w:tcW w:w="6840" w:type="dxa"/>
            <w:tcBorders>
              <w:top w:val="nil"/>
              <w:left w:val="nil"/>
              <w:bottom w:val="nil"/>
              <w:right w:val="nil"/>
            </w:tcBorders>
            <w:tcMar>
              <w:top w:w="0" w:type="dxa"/>
              <w:left w:w="100" w:type="dxa"/>
              <w:bottom w:w="0" w:type="dxa"/>
              <w:right w:w="100" w:type="dxa"/>
            </w:tcMar>
            <w:vAlign w:val="center"/>
          </w:tcPr>
          <w:p w14:paraId="79B8D892"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Opportunity to extend learning beyond the classroom</w:t>
            </w:r>
          </w:p>
        </w:tc>
        <w:tc>
          <w:tcPr>
            <w:tcW w:w="648" w:type="dxa"/>
            <w:tcBorders>
              <w:top w:val="nil"/>
              <w:left w:val="nil"/>
              <w:bottom w:val="nil"/>
              <w:right w:val="nil"/>
            </w:tcBorders>
            <w:tcMar>
              <w:top w:w="0" w:type="dxa"/>
              <w:left w:w="0" w:type="dxa"/>
              <w:bottom w:w="0" w:type="dxa"/>
              <w:right w:w="0" w:type="dxa"/>
            </w:tcMar>
            <w:vAlign w:val="bottom"/>
          </w:tcPr>
          <w:p w14:paraId="43593FFE"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5.78</w:t>
            </w:r>
          </w:p>
        </w:tc>
        <w:tc>
          <w:tcPr>
            <w:tcW w:w="648" w:type="dxa"/>
            <w:tcBorders>
              <w:top w:val="nil"/>
              <w:left w:val="nil"/>
              <w:bottom w:val="nil"/>
              <w:right w:val="nil"/>
            </w:tcBorders>
            <w:tcMar>
              <w:top w:w="0" w:type="dxa"/>
              <w:left w:w="0" w:type="dxa"/>
              <w:bottom w:w="0" w:type="dxa"/>
              <w:right w:w="0" w:type="dxa"/>
            </w:tcMar>
            <w:vAlign w:val="bottom"/>
          </w:tcPr>
          <w:p w14:paraId="51F8BCC7"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0.42</w:t>
            </w:r>
          </w:p>
        </w:tc>
        <w:tc>
          <w:tcPr>
            <w:tcW w:w="1296" w:type="dxa"/>
            <w:tcBorders>
              <w:top w:val="nil"/>
              <w:left w:val="nil"/>
              <w:bottom w:val="nil"/>
              <w:right w:val="nil"/>
            </w:tcBorders>
            <w:tcMar>
              <w:top w:w="0" w:type="dxa"/>
              <w:left w:w="0" w:type="dxa"/>
              <w:bottom w:w="0" w:type="dxa"/>
              <w:right w:w="0" w:type="dxa"/>
            </w:tcMar>
            <w:vAlign w:val="bottom"/>
          </w:tcPr>
          <w:p w14:paraId="4E6EFF6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r>
      <w:tr w:rsidR="00BD2841" w14:paraId="1114FC50"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6C3298F6"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Up-to-date curriculum</w:t>
            </w:r>
          </w:p>
        </w:tc>
        <w:tc>
          <w:tcPr>
            <w:tcW w:w="648" w:type="dxa"/>
            <w:tcBorders>
              <w:top w:val="nil"/>
              <w:left w:val="nil"/>
              <w:bottom w:val="nil"/>
              <w:right w:val="nil"/>
            </w:tcBorders>
            <w:tcMar>
              <w:top w:w="0" w:type="dxa"/>
              <w:left w:w="0" w:type="dxa"/>
              <w:bottom w:w="0" w:type="dxa"/>
              <w:right w:w="0" w:type="dxa"/>
            </w:tcMar>
            <w:vAlign w:val="bottom"/>
          </w:tcPr>
          <w:p w14:paraId="6C2307EE"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5.78</w:t>
            </w:r>
          </w:p>
        </w:tc>
        <w:tc>
          <w:tcPr>
            <w:tcW w:w="648" w:type="dxa"/>
            <w:tcBorders>
              <w:top w:val="nil"/>
              <w:left w:val="nil"/>
              <w:bottom w:val="nil"/>
              <w:right w:val="nil"/>
            </w:tcBorders>
            <w:tcMar>
              <w:top w:w="0" w:type="dxa"/>
              <w:left w:w="0" w:type="dxa"/>
              <w:bottom w:w="0" w:type="dxa"/>
              <w:right w:w="0" w:type="dxa"/>
            </w:tcMar>
            <w:vAlign w:val="bottom"/>
          </w:tcPr>
          <w:p w14:paraId="16F42B53"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0.48</w:t>
            </w:r>
          </w:p>
        </w:tc>
        <w:tc>
          <w:tcPr>
            <w:tcW w:w="1296" w:type="dxa"/>
            <w:tcBorders>
              <w:top w:val="nil"/>
              <w:left w:val="nil"/>
              <w:bottom w:val="nil"/>
              <w:right w:val="nil"/>
            </w:tcBorders>
            <w:tcMar>
              <w:top w:w="0" w:type="dxa"/>
              <w:left w:w="0" w:type="dxa"/>
              <w:bottom w:w="0" w:type="dxa"/>
              <w:right w:w="0" w:type="dxa"/>
            </w:tcMar>
            <w:vAlign w:val="bottom"/>
          </w:tcPr>
          <w:p w14:paraId="302EDE5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98%</w:t>
            </w:r>
          </w:p>
        </w:tc>
      </w:tr>
      <w:tr w:rsidR="00BD2841" w14:paraId="2C29931E"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6D2045D4"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Emphasizes real-world learning experiences</w:t>
            </w:r>
          </w:p>
        </w:tc>
        <w:tc>
          <w:tcPr>
            <w:tcW w:w="648" w:type="dxa"/>
            <w:tcBorders>
              <w:top w:val="nil"/>
              <w:left w:val="nil"/>
              <w:bottom w:val="nil"/>
              <w:right w:val="nil"/>
            </w:tcBorders>
            <w:tcMar>
              <w:top w:w="0" w:type="dxa"/>
              <w:left w:w="0" w:type="dxa"/>
              <w:bottom w:w="0" w:type="dxa"/>
              <w:right w:w="0" w:type="dxa"/>
            </w:tcMar>
            <w:vAlign w:val="bottom"/>
          </w:tcPr>
          <w:p w14:paraId="0A23BBC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5.75</w:t>
            </w:r>
          </w:p>
        </w:tc>
        <w:tc>
          <w:tcPr>
            <w:tcW w:w="648" w:type="dxa"/>
            <w:tcBorders>
              <w:top w:val="nil"/>
              <w:left w:val="nil"/>
              <w:bottom w:val="nil"/>
              <w:right w:val="nil"/>
            </w:tcBorders>
            <w:tcMar>
              <w:top w:w="0" w:type="dxa"/>
              <w:left w:w="0" w:type="dxa"/>
              <w:bottom w:w="0" w:type="dxa"/>
              <w:right w:w="0" w:type="dxa"/>
            </w:tcMar>
            <w:vAlign w:val="bottom"/>
          </w:tcPr>
          <w:p w14:paraId="17E741AC"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0.49</w:t>
            </w:r>
          </w:p>
        </w:tc>
        <w:tc>
          <w:tcPr>
            <w:tcW w:w="1296" w:type="dxa"/>
            <w:tcBorders>
              <w:top w:val="nil"/>
              <w:left w:val="nil"/>
              <w:bottom w:val="nil"/>
              <w:right w:val="nil"/>
            </w:tcBorders>
            <w:tcMar>
              <w:top w:w="0" w:type="dxa"/>
              <w:left w:w="0" w:type="dxa"/>
              <w:bottom w:w="0" w:type="dxa"/>
              <w:right w:w="0" w:type="dxa"/>
            </w:tcMar>
            <w:vAlign w:val="bottom"/>
          </w:tcPr>
          <w:p w14:paraId="1DCF1371"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98%</w:t>
            </w:r>
          </w:p>
        </w:tc>
      </w:tr>
      <w:tr w:rsidR="00BD2841" w14:paraId="34B2DF16"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51FDC129"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Engagement in laboratory instruction</w:t>
            </w:r>
          </w:p>
        </w:tc>
        <w:tc>
          <w:tcPr>
            <w:tcW w:w="648" w:type="dxa"/>
            <w:tcBorders>
              <w:top w:val="nil"/>
              <w:left w:val="nil"/>
              <w:bottom w:val="nil"/>
              <w:right w:val="nil"/>
            </w:tcBorders>
            <w:tcMar>
              <w:top w:w="0" w:type="dxa"/>
              <w:left w:w="0" w:type="dxa"/>
              <w:bottom w:w="0" w:type="dxa"/>
              <w:right w:w="0" w:type="dxa"/>
            </w:tcMar>
            <w:vAlign w:val="bottom"/>
          </w:tcPr>
          <w:p w14:paraId="0EE824E1"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5.68</w:t>
            </w:r>
          </w:p>
        </w:tc>
        <w:tc>
          <w:tcPr>
            <w:tcW w:w="648" w:type="dxa"/>
            <w:tcBorders>
              <w:top w:val="nil"/>
              <w:left w:val="nil"/>
              <w:bottom w:val="nil"/>
              <w:right w:val="nil"/>
            </w:tcBorders>
            <w:tcMar>
              <w:top w:w="0" w:type="dxa"/>
              <w:left w:w="0" w:type="dxa"/>
              <w:bottom w:w="0" w:type="dxa"/>
              <w:right w:w="0" w:type="dxa"/>
            </w:tcMar>
            <w:vAlign w:val="bottom"/>
          </w:tcPr>
          <w:p w14:paraId="7ADB7D30"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0.57</w:t>
            </w:r>
          </w:p>
        </w:tc>
        <w:tc>
          <w:tcPr>
            <w:tcW w:w="1296" w:type="dxa"/>
            <w:tcBorders>
              <w:top w:val="nil"/>
              <w:left w:val="nil"/>
              <w:bottom w:val="nil"/>
              <w:right w:val="nil"/>
            </w:tcBorders>
            <w:tcMar>
              <w:top w:w="0" w:type="dxa"/>
              <w:left w:w="0" w:type="dxa"/>
              <w:bottom w:w="0" w:type="dxa"/>
              <w:right w:w="0" w:type="dxa"/>
            </w:tcMar>
            <w:vAlign w:val="bottom"/>
          </w:tcPr>
          <w:p w14:paraId="515E9625"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95%</w:t>
            </w:r>
          </w:p>
        </w:tc>
      </w:tr>
      <w:tr w:rsidR="00BD2841" w14:paraId="72729BE6"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4D251A12"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Engagement in classroom instruction</w:t>
            </w:r>
          </w:p>
        </w:tc>
        <w:tc>
          <w:tcPr>
            <w:tcW w:w="648" w:type="dxa"/>
            <w:tcBorders>
              <w:top w:val="nil"/>
              <w:left w:val="nil"/>
              <w:bottom w:val="nil"/>
              <w:right w:val="nil"/>
            </w:tcBorders>
            <w:tcMar>
              <w:top w:w="0" w:type="dxa"/>
              <w:left w:w="0" w:type="dxa"/>
              <w:bottom w:w="0" w:type="dxa"/>
              <w:right w:w="0" w:type="dxa"/>
            </w:tcMar>
            <w:vAlign w:val="bottom"/>
          </w:tcPr>
          <w:p w14:paraId="2365FE88"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5.60</w:t>
            </w:r>
          </w:p>
        </w:tc>
        <w:tc>
          <w:tcPr>
            <w:tcW w:w="648" w:type="dxa"/>
            <w:tcBorders>
              <w:top w:val="nil"/>
              <w:left w:val="nil"/>
              <w:bottom w:val="nil"/>
              <w:right w:val="nil"/>
            </w:tcBorders>
            <w:tcMar>
              <w:top w:w="0" w:type="dxa"/>
              <w:left w:w="0" w:type="dxa"/>
              <w:bottom w:w="0" w:type="dxa"/>
              <w:right w:w="0" w:type="dxa"/>
            </w:tcMar>
            <w:vAlign w:val="bottom"/>
          </w:tcPr>
          <w:p w14:paraId="1AE260A7"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0.63</w:t>
            </w:r>
          </w:p>
        </w:tc>
        <w:tc>
          <w:tcPr>
            <w:tcW w:w="1296" w:type="dxa"/>
            <w:tcBorders>
              <w:top w:val="nil"/>
              <w:left w:val="nil"/>
              <w:bottom w:val="nil"/>
              <w:right w:val="nil"/>
            </w:tcBorders>
            <w:tcMar>
              <w:top w:w="0" w:type="dxa"/>
              <w:left w:w="0" w:type="dxa"/>
              <w:bottom w:w="0" w:type="dxa"/>
              <w:right w:w="0" w:type="dxa"/>
            </w:tcMar>
            <w:vAlign w:val="bottom"/>
          </w:tcPr>
          <w:p w14:paraId="79A2B7D0"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93%</w:t>
            </w:r>
          </w:p>
        </w:tc>
      </w:tr>
      <w:tr w:rsidR="00BD2841" w14:paraId="2290B33B"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31D3B1A1"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Emphasizes problem-solving skill development</w:t>
            </w:r>
          </w:p>
        </w:tc>
        <w:tc>
          <w:tcPr>
            <w:tcW w:w="648" w:type="dxa"/>
            <w:tcBorders>
              <w:top w:val="nil"/>
              <w:left w:val="nil"/>
              <w:bottom w:val="nil"/>
              <w:right w:val="nil"/>
            </w:tcBorders>
            <w:tcMar>
              <w:top w:w="0" w:type="dxa"/>
              <w:left w:w="0" w:type="dxa"/>
              <w:bottom w:w="0" w:type="dxa"/>
              <w:right w:w="0" w:type="dxa"/>
            </w:tcMar>
            <w:vAlign w:val="bottom"/>
          </w:tcPr>
          <w:p w14:paraId="215236B2"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5.60</w:t>
            </w:r>
          </w:p>
        </w:tc>
        <w:tc>
          <w:tcPr>
            <w:tcW w:w="648" w:type="dxa"/>
            <w:tcBorders>
              <w:top w:val="nil"/>
              <w:left w:val="nil"/>
              <w:bottom w:val="nil"/>
              <w:right w:val="nil"/>
            </w:tcBorders>
            <w:tcMar>
              <w:top w:w="0" w:type="dxa"/>
              <w:left w:w="0" w:type="dxa"/>
              <w:bottom w:w="0" w:type="dxa"/>
              <w:right w:w="0" w:type="dxa"/>
            </w:tcMar>
            <w:vAlign w:val="bottom"/>
          </w:tcPr>
          <w:p w14:paraId="6A090FE5"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0.63</w:t>
            </w:r>
          </w:p>
        </w:tc>
        <w:tc>
          <w:tcPr>
            <w:tcW w:w="1296" w:type="dxa"/>
            <w:tcBorders>
              <w:top w:val="nil"/>
              <w:left w:val="nil"/>
              <w:bottom w:val="nil"/>
              <w:right w:val="nil"/>
            </w:tcBorders>
            <w:tcMar>
              <w:top w:w="0" w:type="dxa"/>
              <w:left w:w="0" w:type="dxa"/>
              <w:bottom w:w="0" w:type="dxa"/>
              <w:right w:w="0" w:type="dxa"/>
            </w:tcMar>
            <w:vAlign w:val="bottom"/>
          </w:tcPr>
          <w:p w14:paraId="78B3BE19"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93%</w:t>
            </w:r>
          </w:p>
        </w:tc>
      </w:tr>
      <w:tr w:rsidR="00BD2841" w14:paraId="269D3923"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2438925C"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Frequent feedback for student learning</w:t>
            </w:r>
          </w:p>
        </w:tc>
        <w:tc>
          <w:tcPr>
            <w:tcW w:w="648" w:type="dxa"/>
            <w:tcBorders>
              <w:top w:val="nil"/>
              <w:left w:val="nil"/>
              <w:bottom w:val="nil"/>
              <w:right w:val="nil"/>
            </w:tcBorders>
            <w:tcMar>
              <w:top w:w="0" w:type="dxa"/>
              <w:left w:w="0" w:type="dxa"/>
              <w:bottom w:w="0" w:type="dxa"/>
              <w:right w:w="0" w:type="dxa"/>
            </w:tcMar>
            <w:vAlign w:val="bottom"/>
          </w:tcPr>
          <w:p w14:paraId="2953A88B"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5.55</w:t>
            </w:r>
          </w:p>
        </w:tc>
        <w:tc>
          <w:tcPr>
            <w:tcW w:w="648" w:type="dxa"/>
            <w:tcBorders>
              <w:top w:val="nil"/>
              <w:left w:val="nil"/>
              <w:bottom w:val="nil"/>
              <w:right w:val="nil"/>
            </w:tcBorders>
            <w:tcMar>
              <w:top w:w="0" w:type="dxa"/>
              <w:left w:w="0" w:type="dxa"/>
              <w:bottom w:w="0" w:type="dxa"/>
              <w:right w:w="0" w:type="dxa"/>
            </w:tcMar>
            <w:vAlign w:val="bottom"/>
          </w:tcPr>
          <w:p w14:paraId="09759D2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0.71</w:t>
            </w:r>
          </w:p>
        </w:tc>
        <w:tc>
          <w:tcPr>
            <w:tcW w:w="1296" w:type="dxa"/>
            <w:tcBorders>
              <w:top w:val="nil"/>
              <w:left w:val="nil"/>
              <w:bottom w:val="nil"/>
              <w:right w:val="nil"/>
            </w:tcBorders>
            <w:tcMar>
              <w:top w:w="0" w:type="dxa"/>
              <w:left w:w="0" w:type="dxa"/>
              <w:bottom w:w="0" w:type="dxa"/>
              <w:right w:w="0" w:type="dxa"/>
            </w:tcMar>
            <w:vAlign w:val="bottom"/>
          </w:tcPr>
          <w:p w14:paraId="001AFE5F"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93%</w:t>
            </w:r>
          </w:p>
        </w:tc>
      </w:tr>
      <w:tr w:rsidR="00BD2841" w14:paraId="47CC471F"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78A5B726"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Emphasizes hands-on learning</w:t>
            </w:r>
          </w:p>
        </w:tc>
        <w:tc>
          <w:tcPr>
            <w:tcW w:w="648" w:type="dxa"/>
            <w:tcBorders>
              <w:top w:val="nil"/>
              <w:left w:val="nil"/>
              <w:bottom w:val="nil"/>
              <w:right w:val="nil"/>
            </w:tcBorders>
            <w:tcMar>
              <w:top w:w="0" w:type="dxa"/>
              <w:left w:w="0" w:type="dxa"/>
              <w:bottom w:w="0" w:type="dxa"/>
              <w:right w:w="0" w:type="dxa"/>
            </w:tcMar>
            <w:vAlign w:val="bottom"/>
          </w:tcPr>
          <w:p w14:paraId="08702751"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5.53</w:t>
            </w:r>
          </w:p>
        </w:tc>
        <w:tc>
          <w:tcPr>
            <w:tcW w:w="648" w:type="dxa"/>
            <w:tcBorders>
              <w:top w:val="nil"/>
              <w:left w:val="nil"/>
              <w:bottom w:val="nil"/>
              <w:right w:val="nil"/>
            </w:tcBorders>
            <w:tcMar>
              <w:top w:w="0" w:type="dxa"/>
              <w:left w:w="0" w:type="dxa"/>
              <w:bottom w:w="0" w:type="dxa"/>
              <w:right w:w="0" w:type="dxa"/>
            </w:tcMar>
            <w:vAlign w:val="bottom"/>
          </w:tcPr>
          <w:p w14:paraId="51A1014D"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0.60</w:t>
            </w:r>
          </w:p>
        </w:tc>
        <w:tc>
          <w:tcPr>
            <w:tcW w:w="1296" w:type="dxa"/>
            <w:tcBorders>
              <w:top w:val="nil"/>
              <w:left w:val="nil"/>
              <w:bottom w:val="nil"/>
              <w:right w:val="nil"/>
            </w:tcBorders>
            <w:tcMar>
              <w:top w:w="0" w:type="dxa"/>
              <w:left w:w="0" w:type="dxa"/>
              <w:bottom w:w="0" w:type="dxa"/>
              <w:right w:w="0" w:type="dxa"/>
            </w:tcMar>
            <w:vAlign w:val="bottom"/>
          </w:tcPr>
          <w:p w14:paraId="28BBCDA0"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95%</w:t>
            </w:r>
          </w:p>
        </w:tc>
      </w:tr>
      <w:tr w:rsidR="00BD2841" w14:paraId="5930AF44"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02D13B7E"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Emphasizes employability skill development</w:t>
            </w:r>
          </w:p>
        </w:tc>
        <w:tc>
          <w:tcPr>
            <w:tcW w:w="648" w:type="dxa"/>
            <w:tcBorders>
              <w:top w:val="nil"/>
              <w:left w:val="nil"/>
              <w:bottom w:val="nil"/>
              <w:right w:val="nil"/>
            </w:tcBorders>
            <w:tcMar>
              <w:top w:w="0" w:type="dxa"/>
              <w:left w:w="0" w:type="dxa"/>
              <w:bottom w:w="0" w:type="dxa"/>
              <w:right w:w="0" w:type="dxa"/>
            </w:tcMar>
            <w:vAlign w:val="bottom"/>
          </w:tcPr>
          <w:p w14:paraId="2FE4125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5.53</w:t>
            </w:r>
          </w:p>
        </w:tc>
        <w:tc>
          <w:tcPr>
            <w:tcW w:w="648" w:type="dxa"/>
            <w:tcBorders>
              <w:top w:val="nil"/>
              <w:left w:val="nil"/>
              <w:bottom w:val="nil"/>
              <w:right w:val="nil"/>
            </w:tcBorders>
            <w:tcMar>
              <w:top w:w="0" w:type="dxa"/>
              <w:left w:w="0" w:type="dxa"/>
              <w:bottom w:w="0" w:type="dxa"/>
              <w:right w:w="0" w:type="dxa"/>
            </w:tcMar>
            <w:vAlign w:val="bottom"/>
          </w:tcPr>
          <w:p w14:paraId="5BA0449C"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0.68</w:t>
            </w:r>
          </w:p>
        </w:tc>
        <w:tc>
          <w:tcPr>
            <w:tcW w:w="1296" w:type="dxa"/>
            <w:tcBorders>
              <w:top w:val="nil"/>
              <w:left w:val="nil"/>
              <w:bottom w:val="nil"/>
              <w:right w:val="nil"/>
            </w:tcBorders>
            <w:tcMar>
              <w:top w:w="0" w:type="dxa"/>
              <w:left w:w="0" w:type="dxa"/>
              <w:bottom w:w="0" w:type="dxa"/>
              <w:right w:w="0" w:type="dxa"/>
            </w:tcMar>
            <w:vAlign w:val="bottom"/>
          </w:tcPr>
          <w:p w14:paraId="2E74FD93"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90%</w:t>
            </w:r>
          </w:p>
        </w:tc>
      </w:tr>
      <w:tr w:rsidR="00BD2841" w14:paraId="2862A216"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3BC0ACC1"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Differentiation for student learning</w:t>
            </w:r>
          </w:p>
        </w:tc>
        <w:tc>
          <w:tcPr>
            <w:tcW w:w="648" w:type="dxa"/>
            <w:tcBorders>
              <w:top w:val="nil"/>
              <w:left w:val="nil"/>
              <w:bottom w:val="nil"/>
              <w:right w:val="nil"/>
            </w:tcBorders>
            <w:tcMar>
              <w:top w:w="0" w:type="dxa"/>
              <w:left w:w="0" w:type="dxa"/>
              <w:bottom w:w="0" w:type="dxa"/>
              <w:right w:w="0" w:type="dxa"/>
            </w:tcMar>
            <w:vAlign w:val="bottom"/>
          </w:tcPr>
          <w:p w14:paraId="69B034E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5.50</w:t>
            </w:r>
          </w:p>
        </w:tc>
        <w:tc>
          <w:tcPr>
            <w:tcW w:w="648" w:type="dxa"/>
            <w:tcBorders>
              <w:top w:val="nil"/>
              <w:left w:val="nil"/>
              <w:bottom w:val="nil"/>
              <w:right w:val="nil"/>
            </w:tcBorders>
            <w:tcMar>
              <w:top w:w="0" w:type="dxa"/>
              <w:left w:w="0" w:type="dxa"/>
              <w:bottom w:w="0" w:type="dxa"/>
              <w:right w:w="0" w:type="dxa"/>
            </w:tcMar>
            <w:vAlign w:val="bottom"/>
          </w:tcPr>
          <w:p w14:paraId="27EAD5D1"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0.68</w:t>
            </w:r>
          </w:p>
        </w:tc>
        <w:tc>
          <w:tcPr>
            <w:tcW w:w="1296" w:type="dxa"/>
            <w:tcBorders>
              <w:top w:val="nil"/>
              <w:left w:val="nil"/>
              <w:bottom w:val="nil"/>
              <w:right w:val="nil"/>
            </w:tcBorders>
            <w:tcMar>
              <w:top w:w="0" w:type="dxa"/>
              <w:left w:w="0" w:type="dxa"/>
              <w:bottom w:w="0" w:type="dxa"/>
              <w:right w:w="0" w:type="dxa"/>
            </w:tcMar>
            <w:vAlign w:val="bottom"/>
          </w:tcPr>
          <w:p w14:paraId="77198079"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90%</w:t>
            </w:r>
          </w:p>
        </w:tc>
      </w:tr>
      <w:tr w:rsidR="00BD2841" w14:paraId="0839EE0F"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6AF0F0B2"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Curriculum aligned with AFNR standards</w:t>
            </w:r>
          </w:p>
        </w:tc>
        <w:tc>
          <w:tcPr>
            <w:tcW w:w="648" w:type="dxa"/>
            <w:tcBorders>
              <w:top w:val="nil"/>
              <w:left w:val="nil"/>
              <w:bottom w:val="nil"/>
              <w:right w:val="nil"/>
            </w:tcBorders>
            <w:tcMar>
              <w:top w:w="0" w:type="dxa"/>
              <w:left w:w="0" w:type="dxa"/>
              <w:bottom w:w="0" w:type="dxa"/>
              <w:right w:w="0" w:type="dxa"/>
            </w:tcMar>
            <w:vAlign w:val="bottom"/>
          </w:tcPr>
          <w:p w14:paraId="384EBA2D"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5.45</w:t>
            </w:r>
          </w:p>
        </w:tc>
        <w:tc>
          <w:tcPr>
            <w:tcW w:w="648" w:type="dxa"/>
            <w:tcBorders>
              <w:top w:val="nil"/>
              <w:left w:val="nil"/>
              <w:bottom w:val="nil"/>
              <w:right w:val="nil"/>
            </w:tcBorders>
            <w:tcMar>
              <w:top w:w="0" w:type="dxa"/>
              <w:left w:w="0" w:type="dxa"/>
              <w:bottom w:w="0" w:type="dxa"/>
              <w:right w:w="0" w:type="dxa"/>
            </w:tcMar>
            <w:vAlign w:val="bottom"/>
          </w:tcPr>
          <w:p w14:paraId="3F491E33"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0.96</w:t>
            </w:r>
          </w:p>
        </w:tc>
        <w:tc>
          <w:tcPr>
            <w:tcW w:w="1296" w:type="dxa"/>
            <w:tcBorders>
              <w:top w:val="nil"/>
              <w:left w:val="nil"/>
              <w:bottom w:val="nil"/>
              <w:right w:val="nil"/>
            </w:tcBorders>
            <w:tcMar>
              <w:top w:w="0" w:type="dxa"/>
              <w:left w:w="0" w:type="dxa"/>
              <w:bottom w:w="0" w:type="dxa"/>
              <w:right w:w="0" w:type="dxa"/>
            </w:tcMar>
            <w:vAlign w:val="bottom"/>
          </w:tcPr>
          <w:p w14:paraId="731859CC"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90%</w:t>
            </w:r>
          </w:p>
        </w:tc>
      </w:tr>
      <w:tr w:rsidR="00BD2841" w14:paraId="03CD16E4"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316E6E2C"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Driven by teaching and learning theory</w:t>
            </w:r>
          </w:p>
        </w:tc>
        <w:tc>
          <w:tcPr>
            <w:tcW w:w="648" w:type="dxa"/>
            <w:tcBorders>
              <w:top w:val="nil"/>
              <w:left w:val="nil"/>
              <w:bottom w:val="nil"/>
              <w:right w:val="nil"/>
            </w:tcBorders>
            <w:tcMar>
              <w:top w:w="0" w:type="dxa"/>
              <w:left w:w="0" w:type="dxa"/>
              <w:bottom w:w="0" w:type="dxa"/>
              <w:right w:w="0" w:type="dxa"/>
            </w:tcMar>
            <w:vAlign w:val="bottom"/>
          </w:tcPr>
          <w:p w14:paraId="748554B7"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5.43</w:t>
            </w:r>
          </w:p>
        </w:tc>
        <w:tc>
          <w:tcPr>
            <w:tcW w:w="648" w:type="dxa"/>
            <w:tcBorders>
              <w:top w:val="nil"/>
              <w:left w:val="nil"/>
              <w:bottom w:val="nil"/>
              <w:right w:val="nil"/>
            </w:tcBorders>
            <w:tcMar>
              <w:top w:w="0" w:type="dxa"/>
              <w:left w:w="0" w:type="dxa"/>
              <w:bottom w:w="0" w:type="dxa"/>
              <w:right w:w="0" w:type="dxa"/>
            </w:tcMar>
            <w:vAlign w:val="bottom"/>
          </w:tcPr>
          <w:p w14:paraId="3A0FDC4E"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0.78</w:t>
            </w:r>
          </w:p>
        </w:tc>
        <w:tc>
          <w:tcPr>
            <w:tcW w:w="1296" w:type="dxa"/>
            <w:tcBorders>
              <w:top w:val="nil"/>
              <w:left w:val="nil"/>
              <w:bottom w:val="nil"/>
              <w:right w:val="nil"/>
            </w:tcBorders>
            <w:tcMar>
              <w:top w:w="0" w:type="dxa"/>
              <w:left w:w="0" w:type="dxa"/>
              <w:bottom w:w="0" w:type="dxa"/>
              <w:right w:w="0" w:type="dxa"/>
            </w:tcMar>
            <w:vAlign w:val="bottom"/>
          </w:tcPr>
          <w:p w14:paraId="0D835E80"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w:t>
            </w:r>
          </w:p>
        </w:tc>
      </w:tr>
      <w:tr w:rsidR="00BD2841" w14:paraId="2171F1D5"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6DF3D9C1"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Emphasizes career exploration</w:t>
            </w:r>
          </w:p>
        </w:tc>
        <w:tc>
          <w:tcPr>
            <w:tcW w:w="648" w:type="dxa"/>
            <w:tcBorders>
              <w:top w:val="nil"/>
              <w:left w:val="nil"/>
              <w:bottom w:val="nil"/>
              <w:right w:val="nil"/>
            </w:tcBorders>
            <w:tcMar>
              <w:top w:w="0" w:type="dxa"/>
              <w:left w:w="0" w:type="dxa"/>
              <w:bottom w:w="0" w:type="dxa"/>
              <w:right w:w="0" w:type="dxa"/>
            </w:tcMar>
            <w:vAlign w:val="bottom"/>
          </w:tcPr>
          <w:p w14:paraId="3EF5B268"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5.43</w:t>
            </w:r>
          </w:p>
        </w:tc>
        <w:tc>
          <w:tcPr>
            <w:tcW w:w="648" w:type="dxa"/>
            <w:tcBorders>
              <w:top w:val="nil"/>
              <w:left w:val="nil"/>
              <w:bottom w:val="nil"/>
              <w:right w:val="nil"/>
            </w:tcBorders>
            <w:tcMar>
              <w:top w:w="0" w:type="dxa"/>
              <w:left w:w="0" w:type="dxa"/>
              <w:bottom w:w="0" w:type="dxa"/>
              <w:right w:w="0" w:type="dxa"/>
            </w:tcMar>
            <w:vAlign w:val="bottom"/>
          </w:tcPr>
          <w:p w14:paraId="72CA0BD5"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0.71</w:t>
            </w:r>
          </w:p>
        </w:tc>
        <w:tc>
          <w:tcPr>
            <w:tcW w:w="1296" w:type="dxa"/>
            <w:tcBorders>
              <w:top w:val="nil"/>
              <w:left w:val="nil"/>
              <w:bottom w:val="nil"/>
              <w:right w:val="nil"/>
            </w:tcBorders>
            <w:tcMar>
              <w:top w:w="0" w:type="dxa"/>
              <w:left w:w="0" w:type="dxa"/>
              <w:bottom w:w="0" w:type="dxa"/>
              <w:right w:w="0" w:type="dxa"/>
            </w:tcMar>
            <w:vAlign w:val="bottom"/>
          </w:tcPr>
          <w:p w14:paraId="4C34D23B"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w:t>
            </w:r>
          </w:p>
        </w:tc>
      </w:tr>
      <w:tr w:rsidR="00BD2841" w14:paraId="75A80E98"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2B574E66"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Curriculum aligned with local workforce needs</w:t>
            </w:r>
          </w:p>
        </w:tc>
        <w:tc>
          <w:tcPr>
            <w:tcW w:w="648" w:type="dxa"/>
            <w:tcBorders>
              <w:top w:val="nil"/>
              <w:left w:val="nil"/>
              <w:bottom w:val="nil"/>
              <w:right w:val="nil"/>
            </w:tcBorders>
            <w:tcMar>
              <w:top w:w="0" w:type="dxa"/>
              <w:left w:w="0" w:type="dxa"/>
              <w:bottom w:w="0" w:type="dxa"/>
              <w:right w:w="0" w:type="dxa"/>
            </w:tcMar>
            <w:vAlign w:val="bottom"/>
          </w:tcPr>
          <w:p w14:paraId="4F67669C"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5.35</w:t>
            </w:r>
          </w:p>
        </w:tc>
        <w:tc>
          <w:tcPr>
            <w:tcW w:w="648" w:type="dxa"/>
            <w:tcBorders>
              <w:top w:val="nil"/>
              <w:left w:val="nil"/>
              <w:bottom w:val="nil"/>
              <w:right w:val="nil"/>
            </w:tcBorders>
            <w:tcMar>
              <w:top w:w="0" w:type="dxa"/>
              <w:left w:w="0" w:type="dxa"/>
              <w:bottom w:w="0" w:type="dxa"/>
              <w:right w:w="0" w:type="dxa"/>
            </w:tcMar>
            <w:vAlign w:val="bottom"/>
          </w:tcPr>
          <w:p w14:paraId="4CD85A6B"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0.80</w:t>
            </w:r>
          </w:p>
        </w:tc>
        <w:tc>
          <w:tcPr>
            <w:tcW w:w="1296" w:type="dxa"/>
            <w:tcBorders>
              <w:top w:val="nil"/>
              <w:left w:val="nil"/>
              <w:bottom w:val="nil"/>
              <w:right w:val="nil"/>
            </w:tcBorders>
            <w:tcMar>
              <w:top w:w="0" w:type="dxa"/>
              <w:left w:w="0" w:type="dxa"/>
              <w:bottom w:w="0" w:type="dxa"/>
              <w:right w:w="0" w:type="dxa"/>
            </w:tcMar>
            <w:vAlign w:val="bottom"/>
          </w:tcPr>
          <w:p w14:paraId="23119C5B"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w:t>
            </w:r>
          </w:p>
        </w:tc>
      </w:tr>
      <w:tr w:rsidR="00BD2841" w14:paraId="397D4E0D"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4B44DE9F"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Courses aligned with AFNR pathways</w:t>
            </w:r>
          </w:p>
        </w:tc>
        <w:tc>
          <w:tcPr>
            <w:tcW w:w="648" w:type="dxa"/>
            <w:tcBorders>
              <w:top w:val="nil"/>
              <w:left w:val="nil"/>
              <w:bottom w:val="nil"/>
              <w:right w:val="nil"/>
            </w:tcBorders>
            <w:tcMar>
              <w:top w:w="0" w:type="dxa"/>
              <w:left w:w="0" w:type="dxa"/>
              <w:bottom w:w="0" w:type="dxa"/>
              <w:right w:w="0" w:type="dxa"/>
            </w:tcMar>
            <w:vAlign w:val="bottom"/>
          </w:tcPr>
          <w:p w14:paraId="2C1D47E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5.35</w:t>
            </w:r>
          </w:p>
        </w:tc>
        <w:tc>
          <w:tcPr>
            <w:tcW w:w="648" w:type="dxa"/>
            <w:tcBorders>
              <w:top w:val="nil"/>
              <w:left w:val="nil"/>
              <w:bottom w:val="nil"/>
              <w:right w:val="nil"/>
            </w:tcBorders>
            <w:tcMar>
              <w:top w:w="0" w:type="dxa"/>
              <w:left w:w="0" w:type="dxa"/>
              <w:bottom w:w="0" w:type="dxa"/>
              <w:right w:w="0" w:type="dxa"/>
            </w:tcMar>
            <w:vAlign w:val="bottom"/>
          </w:tcPr>
          <w:p w14:paraId="7A5CA0C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0.98</w:t>
            </w:r>
          </w:p>
        </w:tc>
        <w:tc>
          <w:tcPr>
            <w:tcW w:w="1296" w:type="dxa"/>
            <w:tcBorders>
              <w:top w:val="nil"/>
              <w:left w:val="nil"/>
              <w:bottom w:val="nil"/>
              <w:right w:val="nil"/>
            </w:tcBorders>
            <w:tcMar>
              <w:top w:w="0" w:type="dxa"/>
              <w:left w:w="0" w:type="dxa"/>
              <w:bottom w:w="0" w:type="dxa"/>
              <w:right w:w="0" w:type="dxa"/>
            </w:tcMar>
            <w:vAlign w:val="bottom"/>
          </w:tcPr>
          <w:p w14:paraId="4E915BD8"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w:t>
            </w:r>
          </w:p>
        </w:tc>
      </w:tr>
      <w:tr w:rsidR="00BD2841" w14:paraId="115A82CD"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172827BC"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Authentic student assessment</w:t>
            </w:r>
          </w:p>
        </w:tc>
        <w:tc>
          <w:tcPr>
            <w:tcW w:w="648" w:type="dxa"/>
            <w:tcBorders>
              <w:top w:val="nil"/>
              <w:left w:val="nil"/>
              <w:bottom w:val="nil"/>
              <w:right w:val="nil"/>
            </w:tcBorders>
            <w:tcMar>
              <w:top w:w="0" w:type="dxa"/>
              <w:left w:w="0" w:type="dxa"/>
              <w:bottom w:w="0" w:type="dxa"/>
              <w:right w:w="0" w:type="dxa"/>
            </w:tcMar>
            <w:vAlign w:val="bottom"/>
          </w:tcPr>
          <w:p w14:paraId="7A89170F"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5.33</w:t>
            </w:r>
          </w:p>
        </w:tc>
        <w:tc>
          <w:tcPr>
            <w:tcW w:w="648" w:type="dxa"/>
            <w:tcBorders>
              <w:top w:val="nil"/>
              <w:left w:val="nil"/>
              <w:bottom w:val="nil"/>
              <w:right w:val="nil"/>
            </w:tcBorders>
            <w:tcMar>
              <w:top w:w="0" w:type="dxa"/>
              <w:left w:w="0" w:type="dxa"/>
              <w:bottom w:w="0" w:type="dxa"/>
              <w:right w:w="0" w:type="dxa"/>
            </w:tcMar>
            <w:vAlign w:val="bottom"/>
          </w:tcPr>
          <w:p w14:paraId="78468A64"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0.76</w:t>
            </w:r>
          </w:p>
        </w:tc>
        <w:tc>
          <w:tcPr>
            <w:tcW w:w="1296" w:type="dxa"/>
            <w:tcBorders>
              <w:top w:val="nil"/>
              <w:left w:val="nil"/>
              <w:bottom w:val="nil"/>
              <w:right w:val="nil"/>
            </w:tcBorders>
            <w:tcMar>
              <w:top w:w="0" w:type="dxa"/>
              <w:left w:w="0" w:type="dxa"/>
              <w:bottom w:w="0" w:type="dxa"/>
              <w:right w:w="0" w:type="dxa"/>
            </w:tcMar>
            <w:vAlign w:val="bottom"/>
          </w:tcPr>
          <w:p w14:paraId="45380667"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83%</w:t>
            </w:r>
          </w:p>
        </w:tc>
      </w:tr>
      <w:tr w:rsidR="00BD2841" w14:paraId="3C1114B3"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58589CBB"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Student-centered curriculum</w:t>
            </w:r>
          </w:p>
        </w:tc>
        <w:tc>
          <w:tcPr>
            <w:tcW w:w="648" w:type="dxa"/>
            <w:tcBorders>
              <w:top w:val="nil"/>
              <w:left w:val="nil"/>
              <w:bottom w:val="nil"/>
              <w:right w:val="nil"/>
            </w:tcBorders>
            <w:tcMar>
              <w:top w:w="0" w:type="dxa"/>
              <w:left w:w="0" w:type="dxa"/>
              <w:bottom w:w="0" w:type="dxa"/>
              <w:right w:w="0" w:type="dxa"/>
            </w:tcMar>
            <w:vAlign w:val="bottom"/>
          </w:tcPr>
          <w:p w14:paraId="5A819CDB"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5.33</w:t>
            </w:r>
          </w:p>
        </w:tc>
        <w:tc>
          <w:tcPr>
            <w:tcW w:w="648" w:type="dxa"/>
            <w:tcBorders>
              <w:top w:val="nil"/>
              <w:left w:val="nil"/>
              <w:bottom w:val="nil"/>
              <w:right w:val="nil"/>
            </w:tcBorders>
            <w:tcMar>
              <w:top w:w="0" w:type="dxa"/>
              <w:left w:w="0" w:type="dxa"/>
              <w:bottom w:w="0" w:type="dxa"/>
              <w:right w:w="0" w:type="dxa"/>
            </w:tcMar>
            <w:vAlign w:val="bottom"/>
          </w:tcPr>
          <w:p w14:paraId="396B5F1E"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0.86</w:t>
            </w:r>
          </w:p>
        </w:tc>
        <w:tc>
          <w:tcPr>
            <w:tcW w:w="1296" w:type="dxa"/>
            <w:tcBorders>
              <w:top w:val="nil"/>
              <w:left w:val="nil"/>
              <w:bottom w:val="nil"/>
              <w:right w:val="nil"/>
            </w:tcBorders>
            <w:tcMar>
              <w:top w:w="0" w:type="dxa"/>
              <w:left w:w="0" w:type="dxa"/>
              <w:bottom w:w="0" w:type="dxa"/>
              <w:right w:w="0" w:type="dxa"/>
            </w:tcMar>
            <w:vAlign w:val="bottom"/>
          </w:tcPr>
          <w:p w14:paraId="672CC867"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w:t>
            </w:r>
          </w:p>
        </w:tc>
      </w:tr>
      <w:tr w:rsidR="00BD2841" w14:paraId="6C0565DA"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7653E579"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Introductory coursework opportunities</w:t>
            </w:r>
          </w:p>
        </w:tc>
        <w:tc>
          <w:tcPr>
            <w:tcW w:w="648" w:type="dxa"/>
            <w:tcBorders>
              <w:top w:val="nil"/>
              <w:left w:val="nil"/>
              <w:bottom w:val="nil"/>
              <w:right w:val="nil"/>
            </w:tcBorders>
            <w:tcMar>
              <w:top w:w="0" w:type="dxa"/>
              <w:left w:w="0" w:type="dxa"/>
              <w:bottom w:w="0" w:type="dxa"/>
              <w:right w:w="0" w:type="dxa"/>
            </w:tcMar>
            <w:vAlign w:val="bottom"/>
          </w:tcPr>
          <w:p w14:paraId="0B9759FB"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5.33</w:t>
            </w:r>
          </w:p>
        </w:tc>
        <w:tc>
          <w:tcPr>
            <w:tcW w:w="648" w:type="dxa"/>
            <w:tcBorders>
              <w:top w:val="nil"/>
              <w:left w:val="nil"/>
              <w:bottom w:val="nil"/>
              <w:right w:val="nil"/>
            </w:tcBorders>
            <w:tcMar>
              <w:top w:w="0" w:type="dxa"/>
              <w:left w:w="0" w:type="dxa"/>
              <w:bottom w:w="0" w:type="dxa"/>
              <w:right w:w="0" w:type="dxa"/>
            </w:tcMar>
            <w:vAlign w:val="bottom"/>
          </w:tcPr>
          <w:p w14:paraId="4863B1CC"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0.94</w:t>
            </w:r>
          </w:p>
        </w:tc>
        <w:tc>
          <w:tcPr>
            <w:tcW w:w="1296" w:type="dxa"/>
            <w:tcBorders>
              <w:top w:val="nil"/>
              <w:left w:val="nil"/>
              <w:bottom w:val="nil"/>
              <w:right w:val="nil"/>
            </w:tcBorders>
            <w:tcMar>
              <w:top w:w="0" w:type="dxa"/>
              <w:left w:w="0" w:type="dxa"/>
              <w:bottom w:w="0" w:type="dxa"/>
              <w:right w:w="0" w:type="dxa"/>
            </w:tcMar>
            <w:vAlign w:val="bottom"/>
          </w:tcPr>
          <w:p w14:paraId="33A8C11E"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83%</w:t>
            </w:r>
          </w:p>
        </w:tc>
      </w:tr>
      <w:tr w:rsidR="00BD2841" w14:paraId="6FA758CF"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262140C0"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Emphasizes career preparation</w:t>
            </w:r>
          </w:p>
        </w:tc>
        <w:tc>
          <w:tcPr>
            <w:tcW w:w="648" w:type="dxa"/>
            <w:tcBorders>
              <w:top w:val="nil"/>
              <w:left w:val="nil"/>
              <w:bottom w:val="nil"/>
              <w:right w:val="nil"/>
            </w:tcBorders>
            <w:tcMar>
              <w:top w:w="0" w:type="dxa"/>
              <w:left w:w="0" w:type="dxa"/>
              <w:bottom w:w="0" w:type="dxa"/>
              <w:right w:w="0" w:type="dxa"/>
            </w:tcMar>
            <w:vAlign w:val="bottom"/>
          </w:tcPr>
          <w:p w14:paraId="64BDD672"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5.25</w:t>
            </w:r>
          </w:p>
        </w:tc>
        <w:tc>
          <w:tcPr>
            <w:tcW w:w="648" w:type="dxa"/>
            <w:tcBorders>
              <w:top w:val="nil"/>
              <w:left w:val="nil"/>
              <w:bottom w:val="nil"/>
              <w:right w:val="nil"/>
            </w:tcBorders>
            <w:tcMar>
              <w:top w:w="0" w:type="dxa"/>
              <w:left w:w="0" w:type="dxa"/>
              <w:bottom w:w="0" w:type="dxa"/>
              <w:right w:w="0" w:type="dxa"/>
            </w:tcMar>
            <w:vAlign w:val="bottom"/>
          </w:tcPr>
          <w:p w14:paraId="61D8C54E"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0.78</w:t>
            </w:r>
          </w:p>
        </w:tc>
        <w:tc>
          <w:tcPr>
            <w:tcW w:w="1296" w:type="dxa"/>
            <w:tcBorders>
              <w:top w:val="nil"/>
              <w:left w:val="nil"/>
              <w:bottom w:val="nil"/>
              <w:right w:val="nil"/>
            </w:tcBorders>
            <w:tcMar>
              <w:top w:w="0" w:type="dxa"/>
              <w:left w:w="0" w:type="dxa"/>
              <w:bottom w:w="0" w:type="dxa"/>
              <w:right w:w="0" w:type="dxa"/>
            </w:tcMar>
            <w:vAlign w:val="bottom"/>
          </w:tcPr>
          <w:p w14:paraId="54161EC5"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w:t>
            </w:r>
          </w:p>
        </w:tc>
      </w:tr>
      <w:tr w:rsidR="00BD2841" w14:paraId="6D140F8D"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0206F6F6"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Emphasizes transferable/"life" skill development</w:t>
            </w:r>
          </w:p>
        </w:tc>
        <w:tc>
          <w:tcPr>
            <w:tcW w:w="648" w:type="dxa"/>
            <w:tcBorders>
              <w:top w:val="nil"/>
              <w:left w:val="nil"/>
              <w:bottom w:val="nil"/>
              <w:right w:val="nil"/>
            </w:tcBorders>
            <w:tcMar>
              <w:top w:w="0" w:type="dxa"/>
              <w:left w:w="0" w:type="dxa"/>
              <w:bottom w:w="0" w:type="dxa"/>
              <w:right w:w="0" w:type="dxa"/>
            </w:tcMar>
            <w:vAlign w:val="center"/>
          </w:tcPr>
          <w:p w14:paraId="603CF549"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5.25</w:t>
            </w:r>
          </w:p>
        </w:tc>
        <w:tc>
          <w:tcPr>
            <w:tcW w:w="648" w:type="dxa"/>
            <w:tcBorders>
              <w:top w:val="nil"/>
              <w:left w:val="nil"/>
              <w:bottom w:val="nil"/>
              <w:right w:val="nil"/>
            </w:tcBorders>
            <w:tcMar>
              <w:top w:w="0" w:type="dxa"/>
              <w:left w:w="0" w:type="dxa"/>
              <w:bottom w:w="0" w:type="dxa"/>
              <w:right w:w="0" w:type="dxa"/>
            </w:tcMar>
            <w:vAlign w:val="center"/>
          </w:tcPr>
          <w:p w14:paraId="1D9ADB0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0.90</w:t>
            </w:r>
          </w:p>
        </w:tc>
        <w:tc>
          <w:tcPr>
            <w:tcW w:w="1296" w:type="dxa"/>
            <w:tcBorders>
              <w:top w:val="nil"/>
              <w:left w:val="nil"/>
              <w:bottom w:val="nil"/>
              <w:right w:val="nil"/>
            </w:tcBorders>
            <w:tcMar>
              <w:top w:w="0" w:type="dxa"/>
              <w:left w:w="0" w:type="dxa"/>
              <w:bottom w:w="0" w:type="dxa"/>
              <w:right w:w="0" w:type="dxa"/>
            </w:tcMar>
            <w:vAlign w:val="center"/>
          </w:tcPr>
          <w:p w14:paraId="58D13611"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w:t>
            </w:r>
          </w:p>
        </w:tc>
      </w:tr>
      <w:tr w:rsidR="00BD2841" w14:paraId="5812DC4C"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35A58B36"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Advanced coursework opportunities</w:t>
            </w:r>
          </w:p>
        </w:tc>
        <w:tc>
          <w:tcPr>
            <w:tcW w:w="648" w:type="dxa"/>
            <w:tcBorders>
              <w:top w:val="nil"/>
              <w:left w:val="nil"/>
              <w:bottom w:val="nil"/>
              <w:right w:val="nil"/>
            </w:tcBorders>
            <w:tcMar>
              <w:top w:w="0" w:type="dxa"/>
              <w:left w:w="0" w:type="dxa"/>
              <w:bottom w:w="0" w:type="dxa"/>
              <w:right w:w="0" w:type="dxa"/>
            </w:tcMar>
            <w:vAlign w:val="bottom"/>
          </w:tcPr>
          <w:p w14:paraId="2ADA5B2E"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5.23</w:t>
            </w:r>
          </w:p>
        </w:tc>
        <w:tc>
          <w:tcPr>
            <w:tcW w:w="648" w:type="dxa"/>
            <w:tcBorders>
              <w:top w:val="nil"/>
              <w:left w:val="nil"/>
              <w:bottom w:val="nil"/>
              <w:right w:val="nil"/>
            </w:tcBorders>
            <w:tcMar>
              <w:top w:w="0" w:type="dxa"/>
              <w:left w:w="0" w:type="dxa"/>
              <w:bottom w:w="0" w:type="dxa"/>
              <w:right w:w="0" w:type="dxa"/>
            </w:tcMar>
            <w:vAlign w:val="bottom"/>
          </w:tcPr>
          <w:p w14:paraId="15E8AEE8"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0.86</w:t>
            </w:r>
          </w:p>
        </w:tc>
        <w:tc>
          <w:tcPr>
            <w:tcW w:w="1296" w:type="dxa"/>
            <w:tcBorders>
              <w:top w:val="nil"/>
              <w:left w:val="nil"/>
              <w:bottom w:val="nil"/>
              <w:right w:val="nil"/>
            </w:tcBorders>
            <w:tcMar>
              <w:top w:w="0" w:type="dxa"/>
              <w:left w:w="0" w:type="dxa"/>
              <w:bottom w:w="0" w:type="dxa"/>
              <w:right w:w="0" w:type="dxa"/>
            </w:tcMar>
            <w:vAlign w:val="bottom"/>
          </w:tcPr>
          <w:p w14:paraId="1A8AC0CB"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78%</w:t>
            </w:r>
          </w:p>
        </w:tc>
      </w:tr>
      <w:tr w:rsidR="00BD2841" w14:paraId="6CEC476C"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669A446C"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Intentional scaffolding of curriculum</w:t>
            </w:r>
          </w:p>
        </w:tc>
        <w:tc>
          <w:tcPr>
            <w:tcW w:w="648" w:type="dxa"/>
            <w:tcBorders>
              <w:top w:val="nil"/>
              <w:left w:val="nil"/>
              <w:bottom w:val="nil"/>
              <w:right w:val="nil"/>
            </w:tcBorders>
            <w:tcMar>
              <w:top w:w="0" w:type="dxa"/>
              <w:left w:w="0" w:type="dxa"/>
              <w:bottom w:w="0" w:type="dxa"/>
              <w:right w:w="0" w:type="dxa"/>
            </w:tcMar>
            <w:vAlign w:val="bottom"/>
          </w:tcPr>
          <w:p w14:paraId="473FC3E4"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5.20</w:t>
            </w:r>
          </w:p>
        </w:tc>
        <w:tc>
          <w:tcPr>
            <w:tcW w:w="648" w:type="dxa"/>
            <w:tcBorders>
              <w:top w:val="nil"/>
              <w:left w:val="nil"/>
              <w:bottom w:val="nil"/>
              <w:right w:val="nil"/>
            </w:tcBorders>
            <w:tcMar>
              <w:top w:w="0" w:type="dxa"/>
              <w:left w:w="0" w:type="dxa"/>
              <w:bottom w:w="0" w:type="dxa"/>
              <w:right w:w="0" w:type="dxa"/>
            </w:tcMar>
            <w:vAlign w:val="bottom"/>
          </w:tcPr>
          <w:p w14:paraId="744AE7CD"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0.99</w:t>
            </w:r>
          </w:p>
        </w:tc>
        <w:tc>
          <w:tcPr>
            <w:tcW w:w="1296" w:type="dxa"/>
            <w:tcBorders>
              <w:top w:val="nil"/>
              <w:left w:val="nil"/>
              <w:bottom w:val="nil"/>
              <w:right w:val="nil"/>
            </w:tcBorders>
            <w:tcMar>
              <w:top w:w="0" w:type="dxa"/>
              <w:left w:w="0" w:type="dxa"/>
              <w:bottom w:w="0" w:type="dxa"/>
              <w:right w:w="0" w:type="dxa"/>
            </w:tcMar>
            <w:vAlign w:val="bottom"/>
          </w:tcPr>
          <w:p w14:paraId="78ABABD7"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75%</w:t>
            </w:r>
          </w:p>
        </w:tc>
      </w:tr>
      <w:tr w:rsidR="00BD2841" w14:paraId="40368C9F"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3F7CDEDD"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Community-driven curriculum</w:t>
            </w:r>
          </w:p>
        </w:tc>
        <w:tc>
          <w:tcPr>
            <w:tcW w:w="648" w:type="dxa"/>
            <w:tcBorders>
              <w:top w:val="nil"/>
              <w:left w:val="nil"/>
              <w:bottom w:val="nil"/>
              <w:right w:val="nil"/>
            </w:tcBorders>
            <w:tcMar>
              <w:top w:w="0" w:type="dxa"/>
              <w:left w:w="0" w:type="dxa"/>
              <w:bottom w:w="0" w:type="dxa"/>
              <w:right w:w="0" w:type="dxa"/>
            </w:tcMar>
            <w:vAlign w:val="bottom"/>
          </w:tcPr>
          <w:p w14:paraId="347E9C07"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5.08</w:t>
            </w:r>
          </w:p>
        </w:tc>
        <w:tc>
          <w:tcPr>
            <w:tcW w:w="648" w:type="dxa"/>
            <w:tcBorders>
              <w:top w:val="nil"/>
              <w:left w:val="nil"/>
              <w:bottom w:val="nil"/>
              <w:right w:val="nil"/>
            </w:tcBorders>
            <w:tcMar>
              <w:top w:w="0" w:type="dxa"/>
              <w:left w:w="0" w:type="dxa"/>
              <w:bottom w:w="0" w:type="dxa"/>
              <w:right w:w="0" w:type="dxa"/>
            </w:tcMar>
            <w:vAlign w:val="bottom"/>
          </w:tcPr>
          <w:p w14:paraId="783486E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0.86</w:t>
            </w:r>
          </w:p>
        </w:tc>
        <w:tc>
          <w:tcPr>
            <w:tcW w:w="1296" w:type="dxa"/>
            <w:tcBorders>
              <w:top w:val="nil"/>
              <w:left w:val="nil"/>
              <w:bottom w:val="nil"/>
              <w:right w:val="nil"/>
            </w:tcBorders>
            <w:tcMar>
              <w:top w:w="0" w:type="dxa"/>
              <w:left w:w="0" w:type="dxa"/>
              <w:bottom w:w="0" w:type="dxa"/>
              <w:right w:w="0" w:type="dxa"/>
            </w:tcMar>
            <w:vAlign w:val="bottom"/>
          </w:tcPr>
          <w:p w14:paraId="1228BF10"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78%</w:t>
            </w:r>
          </w:p>
        </w:tc>
      </w:tr>
      <w:tr w:rsidR="00BD2841" w14:paraId="3E74571E"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07BD985E"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Emphasizes technical skill development</w:t>
            </w:r>
          </w:p>
        </w:tc>
        <w:tc>
          <w:tcPr>
            <w:tcW w:w="648" w:type="dxa"/>
            <w:tcBorders>
              <w:top w:val="nil"/>
              <w:left w:val="nil"/>
              <w:bottom w:val="nil"/>
              <w:right w:val="nil"/>
            </w:tcBorders>
            <w:tcMar>
              <w:top w:w="0" w:type="dxa"/>
              <w:left w:w="0" w:type="dxa"/>
              <w:bottom w:w="0" w:type="dxa"/>
              <w:right w:w="0" w:type="dxa"/>
            </w:tcMar>
            <w:vAlign w:val="bottom"/>
          </w:tcPr>
          <w:p w14:paraId="0F8AF125"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5.03</w:t>
            </w:r>
          </w:p>
        </w:tc>
        <w:tc>
          <w:tcPr>
            <w:tcW w:w="648" w:type="dxa"/>
            <w:tcBorders>
              <w:top w:val="nil"/>
              <w:left w:val="nil"/>
              <w:bottom w:val="nil"/>
              <w:right w:val="nil"/>
            </w:tcBorders>
            <w:tcMar>
              <w:top w:w="0" w:type="dxa"/>
              <w:left w:w="0" w:type="dxa"/>
              <w:bottom w:w="0" w:type="dxa"/>
              <w:right w:w="0" w:type="dxa"/>
            </w:tcMar>
            <w:vAlign w:val="bottom"/>
          </w:tcPr>
          <w:p w14:paraId="6051C53F"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0.89</w:t>
            </w:r>
          </w:p>
        </w:tc>
        <w:tc>
          <w:tcPr>
            <w:tcW w:w="1296" w:type="dxa"/>
            <w:tcBorders>
              <w:top w:val="nil"/>
              <w:left w:val="nil"/>
              <w:bottom w:val="nil"/>
              <w:right w:val="nil"/>
            </w:tcBorders>
            <w:tcMar>
              <w:top w:w="0" w:type="dxa"/>
              <w:left w:w="0" w:type="dxa"/>
              <w:bottom w:w="0" w:type="dxa"/>
              <w:right w:w="0" w:type="dxa"/>
            </w:tcMar>
            <w:vAlign w:val="bottom"/>
          </w:tcPr>
          <w:p w14:paraId="3C08F38E"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78%</w:t>
            </w:r>
          </w:p>
        </w:tc>
      </w:tr>
      <w:tr w:rsidR="00BD2841" w14:paraId="7EA04E86" w14:textId="77777777">
        <w:tc>
          <w:tcPr>
            <w:tcW w:w="6840" w:type="dxa"/>
            <w:tcBorders>
              <w:left w:val="nil"/>
              <w:bottom w:val="single" w:sz="6" w:space="0" w:color="000000"/>
              <w:right w:val="nil"/>
            </w:tcBorders>
            <w:tcMar>
              <w:top w:w="0" w:type="dxa"/>
              <w:left w:w="100" w:type="dxa"/>
              <w:bottom w:w="0" w:type="dxa"/>
              <w:right w:w="100" w:type="dxa"/>
            </w:tcMar>
            <w:vAlign w:val="center"/>
          </w:tcPr>
          <w:p w14:paraId="103EED26"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Rigorous curriculum</w:t>
            </w:r>
          </w:p>
        </w:tc>
        <w:tc>
          <w:tcPr>
            <w:tcW w:w="648" w:type="dxa"/>
            <w:tcBorders>
              <w:top w:val="nil"/>
              <w:left w:val="nil"/>
              <w:bottom w:val="single" w:sz="6" w:space="0" w:color="000000"/>
              <w:right w:val="nil"/>
            </w:tcBorders>
            <w:tcMar>
              <w:top w:w="0" w:type="dxa"/>
              <w:left w:w="0" w:type="dxa"/>
              <w:bottom w:w="0" w:type="dxa"/>
              <w:right w:w="0" w:type="dxa"/>
            </w:tcMar>
            <w:vAlign w:val="bottom"/>
          </w:tcPr>
          <w:p w14:paraId="591C76B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4.98</w:t>
            </w:r>
          </w:p>
        </w:tc>
        <w:tc>
          <w:tcPr>
            <w:tcW w:w="648" w:type="dxa"/>
            <w:tcBorders>
              <w:top w:val="nil"/>
              <w:left w:val="nil"/>
              <w:bottom w:val="single" w:sz="6" w:space="0" w:color="000000"/>
              <w:right w:val="nil"/>
            </w:tcBorders>
            <w:tcMar>
              <w:top w:w="0" w:type="dxa"/>
              <w:left w:w="0" w:type="dxa"/>
              <w:bottom w:w="0" w:type="dxa"/>
              <w:right w:w="0" w:type="dxa"/>
            </w:tcMar>
            <w:vAlign w:val="bottom"/>
          </w:tcPr>
          <w:p w14:paraId="34030EE4"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0.95</w:t>
            </w:r>
          </w:p>
        </w:tc>
        <w:tc>
          <w:tcPr>
            <w:tcW w:w="1296" w:type="dxa"/>
            <w:tcBorders>
              <w:top w:val="nil"/>
              <w:left w:val="nil"/>
              <w:bottom w:val="single" w:sz="6" w:space="0" w:color="000000"/>
              <w:right w:val="nil"/>
            </w:tcBorders>
            <w:tcMar>
              <w:top w:w="0" w:type="dxa"/>
              <w:left w:w="0" w:type="dxa"/>
              <w:bottom w:w="0" w:type="dxa"/>
              <w:right w:w="0" w:type="dxa"/>
            </w:tcMar>
            <w:vAlign w:val="bottom"/>
          </w:tcPr>
          <w:p w14:paraId="745F1472"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75%</w:t>
            </w:r>
          </w:p>
        </w:tc>
      </w:tr>
    </w:tbl>
    <w:p w14:paraId="66F16749" w14:textId="77777777" w:rsidR="00BD2841" w:rsidRDefault="00BD2841">
      <w:pPr>
        <w:spacing w:line="240" w:lineRule="auto"/>
        <w:rPr>
          <w:rFonts w:ascii="Times New Roman" w:eastAsia="Times New Roman" w:hAnsi="Times New Roman" w:cs="Times New Roman"/>
          <w:b/>
          <w:bCs/>
          <w:sz w:val="24"/>
          <w:szCs w:val="24"/>
        </w:rPr>
      </w:pPr>
    </w:p>
    <w:p w14:paraId="5614380E"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Within the FFA theme, experts reached consensus on seven characteristics, including an emphasis on student leadership development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5.60;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0.59), celebration of student success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0.74), and having a student-led chapter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0.77; see Table 2).</w:t>
      </w:r>
    </w:p>
    <w:p w14:paraId="60B75770" w14:textId="77777777" w:rsidR="00BD2841" w:rsidRDefault="00BD2841">
      <w:pPr>
        <w:spacing w:line="240" w:lineRule="auto"/>
        <w:rPr>
          <w:rFonts w:ascii="Times New Roman" w:eastAsia="Times New Roman" w:hAnsi="Times New Roman" w:cs="Times New Roman"/>
          <w:sz w:val="24"/>
          <w:szCs w:val="24"/>
        </w:rPr>
      </w:pPr>
    </w:p>
    <w:p w14:paraId="74A2422B" w14:textId="77777777" w:rsidR="00BD2841"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2</w:t>
      </w:r>
    </w:p>
    <w:p w14:paraId="0FD16DB3"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Consensus-achieving FFA characteristics (n = 40)</w:t>
      </w:r>
    </w:p>
    <w:tbl>
      <w:tblPr>
        <w:tblStyle w:val="a0"/>
        <w:tblW w:w="943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0"/>
        <w:gridCol w:w="648"/>
        <w:gridCol w:w="648"/>
        <w:gridCol w:w="1296"/>
      </w:tblGrid>
      <w:tr w:rsidR="00BD2841" w14:paraId="3BD24402" w14:textId="77777777">
        <w:trPr>
          <w:trHeight w:val="275"/>
        </w:trPr>
        <w:tc>
          <w:tcPr>
            <w:tcW w:w="6840" w:type="dxa"/>
            <w:tcBorders>
              <w:top w:val="single" w:sz="6" w:space="0" w:color="000000"/>
              <w:bottom w:val="single" w:sz="8" w:space="0" w:color="000000"/>
            </w:tcBorders>
            <w:tcMar>
              <w:top w:w="0" w:type="dxa"/>
              <w:bottom w:w="0" w:type="dxa"/>
            </w:tcMar>
            <w:vAlign w:val="center"/>
          </w:tcPr>
          <w:p w14:paraId="706A2C17"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Characteristic</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342A53CF" w14:textId="77777777" w:rsidR="00BD2841"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μ</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56DE03CA" w14:textId="77777777" w:rsidR="00BD2841"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σ</w:t>
            </w:r>
          </w:p>
        </w:tc>
        <w:tc>
          <w:tcPr>
            <w:tcW w:w="1296"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1E444330"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Agreement</w:t>
            </w:r>
          </w:p>
        </w:tc>
      </w:tr>
      <w:tr w:rsidR="00BD2841" w14:paraId="512D7E9B"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0C87C3B7"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Emphasizes student leadership development </w:t>
            </w:r>
          </w:p>
        </w:tc>
        <w:tc>
          <w:tcPr>
            <w:tcW w:w="648" w:type="dxa"/>
            <w:tcBorders>
              <w:top w:val="nil"/>
              <w:left w:val="nil"/>
              <w:bottom w:val="nil"/>
              <w:right w:val="nil"/>
            </w:tcBorders>
            <w:tcMar>
              <w:top w:w="0" w:type="dxa"/>
              <w:left w:w="0" w:type="dxa"/>
              <w:bottom w:w="0" w:type="dxa"/>
              <w:right w:w="0" w:type="dxa"/>
            </w:tcMar>
            <w:vAlign w:val="center"/>
          </w:tcPr>
          <w:p w14:paraId="4F6C05CB"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5.60</w:t>
            </w:r>
          </w:p>
        </w:tc>
        <w:tc>
          <w:tcPr>
            <w:tcW w:w="648" w:type="dxa"/>
            <w:tcBorders>
              <w:top w:val="nil"/>
              <w:left w:val="nil"/>
              <w:bottom w:val="nil"/>
              <w:right w:val="nil"/>
            </w:tcBorders>
            <w:tcMar>
              <w:top w:w="0" w:type="dxa"/>
              <w:left w:w="0" w:type="dxa"/>
              <w:bottom w:w="0" w:type="dxa"/>
              <w:right w:w="0" w:type="dxa"/>
            </w:tcMar>
            <w:vAlign w:val="center"/>
          </w:tcPr>
          <w:p w14:paraId="7E270D11"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0.59</w:t>
            </w:r>
          </w:p>
        </w:tc>
        <w:tc>
          <w:tcPr>
            <w:tcW w:w="1296" w:type="dxa"/>
            <w:tcBorders>
              <w:top w:val="nil"/>
              <w:left w:val="nil"/>
              <w:bottom w:val="nil"/>
              <w:right w:val="nil"/>
            </w:tcBorders>
            <w:tcMar>
              <w:top w:w="0" w:type="dxa"/>
              <w:left w:w="0" w:type="dxa"/>
              <w:bottom w:w="0" w:type="dxa"/>
              <w:right w:w="0" w:type="dxa"/>
            </w:tcMar>
            <w:vAlign w:val="center"/>
          </w:tcPr>
          <w:p w14:paraId="3B2D3A97"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95%</w:t>
            </w:r>
          </w:p>
        </w:tc>
      </w:tr>
      <w:tr w:rsidR="00BD2841" w14:paraId="1FBCCB63"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595EF2A6"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Celebration and recognition of student success</w:t>
            </w:r>
          </w:p>
        </w:tc>
        <w:tc>
          <w:tcPr>
            <w:tcW w:w="648" w:type="dxa"/>
            <w:tcBorders>
              <w:top w:val="nil"/>
              <w:left w:val="nil"/>
              <w:bottom w:val="nil"/>
              <w:right w:val="nil"/>
            </w:tcBorders>
            <w:tcMar>
              <w:top w:w="0" w:type="dxa"/>
              <w:left w:w="0" w:type="dxa"/>
              <w:bottom w:w="0" w:type="dxa"/>
              <w:right w:w="0" w:type="dxa"/>
            </w:tcMar>
            <w:vAlign w:val="center"/>
          </w:tcPr>
          <w:p w14:paraId="2A8FAB30"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5.38</w:t>
            </w:r>
          </w:p>
        </w:tc>
        <w:tc>
          <w:tcPr>
            <w:tcW w:w="648" w:type="dxa"/>
            <w:tcBorders>
              <w:top w:val="nil"/>
              <w:left w:val="nil"/>
              <w:bottom w:val="nil"/>
              <w:right w:val="nil"/>
            </w:tcBorders>
            <w:tcMar>
              <w:top w:w="0" w:type="dxa"/>
              <w:left w:w="0" w:type="dxa"/>
              <w:bottom w:w="0" w:type="dxa"/>
              <w:right w:w="0" w:type="dxa"/>
            </w:tcMar>
            <w:vAlign w:val="center"/>
          </w:tcPr>
          <w:p w14:paraId="64A724F4"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0.74</w:t>
            </w:r>
          </w:p>
        </w:tc>
        <w:tc>
          <w:tcPr>
            <w:tcW w:w="1296" w:type="dxa"/>
            <w:tcBorders>
              <w:top w:val="nil"/>
              <w:left w:val="nil"/>
              <w:bottom w:val="nil"/>
              <w:right w:val="nil"/>
            </w:tcBorders>
            <w:tcMar>
              <w:top w:w="0" w:type="dxa"/>
              <w:left w:w="0" w:type="dxa"/>
              <w:bottom w:w="0" w:type="dxa"/>
              <w:right w:w="0" w:type="dxa"/>
            </w:tcMar>
            <w:vAlign w:val="center"/>
          </w:tcPr>
          <w:p w14:paraId="7B41A0A5"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90%</w:t>
            </w:r>
          </w:p>
        </w:tc>
      </w:tr>
      <w:tr w:rsidR="00BD2841" w14:paraId="62D998B0" w14:textId="77777777">
        <w:tc>
          <w:tcPr>
            <w:tcW w:w="6840" w:type="dxa"/>
            <w:tcBorders>
              <w:top w:val="nil"/>
              <w:left w:val="nil"/>
              <w:bottom w:val="nil"/>
              <w:right w:val="nil"/>
            </w:tcBorders>
            <w:tcMar>
              <w:top w:w="0" w:type="dxa"/>
              <w:left w:w="100" w:type="dxa"/>
              <w:bottom w:w="0" w:type="dxa"/>
              <w:right w:w="100" w:type="dxa"/>
            </w:tcMar>
            <w:vAlign w:val="center"/>
          </w:tcPr>
          <w:p w14:paraId="28D34898"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Student-led chapter</w:t>
            </w:r>
          </w:p>
        </w:tc>
        <w:tc>
          <w:tcPr>
            <w:tcW w:w="648" w:type="dxa"/>
            <w:tcBorders>
              <w:top w:val="nil"/>
              <w:left w:val="nil"/>
              <w:bottom w:val="nil"/>
              <w:right w:val="nil"/>
            </w:tcBorders>
            <w:tcMar>
              <w:top w:w="0" w:type="dxa"/>
              <w:left w:w="0" w:type="dxa"/>
              <w:bottom w:w="0" w:type="dxa"/>
              <w:right w:w="0" w:type="dxa"/>
            </w:tcMar>
            <w:vAlign w:val="center"/>
          </w:tcPr>
          <w:p w14:paraId="4C94A877"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5.38</w:t>
            </w:r>
          </w:p>
        </w:tc>
        <w:tc>
          <w:tcPr>
            <w:tcW w:w="648" w:type="dxa"/>
            <w:tcBorders>
              <w:top w:val="nil"/>
              <w:left w:val="nil"/>
              <w:bottom w:val="nil"/>
              <w:right w:val="nil"/>
            </w:tcBorders>
            <w:tcMar>
              <w:top w:w="0" w:type="dxa"/>
              <w:left w:w="0" w:type="dxa"/>
              <w:bottom w:w="0" w:type="dxa"/>
              <w:right w:w="0" w:type="dxa"/>
            </w:tcMar>
            <w:vAlign w:val="center"/>
          </w:tcPr>
          <w:p w14:paraId="7E0FAE60"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0.77</w:t>
            </w:r>
          </w:p>
        </w:tc>
        <w:tc>
          <w:tcPr>
            <w:tcW w:w="1296" w:type="dxa"/>
            <w:tcBorders>
              <w:top w:val="nil"/>
              <w:left w:val="nil"/>
              <w:bottom w:val="nil"/>
              <w:right w:val="nil"/>
            </w:tcBorders>
            <w:tcMar>
              <w:top w:w="0" w:type="dxa"/>
              <w:left w:w="0" w:type="dxa"/>
              <w:bottom w:w="0" w:type="dxa"/>
              <w:right w:w="0" w:type="dxa"/>
            </w:tcMar>
            <w:vAlign w:val="center"/>
          </w:tcPr>
          <w:p w14:paraId="3AA18E37"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w:t>
            </w:r>
          </w:p>
        </w:tc>
      </w:tr>
      <w:tr w:rsidR="00BD2841" w14:paraId="729E64CD"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50C3876E"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Membership represents demographics of the school</w:t>
            </w:r>
          </w:p>
        </w:tc>
        <w:tc>
          <w:tcPr>
            <w:tcW w:w="648" w:type="dxa"/>
            <w:tcBorders>
              <w:top w:val="nil"/>
              <w:left w:val="nil"/>
              <w:bottom w:val="nil"/>
              <w:right w:val="nil"/>
            </w:tcBorders>
            <w:tcMar>
              <w:top w:w="0" w:type="dxa"/>
              <w:left w:w="0" w:type="dxa"/>
              <w:bottom w:w="0" w:type="dxa"/>
              <w:right w:w="0" w:type="dxa"/>
            </w:tcMar>
            <w:vAlign w:val="center"/>
          </w:tcPr>
          <w:p w14:paraId="782F6B9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5.28</w:t>
            </w:r>
          </w:p>
        </w:tc>
        <w:tc>
          <w:tcPr>
            <w:tcW w:w="648" w:type="dxa"/>
            <w:tcBorders>
              <w:top w:val="nil"/>
              <w:left w:val="nil"/>
              <w:bottom w:val="nil"/>
              <w:right w:val="nil"/>
            </w:tcBorders>
            <w:tcMar>
              <w:top w:w="0" w:type="dxa"/>
              <w:left w:w="0" w:type="dxa"/>
              <w:bottom w:w="0" w:type="dxa"/>
              <w:right w:w="0" w:type="dxa"/>
            </w:tcMar>
            <w:vAlign w:val="center"/>
          </w:tcPr>
          <w:p w14:paraId="4E3F5785"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0.96</w:t>
            </w:r>
          </w:p>
        </w:tc>
        <w:tc>
          <w:tcPr>
            <w:tcW w:w="1296" w:type="dxa"/>
            <w:tcBorders>
              <w:top w:val="nil"/>
              <w:left w:val="nil"/>
              <w:bottom w:val="nil"/>
              <w:right w:val="nil"/>
            </w:tcBorders>
            <w:tcMar>
              <w:top w:w="0" w:type="dxa"/>
              <w:left w:w="0" w:type="dxa"/>
              <w:bottom w:w="0" w:type="dxa"/>
              <w:right w:w="0" w:type="dxa"/>
            </w:tcMar>
            <w:vAlign w:val="center"/>
          </w:tcPr>
          <w:p w14:paraId="6F0D7715"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83%</w:t>
            </w:r>
          </w:p>
        </w:tc>
      </w:tr>
      <w:tr w:rsidR="00BD2841" w14:paraId="2F563071"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418DF632"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Active chapter</w:t>
            </w:r>
          </w:p>
        </w:tc>
        <w:tc>
          <w:tcPr>
            <w:tcW w:w="648" w:type="dxa"/>
            <w:tcBorders>
              <w:top w:val="nil"/>
              <w:left w:val="nil"/>
              <w:bottom w:val="nil"/>
              <w:right w:val="nil"/>
            </w:tcBorders>
            <w:tcMar>
              <w:top w:w="0" w:type="dxa"/>
              <w:left w:w="0" w:type="dxa"/>
              <w:bottom w:w="0" w:type="dxa"/>
              <w:right w:w="0" w:type="dxa"/>
            </w:tcMar>
            <w:vAlign w:val="center"/>
          </w:tcPr>
          <w:p w14:paraId="7E2AC164"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5.23</w:t>
            </w:r>
          </w:p>
        </w:tc>
        <w:tc>
          <w:tcPr>
            <w:tcW w:w="648" w:type="dxa"/>
            <w:tcBorders>
              <w:top w:val="nil"/>
              <w:left w:val="nil"/>
              <w:bottom w:val="nil"/>
              <w:right w:val="nil"/>
            </w:tcBorders>
            <w:tcMar>
              <w:top w:w="0" w:type="dxa"/>
              <w:left w:w="0" w:type="dxa"/>
              <w:bottom w:w="0" w:type="dxa"/>
              <w:right w:w="0" w:type="dxa"/>
            </w:tcMar>
            <w:vAlign w:val="center"/>
          </w:tcPr>
          <w:p w14:paraId="494A0261"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0.92</w:t>
            </w:r>
          </w:p>
        </w:tc>
        <w:tc>
          <w:tcPr>
            <w:tcW w:w="1296" w:type="dxa"/>
            <w:tcBorders>
              <w:top w:val="nil"/>
              <w:left w:val="nil"/>
              <w:bottom w:val="nil"/>
              <w:right w:val="nil"/>
            </w:tcBorders>
            <w:tcMar>
              <w:top w:w="0" w:type="dxa"/>
              <w:left w:w="0" w:type="dxa"/>
              <w:bottom w:w="0" w:type="dxa"/>
              <w:right w:w="0" w:type="dxa"/>
            </w:tcMar>
            <w:vAlign w:val="center"/>
          </w:tcPr>
          <w:p w14:paraId="374A100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w:t>
            </w:r>
          </w:p>
        </w:tc>
      </w:tr>
      <w:tr w:rsidR="00BD2841" w14:paraId="2CFC6432"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188D2C9B"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Social-emotional development opportunities</w:t>
            </w:r>
          </w:p>
        </w:tc>
        <w:tc>
          <w:tcPr>
            <w:tcW w:w="648" w:type="dxa"/>
            <w:tcBorders>
              <w:top w:val="nil"/>
              <w:left w:val="nil"/>
              <w:bottom w:val="nil"/>
              <w:right w:val="nil"/>
            </w:tcBorders>
            <w:tcMar>
              <w:top w:w="0" w:type="dxa"/>
              <w:left w:w="0" w:type="dxa"/>
              <w:bottom w:w="0" w:type="dxa"/>
              <w:right w:w="0" w:type="dxa"/>
            </w:tcMar>
            <w:vAlign w:val="center"/>
          </w:tcPr>
          <w:p w14:paraId="7AF4E9B5"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5.15</w:t>
            </w:r>
          </w:p>
        </w:tc>
        <w:tc>
          <w:tcPr>
            <w:tcW w:w="648" w:type="dxa"/>
            <w:tcBorders>
              <w:top w:val="nil"/>
              <w:left w:val="nil"/>
              <w:bottom w:val="nil"/>
              <w:right w:val="nil"/>
            </w:tcBorders>
            <w:tcMar>
              <w:top w:w="0" w:type="dxa"/>
              <w:left w:w="0" w:type="dxa"/>
              <w:bottom w:w="0" w:type="dxa"/>
              <w:right w:w="0" w:type="dxa"/>
            </w:tcMar>
            <w:vAlign w:val="center"/>
          </w:tcPr>
          <w:p w14:paraId="20B6B5D3"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0.83</w:t>
            </w:r>
          </w:p>
        </w:tc>
        <w:tc>
          <w:tcPr>
            <w:tcW w:w="1296" w:type="dxa"/>
            <w:tcBorders>
              <w:top w:val="nil"/>
              <w:left w:val="nil"/>
              <w:bottom w:val="nil"/>
              <w:right w:val="nil"/>
            </w:tcBorders>
            <w:tcMar>
              <w:top w:w="0" w:type="dxa"/>
              <w:left w:w="0" w:type="dxa"/>
              <w:bottom w:w="0" w:type="dxa"/>
              <w:right w:w="0" w:type="dxa"/>
            </w:tcMar>
            <w:vAlign w:val="center"/>
          </w:tcPr>
          <w:p w14:paraId="1C6A16E1"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78%</w:t>
            </w:r>
          </w:p>
        </w:tc>
      </w:tr>
      <w:tr w:rsidR="00BD2841" w14:paraId="67EC3E30" w14:textId="77777777">
        <w:tc>
          <w:tcPr>
            <w:tcW w:w="6840" w:type="dxa"/>
            <w:tcBorders>
              <w:left w:val="nil"/>
              <w:bottom w:val="single" w:sz="6" w:space="0" w:color="000000"/>
              <w:right w:val="nil"/>
            </w:tcBorders>
            <w:tcMar>
              <w:top w:w="0" w:type="dxa"/>
              <w:left w:w="100" w:type="dxa"/>
              <w:bottom w:w="0" w:type="dxa"/>
              <w:right w:w="100" w:type="dxa"/>
            </w:tcMar>
            <w:vAlign w:val="center"/>
          </w:tcPr>
          <w:p w14:paraId="699C9D51"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Opportunities for students to practice civic engagement</w:t>
            </w:r>
          </w:p>
        </w:tc>
        <w:tc>
          <w:tcPr>
            <w:tcW w:w="648" w:type="dxa"/>
            <w:tcBorders>
              <w:top w:val="nil"/>
              <w:left w:val="nil"/>
              <w:bottom w:val="single" w:sz="6" w:space="0" w:color="000000"/>
              <w:right w:val="nil"/>
            </w:tcBorders>
            <w:tcMar>
              <w:top w:w="0" w:type="dxa"/>
              <w:left w:w="0" w:type="dxa"/>
              <w:bottom w:w="0" w:type="dxa"/>
              <w:right w:w="0" w:type="dxa"/>
            </w:tcMar>
            <w:vAlign w:val="center"/>
          </w:tcPr>
          <w:p w14:paraId="384C0D62"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5.10</w:t>
            </w:r>
          </w:p>
        </w:tc>
        <w:tc>
          <w:tcPr>
            <w:tcW w:w="648" w:type="dxa"/>
            <w:tcBorders>
              <w:top w:val="nil"/>
              <w:left w:val="nil"/>
              <w:bottom w:val="single" w:sz="6" w:space="0" w:color="000000"/>
              <w:right w:val="nil"/>
            </w:tcBorders>
            <w:tcMar>
              <w:top w:w="0" w:type="dxa"/>
              <w:left w:w="0" w:type="dxa"/>
              <w:bottom w:w="0" w:type="dxa"/>
              <w:right w:w="0" w:type="dxa"/>
            </w:tcMar>
            <w:vAlign w:val="center"/>
          </w:tcPr>
          <w:p w14:paraId="58AA441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0.71</w:t>
            </w:r>
          </w:p>
        </w:tc>
        <w:tc>
          <w:tcPr>
            <w:tcW w:w="1296" w:type="dxa"/>
            <w:tcBorders>
              <w:top w:val="nil"/>
              <w:left w:val="nil"/>
              <w:bottom w:val="single" w:sz="6" w:space="0" w:color="000000"/>
              <w:right w:val="nil"/>
            </w:tcBorders>
            <w:tcMar>
              <w:top w:w="0" w:type="dxa"/>
              <w:left w:w="0" w:type="dxa"/>
              <w:bottom w:w="0" w:type="dxa"/>
              <w:right w:w="0" w:type="dxa"/>
            </w:tcMar>
            <w:vAlign w:val="center"/>
          </w:tcPr>
          <w:p w14:paraId="1702F7E1"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w:t>
            </w:r>
          </w:p>
        </w:tc>
      </w:tr>
    </w:tbl>
    <w:p w14:paraId="6D1AB444" w14:textId="77777777" w:rsidR="00BD2841" w:rsidRDefault="00BD2841">
      <w:pPr>
        <w:spacing w:line="240" w:lineRule="auto"/>
        <w:rPr>
          <w:rFonts w:ascii="Times New Roman" w:eastAsia="Times New Roman" w:hAnsi="Times New Roman" w:cs="Times New Roman"/>
          <w:b/>
          <w:bCs/>
          <w:sz w:val="24"/>
          <w:szCs w:val="24"/>
        </w:rPr>
      </w:pPr>
    </w:p>
    <w:p w14:paraId="34828612"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Within the SAE theme, experts reached consensus on three characteristics. SAEs being embedded into courses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5.28;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0.91) and every student having an SAE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5.28;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0.99) were, on average, the highest-scoring characteristics among experts (see Table 3).</w:t>
      </w:r>
    </w:p>
    <w:p w14:paraId="0E5E33A3" w14:textId="77777777" w:rsidR="00BD2841" w:rsidRDefault="00BD2841">
      <w:pPr>
        <w:spacing w:line="240" w:lineRule="auto"/>
        <w:rPr>
          <w:rFonts w:ascii="Times New Roman" w:eastAsia="Times New Roman" w:hAnsi="Times New Roman" w:cs="Times New Roman"/>
          <w:sz w:val="24"/>
          <w:szCs w:val="24"/>
        </w:rPr>
      </w:pPr>
    </w:p>
    <w:p w14:paraId="4EEFB88D" w14:textId="77777777" w:rsidR="00BD2841"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3</w:t>
      </w:r>
    </w:p>
    <w:p w14:paraId="5D87C5DF"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Consensus-achieving SAE characteristics (n = 40)</w:t>
      </w:r>
    </w:p>
    <w:tbl>
      <w:tblPr>
        <w:tblStyle w:val="a1"/>
        <w:tblW w:w="943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0"/>
        <w:gridCol w:w="648"/>
        <w:gridCol w:w="648"/>
        <w:gridCol w:w="1296"/>
      </w:tblGrid>
      <w:tr w:rsidR="00BD2841" w14:paraId="71AC1B48" w14:textId="77777777">
        <w:trPr>
          <w:trHeight w:val="275"/>
        </w:trPr>
        <w:tc>
          <w:tcPr>
            <w:tcW w:w="6840" w:type="dxa"/>
            <w:tcBorders>
              <w:top w:val="single" w:sz="6" w:space="0" w:color="000000"/>
              <w:bottom w:val="single" w:sz="8" w:space="0" w:color="000000"/>
            </w:tcBorders>
            <w:tcMar>
              <w:top w:w="0" w:type="dxa"/>
              <w:bottom w:w="0" w:type="dxa"/>
            </w:tcMar>
            <w:vAlign w:val="center"/>
          </w:tcPr>
          <w:p w14:paraId="3CBEF53F"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Characteristic</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04D347AF" w14:textId="77777777" w:rsidR="00BD2841"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μ</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3871B73A" w14:textId="77777777" w:rsidR="00BD2841"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σ</w:t>
            </w:r>
          </w:p>
        </w:tc>
        <w:tc>
          <w:tcPr>
            <w:tcW w:w="1296"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7D8EFDD0"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Agreement</w:t>
            </w:r>
          </w:p>
        </w:tc>
      </w:tr>
      <w:tr w:rsidR="00BD2841" w14:paraId="6679755B"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729F899F"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SAEs are embedded into courses</w:t>
            </w:r>
          </w:p>
        </w:tc>
        <w:tc>
          <w:tcPr>
            <w:tcW w:w="648" w:type="dxa"/>
            <w:tcBorders>
              <w:top w:val="nil"/>
              <w:left w:val="nil"/>
              <w:bottom w:val="nil"/>
              <w:right w:val="nil"/>
            </w:tcBorders>
            <w:tcMar>
              <w:top w:w="0" w:type="dxa"/>
              <w:left w:w="100" w:type="dxa"/>
              <w:bottom w:w="0" w:type="dxa"/>
              <w:right w:w="100" w:type="dxa"/>
            </w:tcMar>
            <w:vAlign w:val="center"/>
          </w:tcPr>
          <w:p w14:paraId="6D6F8B53"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5.28</w:t>
            </w:r>
          </w:p>
        </w:tc>
        <w:tc>
          <w:tcPr>
            <w:tcW w:w="648" w:type="dxa"/>
            <w:tcBorders>
              <w:top w:val="nil"/>
              <w:left w:val="nil"/>
              <w:bottom w:val="nil"/>
              <w:right w:val="nil"/>
            </w:tcBorders>
            <w:tcMar>
              <w:top w:w="0" w:type="dxa"/>
              <w:left w:w="100" w:type="dxa"/>
              <w:bottom w:w="0" w:type="dxa"/>
              <w:right w:w="100" w:type="dxa"/>
            </w:tcMar>
            <w:vAlign w:val="center"/>
          </w:tcPr>
          <w:p w14:paraId="6B40E503"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0.91</w:t>
            </w:r>
          </w:p>
        </w:tc>
        <w:tc>
          <w:tcPr>
            <w:tcW w:w="1296" w:type="dxa"/>
            <w:tcBorders>
              <w:top w:val="nil"/>
              <w:left w:val="nil"/>
              <w:bottom w:val="nil"/>
              <w:right w:val="nil"/>
            </w:tcBorders>
            <w:tcMar>
              <w:top w:w="0" w:type="dxa"/>
              <w:left w:w="100" w:type="dxa"/>
              <w:bottom w:w="0" w:type="dxa"/>
              <w:right w:w="100" w:type="dxa"/>
            </w:tcMar>
            <w:vAlign w:val="center"/>
          </w:tcPr>
          <w:p w14:paraId="339E99A7"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w:t>
            </w:r>
          </w:p>
        </w:tc>
      </w:tr>
      <w:tr w:rsidR="00BD2841" w14:paraId="3DA8B08B"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5C980E28"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Every student has an SAE</w:t>
            </w:r>
          </w:p>
        </w:tc>
        <w:tc>
          <w:tcPr>
            <w:tcW w:w="648" w:type="dxa"/>
            <w:tcBorders>
              <w:top w:val="nil"/>
              <w:left w:val="nil"/>
              <w:bottom w:val="nil"/>
              <w:right w:val="nil"/>
            </w:tcBorders>
            <w:tcMar>
              <w:top w:w="0" w:type="dxa"/>
              <w:left w:w="100" w:type="dxa"/>
              <w:bottom w:w="0" w:type="dxa"/>
              <w:right w:w="100" w:type="dxa"/>
            </w:tcMar>
            <w:vAlign w:val="center"/>
          </w:tcPr>
          <w:p w14:paraId="5063F62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5.28</w:t>
            </w:r>
          </w:p>
        </w:tc>
        <w:tc>
          <w:tcPr>
            <w:tcW w:w="648" w:type="dxa"/>
            <w:tcBorders>
              <w:top w:val="nil"/>
              <w:left w:val="nil"/>
              <w:bottom w:val="nil"/>
              <w:right w:val="nil"/>
            </w:tcBorders>
            <w:tcMar>
              <w:top w:w="0" w:type="dxa"/>
              <w:left w:w="100" w:type="dxa"/>
              <w:bottom w:w="0" w:type="dxa"/>
              <w:right w:w="100" w:type="dxa"/>
            </w:tcMar>
            <w:vAlign w:val="center"/>
          </w:tcPr>
          <w:p w14:paraId="25E776BC"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0.99</w:t>
            </w:r>
          </w:p>
        </w:tc>
        <w:tc>
          <w:tcPr>
            <w:tcW w:w="1296" w:type="dxa"/>
            <w:tcBorders>
              <w:top w:val="nil"/>
              <w:left w:val="nil"/>
              <w:bottom w:val="nil"/>
              <w:right w:val="nil"/>
            </w:tcBorders>
            <w:tcMar>
              <w:top w:w="0" w:type="dxa"/>
              <w:left w:w="100" w:type="dxa"/>
              <w:bottom w:w="0" w:type="dxa"/>
              <w:right w:w="100" w:type="dxa"/>
            </w:tcMar>
            <w:vAlign w:val="center"/>
          </w:tcPr>
          <w:p w14:paraId="3BC2DD18"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w:t>
            </w:r>
          </w:p>
        </w:tc>
      </w:tr>
      <w:tr w:rsidR="00BD2841" w14:paraId="13C83126" w14:textId="77777777">
        <w:trPr>
          <w:trHeight w:val="275"/>
        </w:trPr>
        <w:tc>
          <w:tcPr>
            <w:tcW w:w="6840" w:type="dxa"/>
            <w:tcBorders>
              <w:left w:val="nil"/>
              <w:bottom w:val="single" w:sz="6" w:space="0" w:color="000000"/>
              <w:right w:val="nil"/>
            </w:tcBorders>
            <w:tcMar>
              <w:top w:w="0" w:type="dxa"/>
              <w:left w:w="100" w:type="dxa"/>
              <w:bottom w:w="0" w:type="dxa"/>
              <w:right w:w="100" w:type="dxa"/>
            </w:tcMar>
            <w:vAlign w:val="center"/>
          </w:tcPr>
          <w:p w14:paraId="0B89A1A3"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Documentation of student SAE records</w:t>
            </w:r>
          </w:p>
        </w:tc>
        <w:tc>
          <w:tcPr>
            <w:tcW w:w="648" w:type="dxa"/>
            <w:tcBorders>
              <w:left w:val="nil"/>
              <w:bottom w:val="single" w:sz="6" w:space="0" w:color="000000"/>
              <w:right w:val="nil"/>
            </w:tcBorders>
            <w:tcMar>
              <w:top w:w="0" w:type="dxa"/>
              <w:left w:w="100" w:type="dxa"/>
              <w:bottom w:w="0" w:type="dxa"/>
              <w:right w:w="100" w:type="dxa"/>
            </w:tcMar>
            <w:vAlign w:val="center"/>
          </w:tcPr>
          <w:p w14:paraId="3A0A9539"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5.05</w:t>
            </w:r>
          </w:p>
        </w:tc>
        <w:tc>
          <w:tcPr>
            <w:tcW w:w="648" w:type="dxa"/>
            <w:tcBorders>
              <w:left w:val="nil"/>
              <w:bottom w:val="single" w:sz="6" w:space="0" w:color="000000"/>
              <w:right w:val="nil"/>
            </w:tcBorders>
            <w:tcMar>
              <w:top w:w="0" w:type="dxa"/>
              <w:left w:w="100" w:type="dxa"/>
              <w:bottom w:w="0" w:type="dxa"/>
              <w:right w:w="100" w:type="dxa"/>
            </w:tcMar>
            <w:vAlign w:val="center"/>
          </w:tcPr>
          <w:p w14:paraId="430B8F9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0.90</w:t>
            </w:r>
          </w:p>
        </w:tc>
        <w:tc>
          <w:tcPr>
            <w:tcW w:w="1296" w:type="dxa"/>
            <w:tcBorders>
              <w:left w:val="nil"/>
              <w:bottom w:val="single" w:sz="6" w:space="0" w:color="000000"/>
              <w:right w:val="nil"/>
            </w:tcBorders>
            <w:tcMar>
              <w:top w:w="0" w:type="dxa"/>
              <w:left w:w="100" w:type="dxa"/>
              <w:bottom w:w="0" w:type="dxa"/>
              <w:right w:w="100" w:type="dxa"/>
            </w:tcMar>
            <w:vAlign w:val="center"/>
          </w:tcPr>
          <w:p w14:paraId="2D904C34"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78%</w:t>
            </w:r>
          </w:p>
        </w:tc>
      </w:tr>
    </w:tbl>
    <w:p w14:paraId="02123282" w14:textId="77777777" w:rsidR="00BD2841" w:rsidRDefault="00BD2841">
      <w:pPr>
        <w:spacing w:line="240" w:lineRule="auto"/>
        <w:rPr>
          <w:rFonts w:ascii="Times New Roman" w:eastAsia="Times New Roman" w:hAnsi="Times New Roman" w:cs="Times New Roman"/>
          <w:b/>
          <w:bCs/>
          <w:sz w:val="24"/>
          <w:szCs w:val="24"/>
        </w:rPr>
      </w:pPr>
    </w:p>
    <w:p w14:paraId="0F286572"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Objective 2 identified the best management practices for coordinating an effective SBAE program. In the area of teacher characteristics, the teachers being lifelong learners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5.75;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0.54) with effective classroom management skills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5.73;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0.51) were the characteristics that achieved the highest average among the 15 characteristics within this theme (see Table 4).</w:t>
      </w:r>
    </w:p>
    <w:p w14:paraId="1BC86D15" w14:textId="77777777" w:rsidR="00BD2841" w:rsidRDefault="00BD2841">
      <w:pPr>
        <w:spacing w:line="240" w:lineRule="auto"/>
        <w:rPr>
          <w:rFonts w:ascii="Times New Roman" w:eastAsia="Times New Roman" w:hAnsi="Times New Roman" w:cs="Times New Roman"/>
          <w:sz w:val="24"/>
          <w:szCs w:val="24"/>
        </w:rPr>
      </w:pPr>
    </w:p>
    <w:p w14:paraId="730D7E9D" w14:textId="77777777" w:rsidR="00BD2841"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4</w:t>
      </w:r>
    </w:p>
    <w:p w14:paraId="67BF51E2"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Consensus-achieving teacher characteristics (n = 40)</w:t>
      </w:r>
    </w:p>
    <w:tbl>
      <w:tblPr>
        <w:tblStyle w:val="a2"/>
        <w:tblW w:w="943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0"/>
        <w:gridCol w:w="648"/>
        <w:gridCol w:w="648"/>
        <w:gridCol w:w="1296"/>
      </w:tblGrid>
      <w:tr w:rsidR="00BD2841" w14:paraId="720A4E0B" w14:textId="77777777">
        <w:tc>
          <w:tcPr>
            <w:tcW w:w="6840" w:type="dxa"/>
            <w:tcBorders>
              <w:top w:val="single" w:sz="6" w:space="0" w:color="000000"/>
              <w:bottom w:val="single" w:sz="8" w:space="0" w:color="000000"/>
            </w:tcBorders>
            <w:tcMar>
              <w:top w:w="0" w:type="dxa"/>
              <w:bottom w:w="0" w:type="dxa"/>
            </w:tcMar>
            <w:vAlign w:val="center"/>
          </w:tcPr>
          <w:p w14:paraId="31B526E4"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Characteristic</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0DA1BFDD" w14:textId="77777777" w:rsidR="00BD2841"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μ</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114A3C42" w14:textId="77777777" w:rsidR="00BD2841"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σ</w:t>
            </w:r>
          </w:p>
        </w:tc>
        <w:tc>
          <w:tcPr>
            <w:tcW w:w="1296"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67F66194"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Agreement</w:t>
            </w:r>
          </w:p>
        </w:tc>
      </w:tr>
      <w:tr w:rsidR="00BD2841" w14:paraId="19EE3AB7"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1060EFB0"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Lifelong learner</w:t>
            </w:r>
          </w:p>
        </w:tc>
        <w:tc>
          <w:tcPr>
            <w:tcW w:w="648" w:type="dxa"/>
            <w:tcBorders>
              <w:top w:val="nil"/>
              <w:left w:val="nil"/>
              <w:bottom w:val="nil"/>
              <w:right w:val="nil"/>
            </w:tcBorders>
            <w:tcMar>
              <w:top w:w="0" w:type="dxa"/>
              <w:left w:w="0" w:type="dxa"/>
              <w:bottom w:w="0" w:type="dxa"/>
              <w:right w:w="0" w:type="dxa"/>
            </w:tcMar>
            <w:vAlign w:val="bottom"/>
          </w:tcPr>
          <w:p w14:paraId="71D7F7CB"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5.75</w:t>
            </w:r>
          </w:p>
        </w:tc>
        <w:tc>
          <w:tcPr>
            <w:tcW w:w="648" w:type="dxa"/>
            <w:tcBorders>
              <w:top w:val="nil"/>
              <w:left w:val="nil"/>
              <w:bottom w:val="nil"/>
              <w:right w:val="nil"/>
            </w:tcBorders>
            <w:tcMar>
              <w:top w:w="0" w:type="dxa"/>
              <w:left w:w="0" w:type="dxa"/>
              <w:bottom w:w="0" w:type="dxa"/>
              <w:right w:w="0" w:type="dxa"/>
            </w:tcMar>
            <w:vAlign w:val="bottom"/>
          </w:tcPr>
          <w:p w14:paraId="054A242E"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0.54</w:t>
            </w:r>
          </w:p>
        </w:tc>
        <w:tc>
          <w:tcPr>
            <w:tcW w:w="1296" w:type="dxa"/>
            <w:tcBorders>
              <w:top w:val="nil"/>
              <w:left w:val="nil"/>
              <w:bottom w:val="nil"/>
              <w:right w:val="nil"/>
            </w:tcBorders>
            <w:tcMar>
              <w:top w:w="0" w:type="dxa"/>
              <w:left w:w="0" w:type="dxa"/>
              <w:bottom w:w="0" w:type="dxa"/>
              <w:right w:w="0" w:type="dxa"/>
            </w:tcMar>
            <w:vAlign w:val="bottom"/>
          </w:tcPr>
          <w:p w14:paraId="085AAEBD"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95%</w:t>
            </w:r>
          </w:p>
        </w:tc>
      </w:tr>
      <w:tr w:rsidR="00BD2841" w14:paraId="36493E22"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634F3ED8"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classroom management</w:t>
            </w:r>
          </w:p>
        </w:tc>
        <w:tc>
          <w:tcPr>
            <w:tcW w:w="648" w:type="dxa"/>
            <w:tcBorders>
              <w:top w:val="nil"/>
              <w:left w:val="nil"/>
              <w:bottom w:val="nil"/>
              <w:right w:val="nil"/>
            </w:tcBorders>
            <w:tcMar>
              <w:top w:w="0" w:type="dxa"/>
              <w:left w:w="0" w:type="dxa"/>
              <w:bottom w:w="0" w:type="dxa"/>
              <w:right w:w="0" w:type="dxa"/>
            </w:tcMar>
            <w:vAlign w:val="bottom"/>
          </w:tcPr>
          <w:p w14:paraId="722ABF6E"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5.73</w:t>
            </w:r>
          </w:p>
        </w:tc>
        <w:tc>
          <w:tcPr>
            <w:tcW w:w="648" w:type="dxa"/>
            <w:tcBorders>
              <w:top w:val="nil"/>
              <w:left w:val="nil"/>
              <w:bottom w:val="nil"/>
              <w:right w:val="nil"/>
            </w:tcBorders>
            <w:tcMar>
              <w:top w:w="0" w:type="dxa"/>
              <w:left w:w="0" w:type="dxa"/>
              <w:bottom w:w="0" w:type="dxa"/>
              <w:right w:w="0" w:type="dxa"/>
            </w:tcMar>
            <w:vAlign w:val="bottom"/>
          </w:tcPr>
          <w:p w14:paraId="6CFECC6E"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0.51</w:t>
            </w:r>
          </w:p>
        </w:tc>
        <w:tc>
          <w:tcPr>
            <w:tcW w:w="1296" w:type="dxa"/>
            <w:tcBorders>
              <w:top w:val="nil"/>
              <w:left w:val="nil"/>
              <w:bottom w:val="nil"/>
              <w:right w:val="nil"/>
            </w:tcBorders>
            <w:tcMar>
              <w:top w:w="0" w:type="dxa"/>
              <w:left w:w="0" w:type="dxa"/>
              <w:bottom w:w="0" w:type="dxa"/>
              <w:right w:w="0" w:type="dxa"/>
            </w:tcMar>
            <w:vAlign w:val="bottom"/>
          </w:tcPr>
          <w:p w14:paraId="05F58057"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98%</w:t>
            </w:r>
          </w:p>
        </w:tc>
      </w:tr>
      <w:tr w:rsidR="00BD2841" w14:paraId="36E29623"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32E15E7E"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Engages in professional development</w:t>
            </w:r>
          </w:p>
        </w:tc>
        <w:tc>
          <w:tcPr>
            <w:tcW w:w="648" w:type="dxa"/>
            <w:tcBorders>
              <w:top w:val="nil"/>
              <w:left w:val="nil"/>
              <w:bottom w:val="nil"/>
              <w:right w:val="nil"/>
            </w:tcBorders>
            <w:tcMar>
              <w:top w:w="0" w:type="dxa"/>
              <w:left w:w="0" w:type="dxa"/>
              <w:bottom w:w="0" w:type="dxa"/>
              <w:right w:w="0" w:type="dxa"/>
            </w:tcMar>
            <w:vAlign w:val="bottom"/>
          </w:tcPr>
          <w:p w14:paraId="0AF2CDD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5.68</w:t>
            </w:r>
          </w:p>
        </w:tc>
        <w:tc>
          <w:tcPr>
            <w:tcW w:w="648" w:type="dxa"/>
            <w:tcBorders>
              <w:top w:val="nil"/>
              <w:left w:val="nil"/>
              <w:bottom w:val="nil"/>
              <w:right w:val="nil"/>
            </w:tcBorders>
            <w:tcMar>
              <w:top w:w="0" w:type="dxa"/>
              <w:left w:w="0" w:type="dxa"/>
              <w:bottom w:w="0" w:type="dxa"/>
              <w:right w:w="0" w:type="dxa"/>
            </w:tcMar>
            <w:vAlign w:val="bottom"/>
          </w:tcPr>
          <w:p w14:paraId="1FCF37D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0.57</w:t>
            </w:r>
          </w:p>
        </w:tc>
        <w:tc>
          <w:tcPr>
            <w:tcW w:w="1296" w:type="dxa"/>
            <w:tcBorders>
              <w:top w:val="nil"/>
              <w:left w:val="nil"/>
              <w:bottom w:val="nil"/>
              <w:right w:val="nil"/>
            </w:tcBorders>
            <w:tcMar>
              <w:top w:w="0" w:type="dxa"/>
              <w:left w:w="0" w:type="dxa"/>
              <w:bottom w:w="0" w:type="dxa"/>
              <w:right w:w="0" w:type="dxa"/>
            </w:tcMar>
            <w:vAlign w:val="bottom"/>
          </w:tcPr>
          <w:p w14:paraId="6B9E6702"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95%</w:t>
            </w:r>
          </w:p>
        </w:tc>
      </w:tr>
      <w:tr w:rsidR="00BD2841" w14:paraId="11EF258A"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2DA69176"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planning skills</w:t>
            </w:r>
          </w:p>
        </w:tc>
        <w:tc>
          <w:tcPr>
            <w:tcW w:w="648" w:type="dxa"/>
            <w:tcBorders>
              <w:top w:val="nil"/>
              <w:left w:val="nil"/>
              <w:bottom w:val="nil"/>
              <w:right w:val="nil"/>
            </w:tcBorders>
            <w:tcMar>
              <w:top w:w="0" w:type="dxa"/>
              <w:left w:w="0" w:type="dxa"/>
              <w:bottom w:w="0" w:type="dxa"/>
              <w:right w:w="0" w:type="dxa"/>
            </w:tcMar>
            <w:vAlign w:val="bottom"/>
          </w:tcPr>
          <w:p w14:paraId="6A27200D"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5.60</w:t>
            </w:r>
          </w:p>
        </w:tc>
        <w:tc>
          <w:tcPr>
            <w:tcW w:w="648" w:type="dxa"/>
            <w:tcBorders>
              <w:top w:val="nil"/>
              <w:left w:val="nil"/>
              <w:bottom w:val="nil"/>
              <w:right w:val="nil"/>
            </w:tcBorders>
            <w:tcMar>
              <w:top w:w="0" w:type="dxa"/>
              <w:left w:w="0" w:type="dxa"/>
              <w:bottom w:w="0" w:type="dxa"/>
              <w:right w:w="0" w:type="dxa"/>
            </w:tcMar>
            <w:vAlign w:val="bottom"/>
          </w:tcPr>
          <w:p w14:paraId="7A0577CC"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0.59</w:t>
            </w:r>
          </w:p>
        </w:tc>
        <w:tc>
          <w:tcPr>
            <w:tcW w:w="1296" w:type="dxa"/>
            <w:tcBorders>
              <w:top w:val="nil"/>
              <w:left w:val="nil"/>
              <w:bottom w:val="nil"/>
              <w:right w:val="nil"/>
            </w:tcBorders>
            <w:tcMar>
              <w:top w:w="0" w:type="dxa"/>
              <w:left w:w="0" w:type="dxa"/>
              <w:bottom w:w="0" w:type="dxa"/>
              <w:right w:w="0" w:type="dxa"/>
            </w:tcMar>
            <w:vAlign w:val="bottom"/>
          </w:tcPr>
          <w:p w14:paraId="3ED1CE9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95%</w:t>
            </w:r>
          </w:p>
        </w:tc>
      </w:tr>
      <w:tr w:rsidR="00BD2841" w14:paraId="5C11D7AF"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1E7FD8D4"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Engaging</w:t>
            </w:r>
          </w:p>
        </w:tc>
        <w:tc>
          <w:tcPr>
            <w:tcW w:w="648" w:type="dxa"/>
            <w:tcBorders>
              <w:top w:val="nil"/>
              <w:left w:val="nil"/>
              <w:bottom w:val="nil"/>
              <w:right w:val="nil"/>
            </w:tcBorders>
            <w:tcMar>
              <w:top w:w="0" w:type="dxa"/>
              <w:left w:w="0" w:type="dxa"/>
              <w:bottom w:w="0" w:type="dxa"/>
              <w:right w:w="0" w:type="dxa"/>
            </w:tcMar>
            <w:vAlign w:val="bottom"/>
          </w:tcPr>
          <w:p w14:paraId="29AE119D"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5.53</w:t>
            </w:r>
          </w:p>
        </w:tc>
        <w:tc>
          <w:tcPr>
            <w:tcW w:w="648" w:type="dxa"/>
            <w:tcBorders>
              <w:top w:val="nil"/>
              <w:left w:val="nil"/>
              <w:bottom w:val="nil"/>
              <w:right w:val="nil"/>
            </w:tcBorders>
            <w:tcMar>
              <w:top w:w="0" w:type="dxa"/>
              <w:left w:w="0" w:type="dxa"/>
              <w:bottom w:w="0" w:type="dxa"/>
              <w:right w:w="0" w:type="dxa"/>
            </w:tcMar>
            <w:vAlign w:val="bottom"/>
          </w:tcPr>
          <w:p w14:paraId="15E66A49"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0.64</w:t>
            </w:r>
          </w:p>
        </w:tc>
        <w:tc>
          <w:tcPr>
            <w:tcW w:w="1296" w:type="dxa"/>
            <w:tcBorders>
              <w:top w:val="nil"/>
              <w:left w:val="nil"/>
              <w:bottom w:val="nil"/>
              <w:right w:val="nil"/>
            </w:tcBorders>
            <w:tcMar>
              <w:top w:w="0" w:type="dxa"/>
              <w:left w:w="0" w:type="dxa"/>
              <w:bottom w:w="0" w:type="dxa"/>
              <w:right w:w="0" w:type="dxa"/>
            </w:tcMar>
            <w:vAlign w:val="bottom"/>
          </w:tcPr>
          <w:p w14:paraId="4388397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93%</w:t>
            </w:r>
          </w:p>
        </w:tc>
      </w:tr>
      <w:tr w:rsidR="00BD2841" w14:paraId="558C164E"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338C30AA"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Motivated</w:t>
            </w:r>
          </w:p>
        </w:tc>
        <w:tc>
          <w:tcPr>
            <w:tcW w:w="648" w:type="dxa"/>
            <w:tcBorders>
              <w:top w:val="nil"/>
              <w:left w:val="nil"/>
              <w:bottom w:val="nil"/>
              <w:right w:val="nil"/>
            </w:tcBorders>
            <w:tcMar>
              <w:top w:w="0" w:type="dxa"/>
              <w:left w:w="0" w:type="dxa"/>
              <w:bottom w:w="0" w:type="dxa"/>
              <w:right w:w="0" w:type="dxa"/>
            </w:tcMar>
            <w:vAlign w:val="bottom"/>
          </w:tcPr>
          <w:p w14:paraId="2433A64D"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5.43</w:t>
            </w:r>
          </w:p>
        </w:tc>
        <w:tc>
          <w:tcPr>
            <w:tcW w:w="648" w:type="dxa"/>
            <w:tcBorders>
              <w:top w:val="nil"/>
              <w:left w:val="nil"/>
              <w:bottom w:val="nil"/>
              <w:right w:val="nil"/>
            </w:tcBorders>
            <w:tcMar>
              <w:top w:w="0" w:type="dxa"/>
              <w:left w:w="0" w:type="dxa"/>
              <w:bottom w:w="0" w:type="dxa"/>
              <w:right w:w="0" w:type="dxa"/>
            </w:tcMar>
            <w:vAlign w:val="bottom"/>
          </w:tcPr>
          <w:p w14:paraId="6C7FA8D1"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0.75</w:t>
            </w:r>
          </w:p>
        </w:tc>
        <w:tc>
          <w:tcPr>
            <w:tcW w:w="1296" w:type="dxa"/>
            <w:tcBorders>
              <w:top w:val="nil"/>
              <w:left w:val="nil"/>
              <w:bottom w:val="nil"/>
              <w:right w:val="nil"/>
            </w:tcBorders>
            <w:tcMar>
              <w:top w:w="0" w:type="dxa"/>
              <w:left w:w="0" w:type="dxa"/>
              <w:bottom w:w="0" w:type="dxa"/>
              <w:right w:w="0" w:type="dxa"/>
            </w:tcMar>
            <w:vAlign w:val="bottom"/>
          </w:tcPr>
          <w:p w14:paraId="787C59C0"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90%</w:t>
            </w:r>
          </w:p>
        </w:tc>
      </w:tr>
      <w:tr w:rsidR="00BD2841" w14:paraId="3790BC11"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7A409C67"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Flexibility</w:t>
            </w:r>
          </w:p>
        </w:tc>
        <w:tc>
          <w:tcPr>
            <w:tcW w:w="648" w:type="dxa"/>
            <w:tcBorders>
              <w:top w:val="nil"/>
              <w:left w:val="nil"/>
              <w:bottom w:val="nil"/>
              <w:right w:val="nil"/>
            </w:tcBorders>
            <w:tcMar>
              <w:top w:w="0" w:type="dxa"/>
              <w:left w:w="0" w:type="dxa"/>
              <w:bottom w:w="0" w:type="dxa"/>
              <w:right w:w="0" w:type="dxa"/>
            </w:tcMar>
            <w:vAlign w:val="bottom"/>
          </w:tcPr>
          <w:p w14:paraId="1BBD151B"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5.35</w:t>
            </w:r>
          </w:p>
        </w:tc>
        <w:tc>
          <w:tcPr>
            <w:tcW w:w="648" w:type="dxa"/>
            <w:tcBorders>
              <w:top w:val="nil"/>
              <w:left w:val="nil"/>
              <w:bottom w:val="nil"/>
              <w:right w:val="nil"/>
            </w:tcBorders>
            <w:tcMar>
              <w:top w:w="0" w:type="dxa"/>
              <w:left w:w="0" w:type="dxa"/>
              <w:bottom w:w="0" w:type="dxa"/>
              <w:right w:w="0" w:type="dxa"/>
            </w:tcMar>
            <w:vAlign w:val="bottom"/>
          </w:tcPr>
          <w:p w14:paraId="3FDF5FAF"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0.74</w:t>
            </w:r>
          </w:p>
        </w:tc>
        <w:tc>
          <w:tcPr>
            <w:tcW w:w="1296" w:type="dxa"/>
            <w:tcBorders>
              <w:top w:val="nil"/>
              <w:left w:val="nil"/>
              <w:bottom w:val="nil"/>
              <w:right w:val="nil"/>
            </w:tcBorders>
            <w:tcMar>
              <w:top w:w="0" w:type="dxa"/>
              <w:left w:w="0" w:type="dxa"/>
              <w:bottom w:w="0" w:type="dxa"/>
              <w:right w:w="0" w:type="dxa"/>
            </w:tcMar>
            <w:vAlign w:val="bottom"/>
          </w:tcPr>
          <w:p w14:paraId="7766A339"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w:t>
            </w:r>
          </w:p>
        </w:tc>
      </w:tr>
      <w:tr w:rsidR="00BD2841" w14:paraId="099FEA41"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468BA37B"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Dedicated</w:t>
            </w:r>
          </w:p>
        </w:tc>
        <w:tc>
          <w:tcPr>
            <w:tcW w:w="648" w:type="dxa"/>
            <w:tcBorders>
              <w:top w:val="nil"/>
              <w:left w:val="nil"/>
              <w:bottom w:val="nil"/>
              <w:right w:val="nil"/>
            </w:tcBorders>
            <w:tcMar>
              <w:top w:w="0" w:type="dxa"/>
              <w:left w:w="0" w:type="dxa"/>
              <w:bottom w:w="0" w:type="dxa"/>
              <w:right w:w="0" w:type="dxa"/>
            </w:tcMar>
            <w:vAlign w:val="bottom"/>
          </w:tcPr>
          <w:p w14:paraId="760B6E3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5.35</w:t>
            </w:r>
          </w:p>
        </w:tc>
        <w:tc>
          <w:tcPr>
            <w:tcW w:w="648" w:type="dxa"/>
            <w:tcBorders>
              <w:top w:val="nil"/>
              <w:left w:val="nil"/>
              <w:bottom w:val="nil"/>
              <w:right w:val="nil"/>
            </w:tcBorders>
            <w:tcMar>
              <w:top w:w="0" w:type="dxa"/>
              <w:left w:w="0" w:type="dxa"/>
              <w:bottom w:w="0" w:type="dxa"/>
              <w:right w:w="0" w:type="dxa"/>
            </w:tcMar>
            <w:vAlign w:val="bottom"/>
          </w:tcPr>
          <w:p w14:paraId="2F90073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0.80</w:t>
            </w:r>
          </w:p>
        </w:tc>
        <w:tc>
          <w:tcPr>
            <w:tcW w:w="1296" w:type="dxa"/>
            <w:tcBorders>
              <w:top w:val="nil"/>
              <w:left w:val="nil"/>
              <w:bottom w:val="nil"/>
              <w:right w:val="nil"/>
            </w:tcBorders>
            <w:tcMar>
              <w:top w:w="0" w:type="dxa"/>
              <w:left w:w="0" w:type="dxa"/>
              <w:bottom w:w="0" w:type="dxa"/>
              <w:right w:w="0" w:type="dxa"/>
            </w:tcMar>
            <w:vAlign w:val="bottom"/>
          </w:tcPr>
          <w:p w14:paraId="43720E6B"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w:t>
            </w:r>
          </w:p>
        </w:tc>
      </w:tr>
      <w:tr w:rsidR="00BD2841" w14:paraId="6DB94C6C"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56EA68BF"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Credentialed with adequate training</w:t>
            </w:r>
          </w:p>
        </w:tc>
        <w:tc>
          <w:tcPr>
            <w:tcW w:w="648" w:type="dxa"/>
            <w:tcBorders>
              <w:top w:val="nil"/>
              <w:left w:val="nil"/>
              <w:bottom w:val="nil"/>
              <w:right w:val="nil"/>
            </w:tcBorders>
            <w:tcMar>
              <w:top w:w="0" w:type="dxa"/>
              <w:left w:w="0" w:type="dxa"/>
              <w:bottom w:w="0" w:type="dxa"/>
              <w:right w:w="0" w:type="dxa"/>
            </w:tcMar>
            <w:vAlign w:val="center"/>
          </w:tcPr>
          <w:p w14:paraId="79C15CDF"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5.33</w:t>
            </w:r>
          </w:p>
        </w:tc>
        <w:tc>
          <w:tcPr>
            <w:tcW w:w="648" w:type="dxa"/>
            <w:tcBorders>
              <w:top w:val="nil"/>
              <w:left w:val="nil"/>
              <w:bottom w:val="nil"/>
              <w:right w:val="nil"/>
            </w:tcBorders>
            <w:tcMar>
              <w:top w:w="0" w:type="dxa"/>
              <w:left w:w="0" w:type="dxa"/>
              <w:bottom w:w="0" w:type="dxa"/>
              <w:right w:w="0" w:type="dxa"/>
            </w:tcMar>
            <w:vAlign w:val="center"/>
          </w:tcPr>
          <w:p w14:paraId="0A14D00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0.80</w:t>
            </w:r>
          </w:p>
        </w:tc>
        <w:tc>
          <w:tcPr>
            <w:tcW w:w="1296" w:type="dxa"/>
            <w:tcBorders>
              <w:top w:val="nil"/>
              <w:left w:val="nil"/>
              <w:bottom w:val="nil"/>
              <w:right w:val="nil"/>
            </w:tcBorders>
            <w:tcMar>
              <w:top w:w="0" w:type="dxa"/>
              <w:left w:w="0" w:type="dxa"/>
              <w:bottom w:w="0" w:type="dxa"/>
              <w:right w:w="0" w:type="dxa"/>
            </w:tcMar>
            <w:vAlign w:val="center"/>
          </w:tcPr>
          <w:p w14:paraId="5B7D3724"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90%</w:t>
            </w:r>
          </w:p>
        </w:tc>
      </w:tr>
      <w:tr w:rsidR="00BD2841" w14:paraId="4D594F6B"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78B5BE19"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Knowledge of the 3-component model</w:t>
            </w:r>
          </w:p>
        </w:tc>
        <w:tc>
          <w:tcPr>
            <w:tcW w:w="648" w:type="dxa"/>
            <w:tcBorders>
              <w:top w:val="nil"/>
              <w:left w:val="nil"/>
              <w:bottom w:val="nil"/>
              <w:right w:val="nil"/>
            </w:tcBorders>
            <w:tcMar>
              <w:top w:w="0" w:type="dxa"/>
              <w:left w:w="0" w:type="dxa"/>
              <w:bottom w:w="0" w:type="dxa"/>
              <w:right w:w="0" w:type="dxa"/>
            </w:tcMar>
            <w:vAlign w:val="bottom"/>
          </w:tcPr>
          <w:p w14:paraId="6F4AB074"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5.30</w:t>
            </w:r>
          </w:p>
        </w:tc>
        <w:tc>
          <w:tcPr>
            <w:tcW w:w="648" w:type="dxa"/>
            <w:tcBorders>
              <w:top w:val="nil"/>
              <w:left w:val="nil"/>
              <w:bottom w:val="nil"/>
              <w:right w:val="nil"/>
            </w:tcBorders>
            <w:tcMar>
              <w:top w:w="0" w:type="dxa"/>
              <w:left w:w="0" w:type="dxa"/>
              <w:bottom w:w="0" w:type="dxa"/>
              <w:right w:w="0" w:type="dxa"/>
            </w:tcMar>
            <w:vAlign w:val="bottom"/>
          </w:tcPr>
          <w:p w14:paraId="1F603739"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0.85</w:t>
            </w:r>
          </w:p>
        </w:tc>
        <w:tc>
          <w:tcPr>
            <w:tcW w:w="1296" w:type="dxa"/>
            <w:tcBorders>
              <w:top w:val="nil"/>
              <w:left w:val="nil"/>
              <w:bottom w:val="nil"/>
              <w:right w:val="nil"/>
            </w:tcBorders>
            <w:tcMar>
              <w:top w:w="0" w:type="dxa"/>
              <w:left w:w="0" w:type="dxa"/>
              <w:bottom w:w="0" w:type="dxa"/>
              <w:right w:w="0" w:type="dxa"/>
            </w:tcMar>
            <w:vAlign w:val="bottom"/>
          </w:tcPr>
          <w:p w14:paraId="49333A88"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w:t>
            </w:r>
          </w:p>
        </w:tc>
      </w:tr>
      <w:tr w:rsidR="00BD2841" w14:paraId="412A509E"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764897CE"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Well-connected to community</w:t>
            </w:r>
          </w:p>
        </w:tc>
        <w:tc>
          <w:tcPr>
            <w:tcW w:w="648" w:type="dxa"/>
            <w:tcBorders>
              <w:top w:val="nil"/>
              <w:left w:val="nil"/>
              <w:bottom w:val="nil"/>
              <w:right w:val="nil"/>
            </w:tcBorders>
            <w:tcMar>
              <w:top w:w="0" w:type="dxa"/>
              <w:left w:w="0" w:type="dxa"/>
              <w:bottom w:w="0" w:type="dxa"/>
              <w:right w:w="0" w:type="dxa"/>
            </w:tcMar>
            <w:vAlign w:val="bottom"/>
          </w:tcPr>
          <w:p w14:paraId="59F4B52B"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5.23</w:t>
            </w:r>
          </w:p>
        </w:tc>
        <w:tc>
          <w:tcPr>
            <w:tcW w:w="648" w:type="dxa"/>
            <w:tcBorders>
              <w:top w:val="nil"/>
              <w:left w:val="nil"/>
              <w:bottom w:val="nil"/>
              <w:right w:val="nil"/>
            </w:tcBorders>
            <w:tcMar>
              <w:top w:w="0" w:type="dxa"/>
              <w:left w:w="0" w:type="dxa"/>
              <w:bottom w:w="0" w:type="dxa"/>
              <w:right w:w="0" w:type="dxa"/>
            </w:tcMar>
            <w:vAlign w:val="bottom"/>
          </w:tcPr>
          <w:p w14:paraId="1BD70BB7"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0.80</w:t>
            </w:r>
          </w:p>
        </w:tc>
        <w:tc>
          <w:tcPr>
            <w:tcW w:w="1296" w:type="dxa"/>
            <w:tcBorders>
              <w:top w:val="nil"/>
              <w:left w:val="nil"/>
              <w:bottom w:val="nil"/>
              <w:right w:val="nil"/>
            </w:tcBorders>
            <w:tcMar>
              <w:top w:w="0" w:type="dxa"/>
              <w:left w:w="0" w:type="dxa"/>
              <w:bottom w:w="0" w:type="dxa"/>
              <w:right w:w="0" w:type="dxa"/>
            </w:tcMar>
            <w:vAlign w:val="bottom"/>
          </w:tcPr>
          <w:p w14:paraId="23E91DD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78%</w:t>
            </w:r>
          </w:p>
        </w:tc>
      </w:tr>
      <w:tr w:rsidR="00BD2841" w14:paraId="31CFDBDB"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0F6387E1"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 expectations</w:t>
            </w:r>
          </w:p>
        </w:tc>
        <w:tc>
          <w:tcPr>
            <w:tcW w:w="648" w:type="dxa"/>
            <w:tcBorders>
              <w:top w:val="nil"/>
              <w:left w:val="nil"/>
              <w:bottom w:val="nil"/>
              <w:right w:val="nil"/>
            </w:tcBorders>
            <w:tcMar>
              <w:top w:w="0" w:type="dxa"/>
              <w:left w:w="0" w:type="dxa"/>
              <w:bottom w:w="0" w:type="dxa"/>
              <w:right w:w="0" w:type="dxa"/>
            </w:tcMar>
            <w:vAlign w:val="bottom"/>
          </w:tcPr>
          <w:p w14:paraId="78608B57"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5.20</w:t>
            </w:r>
          </w:p>
        </w:tc>
        <w:tc>
          <w:tcPr>
            <w:tcW w:w="648" w:type="dxa"/>
            <w:tcBorders>
              <w:top w:val="nil"/>
              <w:left w:val="nil"/>
              <w:bottom w:val="nil"/>
              <w:right w:val="nil"/>
            </w:tcBorders>
            <w:tcMar>
              <w:top w:w="0" w:type="dxa"/>
              <w:left w:w="0" w:type="dxa"/>
              <w:bottom w:w="0" w:type="dxa"/>
              <w:right w:w="0" w:type="dxa"/>
            </w:tcMar>
            <w:vAlign w:val="bottom"/>
          </w:tcPr>
          <w:p w14:paraId="2ACE892F"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0.97</w:t>
            </w:r>
          </w:p>
        </w:tc>
        <w:tc>
          <w:tcPr>
            <w:tcW w:w="1296" w:type="dxa"/>
            <w:tcBorders>
              <w:top w:val="nil"/>
              <w:left w:val="nil"/>
              <w:bottom w:val="nil"/>
              <w:right w:val="nil"/>
            </w:tcBorders>
            <w:tcMar>
              <w:top w:w="0" w:type="dxa"/>
              <w:left w:w="0" w:type="dxa"/>
              <w:bottom w:w="0" w:type="dxa"/>
              <w:right w:w="0" w:type="dxa"/>
            </w:tcMar>
            <w:vAlign w:val="bottom"/>
          </w:tcPr>
          <w:p w14:paraId="50719E39"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w:t>
            </w:r>
          </w:p>
        </w:tc>
      </w:tr>
      <w:tr w:rsidR="00BD2841" w14:paraId="1EE7A801"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0E3230A9"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w:t>
            </w:r>
          </w:p>
        </w:tc>
        <w:tc>
          <w:tcPr>
            <w:tcW w:w="648" w:type="dxa"/>
            <w:tcBorders>
              <w:top w:val="nil"/>
              <w:left w:val="nil"/>
              <w:bottom w:val="nil"/>
              <w:right w:val="nil"/>
            </w:tcBorders>
            <w:tcMar>
              <w:top w:w="0" w:type="dxa"/>
              <w:left w:w="0" w:type="dxa"/>
              <w:bottom w:w="0" w:type="dxa"/>
              <w:right w:w="0" w:type="dxa"/>
            </w:tcMar>
            <w:vAlign w:val="bottom"/>
          </w:tcPr>
          <w:p w14:paraId="36817D8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5.10</w:t>
            </w:r>
          </w:p>
        </w:tc>
        <w:tc>
          <w:tcPr>
            <w:tcW w:w="648" w:type="dxa"/>
            <w:tcBorders>
              <w:top w:val="nil"/>
              <w:left w:val="nil"/>
              <w:bottom w:val="nil"/>
              <w:right w:val="nil"/>
            </w:tcBorders>
            <w:tcMar>
              <w:top w:w="0" w:type="dxa"/>
              <w:left w:w="0" w:type="dxa"/>
              <w:bottom w:w="0" w:type="dxa"/>
              <w:right w:w="0" w:type="dxa"/>
            </w:tcMar>
            <w:vAlign w:val="bottom"/>
          </w:tcPr>
          <w:p w14:paraId="20B9EF2D"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0.74</w:t>
            </w:r>
          </w:p>
        </w:tc>
        <w:tc>
          <w:tcPr>
            <w:tcW w:w="1296" w:type="dxa"/>
            <w:tcBorders>
              <w:top w:val="nil"/>
              <w:left w:val="nil"/>
              <w:bottom w:val="nil"/>
              <w:right w:val="nil"/>
            </w:tcBorders>
            <w:tcMar>
              <w:top w:w="0" w:type="dxa"/>
              <w:left w:w="0" w:type="dxa"/>
              <w:bottom w:w="0" w:type="dxa"/>
              <w:right w:w="0" w:type="dxa"/>
            </w:tcMar>
            <w:vAlign w:val="bottom"/>
          </w:tcPr>
          <w:p w14:paraId="1819553C"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78%</w:t>
            </w:r>
          </w:p>
        </w:tc>
      </w:tr>
      <w:tr w:rsidR="00BD2841" w14:paraId="3E9592C1"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3824F399"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Balance of the 3-component model</w:t>
            </w:r>
          </w:p>
        </w:tc>
        <w:tc>
          <w:tcPr>
            <w:tcW w:w="648" w:type="dxa"/>
            <w:tcBorders>
              <w:top w:val="nil"/>
              <w:left w:val="nil"/>
              <w:bottom w:val="nil"/>
              <w:right w:val="nil"/>
            </w:tcBorders>
            <w:tcMar>
              <w:top w:w="0" w:type="dxa"/>
              <w:left w:w="0" w:type="dxa"/>
              <w:bottom w:w="0" w:type="dxa"/>
              <w:right w:w="0" w:type="dxa"/>
            </w:tcMar>
            <w:vAlign w:val="bottom"/>
          </w:tcPr>
          <w:p w14:paraId="7CA20820"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5.08</w:t>
            </w:r>
          </w:p>
        </w:tc>
        <w:tc>
          <w:tcPr>
            <w:tcW w:w="648" w:type="dxa"/>
            <w:tcBorders>
              <w:top w:val="nil"/>
              <w:left w:val="nil"/>
              <w:bottom w:val="nil"/>
              <w:right w:val="nil"/>
            </w:tcBorders>
            <w:tcMar>
              <w:top w:w="0" w:type="dxa"/>
              <w:left w:w="0" w:type="dxa"/>
              <w:bottom w:w="0" w:type="dxa"/>
              <w:right w:w="0" w:type="dxa"/>
            </w:tcMar>
            <w:vAlign w:val="bottom"/>
          </w:tcPr>
          <w:p w14:paraId="6F1EA1C4"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0.92</w:t>
            </w:r>
          </w:p>
        </w:tc>
        <w:tc>
          <w:tcPr>
            <w:tcW w:w="1296" w:type="dxa"/>
            <w:tcBorders>
              <w:top w:val="nil"/>
              <w:left w:val="nil"/>
              <w:bottom w:val="nil"/>
              <w:right w:val="nil"/>
            </w:tcBorders>
            <w:tcMar>
              <w:top w:w="0" w:type="dxa"/>
              <w:left w:w="0" w:type="dxa"/>
              <w:bottom w:w="0" w:type="dxa"/>
              <w:right w:w="0" w:type="dxa"/>
            </w:tcMar>
            <w:vAlign w:val="bottom"/>
          </w:tcPr>
          <w:p w14:paraId="0530DCDC"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w:t>
            </w:r>
          </w:p>
        </w:tc>
      </w:tr>
      <w:tr w:rsidR="00BD2841" w14:paraId="6D97D23C" w14:textId="77777777">
        <w:trPr>
          <w:trHeight w:val="275"/>
        </w:trPr>
        <w:tc>
          <w:tcPr>
            <w:tcW w:w="6840" w:type="dxa"/>
            <w:tcBorders>
              <w:left w:val="nil"/>
              <w:bottom w:val="single" w:sz="6" w:space="0" w:color="000000"/>
              <w:right w:val="nil"/>
            </w:tcBorders>
            <w:tcMar>
              <w:top w:w="0" w:type="dxa"/>
              <w:left w:w="100" w:type="dxa"/>
              <w:bottom w:w="0" w:type="dxa"/>
              <w:right w:w="100" w:type="dxa"/>
            </w:tcMar>
            <w:vAlign w:val="center"/>
          </w:tcPr>
          <w:p w14:paraId="0B2BBDC0"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Broad content knowledge</w:t>
            </w:r>
          </w:p>
        </w:tc>
        <w:tc>
          <w:tcPr>
            <w:tcW w:w="648" w:type="dxa"/>
            <w:tcBorders>
              <w:top w:val="nil"/>
              <w:left w:val="nil"/>
              <w:bottom w:val="single" w:sz="6" w:space="0" w:color="000000"/>
              <w:right w:val="nil"/>
            </w:tcBorders>
            <w:tcMar>
              <w:top w:w="0" w:type="dxa"/>
              <w:left w:w="0" w:type="dxa"/>
              <w:bottom w:w="0" w:type="dxa"/>
              <w:right w:w="0" w:type="dxa"/>
            </w:tcMar>
            <w:vAlign w:val="bottom"/>
          </w:tcPr>
          <w:p w14:paraId="281B14BE"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4.98</w:t>
            </w:r>
          </w:p>
        </w:tc>
        <w:tc>
          <w:tcPr>
            <w:tcW w:w="648" w:type="dxa"/>
            <w:tcBorders>
              <w:top w:val="nil"/>
              <w:left w:val="nil"/>
              <w:bottom w:val="single" w:sz="6" w:space="0" w:color="000000"/>
              <w:right w:val="nil"/>
            </w:tcBorders>
            <w:tcMar>
              <w:top w:w="0" w:type="dxa"/>
              <w:left w:w="0" w:type="dxa"/>
              <w:bottom w:w="0" w:type="dxa"/>
              <w:right w:w="0" w:type="dxa"/>
            </w:tcMar>
            <w:vAlign w:val="bottom"/>
          </w:tcPr>
          <w:p w14:paraId="31F7740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0.97</w:t>
            </w:r>
          </w:p>
        </w:tc>
        <w:tc>
          <w:tcPr>
            <w:tcW w:w="1296" w:type="dxa"/>
            <w:tcBorders>
              <w:top w:val="nil"/>
              <w:left w:val="nil"/>
              <w:bottom w:val="single" w:sz="6" w:space="0" w:color="000000"/>
              <w:right w:val="nil"/>
            </w:tcBorders>
            <w:tcMar>
              <w:top w:w="0" w:type="dxa"/>
              <w:left w:w="0" w:type="dxa"/>
              <w:bottom w:w="0" w:type="dxa"/>
              <w:right w:w="0" w:type="dxa"/>
            </w:tcMar>
            <w:vAlign w:val="bottom"/>
          </w:tcPr>
          <w:p w14:paraId="7D2ACA17"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75%</w:t>
            </w:r>
          </w:p>
        </w:tc>
      </w:tr>
    </w:tbl>
    <w:p w14:paraId="746927A1" w14:textId="77777777" w:rsidR="00BD2841" w:rsidRDefault="00BD2841">
      <w:pPr>
        <w:spacing w:line="240" w:lineRule="auto"/>
        <w:rPr>
          <w:rFonts w:ascii="Times New Roman" w:eastAsia="Times New Roman" w:hAnsi="Times New Roman" w:cs="Times New Roman"/>
          <w:sz w:val="24"/>
          <w:szCs w:val="24"/>
        </w:rPr>
      </w:pPr>
    </w:p>
    <w:p w14:paraId="0122319F"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Experts reached consensus on nine program organization and evaluation characteristics. Among these, the program being driven by continuous improvement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0.76), being developed based on goals, mission, or vision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0.79), and held accountable at the local level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0.72) achieved the highest mean rating among experts (see Table 5).</w:t>
      </w:r>
    </w:p>
    <w:p w14:paraId="17D6440E" w14:textId="77777777" w:rsidR="00BD2841" w:rsidRDefault="00BD2841">
      <w:pPr>
        <w:spacing w:line="240" w:lineRule="auto"/>
        <w:rPr>
          <w:rFonts w:ascii="Times New Roman" w:eastAsia="Times New Roman" w:hAnsi="Times New Roman" w:cs="Times New Roman"/>
          <w:sz w:val="24"/>
          <w:szCs w:val="24"/>
        </w:rPr>
      </w:pPr>
    </w:p>
    <w:p w14:paraId="11FD95C5" w14:textId="77777777" w:rsidR="00BD2841"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5</w:t>
      </w:r>
    </w:p>
    <w:p w14:paraId="48676CE3"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Consensus-achieving program organization and evaluation characteristics (n = 40)</w:t>
      </w:r>
    </w:p>
    <w:tbl>
      <w:tblPr>
        <w:tblStyle w:val="a3"/>
        <w:tblW w:w="943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0"/>
        <w:gridCol w:w="648"/>
        <w:gridCol w:w="648"/>
        <w:gridCol w:w="1296"/>
      </w:tblGrid>
      <w:tr w:rsidR="00BD2841" w14:paraId="2BC14843" w14:textId="77777777">
        <w:trPr>
          <w:trHeight w:val="275"/>
        </w:trPr>
        <w:tc>
          <w:tcPr>
            <w:tcW w:w="6840" w:type="dxa"/>
            <w:tcBorders>
              <w:top w:val="single" w:sz="6" w:space="0" w:color="000000"/>
              <w:bottom w:val="single" w:sz="8" w:space="0" w:color="000000"/>
            </w:tcBorders>
            <w:tcMar>
              <w:top w:w="0" w:type="dxa"/>
              <w:bottom w:w="0" w:type="dxa"/>
            </w:tcMar>
            <w:vAlign w:val="center"/>
          </w:tcPr>
          <w:p w14:paraId="42C91925"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Characteristic</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37D6660D" w14:textId="77777777" w:rsidR="00BD2841"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μ</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3715D0BF" w14:textId="77777777" w:rsidR="00BD2841"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σ</w:t>
            </w:r>
          </w:p>
        </w:tc>
        <w:tc>
          <w:tcPr>
            <w:tcW w:w="1296"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5AF608ED"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Agreement</w:t>
            </w:r>
          </w:p>
        </w:tc>
      </w:tr>
      <w:tr w:rsidR="00BD2841" w14:paraId="0C280E4C"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30FDF5DA"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Program is driven by continuous improvement</w:t>
            </w:r>
          </w:p>
        </w:tc>
        <w:tc>
          <w:tcPr>
            <w:tcW w:w="648" w:type="dxa"/>
            <w:tcBorders>
              <w:top w:val="nil"/>
              <w:left w:val="nil"/>
              <w:bottom w:val="nil"/>
              <w:right w:val="nil"/>
            </w:tcBorders>
            <w:tcMar>
              <w:top w:w="0" w:type="dxa"/>
              <w:left w:w="0" w:type="dxa"/>
              <w:bottom w:w="0" w:type="dxa"/>
              <w:right w:w="0" w:type="dxa"/>
            </w:tcMar>
            <w:vAlign w:val="center"/>
          </w:tcPr>
          <w:p w14:paraId="19CD78ED"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5.30</w:t>
            </w:r>
          </w:p>
        </w:tc>
        <w:tc>
          <w:tcPr>
            <w:tcW w:w="648" w:type="dxa"/>
            <w:tcBorders>
              <w:top w:val="nil"/>
              <w:left w:val="nil"/>
              <w:bottom w:val="nil"/>
              <w:right w:val="nil"/>
            </w:tcBorders>
            <w:tcMar>
              <w:top w:w="0" w:type="dxa"/>
              <w:left w:w="0" w:type="dxa"/>
              <w:bottom w:w="0" w:type="dxa"/>
              <w:right w:w="0" w:type="dxa"/>
            </w:tcMar>
            <w:vAlign w:val="center"/>
          </w:tcPr>
          <w:p w14:paraId="7AA4CF92"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0.76</w:t>
            </w:r>
          </w:p>
        </w:tc>
        <w:tc>
          <w:tcPr>
            <w:tcW w:w="1296" w:type="dxa"/>
            <w:tcBorders>
              <w:top w:val="nil"/>
              <w:left w:val="nil"/>
              <w:bottom w:val="nil"/>
              <w:right w:val="nil"/>
            </w:tcBorders>
            <w:tcMar>
              <w:top w:w="0" w:type="dxa"/>
              <w:left w:w="0" w:type="dxa"/>
              <w:bottom w:w="0" w:type="dxa"/>
              <w:right w:w="0" w:type="dxa"/>
            </w:tcMar>
            <w:vAlign w:val="center"/>
          </w:tcPr>
          <w:p w14:paraId="1FBC0C14"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w:t>
            </w:r>
          </w:p>
        </w:tc>
      </w:tr>
      <w:tr w:rsidR="00BD2841" w14:paraId="0849FB5C"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77B92178"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Development is based on goals, mission, or vision</w:t>
            </w:r>
          </w:p>
        </w:tc>
        <w:tc>
          <w:tcPr>
            <w:tcW w:w="648" w:type="dxa"/>
            <w:tcBorders>
              <w:top w:val="nil"/>
              <w:left w:val="nil"/>
              <w:bottom w:val="nil"/>
              <w:right w:val="nil"/>
            </w:tcBorders>
            <w:tcMar>
              <w:top w:w="0" w:type="dxa"/>
              <w:left w:w="0" w:type="dxa"/>
              <w:bottom w:w="0" w:type="dxa"/>
              <w:right w:w="0" w:type="dxa"/>
            </w:tcMar>
            <w:vAlign w:val="center"/>
          </w:tcPr>
          <w:p w14:paraId="1445EAB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5.30</w:t>
            </w:r>
          </w:p>
        </w:tc>
        <w:tc>
          <w:tcPr>
            <w:tcW w:w="648" w:type="dxa"/>
            <w:tcBorders>
              <w:top w:val="nil"/>
              <w:left w:val="nil"/>
              <w:bottom w:val="nil"/>
              <w:right w:val="nil"/>
            </w:tcBorders>
            <w:tcMar>
              <w:top w:w="0" w:type="dxa"/>
              <w:left w:w="0" w:type="dxa"/>
              <w:bottom w:w="0" w:type="dxa"/>
              <w:right w:w="0" w:type="dxa"/>
            </w:tcMar>
            <w:vAlign w:val="center"/>
          </w:tcPr>
          <w:p w14:paraId="594A142B"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0.79</w:t>
            </w:r>
          </w:p>
        </w:tc>
        <w:tc>
          <w:tcPr>
            <w:tcW w:w="1296" w:type="dxa"/>
            <w:tcBorders>
              <w:top w:val="nil"/>
              <w:left w:val="nil"/>
              <w:bottom w:val="nil"/>
              <w:right w:val="nil"/>
            </w:tcBorders>
            <w:tcMar>
              <w:top w:w="0" w:type="dxa"/>
              <w:left w:w="0" w:type="dxa"/>
              <w:bottom w:w="0" w:type="dxa"/>
              <w:right w:w="0" w:type="dxa"/>
            </w:tcMar>
            <w:vAlign w:val="center"/>
          </w:tcPr>
          <w:p w14:paraId="09F49D7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w:t>
            </w:r>
          </w:p>
        </w:tc>
      </w:tr>
      <w:tr w:rsidR="00BD2841" w14:paraId="51BB47A7"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193CA814"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Program is held accountable at the local level</w:t>
            </w:r>
          </w:p>
        </w:tc>
        <w:tc>
          <w:tcPr>
            <w:tcW w:w="648" w:type="dxa"/>
            <w:tcBorders>
              <w:top w:val="nil"/>
              <w:left w:val="nil"/>
              <w:bottom w:val="nil"/>
              <w:right w:val="nil"/>
            </w:tcBorders>
            <w:tcMar>
              <w:top w:w="0" w:type="dxa"/>
              <w:left w:w="0" w:type="dxa"/>
              <w:bottom w:w="0" w:type="dxa"/>
              <w:right w:w="0" w:type="dxa"/>
            </w:tcMar>
            <w:vAlign w:val="center"/>
          </w:tcPr>
          <w:p w14:paraId="4708CED2"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5.30</w:t>
            </w:r>
          </w:p>
        </w:tc>
        <w:tc>
          <w:tcPr>
            <w:tcW w:w="648" w:type="dxa"/>
            <w:tcBorders>
              <w:top w:val="nil"/>
              <w:left w:val="nil"/>
              <w:bottom w:val="nil"/>
              <w:right w:val="nil"/>
            </w:tcBorders>
            <w:tcMar>
              <w:top w:w="0" w:type="dxa"/>
              <w:left w:w="0" w:type="dxa"/>
              <w:bottom w:w="0" w:type="dxa"/>
              <w:right w:w="0" w:type="dxa"/>
            </w:tcMar>
            <w:vAlign w:val="center"/>
          </w:tcPr>
          <w:p w14:paraId="37F33A09"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0.72</w:t>
            </w:r>
          </w:p>
        </w:tc>
        <w:tc>
          <w:tcPr>
            <w:tcW w:w="1296" w:type="dxa"/>
            <w:tcBorders>
              <w:top w:val="nil"/>
              <w:left w:val="nil"/>
              <w:bottom w:val="nil"/>
              <w:right w:val="nil"/>
            </w:tcBorders>
            <w:tcMar>
              <w:top w:w="0" w:type="dxa"/>
              <w:left w:w="0" w:type="dxa"/>
              <w:bottom w:w="0" w:type="dxa"/>
              <w:right w:w="0" w:type="dxa"/>
            </w:tcMar>
            <w:vAlign w:val="center"/>
          </w:tcPr>
          <w:p w14:paraId="09064CC1"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w:t>
            </w:r>
          </w:p>
        </w:tc>
      </w:tr>
      <w:tr w:rsidR="00BD2841" w14:paraId="6769F7AE"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18B8ACB5"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Program has goals and direction for continuous growth</w:t>
            </w:r>
          </w:p>
        </w:tc>
        <w:tc>
          <w:tcPr>
            <w:tcW w:w="648" w:type="dxa"/>
            <w:tcBorders>
              <w:top w:val="nil"/>
              <w:left w:val="nil"/>
              <w:bottom w:val="nil"/>
              <w:right w:val="nil"/>
            </w:tcBorders>
            <w:tcMar>
              <w:top w:w="0" w:type="dxa"/>
              <w:left w:w="0" w:type="dxa"/>
              <w:bottom w:w="0" w:type="dxa"/>
              <w:right w:w="0" w:type="dxa"/>
            </w:tcMar>
            <w:vAlign w:val="center"/>
          </w:tcPr>
          <w:p w14:paraId="7FC669D3"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5.28</w:t>
            </w:r>
          </w:p>
        </w:tc>
        <w:tc>
          <w:tcPr>
            <w:tcW w:w="648" w:type="dxa"/>
            <w:tcBorders>
              <w:top w:val="nil"/>
              <w:left w:val="nil"/>
              <w:bottom w:val="nil"/>
              <w:right w:val="nil"/>
            </w:tcBorders>
            <w:tcMar>
              <w:top w:w="0" w:type="dxa"/>
              <w:left w:w="0" w:type="dxa"/>
              <w:bottom w:w="0" w:type="dxa"/>
              <w:right w:w="0" w:type="dxa"/>
            </w:tcMar>
            <w:vAlign w:val="center"/>
          </w:tcPr>
          <w:p w14:paraId="79D6CE31"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0.91</w:t>
            </w:r>
          </w:p>
        </w:tc>
        <w:tc>
          <w:tcPr>
            <w:tcW w:w="1296" w:type="dxa"/>
            <w:tcBorders>
              <w:top w:val="nil"/>
              <w:left w:val="nil"/>
              <w:bottom w:val="nil"/>
              <w:right w:val="nil"/>
            </w:tcBorders>
            <w:tcMar>
              <w:top w:w="0" w:type="dxa"/>
              <w:left w:w="0" w:type="dxa"/>
              <w:bottom w:w="0" w:type="dxa"/>
              <w:right w:w="0" w:type="dxa"/>
            </w:tcMar>
            <w:vAlign w:val="center"/>
          </w:tcPr>
          <w:p w14:paraId="40B12875"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w:t>
            </w:r>
          </w:p>
        </w:tc>
      </w:tr>
      <w:tr w:rsidR="00BD2841" w14:paraId="596D0DD2"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674FAC9E"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Ongoing assessment or feedback drives decision-making </w:t>
            </w:r>
          </w:p>
        </w:tc>
        <w:tc>
          <w:tcPr>
            <w:tcW w:w="648" w:type="dxa"/>
            <w:tcBorders>
              <w:top w:val="nil"/>
              <w:left w:val="nil"/>
              <w:bottom w:val="nil"/>
              <w:right w:val="nil"/>
            </w:tcBorders>
            <w:tcMar>
              <w:top w:w="0" w:type="dxa"/>
              <w:left w:w="0" w:type="dxa"/>
              <w:bottom w:w="0" w:type="dxa"/>
              <w:right w:w="0" w:type="dxa"/>
            </w:tcMar>
            <w:vAlign w:val="center"/>
          </w:tcPr>
          <w:p w14:paraId="769E2481"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5.28</w:t>
            </w:r>
          </w:p>
        </w:tc>
        <w:tc>
          <w:tcPr>
            <w:tcW w:w="648" w:type="dxa"/>
            <w:tcBorders>
              <w:top w:val="nil"/>
              <w:left w:val="nil"/>
              <w:bottom w:val="nil"/>
              <w:right w:val="nil"/>
            </w:tcBorders>
            <w:tcMar>
              <w:top w:w="0" w:type="dxa"/>
              <w:left w:w="0" w:type="dxa"/>
              <w:bottom w:w="0" w:type="dxa"/>
              <w:right w:w="0" w:type="dxa"/>
            </w:tcMar>
            <w:vAlign w:val="center"/>
          </w:tcPr>
          <w:p w14:paraId="2BEB536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0.78</w:t>
            </w:r>
          </w:p>
        </w:tc>
        <w:tc>
          <w:tcPr>
            <w:tcW w:w="1296" w:type="dxa"/>
            <w:tcBorders>
              <w:top w:val="nil"/>
              <w:left w:val="nil"/>
              <w:bottom w:val="nil"/>
              <w:right w:val="nil"/>
            </w:tcBorders>
            <w:tcMar>
              <w:top w:w="0" w:type="dxa"/>
              <w:left w:w="0" w:type="dxa"/>
              <w:bottom w:w="0" w:type="dxa"/>
              <w:right w:w="0" w:type="dxa"/>
            </w:tcMar>
            <w:vAlign w:val="center"/>
          </w:tcPr>
          <w:p w14:paraId="7DEBC838"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w:t>
            </w:r>
          </w:p>
        </w:tc>
      </w:tr>
      <w:tr w:rsidR="00BD2841" w14:paraId="1E7CB3E6"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47B80655"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Utilizes clear processes and procedures</w:t>
            </w:r>
          </w:p>
        </w:tc>
        <w:tc>
          <w:tcPr>
            <w:tcW w:w="648" w:type="dxa"/>
            <w:tcBorders>
              <w:top w:val="nil"/>
              <w:left w:val="nil"/>
              <w:bottom w:val="nil"/>
              <w:right w:val="nil"/>
            </w:tcBorders>
            <w:tcMar>
              <w:top w:w="0" w:type="dxa"/>
              <w:left w:w="0" w:type="dxa"/>
              <w:bottom w:w="0" w:type="dxa"/>
              <w:right w:w="0" w:type="dxa"/>
            </w:tcMar>
            <w:vAlign w:val="center"/>
          </w:tcPr>
          <w:p w14:paraId="79D7CAEF"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5.25</w:t>
            </w:r>
          </w:p>
        </w:tc>
        <w:tc>
          <w:tcPr>
            <w:tcW w:w="648" w:type="dxa"/>
            <w:tcBorders>
              <w:top w:val="nil"/>
              <w:left w:val="nil"/>
              <w:bottom w:val="nil"/>
              <w:right w:val="nil"/>
            </w:tcBorders>
            <w:tcMar>
              <w:top w:w="0" w:type="dxa"/>
              <w:left w:w="0" w:type="dxa"/>
              <w:bottom w:w="0" w:type="dxa"/>
              <w:right w:w="0" w:type="dxa"/>
            </w:tcMar>
            <w:vAlign w:val="center"/>
          </w:tcPr>
          <w:p w14:paraId="66912DC8"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0.81</w:t>
            </w:r>
          </w:p>
        </w:tc>
        <w:tc>
          <w:tcPr>
            <w:tcW w:w="1296" w:type="dxa"/>
            <w:tcBorders>
              <w:top w:val="nil"/>
              <w:left w:val="nil"/>
              <w:bottom w:val="nil"/>
              <w:right w:val="nil"/>
            </w:tcBorders>
            <w:tcMar>
              <w:top w:w="0" w:type="dxa"/>
              <w:left w:w="0" w:type="dxa"/>
              <w:bottom w:w="0" w:type="dxa"/>
              <w:right w:w="0" w:type="dxa"/>
            </w:tcMar>
            <w:vAlign w:val="center"/>
          </w:tcPr>
          <w:p w14:paraId="6A962E57"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w:t>
            </w:r>
          </w:p>
        </w:tc>
      </w:tr>
      <w:tr w:rsidR="00BD2841" w14:paraId="29E3FD85"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310E2E6F"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Annual review of program goals, mission, or needs </w:t>
            </w:r>
          </w:p>
        </w:tc>
        <w:tc>
          <w:tcPr>
            <w:tcW w:w="648" w:type="dxa"/>
            <w:tcBorders>
              <w:top w:val="nil"/>
              <w:left w:val="nil"/>
              <w:bottom w:val="nil"/>
              <w:right w:val="nil"/>
            </w:tcBorders>
            <w:tcMar>
              <w:top w:w="0" w:type="dxa"/>
              <w:left w:w="0" w:type="dxa"/>
              <w:bottom w:w="0" w:type="dxa"/>
              <w:right w:w="0" w:type="dxa"/>
            </w:tcMar>
            <w:vAlign w:val="center"/>
          </w:tcPr>
          <w:p w14:paraId="081834C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5.25</w:t>
            </w:r>
          </w:p>
        </w:tc>
        <w:tc>
          <w:tcPr>
            <w:tcW w:w="648" w:type="dxa"/>
            <w:tcBorders>
              <w:top w:val="nil"/>
              <w:left w:val="nil"/>
              <w:bottom w:val="nil"/>
              <w:right w:val="nil"/>
            </w:tcBorders>
            <w:tcMar>
              <w:top w:w="0" w:type="dxa"/>
              <w:left w:w="0" w:type="dxa"/>
              <w:bottom w:w="0" w:type="dxa"/>
              <w:right w:w="0" w:type="dxa"/>
            </w:tcMar>
            <w:vAlign w:val="center"/>
          </w:tcPr>
          <w:p w14:paraId="23ADE268"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0.90</w:t>
            </w:r>
          </w:p>
        </w:tc>
        <w:tc>
          <w:tcPr>
            <w:tcW w:w="1296" w:type="dxa"/>
            <w:tcBorders>
              <w:top w:val="nil"/>
              <w:left w:val="nil"/>
              <w:bottom w:val="nil"/>
              <w:right w:val="nil"/>
            </w:tcBorders>
            <w:tcMar>
              <w:top w:w="0" w:type="dxa"/>
              <w:left w:w="0" w:type="dxa"/>
              <w:bottom w:w="0" w:type="dxa"/>
              <w:right w:w="0" w:type="dxa"/>
            </w:tcMar>
            <w:vAlign w:val="center"/>
          </w:tcPr>
          <w:p w14:paraId="60D36C0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w:t>
            </w:r>
          </w:p>
        </w:tc>
      </w:tr>
      <w:tr w:rsidR="00BD2841" w14:paraId="4AE32BD6"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2A819AE7"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External partners provide feedback</w:t>
            </w:r>
          </w:p>
        </w:tc>
        <w:tc>
          <w:tcPr>
            <w:tcW w:w="648" w:type="dxa"/>
            <w:tcBorders>
              <w:top w:val="nil"/>
              <w:left w:val="nil"/>
              <w:bottom w:val="nil"/>
              <w:right w:val="nil"/>
            </w:tcBorders>
            <w:tcMar>
              <w:top w:w="0" w:type="dxa"/>
              <w:left w:w="0" w:type="dxa"/>
              <w:bottom w:w="0" w:type="dxa"/>
              <w:right w:w="0" w:type="dxa"/>
            </w:tcMar>
            <w:vAlign w:val="center"/>
          </w:tcPr>
          <w:p w14:paraId="4920639D"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5.08</w:t>
            </w:r>
          </w:p>
        </w:tc>
        <w:tc>
          <w:tcPr>
            <w:tcW w:w="648" w:type="dxa"/>
            <w:tcBorders>
              <w:top w:val="nil"/>
              <w:left w:val="nil"/>
              <w:bottom w:val="nil"/>
              <w:right w:val="nil"/>
            </w:tcBorders>
            <w:tcMar>
              <w:top w:w="0" w:type="dxa"/>
              <w:left w:w="0" w:type="dxa"/>
              <w:bottom w:w="0" w:type="dxa"/>
              <w:right w:w="0" w:type="dxa"/>
            </w:tcMar>
            <w:vAlign w:val="center"/>
          </w:tcPr>
          <w:p w14:paraId="7A9A53C0"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0.94</w:t>
            </w:r>
          </w:p>
        </w:tc>
        <w:tc>
          <w:tcPr>
            <w:tcW w:w="1296" w:type="dxa"/>
            <w:tcBorders>
              <w:top w:val="nil"/>
              <w:left w:val="nil"/>
              <w:bottom w:val="nil"/>
              <w:right w:val="nil"/>
            </w:tcBorders>
            <w:tcMar>
              <w:top w:w="0" w:type="dxa"/>
              <w:left w:w="0" w:type="dxa"/>
              <w:bottom w:w="0" w:type="dxa"/>
              <w:right w:w="0" w:type="dxa"/>
            </w:tcMar>
            <w:vAlign w:val="center"/>
          </w:tcPr>
          <w:p w14:paraId="0D8BE52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w:t>
            </w:r>
          </w:p>
        </w:tc>
      </w:tr>
      <w:tr w:rsidR="00BD2841" w14:paraId="01BF9EEC" w14:textId="77777777">
        <w:trPr>
          <w:trHeight w:val="275"/>
        </w:trPr>
        <w:tc>
          <w:tcPr>
            <w:tcW w:w="6840" w:type="dxa"/>
            <w:tcBorders>
              <w:left w:val="nil"/>
              <w:bottom w:val="single" w:sz="6" w:space="0" w:color="000000"/>
              <w:right w:val="nil"/>
            </w:tcBorders>
            <w:tcMar>
              <w:top w:w="0" w:type="dxa"/>
              <w:left w:w="100" w:type="dxa"/>
              <w:bottom w:w="0" w:type="dxa"/>
              <w:right w:w="100" w:type="dxa"/>
            </w:tcMar>
            <w:vAlign w:val="center"/>
          </w:tcPr>
          <w:p w14:paraId="081597B3"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Internal partners provide feedback</w:t>
            </w:r>
          </w:p>
        </w:tc>
        <w:tc>
          <w:tcPr>
            <w:tcW w:w="648" w:type="dxa"/>
            <w:tcBorders>
              <w:left w:val="nil"/>
              <w:bottom w:val="single" w:sz="6" w:space="0" w:color="000000"/>
              <w:right w:val="nil"/>
            </w:tcBorders>
            <w:tcMar>
              <w:top w:w="0" w:type="dxa"/>
              <w:left w:w="100" w:type="dxa"/>
              <w:bottom w:w="0" w:type="dxa"/>
              <w:right w:w="100" w:type="dxa"/>
            </w:tcMar>
            <w:vAlign w:val="center"/>
          </w:tcPr>
          <w:p w14:paraId="3F69512B"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5.08</w:t>
            </w:r>
          </w:p>
        </w:tc>
        <w:tc>
          <w:tcPr>
            <w:tcW w:w="648" w:type="dxa"/>
            <w:tcBorders>
              <w:left w:val="nil"/>
              <w:bottom w:val="single" w:sz="6" w:space="0" w:color="000000"/>
              <w:right w:val="nil"/>
            </w:tcBorders>
            <w:tcMar>
              <w:top w:w="0" w:type="dxa"/>
              <w:left w:w="100" w:type="dxa"/>
              <w:bottom w:w="0" w:type="dxa"/>
              <w:right w:w="100" w:type="dxa"/>
            </w:tcMar>
            <w:vAlign w:val="center"/>
          </w:tcPr>
          <w:p w14:paraId="465BBFB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0.76</w:t>
            </w:r>
          </w:p>
        </w:tc>
        <w:tc>
          <w:tcPr>
            <w:tcW w:w="1296" w:type="dxa"/>
            <w:tcBorders>
              <w:left w:val="nil"/>
              <w:bottom w:val="single" w:sz="6" w:space="0" w:color="000000"/>
              <w:right w:val="nil"/>
            </w:tcBorders>
            <w:tcMar>
              <w:top w:w="0" w:type="dxa"/>
              <w:left w:w="100" w:type="dxa"/>
              <w:bottom w:w="0" w:type="dxa"/>
              <w:right w:w="100" w:type="dxa"/>
            </w:tcMar>
            <w:vAlign w:val="center"/>
          </w:tcPr>
          <w:p w14:paraId="48D72BFF"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w:t>
            </w:r>
          </w:p>
        </w:tc>
      </w:tr>
    </w:tbl>
    <w:p w14:paraId="2F406993" w14:textId="77777777" w:rsidR="00BD2841" w:rsidRDefault="00BD2841">
      <w:pPr>
        <w:spacing w:line="240" w:lineRule="auto"/>
        <w:rPr>
          <w:rFonts w:ascii="Times New Roman" w:eastAsia="Times New Roman" w:hAnsi="Times New Roman" w:cs="Times New Roman"/>
          <w:b/>
          <w:bCs/>
          <w:sz w:val="24"/>
          <w:szCs w:val="24"/>
        </w:rPr>
      </w:pPr>
    </w:p>
    <w:p w14:paraId="551EFBD4"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Further, experts reached consensus on three characteristics related to program marketing. Internal communication efforts achieved the highest average mean score among the three characteristics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5.37;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0.67), closely followed by an effort to communicate with external stakeholders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0.72; see Table 6).</w:t>
      </w:r>
    </w:p>
    <w:p w14:paraId="20AFD32D" w14:textId="77777777" w:rsidR="00BD2841" w:rsidRDefault="00BD2841">
      <w:pPr>
        <w:spacing w:line="240" w:lineRule="auto"/>
        <w:rPr>
          <w:rFonts w:ascii="Times New Roman" w:eastAsia="Times New Roman" w:hAnsi="Times New Roman" w:cs="Times New Roman"/>
          <w:b/>
          <w:bCs/>
          <w:sz w:val="24"/>
          <w:szCs w:val="24"/>
        </w:rPr>
      </w:pPr>
    </w:p>
    <w:p w14:paraId="1445330D" w14:textId="77777777" w:rsidR="00BD2841"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6</w:t>
      </w:r>
    </w:p>
    <w:p w14:paraId="3DC43B10"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Consensus-achieving marketing characteristics (n = 40)</w:t>
      </w:r>
    </w:p>
    <w:tbl>
      <w:tblPr>
        <w:tblStyle w:val="a4"/>
        <w:tblW w:w="943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0"/>
        <w:gridCol w:w="648"/>
        <w:gridCol w:w="648"/>
        <w:gridCol w:w="1296"/>
      </w:tblGrid>
      <w:tr w:rsidR="00BD2841" w14:paraId="1ABB9AEA" w14:textId="77777777">
        <w:trPr>
          <w:trHeight w:val="275"/>
        </w:trPr>
        <w:tc>
          <w:tcPr>
            <w:tcW w:w="6840" w:type="dxa"/>
            <w:tcBorders>
              <w:top w:val="single" w:sz="6" w:space="0" w:color="000000"/>
              <w:bottom w:val="single" w:sz="8" w:space="0" w:color="000000"/>
            </w:tcBorders>
            <w:tcMar>
              <w:top w:w="0" w:type="dxa"/>
              <w:bottom w:w="0" w:type="dxa"/>
            </w:tcMar>
            <w:vAlign w:val="center"/>
          </w:tcPr>
          <w:p w14:paraId="2C1A9747"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Characteristic</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132A36B1" w14:textId="77777777" w:rsidR="00BD2841"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μ</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5580EB1B" w14:textId="77777777" w:rsidR="00BD2841"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σ</w:t>
            </w:r>
          </w:p>
        </w:tc>
        <w:tc>
          <w:tcPr>
            <w:tcW w:w="1296"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4DC85D99"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Agreement</w:t>
            </w:r>
          </w:p>
        </w:tc>
      </w:tr>
      <w:tr w:rsidR="00BD2841" w14:paraId="08648FE5"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2A32BECD"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Internal communication efforts</w:t>
            </w:r>
          </w:p>
        </w:tc>
        <w:tc>
          <w:tcPr>
            <w:tcW w:w="648" w:type="dxa"/>
            <w:tcBorders>
              <w:top w:val="nil"/>
              <w:left w:val="nil"/>
              <w:bottom w:val="nil"/>
              <w:right w:val="nil"/>
            </w:tcBorders>
            <w:tcMar>
              <w:top w:w="0" w:type="dxa"/>
              <w:left w:w="100" w:type="dxa"/>
              <w:bottom w:w="0" w:type="dxa"/>
              <w:right w:w="100" w:type="dxa"/>
            </w:tcMar>
            <w:vAlign w:val="center"/>
          </w:tcPr>
          <w:p w14:paraId="77CE965C"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5.37</w:t>
            </w:r>
          </w:p>
        </w:tc>
        <w:tc>
          <w:tcPr>
            <w:tcW w:w="648" w:type="dxa"/>
            <w:tcBorders>
              <w:top w:val="nil"/>
              <w:left w:val="nil"/>
              <w:bottom w:val="nil"/>
              <w:right w:val="nil"/>
            </w:tcBorders>
            <w:tcMar>
              <w:top w:w="0" w:type="dxa"/>
              <w:left w:w="100" w:type="dxa"/>
              <w:bottom w:w="0" w:type="dxa"/>
              <w:right w:w="100" w:type="dxa"/>
            </w:tcMar>
            <w:vAlign w:val="center"/>
          </w:tcPr>
          <w:p w14:paraId="4B6B4A19"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0.67</w:t>
            </w:r>
          </w:p>
        </w:tc>
        <w:tc>
          <w:tcPr>
            <w:tcW w:w="1296" w:type="dxa"/>
            <w:tcBorders>
              <w:top w:val="nil"/>
              <w:left w:val="nil"/>
              <w:bottom w:val="nil"/>
              <w:right w:val="nil"/>
            </w:tcBorders>
            <w:tcMar>
              <w:top w:w="0" w:type="dxa"/>
              <w:left w:w="100" w:type="dxa"/>
              <w:bottom w:w="0" w:type="dxa"/>
              <w:right w:w="100" w:type="dxa"/>
            </w:tcMar>
            <w:vAlign w:val="center"/>
          </w:tcPr>
          <w:p w14:paraId="6E067287"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90%</w:t>
            </w:r>
          </w:p>
        </w:tc>
      </w:tr>
      <w:tr w:rsidR="00BD2841" w14:paraId="41DF97DD"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14F0F86B"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to stakeholders</w:t>
            </w:r>
          </w:p>
        </w:tc>
        <w:tc>
          <w:tcPr>
            <w:tcW w:w="648" w:type="dxa"/>
            <w:tcBorders>
              <w:top w:val="nil"/>
              <w:left w:val="nil"/>
              <w:bottom w:val="nil"/>
              <w:right w:val="nil"/>
            </w:tcBorders>
            <w:tcMar>
              <w:top w:w="0" w:type="dxa"/>
              <w:left w:w="100" w:type="dxa"/>
              <w:bottom w:w="0" w:type="dxa"/>
              <w:right w:w="100" w:type="dxa"/>
            </w:tcMar>
            <w:vAlign w:val="center"/>
          </w:tcPr>
          <w:p w14:paraId="7B76EB7F"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5.30</w:t>
            </w:r>
          </w:p>
        </w:tc>
        <w:tc>
          <w:tcPr>
            <w:tcW w:w="648" w:type="dxa"/>
            <w:tcBorders>
              <w:top w:val="nil"/>
              <w:left w:val="nil"/>
              <w:bottom w:val="nil"/>
              <w:right w:val="nil"/>
            </w:tcBorders>
            <w:tcMar>
              <w:top w:w="0" w:type="dxa"/>
              <w:left w:w="100" w:type="dxa"/>
              <w:bottom w:w="0" w:type="dxa"/>
              <w:right w:w="100" w:type="dxa"/>
            </w:tcMar>
            <w:vAlign w:val="center"/>
          </w:tcPr>
          <w:p w14:paraId="1C35640B"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0.72</w:t>
            </w:r>
          </w:p>
        </w:tc>
        <w:tc>
          <w:tcPr>
            <w:tcW w:w="1296" w:type="dxa"/>
            <w:tcBorders>
              <w:top w:val="nil"/>
              <w:left w:val="nil"/>
              <w:bottom w:val="nil"/>
              <w:right w:val="nil"/>
            </w:tcBorders>
            <w:tcMar>
              <w:top w:w="0" w:type="dxa"/>
              <w:left w:w="100" w:type="dxa"/>
              <w:bottom w:w="0" w:type="dxa"/>
              <w:right w:w="100" w:type="dxa"/>
            </w:tcMar>
            <w:vAlign w:val="center"/>
          </w:tcPr>
          <w:p w14:paraId="474BCC0B"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w:t>
            </w:r>
          </w:p>
        </w:tc>
      </w:tr>
      <w:tr w:rsidR="00BD2841" w14:paraId="54188814" w14:textId="77777777">
        <w:trPr>
          <w:trHeight w:val="275"/>
        </w:trPr>
        <w:tc>
          <w:tcPr>
            <w:tcW w:w="6840" w:type="dxa"/>
            <w:tcBorders>
              <w:left w:val="nil"/>
              <w:bottom w:val="single" w:sz="6" w:space="0" w:color="000000"/>
              <w:right w:val="nil"/>
            </w:tcBorders>
            <w:tcMar>
              <w:top w:w="0" w:type="dxa"/>
              <w:left w:w="100" w:type="dxa"/>
              <w:bottom w:w="0" w:type="dxa"/>
              <w:right w:w="100" w:type="dxa"/>
            </w:tcMar>
            <w:vAlign w:val="center"/>
          </w:tcPr>
          <w:p w14:paraId="39D1D945"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plan to market to students and stakeholders</w:t>
            </w:r>
          </w:p>
        </w:tc>
        <w:tc>
          <w:tcPr>
            <w:tcW w:w="648" w:type="dxa"/>
            <w:tcBorders>
              <w:left w:val="nil"/>
              <w:bottom w:val="single" w:sz="6" w:space="0" w:color="000000"/>
              <w:right w:val="nil"/>
            </w:tcBorders>
            <w:tcMar>
              <w:top w:w="0" w:type="dxa"/>
              <w:left w:w="100" w:type="dxa"/>
              <w:bottom w:w="0" w:type="dxa"/>
              <w:right w:w="100" w:type="dxa"/>
            </w:tcMar>
            <w:vAlign w:val="center"/>
          </w:tcPr>
          <w:p w14:paraId="4288F9B1"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5.13</w:t>
            </w:r>
          </w:p>
        </w:tc>
        <w:tc>
          <w:tcPr>
            <w:tcW w:w="648" w:type="dxa"/>
            <w:tcBorders>
              <w:left w:val="nil"/>
              <w:bottom w:val="single" w:sz="6" w:space="0" w:color="000000"/>
              <w:right w:val="nil"/>
            </w:tcBorders>
            <w:tcMar>
              <w:top w:w="0" w:type="dxa"/>
              <w:left w:w="100" w:type="dxa"/>
              <w:bottom w:w="0" w:type="dxa"/>
              <w:right w:w="100" w:type="dxa"/>
            </w:tcMar>
            <w:vAlign w:val="center"/>
          </w:tcPr>
          <w:p w14:paraId="1BDFDC09"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0.85</w:t>
            </w:r>
          </w:p>
        </w:tc>
        <w:tc>
          <w:tcPr>
            <w:tcW w:w="1296" w:type="dxa"/>
            <w:tcBorders>
              <w:left w:val="nil"/>
              <w:bottom w:val="single" w:sz="6" w:space="0" w:color="000000"/>
              <w:right w:val="nil"/>
            </w:tcBorders>
            <w:tcMar>
              <w:top w:w="0" w:type="dxa"/>
              <w:left w:w="100" w:type="dxa"/>
              <w:bottom w:w="0" w:type="dxa"/>
              <w:right w:w="100" w:type="dxa"/>
            </w:tcMar>
            <w:vAlign w:val="center"/>
          </w:tcPr>
          <w:p w14:paraId="76090BD9"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75%</w:t>
            </w:r>
          </w:p>
        </w:tc>
      </w:tr>
    </w:tbl>
    <w:p w14:paraId="4C295808" w14:textId="77777777" w:rsidR="00BD2841" w:rsidRDefault="00BD2841">
      <w:pPr>
        <w:spacing w:line="240" w:lineRule="auto"/>
        <w:rPr>
          <w:rFonts w:ascii="Times New Roman" w:eastAsia="Times New Roman" w:hAnsi="Times New Roman" w:cs="Times New Roman"/>
          <w:b/>
          <w:bCs/>
          <w:sz w:val="24"/>
          <w:szCs w:val="24"/>
        </w:rPr>
      </w:pPr>
    </w:p>
    <w:p w14:paraId="692312E8"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Experts also identified and reached consensus on 10 general characteristics of program design and management. Among these, the teacher having reasonable expectations placed upon them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5.73;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0.55), the program’s emphasis on safety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5.63;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0.70), and a focus on relationships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5.50;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0.68) emerged as the highest-scoring characteristics (see Table 7).</w:t>
      </w:r>
    </w:p>
    <w:p w14:paraId="01992C9F" w14:textId="77777777" w:rsidR="00BD2841" w:rsidRDefault="00BD2841">
      <w:pPr>
        <w:spacing w:line="240" w:lineRule="auto"/>
        <w:rPr>
          <w:rFonts w:ascii="Times New Roman" w:eastAsia="Times New Roman" w:hAnsi="Times New Roman" w:cs="Times New Roman"/>
          <w:sz w:val="24"/>
          <w:szCs w:val="24"/>
        </w:rPr>
      </w:pPr>
    </w:p>
    <w:p w14:paraId="6C51772C" w14:textId="77777777" w:rsidR="00BD2841" w:rsidRDefault="00BD2841">
      <w:pPr>
        <w:spacing w:line="240" w:lineRule="auto"/>
        <w:rPr>
          <w:rFonts w:ascii="Times New Roman" w:eastAsia="Times New Roman" w:hAnsi="Times New Roman" w:cs="Times New Roman"/>
          <w:sz w:val="24"/>
          <w:szCs w:val="24"/>
        </w:rPr>
      </w:pPr>
    </w:p>
    <w:p w14:paraId="0C55C1A8" w14:textId="77777777" w:rsidR="00BD2841"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7</w:t>
      </w:r>
    </w:p>
    <w:p w14:paraId="50F313D6"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Consensus-achieving general program characteristics (n = 40)</w:t>
      </w:r>
    </w:p>
    <w:tbl>
      <w:tblPr>
        <w:tblStyle w:val="a5"/>
        <w:tblW w:w="943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0"/>
        <w:gridCol w:w="648"/>
        <w:gridCol w:w="648"/>
        <w:gridCol w:w="1296"/>
      </w:tblGrid>
      <w:tr w:rsidR="00BD2841" w14:paraId="57E20079" w14:textId="77777777">
        <w:trPr>
          <w:trHeight w:val="275"/>
        </w:trPr>
        <w:tc>
          <w:tcPr>
            <w:tcW w:w="6840" w:type="dxa"/>
            <w:tcBorders>
              <w:top w:val="single" w:sz="6" w:space="0" w:color="000000"/>
              <w:bottom w:val="single" w:sz="8" w:space="0" w:color="000000"/>
            </w:tcBorders>
            <w:tcMar>
              <w:top w:w="0" w:type="dxa"/>
              <w:bottom w:w="0" w:type="dxa"/>
            </w:tcMar>
            <w:vAlign w:val="center"/>
          </w:tcPr>
          <w:p w14:paraId="184CCF5D"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Characteristic</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55BBD55C" w14:textId="77777777" w:rsidR="00BD2841"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μ</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21F51B91" w14:textId="77777777" w:rsidR="00BD2841"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σ</w:t>
            </w:r>
          </w:p>
        </w:tc>
        <w:tc>
          <w:tcPr>
            <w:tcW w:w="1296"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532F47C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Agreement</w:t>
            </w:r>
          </w:p>
        </w:tc>
      </w:tr>
      <w:tr w:rsidR="00BD2841" w14:paraId="4BE826DB"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143917F9"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Reasonable expectations placed on teacher</w:t>
            </w:r>
          </w:p>
        </w:tc>
        <w:tc>
          <w:tcPr>
            <w:tcW w:w="648" w:type="dxa"/>
            <w:tcBorders>
              <w:top w:val="nil"/>
              <w:left w:val="nil"/>
              <w:bottom w:val="nil"/>
              <w:right w:val="nil"/>
            </w:tcBorders>
            <w:tcMar>
              <w:top w:w="0" w:type="dxa"/>
              <w:left w:w="0" w:type="dxa"/>
              <w:bottom w:w="0" w:type="dxa"/>
              <w:right w:w="0" w:type="dxa"/>
            </w:tcMar>
            <w:vAlign w:val="bottom"/>
          </w:tcPr>
          <w:p w14:paraId="6D596227"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5.73</w:t>
            </w:r>
          </w:p>
        </w:tc>
        <w:tc>
          <w:tcPr>
            <w:tcW w:w="648" w:type="dxa"/>
            <w:tcBorders>
              <w:top w:val="nil"/>
              <w:left w:val="nil"/>
              <w:bottom w:val="nil"/>
              <w:right w:val="nil"/>
            </w:tcBorders>
            <w:tcMar>
              <w:top w:w="0" w:type="dxa"/>
              <w:left w:w="0" w:type="dxa"/>
              <w:bottom w:w="0" w:type="dxa"/>
              <w:right w:w="0" w:type="dxa"/>
            </w:tcMar>
            <w:vAlign w:val="bottom"/>
          </w:tcPr>
          <w:p w14:paraId="191762F0"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0.55</w:t>
            </w:r>
          </w:p>
        </w:tc>
        <w:tc>
          <w:tcPr>
            <w:tcW w:w="1296" w:type="dxa"/>
            <w:tcBorders>
              <w:top w:val="nil"/>
              <w:left w:val="nil"/>
              <w:bottom w:val="nil"/>
              <w:right w:val="nil"/>
            </w:tcBorders>
            <w:tcMar>
              <w:top w:w="0" w:type="dxa"/>
              <w:left w:w="0" w:type="dxa"/>
              <w:bottom w:w="0" w:type="dxa"/>
              <w:right w:w="0" w:type="dxa"/>
            </w:tcMar>
            <w:vAlign w:val="bottom"/>
          </w:tcPr>
          <w:p w14:paraId="313B52E7"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95%</w:t>
            </w:r>
          </w:p>
        </w:tc>
      </w:tr>
      <w:tr w:rsidR="00BD2841" w14:paraId="201F7A32"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24278F94"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Emphasizes safety</w:t>
            </w:r>
          </w:p>
        </w:tc>
        <w:tc>
          <w:tcPr>
            <w:tcW w:w="648" w:type="dxa"/>
            <w:tcBorders>
              <w:top w:val="nil"/>
              <w:left w:val="nil"/>
              <w:bottom w:val="nil"/>
              <w:right w:val="nil"/>
            </w:tcBorders>
            <w:tcMar>
              <w:top w:w="0" w:type="dxa"/>
              <w:left w:w="0" w:type="dxa"/>
              <w:bottom w:w="0" w:type="dxa"/>
              <w:right w:w="0" w:type="dxa"/>
            </w:tcMar>
            <w:vAlign w:val="bottom"/>
          </w:tcPr>
          <w:p w14:paraId="1CBBE973"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5.63</w:t>
            </w:r>
          </w:p>
        </w:tc>
        <w:tc>
          <w:tcPr>
            <w:tcW w:w="648" w:type="dxa"/>
            <w:tcBorders>
              <w:top w:val="nil"/>
              <w:left w:val="nil"/>
              <w:bottom w:val="nil"/>
              <w:right w:val="nil"/>
            </w:tcBorders>
            <w:tcMar>
              <w:top w:w="0" w:type="dxa"/>
              <w:left w:w="0" w:type="dxa"/>
              <w:bottom w:w="0" w:type="dxa"/>
              <w:right w:w="0" w:type="dxa"/>
            </w:tcMar>
            <w:vAlign w:val="bottom"/>
          </w:tcPr>
          <w:p w14:paraId="6FF79B98"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0.70</w:t>
            </w:r>
          </w:p>
        </w:tc>
        <w:tc>
          <w:tcPr>
            <w:tcW w:w="1296" w:type="dxa"/>
            <w:tcBorders>
              <w:top w:val="nil"/>
              <w:left w:val="nil"/>
              <w:bottom w:val="nil"/>
              <w:right w:val="nil"/>
            </w:tcBorders>
            <w:tcMar>
              <w:top w:w="0" w:type="dxa"/>
              <w:left w:w="0" w:type="dxa"/>
              <w:bottom w:w="0" w:type="dxa"/>
              <w:right w:w="0" w:type="dxa"/>
            </w:tcMar>
            <w:vAlign w:val="bottom"/>
          </w:tcPr>
          <w:p w14:paraId="0919069D"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93%</w:t>
            </w:r>
          </w:p>
        </w:tc>
      </w:tr>
      <w:tr w:rsidR="00BD2841" w14:paraId="23C8E1F7"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729F9CBD"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Focuses on relationships</w:t>
            </w:r>
          </w:p>
        </w:tc>
        <w:tc>
          <w:tcPr>
            <w:tcW w:w="648" w:type="dxa"/>
            <w:tcBorders>
              <w:top w:val="nil"/>
              <w:left w:val="nil"/>
              <w:bottom w:val="nil"/>
              <w:right w:val="nil"/>
            </w:tcBorders>
            <w:tcMar>
              <w:top w:w="0" w:type="dxa"/>
              <w:left w:w="0" w:type="dxa"/>
              <w:bottom w:w="0" w:type="dxa"/>
              <w:right w:w="0" w:type="dxa"/>
            </w:tcMar>
            <w:vAlign w:val="bottom"/>
          </w:tcPr>
          <w:p w14:paraId="704CF0EC"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5.50</w:t>
            </w:r>
          </w:p>
        </w:tc>
        <w:tc>
          <w:tcPr>
            <w:tcW w:w="648" w:type="dxa"/>
            <w:tcBorders>
              <w:top w:val="nil"/>
              <w:left w:val="nil"/>
              <w:bottom w:val="nil"/>
              <w:right w:val="nil"/>
            </w:tcBorders>
            <w:tcMar>
              <w:top w:w="0" w:type="dxa"/>
              <w:left w:w="0" w:type="dxa"/>
              <w:bottom w:w="0" w:type="dxa"/>
              <w:right w:w="0" w:type="dxa"/>
            </w:tcMar>
            <w:vAlign w:val="bottom"/>
          </w:tcPr>
          <w:p w14:paraId="52C38E1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0.68</w:t>
            </w:r>
          </w:p>
        </w:tc>
        <w:tc>
          <w:tcPr>
            <w:tcW w:w="1296" w:type="dxa"/>
            <w:tcBorders>
              <w:top w:val="nil"/>
              <w:left w:val="nil"/>
              <w:bottom w:val="nil"/>
              <w:right w:val="nil"/>
            </w:tcBorders>
            <w:tcMar>
              <w:top w:w="0" w:type="dxa"/>
              <w:left w:w="0" w:type="dxa"/>
              <w:bottom w:w="0" w:type="dxa"/>
              <w:right w:w="0" w:type="dxa"/>
            </w:tcMar>
            <w:vAlign w:val="bottom"/>
          </w:tcPr>
          <w:p w14:paraId="332EC1AD"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90%</w:t>
            </w:r>
          </w:p>
        </w:tc>
      </w:tr>
      <w:tr w:rsidR="00BD2841" w14:paraId="75FBFC17"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6C918B95"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retention strategies</w:t>
            </w:r>
          </w:p>
        </w:tc>
        <w:tc>
          <w:tcPr>
            <w:tcW w:w="648" w:type="dxa"/>
            <w:tcBorders>
              <w:top w:val="nil"/>
              <w:left w:val="nil"/>
              <w:bottom w:val="nil"/>
              <w:right w:val="nil"/>
            </w:tcBorders>
            <w:tcMar>
              <w:top w:w="0" w:type="dxa"/>
              <w:left w:w="0" w:type="dxa"/>
              <w:bottom w:w="0" w:type="dxa"/>
              <w:right w:w="0" w:type="dxa"/>
            </w:tcMar>
            <w:vAlign w:val="bottom"/>
          </w:tcPr>
          <w:p w14:paraId="26A4BE94"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5.40</w:t>
            </w:r>
          </w:p>
        </w:tc>
        <w:tc>
          <w:tcPr>
            <w:tcW w:w="648" w:type="dxa"/>
            <w:tcBorders>
              <w:top w:val="nil"/>
              <w:left w:val="nil"/>
              <w:bottom w:val="nil"/>
              <w:right w:val="nil"/>
            </w:tcBorders>
            <w:tcMar>
              <w:top w:w="0" w:type="dxa"/>
              <w:left w:w="0" w:type="dxa"/>
              <w:bottom w:w="0" w:type="dxa"/>
              <w:right w:w="0" w:type="dxa"/>
            </w:tcMar>
            <w:vAlign w:val="bottom"/>
          </w:tcPr>
          <w:p w14:paraId="192FF960"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0.63</w:t>
            </w:r>
          </w:p>
        </w:tc>
        <w:tc>
          <w:tcPr>
            <w:tcW w:w="1296" w:type="dxa"/>
            <w:tcBorders>
              <w:top w:val="nil"/>
              <w:left w:val="nil"/>
              <w:bottom w:val="nil"/>
              <w:right w:val="nil"/>
            </w:tcBorders>
            <w:tcMar>
              <w:top w:w="0" w:type="dxa"/>
              <w:left w:w="0" w:type="dxa"/>
              <w:bottom w:w="0" w:type="dxa"/>
              <w:right w:w="0" w:type="dxa"/>
            </w:tcMar>
            <w:vAlign w:val="bottom"/>
          </w:tcPr>
          <w:p w14:paraId="607EA7E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93%</w:t>
            </w:r>
          </w:p>
        </w:tc>
      </w:tr>
      <w:tr w:rsidR="00BD2841" w14:paraId="350BBEE2"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5F0300E1"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Emphasizes student access to opportunities</w:t>
            </w:r>
          </w:p>
        </w:tc>
        <w:tc>
          <w:tcPr>
            <w:tcW w:w="648" w:type="dxa"/>
            <w:tcBorders>
              <w:top w:val="nil"/>
              <w:left w:val="nil"/>
              <w:bottom w:val="nil"/>
              <w:right w:val="nil"/>
            </w:tcBorders>
            <w:tcMar>
              <w:top w:w="0" w:type="dxa"/>
              <w:left w:w="0" w:type="dxa"/>
              <w:bottom w:w="0" w:type="dxa"/>
              <w:right w:w="0" w:type="dxa"/>
            </w:tcMar>
            <w:vAlign w:val="bottom"/>
          </w:tcPr>
          <w:p w14:paraId="1145A19D"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5.40</w:t>
            </w:r>
          </w:p>
        </w:tc>
        <w:tc>
          <w:tcPr>
            <w:tcW w:w="648" w:type="dxa"/>
            <w:tcBorders>
              <w:top w:val="nil"/>
              <w:left w:val="nil"/>
              <w:bottom w:val="nil"/>
              <w:right w:val="nil"/>
            </w:tcBorders>
            <w:tcMar>
              <w:top w:w="0" w:type="dxa"/>
              <w:left w:w="0" w:type="dxa"/>
              <w:bottom w:w="0" w:type="dxa"/>
              <w:right w:w="0" w:type="dxa"/>
            </w:tcMar>
            <w:vAlign w:val="bottom"/>
          </w:tcPr>
          <w:p w14:paraId="3755D0C3"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0.81</w:t>
            </w:r>
          </w:p>
        </w:tc>
        <w:tc>
          <w:tcPr>
            <w:tcW w:w="1296" w:type="dxa"/>
            <w:tcBorders>
              <w:top w:val="nil"/>
              <w:left w:val="nil"/>
              <w:bottom w:val="nil"/>
              <w:right w:val="nil"/>
            </w:tcBorders>
            <w:tcMar>
              <w:top w:w="0" w:type="dxa"/>
              <w:left w:w="0" w:type="dxa"/>
              <w:bottom w:w="0" w:type="dxa"/>
              <w:right w:w="0" w:type="dxa"/>
            </w:tcMar>
            <w:vAlign w:val="bottom"/>
          </w:tcPr>
          <w:p w14:paraId="7236A2AD"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w:t>
            </w:r>
          </w:p>
        </w:tc>
      </w:tr>
      <w:tr w:rsidR="00BD2841" w14:paraId="63BF2B1B"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1EA6BD7E"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Student-driven</w:t>
            </w:r>
          </w:p>
        </w:tc>
        <w:tc>
          <w:tcPr>
            <w:tcW w:w="648" w:type="dxa"/>
            <w:tcBorders>
              <w:top w:val="nil"/>
              <w:left w:val="nil"/>
              <w:bottom w:val="nil"/>
              <w:right w:val="nil"/>
            </w:tcBorders>
            <w:tcMar>
              <w:top w:w="0" w:type="dxa"/>
              <w:left w:w="0" w:type="dxa"/>
              <w:bottom w:w="0" w:type="dxa"/>
              <w:right w:w="0" w:type="dxa"/>
            </w:tcMar>
            <w:vAlign w:val="bottom"/>
          </w:tcPr>
          <w:p w14:paraId="7DC058FF"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5.28</w:t>
            </w:r>
          </w:p>
        </w:tc>
        <w:tc>
          <w:tcPr>
            <w:tcW w:w="648" w:type="dxa"/>
            <w:tcBorders>
              <w:top w:val="nil"/>
              <w:left w:val="nil"/>
              <w:bottom w:val="nil"/>
              <w:right w:val="nil"/>
            </w:tcBorders>
            <w:tcMar>
              <w:top w:w="0" w:type="dxa"/>
              <w:left w:w="0" w:type="dxa"/>
              <w:bottom w:w="0" w:type="dxa"/>
              <w:right w:w="0" w:type="dxa"/>
            </w:tcMar>
            <w:vAlign w:val="bottom"/>
          </w:tcPr>
          <w:p w14:paraId="572320C0"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0.78</w:t>
            </w:r>
          </w:p>
        </w:tc>
        <w:tc>
          <w:tcPr>
            <w:tcW w:w="1296" w:type="dxa"/>
            <w:tcBorders>
              <w:top w:val="nil"/>
              <w:left w:val="nil"/>
              <w:bottom w:val="nil"/>
              <w:right w:val="nil"/>
            </w:tcBorders>
            <w:tcMar>
              <w:top w:w="0" w:type="dxa"/>
              <w:left w:w="0" w:type="dxa"/>
              <w:bottom w:w="0" w:type="dxa"/>
              <w:right w:w="0" w:type="dxa"/>
            </w:tcMar>
            <w:vAlign w:val="bottom"/>
          </w:tcPr>
          <w:p w14:paraId="79AC582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w:t>
            </w:r>
          </w:p>
        </w:tc>
      </w:tr>
      <w:tr w:rsidR="00BD2841" w14:paraId="115C0087"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37E5A192"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recruitment strategies</w:t>
            </w:r>
          </w:p>
        </w:tc>
        <w:tc>
          <w:tcPr>
            <w:tcW w:w="648" w:type="dxa"/>
            <w:tcBorders>
              <w:top w:val="nil"/>
              <w:left w:val="nil"/>
              <w:bottom w:val="nil"/>
              <w:right w:val="nil"/>
            </w:tcBorders>
            <w:tcMar>
              <w:top w:w="0" w:type="dxa"/>
              <w:left w:w="0" w:type="dxa"/>
              <w:bottom w:w="0" w:type="dxa"/>
              <w:right w:w="0" w:type="dxa"/>
            </w:tcMar>
            <w:vAlign w:val="bottom"/>
          </w:tcPr>
          <w:p w14:paraId="7F74340E"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5.25</w:t>
            </w:r>
          </w:p>
        </w:tc>
        <w:tc>
          <w:tcPr>
            <w:tcW w:w="648" w:type="dxa"/>
            <w:tcBorders>
              <w:top w:val="nil"/>
              <w:left w:val="nil"/>
              <w:bottom w:val="nil"/>
              <w:right w:val="nil"/>
            </w:tcBorders>
            <w:tcMar>
              <w:top w:w="0" w:type="dxa"/>
              <w:left w:w="0" w:type="dxa"/>
              <w:bottom w:w="0" w:type="dxa"/>
              <w:right w:w="0" w:type="dxa"/>
            </w:tcMar>
            <w:vAlign w:val="bottom"/>
          </w:tcPr>
          <w:p w14:paraId="27FDEB02"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0.71</w:t>
            </w:r>
          </w:p>
        </w:tc>
        <w:tc>
          <w:tcPr>
            <w:tcW w:w="1296" w:type="dxa"/>
            <w:tcBorders>
              <w:top w:val="nil"/>
              <w:left w:val="nil"/>
              <w:bottom w:val="nil"/>
              <w:right w:val="nil"/>
            </w:tcBorders>
            <w:tcMar>
              <w:top w:w="0" w:type="dxa"/>
              <w:left w:w="0" w:type="dxa"/>
              <w:bottom w:w="0" w:type="dxa"/>
              <w:right w:w="0" w:type="dxa"/>
            </w:tcMar>
            <w:vAlign w:val="bottom"/>
          </w:tcPr>
          <w:p w14:paraId="532D712F"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90%</w:t>
            </w:r>
          </w:p>
        </w:tc>
      </w:tr>
      <w:tr w:rsidR="00BD2841" w14:paraId="7213B964"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118CF677"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Teacher-facilitated</w:t>
            </w:r>
          </w:p>
        </w:tc>
        <w:tc>
          <w:tcPr>
            <w:tcW w:w="648" w:type="dxa"/>
            <w:tcBorders>
              <w:top w:val="nil"/>
              <w:left w:val="nil"/>
              <w:bottom w:val="nil"/>
              <w:right w:val="nil"/>
            </w:tcBorders>
            <w:tcMar>
              <w:top w:w="0" w:type="dxa"/>
              <w:left w:w="0" w:type="dxa"/>
              <w:bottom w:w="0" w:type="dxa"/>
              <w:right w:w="0" w:type="dxa"/>
            </w:tcMar>
            <w:vAlign w:val="bottom"/>
          </w:tcPr>
          <w:p w14:paraId="67D7E847"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5.20</w:t>
            </w:r>
          </w:p>
        </w:tc>
        <w:tc>
          <w:tcPr>
            <w:tcW w:w="648" w:type="dxa"/>
            <w:tcBorders>
              <w:top w:val="nil"/>
              <w:left w:val="nil"/>
              <w:bottom w:val="nil"/>
              <w:right w:val="nil"/>
            </w:tcBorders>
            <w:tcMar>
              <w:top w:w="0" w:type="dxa"/>
              <w:left w:w="0" w:type="dxa"/>
              <w:bottom w:w="0" w:type="dxa"/>
              <w:right w:w="0" w:type="dxa"/>
            </w:tcMar>
            <w:vAlign w:val="bottom"/>
          </w:tcPr>
          <w:p w14:paraId="60F6DCB5"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0.88</w:t>
            </w:r>
          </w:p>
        </w:tc>
        <w:tc>
          <w:tcPr>
            <w:tcW w:w="1296" w:type="dxa"/>
            <w:tcBorders>
              <w:top w:val="nil"/>
              <w:left w:val="nil"/>
              <w:bottom w:val="nil"/>
              <w:right w:val="nil"/>
            </w:tcBorders>
            <w:tcMar>
              <w:top w:w="0" w:type="dxa"/>
              <w:left w:w="0" w:type="dxa"/>
              <w:bottom w:w="0" w:type="dxa"/>
              <w:right w:w="0" w:type="dxa"/>
            </w:tcMar>
            <w:vAlign w:val="bottom"/>
          </w:tcPr>
          <w:p w14:paraId="797E01B0"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w:t>
            </w:r>
          </w:p>
        </w:tc>
      </w:tr>
      <w:tr w:rsidR="00BD2841" w14:paraId="7F3AFF78"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79BC264A"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Program demographics reflect entire student body</w:t>
            </w:r>
          </w:p>
        </w:tc>
        <w:tc>
          <w:tcPr>
            <w:tcW w:w="648" w:type="dxa"/>
            <w:tcBorders>
              <w:top w:val="nil"/>
              <w:left w:val="nil"/>
              <w:bottom w:val="nil"/>
              <w:right w:val="nil"/>
            </w:tcBorders>
            <w:tcMar>
              <w:top w:w="0" w:type="dxa"/>
              <w:left w:w="0" w:type="dxa"/>
              <w:bottom w:w="0" w:type="dxa"/>
              <w:right w:w="0" w:type="dxa"/>
            </w:tcMar>
            <w:vAlign w:val="bottom"/>
          </w:tcPr>
          <w:p w14:paraId="4215D38D"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5.08</w:t>
            </w:r>
          </w:p>
        </w:tc>
        <w:tc>
          <w:tcPr>
            <w:tcW w:w="648" w:type="dxa"/>
            <w:tcBorders>
              <w:top w:val="nil"/>
              <w:left w:val="nil"/>
              <w:bottom w:val="nil"/>
              <w:right w:val="nil"/>
            </w:tcBorders>
            <w:tcMar>
              <w:top w:w="0" w:type="dxa"/>
              <w:left w:w="0" w:type="dxa"/>
              <w:bottom w:w="0" w:type="dxa"/>
              <w:right w:w="0" w:type="dxa"/>
            </w:tcMar>
            <w:vAlign w:val="bottom"/>
          </w:tcPr>
          <w:p w14:paraId="5A61AD00"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0.89</w:t>
            </w:r>
          </w:p>
        </w:tc>
        <w:tc>
          <w:tcPr>
            <w:tcW w:w="1296" w:type="dxa"/>
            <w:tcBorders>
              <w:top w:val="nil"/>
              <w:left w:val="nil"/>
              <w:bottom w:val="nil"/>
              <w:right w:val="nil"/>
            </w:tcBorders>
            <w:tcMar>
              <w:top w:w="0" w:type="dxa"/>
              <w:left w:w="0" w:type="dxa"/>
              <w:bottom w:w="0" w:type="dxa"/>
              <w:right w:w="0" w:type="dxa"/>
            </w:tcMar>
            <w:vAlign w:val="bottom"/>
          </w:tcPr>
          <w:p w14:paraId="7036BE9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w:t>
            </w:r>
          </w:p>
        </w:tc>
      </w:tr>
      <w:tr w:rsidR="00BD2841" w14:paraId="55D32F10" w14:textId="77777777">
        <w:trPr>
          <w:trHeight w:val="275"/>
        </w:trPr>
        <w:tc>
          <w:tcPr>
            <w:tcW w:w="6840" w:type="dxa"/>
            <w:tcBorders>
              <w:left w:val="nil"/>
              <w:bottom w:val="single" w:sz="6" w:space="0" w:color="000000"/>
              <w:right w:val="nil"/>
            </w:tcBorders>
            <w:tcMar>
              <w:top w:w="0" w:type="dxa"/>
              <w:left w:w="100" w:type="dxa"/>
              <w:bottom w:w="0" w:type="dxa"/>
              <w:right w:w="100" w:type="dxa"/>
            </w:tcMar>
            <w:vAlign w:val="center"/>
          </w:tcPr>
          <w:p w14:paraId="1567A398"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Rigorous</w:t>
            </w:r>
          </w:p>
        </w:tc>
        <w:tc>
          <w:tcPr>
            <w:tcW w:w="648" w:type="dxa"/>
            <w:tcBorders>
              <w:left w:val="nil"/>
              <w:bottom w:val="single" w:sz="6" w:space="0" w:color="000000"/>
              <w:right w:val="nil"/>
            </w:tcBorders>
            <w:tcMar>
              <w:top w:w="0" w:type="dxa"/>
              <w:left w:w="100" w:type="dxa"/>
              <w:bottom w:w="0" w:type="dxa"/>
              <w:right w:w="100" w:type="dxa"/>
            </w:tcMar>
            <w:vAlign w:val="center"/>
          </w:tcPr>
          <w:p w14:paraId="43FBC194"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5.03</w:t>
            </w:r>
          </w:p>
        </w:tc>
        <w:tc>
          <w:tcPr>
            <w:tcW w:w="648" w:type="dxa"/>
            <w:tcBorders>
              <w:left w:val="nil"/>
              <w:bottom w:val="single" w:sz="6" w:space="0" w:color="000000"/>
              <w:right w:val="nil"/>
            </w:tcBorders>
            <w:tcMar>
              <w:top w:w="0" w:type="dxa"/>
              <w:left w:w="100" w:type="dxa"/>
              <w:bottom w:w="0" w:type="dxa"/>
              <w:right w:w="100" w:type="dxa"/>
            </w:tcMar>
            <w:vAlign w:val="center"/>
          </w:tcPr>
          <w:p w14:paraId="2C3E2FEC"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0.86</w:t>
            </w:r>
          </w:p>
        </w:tc>
        <w:tc>
          <w:tcPr>
            <w:tcW w:w="1296" w:type="dxa"/>
            <w:tcBorders>
              <w:left w:val="nil"/>
              <w:bottom w:val="single" w:sz="6" w:space="0" w:color="000000"/>
              <w:right w:val="nil"/>
            </w:tcBorders>
            <w:tcMar>
              <w:top w:w="0" w:type="dxa"/>
              <w:left w:w="100" w:type="dxa"/>
              <w:bottom w:w="0" w:type="dxa"/>
              <w:right w:w="100" w:type="dxa"/>
            </w:tcMar>
            <w:vAlign w:val="center"/>
          </w:tcPr>
          <w:p w14:paraId="68C12C73"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75%</w:t>
            </w:r>
          </w:p>
        </w:tc>
      </w:tr>
    </w:tbl>
    <w:p w14:paraId="21C1593F" w14:textId="77777777" w:rsidR="00BD2841" w:rsidRDefault="00BD2841">
      <w:pPr>
        <w:spacing w:line="240" w:lineRule="auto"/>
        <w:rPr>
          <w:rFonts w:ascii="Times New Roman" w:eastAsia="Times New Roman" w:hAnsi="Times New Roman" w:cs="Times New Roman"/>
          <w:sz w:val="24"/>
          <w:szCs w:val="24"/>
        </w:rPr>
      </w:pPr>
    </w:p>
    <w:p w14:paraId="118996F6"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Objective 3 identified the resource and stakeholder needs of an effective SBAE program. Among the resources theme, access to a classroom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5.93;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0.35), resources to maintain safe facilities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5.83;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0.45), and having a supportive community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5.60;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0.81) were the resource characteristics that achieved the highest mean scores among experts (see Table 8).</w:t>
      </w:r>
    </w:p>
    <w:p w14:paraId="6671235F" w14:textId="77777777" w:rsidR="00BD2841" w:rsidRDefault="00BD2841">
      <w:pPr>
        <w:spacing w:line="240" w:lineRule="auto"/>
        <w:rPr>
          <w:rFonts w:ascii="Times New Roman" w:eastAsia="Times New Roman" w:hAnsi="Times New Roman" w:cs="Times New Roman"/>
          <w:sz w:val="24"/>
          <w:szCs w:val="24"/>
        </w:rPr>
      </w:pPr>
    </w:p>
    <w:p w14:paraId="1D66E2B5" w14:textId="77777777" w:rsidR="00BD2841"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8</w:t>
      </w:r>
    </w:p>
    <w:p w14:paraId="0F140283"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Consensus-achieving resource characteristics (n = 40)</w:t>
      </w:r>
    </w:p>
    <w:tbl>
      <w:tblPr>
        <w:tblStyle w:val="a6"/>
        <w:tblW w:w="943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0"/>
        <w:gridCol w:w="648"/>
        <w:gridCol w:w="648"/>
        <w:gridCol w:w="1296"/>
      </w:tblGrid>
      <w:tr w:rsidR="00BD2841" w14:paraId="7F92220D" w14:textId="77777777">
        <w:trPr>
          <w:trHeight w:val="275"/>
        </w:trPr>
        <w:tc>
          <w:tcPr>
            <w:tcW w:w="6840" w:type="dxa"/>
            <w:tcBorders>
              <w:top w:val="single" w:sz="6" w:space="0" w:color="000000"/>
              <w:bottom w:val="single" w:sz="8" w:space="0" w:color="000000"/>
            </w:tcBorders>
            <w:tcMar>
              <w:top w:w="0" w:type="dxa"/>
              <w:bottom w:w="0" w:type="dxa"/>
            </w:tcMar>
            <w:vAlign w:val="center"/>
          </w:tcPr>
          <w:p w14:paraId="0DB11D61"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Characteristic</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5EC0D825" w14:textId="77777777" w:rsidR="00BD2841"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μ</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2730EF57" w14:textId="77777777" w:rsidR="00BD2841"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σ</w:t>
            </w:r>
          </w:p>
        </w:tc>
        <w:tc>
          <w:tcPr>
            <w:tcW w:w="1296"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1B5AA5A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Agreement</w:t>
            </w:r>
          </w:p>
        </w:tc>
      </w:tr>
      <w:tr w:rsidR="00BD2841" w14:paraId="7E49A6FB"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24314EE0"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Access to a classroom</w:t>
            </w:r>
          </w:p>
        </w:tc>
        <w:tc>
          <w:tcPr>
            <w:tcW w:w="648" w:type="dxa"/>
            <w:tcBorders>
              <w:top w:val="nil"/>
              <w:left w:val="nil"/>
              <w:bottom w:val="nil"/>
              <w:right w:val="nil"/>
            </w:tcBorders>
            <w:tcMar>
              <w:top w:w="0" w:type="dxa"/>
              <w:left w:w="0" w:type="dxa"/>
              <w:bottom w:w="0" w:type="dxa"/>
              <w:right w:w="0" w:type="dxa"/>
            </w:tcMar>
            <w:vAlign w:val="center"/>
          </w:tcPr>
          <w:p w14:paraId="12ABAE7C"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5.93</w:t>
            </w:r>
          </w:p>
        </w:tc>
        <w:tc>
          <w:tcPr>
            <w:tcW w:w="648" w:type="dxa"/>
            <w:tcBorders>
              <w:top w:val="nil"/>
              <w:left w:val="nil"/>
              <w:bottom w:val="nil"/>
              <w:right w:val="nil"/>
            </w:tcBorders>
            <w:tcMar>
              <w:top w:w="0" w:type="dxa"/>
              <w:left w:w="0" w:type="dxa"/>
              <w:bottom w:w="0" w:type="dxa"/>
              <w:right w:w="0" w:type="dxa"/>
            </w:tcMar>
            <w:vAlign w:val="center"/>
          </w:tcPr>
          <w:p w14:paraId="5F518CFB"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0.35</w:t>
            </w:r>
          </w:p>
        </w:tc>
        <w:tc>
          <w:tcPr>
            <w:tcW w:w="1296" w:type="dxa"/>
            <w:tcBorders>
              <w:top w:val="nil"/>
              <w:left w:val="nil"/>
              <w:bottom w:val="nil"/>
              <w:right w:val="nil"/>
            </w:tcBorders>
            <w:tcMar>
              <w:top w:w="0" w:type="dxa"/>
              <w:left w:w="0" w:type="dxa"/>
              <w:bottom w:w="0" w:type="dxa"/>
              <w:right w:w="0" w:type="dxa"/>
            </w:tcMar>
            <w:vAlign w:val="center"/>
          </w:tcPr>
          <w:p w14:paraId="569A7364"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98%</w:t>
            </w:r>
          </w:p>
        </w:tc>
      </w:tr>
      <w:tr w:rsidR="00BD2841" w14:paraId="24C896C3"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6A97DB59"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Resources to maintain safe facilities</w:t>
            </w:r>
          </w:p>
        </w:tc>
        <w:tc>
          <w:tcPr>
            <w:tcW w:w="648" w:type="dxa"/>
            <w:tcBorders>
              <w:top w:val="nil"/>
              <w:left w:val="nil"/>
              <w:bottom w:val="nil"/>
              <w:right w:val="nil"/>
            </w:tcBorders>
            <w:tcMar>
              <w:top w:w="0" w:type="dxa"/>
              <w:left w:w="0" w:type="dxa"/>
              <w:bottom w:w="0" w:type="dxa"/>
              <w:right w:w="0" w:type="dxa"/>
            </w:tcMar>
            <w:vAlign w:val="center"/>
          </w:tcPr>
          <w:p w14:paraId="5EC6E263"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5.83</w:t>
            </w:r>
          </w:p>
        </w:tc>
        <w:tc>
          <w:tcPr>
            <w:tcW w:w="648" w:type="dxa"/>
            <w:tcBorders>
              <w:top w:val="nil"/>
              <w:left w:val="nil"/>
              <w:bottom w:val="nil"/>
              <w:right w:val="nil"/>
            </w:tcBorders>
            <w:tcMar>
              <w:top w:w="0" w:type="dxa"/>
              <w:left w:w="0" w:type="dxa"/>
              <w:bottom w:w="0" w:type="dxa"/>
              <w:right w:w="0" w:type="dxa"/>
            </w:tcMar>
            <w:vAlign w:val="center"/>
          </w:tcPr>
          <w:p w14:paraId="0EE7CFE0"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0.45</w:t>
            </w:r>
          </w:p>
        </w:tc>
        <w:tc>
          <w:tcPr>
            <w:tcW w:w="1296" w:type="dxa"/>
            <w:tcBorders>
              <w:top w:val="nil"/>
              <w:left w:val="nil"/>
              <w:bottom w:val="nil"/>
              <w:right w:val="nil"/>
            </w:tcBorders>
            <w:tcMar>
              <w:top w:w="0" w:type="dxa"/>
              <w:left w:w="0" w:type="dxa"/>
              <w:bottom w:w="0" w:type="dxa"/>
              <w:right w:w="0" w:type="dxa"/>
            </w:tcMar>
            <w:vAlign w:val="center"/>
          </w:tcPr>
          <w:p w14:paraId="6E1E8B08"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98%</w:t>
            </w:r>
          </w:p>
        </w:tc>
      </w:tr>
      <w:tr w:rsidR="00BD2841" w14:paraId="3F300413"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3E4C7D0C"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Supportive community</w:t>
            </w:r>
          </w:p>
        </w:tc>
        <w:tc>
          <w:tcPr>
            <w:tcW w:w="648" w:type="dxa"/>
            <w:tcBorders>
              <w:top w:val="nil"/>
              <w:left w:val="nil"/>
              <w:bottom w:val="nil"/>
              <w:right w:val="nil"/>
            </w:tcBorders>
            <w:tcMar>
              <w:top w:w="0" w:type="dxa"/>
              <w:left w:w="0" w:type="dxa"/>
              <w:bottom w:w="0" w:type="dxa"/>
              <w:right w:w="0" w:type="dxa"/>
            </w:tcMar>
            <w:vAlign w:val="center"/>
          </w:tcPr>
          <w:p w14:paraId="176616C5"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5.60</w:t>
            </w:r>
          </w:p>
        </w:tc>
        <w:tc>
          <w:tcPr>
            <w:tcW w:w="648" w:type="dxa"/>
            <w:tcBorders>
              <w:top w:val="nil"/>
              <w:left w:val="nil"/>
              <w:bottom w:val="nil"/>
              <w:right w:val="nil"/>
            </w:tcBorders>
            <w:tcMar>
              <w:top w:w="0" w:type="dxa"/>
              <w:left w:w="0" w:type="dxa"/>
              <w:bottom w:w="0" w:type="dxa"/>
              <w:right w:w="0" w:type="dxa"/>
            </w:tcMar>
            <w:vAlign w:val="center"/>
          </w:tcPr>
          <w:p w14:paraId="42843C23"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0.81</w:t>
            </w:r>
          </w:p>
        </w:tc>
        <w:tc>
          <w:tcPr>
            <w:tcW w:w="1296" w:type="dxa"/>
            <w:tcBorders>
              <w:top w:val="nil"/>
              <w:left w:val="nil"/>
              <w:bottom w:val="nil"/>
              <w:right w:val="nil"/>
            </w:tcBorders>
            <w:tcMar>
              <w:top w:w="0" w:type="dxa"/>
              <w:left w:w="0" w:type="dxa"/>
              <w:bottom w:w="0" w:type="dxa"/>
              <w:right w:w="0" w:type="dxa"/>
            </w:tcMar>
            <w:vAlign w:val="center"/>
          </w:tcPr>
          <w:p w14:paraId="6603E9DF"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93%</w:t>
            </w:r>
          </w:p>
        </w:tc>
      </w:tr>
      <w:tr w:rsidR="00BD2841" w14:paraId="546F0527"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3019349B"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support for the teacher to engage in PD</w:t>
            </w:r>
          </w:p>
        </w:tc>
        <w:tc>
          <w:tcPr>
            <w:tcW w:w="648" w:type="dxa"/>
            <w:tcBorders>
              <w:top w:val="nil"/>
              <w:left w:val="nil"/>
              <w:bottom w:val="nil"/>
              <w:right w:val="nil"/>
            </w:tcBorders>
            <w:tcMar>
              <w:top w:w="0" w:type="dxa"/>
              <w:left w:w="0" w:type="dxa"/>
              <w:bottom w:w="0" w:type="dxa"/>
              <w:right w:w="0" w:type="dxa"/>
            </w:tcMar>
            <w:vAlign w:val="center"/>
          </w:tcPr>
          <w:p w14:paraId="5203E0C5"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5.53</w:t>
            </w:r>
          </w:p>
        </w:tc>
        <w:tc>
          <w:tcPr>
            <w:tcW w:w="648" w:type="dxa"/>
            <w:tcBorders>
              <w:top w:val="nil"/>
              <w:left w:val="nil"/>
              <w:bottom w:val="nil"/>
              <w:right w:val="nil"/>
            </w:tcBorders>
            <w:tcMar>
              <w:top w:w="0" w:type="dxa"/>
              <w:left w:w="0" w:type="dxa"/>
              <w:bottom w:w="0" w:type="dxa"/>
              <w:right w:w="0" w:type="dxa"/>
            </w:tcMar>
            <w:vAlign w:val="center"/>
          </w:tcPr>
          <w:p w14:paraId="79D2C3D3"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0.64</w:t>
            </w:r>
          </w:p>
        </w:tc>
        <w:tc>
          <w:tcPr>
            <w:tcW w:w="1296" w:type="dxa"/>
            <w:tcBorders>
              <w:top w:val="nil"/>
              <w:left w:val="nil"/>
              <w:bottom w:val="nil"/>
              <w:right w:val="nil"/>
            </w:tcBorders>
            <w:tcMar>
              <w:top w:w="0" w:type="dxa"/>
              <w:left w:w="0" w:type="dxa"/>
              <w:bottom w:w="0" w:type="dxa"/>
              <w:right w:w="0" w:type="dxa"/>
            </w:tcMar>
            <w:vAlign w:val="center"/>
          </w:tcPr>
          <w:p w14:paraId="25AF62D3"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93%</w:t>
            </w:r>
          </w:p>
        </w:tc>
      </w:tr>
      <w:tr w:rsidR="00BD2841" w14:paraId="524E164E"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42259477"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support for the teacher to fulfill SAE responsibilities</w:t>
            </w:r>
          </w:p>
        </w:tc>
        <w:tc>
          <w:tcPr>
            <w:tcW w:w="648" w:type="dxa"/>
            <w:tcBorders>
              <w:top w:val="nil"/>
              <w:left w:val="nil"/>
              <w:bottom w:val="nil"/>
              <w:right w:val="nil"/>
            </w:tcBorders>
            <w:tcMar>
              <w:top w:w="0" w:type="dxa"/>
              <w:left w:w="0" w:type="dxa"/>
              <w:bottom w:w="0" w:type="dxa"/>
              <w:right w:w="0" w:type="dxa"/>
            </w:tcMar>
            <w:vAlign w:val="center"/>
          </w:tcPr>
          <w:p w14:paraId="36BD7744"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5.53</w:t>
            </w:r>
          </w:p>
        </w:tc>
        <w:tc>
          <w:tcPr>
            <w:tcW w:w="648" w:type="dxa"/>
            <w:tcBorders>
              <w:top w:val="nil"/>
              <w:left w:val="nil"/>
              <w:bottom w:val="nil"/>
              <w:right w:val="nil"/>
            </w:tcBorders>
            <w:tcMar>
              <w:top w:w="0" w:type="dxa"/>
              <w:left w:w="0" w:type="dxa"/>
              <w:bottom w:w="0" w:type="dxa"/>
              <w:right w:w="0" w:type="dxa"/>
            </w:tcMar>
            <w:vAlign w:val="center"/>
          </w:tcPr>
          <w:p w14:paraId="1D9543F9"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0.78</w:t>
            </w:r>
          </w:p>
        </w:tc>
        <w:tc>
          <w:tcPr>
            <w:tcW w:w="1296" w:type="dxa"/>
            <w:tcBorders>
              <w:top w:val="nil"/>
              <w:left w:val="nil"/>
              <w:bottom w:val="nil"/>
              <w:right w:val="nil"/>
            </w:tcBorders>
            <w:tcMar>
              <w:top w:w="0" w:type="dxa"/>
              <w:left w:w="0" w:type="dxa"/>
              <w:bottom w:w="0" w:type="dxa"/>
              <w:right w:w="0" w:type="dxa"/>
            </w:tcMar>
            <w:vAlign w:val="center"/>
          </w:tcPr>
          <w:p w14:paraId="025D59E3"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w:t>
            </w:r>
          </w:p>
        </w:tc>
      </w:tr>
      <w:tr w:rsidR="00BD2841" w14:paraId="2C5FC5AD"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18BA9B10"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support for the teacher to fulfill FFA responsibilities</w:t>
            </w:r>
          </w:p>
        </w:tc>
        <w:tc>
          <w:tcPr>
            <w:tcW w:w="648" w:type="dxa"/>
            <w:tcBorders>
              <w:top w:val="nil"/>
              <w:left w:val="nil"/>
              <w:bottom w:val="nil"/>
              <w:right w:val="nil"/>
            </w:tcBorders>
            <w:tcMar>
              <w:top w:w="0" w:type="dxa"/>
              <w:left w:w="0" w:type="dxa"/>
              <w:bottom w:w="0" w:type="dxa"/>
              <w:right w:w="0" w:type="dxa"/>
            </w:tcMar>
            <w:vAlign w:val="center"/>
          </w:tcPr>
          <w:p w14:paraId="49DB6E6F"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5.48</w:t>
            </w:r>
          </w:p>
        </w:tc>
        <w:tc>
          <w:tcPr>
            <w:tcW w:w="648" w:type="dxa"/>
            <w:tcBorders>
              <w:top w:val="nil"/>
              <w:left w:val="nil"/>
              <w:bottom w:val="nil"/>
              <w:right w:val="nil"/>
            </w:tcBorders>
            <w:tcMar>
              <w:top w:w="0" w:type="dxa"/>
              <w:left w:w="0" w:type="dxa"/>
              <w:bottom w:w="0" w:type="dxa"/>
              <w:right w:w="0" w:type="dxa"/>
            </w:tcMar>
            <w:vAlign w:val="center"/>
          </w:tcPr>
          <w:p w14:paraId="022865F4"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0.88</w:t>
            </w:r>
          </w:p>
        </w:tc>
        <w:tc>
          <w:tcPr>
            <w:tcW w:w="1296" w:type="dxa"/>
            <w:tcBorders>
              <w:top w:val="nil"/>
              <w:left w:val="nil"/>
              <w:bottom w:val="nil"/>
              <w:right w:val="nil"/>
            </w:tcBorders>
            <w:tcMar>
              <w:top w:w="0" w:type="dxa"/>
              <w:left w:w="0" w:type="dxa"/>
              <w:bottom w:w="0" w:type="dxa"/>
              <w:right w:w="0" w:type="dxa"/>
            </w:tcMar>
            <w:vAlign w:val="center"/>
          </w:tcPr>
          <w:p w14:paraId="62DBFC02"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w:t>
            </w:r>
          </w:p>
        </w:tc>
      </w:tr>
      <w:tr w:rsidR="00BD2841" w14:paraId="67AA168E"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712F4C5F"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support for the teacher to fulfill program planning tasks</w:t>
            </w:r>
          </w:p>
        </w:tc>
        <w:tc>
          <w:tcPr>
            <w:tcW w:w="648" w:type="dxa"/>
            <w:tcBorders>
              <w:top w:val="nil"/>
              <w:left w:val="nil"/>
              <w:bottom w:val="nil"/>
              <w:right w:val="nil"/>
            </w:tcBorders>
            <w:tcMar>
              <w:top w:w="0" w:type="dxa"/>
              <w:left w:w="0" w:type="dxa"/>
              <w:bottom w:w="0" w:type="dxa"/>
              <w:right w:w="0" w:type="dxa"/>
            </w:tcMar>
            <w:vAlign w:val="center"/>
          </w:tcPr>
          <w:p w14:paraId="3E91C023"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5.45</w:t>
            </w:r>
          </w:p>
        </w:tc>
        <w:tc>
          <w:tcPr>
            <w:tcW w:w="648" w:type="dxa"/>
            <w:tcBorders>
              <w:top w:val="nil"/>
              <w:left w:val="nil"/>
              <w:bottom w:val="nil"/>
              <w:right w:val="nil"/>
            </w:tcBorders>
            <w:tcMar>
              <w:top w:w="0" w:type="dxa"/>
              <w:left w:w="0" w:type="dxa"/>
              <w:bottom w:w="0" w:type="dxa"/>
              <w:right w:w="0" w:type="dxa"/>
            </w:tcMar>
            <w:vAlign w:val="center"/>
          </w:tcPr>
          <w:p w14:paraId="7884E0A5"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0.78</w:t>
            </w:r>
          </w:p>
        </w:tc>
        <w:tc>
          <w:tcPr>
            <w:tcW w:w="1296" w:type="dxa"/>
            <w:tcBorders>
              <w:top w:val="nil"/>
              <w:left w:val="nil"/>
              <w:bottom w:val="nil"/>
              <w:right w:val="nil"/>
            </w:tcBorders>
            <w:tcMar>
              <w:top w:w="0" w:type="dxa"/>
              <w:left w:w="0" w:type="dxa"/>
              <w:bottom w:w="0" w:type="dxa"/>
              <w:right w:w="0" w:type="dxa"/>
            </w:tcMar>
            <w:vAlign w:val="center"/>
          </w:tcPr>
          <w:p w14:paraId="1CAB034B"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w:t>
            </w:r>
          </w:p>
        </w:tc>
      </w:tr>
      <w:tr w:rsidR="00BD2841" w14:paraId="6EB64F2C"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03303C47"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support for the teacher to fulfill curriculum responsibilities</w:t>
            </w:r>
          </w:p>
        </w:tc>
        <w:tc>
          <w:tcPr>
            <w:tcW w:w="648" w:type="dxa"/>
            <w:tcBorders>
              <w:top w:val="nil"/>
              <w:left w:val="nil"/>
              <w:bottom w:val="nil"/>
              <w:right w:val="nil"/>
            </w:tcBorders>
            <w:tcMar>
              <w:top w:w="0" w:type="dxa"/>
              <w:left w:w="0" w:type="dxa"/>
              <w:bottom w:w="0" w:type="dxa"/>
              <w:right w:w="0" w:type="dxa"/>
            </w:tcMar>
            <w:vAlign w:val="center"/>
          </w:tcPr>
          <w:p w14:paraId="6C85187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5.40</w:t>
            </w:r>
          </w:p>
        </w:tc>
        <w:tc>
          <w:tcPr>
            <w:tcW w:w="648" w:type="dxa"/>
            <w:tcBorders>
              <w:top w:val="nil"/>
              <w:left w:val="nil"/>
              <w:bottom w:val="nil"/>
              <w:right w:val="nil"/>
            </w:tcBorders>
            <w:tcMar>
              <w:top w:w="0" w:type="dxa"/>
              <w:left w:w="0" w:type="dxa"/>
              <w:bottom w:w="0" w:type="dxa"/>
              <w:right w:w="0" w:type="dxa"/>
            </w:tcMar>
            <w:vAlign w:val="center"/>
          </w:tcPr>
          <w:p w14:paraId="4908F25D"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0.84</w:t>
            </w:r>
          </w:p>
        </w:tc>
        <w:tc>
          <w:tcPr>
            <w:tcW w:w="1296" w:type="dxa"/>
            <w:tcBorders>
              <w:top w:val="nil"/>
              <w:left w:val="nil"/>
              <w:bottom w:val="nil"/>
              <w:right w:val="nil"/>
            </w:tcBorders>
            <w:tcMar>
              <w:top w:w="0" w:type="dxa"/>
              <w:left w:w="0" w:type="dxa"/>
              <w:bottom w:w="0" w:type="dxa"/>
              <w:right w:w="0" w:type="dxa"/>
            </w:tcMar>
            <w:vAlign w:val="center"/>
          </w:tcPr>
          <w:p w14:paraId="7746B5B8"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w:t>
            </w:r>
          </w:p>
        </w:tc>
      </w:tr>
      <w:tr w:rsidR="00BD2841" w14:paraId="0F5DE77A"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63084A70"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Access to industry-relevant, modern teaching materials</w:t>
            </w:r>
          </w:p>
        </w:tc>
        <w:tc>
          <w:tcPr>
            <w:tcW w:w="648" w:type="dxa"/>
            <w:tcBorders>
              <w:top w:val="nil"/>
              <w:left w:val="nil"/>
              <w:bottom w:val="nil"/>
              <w:right w:val="nil"/>
            </w:tcBorders>
            <w:tcMar>
              <w:top w:w="0" w:type="dxa"/>
              <w:left w:w="0" w:type="dxa"/>
              <w:bottom w:w="0" w:type="dxa"/>
              <w:right w:w="0" w:type="dxa"/>
            </w:tcMar>
            <w:vAlign w:val="center"/>
          </w:tcPr>
          <w:p w14:paraId="501C837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5.33</w:t>
            </w:r>
          </w:p>
        </w:tc>
        <w:tc>
          <w:tcPr>
            <w:tcW w:w="648" w:type="dxa"/>
            <w:tcBorders>
              <w:top w:val="nil"/>
              <w:left w:val="nil"/>
              <w:bottom w:val="nil"/>
              <w:right w:val="nil"/>
            </w:tcBorders>
            <w:tcMar>
              <w:top w:w="0" w:type="dxa"/>
              <w:left w:w="0" w:type="dxa"/>
              <w:bottom w:w="0" w:type="dxa"/>
              <w:right w:w="0" w:type="dxa"/>
            </w:tcMar>
            <w:vAlign w:val="center"/>
          </w:tcPr>
          <w:p w14:paraId="70ECC28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0.76</w:t>
            </w:r>
          </w:p>
        </w:tc>
        <w:tc>
          <w:tcPr>
            <w:tcW w:w="1296" w:type="dxa"/>
            <w:tcBorders>
              <w:top w:val="nil"/>
              <w:left w:val="nil"/>
              <w:bottom w:val="nil"/>
              <w:right w:val="nil"/>
            </w:tcBorders>
            <w:tcMar>
              <w:top w:w="0" w:type="dxa"/>
              <w:left w:w="0" w:type="dxa"/>
              <w:bottom w:w="0" w:type="dxa"/>
              <w:right w:w="0" w:type="dxa"/>
            </w:tcMar>
            <w:vAlign w:val="center"/>
          </w:tcPr>
          <w:p w14:paraId="45EF7B67"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w:t>
            </w:r>
          </w:p>
        </w:tc>
      </w:tr>
      <w:tr w:rsidR="00BD2841" w14:paraId="3F0CB710"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2085EA9F"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support for the teacher to fulfill program evaluation tasks</w:t>
            </w:r>
          </w:p>
        </w:tc>
        <w:tc>
          <w:tcPr>
            <w:tcW w:w="648" w:type="dxa"/>
            <w:tcBorders>
              <w:top w:val="nil"/>
              <w:left w:val="nil"/>
              <w:bottom w:val="nil"/>
              <w:right w:val="nil"/>
            </w:tcBorders>
            <w:tcMar>
              <w:top w:w="0" w:type="dxa"/>
              <w:left w:w="0" w:type="dxa"/>
              <w:bottom w:w="0" w:type="dxa"/>
              <w:right w:w="0" w:type="dxa"/>
            </w:tcMar>
            <w:vAlign w:val="center"/>
          </w:tcPr>
          <w:p w14:paraId="4C868B2F"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5.33</w:t>
            </w:r>
          </w:p>
        </w:tc>
        <w:tc>
          <w:tcPr>
            <w:tcW w:w="648" w:type="dxa"/>
            <w:tcBorders>
              <w:top w:val="nil"/>
              <w:left w:val="nil"/>
              <w:bottom w:val="nil"/>
              <w:right w:val="nil"/>
            </w:tcBorders>
            <w:tcMar>
              <w:top w:w="0" w:type="dxa"/>
              <w:left w:w="0" w:type="dxa"/>
              <w:bottom w:w="0" w:type="dxa"/>
              <w:right w:w="0" w:type="dxa"/>
            </w:tcMar>
            <w:vAlign w:val="center"/>
          </w:tcPr>
          <w:p w14:paraId="60967778"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0.89</w:t>
            </w:r>
          </w:p>
        </w:tc>
        <w:tc>
          <w:tcPr>
            <w:tcW w:w="1296" w:type="dxa"/>
            <w:tcBorders>
              <w:top w:val="nil"/>
              <w:left w:val="nil"/>
              <w:bottom w:val="nil"/>
              <w:right w:val="nil"/>
            </w:tcBorders>
            <w:tcMar>
              <w:top w:w="0" w:type="dxa"/>
              <w:left w:w="0" w:type="dxa"/>
              <w:bottom w:w="0" w:type="dxa"/>
              <w:right w:w="0" w:type="dxa"/>
            </w:tcMar>
            <w:vAlign w:val="center"/>
          </w:tcPr>
          <w:p w14:paraId="077217EE"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w:t>
            </w:r>
          </w:p>
        </w:tc>
      </w:tr>
      <w:tr w:rsidR="00BD2841" w14:paraId="2516E288"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65D7C417"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Access to instructional technology</w:t>
            </w:r>
          </w:p>
        </w:tc>
        <w:tc>
          <w:tcPr>
            <w:tcW w:w="648" w:type="dxa"/>
            <w:tcBorders>
              <w:top w:val="nil"/>
              <w:left w:val="nil"/>
              <w:bottom w:val="nil"/>
              <w:right w:val="nil"/>
            </w:tcBorders>
            <w:tcMar>
              <w:top w:w="0" w:type="dxa"/>
              <w:left w:w="0" w:type="dxa"/>
              <w:bottom w:w="0" w:type="dxa"/>
              <w:right w:w="0" w:type="dxa"/>
            </w:tcMar>
            <w:vAlign w:val="center"/>
          </w:tcPr>
          <w:p w14:paraId="218A9A0C"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5.25</w:t>
            </w:r>
          </w:p>
        </w:tc>
        <w:tc>
          <w:tcPr>
            <w:tcW w:w="648" w:type="dxa"/>
            <w:tcBorders>
              <w:top w:val="nil"/>
              <w:left w:val="nil"/>
              <w:bottom w:val="nil"/>
              <w:right w:val="nil"/>
            </w:tcBorders>
            <w:tcMar>
              <w:top w:w="0" w:type="dxa"/>
              <w:left w:w="0" w:type="dxa"/>
              <w:bottom w:w="0" w:type="dxa"/>
              <w:right w:w="0" w:type="dxa"/>
            </w:tcMar>
            <w:vAlign w:val="center"/>
          </w:tcPr>
          <w:p w14:paraId="5D448338"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0.98</w:t>
            </w:r>
          </w:p>
        </w:tc>
        <w:tc>
          <w:tcPr>
            <w:tcW w:w="1296" w:type="dxa"/>
            <w:tcBorders>
              <w:top w:val="nil"/>
              <w:left w:val="nil"/>
              <w:bottom w:val="nil"/>
              <w:right w:val="nil"/>
            </w:tcBorders>
            <w:tcMar>
              <w:top w:w="0" w:type="dxa"/>
              <w:left w:w="0" w:type="dxa"/>
              <w:bottom w:w="0" w:type="dxa"/>
              <w:right w:w="0" w:type="dxa"/>
            </w:tcMar>
            <w:vAlign w:val="center"/>
          </w:tcPr>
          <w:p w14:paraId="286AD26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w:t>
            </w:r>
          </w:p>
        </w:tc>
      </w:tr>
      <w:tr w:rsidR="00BD2841" w14:paraId="4529AE03" w14:textId="77777777">
        <w:trPr>
          <w:trHeight w:val="275"/>
        </w:trPr>
        <w:tc>
          <w:tcPr>
            <w:tcW w:w="6840" w:type="dxa"/>
            <w:tcBorders>
              <w:top w:val="nil"/>
              <w:left w:val="nil"/>
              <w:bottom w:val="nil"/>
              <w:right w:val="nil"/>
            </w:tcBorders>
            <w:tcMar>
              <w:top w:w="0" w:type="dxa"/>
              <w:left w:w="100" w:type="dxa"/>
              <w:bottom w:w="0" w:type="dxa"/>
              <w:right w:w="100" w:type="dxa"/>
            </w:tcMar>
            <w:vAlign w:val="center"/>
          </w:tcPr>
          <w:p w14:paraId="79FD53D2"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support for the teacher to fulfill facility responsibilities</w:t>
            </w:r>
          </w:p>
        </w:tc>
        <w:tc>
          <w:tcPr>
            <w:tcW w:w="648" w:type="dxa"/>
            <w:tcBorders>
              <w:top w:val="nil"/>
              <w:left w:val="nil"/>
              <w:bottom w:val="nil"/>
              <w:right w:val="nil"/>
            </w:tcBorders>
            <w:tcMar>
              <w:top w:w="0" w:type="dxa"/>
              <w:left w:w="0" w:type="dxa"/>
              <w:bottom w:w="0" w:type="dxa"/>
              <w:right w:w="0" w:type="dxa"/>
            </w:tcMar>
            <w:vAlign w:val="center"/>
          </w:tcPr>
          <w:p w14:paraId="06858605"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5.23</w:t>
            </w:r>
          </w:p>
        </w:tc>
        <w:tc>
          <w:tcPr>
            <w:tcW w:w="648" w:type="dxa"/>
            <w:tcBorders>
              <w:top w:val="nil"/>
              <w:left w:val="nil"/>
              <w:bottom w:val="nil"/>
              <w:right w:val="nil"/>
            </w:tcBorders>
            <w:tcMar>
              <w:top w:w="0" w:type="dxa"/>
              <w:left w:w="0" w:type="dxa"/>
              <w:bottom w:w="0" w:type="dxa"/>
              <w:right w:w="0" w:type="dxa"/>
            </w:tcMar>
            <w:vAlign w:val="center"/>
          </w:tcPr>
          <w:p w14:paraId="4B73227E"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0.92</w:t>
            </w:r>
          </w:p>
        </w:tc>
        <w:tc>
          <w:tcPr>
            <w:tcW w:w="1296" w:type="dxa"/>
            <w:tcBorders>
              <w:top w:val="nil"/>
              <w:left w:val="nil"/>
              <w:bottom w:val="nil"/>
              <w:right w:val="nil"/>
            </w:tcBorders>
            <w:tcMar>
              <w:top w:w="0" w:type="dxa"/>
              <w:left w:w="0" w:type="dxa"/>
              <w:bottom w:w="0" w:type="dxa"/>
              <w:right w:w="0" w:type="dxa"/>
            </w:tcMar>
            <w:vAlign w:val="center"/>
          </w:tcPr>
          <w:p w14:paraId="1AFF09D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78%</w:t>
            </w:r>
          </w:p>
        </w:tc>
      </w:tr>
      <w:tr w:rsidR="00BD2841" w14:paraId="59694638" w14:textId="77777777">
        <w:trPr>
          <w:trHeight w:val="275"/>
        </w:trPr>
        <w:tc>
          <w:tcPr>
            <w:tcW w:w="6840" w:type="dxa"/>
            <w:tcBorders>
              <w:left w:val="nil"/>
              <w:bottom w:val="single" w:sz="6" w:space="0" w:color="000000"/>
              <w:right w:val="nil"/>
            </w:tcBorders>
            <w:tcMar>
              <w:top w:w="0" w:type="dxa"/>
              <w:left w:w="100" w:type="dxa"/>
              <w:bottom w:w="0" w:type="dxa"/>
              <w:right w:w="100" w:type="dxa"/>
            </w:tcMar>
            <w:vAlign w:val="center"/>
          </w:tcPr>
          <w:p w14:paraId="6B057D4F"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Healthy budget to support a hands-on program</w:t>
            </w:r>
          </w:p>
        </w:tc>
        <w:tc>
          <w:tcPr>
            <w:tcW w:w="648" w:type="dxa"/>
            <w:tcBorders>
              <w:top w:val="nil"/>
              <w:left w:val="nil"/>
              <w:bottom w:val="single" w:sz="6" w:space="0" w:color="000000"/>
              <w:right w:val="nil"/>
            </w:tcBorders>
            <w:tcMar>
              <w:top w:w="0" w:type="dxa"/>
              <w:left w:w="0" w:type="dxa"/>
              <w:bottom w:w="0" w:type="dxa"/>
              <w:right w:w="0" w:type="dxa"/>
            </w:tcMar>
            <w:vAlign w:val="center"/>
          </w:tcPr>
          <w:p w14:paraId="4CA51FD5"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5.18</w:t>
            </w:r>
          </w:p>
        </w:tc>
        <w:tc>
          <w:tcPr>
            <w:tcW w:w="648" w:type="dxa"/>
            <w:tcBorders>
              <w:top w:val="nil"/>
              <w:left w:val="nil"/>
              <w:bottom w:val="single" w:sz="6" w:space="0" w:color="000000"/>
              <w:right w:val="nil"/>
            </w:tcBorders>
            <w:tcMar>
              <w:top w:w="0" w:type="dxa"/>
              <w:left w:w="0" w:type="dxa"/>
              <w:bottom w:w="0" w:type="dxa"/>
              <w:right w:w="0" w:type="dxa"/>
            </w:tcMar>
            <w:vAlign w:val="center"/>
          </w:tcPr>
          <w:p w14:paraId="75C30A03"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0.81</w:t>
            </w:r>
          </w:p>
        </w:tc>
        <w:tc>
          <w:tcPr>
            <w:tcW w:w="1296" w:type="dxa"/>
            <w:tcBorders>
              <w:top w:val="nil"/>
              <w:left w:val="nil"/>
              <w:bottom w:val="single" w:sz="6" w:space="0" w:color="000000"/>
              <w:right w:val="nil"/>
            </w:tcBorders>
            <w:tcMar>
              <w:top w:w="0" w:type="dxa"/>
              <w:left w:w="0" w:type="dxa"/>
              <w:bottom w:w="0" w:type="dxa"/>
              <w:right w:w="0" w:type="dxa"/>
            </w:tcMar>
            <w:vAlign w:val="center"/>
          </w:tcPr>
          <w:p w14:paraId="56641AE9"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w:t>
            </w:r>
          </w:p>
        </w:tc>
      </w:tr>
    </w:tbl>
    <w:p w14:paraId="36B7A990" w14:textId="77777777" w:rsidR="00BD2841" w:rsidRDefault="00BD2841">
      <w:pPr>
        <w:spacing w:line="240" w:lineRule="auto"/>
        <w:rPr>
          <w:rFonts w:ascii="Times New Roman" w:eastAsia="Times New Roman" w:hAnsi="Times New Roman" w:cs="Times New Roman"/>
          <w:sz w:val="24"/>
          <w:szCs w:val="24"/>
        </w:rPr>
      </w:pPr>
    </w:p>
    <w:p w14:paraId="3EF0BD46"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Finally, experts reached consensus on 10 stakeholder and community characteristics. Of these, the support of administration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5.83;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0.45), parents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5.68;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0.62), and community members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5.58;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0.68) were the top-scoring characteristics on average (see Table 9).</w:t>
      </w:r>
    </w:p>
    <w:p w14:paraId="3499F69B" w14:textId="77777777" w:rsidR="00BD2841" w:rsidRDefault="00BD2841">
      <w:pPr>
        <w:spacing w:line="240" w:lineRule="auto"/>
        <w:rPr>
          <w:rFonts w:ascii="Times New Roman" w:eastAsia="Times New Roman" w:hAnsi="Times New Roman" w:cs="Times New Roman"/>
          <w:sz w:val="24"/>
          <w:szCs w:val="24"/>
        </w:rPr>
      </w:pPr>
    </w:p>
    <w:p w14:paraId="1196596D" w14:textId="77777777" w:rsidR="00BD2841"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9</w:t>
      </w:r>
    </w:p>
    <w:p w14:paraId="4FF15827"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Consensus-achieving stakeholder and community characteristics (n = 40)</w:t>
      </w:r>
    </w:p>
    <w:tbl>
      <w:tblPr>
        <w:tblStyle w:val="a7"/>
        <w:tblW w:w="943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40"/>
        <w:gridCol w:w="648"/>
        <w:gridCol w:w="648"/>
        <w:gridCol w:w="1296"/>
      </w:tblGrid>
      <w:tr w:rsidR="00BD2841" w14:paraId="0D415AFD" w14:textId="77777777">
        <w:trPr>
          <w:trHeight w:val="53"/>
        </w:trPr>
        <w:tc>
          <w:tcPr>
            <w:tcW w:w="6840" w:type="dxa"/>
            <w:tcBorders>
              <w:top w:val="single" w:sz="6" w:space="0" w:color="000000"/>
              <w:bottom w:val="single" w:sz="8" w:space="0" w:color="000000"/>
            </w:tcBorders>
            <w:tcMar>
              <w:top w:w="0" w:type="dxa"/>
              <w:bottom w:w="0" w:type="dxa"/>
            </w:tcMar>
            <w:vAlign w:val="center"/>
          </w:tcPr>
          <w:p w14:paraId="78CFBACA"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Characteristic</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543DC36E" w14:textId="77777777" w:rsidR="00BD2841"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μ</w:t>
            </w:r>
          </w:p>
        </w:tc>
        <w:tc>
          <w:tcPr>
            <w:tcW w:w="648"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607F29F3" w14:textId="77777777" w:rsidR="00BD2841"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σ</w:t>
            </w:r>
          </w:p>
        </w:tc>
        <w:tc>
          <w:tcPr>
            <w:tcW w:w="1296"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09794B10"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Agreement</w:t>
            </w:r>
          </w:p>
        </w:tc>
      </w:tr>
      <w:tr w:rsidR="00BD2841" w14:paraId="1A5E7226" w14:textId="77777777">
        <w:trPr>
          <w:trHeight w:val="53"/>
        </w:trPr>
        <w:tc>
          <w:tcPr>
            <w:tcW w:w="6840" w:type="dxa"/>
            <w:tcBorders>
              <w:top w:val="nil"/>
              <w:left w:val="nil"/>
              <w:bottom w:val="nil"/>
              <w:right w:val="nil"/>
            </w:tcBorders>
            <w:tcMar>
              <w:top w:w="0" w:type="dxa"/>
              <w:left w:w="100" w:type="dxa"/>
              <w:bottom w:w="0" w:type="dxa"/>
              <w:right w:w="100" w:type="dxa"/>
            </w:tcMar>
            <w:vAlign w:val="center"/>
          </w:tcPr>
          <w:p w14:paraId="1F4C5BE7"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Support of administration</w:t>
            </w:r>
          </w:p>
        </w:tc>
        <w:tc>
          <w:tcPr>
            <w:tcW w:w="648" w:type="dxa"/>
            <w:tcBorders>
              <w:top w:val="nil"/>
              <w:left w:val="nil"/>
              <w:bottom w:val="nil"/>
              <w:right w:val="nil"/>
            </w:tcBorders>
            <w:tcMar>
              <w:top w:w="0" w:type="dxa"/>
              <w:left w:w="0" w:type="dxa"/>
              <w:bottom w:w="0" w:type="dxa"/>
              <w:right w:w="0" w:type="dxa"/>
            </w:tcMar>
            <w:vAlign w:val="bottom"/>
          </w:tcPr>
          <w:p w14:paraId="4F6E650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5.83</w:t>
            </w:r>
          </w:p>
        </w:tc>
        <w:tc>
          <w:tcPr>
            <w:tcW w:w="648" w:type="dxa"/>
            <w:tcBorders>
              <w:top w:val="nil"/>
              <w:left w:val="nil"/>
              <w:bottom w:val="nil"/>
              <w:right w:val="nil"/>
            </w:tcBorders>
            <w:tcMar>
              <w:top w:w="0" w:type="dxa"/>
              <w:left w:w="0" w:type="dxa"/>
              <w:bottom w:w="0" w:type="dxa"/>
              <w:right w:w="0" w:type="dxa"/>
            </w:tcMar>
            <w:vAlign w:val="bottom"/>
          </w:tcPr>
          <w:p w14:paraId="59270C58"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0.45</w:t>
            </w:r>
          </w:p>
        </w:tc>
        <w:tc>
          <w:tcPr>
            <w:tcW w:w="1296" w:type="dxa"/>
            <w:tcBorders>
              <w:top w:val="nil"/>
              <w:left w:val="nil"/>
              <w:bottom w:val="nil"/>
              <w:right w:val="nil"/>
            </w:tcBorders>
            <w:tcMar>
              <w:top w:w="0" w:type="dxa"/>
              <w:left w:w="0" w:type="dxa"/>
              <w:bottom w:w="0" w:type="dxa"/>
              <w:right w:w="0" w:type="dxa"/>
            </w:tcMar>
            <w:vAlign w:val="bottom"/>
          </w:tcPr>
          <w:p w14:paraId="4A117265"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98%</w:t>
            </w:r>
          </w:p>
        </w:tc>
      </w:tr>
      <w:tr w:rsidR="00BD2841" w14:paraId="28674369" w14:textId="77777777">
        <w:trPr>
          <w:trHeight w:val="53"/>
        </w:trPr>
        <w:tc>
          <w:tcPr>
            <w:tcW w:w="6840" w:type="dxa"/>
            <w:tcBorders>
              <w:top w:val="nil"/>
              <w:left w:val="nil"/>
              <w:bottom w:val="nil"/>
              <w:right w:val="nil"/>
            </w:tcBorders>
            <w:tcMar>
              <w:top w:w="0" w:type="dxa"/>
              <w:left w:w="100" w:type="dxa"/>
              <w:bottom w:w="0" w:type="dxa"/>
              <w:right w:w="100" w:type="dxa"/>
            </w:tcMar>
            <w:vAlign w:val="center"/>
          </w:tcPr>
          <w:p w14:paraId="344DCD09"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Support of parents</w:t>
            </w:r>
          </w:p>
        </w:tc>
        <w:tc>
          <w:tcPr>
            <w:tcW w:w="648" w:type="dxa"/>
            <w:tcBorders>
              <w:top w:val="nil"/>
              <w:left w:val="nil"/>
              <w:bottom w:val="nil"/>
              <w:right w:val="nil"/>
            </w:tcBorders>
            <w:tcMar>
              <w:top w:w="0" w:type="dxa"/>
              <w:left w:w="0" w:type="dxa"/>
              <w:bottom w:w="0" w:type="dxa"/>
              <w:right w:w="0" w:type="dxa"/>
            </w:tcMar>
            <w:vAlign w:val="bottom"/>
          </w:tcPr>
          <w:p w14:paraId="27BF92B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5.68</w:t>
            </w:r>
          </w:p>
        </w:tc>
        <w:tc>
          <w:tcPr>
            <w:tcW w:w="648" w:type="dxa"/>
            <w:tcBorders>
              <w:top w:val="nil"/>
              <w:left w:val="nil"/>
              <w:bottom w:val="nil"/>
              <w:right w:val="nil"/>
            </w:tcBorders>
            <w:tcMar>
              <w:top w:w="0" w:type="dxa"/>
              <w:left w:w="0" w:type="dxa"/>
              <w:bottom w:w="0" w:type="dxa"/>
              <w:right w:w="0" w:type="dxa"/>
            </w:tcMar>
            <w:vAlign w:val="bottom"/>
          </w:tcPr>
          <w:p w14:paraId="7B6C0BAF"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0.62</w:t>
            </w:r>
          </w:p>
        </w:tc>
        <w:tc>
          <w:tcPr>
            <w:tcW w:w="1296" w:type="dxa"/>
            <w:tcBorders>
              <w:top w:val="nil"/>
              <w:left w:val="nil"/>
              <w:bottom w:val="nil"/>
              <w:right w:val="nil"/>
            </w:tcBorders>
            <w:tcMar>
              <w:top w:w="0" w:type="dxa"/>
              <w:left w:w="0" w:type="dxa"/>
              <w:bottom w:w="0" w:type="dxa"/>
              <w:right w:w="0" w:type="dxa"/>
            </w:tcMar>
            <w:vAlign w:val="bottom"/>
          </w:tcPr>
          <w:p w14:paraId="7B0921EC"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98%</w:t>
            </w:r>
          </w:p>
        </w:tc>
      </w:tr>
      <w:tr w:rsidR="00BD2841" w14:paraId="24262BF1" w14:textId="77777777">
        <w:trPr>
          <w:trHeight w:val="53"/>
        </w:trPr>
        <w:tc>
          <w:tcPr>
            <w:tcW w:w="6840" w:type="dxa"/>
            <w:tcBorders>
              <w:top w:val="nil"/>
              <w:left w:val="nil"/>
              <w:bottom w:val="nil"/>
              <w:right w:val="nil"/>
            </w:tcBorders>
            <w:tcMar>
              <w:top w:w="0" w:type="dxa"/>
              <w:left w:w="100" w:type="dxa"/>
              <w:bottom w:w="0" w:type="dxa"/>
              <w:right w:w="100" w:type="dxa"/>
            </w:tcMar>
            <w:vAlign w:val="center"/>
          </w:tcPr>
          <w:p w14:paraId="1C91E38C"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Support of community members</w:t>
            </w:r>
          </w:p>
        </w:tc>
        <w:tc>
          <w:tcPr>
            <w:tcW w:w="648" w:type="dxa"/>
            <w:tcBorders>
              <w:top w:val="nil"/>
              <w:left w:val="nil"/>
              <w:bottom w:val="nil"/>
              <w:right w:val="nil"/>
            </w:tcBorders>
            <w:tcMar>
              <w:top w:w="0" w:type="dxa"/>
              <w:left w:w="0" w:type="dxa"/>
              <w:bottom w:w="0" w:type="dxa"/>
              <w:right w:w="0" w:type="dxa"/>
            </w:tcMar>
            <w:vAlign w:val="bottom"/>
          </w:tcPr>
          <w:p w14:paraId="23D32184"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5.58</w:t>
            </w:r>
          </w:p>
        </w:tc>
        <w:tc>
          <w:tcPr>
            <w:tcW w:w="648" w:type="dxa"/>
            <w:tcBorders>
              <w:top w:val="nil"/>
              <w:left w:val="nil"/>
              <w:bottom w:val="nil"/>
              <w:right w:val="nil"/>
            </w:tcBorders>
            <w:tcMar>
              <w:top w:w="0" w:type="dxa"/>
              <w:left w:w="0" w:type="dxa"/>
              <w:bottom w:w="0" w:type="dxa"/>
              <w:right w:w="0" w:type="dxa"/>
            </w:tcMar>
            <w:vAlign w:val="bottom"/>
          </w:tcPr>
          <w:p w14:paraId="75B98C82"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0.68</w:t>
            </w:r>
          </w:p>
        </w:tc>
        <w:tc>
          <w:tcPr>
            <w:tcW w:w="1296" w:type="dxa"/>
            <w:tcBorders>
              <w:top w:val="nil"/>
              <w:left w:val="nil"/>
              <w:bottom w:val="nil"/>
              <w:right w:val="nil"/>
            </w:tcBorders>
            <w:tcMar>
              <w:top w:w="0" w:type="dxa"/>
              <w:left w:w="0" w:type="dxa"/>
              <w:bottom w:w="0" w:type="dxa"/>
              <w:right w:w="0" w:type="dxa"/>
            </w:tcMar>
            <w:vAlign w:val="bottom"/>
          </w:tcPr>
          <w:p w14:paraId="6A5042F9"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90%</w:t>
            </w:r>
          </w:p>
        </w:tc>
      </w:tr>
      <w:tr w:rsidR="00BD2841" w14:paraId="27BA07D3" w14:textId="77777777">
        <w:trPr>
          <w:trHeight w:val="53"/>
        </w:trPr>
        <w:tc>
          <w:tcPr>
            <w:tcW w:w="6840" w:type="dxa"/>
            <w:tcBorders>
              <w:top w:val="nil"/>
              <w:left w:val="nil"/>
              <w:bottom w:val="nil"/>
              <w:right w:val="nil"/>
            </w:tcBorders>
            <w:tcMar>
              <w:top w:w="0" w:type="dxa"/>
              <w:left w:w="100" w:type="dxa"/>
              <w:bottom w:w="0" w:type="dxa"/>
              <w:right w:w="100" w:type="dxa"/>
            </w:tcMar>
            <w:vAlign w:val="center"/>
          </w:tcPr>
          <w:p w14:paraId="67707C17"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Active agricultural education students</w:t>
            </w:r>
          </w:p>
        </w:tc>
        <w:tc>
          <w:tcPr>
            <w:tcW w:w="648" w:type="dxa"/>
            <w:tcBorders>
              <w:top w:val="nil"/>
              <w:left w:val="nil"/>
              <w:bottom w:val="nil"/>
              <w:right w:val="nil"/>
            </w:tcBorders>
            <w:tcMar>
              <w:top w:w="0" w:type="dxa"/>
              <w:left w:w="0" w:type="dxa"/>
              <w:bottom w:w="0" w:type="dxa"/>
              <w:right w:w="0" w:type="dxa"/>
            </w:tcMar>
            <w:vAlign w:val="bottom"/>
          </w:tcPr>
          <w:p w14:paraId="61555964"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5.53</w:t>
            </w:r>
          </w:p>
        </w:tc>
        <w:tc>
          <w:tcPr>
            <w:tcW w:w="648" w:type="dxa"/>
            <w:tcBorders>
              <w:top w:val="nil"/>
              <w:left w:val="nil"/>
              <w:bottom w:val="nil"/>
              <w:right w:val="nil"/>
            </w:tcBorders>
            <w:tcMar>
              <w:top w:w="0" w:type="dxa"/>
              <w:left w:w="0" w:type="dxa"/>
              <w:bottom w:w="0" w:type="dxa"/>
              <w:right w:w="0" w:type="dxa"/>
            </w:tcMar>
            <w:vAlign w:val="bottom"/>
          </w:tcPr>
          <w:p w14:paraId="225345C5"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0.60</w:t>
            </w:r>
          </w:p>
        </w:tc>
        <w:tc>
          <w:tcPr>
            <w:tcW w:w="1296" w:type="dxa"/>
            <w:tcBorders>
              <w:top w:val="nil"/>
              <w:left w:val="nil"/>
              <w:bottom w:val="nil"/>
              <w:right w:val="nil"/>
            </w:tcBorders>
            <w:tcMar>
              <w:top w:w="0" w:type="dxa"/>
              <w:left w:w="0" w:type="dxa"/>
              <w:bottom w:w="0" w:type="dxa"/>
              <w:right w:w="0" w:type="dxa"/>
            </w:tcMar>
            <w:vAlign w:val="bottom"/>
          </w:tcPr>
          <w:p w14:paraId="6FA85461"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95%</w:t>
            </w:r>
          </w:p>
        </w:tc>
      </w:tr>
      <w:tr w:rsidR="00BD2841" w14:paraId="6451C8A2" w14:textId="77777777">
        <w:trPr>
          <w:trHeight w:val="53"/>
        </w:trPr>
        <w:tc>
          <w:tcPr>
            <w:tcW w:w="6840" w:type="dxa"/>
            <w:tcBorders>
              <w:top w:val="nil"/>
              <w:left w:val="nil"/>
              <w:bottom w:val="nil"/>
              <w:right w:val="nil"/>
            </w:tcBorders>
            <w:tcMar>
              <w:top w:w="0" w:type="dxa"/>
              <w:left w:w="100" w:type="dxa"/>
              <w:bottom w:w="0" w:type="dxa"/>
              <w:right w:w="100" w:type="dxa"/>
            </w:tcMar>
            <w:vAlign w:val="center"/>
          </w:tcPr>
          <w:p w14:paraId="26CAE36D"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Support of school counselors</w:t>
            </w:r>
          </w:p>
        </w:tc>
        <w:tc>
          <w:tcPr>
            <w:tcW w:w="648" w:type="dxa"/>
            <w:tcBorders>
              <w:top w:val="nil"/>
              <w:left w:val="nil"/>
              <w:bottom w:val="nil"/>
              <w:right w:val="nil"/>
            </w:tcBorders>
            <w:tcMar>
              <w:top w:w="0" w:type="dxa"/>
              <w:left w:w="0" w:type="dxa"/>
              <w:bottom w:w="0" w:type="dxa"/>
              <w:right w:w="0" w:type="dxa"/>
            </w:tcMar>
            <w:vAlign w:val="bottom"/>
          </w:tcPr>
          <w:p w14:paraId="508381CC"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5.53</w:t>
            </w:r>
          </w:p>
        </w:tc>
        <w:tc>
          <w:tcPr>
            <w:tcW w:w="648" w:type="dxa"/>
            <w:tcBorders>
              <w:top w:val="nil"/>
              <w:left w:val="nil"/>
              <w:bottom w:val="nil"/>
              <w:right w:val="nil"/>
            </w:tcBorders>
            <w:tcMar>
              <w:top w:w="0" w:type="dxa"/>
              <w:left w:w="0" w:type="dxa"/>
              <w:bottom w:w="0" w:type="dxa"/>
              <w:right w:w="0" w:type="dxa"/>
            </w:tcMar>
            <w:vAlign w:val="bottom"/>
          </w:tcPr>
          <w:p w14:paraId="60174799"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0.64</w:t>
            </w:r>
          </w:p>
        </w:tc>
        <w:tc>
          <w:tcPr>
            <w:tcW w:w="1296" w:type="dxa"/>
            <w:tcBorders>
              <w:top w:val="nil"/>
              <w:left w:val="nil"/>
              <w:bottom w:val="nil"/>
              <w:right w:val="nil"/>
            </w:tcBorders>
            <w:tcMar>
              <w:top w:w="0" w:type="dxa"/>
              <w:left w:w="0" w:type="dxa"/>
              <w:bottom w:w="0" w:type="dxa"/>
              <w:right w:w="0" w:type="dxa"/>
            </w:tcMar>
            <w:vAlign w:val="bottom"/>
          </w:tcPr>
          <w:p w14:paraId="7822A64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93%</w:t>
            </w:r>
          </w:p>
        </w:tc>
      </w:tr>
      <w:tr w:rsidR="00BD2841" w14:paraId="0F62D519" w14:textId="77777777">
        <w:trPr>
          <w:trHeight w:val="53"/>
        </w:trPr>
        <w:tc>
          <w:tcPr>
            <w:tcW w:w="6840" w:type="dxa"/>
            <w:tcBorders>
              <w:top w:val="nil"/>
              <w:left w:val="nil"/>
              <w:bottom w:val="nil"/>
              <w:right w:val="nil"/>
            </w:tcBorders>
            <w:tcMar>
              <w:top w:w="0" w:type="dxa"/>
              <w:left w:w="100" w:type="dxa"/>
              <w:bottom w:w="0" w:type="dxa"/>
              <w:right w:w="100" w:type="dxa"/>
            </w:tcMar>
            <w:vAlign w:val="center"/>
          </w:tcPr>
          <w:p w14:paraId="308ADCC6"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Support of school staff</w:t>
            </w:r>
          </w:p>
        </w:tc>
        <w:tc>
          <w:tcPr>
            <w:tcW w:w="648" w:type="dxa"/>
            <w:tcBorders>
              <w:top w:val="nil"/>
              <w:left w:val="nil"/>
              <w:bottom w:val="nil"/>
              <w:right w:val="nil"/>
            </w:tcBorders>
            <w:tcMar>
              <w:top w:w="0" w:type="dxa"/>
              <w:left w:w="0" w:type="dxa"/>
              <w:bottom w:w="0" w:type="dxa"/>
              <w:right w:w="0" w:type="dxa"/>
            </w:tcMar>
            <w:vAlign w:val="bottom"/>
          </w:tcPr>
          <w:p w14:paraId="5A445D50"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5.38</w:t>
            </w:r>
          </w:p>
        </w:tc>
        <w:tc>
          <w:tcPr>
            <w:tcW w:w="648" w:type="dxa"/>
            <w:tcBorders>
              <w:top w:val="nil"/>
              <w:left w:val="nil"/>
              <w:bottom w:val="nil"/>
              <w:right w:val="nil"/>
            </w:tcBorders>
            <w:tcMar>
              <w:top w:w="0" w:type="dxa"/>
              <w:left w:w="0" w:type="dxa"/>
              <w:bottom w:w="0" w:type="dxa"/>
              <w:right w:w="0" w:type="dxa"/>
            </w:tcMar>
            <w:vAlign w:val="bottom"/>
          </w:tcPr>
          <w:p w14:paraId="0BBCA78C"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0.67</w:t>
            </w:r>
          </w:p>
        </w:tc>
        <w:tc>
          <w:tcPr>
            <w:tcW w:w="1296" w:type="dxa"/>
            <w:tcBorders>
              <w:top w:val="nil"/>
              <w:left w:val="nil"/>
              <w:bottom w:val="nil"/>
              <w:right w:val="nil"/>
            </w:tcBorders>
            <w:tcMar>
              <w:top w:w="0" w:type="dxa"/>
              <w:left w:w="0" w:type="dxa"/>
              <w:bottom w:w="0" w:type="dxa"/>
              <w:right w:w="0" w:type="dxa"/>
            </w:tcMar>
            <w:vAlign w:val="bottom"/>
          </w:tcPr>
          <w:p w14:paraId="5F74656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90%</w:t>
            </w:r>
          </w:p>
        </w:tc>
      </w:tr>
      <w:tr w:rsidR="00BD2841" w14:paraId="60807A96" w14:textId="77777777">
        <w:trPr>
          <w:trHeight w:val="53"/>
        </w:trPr>
        <w:tc>
          <w:tcPr>
            <w:tcW w:w="6840" w:type="dxa"/>
            <w:tcBorders>
              <w:top w:val="nil"/>
              <w:left w:val="nil"/>
              <w:bottom w:val="nil"/>
              <w:right w:val="nil"/>
            </w:tcBorders>
            <w:tcMar>
              <w:top w:w="0" w:type="dxa"/>
              <w:left w:w="100" w:type="dxa"/>
              <w:bottom w:w="0" w:type="dxa"/>
              <w:right w:w="100" w:type="dxa"/>
            </w:tcMar>
            <w:vAlign w:val="center"/>
          </w:tcPr>
          <w:p w14:paraId="5D95C7CB"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Support of local businesses</w:t>
            </w:r>
          </w:p>
        </w:tc>
        <w:tc>
          <w:tcPr>
            <w:tcW w:w="648" w:type="dxa"/>
            <w:tcBorders>
              <w:top w:val="nil"/>
              <w:left w:val="nil"/>
              <w:bottom w:val="nil"/>
              <w:right w:val="nil"/>
            </w:tcBorders>
            <w:tcMar>
              <w:top w:w="0" w:type="dxa"/>
              <w:left w:w="0" w:type="dxa"/>
              <w:bottom w:w="0" w:type="dxa"/>
              <w:right w:w="0" w:type="dxa"/>
            </w:tcMar>
            <w:vAlign w:val="bottom"/>
          </w:tcPr>
          <w:p w14:paraId="561E9AED"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5.30</w:t>
            </w:r>
          </w:p>
        </w:tc>
        <w:tc>
          <w:tcPr>
            <w:tcW w:w="648" w:type="dxa"/>
            <w:tcBorders>
              <w:top w:val="nil"/>
              <w:left w:val="nil"/>
              <w:bottom w:val="nil"/>
              <w:right w:val="nil"/>
            </w:tcBorders>
            <w:tcMar>
              <w:top w:w="0" w:type="dxa"/>
              <w:left w:w="0" w:type="dxa"/>
              <w:bottom w:w="0" w:type="dxa"/>
              <w:right w:w="0" w:type="dxa"/>
            </w:tcMar>
            <w:vAlign w:val="bottom"/>
          </w:tcPr>
          <w:p w14:paraId="6F2A4A51"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0.91</w:t>
            </w:r>
          </w:p>
        </w:tc>
        <w:tc>
          <w:tcPr>
            <w:tcW w:w="1296" w:type="dxa"/>
            <w:tcBorders>
              <w:top w:val="nil"/>
              <w:left w:val="nil"/>
              <w:bottom w:val="nil"/>
              <w:right w:val="nil"/>
            </w:tcBorders>
            <w:tcMar>
              <w:top w:w="0" w:type="dxa"/>
              <w:left w:w="0" w:type="dxa"/>
              <w:bottom w:w="0" w:type="dxa"/>
              <w:right w:w="0" w:type="dxa"/>
            </w:tcMar>
            <w:vAlign w:val="bottom"/>
          </w:tcPr>
          <w:p w14:paraId="4471E58F"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83%</w:t>
            </w:r>
          </w:p>
        </w:tc>
      </w:tr>
      <w:tr w:rsidR="00BD2841" w14:paraId="39E265D8" w14:textId="77777777">
        <w:trPr>
          <w:trHeight w:val="53"/>
        </w:trPr>
        <w:tc>
          <w:tcPr>
            <w:tcW w:w="6840" w:type="dxa"/>
            <w:tcBorders>
              <w:top w:val="nil"/>
              <w:left w:val="nil"/>
              <w:bottom w:val="nil"/>
              <w:right w:val="nil"/>
            </w:tcBorders>
            <w:tcMar>
              <w:top w:w="0" w:type="dxa"/>
              <w:left w:w="100" w:type="dxa"/>
              <w:bottom w:w="0" w:type="dxa"/>
              <w:right w:w="100" w:type="dxa"/>
            </w:tcMar>
            <w:vAlign w:val="center"/>
          </w:tcPr>
          <w:p w14:paraId="3BEBABF4"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Support of an industry-based advisory council</w:t>
            </w:r>
          </w:p>
        </w:tc>
        <w:tc>
          <w:tcPr>
            <w:tcW w:w="648" w:type="dxa"/>
            <w:tcBorders>
              <w:top w:val="nil"/>
              <w:left w:val="nil"/>
              <w:bottom w:val="nil"/>
              <w:right w:val="nil"/>
            </w:tcBorders>
            <w:tcMar>
              <w:top w:w="0" w:type="dxa"/>
              <w:left w:w="0" w:type="dxa"/>
              <w:bottom w:w="0" w:type="dxa"/>
              <w:right w:w="0" w:type="dxa"/>
            </w:tcMar>
            <w:vAlign w:val="bottom"/>
          </w:tcPr>
          <w:p w14:paraId="5B3072DA"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5.25</w:t>
            </w:r>
          </w:p>
        </w:tc>
        <w:tc>
          <w:tcPr>
            <w:tcW w:w="648" w:type="dxa"/>
            <w:tcBorders>
              <w:top w:val="nil"/>
              <w:left w:val="nil"/>
              <w:bottom w:val="nil"/>
              <w:right w:val="nil"/>
            </w:tcBorders>
            <w:tcMar>
              <w:top w:w="0" w:type="dxa"/>
              <w:left w:w="0" w:type="dxa"/>
              <w:bottom w:w="0" w:type="dxa"/>
              <w:right w:w="0" w:type="dxa"/>
            </w:tcMar>
            <w:vAlign w:val="bottom"/>
          </w:tcPr>
          <w:p w14:paraId="6CB2EC69"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0.98</w:t>
            </w:r>
          </w:p>
        </w:tc>
        <w:tc>
          <w:tcPr>
            <w:tcW w:w="1296" w:type="dxa"/>
            <w:tcBorders>
              <w:top w:val="nil"/>
              <w:left w:val="nil"/>
              <w:bottom w:val="nil"/>
              <w:right w:val="nil"/>
            </w:tcBorders>
            <w:tcMar>
              <w:top w:w="0" w:type="dxa"/>
              <w:left w:w="0" w:type="dxa"/>
              <w:bottom w:w="0" w:type="dxa"/>
              <w:right w:w="0" w:type="dxa"/>
            </w:tcMar>
            <w:vAlign w:val="bottom"/>
          </w:tcPr>
          <w:p w14:paraId="27246278"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83%</w:t>
            </w:r>
          </w:p>
        </w:tc>
      </w:tr>
      <w:tr w:rsidR="00BD2841" w14:paraId="77232EBD" w14:textId="77777777">
        <w:trPr>
          <w:trHeight w:val="53"/>
        </w:trPr>
        <w:tc>
          <w:tcPr>
            <w:tcW w:w="6840" w:type="dxa"/>
            <w:tcBorders>
              <w:top w:val="nil"/>
              <w:left w:val="nil"/>
              <w:bottom w:val="nil"/>
              <w:right w:val="nil"/>
            </w:tcBorders>
            <w:tcMar>
              <w:top w:w="0" w:type="dxa"/>
              <w:left w:w="100" w:type="dxa"/>
              <w:bottom w:w="0" w:type="dxa"/>
              <w:right w:w="100" w:type="dxa"/>
            </w:tcMar>
            <w:vAlign w:val="center"/>
          </w:tcPr>
          <w:p w14:paraId="3D69D78D"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Reciprocal relationships with school community</w:t>
            </w:r>
          </w:p>
        </w:tc>
        <w:tc>
          <w:tcPr>
            <w:tcW w:w="648" w:type="dxa"/>
            <w:tcBorders>
              <w:top w:val="nil"/>
              <w:left w:val="nil"/>
              <w:bottom w:val="nil"/>
              <w:right w:val="nil"/>
            </w:tcBorders>
            <w:tcMar>
              <w:top w:w="0" w:type="dxa"/>
              <w:left w:w="0" w:type="dxa"/>
              <w:bottom w:w="0" w:type="dxa"/>
              <w:right w:w="0" w:type="dxa"/>
            </w:tcMar>
            <w:vAlign w:val="bottom"/>
          </w:tcPr>
          <w:p w14:paraId="207F0C06"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5.23</w:t>
            </w:r>
          </w:p>
        </w:tc>
        <w:tc>
          <w:tcPr>
            <w:tcW w:w="648" w:type="dxa"/>
            <w:tcBorders>
              <w:top w:val="nil"/>
              <w:left w:val="nil"/>
              <w:bottom w:val="nil"/>
              <w:right w:val="nil"/>
            </w:tcBorders>
            <w:tcMar>
              <w:top w:w="0" w:type="dxa"/>
              <w:left w:w="0" w:type="dxa"/>
              <w:bottom w:w="0" w:type="dxa"/>
              <w:right w:w="0" w:type="dxa"/>
            </w:tcMar>
            <w:vAlign w:val="bottom"/>
          </w:tcPr>
          <w:p w14:paraId="44FD06D0"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0.86</w:t>
            </w:r>
          </w:p>
        </w:tc>
        <w:tc>
          <w:tcPr>
            <w:tcW w:w="1296" w:type="dxa"/>
            <w:tcBorders>
              <w:top w:val="nil"/>
              <w:left w:val="nil"/>
              <w:bottom w:val="nil"/>
              <w:right w:val="nil"/>
            </w:tcBorders>
            <w:tcMar>
              <w:top w:w="0" w:type="dxa"/>
              <w:left w:w="0" w:type="dxa"/>
              <w:bottom w:w="0" w:type="dxa"/>
              <w:right w:w="0" w:type="dxa"/>
            </w:tcMar>
            <w:vAlign w:val="bottom"/>
          </w:tcPr>
          <w:p w14:paraId="39FB4217"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83%</w:t>
            </w:r>
          </w:p>
        </w:tc>
      </w:tr>
      <w:tr w:rsidR="00BD2841" w14:paraId="76D12BC7" w14:textId="77777777">
        <w:trPr>
          <w:trHeight w:val="53"/>
        </w:trPr>
        <w:tc>
          <w:tcPr>
            <w:tcW w:w="6840" w:type="dxa"/>
            <w:tcBorders>
              <w:left w:val="nil"/>
              <w:bottom w:val="single" w:sz="6" w:space="0" w:color="000000"/>
              <w:right w:val="nil"/>
            </w:tcBorders>
            <w:tcMar>
              <w:top w:w="0" w:type="dxa"/>
              <w:left w:w="100" w:type="dxa"/>
              <w:bottom w:w="0" w:type="dxa"/>
              <w:right w:w="100" w:type="dxa"/>
            </w:tcMar>
            <w:vAlign w:val="center"/>
          </w:tcPr>
          <w:p w14:paraId="1BC50651"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Collaboration with AFNR industry stakeholders</w:t>
            </w:r>
          </w:p>
        </w:tc>
        <w:tc>
          <w:tcPr>
            <w:tcW w:w="648" w:type="dxa"/>
            <w:tcBorders>
              <w:left w:val="nil"/>
              <w:bottom w:val="single" w:sz="6" w:space="0" w:color="000000"/>
              <w:right w:val="nil"/>
            </w:tcBorders>
            <w:tcMar>
              <w:top w:w="0" w:type="dxa"/>
              <w:left w:w="100" w:type="dxa"/>
              <w:bottom w:w="0" w:type="dxa"/>
              <w:right w:w="100" w:type="dxa"/>
            </w:tcMar>
            <w:vAlign w:val="center"/>
          </w:tcPr>
          <w:p w14:paraId="70901C6D"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5.15</w:t>
            </w:r>
          </w:p>
        </w:tc>
        <w:tc>
          <w:tcPr>
            <w:tcW w:w="648" w:type="dxa"/>
            <w:tcBorders>
              <w:left w:val="nil"/>
              <w:bottom w:val="single" w:sz="6" w:space="0" w:color="000000"/>
              <w:right w:val="nil"/>
            </w:tcBorders>
            <w:tcMar>
              <w:top w:w="0" w:type="dxa"/>
              <w:left w:w="100" w:type="dxa"/>
              <w:bottom w:w="0" w:type="dxa"/>
              <w:right w:w="100" w:type="dxa"/>
            </w:tcMar>
            <w:vAlign w:val="center"/>
          </w:tcPr>
          <w:p w14:paraId="639F7AFB"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0.77</w:t>
            </w:r>
          </w:p>
        </w:tc>
        <w:tc>
          <w:tcPr>
            <w:tcW w:w="1296" w:type="dxa"/>
            <w:tcBorders>
              <w:left w:val="nil"/>
              <w:bottom w:val="single" w:sz="6" w:space="0" w:color="000000"/>
              <w:right w:val="nil"/>
            </w:tcBorders>
            <w:tcMar>
              <w:top w:w="0" w:type="dxa"/>
              <w:left w:w="100" w:type="dxa"/>
              <w:bottom w:w="0" w:type="dxa"/>
              <w:right w:w="100" w:type="dxa"/>
            </w:tcMar>
            <w:vAlign w:val="center"/>
          </w:tcPr>
          <w:p w14:paraId="783DD2E9" w14:textId="77777777" w:rsidR="00BD2841"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78%</w:t>
            </w:r>
          </w:p>
        </w:tc>
      </w:tr>
    </w:tbl>
    <w:p w14:paraId="51896A27" w14:textId="77777777" w:rsidR="00BD2841" w:rsidRDefault="00BD2841">
      <w:pPr>
        <w:spacing w:line="240" w:lineRule="auto"/>
        <w:rPr>
          <w:rFonts w:ascii="Times New Roman" w:eastAsia="Times New Roman" w:hAnsi="Times New Roman" w:cs="Times New Roman"/>
          <w:sz w:val="12"/>
          <w:szCs w:val="12"/>
        </w:rPr>
      </w:pPr>
    </w:p>
    <w:p w14:paraId="1FBA338F" w14:textId="77777777" w:rsidR="00BD2841"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Discussion, Conclusions, and Recommendations</w:t>
      </w:r>
    </w:p>
    <w:p w14:paraId="4558C32D" w14:textId="77777777" w:rsidR="00BD2841" w:rsidRDefault="00BD2841">
      <w:pPr>
        <w:spacing w:line="240" w:lineRule="auto"/>
        <w:jc w:val="center"/>
        <w:rPr>
          <w:rFonts w:ascii="Times New Roman" w:eastAsia="Times New Roman" w:hAnsi="Times New Roman" w:cs="Times New Roman"/>
          <w:b/>
          <w:bCs/>
          <w:sz w:val="12"/>
          <w:szCs w:val="12"/>
        </w:rPr>
      </w:pPr>
    </w:p>
    <w:p w14:paraId="79446119"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Findings highlight several implications and recommendations for future work related to SBAE program planning, design, and management; an important (Smith &amp; Smalley, 2018; The National Council for Agricultural Education, 2023c) yet highly contextualized (Roberts &amp; Ball, 2009) area for SBAE programs to engage in. While the findings are highly reliable, yielding a reliability coefficient of 0.9 (Dalkey et al., 1972), it is important to acknowledge a limitation of this study is that the findings relied on the opinions of these experts alone—their background, experiences, and training influence their views, biases, and their perceptions of what the most important and least important characteristics of a program are. Despite this, our study identifies literature-supported, theory-validated conclusions and key recommendations for the future.</w:t>
      </w:r>
    </w:p>
    <w:p w14:paraId="4F4DEE6C" w14:textId="77777777" w:rsidR="00BD2841" w:rsidRDefault="00BD2841">
      <w:pPr>
        <w:spacing w:line="240" w:lineRule="auto"/>
        <w:rPr>
          <w:rFonts w:ascii="Times New Roman" w:eastAsia="Times New Roman" w:hAnsi="Times New Roman" w:cs="Times New Roman"/>
          <w:sz w:val="24"/>
          <w:szCs w:val="24"/>
        </w:rPr>
      </w:pPr>
    </w:p>
    <w:p w14:paraId="7BC0861D"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b/>
          <w:bCs/>
          <w:sz w:val="24"/>
          <w:szCs w:val="24"/>
        </w:rPr>
        <w:t>Objective 1: Characteristics of an Effective SBAE Program</w:t>
      </w:r>
    </w:p>
    <w:p w14:paraId="23E6016B"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Objective 1 determined the characteristics of an effective SBAE program based on the traditional three-component model. Historically, the model has consisted of: (a) classroom and laboratory instruction, (b) leadership development through FFA, and (c) experiential learning and SAE (Croom, 2008). For the purpose of evaluating the characteristics of SBAE programs in relation to the three-component model, the findings of objective 1 are reported in Tables 1 through 3.</w:t>
      </w:r>
    </w:p>
    <w:p w14:paraId="49D13B84" w14:textId="77777777" w:rsidR="00BD2841" w:rsidRDefault="00BD2841">
      <w:pPr>
        <w:spacing w:line="240" w:lineRule="auto"/>
        <w:ind w:firstLine="720"/>
        <w:rPr>
          <w:rFonts w:ascii="Times New Roman" w:eastAsia="Times New Roman" w:hAnsi="Times New Roman" w:cs="Times New Roman"/>
          <w:sz w:val="24"/>
          <w:szCs w:val="24"/>
        </w:rPr>
      </w:pPr>
    </w:p>
    <w:p w14:paraId="7AE50207"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Classroom and laboratory instruction forms the foundation for SBAE (Croom, 2008). Notably, the only characteristic in the study that reached 100% consensus across all experts was the curriculum should have the opportunity to extend learning beyond the classroom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5.78;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0.42). As iterated by Roberts and Ball (2009), the emphasis on community-driven context is essential. Although the context serves as a driving force in program planning efforts, the content of the industry-validated agricultural education curriculum (Roberts &amp; Ball, 2009) should still align with AFNR standards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5.45;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0.96), as supported by the theoretical framework and the Delphi expert panel. Rigorous learning experiences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4.98;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0.95) should be facilitated through both introductory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5.33;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0.94) and advanced coursework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5.23;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0.86), and curricular decisions should be driven by sound teaching and learning theory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5.43;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0.78). Within the course scaffolding, experts also assert curriculum should be up-to-date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5.78;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0.48) and incorporate real-world experiences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5.75;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0.49) through infusing both laboratory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5.68;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0.57) and classroom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5.60;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0.63) instruction opportunities that emphasize technical skills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5.03;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0.89). Through these learning experiences, students must be provided opportunities to prepare for careers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5.25;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0.78) while also emphasizing the development of transferable or life skills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5.25;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0.90; Lundry et al., 2015; Roberts &amp; Ball, 2009). Since agricultural education curriculum can serve as a link between the two remaining areas of the three-component model of agricultural education (Croom, 2008), </w:t>
      </w:r>
      <w:r>
        <w:rPr>
          <w:rFonts w:ascii="Times New Roman" w:eastAsia="Times New Roman" w:hAnsi="Times New Roman" w:cs="Times New Roman"/>
          <w:sz w:val="24"/>
          <w:szCs w:val="24"/>
        </w:rPr>
        <w:lastRenderedPageBreak/>
        <w:t>emphasizing strong classroom learning experiences that are congruent with student, community, and industry expectations (Roberts &amp; Ball, 2009) is critical.</w:t>
      </w:r>
    </w:p>
    <w:p w14:paraId="3E8BC6E5" w14:textId="77777777" w:rsidR="00BD2841" w:rsidRDefault="00BD2841">
      <w:pPr>
        <w:spacing w:line="240" w:lineRule="auto"/>
        <w:rPr>
          <w:rFonts w:ascii="Times New Roman" w:eastAsia="Times New Roman" w:hAnsi="Times New Roman" w:cs="Times New Roman"/>
          <w:sz w:val="24"/>
          <w:szCs w:val="24"/>
        </w:rPr>
      </w:pPr>
    </w:p>
    <w:p w14:paraId="135A1EE1"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Experts agreed that FFA chapters should be active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5.23;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0.92) and driven by students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0.77) whose demographics align with the school population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5.28;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0.96; fLawrence et al., 2013). To emphasize learning and leadership development among students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5.60;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0.59), experts also agreed that chapters should promote experiences for students to practice civic engagement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5.10;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0.71) and develop their social-emotional skills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5.15;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0.83). Similar to curriculum being driven by local needs, engagement opportunities that start at the community level can help support the needs of programs (Roberts &amp; Ball, 2009) while facilitating stronger partnerships with community stakeholders.</w:t>
      </w:r>
    </w:p>
    <w:p w14:paraId="035F4F7F" w14:textId="77777777" w:rsidR="00BD2841" w:rsidRDefault="00BD2841">
      <w:pPr>
        <w:spacing w:line="240" w:lineRule="auto"/>
        <w:ind w:firstLine="720"/>
        <w:rPr>
          <w:rFonts w:ascii="Times New Roman" w:eastAsia="Times New Roman" w:hAnsi="Times New Roman" w:cs="Times New Roman"/>
          <w:sz w:val="24"/>
          <w:szCs w:val="24"/>
        </w:rPr>
      </w:pPr>
    </w:p>
    <w:p w14:paraId="7A795FA0"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Regarding SAEs, experts emphasized the importance of integrating SAEs within courses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5.28;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0.91), ensuring every student has an SAE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5.28;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0.99), and that students and teachers document SAE records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5.05;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0.90). The evaluation or grading of SAE within the SBAE program may prove to be an option that helps meet each of these goals while helping facilitate connections between the SAE and classroom instruction domains (Croom, 2008).</w:t>
      </w:r>
    </w:p>
    <w:p w14:paraId="1D566893" w14:textId="77777777" w:rsidR="00BD2841" w:rsidRDefault="00BD2841">
      <w:pPr>
        <w:spacing w:line="240" w:lineRule="auto"/>
        <w:ind w:firstLine="720"/>
        <w:rPr>
          <w:rFonts w:ascii="Times New Roman" w:eastAsia="Times New Roman" w:hAnsi="Times New Roman" w:cs="Times New Roman"/>
          <w:sz w:val="24"/>
          <w:szCs w:val="24"/>
        </w:rPr>
      </w:pPr>
    </w:p>
    <w:p w14:paraId="16F69503"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b/>
          <w:bCs/>
          <w:sz w:val="24"/>
          <w:szCs w:val="24"/>
        </w:rPr>
        <w:t>Objective 2: Best Management Practices</w:t>
      </w:r>
    </w:p>
    <w:p w14:paraId="0CBF641E"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 three-component model has been a hallmark of program design and evaluation for nearly a century (Croom, 2008), the responsibilities of a program often reach far beyond these areas (Smith &amp; Smalley, 2018; The National Council for Agricultural Education, 2023c). The findings from this study validate this, and these additional responsibilities are important to recognize as educators and stakeholders plan and design programs. Conclusions and recommendations connecting to objective 2 align with Tables 4 through 7.</w:t>
      </w:r>
    </w:p>
    <w:p w14:paraId="25708614" w14:textId="77777777" w:rsidR="00BD2841" w:rsidRDefault="00BD2841">
      <w:pPr>
        <w:spacing w:line="240" w:lineRule="auto"/>
        <w:ind w:firstLine="720"/>
        <w:rPr>
          <w:rFonts w:ascii="Times New Roman" w:eastAsia="Times New Roman" w:hAnsi="Times New Roman" w:cs="Times New Roman"/>
          <w:sz w:val="24"/>
          <w:szCs w:val="24"/>
        </w:rPr>
      </w:pPr>
    </w:p>
    <w:p w14:paraId="68D46310"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 focus of the study was on the characteristics of an effective SBAE program, experts posited that the interests and skills of an agricultural educator serve as one of the key drivers of a program (Moser &amp; McKim, 2021). The capacity for a teacher to be a life-long learner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5.75;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0.54) who is able to effectively plan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5.60;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0.59) and balance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5.08;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0.92) activities connected to classroom instruction, leadership development, and experiential learning is critical. In alignment with the conceptual framework (Roberts &amp; Ball, 2009), these activities will vary from program to program, so educators should be flexible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5.35;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0.74) and dedicated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5.35;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0.80) in their commitment to serving their program and community.</w:t>
      </w:r>
    </w:p>
    <w:p w14:paraId="36E946B0" w14:textId="77777777" w:rsidR="00BD2841" w:rsidRDefault="00BD2841">
      <w:pPr>
        <w:spacing w:line="240" w:lineRule="auto"/>
        <w:rPr>
          <w:rFonts w:ascii="Times New Roman" w:eastAsia="Times New Roman" w:hAnsi="Times New Roman" w:cs="Times New Roman"/>
          <w:sz w:val="24"/>
          <w:szCs w:val="24"/>
        </w:rPr>
      </w:pPr>
    </w:p>
    <w:p w14:paraId="2E499AAA"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establishing an effective program, ongoing evaluation and assessment aligned with community needs is an important competency of an agricultural educator (Roberts &amp; Ball, 2009; The National Council for Agricultural Education, 2023c). Experts concluded program development should be based on strategic goals, mission, or vision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0.79) that are written in a way that elicits and inspires continuous improvement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0.76). Progress should be assessed annually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5.25;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0.90) and involve ongoing data collection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5.28;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0.91) with feedback solicited from both external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5.08;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0.94) and internal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5.08;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0.76) stakeholder groups. While the expectations of program deliverables may vary from state to state (Estes &amp; McCain, 2019; Fisher, 2010), the experts emphasized the continuous involvement of local stakeholders to guide the ongoing SBAE program assessment and development.</w:t>
      </w:r>
    </w:p>
    <w:p w14:paraId="58BF4598"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Marketing and promoting programmatic successes can be one way to leverage support and increase program resources (Ramstad &amp; Smalley, 2025). These strategic communication efforts can be tied to the program’s mission, vision, and goals. Experts emphasized the role of communication and marketing in inspiring programmatic involvement and awareness among both internal stakeholders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5.37;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0.67) and external stakeholders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0.72), as supported by Ramstad and Smalley (2025). Effective marketing can help meet other program characteristics, including program recruitment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5.25;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0.71) and retention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5.40;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0.63) among students and stakeholders. In addition to recruitment and retention, the use of a program-specific public relations or marketing plan can ensure stories are shared within the local community (Ramstad &amp; Smalley, 2025; Roberts &amp; Ball, 2009).</w:t>
      </w:r>
    </w:p>
    <w:p w14:paraId="3CDDD041" w14:textId="77777777" w:rsidR="00BD2841" w:rsidRDefault="00BD2841">
      <w:pPr>
        <w:spacing w:line="240" w:lineRule="auto"/>
        <w:rPr>
          <w:rFonts w:ascii="Times New Roman" w:eastAsia="Times New Roman" w:hAnsi="Times New Roman" w:cs="Times New Roman"/>
          <w:sz w:val="24"/>
          <w:szCs w:val="24"/>
        </w:rPr>
      </w:pPr>
    </w:p>
    <w:p w14:paraId="248B2701"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Further, when examining general program characteristics, experts agreed programs should be teacher-facilitated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5.20;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0.88) and emphasize student access to opportunities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5.40;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0.81) through providing safe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5.63;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0.70) and relationship-focused experiences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5.50;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0.68). However, with concerns regarding teacher burnout and attrition (Smith &amp; Smalley, 2018), experts believed that attention should be given to setting reasonable expectations for educators as they facilitate their programs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5.73;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0.55).</w:t>
      </w:r>
    </w:p>
    <w:p w14:paraId="09641F98" w14:textId="77777777" w:rsidR="00BD2841" w:rsidRDefault="00BD2841">
      <w:pPr>
        <w:spacing w:line="240" w:lineRule="auto"/>
        <w:ind w:firstLine="720"/>
        <w:rPr>
          <w:rFonts w:ascii="Times New Roman" w:eastAsia="Times New Roman" w:hAnsi="Times New Roman" w:cs="Times New Roman"/>
          <w:sz w:val="24"/>
          <w:szCs w:val="24"/>
        </w:rPr>
      </w:pPr>
    </w:p>
    <w:p w14:paraId="611CAF9B"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b/>
          <w:bCs/>
          <w:sz w:val="24"/>
          <w:szCs w:val="24"/>
        </w:rPr>
        <w:t>Objective 3: Resource and Stakeholder Needs</w:t>
      </w:r>
    </w:p>
    <w:p w14:paraId="2489BFA7"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Objective 3 identified the resource and stakeholder needs of an effective program. Given the highly contextualized (Roberts &amp; Ball, 2009) and facility-intensive nature (Twenter &amp; Edwards, 2017; Wilson et al., 2002) of SBAE programs, experts solicited a list of characteristics related to maximizing resource and stakeholder support capacities for an effective SBAE program.</w:t>
      </w:r>
    </w:p>
    <w:p w14:paraId="538A2430" w14:textId="77777777" w:rsidR="00BD2841" w:rsidRDefault="00BD2841">
      <w:pPr>
        <w:spacing w:line="240" w:lineRule="auto"/>
        <w:rPr>
          <w:rFonts w:ascii="Times New Roman" w:eastAsia="Times New Roman" w:hAnsi="Times New Roman" w:cs="Times New Roman"/>
          <w:sz w:val="24"/>
          <w:szCs w:val="24"/>
        </w:rPr>
      </w:pPr>
    </w:p>
    <w:p w14:paraId="759B19F4"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 specific types of facilities needed by a program are dependent on the community and context of the program (Roberts &amp; Ball, 2009), a healthy operating budget is needed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5.18;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0.81) in order to facilitate an effective program. Further, financial compensation of the teacher is suggested in several key areas, including SAE management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5.53;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0.78), FFA advisement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5.48;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0.88), program planning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5.45;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0.78), curriculum development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5.40;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0.84), and facility maintenance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5.23;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0.92) to name a few. The ability to maintain safe facilities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5.83;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0.45), which are supported by community members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5.60;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0.81), can further assist in developing an effective SBAE program.</w:t>
      </w:r>
    </w:p>
    <w:p w14:paraId="5A3FA1A5" w14:textId="77777777" w:rsidR="00BD2841" w:rsidRDefault="00BD2841">
      <w:pPr>
        <w:spacing w:line="240" w:lineRule="auto"/>
        <w:rPr>
          <w:rFonts w:ascii="Times New Roman" w:eastAsia="Times New Roman" w:hAnsi="Times New Roman" w:cs="Times New Roman"/>
          <w:sz w:val="24"/>
          <w:szCs w:val="24"/>
        </w:rPr>
      </w:pPr>
    </w:p>
    <w:p w14:paraId="56292875"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Since an effective program is influenced by the context in which it exists (Roberts &amp; Ball, 2009), the stakeholder and community characteristics of a program will vary from one community to the next. The regular involvement of an advisory committee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5.25;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0.98) can assist in garnering the needed support of parents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5.68;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0.62), community members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5.58;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0.68), and local businesses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5.30;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0.91). Further, support of the school administration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5.83;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0.45) was cited as the most important stakeholder relationship for effective SBAE programs. Regular conversations with administrators and advisory committee members can help develop the important, reciprocal relationships that the experts believe should exist between the program and these entities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5.23;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0.86; Hainline &amp; Smalley, 2023; Taylor et al., 2017).</w:t>
      </w:r>
    </w:p>
    <w:p w14:paraId="0401F177" w14:textId="77777777" w:rsidR="00BD2841" w:rsidRDefault="00BD2841">
      <w:pPr>
        <w:spacing w:line="240" w:lineRule="auto"/>
        <w:rPr>
          <w:rFonts w:ascii="Times New Roman" w:eastAsia="Times New Roman" w:hAnsi="Times New Roman" w:cs="Times New Roman"/>
          <w:sz w:val="24"/>
          <w:szCs w:val="24"/>
        </w:rPr>
      </w:pPr>
    </w:p>
    <w:p w14:paraId="5999175A" w14:textId="77777777" w:rsidR="00BD2841"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Recommendations</w:t>
      </w:r>
    </w:p>
    <w:p w14:paraId="6121CF94"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advance objectives 1 and 2, key research and professional recommendations have emerged. For future research, it is recommended that a quantitative instrument be developed to assess </w:t>
      </w:r>
      <w:r>
        <w:rPr>
          <w:rFonts w:ascii="Times New Roman" w:eastAsia="Times New Roman" w:hAnsi="Times New Roman" w:cs="Times New Roman"/>
          <w:sz w:val="24"/>
          <w:szCs w:val="24"/>
        </w:rPr>
        <w:lastRenderedPageBreak/>
        <w:t>agricultural educators’ implementation of the characteristics of an effective SBAE program. This would be a strong first step in determining whether the expert-solicited characteristics are being implemented at the program level. The instrument should utilize a Borich (1980) assessment model, allowing educators to evaluate their current implementation of each of the 95 accepted characteristics connected to this objective, along with their perceived importance. Discrepancy values can be calculated to identify potential areas for professional development or training to assist agricultural educators in their program planning efforts. Furthermore, demographic items can provide a better understanding of the local context’s influence on program planning efforts (Roberts &amp; Ball, 2009). For professional practice, we recognize the national AFNR standards were revised in 2024, and recommend clear documentation of how they align with activities facilitated within the National FFA Organization or within opportunities facilitated through SAE. This clear documentation will prove beneficial for agricultural educators in validating their desire to implement these opportunities within their programs when seeking administrator support. In consultation with stakeholders including state agricultural education supervisors, the National FFA Organization, teacher preparation faculty, and agricultural educators, the National Council for Agricultural Education can develop an easy-to-read crosswalk that delineates how the newly-revised standards are addressed within FFA opportunities that are common on a local, state, or national-level—not only award applications or competitive events, but standards which are likely to be addressed at local service projects, leadership conferences, and more—along with how standards are addressed within each of foundational and immersion SAE activities.</w:t>
      </w:r>
    </w:p>
    <w:p w14:paraId="69255294" w14:textId="77777777" w:rsidR="00BD2841" w:rsidRDefault="00BD2841">
      <w:pPr>
        <w:spacing w:line="240" w:lineRule="auto"/>
        <w:rPr>
          <w:rFonts w:ascii="Times New Roman" w:eastAsia="Times New Roman" w:hAnsi="Times New Roman" w:cs="Times New Roman"/>
          <w:sz w:val="24"/>
          <w:szCs w:val="24"/>
        </w:rPr>
      </w:pPr>
    </w:p>
    <w:p w14:paraId="57DDF498" w14:textId="39005068"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objective 3, additional recommendations are provided for future research and professional practice. First, a study examining the operating budgets of SBAE programs might offer powerful insights into the fiscal resources allocated to these programs. A study of this scope could create leverage points for schools that may need more funding to meet the expert-validated need of preparing students with hands-on experiences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5.53;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0.60), which emphasize the acquisition and development of technical skills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5.03;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0.89). Since a healthy budget to support a hands-on curriculum was found to be a critical resource-specific component of an effective SBAE program (</w:t>
      </w:r>
      <w:r>
        <w:rPr>
          <w:rFonts w:ascii="Times New Roman" w:eastAsia="Times New Roman" w:hAnsi="Times New Roman" w:cs="Times New Roman"/>
          <w:i/>
          <w:iCs/>
          <w:sz w:val="24"/>
          <w:szCs w:val="24"/>
        </w:rPr>
        <w:t>μ</w:t>
      </w:r>
      <w:r>
        <w:rPr>
          <w:rFonts w:ascii="Times New Roman" w:eastAsia="Times New Roman" w:hAnsi="Times New Roman" w:cs="Times New Roman"/>
          <w:sz w:val="24"/>
          <w:szCs w:val="24"/>
        </w:rPr>
        <w:t xml:space="preserve"> = 5.18;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0.81) within this study, future studies should ask respondents to provide an overview of their teaching facilities, an approximation of the amount of financial resources they receive each year for capital or consumable resources—both from community sponsorships and from operating budgets—and the approximate use of their budget toward each of their facilities or program needs. Respondents can also report deficits or areas of need that are not being met by their current financial limitations. Findings from this study could reveal best practices and recommendations for the financial resources needed to have effective program resources that support student learning. For professional practice, it is recommended that a taskforce of stakeholders representing the National Council for Agricultural Education, state agricultural education supervisors, teacher preparation faculty, and agricultural educators should collaboratively develop an easy-to-use program resource management toolkit. This would be a helpful strategy to assist agricultural educators in identifying, organizing, and prioritizing their program’s fiscal, capital, and human resources. The toolkit could consist of customizable documents and spreadsheets, allowing programs to modify these files to meet the needs of their program’s content and context (Roberts &amp; Ball, 2009). Areas of the toolkit could include a plan to recruit and retain community partnerships, a budget template that accurately calculates incomes and expenditures related to programmatic finances across the nine themes identified within this study, and more.</w:t>
      </w:r>
      <w:r>
        <w:br w:type="page"/>
      </w:r>
    </w:p>
    <w:p w14:paraId="78FD5C95" w14:textId="77777777" w:rsidR="00BD2841"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References</w:t>
      </w:r>
    </w:p>
    <w:p w14:paraId="2AD5B984" w14:textId="77777777" w:rsidR="00BD2841" w:rsidRDefault="00BD2841">
      <w:pPr>
        <w:spacing w:line="240" w:lineRule="auto"/>
        <w:jc w:val="center"/>
        <w:rPr>
          <w:rFonts w:ascii="Times New Roman" w:eastAsia="Times New Roman" w:hAnsi="Times New Roman" w:cs="Times New Roman"/>
          <w:b/>
          <w:bCs/>
          <w:sz w:val="12"/>
          <w:szCs w:val="12"/>
        </w:rPr>
      </w:pPr>
    </w:p>
    <w:p w14:paraId="643ABA51"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Barrios, M., Guilera, G., Nuño, L., &amp; Gómez-Benito, J. (2021). Consensus in the Delphi method:</w:t>
      </w:r>
    </w:p>
    <w:p w14:paraId="3C0AAC90"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makes a decision change? </w:t>
      </w:r>
      <w:r>
        <w:rPr>
          <w:rFonts w:ascii="Times New Roman" w:eastAsia="Times New Roman" w:hAnsi="Times New Roman" w:cs="Times New Roman"/>
          <w:i/>
          <w:iCs/>
          <w:sz w:val="24"/>
          <w:szCs w:val="24"/>
        </w:rPr>
        <w:t>Technological Forecasting &amp; Social Change, 163</w:t>
      </w:r>
      <w:r>
        <w:rPr>
          <w:rFonts w:ascii="Times New Roman" w:eastAsia="Times New Roman" w:hAnsi="Times New Roman" w:cs="Times New Roman"/>
          <w:sz w:val="24"/>
          <w:szCs w:val="24"/>
        </w:rPr>
        <w:t>, 1–10. https://doi.org/10.1016/j.techfore.2020.120484</w:t>
      </w:r>
    </w:p>
    <w:p w14:paraId="008AE2D0" w14:textId="77777777" w:rsidR="00BD2841" w:rsidRDefault="00BD2841">
      <w:pPr>
        <w:spacing w:line="240" w:lineRule="auto"/>
        <w:rPr>
          <w:rFonts w:ascii="Times New Roman" w:eastAsia="Times New Roman" w:hAnsi="Times New Roman" w:cs="Times New Roman"/>
          <w:sz w:val="24"/>
          <w:szCs w:val="24"/>
        </w:rPr>
      </w:pPr>
    </w:p>
    <w:p w14:paraId="6B2BF883"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Borich, G. D. (1980). A needs assessment model for conducting follow-up studies. </w:t>
      </w:r>
      <w:r>
        <w:rPr>
          <w:rFonts w:ascii="Times New Roman" w:eastAsia="Times New Roman" w:hAnsi="Times New Roman" w:cs="Times New Roman"/>
          <w:i/>
          <w:iCs/>
          <w:sz w:val="24"/>
          <w:szCs w:val="24"/>
        </w:rPr>
        <w:t>Journal of</w:t>
      </w:r>
    </w:p>
    <w:p w14:paraId="10E9A737" w14:textId="77777777" w:rsidR="00BD2841"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Teacher Education, 31</w:t>
      </w:r>
      <w:r>
        <w:rPr>
          <w:rFonts w:ascii="Times New Roman" w:eastAsia="Times New Roman" w:hAnsi="Times New Roman" w:cs="Times New Roman"/>
          <w:sz w:val="24"/>
          <w:szCs w:val="24"/>
        </w:rPr>
        <w:t>(3), 39–42. https://doi.org/10.1177/002248718003100310</w:t>
      </w:r>
    </w:p>
    <w:p w14:paraId="6EC09DF4" w14:textId="77777777" w:rsidR="00BD2841" w:rsidRDefault="00BD2841">
      <w:pPr>
        <w:spacing w:line="240" w:lineRule="auto"/>
        <w:rPr>
          <w:rFonts w:ascii="Times New Roman" w:eastAsia="Times New Roman" w:hAnsi="Times New Roman" w:cs="Times New Roman"/>
          <w:sz w:val="24"/>
          <w:szCs w:val="24"/>
        </w:rPr>
      </w:pPr>
    </w:p>
    <w:p w14:paraId="6E788396"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Buriak, P., &amp; Shinn, G. C. (1989). Mission, initiatives, and obstacles to research in agricultural </w:t>
      </w:r>
    </w:p>
    <w:p w14:paraId="205D0B8D"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education: A national Delphi using external decision makers. </w:t>
      </w:r>
      <w:r>
        <w:rPr>
          <w:rFonts w:ascii="Times New Roman" w:eastAsia="Times New Roman" w:hAnsi="Times New Roman" w:cs="Times New Roman"/>
          <w:i/>
          <w:iCs/>
          <w:sz w:val="24"/>
          <w:szCs w:val="24"/>
        </w:rPr>
        <w:t>Journal of Agricultural Education, 30</w:t>
      </w:r>
      <w:r>
        <w:rPr>
          <w:rFonts w:ascii="Times New Roman" w:eastAsia="Times New Roman" w:hAnsi="Times New Roman" w:cs="Times New Roman"/>
          <w:sz w:val="24"/>
          <w:szCs w:val="24"/>
        </w:rPr>
        <w:t>(4), 14–23. https://doi.org/10.5032/jae.1989.04014</w:t>
      </w:r>
    </w:p>
    <w:p w14:paraId="2C90F604" w14:textId="77777777" w:rsidR="00BD2841" w:rsidRDefault="00BD2841">
      <w:pPr>
        <w:spacing w:line="240" w:lineRule="auto"/>
        <w:ind w:left="720"/>
        <w:rPr>
          <w:rFonts w:ascii="Times New Roman" w:eastAsia="Times New Roman" w:hAnsi="Times New Roman" w:cs="Times New Roman"/>
          <w:sz w:val="24"/>
          <w:szCs w:val="24"/>
        </w:rPr>
      </w:pPr>
    </w:p>
    <w:p w14:paraId="503AD078" w14:textId="77777777" w:rsidR="00BD2841" w:rsidRDefault="00000000">
      <w:pPr>
        <w:spacing w:line="240" w:lineRule="auto"/>
        <w:ind w:left="720"/>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Creswell, J. D., &amp; Creswell, J. W. (2018). </w:t>
      </w:r>
      <w:r>
        <w:rPr>
          <w:rFonts w:ascii="Times New Roman" w:eastAsia="Times New Roman" w:hAnsi="Times New Roman" w:cs="Times New Roman"/>
          <w:i/>
          <w:iCs/>
          <w:sz w:val="24"/>
          <w:szCs w:val="24"/>
        </w:rPr>
        <w:t xml:space="preserve">Research design: Qualitative, quantitative, and mixed </w:t>
      </w:r>
    </w:p>
    <w:p w14:paraId="7B5C5D56" w14:textId="77777777" w:rsidR="00BD2841" w:rsidRDefault="00000000">
      <w:pPr>
        <w:spacing w:line="24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methods approaches</w:t>
      </w:r>
      <w:r>
        <w:rPr>
          <w:rFonts w:ascii="Times New Roman" w:eastAsia="Times New Roman" w:hAnsi="Times New Roman" w:cs="Times New Roman"/>
          <w:sz w:val="24"/>
          <w:szCs w:val="24"/>
        </w:rPr>
        <w:t>. SAGE Publications.</w:t>
      </w:r>
    </w:p>
    <w:p w14:paraId="2175B2F7" w14:textId="77777777" w:rsidR="00BD2841" w:rsidRDefault="00BD2841">
      <w:pPr>
        <w:spacing w:line="240" w:lineRule="auto"/>
        <w:rPr>
          <w:rFonts w:ascii="Times New Roman" w:eastAsia="Times New Roman" w:hAnsi="Times New Roman" w:cs="Times New Roman"/>
          <w:sz w:val="24"/>
          <w:szCs w:val="24"/>
        </w:rPr>
      </w:pPr>
    </w:p>
    <w:p w14:paraId="3B5F77D6"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Croom, D. B. (2008). The development of the integrated three-component model of agricultural</w:t>
      </w:r>
    </w:p>
    <w:p w14:paraId="588518DE"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education. </w:t>
      </w:r>
      <w:r>
        <w:rPr>
          <w:rFonts w:ascii="Times New Roman" w:eastAsia="Times New Roman" w:hAnsi="Times New Roman" w:cs="Times New Roman"/>
          <w:i/>
          <w:iCs/>
          <w:sz w:val="24"/>
          <w:szCs w:val="24"/>
        </w:rPr>
        <w:t>Journal of Agricultural Education, 49</w:t>
      </w:r>
      <w:r>
        <w:rPr>
          <w:rFonts w:ascii="Times New Roman" w:eastAsia="Times New Roman" w:hAnsi="Times New Roman" w:cs="Times New Roman"/>
          <w:sz w:val="24"/>
          <w:szCs w:val="24"/>
        </w:rPr>
        <w:t>(1), 110–120. https://doi.org/10.5032/jae.2008.01110</w:t>
      </w:r>
    </w:p>
    <w:p w14:paraId="0517EB79" w14:textId="77777777" w:rsidR="00BD2841" w:rsidRDefault="00BD2841">
      <w:pPr>
        <w:spacing w:line="240" w:lineRule="auto"/>
        <w:rPr>
          <w:rFonts w:ascii="Times New Roman" w:eastAsia="Times New Roman" w:hAnsi="Times New Roman" w:cs="Times New Roman"/>
          <w:sz w:val="24"/>
          <w:szCs w:val="24"/>
        </w:rPr>
      </w:pPr>
    </w:p>
    <w:p w14:paraId="01B126E0"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Croom, D. B. (2009, March). The urgency of need. </w:t>
      </w:r>
      <w:r>
        <w:rPr>
          <w:rFonts w:ascii="Times New Roman" w:eastAsia="Times New Roman" w:hAnsi="Times New Roman" w:cs="Times New Roman"/>
          <w:i/>
          <w:iCs/>
          <w:sz w:val="24"/>
          <w:szCs w:val="24"/>
        </w:rPr>
        <w:t>The Agricultural Education Magazine, 81</w:t>
      </w:r>
      <w:r>
        <w:rPr>
          <w:rFonts w:ascii="Times New Roman" w:eastAsia="Times New Roman" w:hAnsi="Times New Roman" w:cs="Times New Roman"/>
          <w:sz w:val="24"/>
          <w:szCs w:val="24"/>
        </w:rPr>
        <w:t xml:space="preserve">(5), </w:t>
      </w:r>
    </w:p>
    <w:p w14:paraId="042D0F68"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4.https://www.naae.org/naae/document-server/?cfp=/naae/assets/file/public/magazine/volume81/2009_03-04.pdf</w:t>
      </w:r>
    </w:p>
    <w:p w14:paraId="4FB4CCD1" w14:textId="77777777" w:rsidR="00BD2841" w:rsidRDefault="00BD2841">
      <w:pPr>
        <w:spacing w:line="240" w:lineRule="auto"/>
        <w:rPr>
          <w:rFonts w:ascii="Times New Roman" w:eastAsia="Times New Roman" w:hAnsi="Times New Roman" w:cs="Times New Roman"/>
          <w:sz w:val="24"/>
          <w:szCs w:val="24"/>
        </w:rPr>
      </w:pPr>
    </w:p>
    <w:p w14:paraId="66225C10"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Dalkey, N. C., Rourke, D. L., Lewis, R., &amp; Snyder, D. (1972). </w:t>
      </w:r>
      <w:r>
        <w:rPr>
          <w:rFonts w:ascii="Times New Roman" w:eastAsia="Times New Roman" w:hAnsi="Times New Roman" w:cs="Times New Roman"/>
          <w:i/>
          <w:iCs/>
          <w:sz w:val="24"/>
          <w:szCs w:val="24"/>
        </w:rPr>
        <w:t>Studies in the quality of life</w:t>
      </w:r>
      <w:r>
        <w:rPr>
          <w:rFonts w:ascii="Times New Roman" w:eastAsia="Times New Roman" w:hAnsi="Times New Roman" w:cs="Times New Roman"/>
          <w:sz w:val="24"/>
          <w:szCs w:val="24"/>
        </w:rPr>
        <w:t xml:space="preserve">. </w:t>
      </w:r>
    </w:p>
    <w:p w14:paraId="4F32CAD2" w14:textId="77777777" w:rsidR="00BD2841"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Lexington Books.</w:t>
      </w:r>
    </w:p>
    <w:p w14:paraId="6A9BC18A" w14:textId="77777777" w:rsidR="00BD2841" w:rsidRDefault="00BD2841">
      <w:pPr>
        <w:spacing w:line="240" w:lineRule="auto"/>
        <w:rPr>
          <w:rFonts w:ascii="Times New Roman" w:eastAsia="Times New Roman" w:hAnsi="Times New Roman" w:cs="Times New Roman"/>
          <w:sz w:val="24"/>
          <w:szCs w:val="24"/>
        </w:rPr>
      </w:pPr>
    </w:p>
    <w:p w14:paraId="745CB082"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Diamond, I. R., Grant, R. C., Feldman, B. M., Pencharz, P. B., Ling, S. C., Moore, A. M., &amp; </w:t>
      </w:r>
    </w:p>
    <w:p w14:paraId="22EC6237"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Wales, P. W. (2014). Defining consensus: A systematic review recommends methodologic criteria for reporting of Delphi studies. </w:t>
      </w:r>
      <w:r>
        <w:rPr>
          <w:rFonts w:ascii="Times New Roman" w:eastAsia="Times New Roman" w:hAnsi="Times New Roman" w:cs="Times New Roman"/>
          <w:i/>
          <w:iCs/>
          <w:sz w:val="24"/>
          <w:szCs w:val="24"/>
        </w:rPr>
        <w:t>Journal of Clinical Epidemiology, 67</w:t>
      </w:r>
      <w:r>
        <w:rPr>
          <w:rFonts w:ascii="Times New Roman" w:eastAsia="Times New Roman" w:hAnsi="Times New Roman" w:cs="Times New Roman"/>
          <w:sz w:val="24"/>
          <w:szCs w:val="24"/>
        </w:rPr>
        <w:t>(4), 401–409. https://doi.org/10.1016/j.jclinepi.2013.12.002</w:t>
      </w:r>
    </w:p>
    <w:p w14:paraId="61809C8A" w14:textId="77777777" w:rsidR="00BD2841" w:rsidRDefault="00BD2841">
      <w:pPr>
        <w:spacing w:line="240" w:lineRule="auto"/>
        <w:rPr>
          <w:rFonts w:ascii="Times New Roman" w:eastAsia="Times New Roman" w:hAnsi="Times New Roman" w:cs="Times New Roman"/>
          <w:sz w:val="24"/>
          <w:szCs w:val="24"/>
        </w:rPr>
      </w:pPr>
    </w:p>
    <w:p w14:paraId="1E023BB1"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Dillman, D. A., Smyth, J. D., &amp; Christian, L. M. (2009). </w:t>
      </w:r>
      <w:r>
        <w:rPr>
          <w:rFonts w:ascii="Times New Roman" w:eastAsia="Times New Roman" w:hAnsi="Times New Roman" w:cs="Times New Roman"/>
          <w:i/>
          <w:iCs/>
          <w:sz w:val="24"/>
          <w:szCs w:val="24"/>
        </w:rPr>
        <w:t xml:space="preserve">Internet, mail, and mixed-mode </w:t>
      </w:r>
    </w:p>
    <w:p w14:paraId="56B8BBCF" w14:textId="77777777" w:rsidR="00BD2841"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surveys: The tailored design method</w:t>
      </w:r>
      <w:r>
        <w:rPr>
          <w:rFonts w:ascii="Times New Roman" w:eastAsia="Times New Roman" w:hAnsi="Times New Roman" w:cs="Times New Roman"/>
          <w:sz w:val="24"/>
          <w:szCs w:val="24"/>
        </w:rPr>
        <w:t xml:space="preserve"> (3rd ed.). John Wiley &amp; Sons, Inc.</w:t>
      </w:r>
    </w:p>
    <w:p w14:paraId="0809CB1F" w14:textId="77777777" w:rsidR="00BD2841" w:rsidRDefault="00BD2841">
      <w:pPr>
        <w:spacing w:line="240" w:lineRule="auto"/>
        <w:rPr>
          <w:rFonts w:ascii="Times New Roman" w:eastAsia="Times New Roman" w:hAnsi="Times New Roman" w:cs="Times New Roman"/>
          <w:sz w:val="24"/>
          <w:szCs w:val="24"/>
        </w:rPr>
      </w:pPr>
    </w:p>
    <w:p w14:paraId="7AC20C58"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Dillman, D. A., Smyth, J. D., &amp; Christian, L. M. (2014). </w:t>
      </w:r>
      <w:r>
        <w:rPr>
          <w:rFonts w:ascii="Times New Roman" w:eastAsia="Times New Roman" w:hAnsi="Times New Roman" w:cs="Times New Roman"/>
          <w:i/>
          <w:iCs/>
          <w:sz w:val="24"/>
          <w:szCs w:val="24"/>
        </w:rPr>
        <w:t xml:space="preserve">Internet, phone, mail, and mixed mode </w:t>
      </w:r>
    </w:p>
    <w:p w14:paraId="016092FE" w14:textId="77777777" w:rsidR="00BD2841"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surveys: The tailored design method</w:t>
      </w:r>
      <w:r>
        <w:rPr>
          <w:rFonts w:ascii="Times New Roman" w:eastAsia="Times New Roman" w:hAnsi="Times New Roman" w:cs="Times New Roman"/>
          <w:sz w:val="24"/>
          <w:szCs w:val="24"/>
        </w:rPr>
        <w:t xml:space="preserve"> (4th ed.). John Wiley &amp; Sons Inc.</w:t>
      </w:r>
    </w:p>
    <w:p w14:paraId="70F3D9E3" w14:textId="77777777" w:rsidR="00BD2841" w:rsidRDefault="00BD2841">
      <w:pPr>
        <w:spacing w:line="240" w:lineRule="auto"/>
        <w:rPr>
          <w:rFonts w:ascii="Times New Roman" w:eastAsia="Times New Roman" w:hAnsi="Times New Roman" w:cs="Times New Roman"/>
          <w:sz w:val="24"/>
          <w:szCs w:val="24"/>
        </w:rPr>
      </w:pPr>
    </w:p>
    <w:p w14:paraId="55FABB79"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Estes, A., &amp; McCain, B. (2019). Four strategies to address equity in CTE. </w:t>
      </w:r>
      <w:r>
        <w:rPr>
          <w:rFonts w:ascii="Times New Roman" w:eastAsia="Times New Roman" w:hAnsi="Times New Roman" w:cs="Times New Roman"/>
          <w:i/>
          <w:iCs/>
          <w:sz w:val="24"/>
          <w:szCs w:val="24"/>
        </w:rPr>
        <w:t xml:space="preserve">State Education </w:t>
      </w:r>
    </w:p>
    <w:p w14:paraId="0EF6E674" w14:textId="77777777" w:rsidR="00BD2841"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Standard, 19</w:t>
      </w:r>
      <w:r>
        <w:rPr>
          <w:rFonts w:ascii="Times New Roman" w:eastAsia="Times New Roman" w:hAnsi="Times New Roman" w:cs="Times New Roman"/>
          <w:sz w:val="24"/>
          <w:szCs w:val="24"/>
        </w:rPr>
        <w:t xml:space="preserve"> (3), 10–14, 40. https://eric.ed.gov/?id=EJ1229646</w:t>
      </w:r>
    </w:p>
    <w:p w14:paraId="30F3AD49" w14:textId="77777777" w:rsidR="00BD2841" w:rsidRDefault="00BD2841">
      <w:pPr>
        <w:spacing w:line="240" w:lineRule="auto"/>
        <w:rPr>
          <w:rFonts w:ascii="Times New Roman" w:eastAsia="Times New Roman" w:hAnsi="Times New Roman" w:cs="Times New Roman"/>
          <w:sz w:val="24"/>
          <w:szCs w:val="24"/>
        </w:rPr>
      </w:pPr>
    </w:p>
    <w:p w14:paraId="0F4B8564"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Figland, W., Blackburn, D. J., Stair, D. K., &amp; Smith, D. E. (2019). What do they need? </w:t>
      </w:r>
    </w:p>
    <w:p w14:paraId="5F4905D3"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Determining differences in the professional development needs of Louisiana agriculture teachers by years of teaching experience. </w:t>
      </w:r>
      <w:r>
        <w:rPr>
          <w:rFonts w:ascii="Times New Roman" w:eastAsia="Times New Roman" w:hAnsi="Times New Roman" w:cs="Times New Roman"/>
          <w:i/>
          <w:iCs/>
          <w:sz w:val="24"/>
          <w:szCs w:val="24"/>
        </w:rPr>
        <w:t>Journal of Agricultural Education, 60</w:t>
      </w:r>
      <w:r>
        <w:rPr>
          <w:rFonts w:ascii="Times New Roman" w:eastAsia="Times New Roman" w:hAnsi="Times New Roman" w:cs="Times New Roman"/>
          <w:sz w:val="24"/>
          <w:szCs w:val="24"/>
        </w:rPr>
        <w:t>(2), 173–189. https://doi.org/10.5032/jae.2019.02173</w:t>
      </w:r>
    </w:p>
    <w:p w14:paraId="0F7147D9" w14:textId="77777777" w:rsidR="00BD2841" w:rsidRDefault="00BD2841">
      <w:pPr>
        <w:spacing w:line="240" w:lineRule="auto"/>
        <w:rPr>
          <w:rFonts w:ascii="Times New Roman" w:eastAsia="Times New Roman" w:hAnsi="Times New Roman" w:cs="Times New Roman"/>
          <w:sz w:val="24"/>
          <w:szCs w:val="24"/>
        </w:rPr>
      </w:pPr>
    </w:p>
    <w:p w14:paraId="07DDFB4B" w14:textId="77777777" w:rsidR="00BD2841" w:rsidRDefault="00BD2841">
      <w:pPr>
        <w:spacing w:line="240" w:lineRule="auto"/>
        <w:rPr>
          <w:rFonts w:ascii="Times New Roman" w:eastAsia="Times New Roman" w:hAnsi="Times New Roman" w:cs="Times New Roman"/>
          <w:sz w:val="24"/>
          <w:szCs w:val="24"/>
        </w:rPr>
      </w:pPr>
    </w:p>
    <w:p w14:paraId="69FE2D35"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Fisher, Y. (2010). Measuring success: Evaluating educational programs. </w:t>
      </w:r>
      <w:r>
        <w:rPr>
          <w:rFonts w:ascii="Times New Roman" w:eastAsia="Times New Roman" w:hAnsi="Times New Roman" w:cs="Times New Roman"/>
          <w:i/>
          <w:iCs/>
          <w:sz w:val="24"/>
          <w:szCs w:val="24"/>
        </w:rPr>
        <w:t xml:space="preserve">US-China Education </w:t>
      </w:r>
    </w:p>
    <w:p w14:paraId="57193699" w14:textId="77777777" w:rsidR="00BD2841"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Review, 7</w:t>
      </w:r>
      <w:r>
        <w:rPr>
          <w:rFonts w:ascii="Times New Roman" w:eastAsia="Times New Roman" w:hAnsi="Times New Roman" w:cs="Times New Roman"/>
          <w:sz w:val="24"/>
          <w:szCs w:val="24"/>
        </w:rPr>
        <w:t>(6), 5–18. https://eric.ed.gov/?id=ED511288</w:t>
      </w:r>
    </w:p>
    <w:p w14:paraId="7D507E72" w14:textId="77777777" w:rsidR="00BD2841" w:rsidRDefault="00BD2841">
      <w:pPr>
        <w:spacing w:line="240" w:lineRule="auto"/>
        <w:rPr>
          <w:rFonts w:ascii="Times New Roman" w:eastAsia="Times New Roman" w:hAnsi="Times New Roman" w:cs="Times New Roman"/>
          <w:sz w:val="24"/>
          <w:szCs w:val="24"/>
        </w:rPr>
      </w:pPr>
    </w:p>
    <w:p w14:paraId="140FC6B7"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Foth, T., Efstathiou, N., Vanderspank-Wright, B., Ufholz, L.-A., Dütthorn, N., Zimansky, M., &amp; </w:t>
      </w:r>
    </w:p>
    <w:p w14:paraId="3C471227"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Humphrey-Murto, S. (2016). The use of Delphi and nominal group technique in nursing education: A review. </w:t>
      </w:r>
      <w:r>
        <w:rPr>
          <w:rFonts w:ascii="Times New Roman" w:eastAsia="Times New Roman" w:hAnsi="Times New Roman" w:cs="Times New Roman"/>
          <w:i/>
          <w:iCs/>
          <w:sz w:val="24"/>
          <w:szCs w:val="24"/>
        </w:rPr>
        <w:t>International Journal of Nursing Studies, 60</w:t>
      </w:r>
      <w:r>
        <w:rPr>
          <w:rFonts w:ascii="Times New Roman" w:eastAsia="Times New Roman" w:hAnsi="Times New Roman" w:cs="Times New Roman"/>
          <w:sz w:val="24"/>
          <w:szCs w:val="24"/>
        </w:rPr>
        <w:t>, 112–120. https://doi.org/10.1016/j.ijnurstu.2016.04.015</w:t>
      </w:r>
    </w:p>
    <w:p w14:paraId="0D903A70" w14:textId="77777777" w:rsidR="00BD2841" w:rsidRDefault="00BD2841">
      <w:pPr>
        <w:spacing w:line="240" w:lineRule="auto"/>
        <w:rPr>
          <w:rFonts w:ascii="Times New Roman" w:eastAsia="Times New Roman" w:hAnsi="Times New Roman" w:cs="Times New Roman"/>
          <w:sz w:val="24"/>
          <w:szCs w:val="24"/>
        </w:rPr>
      </w:pPr>
    </w:p>
    <w:p w14:paraId="711E8D1D"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Friedel, C. R., &amp; Anderson II, J. C. (2017). An exploration of relationships between teaching </w:t>
      </w:r>
    </w:p>
    <w:p w14:paraId="3C1874BE"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practices in secondary agricultural education programs and student engagement. </w:t>
      </w:r>
      <w:r>
        <w:rPr>
          <w:rFonts w:ascii="Times New Roman" w:eastAsia="Times New Roman" w:hAnsi="Times New Roman" w:cs="Times New Roman"/>
          <w:i/>
          <w:iCs/>
          <w:sz w:val="24"/>
          <w:szCs w:val="24"/>
        </w:rPr>
        <w:t>Journal of Agricultural Education, 58</w:t>
      </w:r>
      <w:r>
        <w:rPr>
          <w:rFonts w:ascii="Times New Roman" w:eastAsia="Times New Roman" w:hAnsi="Times New Roman" w:cs="Times New Roman"/>
          <w:sz w:val="24"/>
          <w:szCs w:val="24"/>
        </w:rPr>
        <w:t>(2), 180–197. https://doi.org/10.5032/jae.2017.02180</w:t>
      </w:r>
    </w:p>
    <w:p w14:paraId="11436362" w14:textId="77777777" w:rsidR="00BD2841" w:rsidRDefault="00BD2841">
      <w:pPr>
        <w:spacing w:line="240" w:lineRule="auto"/>
        <w:rPr>
          <w:rFonts w:ascii="Times New Roman" w:eastAsia="Times New Roman" w:hAnsi="Times New Roman" w:cs="Times New Roman"/>
          <w:sz w:val="24"/>
          <w:szCs w:val="24"/>
        </w:rPr>
      </w:pPr>
    </w:p>
    <w:p w14:paraId="61486F94"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Hainline, M., &amp; Smalley, S. (2023). Determining the professional development needs of Iowa</w:t>
      </w:r>
    </w:p>
    <w:p w14:paraId="32ED7DD2"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school-based agricultural education teachers related to program design, leadership, and SAE development. </w:t>
      </w:r>
      <w:r>
        <w:rPr>
          <w:rFonts w:ascii="Times New Roman" w:eastAsia="Times New Roman" w:hAnsi="Times New Roman" w:cs="Times New Roman"/>
          <w:i/>
          <w:iCs/>
          <w:sz w:val="24"/>
          <w:szCs w:val="24"/>
        </w:rPr>
        <w:t>Journal of Agricultural Education, 64</w:t>
      </w:r>
      <w:r>
        <w:rPr>
          <w:rFonts w:ascii="Times New Roman" w:eastAsia="Times New Roman" w:hAnsi="Times New Roman" w:cs="Times New Roman"/>
          <w:sz w:val="24"/>
          <w:szCs w:val="24"/>
        </w:rPr>
        <w:t>(1), 1–10. https://doi.org/10.5032/jae.v64i1.26</w:t>
      </w:r>
    </w:p>
    <w:p w14:paraId="5C00C132" w14:textId="77777777" w:rsidR="00BD2841" w:rsidRDefault="00BD2841">
      <w:pPr>
        <w:spacing w:line="240" w:lineRule="auto"/>
        <w:rPr>
          <w:rFonts w:ascii="Times New Roman" w:eastAsia="Times New Roman" w:hAnsi="Times New Roman" w:cs="Times New Roman"/>
          <w:sz w:val="24"/>
          <w:szCs w:val="24"/>
        </w:rPr>
      </w:pPr>
    </w:p>
    <w:p w14:paraId="24008830"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Hancock, C., Morrison, C., Moore, A., Webb, J., &amp; Collins, A. (2024). A synthesis of </w:t>
      </w:r>
    </w:p>
    <w:p w14:paraId="437557EE"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agricultural literacy research between 2011 and 2022. </w:t>
      </w:r>
      <w:r>
        <w:rPr>
          <w:rFonts w:ascii="Times New Roman" w:eastAsia="Times New Roman" w:hAnsi="Times New Roman" w:cs="Times New Roman"/>
          <w:i/>
          <w:iCs/>
          <w:sz w:val="24"/>
          <w:szCs w:val="24"/>
        </w:rPr>
        <w:t>Journal of Agricultural Education, 65</w:t>
      </w:r>
      <w:r>
        <w:rPr>
          <w:rFonts w:ascii="Times New Roman" w:eastAsia="Times New Roman" w:hAnsi="Times New Roman" w:cs="Times New Roman"/>
          <w:sz w:val="24"/>
          <w:szCs w:val="24"/>
        </w:rPr>
        <w:t>(2), 98–111. https://doi.org/10.5032/jae.v65i1.157</w:t>
      </w:r>
    </w:p>
    <w:p w14:paraId="07BB0BAC" w14:textId="77777777" w:rsidR="00BD2841" w:rsidRDefault="00BD2841">
      <w:pPr>
        <w:spacing w:line="240" w:lineRule="auto"/>
        <w:rPr>
          <w:rFonts w:ascii="Times New Roman" w:eastAsia="Times New Roman" w:hAnsi="Times New Roman" w:cs="Times New Roman"/>
          <w:sz w:val="24"/>
          <w:szCs w:val="24"/>
        </w:rPr>
      </w:pPr>
    </w:p>
    <w:p w14:paraId="2DBB8088"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Helmer, O. (1966). </w:t>
      </w:r>
      <w:r>
        <w:rPr>
          <w:rFonts w:ascii="Times New Roman" w:eastAsia="Times New Roman" w:hAnsi="Times New Roman" w:cs="Times New Roman"/>
          <w:i/>
          <w:iCs/>
          <w:sz w:val="24"/>
          <w:szCs w:val="24"/>
        </w:rPr>
        <w:t>The use of the Delphi technique in problems of educational innovations</w:t>
      </w:r>
      <w:r>
        <w:rPr>
          <w:rFonts w:ascii="Times New Roman" w:eastAsia="Times New Roman" w:hAnsi="Times New Roman" w:cs="Times New Roman"/>
          <w:sz w:val="24"/>
          <w:szCs w:val="24"/>
        </w:rPr>
        <w:t xml:space="preserve">. The </w:t>
      </w:r>
    </w:p>
    <w:p w14:paraId="0D3E99FB" w14:textId="77777777" w:rsidR="00BD2841"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RAND Corporation. https://www.rand.org/pubs/papers/P3499.html</w:t>
      </w:r>
    </w:p>
    <w:p w14:paraId="35A5EAFB" w14:textId="77777777" w:rsidR="00BD2841" w:rsidRDefault="00BD2841">
      <w:pPr>
        <w:spacing w:line="240" w:lineRule="auto"/>
        <w:rPr>
          <w:rFonts w:ascii="Times New Roman" w:eastAsia="Times New Roman" w:hAnsi="Times New Roman" w:cs="Times New Roman"/>
          <w:sz w:val="24"/>
          <w:szCs w:val="24"/>
        </w:rPr>
      </w:pPr>
    </w:p>
    <w:p w14:paraId="39346CE3"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Krieg, R., &amp; Krieg J. (2021, November). Perseverance through partnerships. </w:t>
      </w:r>
      <w:r>
        <w:rPr>
          <w:rFonts w:ascii="Times New Roman" w:eastAsia="Times New Roman" w:hAnsi="Times New Roman" w:cs="Times New Roman"/>
          <w:i/>
          <w:iCs/>
          <w:sz w:val="24"/>
          <w:szCs w:val="24"/>
        </w:rPr>
        <w:t xml:space="preserve">The Agricultural </w:t>
      </w:r>
    </w:p>
    <w:p w14:paraId="2B4201CE"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Education Magazine, 94</w:t>
      </w:r>
      <w:r>
        <w:rPr>
          <w:rFonts w:ascii="Times New Roman" w:eastAsia="Times New Roman" w:hAnsi="Times New Roman" w:cs="Times New Roman"/>
          <w:sz w:val="24"/>
          <w:szCs w:val="24"/>
        </w:rPr>
        <w:t>(3), 12–14. https://www.naae.org/naae/document-server/?cfp=/naae/assets/file/public/magazine/volume94/2021%2011%20--%20november%20december.pdf</w:t>
      </w:r>
    </w:p>
    <w:p w14:paraId="1E4BFE4D" w14:textId="77777777" w:rsidR="00BD2841" w:rsidRDefault="00BD2841">
      <w:pPr>
        <w:spacing w:line="240" w:lineRule="auto"/>
        <w:rPr>
          <w:rFonts w:ascii="Times New Roman" w:eastAsia="Times New Roman" w:hAnsi="Times New Roman" w:cs="Times New Roman"/>
          <w:sz w:val="24"/>
          <w:szCs w:val="24"/>
        </w:rPr>
      </w:pPr>
    </w:p>
    <w:p w14:paraId="646787DE"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Lambert, M. D., Stewart, J., &amp; Claflin, K. (2018). Understanding characteristics, uses, </w:t>
      </w:r>
    </w:p>
    <w:p w14:paraId="72D43CD1"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perceptions, and barriers related to school farms in Oregon. </w:t>
      </w:r>
      <w:r>
        <w:rPr>
          <w:rFonts w:ascii="Times New Roman" w:eastAsia="Times New Roman" w:hAnsi="Times New Roman" w:cs="Times New Roman"/>
          <w:i/>
          <w:iCs/>
          <w:sz w:val="24"/>
          <w:szCs w:val="24"/>
        </w:rPr>
        <w:t>Journal of Agricultural Education, 59</w:t>
      </w:r>
      <w:r>
        <w:rPr>
          <w:rFonts w:ascii="Times New Roman" w:eastAsia="Times New Roman" w:hAnsi="Times New Roman" w:cs="Times New Roman"/>
          <w:sz w:val="24"/>
          <w:szCs w:val="24"/>
        </w:rPr>
        <w:t>(2), 197–214. https://doi.org/10.5032/jae.2018.02197</w:t>
      </w:r>
    </w:p>
    <w:p w14:paraId="532E10B7" w14:textId="77777777" w:rsidR="00BD2841" w:rsidRDefault="00BD2841">
      <w:pPr>
        <w:spacing w:line="240" w:lineRule="auto"/>
        <w:rPr>
          <w:rFonts w:ascii="Times New Roman" w:eastAsia="Times New Roman" w:hAnsi="Times New Roman" w:cs="Times New Roman"/>
          <w:sz w:val="24"/>
          <w:szCs w:val="24"/>
        </w:rPr>
      </w:pPr>
    </w:p>
    <w:p w14:paraId="294420D0"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Lawrence, S., Rayfield, J., Morre, L. L., &amp; Outley, C. (2013). An analysis of FFA chapter </w:t>
      </w:r>
    </w:p>
    <w:p w14:paraId="35AB875B"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demographics as compared to schools and communities. </w:t>
      </w:r>
      <w:r>
        <w:rPr>
          <w:rFonts w:ascii="Times New Roman" w:eastAsia="Times New Roman" w:hAnsi="Times New Roman" w:cs="Times New Roman"/>
          <w:i/>
          <w:iCs/>
          <w:sz w:val="24"/>
          <w:szCs w:val="24"/>
        </w:rPr>
        <w:t>Journal of Agricultural Education, 54</w:t>
      </w:r>
      <w:r>
        <w:rPr>
          <w:rFonts w:ascii="Times New Roman" w:eastAsia="Times New Roman" w:hAnsi="Times New Roman" w:cs="Times New Roman"/>
          <w:sz w:val="24"/>
          <w:szCs w:val="24"/>
        </w:rPr>
        <w:t>(1), 207–219. https://doi.org/10.5032/jae.2013.01207</w:t>
      </w:r>
    </w:p>
    <w:p w14:paraId="107485F4" w14:textId="77777777" w:rsidR="00BD2841" w:rsidRDefault="00BD2841">
      <w:pPr>
        <w:spacing w:line="240" w:lineRule="auto"/>
        <w:rPr>
          <w:rFonts w:ascii="Times New Roman" w:eastAsia="Times New Roman" w:hAnsi="Times New Roman" w:cs="Times New Roman"/>
          <w:sz w:val="24"/>
          <w:szCs w:val="24"/>
        </w:rPr>
      </w:pPr>
    </w:p>
    <w:p w14:paraId="61439796"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Lundry, J., Ramsey, J. W., Edwards, M. C., &amp; Robinson, J. S. (2015). Benefits of career </w:t>
      </w:r>
    </w:p>
    <w:p w14:paraId="791B4D4D"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development events as perceived by school-based, agricultural education teachers. </w:t>
      </w:r>
      <w:r>
        <w:rPr>
          <w:rFonts w:ascii="Times New Roman" w:eastAsia="Times New Roman" w:hAnsi="Times New Roman" w:cs="Times New Roman"/>
          <w:i/>
          <w:iCs/>
          <w:sz w:val="24"/>
          <w:szCs w:val="24"/>
        </w:rPr>
        <w:t>Journal of Agricultural Education, 56</w:t>
      </w:r>
      <w:r>
        <w:rPr>
          <w:rFonts w:ascii="Times New Roman" w:eastAsia="Times New Roman" w:hAnsi="Times New Roman" w:cs="Times New Roman"/>
          <w:sz w:val="24"/>
          <w:szCs w:val="24"/>
        </w:rPr>
        <w:t>(1), 43–57. https://doi.org/10.5032/jae.2015.01043</w:t>
      </w:r>
    </w:p>
    <w:p w14:paraId="27716DD2" w14:textId="77777777" w:rsidR="00BD2841" w:rsidRDefault="00BD2841">
      <w:pPr>
        <w:spacing w:line="240" w:lineRule="auto"/>
        <w:rPr>
          <w:rFonts w:ascii="Times New Roman" w:eastAsia="Times New Roman" w:hAnsi="Times New Roman" w:cs="Times New Roman"/>
          <w:sz w:val="24"/>
          <w:szCs w:val="24"/>
        </w:rPr>
      </w:pPr>
    </w:p>
    <w:p w14:paraId="458EEBE1"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Manning, J., Cosby, A., McDonald, N., &amp; Fogarty, E. (2024). Primary and secondary school </w:t>
      </w:r>
    </w:p>
    <w:p w14:paraId="16FBE15F"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students’ knowledge and perceptions of agriculture. </w:t>
      </w:r>
      <w:r>
        <w:rPr>
          <w:rFonts w:ascii="Times New Roman" w:eastAsia="Times New Roman" w:hAnsi="Times New Roman" w:cs="Times New Roman"/>
          <w:i/>
          <w:iCs/>
          <w:sz w:val="24"/>
          <w:szCs w:val="24"/>
        </w:rPr>
        <w:t>Journal of Agricultural Education, 65</w:t>
      </w:r>
      <w:r>
        <w:rPr>
          <w:rFonts w:ascii="Times New Roman" w:eastAsia="Times New Roman" w:hAnsi="Times New Roman" w:cs="Times New Roman"/>
          <w:sz w:val="24"/>
          <w:szCs w:val="24"/>
        </w:rPr>
        <w:t>(2), 226–240. https://doi.org/10.5032/jae.v65i1.2495</w:t>
      </w:r>
    </w:p>
    <w:p w14:paraId="5801A9B1" w14:textId="77777777" w:rsidR="00BD2841" w:rsidRDefault="00BD2841">
      <w:pPr>
        <w:spacing w:line="240" w:lineRule="auto"/>
        <w:rPr>
          <w:rFonts w:ascii="Times New Roman" w:eastAsia="Times New Roman" w:hAnsi="Times New Roman" w:cs="Times New Roman"/>
          <w:sz w:val="24"/>
          <w:szCs w:val="24"/>
        </w:rPr>
      </w:pPr>
    </w:p>
    <w:p w14:paraId="52D7BD46" w14:textId="77777777" w:rsidR="00BD2841" w:rsidRDefault="00BD2841">
      <w:pPr>
        <w:spacing w:line="240" w:lineRule="auto"/>
        <w:rPr>
          <w:rFonts w:ascii="Times New Roman" w:eastAsia="Times New Roman" w:hAnsi="Times New Roman" w:cs="Times New Roman"/>
          <w:sz w:val="24"/>
          <w:szCs w:val="24"/>
        </w:rPr>
      </w:pPr>
    </w:p>
    <w:p w14:paraId="3984F554"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Martin, A. G., &amp; Frick, M. J. (1998). The Delphi technique: An informal history of its use in </w:t>
      </w:r>
    </w:p>
    <w:p w14:paraId="3CC47B9F"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agricultural education research since 1984. </w:t>
      </w:r>
      <w:r>
        <w:rPr>
          <w:rFonts w:ascii="Times New Roman" w:eastAsia="Times New Roman" w:hAnsi="Times New Roman" w:cs="Times New Roman"/>
          <w:i/>
          <w:iCs/>
          <w:sz w:val="24"/>
          <w:szCs w:val="24"/>
        </w:rPr>
        <w:t>Journal of Agricultural Education, 39</w:t>
      </w:r>
      <w:r>
        <w:rPr>
          <w:rFonts w:ascii="Times New Roman" w:eastAsia="Times New Roman" w:hAnsi="Times New Roman" w:cs="Times New Roman"/>
          <w:sz w:val="24"/>
          <w:szCs w:val="24"/>
        </w:rPr>
        <w:t>(1), 73–79. https://doi.org/10.5032/jae.1998.01073</w:t>
      </w:r>
    </w:p>
    <w:p w14:paraId="58C75003" w14:textId="77777777" w:rsidR="00BD2841" w:rsidRDefault="00BD2841">
      <w:pPr>
        <w:spacing w:line="240" w:lineRule="auto"/>
        <w:rPr>
          <w:rFonts w:ascii="Times New Roman" w:eastAsia="Times New Roman" w:hAnsi="Times New Roman" w:cs="Times New Roman"/>
          <w:sz w:val="24"/>
          <w:szCs w:val="24"/>
        </w:rPr>
      </w:pPr>
    </w:p>
    <w:p w14:paraId="71556757"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Masser, D. T., Falk, J. M., &amp; Foster, D. D. (2014). Level of agricultural education advisory </w:t>
      </w:r>
    </w:p>
    <w:p w14:paraId="746A7627"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council implementation in Idaho secondary agricultural education programs. </w:t>
      </w:r>
      <w:r>
        <w:rPr>
          <w:rFonts w:ascii="Times New Roman" w:eastAsia="Times New Roman" w:hAnsi="Times New Roman" w:cs="Times New Roman"/>
          <w:i/>
          <w:iCs/>
          <w:sz w:val="24"/>
          <w:szCs w:val="24"/>
        </w:rPr>
        <w:t>Journal of Agricultural Education, 55</w:t>
      </w:r>
      <w:r>
        <w:rPr>
          <w:rFonts w:ascii="Times New Roman" w:eastAsia="Times New Roman" w:hAnsi="Times New Roman" w:cs="Times New Roman"/>
          <w:sz w:val="24"/>
          <w:szCs w:val="24"/>
        </w:rPr>
        <w:t>(3), 116–131. https://doi.org/10.5032/jae.2014.03116</w:t>
      </w:r>
    </w:p>
    <w:p w14:paraId="3343B89F" w14:textId="77777777" w:rsidR="00BD2841" w:rsidRDefault="00BD2841">
      <w:pPr>
        <w:spacing w:line="240" w:lineRule="auto"/>
        <w:rPr>
          <w:rFonts w:ascii="Times New Roman" w:eastAsia="Times New Roman" w:hAnsi="Times New Roman" w:cs="Times New Roman"/>
          <w:sz w:val="24"/>
          <w:szCs w:val="24"/>
        </w:rPr>
      </w:pPr>
    </w:p>
    <w:p w14:paraId="480E6861"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Moser, E. M., &amp; McKim, A. J. (2021). Exploring curriculum congruence and connectivity within </w:t>
      </w:r>
    </w:p>
    <w:p w14:paraId="6BC7290D"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school-based agricultural education. </w:t>
      </w:r>
      <w:r>
        <w:rPr>
          <w:rFonts w:ascii="Times New Roman" w:eastAsia="Times New Roman" w:hAnsi="Times New Roman" w:cs="Times New Roman"/>
          <w:i/>
          <w:iCs/>
          <w:sz w:val="24"/>
          <w:szCs w:val="24"/>
        </w:rPr>
        <w:t>Journal of Agricultural Education, 62</w:t>
      </w:r>
      <w:r>
        <w:rPr>
          <w:rFonts w:ascii="Times New Roman" w:eastAsia="Times New Roman" w:hAnsi="Times New Roman" w:cs="Times New Roman"/>
          <w:sz w:val="24"/>
          <w:szCs w:val="24"/>
        </w:rPr>
        <w:t>(1), 170–183. https://doi.org/10.5032/jae.2021.01170</w:t>
      </w:r>
    </w:p>
    <w:p w14:paraId="527ED36E" w14:textId="77777777" w:rsidR="00BD2841" w:rsidRDefault="00BD2841">
      <w:pPr>
        <w:spacing w:line="240" w:lineRule="auto"/>
        <w:rPr>
          <w:rFonts w:ascii="Times New Roman" w:eastAsia="Times New Roman" w:hAnsi="Times New Roman" w:cs="Times New Roman"/>
          <w:sz w:val="24"/>
          <w:szCs w:val="24"/>
        </w:rPr>
      </w:pPr>
    </w:p>
    <w:p w14:paraId="6681F89A"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Myers, B. E., Dyer, J. E., &amp; Washburn, S. G. (2005). Problems facing beginning agriculture </w:t>
      </w:r>
    </w:p>
    <w:p w14:paraId="232B1D64"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teachers. </w:t>
      </w:r>
      <w:r>
        <w:rPr>
          <w:rFonts w:ascii="Times New Roman" w:eastAsia="Times New Roman" w:hAnsi="Times New Roman" w:cs="Times New Roman"/>
          <w:i/>
          <w:iCs/>
          <w:sz w:val="24"/>
          <w:szCs w:val="24"/>
        </w:rPr>
        <w:t>Journal of Agricultural Education, 46</w:t>
      </w:r>
      <w:r>
        <w:rPr>
          <w:rFonts w:ascii="Times New Roman" w:eastAsia="Times New Roman" w:hAnsi="Times New Roman" w:cs="Times New Roman"/>
          <w:sz w:val="24"/>
          <w:szCs w:val="24"/>
        </w:rPr>
        <w:t>(2), 47–55. https://doi.org/10.5032/jae.2005.03047</w:t>
      </w:r>
    </w:p>
    <w:p w14:paraId="481338F4" w14:textId="77777777" w:rsidR="00BD2841" w:rsidRDefault="00BD2841">
      <w:pPr>
        <w:spacing w:line="240" w:lineRule="auto"/>
        <w:rPr>
          <w:rFonts w:ascii="Times New Roman" w:eastAsia="Times New Roman" w:hAnsi="Times New Roman" w:cs="Times New Roman"/>
          <w:sz w:val="24"/>
          <w:szCs w:val="24"/>
        </w:rPr>
      </w:pPr>
    </w:p>
    <w:p w14:paraId="247CC840"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Association of Agricultural Educators (2015). </w:t>
      </w:r>
      <w:r>
        <w:rPr>
          <w:rFonts w:ascii="Times New Roman" w:eastAsia="Times New Roman" w:hAnsi="Times New Roman" w:cs="Times New Roman"/>
          <w:i/>
          <w:iCs/>
          <w:sz w:val="24"/>
          <w:szCs w:val="24"/>
        </w:rPr>
        <w:t>Ag teacher’s life cycle</w:t>
      </w:r>
      <w:r>
        <w:rPr>
          <w:rFonts w:ascii="Times New Roman" w:eastAsia="Times New Roman" w:hAnsi="Times New Roman" w:cs="Times New Roman"/>
          <w:sz w:val="24"/>
          <w:szCs w:val="24"/>
        </w:rPr>
        <w:t>.</w:t>
      </w:r>
    </w:p>
    <w:p w14:paraId="621B1065" w14:textId="77777777" w:rsidR="00BD2841"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http://www.naae.org/lifecycle/index.cfm</w:t>
      </w:r>
    </w:p>
    <w:p w14:paraId="4350E807" w14:textId="77777777" w:rsidR="00BD2841" w:rsidRDefault="00BD2841">
      <w:pPr>
        <w:spacing w:line="240" w:lineRule="auto"/>
        <w:rPr>
          <w:rFonts w:ascii="Times New Roman" w:eastAsia="Times New Roman" w:hAnsi="Times New Roman" w:cs="Times New Roman"/>
          <w:sz w:val="24"/>
          <w:szCs w:val="24"/>
        </w:rPr>
      </w:pPr>
    </w:p>
    <w:p w14:paraId="11E23F9E"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Phipps, O., Dyer, B., Lloyd, E., &amp; James, A. (2008). </w:t>
      </w:r>
      <w:r>
        <w:rPr>
          <w:rFonts w:ascii="Times New Roman" w:eastAsia="Times New Roman" w:hAnsi="Times New Roman" w:cs="Times New Roman"/>
          <w:i/>
          <w:iCs/>
          <w:sz w:val="24"/>
          <w:szCs w:val="24"/>
        </w:rPr>
        <w:t xml:space="preserve">Handbook on agricultural education in </w:t>
      </w:r>
    </w:p>
    <w:p w14:paraId="2FAF5988" w14:textId="77777777" w:rsidR="00BD2841"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public schools</w:t>
      </w:r>
      <w:r>
        <w:rPr>
          <w:rFonts w:ascii="Times New Roman" w:eastAsia="Times New Roman" w:hAnsi="Times New Roman" w:cs="Times New Roman"/>
          <w:sz w:val="24"/>
          <w:szCs w:val="24"/>
        </w:rPr>
        <w:t xml:space="preserve"> (6th ed.). Delmar Learning.</w:t>
      </w:r>
    </w:p>
    <w:p w14:paraId="750A74AB" w14:textId="77777777" w:rsidR="00BD2841" w:rsidRDefault="00BD2841">
      <w:pPr>
        <w:spacing w:line="240" w:lineRule="auto"/>
        <w:rPr>
          <w:rFonts w:ascii="Times New Roman" w:eastAsia="Times New Roman" w:hAnsi="Times New Roman" w:cs="Times New Roman"/>
          <w:sz w:val="24"/>
          <w:szCs w:val="24"/>
        </w:rPr>
      </w:pPr>
    </w:p>
    <w:p w14:paraId="2D2AC227"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Ramstad, J., &amp; Smalley, S. (2025). Getting the word out: Examining key trends and strategies in </w:t>
      </w:r>
    </w:p>
    <w:p w14:paraId="5C671993"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school-based agricultural education programs’ communication and marketing efforts. </w:t>
      </w:r>
      <w:r>
        <w:rPr>
          <w:rFonts w:ascii="Times New Roman" w:eastAsia="Times New Roman" w:hAnsi="Times New Roman" w:cs="Times New Roman"/>
          <w:i/>
          <w:iCs/>
          <w:sz w:val="24"/>
          <w:szCs w:val="24"/>
        </w:rPr>
        <w:t>Journal of Agricultural Education, 66</w:t>
      </w:r>
      <w:r>
        <w:rPr>
          <w:rFonts w:ascii="Times New Roman" w:eastAsia="Times New Roman" w:hAnsi="Times New Roman" w:cs="Times New Roman"/>
          <w:sz w:val="24"/>
          <w:szCs w:val="24"/>
        </w:rPr>
        <w:t>(3), Article 3. https://doi.org/10.5032/jae.v66i3.3022</w:t>
      </w:r>
    </w:p>
    <w:p w14:paraId="7A4CFA36" w14:textId="77777777" w:rsidR="00BD2841" w:rsidRDefault="00BD2841">
      <w:pPr>
        <w:spacing w:line="240" w:lineRule="auto"/>
        <w:rPr>
          <w:rFonts w:ascii="Times New Roman" w:eastAsia="Times New Roman" w:hAnsi="Times New Roman" w:cs="Times New Roman"/>
          <w:sz w:val="24"/>
          <w:szCs w:val="24"/>
        </w:rPr>
      </w:pPr>
    </w:p>
    <w:p w14:paraId="7627D357"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Roberts, T. G., &amp; Ball, A. L. (2009). Secondary agricultural science as content and context for </w:t>
      </w:r>
    </w:p>
    <w:p w14:paraId="70E395D5"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teaching. </w:t>
      </w:r>
      <w:r>
        <w:rPr>
          <w:rFonts w:ascii="Times New Roman" w:eastAsia="Times New Roman" w:hAnsi="Times New Roman" w:cs="Times New Roman"/>
          <w:i/>
          <w:iCs/>
          <w:sz w:val="24"/>
          <w:szCs w:val="24"/>
        </w:rPr>
        <w:t>Journal of Agricultural Education, 50</w:t>
      </w:r>
      <w:r>
        <w:rPr>
          <w:rFonts w:ascii="Times New Roman" w:eastAsia="Times New Roman" w:hAnsi="Times New Roman" w:cs="Times New Roman"/>
          <w:sz w:val="24"/>
          <w:szCs w:val="24"/>
        </w:rPr>
        <w:t>(1), 81–91. https://doi.org/10.5032/jae.2009.01081</w:t>
      </w:r>
    </w:p>
    <w:p w14:paraId="65F7F580" w14:textId="77777777" w:rsidR="00BD2841" w:rsidRDefault="00BD2841">
      <w:pPr>
        <w:spacing w:line="240" w:lineRule="auto"/>
        <w:rPr>
          <w:rFonts w:ascii="Times New Roman" w:eastAsia="Times New Roman" w:hAnsi="Times New Roman" w:cs="Times New Roman"/>
          <w:sz w:val="24"/>
          <w:szCs w:val="24"/>
        </w:rPr>
      </w:pPr>
    </w:p>
    <w:p w14:paraId="749229B5"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Sackman, H. (1974). </w:t>
      </w:r>
      <w:r>
        <w:rPr>
          <w:rFonts w:ascii="Times New Roman" w:eastAsia="Times New Roman" w:hAnsi="Times New Roman" w:cs="Times New Roman"/>
          <w:i/>
          <w:iCs/>
          <w:sz w:val="24"/>
          <w:szCs w:val="24"/>
        </w:rPr>
        <w:t>Delphi assessment: Expert opinion, forecasting, and group process</w:t>
      </w:r>
      <w:r>
        <w:rPr>
          <w:rFonts w:ascii="Times New Roman" w:eastAsia="Times New Roman" w:hAnsi="Times New Roman" w:cs="Times New Roman"/>
          <w:sz w:val="24"/>
          <w:szCs w:val="24"/>
        </w:rPr>
        <w:t xml:space="preserve">. The </w:t>
      </w:r>
    </w:p>
    <w:p w14:paraId="2656E869"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RAND Corporation. https://www.rand.org/content/dam/rand/pubs/reports/2006/R1283.pdf</w:t>
      </w:r>
    </w:p>
    <w:p w14:paraId="6F1ECDF2" w14:textId="77777777" w:rsidR="00BD2841" w:rsidRDefault="00BD2841">
      <w:pPr>
        <w:spacing w:line="240" w:lineRule="auto"/>
        <w:rPr>
          <w:rFonts w:ascii="Times New Roman" w:eastAsia="Times New Roman" w:hAnsi="Times New Roman" w:cs="Times New Roman"/>
          <w:sz w:val="24"/>
          <w:szCs w:val="24"/>
        </w:rPr>
      </w:pPr>
    </w:p>
    <w:p w14:paraId="0BCFB9E6"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Shinn, C. G. (1998). </w:t>
      </w:r>
      <w:r>
        <w:rPr>
          <w:rFonts w:ascii="Times New Roman" w:eastAsia="Times New Roman" w:hAnsi="Times New Roman" w:cs="Times New Roman"/>
          <w:i/>
          <w:iCs/>
          <w:sz w:val="24"/>
          <w:szCs w:val="24"/>
        </w:rPr>
        <w:t xml:space="preserve">Transforming agricultural mechanics curriculum through expert opinion to </w:t>
      </w:r>
    </w:p>
    <w:p w14:paraId="3B1B5F22"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model technologies in foods environmental and natural resource systems</w:t>
      </w:r>
      <w:r>
        <w:rPr>
          <w:rFonts w:ascii="Times New Roman" w:eastAsia="Times New Roman" w:hAnsi="Times New Roman" w:cs="Times New Roman"/>
          <w:sz w:val="24"/>
          <w:szCs w:val="24"/>
        </w:rPr>
        <w:t xml:space="preserve"> [Paper presentation]. 25th Annual National Agricultural Education Research Meeting, New Orleans, LA, 25, 270–282. https://files.eric.ed.gov/fulltext/ED428177.pdf</w:t>
      </w:r>
    </w:p>
    <w:p w14:paraId="241D6622" w14:textId="77777777" w:rsidR="00BD2841" w:rsidRDefault="00BD2841">
      <w:pPr>
        <w:spacing w:line="240" w:lineRule="auto"/>
        <w:rPr>
          <w:rFonts w:ascii="Times New Roman" w:eastAsia="Times New Roman" w:hAnsi="Times New Roman" w:cs="Times New Roman"/>
          <w:sz w:val="24"/>
          <w:szCs w:val="24"/>
        </w:rPr>
      </w:pPr>
    </w:p>
    <w:p w14:paraId="16E3E478"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Shoulders, C. W., &amp; Myers, B. E. (2012). Teachers’ use of agricultural laboratories in </w:t>
      </w:r>
    </w:p>
    <w:p w14:paraId="3FC09953"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secondary agricultural education. </w:t>
      </w:r>
      <w:r>
        <w:rPr>
          <w:rFonts w:ascii="Times New Roman" w:eastAsia="Times New Roman" w:hAnsi="Times New Roman" w:cs="Times New Roman"/>
          <w:i/>
          <w:iCs/>
          <w:sz w:val="24"/>
          <w:szCs w:val="24"/>
        </w:rPr>
        <w:t>Journal of Agricultural Education, 53</w:t>
      </w:r>
      <w:r>
        <w:rPr>
          <w:rFonts w:ascii="Times New Roman" w:eastAsia="Times New Roman" w:hAnsi="Times New Roman" w:cs="Times New Roman"/>
          <w:sz w:val="24"/>
          <w:szCs w:val="24"/>
        </w:rPr>
        <w:t>(2), 124–138. https://doi.org/10.5032/jae.2012.02124</w:t>
      </w:r>
    </w:p>
    <w:p w14:paraId="5AC6D4CD" w14:textId="77777777" w:rsidR="00BD2841" w:rsidRDefault="00BD2841">
      <w:pPr>
        <w:spacing w:line="240" w:lineRule="auto"/>
        <w:rPr>
          <w:rFonts w:ascii="Times New Roman" w:eastAsia="Times New Roman" w:hAnsi="Times New Roman" w:cs="Times New Roman"/>
          <w:sz w:val="24"/>
          <w:szCs w:val="24"/>
        </w:rPr>
      </w:pPr>
    </w:p>
    <w:p w14:paraId="18DE9989" w14:textId="77777777" w:rsidR="00BD2841" w:rsidRDefault="00BD2841">
      <w:pPr>
        <w:spacing w:line="240" w:lineRule="auto"/>
        <w:rPr>
          <w:rFonts w:ascii="Times New Roman" w:eastAsia="Times New Roman" w:hAnsi="Times New Roman" w:cs="Times New Roman"/>
          <w:sz w:val="24"/>
          <w:szCs w:val="24"/>
        </w:rPr>
      </w:pPr>
    </w:p>
    <w:p w14:paraId="2EB4E72D" w14:textId="77777777" w:rsidR="00BD2841" w:rsidRDefault="00BD2841">
      <w:pPr>
        <w:spacing w:line="240" w:lineRule="auto"/>
        <w:rPr>
          <w:rFonts w:ascii="Times New Roman" w:eastAsia="Times New Roman" w:hAnsi="Times New Roman" w:cs="Times New Roman"/>
          <w:sz w:val="24"/>
          <w:szCs w:val="24"/>
        </w:rPr>
      </w:pPr>
    </w:p>
    <w:p w14:paraId="6D156AFB"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Shoulders, C. W., &amp; Toland, H. (2017). Millennial and non-millennial agriculture teachers’ </w:t>
      </w:r>
    </w:p>
    <w:p w14:paraId="69B623E1"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current and ideal emphasis on the three components of the agricultural education program. </w:t>
      </w:r>
      <w:r>
        <w:rPr>
          <w:rFonts w:ascii="Times New Roman" w:eastAsia="Times New Roman" w:hAnsi="Times New Roman" w:cs="Times New Roman"/>
          <w:i/>
          <w:iCs/>
          <w:sz w:val="24"/>
          <w:szCs w:val="24"/>
        </w:rPr>
        <w:t>Journal of Agricultural Education, 58</w:t>
      </w:r>
      <w:r>
        <w:rPr>
          <w:rFonts w:ascii="Times New Roman" w:eastAsia="Times New Roman" w:hAnsi="Times New Roman" w:cs="Times New Roman"/>
          <w:sz w:val="24"/>
          <w:szCs w:val="24"/>
        </w:rPr>
        <w:t>(1), 85–101. https://doi.org/10.5032/jae.2017.01085</w:t>
      </w:r>
    </w:p>
    <w:p w14:paraId="0B8B62F5" w14:textId="77777777" w:rsidR="00BD2841" w:rsidRDefault="00BD2841">
      <w:pPr>
        <w:spacing w:line="240" w:lineRule="auto"/>
        <w:rPr>
          <w:rFonts w:ascii="Times New Roman" w:eastAsia="Times New Roman" w:hAnsi="Times New Roman" w:cs="Times New Roman"/>
          <w:sz w:val="24"/>
          <w:szCs w:val="24"/>
        </w:rPr>
      </w:pPr>
    </w:p>
    <w:p w14:paraId="7D5FF9E9"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Skulmoski, G. J., Hartman, F. T., &amp; Krahn, J. (2007). The Delphi method for graduate research. </w:t>
      </w:r>
    </w:p>
    <w:p w14:paraId="66036697"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Journal of Information Technology Education: Research, 6</w:t>
      </w:r>
      <w:r>
        <w:rPr>
          <w:rFonts w:ascii="Times New Roman" w:eastAsia="Times New Roman" w:hAnsi="Times New Roman" w:cs="Times New Roman"/>
          <w:sz w:val="24"/>
          <w:szCs w:val="24"/>
        </w:rPr>
        <w:t>, 1–21. https://doi.org/10.28945/199</w:t>
      </w:r>
    </w:p>
    <w:p w14:paraId="2B838DF1" w14:textId="77777777" w:rsidR="00BD2841" w:rsidRDefault="00BD2841">
      <w:pPr>
        <w:spacing w:line="240" w:lineRule="auto"/>
        <w:rPr>
          <w:rFonts w:ascii="Times New Roman" w:eastAsia="Times New Roman" w:hAnsi="Times New Roman" w:cs="Times New Roman"/>
          <w:sz w:val="24"/>
          <w:szCs w:val="24"/>
        </w:rPr>
      </w:pPr>
    </w:p>
    <w:p w14:paraId="70E91D48"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Smalley, S., Hainline, M., &amp; Grein, K. (2023). Beginning SBAE teacher perception of </w:t>
      </w:r>
    </w:p>
    <w:p w14:paraId="3A153EFB"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CASE training and curriculum implementation. </w:t>
      </w:r>
      <w:r>
        <w:rPr>
          <w:rFonts w:ascii="Times New Roman" w:eastAsia="Times New Roman" w:hAnsi="Times New Roman" w:cs="Times New Roman"/>
          <w:i/>
          <w:iCs/>
          <w:sz w:val="24"/>
          <w:szCs w:val="24"/>
        </w:rPr>
        <w:t>Journal of Agricultural Education, 64</w:t>
      </w:r>
      <w:r>
        <w:rPr>
          <w:rFonts w:ascii="Times New Roman" w:eastAsia="Times New Roman" w:hAnsi="Times New Roman" w:cs="Times New Roman"/>
          <w:sz w:val="24"/>
          <w:szCs w:val="24"/>
        </w:rPr>
        <w:t>(3), 26–42. https://doi.org/10.5032/jae.v64i3.56</w:t>
      </w:r>
    </w:p>
    <w:p w14:paraId="5C1DE558" w14:textId="77777777" w:rsidR="00BD2841" w:rsidRDefault="00BD2841">
      <w:pPr>
        <w:spacing w:line="240" w:lineRule="auto"/>
        <w:rPr>
          <w:rFonts w:ascii="Times New Roman" w:eastAsia="Times New Roman" w:hAnsi="Times New Roman" w:cs="Times New Roman"/>
          <w:sz w:val="24"/>
          <w:szCs w:val="24"/>
        </w:rPr>
      </w:pPr>
    </w:p>
    <w:p w14:paraId="01F449B9"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Smith, A. R., &amp; Smalley, S. (2018). Job stress, burnout, and professional development needs of </w:t>
      </w:r>
    </w:p>
    <w:p w14:paraId="13BCEF23"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mid-career agricultural education teachers. </w:t>
      </w:r>
      <w:r>
        <w:rPr>
          <w:rFonts w:ascii="Times New Roman" w:eastAsia="Times New Roman" w:hAnsi="Times New Roman" w:cs="Times New Roman"/>
          <w:i/>
          <w:iCs/>
          <w:sz w:val="24"/>
          <w:szCs w:val="24"/>
        </w:rPr>
        <w:t>Journal of Agricultural Education, 59</w:t>
      </w:r>
      <w:r>
        <w:rPr>
          <w:rFonts w:ascii="Times New Roman" w:eastAsia="Times New Roman" w:hAnsi="Times New Roman" w:cs="Times New Roman"/>
          <w:sz w:val="24"/>
          <w:szCs w:val="24"/>
        </w:rPr>
        <w:t>(2), 305–320. https://doi.org/10.5032/jae.2018.02305</w:t>
      </w:r>
    </w:p>
    <w:p w14:paraId="522EDCA5" w14:textId="77777777" w:rsidR="00BD2841" w:rsidRDefault="00BD2841">
      <w:pPr>
        <w:spacing w:line="240" w:lineRule="auto"/>
        <w:rPr>
          <w:rFonts w:ascii="Times New Roman" w:eastAsia="Times New Roman" w:hAnsi="Times New Roman" w:cs="Times New Roman"/>
          <w:sz w:val="24"/>
          <w:szCs w:val="24"/>
        </w:rPr>
      </w:pPr>
    </w:p>
    <w:p w14:paraId="6AD388FF"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Smith, K. L., Rayfield, J., &amp; McKim, B. R. (2015). Effective practices in STEM integration: </w:t>
      </w:r>
    </w:p>
    <w:p w14:paraId="503B7D6C"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Describing teacher perceptions and instructional method use. </w:t>
      </w:r>
      <w:r>
        <w:rPr>
          <w:rFonts w:ascii="Times New Roman" w:eastAsia="Times New Roman" w:hAnsi="Times New Roman" w:cs="Times New Roman"/>
          <w:i/>
          <w:iCs/>
          <w:sz w:val="24"/>
          <w:szCs w:val="24"/>
        </w:rPr>
        <w:t>Journal of Agricultural Education, 56</w:t>
      </w:r>
      <w:r>
        <w:rPr>
          <w:rFonts w:ascii="Times New Roman" w:eastAsia="Times New Roman" w:hAnsi="Times New Roman" w:cs="Times New Roman"/>
          <w:sz w:val="24"/>
          <w:szCs w:val="24"/>
        </w:rPr>
        <w:t>(4), 182–201. https://doi.org/10.5032/jae.2015.04183</w:t>
      </w:r>
    </w:p>
    <w:p w14:paraId="15476989" w14:textId="77777777" w:rsidR="00BD2841" w:rsidRDefault="00BD2841">
      <w:pPr>
        <w:spacing w:line="240" w:lineRule="auto"/>
        <w:rPr>
          <w:rFonts w:ascii="Times New Roman" w:eastAsia="Times New Roman" w:hAnsi="Times New Roman" w:cs="Times New Roman"/>
          <w:sz w:val="24"/>
          <w:szCs w:val="24"/>
        </w:rPr>
      </w:pPr>
    </w:p>
    <w:p w14:paraId="6FA86351"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Sorensen, T. J., Tarpley, R. S., &amp; Warnick, B. K. (2010). Inservice needs of Utah agriculture </w:t>
      </w:r>
    </w:p>
    <w:p w14:paraId="29F6FD42"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teachers. </w:t>
      </w:r>
      <w:r>
        <w:rPr>
          <w:rFonts w:ascii="Times New Roman" w:eastAsia="Times New Roman" w:hAnsi="Times New Roman" w:cs="Times New Roman"/>
          <w:i/>
          <w:iCs/>
          <w:sz w:val="24"/>
          <w:szCs w:val="24"/>
        </w:rPr>
        <w:t>Journal of Agricultural Education, 51</w:t>
      </w:r>
      <w:r>
        <w:rPr>
          <w:rFonts w:ascii="Times New Roman" w:eastAsia="Times New Roman" w:hAnsi="Times New Roman" w:cs="Times New Roman"/>
          <w:sz w:val="24"/>
          <w:szCs w:val="24"/>
        </w:rPr>
        <w:t>(3), 1–11. https://doi.org/10.5032/jae.2010.03001</w:t>
      </w:r>
    </w:p>
    <w:p w14:paraId="035E96EF" w14:textId="77777777" w:rsidR="00BD2841" w:rsidRDefault="00BD2841">
      <w:pPr>
        <w:spacing w:line="240" w:lineRule="auto"/>
        <w:rPr>
          <w:rFonts w:ascii="Times New Roman" w:eastAsia="Times New Roman" w:hAnsi="Times New Roman" w:cs="Times New Roman"/>
          <w:sz w:val="24"/>
          <w:szCs w:val="24"/>
        </w:rPr>
      </w:pPr>
    </w:p>
    <w:p w14:paraId="5ED10D03"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Taylor, S., Stripling, C. T., Stephens, C. A., Hart, W. E., Falk, J. M., &amp; Foster, D. D. (2017). </w:t>
      </w:r>
    </w:p>
    <w:p w14:paraId="14ED2327"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Advisory councils in Tennessee school-based agricultural education programs. </w:t>
      </w:r>
      <w:r>
        <w:rPr>
          <w:rFonts w:ascii="Times New Roman" w:eastAsia="Times New Roman" w:hAnsi="Times New Roman" w:cs="Times New Roman"/>
          <w:i/>
          <w:iCs/>
          <w:sz w:val="24"/>
          <w:szCs w:val="24"/>
        </w:rPr>
        <w:t>Journal of Agricultural Education, 58</w:t>
      </w:r>
      <w:r>
        <w:rPr>
          <w:rFonts w:ascii="Times New Roman" w:eastAsia="Times New Roman" w:hAnsi="Times New Roman" w:cs="Times New Roman"/>
          <w:sz w:val="24"/>
          <w:szCs w:val="24"/>
        </w:rPr>
        <w:t>(2), 232–251. https://doi.org/10.5032/jae.2017.02232</w:t>
      </w:r>
    </w:p>
    <w:p w14:paraId="686A5AB2" w14:textId="77777777" w:rsidR="00BD2841" w:rsidRDefault="00BD2841">
      <w:pPr>
        <w:spacing w:line="240" w:lineRule="auto"/>
        <w:rPr>
          <w:rFonts w:ascii="Times New Roman" w:eastAsia="Times New Roman" w:hAnsi="Times New Roman" w:cs="Times New Roman"/>
          <w:sz w:val="24"/>
          <w:szCs w:val="24"/>
        </w:rPr>
      </w:pPr>
    </w:p>
    <w:p w14:paraId="53263C19"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National Council for Agricultural Education (2023a). </w:t>
      </w:r>
      <w:r>
        <w:rPr>
          <w:rFonts w:ascii="Times New Roman" w:eastAsia="Times New Roman" w:hAnsi="Times New Roman" w:cs="Times New Roman"/>
          <w:i/>
          <w:iCs/>
          <w:sz w:val="24"/>
          <w:szCs w:val="24"/>
        </w:rPr>
        <w:t>About us</w:t>
      </w:r>
      <w:r>
        <w:rPr>
          <w:rFonts w:ascii="Times New Roman" w:eastAsia="Times New Roman" w:hAnsi="Times New Roman" w:cs="Times New Roman"/>
          <w:sz w:val="24"/>
          <w:szCs w:val="24"/>
        </w:rPr>
        <w:t xml:space="preserve">. </w:t>
      </w:r>
    </w:p>
    <w:p w14:paraId="7CDC7853" w14:textId="77777777" w:rsidR="00BD2841"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https://thecouncil.ffa.org/ageducation/</w:t>
      </w:r>
    </w:p>
    <w:p w14:paraId="310101E9" w14:textId="77777777" w:rsidR="00BD2841" w:rsidRDefault="00BD2841">
      <w:pPr>
        <w:spacing w:line="240" w:lineRule="auto"/>
        <w:rPr>
          <w:rFonts w:ascii="Times New Roman" w:eastAsia="Times New Roman" w:hAnsi="Times New Roman" w:cs="Times New Roman"/>
          <w:sz w:val="24"/>
          <w:szCs w:val="24"/>
        </w:rPr>
      </w:pPr>
    </w:p>
    <w:p w14:paraId="0EB327EE"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National Council for Agricultural Education (2023b). </w:t>
      </w:r>
      <w:r>
        <w:rPr>
          <w:rFonts w:ascii="Times New Roman" w:eastAsia="Times New Roman" w:hAnsi="Times New Roman" w:cs="Times New Roman"/>
          <w:i/>
          <w:iCs/>
          <w:sz w:val="24"/>
          <w:szCs w:val="24"/>
        </w:rPr>
        <w:t>AFNR standards</w:t>
      </w:r>
      <w:r>
        <w:rPr>
          <w:rFonts w:ascii="Times New Roman" w:eastAsia="Times New Roman" w:hAnsi="Times New Roman" w:cs="Times New Roman"/>
          <w:sz w:val="24"/>
          <w:szCs w:val="24"/>
        </w:rPr>
        <w:t xml:space="preserve">. </w:t>
      </w:r>
    </w:p>
    <w:p w14:paraId="0A0F989A"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https://thecouncil.ffa.org/afnr/</w:t>
      </w:r>
    </w:p>
    <w:p w14:paraId="135DF5D5" w14:textId="77777777" w:rsidR="00BD2841" w:rsidRDefault="00BD2841">
      <w:pPr>
        <w:spacing w:line="240" w:lineRule="auto"/>
        <w:ind w:left="720"/>
        <w:rPr>
          <w:rFonts w:ascii="Times New Roman" w:eastAsia="Times New Roman" w:hAnsi="Times New Roman" w:cs="Times New Roman"/>
          <w:sz w:val="24"/>
          <w:szCs w:val="24"/>
        </w:rPr>
      </w:pPr>
    </w:p>
    <w:p w14:paraId="16ACB476" w14:textId="77777777" w:rsidR="00BD2841"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The National Council for Agricultural Education (2023c). </w:t>
      </w:r>
      <w:r>
        <w:rPr>
          <w:rFonts w:ascii="Times New Roman" w:eastAsia="Times New Roman" w:hAnsi="Times New Roman" w:cs="Times New Roman"/>
          <w:i/>
          <w:iCs/>
          <w:sz w:val="24"/>
          <w:szCs w:val="24"/>
        </w:rPr>
        <w:t xml:space="preserve">National quality program standards. </w:t>
      </w:r>
    </w:p>
    <w:p w14:paraId="7A93E2AA" w14:textId="77777777" w:rsidR="00BD2841"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https://live-the-council.pantheonsite.io/program-standards-tool/</w:t>
      </w:r>
    </w:p>
    <w:p w14:paraId="166B7EC2" w14:textId="77777777" w:rsidR="00BD2841" w:rsidRDefault="00BD2841">
      <w:pPr>
        <w:spacing w:line="240" w:lineRule="auto"/>
        <w:rPr>
          <w:rFonts w:ascii="Times New Roman" w:eastAsia="Times New Roman" w:hAnsi="Times New Roman" w:cs="Times New Roman"/>
          <w:sz w:val="24"/>
          <w:szCs w:val="24"/>
        </w:rPr>
      </w:pPr>
    </w:p>
    <w:p w14:paraId="34EA9AA4"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Thornton, K. M., Coleman, B. M., Bunch, J., &amp; Roberts, T. G. (2020). Professional life phases: </w:t>
      </w:r>
    </w:p>
    <w:p w14:paraId="273B47F7"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Identifying professional development needs for Florida agriscience teachers. </w:t>
      </w:r>
      <w:r>
        <w:rPr>
          <w:rFonts w:ascii="Times New Roman" w:eastAsia="Times New Roman" w:hAnsi="Times New Roman" w:cs="Times New Roman"/>
          <w:i/>
          <w:iCs/>
          <w:sz w:val="24"/>
          <w:szCs w:val="24"/>
        </w:rPr>
        <w:t>Journal of Agricultural Education, 61</w:t>
      </w:r>
      <w:r>
        <w:rPr>
          <w:rFonts w:ascii="Times New Roman" w:eastAsia="Times New Roman" w:hAnsi="Times New Roman" w:cs="Times New Roman"/>
          <w:sz w:val="24"/>
          <w:szCs w:val="24"/>
        </w:rPr>
        <w:t>(4), 283–295. https://doi.org/10.5032/jae.2020.04283</w:t>
      </w:r>
    </w:p>
    <w:p w14:paraId="2844A606" w14:textId="77777777" w:rsidR="00BD2841" w:rsidRDefault="00BD2841">
      <w:pPr>
        <w:spacing w:line="240" w:lineRule="auto"/>
        <w:rPr>
          <w:rFonts w:ascii="Times New Roman" w:eastAsia="Times New Roman" w:hAnsi="Times New Roman" w:cs="Times New Roman"/>
          <w:sz w:val="24"/>
          <w:szCs w:val="24"/>
        </w:rPr>
      </w:pPr>
    </w:p>
    <w:p w14:paraId="6CA1FF1B"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Trexler, C. J., Parr, D. M., &amp; Khanna, N. (2006). A Delphi study of agricultural practitioners’ </w:t>
      </w:r>
    </w:p>
    <w:p w14:paraId="1DC4A13A"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opinions: Necessary experiences for inclusion in an undergraduate sustainable agricultural major. </w:t>
      </w:r>
      <w:r>
        <w:rPr>
          <w:rFonts w:ascii="Times New Roman" w:eastAsia="Times New Roman" w:hAnsi="Times New Roman" w:cs="Times New Roman"/>
          <w:i/>
          <w:iCs/>
          <w:sz w:val="24"/>
          <w:szCs w:val="24"/>
        </w:rPr>
        <w:t>Journal of Agricultural Education, 47</w:t>
      </w:r>
      <w:r>
        <w:rPr>
          <w:rFonts w:ascii="Times New Roman" w:eastAsia="Times New Roman" w:hAnsi="Times New Roman" w:cs="Times New Roman"/>
          <w:sz w:val="24"/>
          <w:szCs w:val="24"/>
        </w:rPr>
        <w:t>(4), 15–25. https://doi.org/10.5032/jae.2006.04015</w:t>
      </w:r>
    </w:p>
    <w:p w14:paraId="1B69EFA3"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Twenter, J. P., &amp; Edwards, M. C. (2017). Facilities in school-based, agricultural education </w:t>
      </w:r>
    </w:p>
    <w:p w14:paraId="4A1AF138"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(SBAE): A historical inquiry. </w:t>
      </w:r>
      <w:r>
        <w:rPr>
          <w:rFonts w:ascii="Times New Roman" w:eastAsia="Times New Roman" w:hAnsi="Times New Roman" w:cs="Times New Roman"/>
          <w:i/>
          <w:iCs/>
          <w:sz w:val="24"/>
          <w:szCs w:val="24"/>
        </w:rPr>
        <w:t>Journal of Agricultural Education, 58</w:t>
      </w:r>
      <w:r>
        <w:rPr>
          <w:rFonts w:ascii="Times New Roman" w:eastAsia="Times New Roman" w:hAnsi="Times New Roman" w:cs="Times New Roman"/>
          <w:sz w:val="24"/>
          <w:szCs w:val="24"/>
        </w:rPr>
        <w:t>(3), 275–292. https://doi.org/10.5032/jae.2017.03275</w:t>
      </w:r>
    </w:p>
    <w:p w14:paraId="06A4C33F" w14:textId="77777777" w:rsidR="00BD2841" w:rsidRDefault="00BD2841">
      <w:pPr>
        <w:spacing w:line="240" w:lineRule="auto"/>
        <w:rPr>
          <w:rFonts w:ascii="Times New Roman" w:eastAsia="Times New Roman" w:hAnsi="Times New Roman" w:cs="Times New Roman"/>
          <w:sz w:val="24"/>
          <w:szCs w:val="24"/>
        </w:rPr>
      </w:pPr>
    </w:p>
    <w:p w14:paraId="79E2E974"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Wells, T., Matthews, J., Caudle, L., Lunceford, C., Clement, B., &amp; Anderson, R. (2015). The </w:t>
      </w:r>
    </w:p>
    <w:p w14:paraId="1122EF5E"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infusion of inquiry-based learning into school-based agricultural education: A review of literature. </w:t>
      </w:r>
      <w:r>
        <w:rPr>
          <w:rFonts w:ascii="Times New Roman" w:eastAsia="Times New Roman" w:hAnsi="Times New Roman" w:cs="Times New Roman"/>
          <w:i/>
          <w:iCs/>
          <w:sz w:val="24"/>
          <w:szCs w:val="24"/>
        </w:rPr>
        <w:t>Journal of Agricultural Education, 56</w:t>
      </w:r>
      <w:r>
        <w:rPr>
          <w:rFonts w:ascii="Times New Roman" w:eastAsia="Times New Roman" w:hAnsi="Times New Roman" w:cs="Times New Roman"/>
          <w:sz w:val="24"/>
          <w:szCs w:val="24"/>
        </w:rPr>
        <w:t>(4), 169–181. https://doi.org/10.5032/jae.2015.04170</w:t>
      </w:r>
    </w:p>
    <w:p w14:paraId="0445B61B" w14:textId="77777777" w:rsidR="00BD2841" w:rsidRDefault="00BD2841">
      <w:pPr>
        <w:spacing w:line="240" w:lineRule="auto"/>
        <w:rPr>
          <w:rFonts w:ascii="Times New Roman" w:eastAsia="Times New Roman" w:hAnsi="Times New Roman" w:cs="Times New Roman"/>
          <w:sz w:val="24"/>
          <w:szCs w:val="24"/>
        </w:rPr>
      </w:pPr>
    </w:p>
    <w:p w14:paraId="0167CBD5"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Wells, T., Smalley, S. W., &amp; Rank, B. D. (2018). Early field experience course students’ </w:t>
      </w:r>
    </w:p>
    <w:p w14:paraId="06034954" w14:textId="77777777" w:rsidR="00BD2841"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perceptions of school-based agricultural education laboratory environments. </w:t>
      </w:r>
      <w:r>
        <w:rPr>
          <w:rFonts w:ascii="Times New Roman" w:eastAsia="Times New Roman" w:hAnsi="Times New Roman" w:cs="Times New Roman"/>
          <w:i/>
          <w:iCs/>
          <w:sz w:val="24"/>
          <w:szCs w:val="24"/>
        </w:rPr>
        <w:t>Journal of Agricultural Education, 59</w:t>
      </w:r>
      <w:r>
        <w:rPr>
          <w:rFonts w:ascii="Times New Roman" w:eastAsia="Times New Roman" w:hAnsi="Times New Roman" w:cs="Times New Roman"/>
          <w:sz w:val="24"/>
          <w:szCs w:val="24"/>
        </w:rPr>
        <w:t>(3), 243–257. https://doi.org/10.5032/jae.2018.03243</w:t>
      </w:r>
    </w:p>
    <w:p w14:paraId="4720CFAB" w14:textId="77777777" w:rsidR="00BD2841" w:rsidRDefault="00BD2841">
      <w:pPr>
        <w:spacing w:line="240" w:lineRule="auto"/>
        <w:rPr>
          <w:rFonts w:ascii="Times New Roman" w:eastAsia="Times New Roman" w:hAnsi="Times New Roman" w:cs="Times New Roman"/>
          <w:sz w:val="24"/>
          <w:szCs w:val="24"/>
        </w:rPr>
      </w:pPr>
    </w:p>
    <w:p w14:paraId="50CBA248" w14:textId="77777777" w:rsidR="00BD2841"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Wilson, E., Kirby, B., &amp; Flowers, J. (2002). Factors influencing the intent of North Carolina </w:t>
      </w:r>
    </w:p>
    <w:p w14:paraId="2F1D8D82" w14:textId="77777777" w:rsidR="00BD2841" w:rsidRDefault="00000000">
      <w:pPr>
        <w:spacing w:line="240" w:lineRule="auto"/>
        <w:ind w:left="720"/>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agricultural educators to adopt agricultural biotechnology curriculum. </w:t>
      </w:r>
      <w:r>
        <w:rPr>
          <w:rFonts w:ascii="Times New Roman" w:eastAsia="Times New Roman" w:hAnsi="Times New Roman" w:cs="Times New Roman"/>
          <w:i/>
          <w:iCs/>
          <w:sz w:val="24"/>
          <w:szCs w:val="24"/>
        </w:rPr>
        <w:t>Journal of Agricultural Education, 43</w:t>
      </w:r>
      <w:r>
        <w:rPr>
          <w:rFonts w:ascii="Times New Roman" w:eastAsia="Times New Roman" w:hAnsi="Times New Roman" w:cs="Times New Roman"/>
          <w:sz w:val="24"/>
          <w:szCs w:val="24"/>
        </w:rPr>
        <w:t>(1), 69–81. https://doi.org/10.5032/jae.2002.01069</w:t>
      </w:r>
    </w:p>
    <w:sectPr w:rsidR="00BD2841">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26572" w14:textId="77777777" w:rsidR="00DA20D4" w:rsidRDefault="00DA20D4">
      <w:pPr>
        <w:spacing w:line="240" w:lineRule="auto"/>
      </w:pPr>
      <w:r>
        <w:separator/>
      </w:r>
    </w:p>
  </w:endnote>
  <w:endnote w:type="continuationSeparator" w:id="0">
    <w:p w14:paraId="2BCD6BED" w14:textId="77777777" w:rsidR="00DA20D4" w:rsidRDefault="00DA20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C54D15DA-8CC2-E140-AEB3-2CB952207B5F}"/>
    <w:embedBold r:id="rId2" w:fontKey="{651F12F4-D961-A545-92EF-2FDA1FEC1A17}"/>
    <w:embedItalic r:id="rId3" w:fontKey="{71706FDC-F4C4-A447-A46C-5CA2155CF386}"/>
  </w:font>
  <w:font w:name="Arial">
    <w:panose1 w:val="020B0604020202020204"/>
    <w:charset w:val="00"/>
    <w:family w:val="swiss"/>
    <w:pitch w:val="variable"/>
    <w:sig w:usb0="E0002EFF" w:usb1="C000785B" w:usb2="00000009" w:usb3="00000000" w:csb0="000001FF" w:csb1="00000000"/>
    <w:embedRegular r:id="rId4" w:fontKey="{59870B50-9733-2F4A-8017-5900361D22C6}"/>
    <w:embedItalic r:id="rId5" w:fontKey="{0218F7EC-9EF2-2141-A8FE-1DF1D584D287}"/>
  </w:font>
  <w:font w:name="Calibri">
    <w:panose1 w:val="020F0502020204030204"/>
    <w:charset w:val="00"/>
    <w:family w:val="swiss"/>
    <w:pitch w:val="variable"/>
    <w:sig w:usb0="E4002EFF" w:usb1="C200247B" w:usb2="00000009" w:usb3="00000000" w:csb0="000001FF" w:csb1="00000000"/>
    <w:embedRegular r:id="rId6" w:fontKey="{EEDAAF0D-DD78-AC49-A603-A8479EAD0292}"/>
  </w:font>
  <w:font w:name="Cambria">
    <w:panose1 w:val="02040503050406030204"/>
    <w:charset w:val="00"/>
    <w:family w:val="roman"/>
    <w:pitch w:val="variable"/>
    <w:sig w:usb0="E00006FF" w:usb1="420024FF" w:usb2="02000000" w:usb3="00000000" w:csb0="0000019F" w:csb1="00000000"/>
    <w:embedRegular r:id="rId7" w:fontKey="{D0D542A0-AB04-A240-A88C-CF2EB16B689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3D62E" w14:textId="77777777" w:rsidR="00BD2841"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E76666">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CA785" w14:textId="77777777" w:rsidR="00DA20D4" w:rsidRDefault="00DA20D4">
      <w:pPr>
        <w:spacing w:line="240" w:lineRule="auto"/>
      </w:pPr>
      <w:r>
        <w:separator/>
      </w:r>
    </w:p>
  </w:footnote>
  <w:footnote w:type="continuationSeparator" w:id="0">
    <w:p w14:paraId="6028F99A" w14:textId="77777777" w:rsidR="00DA20D4" w:rsidRDefault="00DA20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E1158" w14:textId="77777777" w:rsidR="00BD2841" w:rsidRDefault="00BD2841">
    <w:pPr>
      <w:jc w:val="right"/>
      <w:rPr>
        <w:rFonts w:ascii="Times New Roman" w:eastAsia="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22091"/>
    <w:multiLevelType w:val="multilevel"/>
    <w:tmpl w:val="0B2868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28022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841"/>
    <w:rsid w:val="00524A27"/>
    <w:rsid w:val="00B24AAD"/>
    <w:rsid w:val="00BD2841"/>
    <w:rsid w:val="00DA20D4"/>
    <w:rsid w:val="00E76666"/>
    <w:rsid w:val="00EA53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052BAE4"/>
  <w15:docId w15:val="{E96ED260-A2FB-8A4C-8C93-EB32D4469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7281</Words>
  <Characters>42309</Characters>
  <Application>Microsoft Office Word</Application>
  <DocSecurity>0</DocSecurity>
  <Lines>1410</Lines>
  <Paragraphs>840</Paragraphs>
  <ScaleCrop>false</ScaleCrop>
  <Company/>
  <LinksUpToDate>false</LinksUpToDate>
  <CharactersWithSpaces>48750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Ramstad, Joseph E</cp:lastModifiedBy>
  <cp:revision>3</cp:revision>
  <dcterms:created xsi:type="dcterms:W3CDTF">2026-03-25T18:23:00Z</dcterms:created>
  <dcterms:modified xsi:type="dcterms:W3CDTF">2026-03-25T18:30:00Z</dcterms:modified>
</cp:coreProperties>
</file>