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DF3F2" w14:textId="77777777" w:rsidR="00D032E2"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Assessing the Impact of a Statewide Professional Development Experience on Iowa Agricultural Educators’ Implementation and Perceptions of SAE for All</w:t>
      </w:r>
    </w:p>
    <w:p w14:paraId="14A4647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Joe Ramstad, Iowa State University</w:t>
      </w:r>
    </w:p>
    <w:p w14:paraId="01AE924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Scott Smalley, Iowa State University</w:t>
      </w:r>
    </w:p>
    <w:p w14:paraId="212F7DD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Jonathan Turk, Iowa State University</w:t>
      </w:r>
    </w:p>
    <w:p w14:paraId="35FBBA90" w14:textId="77777777" w:rsidR="00D032E2" w:rsidRDefault="00D032E2">
      <w:pPr>
        <w:spacing w:line="240" w:lineRule="auto"/>
        <w:jc w:val="center"/>
        <w:rPr>
          <w:rFonts w:ascii="Times New Roman" w:eastAsia="Times New Roman" w:hAnsi="Times New Roman" w:cs="Times New Roman"/>
          <w:sz w:val="24"/>
          <w:szCs w:val="24"/>
        </w:rPr>
      </w:pPr>
    </w:p>
    <w:p w14:paraId="1530F0CB"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b/>
          <w:bCs/>
          <w:sz w:val="24"/>
          <w:szCs w:val="24"/>
        </w:rPr>
        <w:t>Abstract</w:t>
      </w:r>
    </w:p>
    <w:p w14:paraId="1192645B" w14:textId="77777777" w:rsidR="00D032E2" w:rsidRDefault="00D032E2">
      <w:pPr>
        <w:spacing w:line="240" w:lineRule="auto"/>
        <w:rPr>
          <w:rFonts w:ascii="Times New Roman" w:eastAsia="Times New Roman" w:hAnsi="Times New Roman" w:cs="Times New Roman"/>
          <w:i/>
          <w:iCs/>
          <w:sz w:val="24"/>
          <w:szCs w:val="24"/>
        </w:rPr>
      </w:pPr>
    </w:p>
    <w:p w14:paraId="3820AAE9"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The SAE for All initiative was developed in 2015 to assist agricultural educators in providing all students with impactful experiential learning experiences connected to agricultural education. However, the many responsibilities associated with being an agricultural educator, coupled with teachers’ limited understanding of SAE, contribute to the challenges associated with implementing SAE for All within agricultural education programs. Prior to the national rollout of the SAE for All professional development, this study empirically examined how professional development influences SAE for All implementation among agricultural educators. The purpose of this study was to examine the implementation of SAE for All among Iowa agricultural educators before and after the professional development experience. A pre- and post-instrument was sent to educators attending the Iowa SAE for All professional development; 173 educators participated. Findings revealed the professional development was associated with increased implementation of SAE for All, and greater overall perceptions of SAE for All. After the professional development, teachers identified fewer barriers among themselves and their students. Teachers reported success using accountability measures such as AET and grading SAEs. Future research should explore remaining barriers faced by educators to refine training.</w:t>
      </w:r>
    </w:p>
    <w:p w14:paraId="58497ACB" w14:textId="77777777" w:rsidR="00D032E2" w:rsidRDefault="00D032E2">
      <w:pPr>
        <w:spacing w:line="240" w:lineRule="auto"/>
        <w:jc w:val="center"/>
        <w:rPr>
          <w:rFonts w:ascii="Times New Roman" w:eastAsia="Times New Roman" w:hAnsi="Times New Roman" w:cs="Times New Roman"/>
          <w:b/>
          <w:bCs/>
          <w:sz w:val="24"/>
          <w:szCs w:val="24"/>
        </w:rPr>
      </w:pPr>
    </w:p>
    <w:p w14:paraId="15F8A8E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Introduction and Literature Review</w:t>
      </w:r>
    </w:p>
    <w:p w14:paraId="7F742949" w14:textId="77777777" w:rsidR="00D032E2" w:rsidRDefault="00D032E2">
      <w:pPr>
        <w:spacing w:line="240" w:lineRule="auto"/>
        <w:rPr>
          <w:rFonts w:ascii="Times New Roman" w:eastAsia="Times New Roman" w:hAnsi="Times New Roman" w:cs="Times New Roman"/>
          <w:sz w:val="24"/>
          <w:szCs w:val="24"/>
        </w:rPr>
      </w:pPr>
    </w:p>
    <w:p w14:paraId="2660DC64"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has been limited research exploring the experiences or characteristics that contribute to an agricultural educator’s predicted capacity to implement and adopt SAE (Supervised Agricultural Experience) for All within their school-based agricultural education (SBAE) programs. However, there is existing literature focusing on other areas pertinent to this line of inquiry. Current literature concerning focuses most closely on: (a) the history and context of SAE and the SAE for All initiative, (b) the barriers to agricultural educators’ decision to adopt SAE for All, and (c) the impact of training and experience on the development of agricultural educators.</w:t>
      </w:r>
    </w:p>
    <w:p w14:paraId="6CF3C05E" w14:textId="77777777" w:rsidR="00D032E2" w:rsidRDefault="00D032E2">
      <w:pPr>
        <w:spacing w:line="240" w:lineRule="auto"/>
        <w:rPr>
          <w:rFonts w:ascii="Times New Roman" w:eastAsia="Times New Roman" w:hAnsi="Times New Roman" w:cs="Times New Roman"/>
          <w:sz w:val="24"/>
          <w:szCs w:val="24"/>
        </w:rPr>
      </w:pPr>
    </w:p>
    <w:p w14:paraId="5E27C065"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History and Context of SAE and the SAE for All Initiative</w:t>
      </w:r>
    </w:p>
    <w:p w14:paraId="360CD243"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SAE is noted as an integral component of an agricultural education program, in tandem with a student’s classroom experience and leadership development experiences (Croom, 2008). The premise of experiential learning within agricultural settings dates back nearly 120 years, when Rufus Stimson developed the project-based learning method at the Smith Agricultural College (Smith &amp; Rayfield, 2016). The literature indicates that Stimson laid the foundation for SAE programming efforts by tasking his students with the responsibility to learn by doing, where students applied concepts learned in Stimson’s classroom to caring for land that their families owned (Smith &amp; Rayfield, 2016; Wilson &amp; Moore, 2007). Over the years, the project-based learning experience has evolved into becoming more commonly known as the SAE, yet the overarching goal of this experience has remained consistent with the initial ideals of Stimson’s project-based learning experiences—providing students with opportunities to learn by doing. </w:t>
      </w:r>
      <w:r>
        <w:rPr>
          <w:rFonts w:ascii="Times New Roman" w:eastAsia="Times New Roman" w:hAnsi="Times New Roman" w:cs="Times New Roman"/>
          <w:sz w:val="24"/>
          <w:szCs w:val="24"/>
        </w:rPr>
        <w:lastRenderedPageBreak/>
        <w:t>However, as families and students become more distantly removed from the farm, accountability for (Smith &amp; Rayfield, 2016; Wilson &amp; Moore, 2007) and the classification of what experiences should and should not be qualified as an SAE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have been two key factors agricultural educators have been wrestling with—these conversations have recently led to the introduction of the SAE for All initiative.</w:t>
      </w:r>
    </w:p>
    <w:p w14:paraId="24EB1993" w14:textId="77777777" w:rsidR="00D032E2" w:rsidRDefault="00D032E2">
      <w:pPr>
        <w:spacing w:line="240" w:lineRule="auto"/>
        <w:rPr>
          <w:rFonts w:ascii="Times New Roman" w:eastAsia="Times New Roman" w:hAnsi="Times New Roman" w:cs="Times New Roman"/>
          <w:sz w:val="24"/>
          <w:szCs w:val="24"/>
        </w:rPr>
      </w:pPr>
    </w:p>
    <w:p w14:paraId="6A40EFF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Developed by the National Council for Agricultural Education (2015), the SAE for All initiative aims to provide educators and students with the necessary resources to ensure that all students </w:t>
      </w:r>
      <w:proofErr w:type="gramStart"/>
      <w:r>
        <w:rPr>
          <w:rFonts w:ascii="Times New Roman" w:eastAsia="Times New Roman" w:hAnsi="Times New Roman" w:cs="Times New Roman"/>
          <w:sz w:val="24"/>
          <w:szCs w:val="24"/>
        </w:rPr>
        <w:t>have the opportunity to</w:t>
      </w:r>
      <w:proofErr w:type="gramEnd"/>
      <w:r>
        <w:rPr>
          <w:rFonts w:ascii="Times New Roman" w:eastAsia="Times New Roman" w:hAnsi="Times New Roman" w:cs="Times New Roman"/>
          <w:sz w:val="24"/>
          <w:szCs w:val="24"/>
        </w:rPr>
        <w:t xml:space="preserve"> participate in a quality and relevant SAE program. Despite this initiative being developed and disseminated, educator apprehension and attitudes toward SAEs in general, along with disruptions such as COVID-19, among other events and transitions within the agricultural education profession, have pushed the rollout of SAE for All to the back burner (Eck &amp; Davis, 2024; Hainline &amp; Smalley, 2023). While the literature has acknowledged that SAE implementation continues to be a challenge for agricultural educators despite the resources and training has been disseminated regarding SAE for All (Hainline &amp; Smalley, 2023;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additional research focusing on the SAE for All needs of teachers is essential; these research findings can then be utilized to inform the training and professional development activities developed to assist educators in facilitating meaningful SAE experiences within their programs (Eck &amp; Davis, 2024; Retallick, 2010; Toombs et al., 2022).</w:t>
      </w:r>
    </w:p>
    <w:p w14:paraId="5842050F" w14:textId="77777777" w:rsidR="00D032E2" w:rsidRDefault="00D032E2">
      <w:pPr>
        <w:spacing w:line="240" w:lineRule="auto"/>
        <w:rPr>
          <w:rFonts w:ascii="Times New Roman" w:eastAsia="Times New Roman" w:hAnsi="Times New Roman" w:cs="Times New Roman"/>
          <w:sz w:val="24"/>
          <w:szCs w:val="24"/>
        </w:rPr>
      </w:pPr>
    </w:p>
    <w:p w14:paraId="77C8EABC"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Barriers to the Adoption of SAE for All</w:t>
      </w:r>
    </w:p>
    <w:p w14:paraId="71E229C7"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barriers to an educator’s ability to adopt SAE for All, the literature indicates that a general lack of understanding of what SAE for All consists of, coupled with a lack of training and professional development, are some of the leading factors that can limit an agricultural educator’s ability to implement SAE for All within their program. To start, since the development of the SAE for All initiative, language and terminology surrounding SAE has changed (National Council for Agricultural Education, 2015), contributing to a lack of understanding among educators (Doss &amp; Rayfield, 2019;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A study by Doss and Rayfield (2019) revealed a group of 116 agricultural educators reported lower levels of familiarity and awareness surrounding the different terminologies used to describe SAE under the new SAE for All framework; 69.8%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81) of teachers indicated they did not even know the SAE for All initiative was being introduced, and only 32.8%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38) of were able to correctly identify examples of foundational SAEs, a key component of the SAE for All initiative (National Council for Agricultural Education, 2015). Educators also indicated that, in addition to their lack of understanding of SAE for All, students’ lack of awareness and knowledge is also another limiting factor that inhibits their ability to provide these experiences for their students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w:t>
      </w:r>
    </w:p>
    <w:p w14:paraId="0C699E53" w14:textId="77777777" w:rsidR="00D032E2" w:rsidRDefault="00D032E2">
      <w:pPr>
        <w:spacing w:line="240" w:lineRule="auto"/>
        <w:rPr>
          <w:rFonts w:ascii="Times New Roman" w:eastAsia="Times New Roman" w:hAnsi="Times New Roman" w:cs="Times New Roman"/>
          <w:sz w:val="24"/>
          <w:szCs w:val="24"/>
        </w:rPr>
      </w:pPr>
    </w:p>
    <w:p w14:paraId="4AEB8056"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apprehension and lack of knowledge some educators have regarding the SAE for All initiative, there also appears to be a shortage of professional development and training experiences offered to agricultural educators within this area. Since SAE for All resources and training experiences are still being refined and coordinated on a state and national level, there has been limited work examining the impact of these training experiences and resources and to see if they address the implementation barriers or concerns of agricultural educators. Despite this, any initial training and resources that are being developed to help teachers implement SAE for All should focus on addressing the needed areas of development reported by agricultural educators </w:t>
      </w:r>
      <w:r>
        <w:rPr>
          <w:rFonts w:ascii="Times New Roman" w:eastAsia="Times New Roman" w:hAnsi="Times New Roman" w:cs="Times New Roman"/>
          <w:sz w:val="24"/>
          <w:szCs w:val="24"/>
        </w:rPr>
        <w:lastRenderedPageBreak/>
        <w:t xml:space="preserve">and stakeholders. Following a mean weighted discrepancy score (MWDS) on a scale from one to five, with lower scores indicating low perceived importance and skill, and higher scores indicating high perceived importance and skill, Hainline and Smalley (2023) identified professional development within SAE to be a significant need for agricultural educators, with teaching record-keeping (MWDS = 4.50), developing research-based SAE opportunities (MWDS = 4.30), developing school-based enterprise SAE opportunities (MWDS = 4.22), and developing service-learning SAE opportunities (MWDS = 3.83) to be among the top SAE for All-centric professional development needs among over 140 agricultural educators. Additional training that addresses these concerns, among others, may influence educators’ confidence and perceptions related to SAE for All, and their willingness to champion it within their SBAE programs (Hainline &amp; Smalley, 2023;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These needs may also be influenced by an educator’s pre-service training (McKim &amp; Velez, 2017) or perhaps their years of experience or stage within the profession (</w:t>
      </w:r>
      <w:proofErr w:type="spellStart"/>
      <w:r>
        <w:rPr>
          <w:rFonts w:ascii="Times New Roman" w:eastAsia="Times New Roman" w:hAnsi="Times New Roman" w:cs="Times New Roman"/>
          <w:sz w:val="24"/>
          <w:szCs w:val="24"/>
        </w:rPr>
        <w:t>Figland</w:t>
      </w:r>
      <w:proofErr w:type="spellEnd"/>
      <w:r>
        <w:rPr>
          <w:rFonts w:ascii="Times New Roman" w:eastAsia="Times New Roman" w:hAnsi="Times New Roman" w:cs="Times New Roman"/>
          <w:sz w:val="24"/>
          <w:szCs w:val="24"/>
        </w:rPr>
        <w:t xml:space="preserve"> et al., 2019).</w:t>
      </w:r>
    </w:p>
    <w:p w14:paraId="47A74732" w14:textId="77777777" w:rsidR="00D032E2" w:rsidRDefault="00D032E2">
      <w:pPr>
        <w:spacing w:line="240" w:lineRule="auto"/>
        <w:rPr>
          <w:rFonts w:ascii="Times New Roman" w:eastAsia="Times New Roman" w:hAnsi="Times New Roman" w:cs="Times New Roman"/>
          <w:sz w:val="24"/>
          <w:szCs w:val="24"/>
        </w:rPr>
      </w:pPr>
    </w:p>
    <w:p w14:paraId="77632ED7"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Impact of Training and Experience on Agricultural Educators</w:t>
      </w:r>
    </w:p>
    <w:p w14:paraId="3308DA9A"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there is a shortage of literature concerning the impact of SAE for All training on teachers’ willingness to implement SAE for All in their programs—which is a critical gap in the literature this study aims to fill—there is not a shortage of literature indicating the value professional development and training can have on enhancing the knowledge and confidence of agricultural educators. Collaborative training and industry-focused experiences can increase teachers’ likelihood of implementing content or even approaches to teaching within their curriculum (Bird &amp; Rice, 2021; McKendree &amp; Washburn, 2023; Rice &amp; Kitchel, 2015; Smalley &amp; Smith, 2017). The literature recognizes training can come in multiple forms though, and training can include lived experiences of educators; these lived experiences and perceptions can then influence their desire or ability to implement or deliver content or their affinity toward specific initiatives, including SAE for All. Some of these influencing experiences may include previous jobs held by the teacher, their teacher preparation program or pathway to licensure, their own experiences as an agricultural education student, and learning gleaned from prior years of teaching experience (Rice &amp; Kitchel, 2015). Further, Guskey’s (2002) model of teacher change also supports the claim that effective professional development is the starting point to first influencing change within teachers’ classroom practices, followed by change in student learning outcomes, and eventually, change within teachers’ beliefs and attitudes. Engaging teachers in effective and meaningful professional development that addresses their concerns regarding SAE for All could ultimately encourage them to explore SAE for All within their classroom, and lead to them influence their attitudes related to this initiative that is currently receiving some apprehension from educators (Doss &amp; Rayfield, 2019; Eck &amp; Davis, 2024;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w:t>
      </w:r>
    </w:p>
    <w:p w14:paraId="75B72061" w14:textId="77777777" w:rsidR="00D032E2" w:rsidRDefault="00D032E2">
      <w:pPr>
        <w:spacing w:line="240" w:lineRule="auto"/>
        <w:rPr>
          <w:rFonts w:ascii="Times New Roman" w:eastAsia="Times New Roman" w:hAnsi="Times New Roman" w:cs="Times New Roman"/>
          <w:sz w:val="24"/>
          <w:szCs w:val="24"/>
        </w:rPr>
      </w:pPr>
    </w:p>
    <w:p w14:paraId="0D6232A9"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Need for the Study</w:t>
      </w:r>
    </w:p>
    <w:p w14:paraId="0B3E35D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has been limited research exploring factors that contribute to an educator’s decision to implement SAE for All within their SBAE programs, specifically factors connected to training and professional development. However, this study is needed to build upon and extend the existing knowledge presented in this literature review, which served as the foundation for the design of this study. While SAE for All has only been a development over the last decade (National Council for Agricultural Education, 2015), the literature suggests that there are opportunities for additional professional development and resources to address the barriers and concerns of agricultural educators. The existing literature suggests additional professional </w:t>
      </w:r>
      <w:r>
        <w:rPr>
          <w:rFonts w:ascii="Times New Roman" w:eastAsia="Times New Roman" w:hAnsi="Times New Roman" w:cs="Times New Roman"/>
          <w:sz w:val="24"/>
          <w:szCs w:val="24"/>
        </w:rPr>
        <w:lastRenderedPageBreak/>
        <w:t xml:space="preserve">development can increase teacher confidence and willingness to implement SAE for All in their programs (Hainline &amp; Smalley, 2023), and ultimately, help their students gain access to rigorous career exploration and work-based learning experiences that can address the shortages faced within the agriculture, food, and natural resources industry (Hill et al., 2021; USDA Economic Research Service, 2024). Given the value SAEs have in the lives of students (Croom, 2008), the lack of familiarity with SAE for All (Doss &amp; Rayfield, 2019;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and the impact professional development can have on educators (</w:t>
      </w:r>
      <w:proofErr w:type="spellStart"/>
      <w:r>
        <w:rPr>
          <w:rFonts w:ascii="Times New Roman" w:eastAsia="Times New Roman" w:hAnsi="Times New Roman" w:cs="Times New Roman"/>
          <w:sz w:val="24"/>
          <w:szCs w:val="24"/>
        </w:rPr>
        <w:t>Guskey</w:t>
      </w:r>
      <w:proofErr w:type="spellEnd"/>
      <w:r>
        <w:rPr>
          <w:rFonts w:ascii="Times New Roman" w:eastAsia="Times New Roman" w:hAnsi="Times New Roman" w:cs="Times New Roman"/>
          <w:sz w:val="24"/>
          <w:szCs w:val="24"/>
        </w:rPr>
        <w:t>, 2002), this study is warranted to better understand the impact of SAE for All professional development on educators.</w:t>
      </w:r>
    </w:p>
    <w:p w14:paraId="6CA36425" w14:textId="77777777" w:rsidR="00D032E2" w:rsidRDefault="00D032E2">
      <w:pPr>
        <w:spacing w:line="240" w:lineRule="auto"/>
        <w:rPr>
          <w:rFonts w:ascii="Times New Roman" w:eastAsia="Times New Roman" w:hAnsi="Times New Roman" w:cs="Times New Roman"/>
          <w:sz w:val="24"/>
          <w:szCs w:val="24"/>
        </w:rPr>
      </w:pPr>
    </w:p>
    <w:p w14:paraId="5345DBBF" w14:textId="77777777" w:rsidR="00D032E2"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Theoretical Framework</w:t>
      </w:r>
    </w:p>
    <w:p w14:paraId="3A0C156A" w14:textId="77777777" w:rsidR="00D032E2" w:rsidRDefault="00D032E2">
      <w:pPr>
        <w:spacing w:line="240" w:lineRule="auto"/>
        <w:jc w:val="center"/>
        <w:rPr>
          <w:rFonts w:ascii="Times New Roman" w:eastAsia="Times New Roman" w:hAnsi="Times New Roman" w:cs="Times New Roman"/>
          <w:b/>
          <w:bCs/>
          <w:sz w:val="24"/>
          <w:szCs w:val="24"/>
        </w:rPr>
      </w:pPr>
    </w:p>
    <w:p w14:paraId="7C9E53FA"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Ajzen’s (1991) Theory of Planned Behavior was instrumental in guiding the development of this study. According to Ajzen (1991), an individual’s attitudes, subjective norms, and perceived behavioral control contribute to their intentions to complete a specific task, and ultimately, their behavior. His theory was developed to explain and predict how individuals behave in specific situations or contexts (Ajzen, 1991). Within this study, the specific context being examined is teachers’ decision to implement the SAE for All framework within their SBAE programs. When considering the specific elements of the Theory of Planned Behavior, attitude refers to an individual’s level of belief or agreement regarding a specific behavior or idea (Ajzen, 1991). These attitudes then connect with the individual’s subjective norms, which are their evaluation of the demands or expectations other stakeholders place on them to comply with a specific behavior or idea (Ajzen, 1991). In this study, we investigated educators’ subjective norms regarding students, administrators, state staff, and community members. An individual’s perceived behavioral control examines their belief in their ability to complete a behavior (Ajzen, 1991). Figure 1 illustrates how attitudes, subjective norms, and perceived behavioral controls combine to evaluate one’s intention to work toward a specific task and act on those intentions.</w:t>
      </w:r>
    </w:p>
    <w:p w14:paraId="6108A12B" w14:textId="77777777" w:rsidR="00D032E2" w:rsidRDefault="00D032E2">
      <w:pPr>
        <w:spacing w:line="240" w:lineRule="auto"/>
        <w:rPr>
          <w:rFonts w:ascii="Times New Roman" w:eastAsia="Times New Roman" w:hAnsi="Times New Roman" w:cs="Times New Roman"/>
          <w:sz w:val="24"/>
          <w:szCs w:val="24"/>
        </w:rPr>
      </w:pPr>
    </w:p>
    <w:p w14:paraId="231BD87F"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
    <w:p w14:paraId="7E4D4CDC"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Theory of Planned Behavior (Ajzen, 1991)</w:t>
      </w:r>
    </w:p>
    <w:p w14:paraId="768A941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7FA367B" wp14:editId="7508D97B">
            <wp:extent cx="1852613" cy="102038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3205" t="20129" r="7692" b="39744"/>
                    <a:stretch>
                      <a:fillRect/>
                    </a:stretch>
                  </pic:blipFill>
                  <pic:spPr>
                    <a:xfrm>
                      <a:off x="0" y="0"/>
                      <a:ext cx="1852613" cy="1020384"/>
                    </a:xfrm>
                    <a:prstGeom prst="rect">
                      <a:avLst/>
                    </a:prstGeom>
                    <a:ln/>
                  </pic:spPr>
                </pic:pic>
              </a:graphicData>
            </a:graphic>
          </wp:inline>
        </w:drawing>
      </w:r>
    </w:p>
    <w:p w14:paraId="3D61615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methods section outlines specific items asked on the instrument and how they connect to each element of Ajzen’s (1991) theory. On the instrument, educators were asked to assess their current beliefs about the importance of SAE for All (attitudes), evaluate their beliefs of the demands and expectations they have for SAE for All implementation (subjective norms), and indicate their own beliefs and competence related to SAE for All (perceived behavioral control). Finally, they were asked to reflect on their desire to utilize SAE for All (intention).</w:t>
      </w:r>
    </w:p>
    <w:p w14:paraId="5BE159F1" w14:textId="77777777" w:rsidR="00D032E2" w:rsidRDefault="00D032E2">
      <w:pPr>
        <w:spacing w:line="240" w:lineRule="auto"/>
        <w:rPr>
          <w:rFonts w:ascii="Times New Roman" w:eastAsia="Times New Roman" w:hAnsi="Times New Roman" w:cs="Times New Roman"/>
          <w:sz w:val="24"/>
          <w:szCs w:val="24"/>
        </w:rPr>
      </w:pPr>
    </w:p>
    <w:p w14:paraId="6F4469FC" w14:textId="77777777" w:rsidR="00D032E2"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Purpose and Objectives</w:t>
      </w:r>
    </w:p>
    <w:p w14:paraId="2EA2D6EB" w14:textId="77777777" w:rsidR="00D032E2" w:rsidRDefault="00D032E2">
      <w:pPr>
        <w:spacing w:line="240" w:lineRule="auto"/>
        <w:jc w:val="center"/>
        <w:rPr>
          <w:rFonts w:ascii="Times New Roman" w:eastAsia="Times New Roman" w:hAnsi="Times New Roman" w:cs="Times New Roman"/>
          <w:b/>
          <w:bCs/>
          <w:sz w:val="24"/>
          <w:szCs w:val="24"/>
        </w:rPr>
      </w:pPr>
    </w:p>
    <w:p w14:paraId="381BBE47"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examine the implementation of SAE for All among Iowa agricultural educators before and after professional development. Objectives included:</w:t>
      </w:r>
    </w:p>
    <w:p w14:paraId="1B5F7985" w14:textId="77777777" w:rsidR="00D032E2"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measure agricultural educators’ self-reported implementation of SAE for All after attending a statewide professional development.</w:t>
      </w:r>
    </w:p>
    <w:p w14:paraId="38C5A0FC" w14:textId="77777777" w:rsidR="00D032E2"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compare agricultural </w:t>
      </w:r>
      <w:proofErr w:type="gramStart"/>
      <w:r>
        <w:rPr>
          <w:rFonts w:ascii="Times New Roman" w:eastAsia="Times New Roman" w:hAnsi="Times New Roman" w:cs="Times New Roman"/>
          <w:sz w:val="24"/>
          <w:szCs w:val="24"/>
        </w:rPr>
        <w:t>educators’</w:t>
      </w:r>
      <w:proofErr w:type="gramEnd"/>
      <w:r>
        <w:rPr>
          <w:rFonts w:ascii="Times New Roman" w:eastAsia="Times New Roman" w:hAnsi="Times New Roman" w:cs="Times New Roman"/>
          <w:sz w:val="24"/>
          <w:szCs w:val="24"/>
        </w:rPr>
        <w:t xml:space="preserve"> perceived barriers to SAE for All implementation before and after attending a statewide professional development.</w:t>
      </w:r>
    </w:p>
    <w:p w14:paraId="10BDA9D5" w14:textId="77777777" w:rsidR="00D032E2" w:rsidRDefault="00000000">
      <w:pPr>
        <w:numPr>
          <w:ilvl w:val="0"/>
          <w:numId w:val="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how agricultural educators’ level of prior teaching experience and other factors explain the level of their implementation of SAE for All.</w:t>
      </w:r>
    </w:p>
    <w:p w14:paraId="57291264" w14:textId="77777777" w:rsidR="00D032E2" w:rsidRDefault="00D032E2">
      <w:pPr>
        <w:spacing w:line="240" w:lineRule="auto"/>
        <w:rPr>
          <w:rFonts w:ascii="Times New Roman" w:eastAsia="Times New Roman" w:hAnsi="Times New Roman" w:cs="Times New Roman"/>
          <w:sz w:val="24"/>
          <w:szCs w:val="24"/>
        </w:rPr>
      </w:pPr>
    </w:p>
    <w:p w14:paraId="5DB3612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Methods</w:t>
      </w:r>
    </w:p>
    <w:p w14:paraId="45A2819D" w14:textId="77777777" w:rsidR="00D032E2" w:rsidRDefault="00D032E2">
      <w:pPr>
        <w:spacing w:line="240" w:lineRule="auto"/>
        <w:rPr>
          <w:rFonts w:ascii="Times New Roman" w:eastAsia="Times New Roman" w:hAnsi="Times New Roman" w:cs="Times New Roman"/>
          <w:sz w:val="24"/>
          <w:szCs w:val="24"/>
        </w:rPr>
      </w:pPr>
    </w:p>
    <w:p w14:paraId="06532E38"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quantitative approach guided the development and implementation of this study. The methods section provides an overview of the data source, a description of the dependent and independent variables measured, a discussion of the analytic techniques and diagnostics employed in the study, and a discussion of the key limitations that future work should address. The chosen methods are supported by best practices identified within the field and within the literature.</w:t>
      </w:r>
    </w:p>
    <w:p w14:paraId="4020C714" w14:textId="77777777" w:rsidR="00D032E2" w:rsidRDefault="00D032E2">
      <w:pPr>
        <w:spacing w:line="240" w:lineRule="auto"/>
        <w:rPr>
          <w:rFonts w:ascii="Times New Roman" w:eastAsia="Times New Roman" w:hAnsi="Times New Roman" w:cs="Times New Roman"/>
          <w:sz w:val="24"/>
          <w:szCs w:val="24"/>
        </w:rPr>
      </w:pPr>
    </w:p>
    <w:p w14:paraId="44820E9A"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Source and Instrumentation</w:t>
      </w:r>
    </w:p>
    <w:p w14:paraId="4C76F699"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Data were collected via an IRB-approved instrument, distributed to agricultural educators attending the annual Iowa Association of Agricultural Educators Winter Conference in January 2025. Agricultural educators attending the conference were invited to participate in an instrument prior to the SAE for All training, as well as a follow-up instrument four months after attending the training. Recruitment of respondents occurred via email. This study design closely aligns with the purpose and theoretical framework, as it enables us to evaluate changes in self-reported implementation following participation in the training (Ajzen, 1991). All educators provided their consent to participate using an informed consent form.</w:t>
      </w:r>
    </w:p>
    <w:p w14:paraId="0ADF1E75" w14:textId="77777777" w:rsidR="00D032E2" w:rsidRDefault="00D032E2">
      <w:pPr>
        <w:spacing w:line="240" w:lineRule="auto"/>
        <w:rPr>
          <w:rFonts w:ascii="Times New Roman" w:eastAsia="Times New Roman" w:hAnsi="Times New Roman" w:cs="Times New Roman"/>
          <w:sz w:val="24"/>
          <w:szCs w:val="24"/>
        </w:rPr>
      </w:pPr>
    </w:p>
    <w:p w14:paraId="2CA01DE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instrument was strategically designed to align with the theoretical framework (Ajzen, 1991) and objectives of the study. Six experts not directly involved with the study, who have several years’ worth of experience in agricultural education, quantitative research design, and SAE for All, were asked to review the instrument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evaluate for both content validity and face validity (Thyer, 2010). After receiving their feedback, the recommended adjustments were made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its validity. Furthermore, the revised instrument was field-tested with 15 individuals not participating in the study; each scale received a Cronbach’s alpha coefficient of between 0.71 and 0.93, and the overall instrument achieved a coefficient of 0.81, which surpasses Nunnally’s (1978) recommendations. The instrument consisted of 47 items, including demographic, multiple-choice, and Likert-type scale items. Table 1 outlines a sampling of questions and their alignment to the framework.</w:t>
      </w:r>
    </w:p>
    <w:p w14:paraId="15A932D8" w14:textId="77777777" w:rsidR="00D032E2" w:rsidRDefault="00D032E2">
      <w:pPr>
        <w:spacing w:line="240" w:lineRule="auto"/>
        <w:rPr>
          <w:rFonts w:ascii="Times New Roman" w:eastAsia="Times New Roman" w:hAnsi="Times New Roman" w:cs="Times New Roman"/>
          <w:sz w:val="24"/>
          <w:szCs w:val="24"/>
        </w:rPr>
      </w:pPr>
    </w:p>
    <w:p w14:paraId="171033DB"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w:t>
      </w:r>
    </w:p>
    <w:p w14:paraId="63A2128D"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Sample Items and Their Alignment to the Theory of Planned Behavior (Ajzen, 1991)</w:t>
      </w:r>
    </w:p>
    <w:tbl>
      <w:tblPr>
        <w:tblStyle w:val="a"/>
        <w:tblW w:w="89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855"/>
        <w:gridCol w:w="2130"/>
      </w:tblGrid>
      <w:tr w:rsidR="00D032E2" w14:paraId="5818C16A" w14:textId="77777777">
        <w:trPr>
          <w:trHeight w:val="275"/>
        </w:trPr>
        <w:tc>
          <w:tcPr>
            <w:tcW w:w="6855" w:type="dxa"/>
            <w:tcBorders>
              <w:top w:val="single" w:sz="6" w:space="0" w:color="000000"/>
              <w:bottom w:val="single" w:sz="8" w:space="0" w:color="000000"/>
            </w:tcBorders>
            <w:tcMar>
              <w:top w:w="0" w:type="dxa"/>
              <w:bottom w:w="0" w:type="dxa"/>
            </w:tcMar>
            <w:vAlign w:val="center"/>
          </w:tcPr>
          <w:p w14:paraId="5BAE9BB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213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5497A16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Theory Component</w:t>
            </w:r>
          </w:p>
        </w:tc>
      </w:tr>
      <w:tr w:rsidR="00D032E2" w14:paraId="5127D290" w14:textId="77777777">
        <w:trPr>
          <w:trHeight w:val="275"/>
        </w:trPr>
        <w:tc>
          <w:tcPr>
            <w:tcW w:w="6855" w:type="dxa"/>
            <w:tcBorders>
              <w:top w:val="single" w:sz="8" w:space="0" w:color="000000"/>
              <w:left w:val="nil"/>
              <w:bottom w:val="nil"/>
              <w:right w:val="nil"/>
            </w:tcBorders>
            <w:tcMar>
              <w:top w:w="0" w:type="dxa"/>
              <w:left w:w="100" w:type="dxa"/>
              <w:bottom w:w="0" w:type="dxa"/>
              <w:right w:w="100" w:type="dxa"/>
            </w:tcMar>
            <w:vAlign w:val="center"/>
          </w:tcPr>
          <w:p w14:paraId="48C0F226"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State staff expect me to implement SAE for All in my program.</w:t>
            </w:r>
          </w:p>
        </w:tc>
        <w:tc>
          <w:tcPr>
            <w:tcW w:w="2130" w:type="dxa"/>
            <w:tcBorders>
              <w:top w:val="nil"/>
              <w:left w:val="nil"/>
              <w:bottom w:val="nil"/>
              <w:right w:val="nil"/>
            </w:tcBorders>
            <w:tcMar>
              <w:top w:w="0" w:type="dxa"/>
              <w:left w:w="100" w:type="dxa"/>
              <w:bottom w:w="0" w:type="dxa"/>
              <w:right w:w="100" w:type="dxa"/>
            </w:tcMar>
            <w:vAlign w:val="center"/>
          </w:tcPr>
          <w:p w14:paraId="2D16723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Subjective Norms</w:t>
            </w:r>
          </w:p>
        </w:tc>
      </w:tr>
      <w:tr w:rsidR="00D032E2" w14:paraId="47390A6E" w14:textId="77777777">
        <w:trPr>
          <w:trHeight w:val="275"/>
        </w:trPr>
        <w:tc>
          <w:tcPr>
            <w:tcW w:w="6855" w:type="dxa"/>
            <w:tcBorders>
              <w:top w:val="nil"/>
              <w:left w:val="nil"/>
              <w:bottom w:val="nil"/>
              <w:right w:val="nil"/>
            </w:tcBorders>
            <w:tcMar>
              <w:top w:w="0" w:type="dxa"/>
              <w:left w:w="100" w:type="dxa"/>
              <w:bottom w:w="0" w:type="dxa"/>
              <w:right w:w="100" w:type="dxa"/>
            </w:tcMar>
            <w:vAlign w:val="center"/>
          </w:tcPr>
          <w:p w14:paraId="7FC5B573"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have the knowledge to implement SAE for All in my program.</w:t>
            </w:r>
          </w:p>
        </w:tc>
        <w:tc>
          <w:tcPr>
            <w:tcW w:w="2130" w:type="dxa"/>
            <w:tcBorders>
              <w:top w:val="nil"/>
              <w:left w:val="nil"/>
              <w:bottom w:val="nil"/>
              <w:right w:val="nil"/>
            </w:tcBorders>
            <w:tcMar>
              <w:top w:w="0" w:type="dxa"/>
              <w:left w:w="100" w:type="dxa"/>
              <w:bottom w:w="0" w:type="dxa"/>
              <w:right w:w="100" w:type="dxa"/>
            </w:tcMar>
            <w:vAlign w:val="center"/>
          </w:tcPr>
          <w:p w14:paraId="5ECF067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Attitudes</w:t>
            </w:r>
          </w:p>
        </w:tc>
      </w:tr>
      <w:tr w:rsidR="00D032E2" w14:paraId="3DC4AC8E" w14:textId="77777777">
        <w:trPr>
          <w:trHeight w:val="275"/>
        </w:trPr>
        <w:tc>
          <w:tcPr>
            <w:tcW w:w="6855" w:type="dxa"/>
            <w:tcBorders>
              <w:top w:val="nil"/>
              <w:left w:val="nil"/>
              <w:bottom w:val="nil"/>
              <w:right w:val="nil"/>
            </w:tcBorders>
            <w:tcMar>
              <w:top w:w="0" w:type="dxa"/>
              <w:left w:w="100" w:type="dxa"/>
              <w:bottom w:w="0" w:type="dxa"/>
              <w:right w:w="100" w:type="dxa"/>
            </w:tcMar>
            <w:vAlign w:val="center"/>
          </w:tcPr>
          <w:p w14:paraId="7252050F" w14:textId="77777777" w:rsidR="00D032E2" w:rsidRDefault="00000000">
            <w:pPr>
              <w:spacing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From a teacher’s perspective, what do you anticipate the most significant barriers will be in implementing SAE for All? Select all that apply.</w:t>
            </w:r>
          </w:p>
        </w:tc>
        <w:tc>
          <w:tcPr>
            <w:tcW w:w="2130" w:type="dxa"/>
            <w:tcBorders>
              <w:top w:val="nil"/>
              <w:left w:val="nil"/>
              <w:bottom w:val="nil"/>
              <w:right w:val="nil"/>
            </w:tcBorders>
            <w:tcMar>
              <w:top w:w="0" w:type="dxa"/>
              <w:left w:w="100" w:type="dxa"/>
              <w:bottom w:w="0" w:type="dxa"/>
              <w:right w:w="100" w:type="dxa"/>
            </w:tcMar>
            <w:vAlign w:val="center"/>
          </w:tcPr>
          <w:p w14:paraId="4F990E4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Attitudes</w:t>
            </w:r>
          </w:p>
        </w:tc>
      </w:tr>
      <w:tr w:rsidR="00D032E2" w14:paraId="718F7C6E" w14:textId="77777777">
        <w:trPr>
          <w:trHeight w:val="275"/>
        </w:trPr>
        <w:tc>
          <w:tcPr>
            <w:tcW w:w="6855" w:type="dxa"/>
            <w:tcBorders>
              <w:top w:val="nil"/>
              <w:left w:val="nil"/>
              <w:bottom w:val="single" w:sz="8" w:space="0" w:color="000000"/>
              <w:right w:val="nil"/>
            </w:tcBorders>
            <w:tcMar>
              <w:top w:w="0" w:type="dxa"/>
              <w:left w:w="100" w:type="dxa"/>
              <w:bottom w:w="0" w:type="dxa"/>
              <w:right w:w="100" w:type="dxa"/>
            </w:tcMar>
            <w:vAlign w:val="center"/>
          </w:tcPr>
          <w:p w14:paraId="3D1C8E5D"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intend to implement SAE for All in my program.</w:t>
            </w:r>
          </w:p>
        </w:tc>
        <w:tc>
          <w:tcPr>
            <w:tcW w:w="2130" w:type="dxa"/>
            <w:tcBorders>
              <w:top w:val="nil"/>
              <w:left w:val="nil"/>
              <w:bottom w:val="single" w:sz="8" w:space="0" w:color="000000"/>
              <w:right w:val="nil"/>
            </w:tcBorders>
            <w:tcMar>
              <w:top w:w="0" w:type="dxa"/>
              <w:left w:w="100" w:type="dxa"/>
              <w:bottom w:w="0" w:type="dxa"/>
              <w:right w:w="100" w:type="dxa"/>
            </w:tcMar>
            <w:vAlign w:val="center"/>
          </w:tcPr>
          <w:p w14:paraId="0B8E6A4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Intention</w:t>
            </w:r>
          </w:p>
        </w:tc>
      </w:tr>
    </w:tbl>
    <w:p w14:paraId="28A57DFA"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Population and Sample</w:t>
      </w:r>
    </w:p>
    <w:p w14:paraId="6FDE9697"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sample of 173 agricultural educators who participated in the study and attended the 2025 Iowa winter conference is a subset of the 319 agricultural educators. Educators participating in the study offered anywhere from 1 to over 30 years of teaching experience (</w:t>
      </w:r>
      <w:r>
        <w:rPr>
          <w:rFonts w:ascii="Times New Roman" w:eastAsia="Times New Roman" w:hAnsi="Times New Roman" w:cs="Times New Roman"/>
          <w:i/>
          <w:iCs/>
          <w:sz w:val="24"/>
          <w:szCs w:val="24"/>
        </w:rPr>
        <w:t>x̄</w:t>
      </w:r>
      <w:r>
        <w:rPr>
          <w:rFonts w:ascii="Times New Roman" w:eastAsia="Times New Roman" w:hAnsi="Times New Roman" w:cs="Times New Roman"/>
          <w:sz w:val="24"/>
          <w:szCs w:val="24"/>
        </w:rPr>
        <w:t xml:space="preserve"> = 8.58; </w:t>
      </w:r>
      <w:r>
        <w:rPr>
          <w:rFonts w:ascii="Times New Roman" w:eastAsia="Times New Roman" w:hAnsi="Times New Roman" w:cs="Times New Roman"/>
          <w:i/>
          <w:iCs/>
          <w:sz w:val="24"/>
          <w:szCs w:val="24"/>
        </w:rPr>
        <w:t>σ</w:t>
      </w:r>
      <w:r>
        <w:rPr>
          <w:rFonts w:ascii="Times New Roman" w:eastAsia="Times New Roman" w:hAnsi="Times New Roman" w:cs="Times New Roman"/>
          <w:sz w:val="24"/>
          <w:szCs w:val="24"/>
        </w:rPr>
        <w:t xml:space="preserve"> = 7.47) and reported a range of comfort levels and experiences related to SAE and their own level of SAE for All implementation. Of the 173 participants, 128 were females (74.0%), and 45 were males (26.0%). A chi-squared test was conducted to examine the differences between the sample and population in terms of gender, X</w:t>
      </w:r>
      <w:proofErr w:type="gramStart"/>
      <w:r>
        <w:rPr>
          <w:rFonts w:ascii="Times New Roman" w:eastAsia="Times New Roman" w:hAnsi="Times New Roman" w:cs="Times New Roman"/>
          <w:sz w:val="24"/>
          <w:szCs w:val="24"/>
        </w:rPr>
        <w:t>²(</w:t>
      </w:r>
      <w:proofErr w:type="gramEnd"/>
      <w:r>
        <w:rPr>
          <w:rFonts w:ascii="Times New Roman" w:eastAsia="Times New Roman" w:hAnsi="Times New Roman" w:cs="Times New Roman"/>
          <w:sz w:val="24"/>
          <w:szCs w:val="24"/>
        </w:rPr>
        <w:t xml:space="preserve">1, N = 172) = 4.85,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0.05 (Frankfort-Nachmias et al., 2021). Although significant, the proportional distribution of gender in the sample was closely aligned with that of the population. Having a sample that closely reflects the population of interest is a crucial aspect of conducting a well-designed study (Johnson &amp; Shoulders, 2019).</w:t>
      </w:r>
    </w:p>
    <w:p w14:paraId="49441697" w14:textId="77777777" w:rsidR="00D032E2" w:rsidRDefault="00D032E2">
      <w:pPr>
        <w:spacing w:line="240" w:lineRule="auto"/>
        <w:rPr>
          <w:rFonts w:ascii="Times New Roman" w:eastAsia="Times New Roman" w:hAnsi="Times New Roman" w:cs="Times New Roman"/>
          <w:sz w:val="24"/>
          <w:szCs w:val="24"/>
        </w:rPr>
      </w:pPr>
    </w:p>
    <w:p w14:paraId="542382BC"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Data Analysis</w:t>
      </w:r>
    </w:p>
    <w:p w14:paraId="715B4501"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data were analyzed using various statistical methods. Descriptive statistics were used to describe the participants and identify the perceived barriers they faced. Respondents were not required to answer every item, and responses of pre- to post-instrument submissions were linked prior to being de-identified to allow for paired samples </w:t>
      </w:r>
      <w:r>
        <w:rPr>
          <w:rFonts w:ascii="Times New Roman" w:eastAsia="Times New Roman" w:hAnsi="Times New Roman" w:cs="Times New Roman"/>
          <w:i/>
          <w:iCs/>
          <w:sz w:val="24"/>
          <w:szCs w:val="24"/>
        </w:rPr>
        <w:t>t</w:t>
      </w:r>
      <w:r>
        <w:rPr>
          <w:rFonts w:ascii="Times New Roman" w:eastAsia="Times New Roman" w:hAnsi="Times New Roman" w:cs="Times New Roman"/>
          <w:sz w:val="24"/>
          <w:szCs w:val="24"/>
        </w:rPr>
        <w:t xml:space="preserve">-tests. A paired samples </w:t>
      </w:r>
      <w:r>
        <w:rPr>
          <w:rFonts w:ascii="Times New Roman" w:eastAsia="Times New Roman" w:hAnsi="Times New Roman" w:cs="Times New Roman"/>
          <w:i/>
          <w:iCs/>
          <w:sz w:val="24"/>
          <w:szCs w:val="24"/>
        </w:rPr>
        <w:t>t</w:t>
      </w:r>
      <w:r>
        <w:rPr>
          <w:rFonts w:ascii="Times New Roman" w:eastAsia="Times New Roman" w:hAnsi="Times New Roman" w:cs="Times New Roman"/>
          <w:sz w:val="24"/>
          <w:szCs w:val="24"/>
        </w:rPr>
        <w:t>-test was conducted on one item to examine teachers’ decisions to implement SAE for All before and after attending the training. Of those who addressed this question on the pre-training instrument, 85 of the respondents also answered it on the post-training instrument, resulting in 85 matched responses used for paired analyses. Multiple regression was the primary method used to fulfill objective 3; these procedures are described in greater detail in the following paragraphs.</w:t>
      </w:r>
    </w:p>
    <w:p w14:paraId="557327FB" w14:textId="77777777" w:rsidR="00D032E2" w:rsidRDefault="00D032E2">
      <w:pPr>
        <w:spacing w:line="240" w:lineRule="auto"/>
        <w:rPr>
          <w:rFonts w:ascii="Times New Roman" w:eastAsia="Times New Roman" w:hAnsi="Times New Roman" w:cs="Times New Roman"/>
          <w:sz w:val="24"/>
          <w:szCs w:val="24"/>
        </w:rPr>
      </w:pPr>
    </w:p>
    <w:p w14:paraId="3DD1A253" w14:textId="77777777" w:rsidR="00D032E2"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Dependent Variables</w:t>
      </w:r>
    </w:p>
    <w:p w14:paraId="2E4D1156"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regression studies, predicted values of the dependent variable are estimated based on the value of one or more independent variables. The dependent variable of interest for this study was an educator’s implementation of SAE for All. The level of implementation was reported on a scale from one to five, where educators indicated the degree to which they implemented SAE for All within their programs. This dependent variable was selected because implementation of SAE for All has been associated with some of the independent variables and predictors examined within this study, including years of teaching experience (</w:t>
      </w:r>
      <w:proofErr w:type="spellStart"/>
      <w:r>
        <w:rPr>
          <w:rFonts w:ascii="Times New Roman" w:eastAsia="Times New Roman" w:hAnsi="Times New Roman" w:cs="Times New Roman"/>
          <w:sz w:val="24"/>
          <w:szCs w:val="24"/>
        </w:rPr>
        <w:t>Figland</w:t>
      </w:r>
      <w:proofErr w:type="spellEnd"/>
      <w:r>
        <w:rPr>
          <w:rFonts w:ascii="Times New Roman" w:eastAsia="Times New Roman" w:hAnsi="Times New Roman" w:cs="Times New Roman"/>
          <w:sz w:val="24"/>
          <w:szCs w:val="24"/>
        </w:rPr>
        <w:t xml:space="preserve"> et al., 2019).</w:t>
      </w:r>
    </w:p>
    <w:p w14:paraId="5D9ED925" w14:textId="77777777" w:rsidR="00D032E2" w:rsidRDefault="00D032E2">
      <w:pPr>
        <w:spacing w:line="240" w:lineRule="auto"/>
        <w:rPr>
          <w:rFonts w:ascii="Times New Roman" w:eastAsia="Times New Roman" w:hAnsi="Times New Roman" w:cs="Times New Roman"/>
          <w:sz w:val="24"/>
          <w:szCs w:val="24"/>
        </w:rPr>
      </w:pPr>
    </w:p>
    <w:p w14:paraId="31FD5688" w14:textId="77777777" w:rsidR="00D032E2"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Independent Variables</w:t>
      </w:r>
    </w:p>
    <w:p w14:paraId="5EED5D1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Several predictor, independent variables of interest were utilized in the study </w:t>
      </w:r>
      <w:proofErr w:type="gramStart"/>
      <w:r>
        <w:rPr>
          <w:rFonts w:ascii="Times New Roman" w:eastAsia="Times New Roman" w:hAnsi="Times New Roman" w:cs="Times New Roman"/>
          <w:sz w:val="24"/>
          <w:szCs w:val="24"/>
        </w:rPr>
        <w:t>in an effort to</w:t>
      </w:r>
      <w:proofErr w:type="gramEnd"/>
      <w:r>
        <w:rPr>
          <w:rFonts w:ascii="Times New Roman" w:eastAsia="Times New Roman" w:hAnsi="Times New Roman" w:cs="Times New Roman"/>
          <w:sz w:val="24"/>
          <w:szCs w:val="24"/>
        </w:rPr>
        <w:t xml:space="preserve"> predict the study’s dependent variables. In alignment with the theoretical framework (Ajzen, 1991) some of the key independent variables that were of interest included: (a) educators’ years of teaching experience, (b) educators’ attitudes related to SAE for All, including their perceived value of SAE for All, their ability to see connections of SAE for All within FFA and classroom applications, their level of SAE background knowledge, (c) educators’ subjective norms to implement SAE for All in regard to the perceived expectations of state staff, administration, community members, advisory committee, parents, and students, (d) educators’ perceived behavioral control related to their confidence in finding SAE for All resources and implementing SAE for All, and (e) their inclusion of SAE as a graded or non-graded component in classes.</w:t>
      </w:r>
    </w:p>
    <w:p w14:paraId="5318682F" w14:textId="77777777" w:rsidR="00D032E2" w:rsidRDefault="00D032E2">
      <w:pPr>
        <w:spacing w:line="240" w:lineRule="auto"/>
        <w:rPr>
          <w:rFonts w:ascii="Times New Roman" w:eastAsia="Times New Roman" w:hAnsi="Times New Roman" w:cs="Times New Roman"/>
          <w:sz w:val="24"/>
          <w:szCs w:val="24"/>
        </w:rPr>
      </w:pPr>
    </w:p>
    <w:p w14:paraId="6A61BB7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Items evaluating educators’ current attitudes, subjective norms, and perceived behavioral control have a clear and direct connection to the theoretical framework (Ajzen, 1991). Further, we </w:t>
      </w:r>
      <w:r>
        <w:rPr>
          <w:rFonts w:ascii="Times New Roman" w:eastAsia="Times New Roman" w:hAnsi="Times New Roman" w:cs="Times New Roman"/>
          <w:sz w:val="24"/>
          <w:szCs w:val="24"/>
        </w:rPr>
        <w:lastRenderedPageBreak/>
        <w:t xml:space="preserve">deemed the other independent variables as important to include based on feedback given by the expert panel (Thyer, 2010) and the ongoing discussion in the literature surrounding the practice of grading SAE (Lewis et al., 2012;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Rubenstein &amp; Thoron, 2015).</w:t>
      </w:r>
    </w:p>
    <w:p w14:paraId="42610597" w14:textId="77777777" w:rsidR="00D032E2" w:rsidRDefault="00D032E2">
      <w:pPr>
        <w:spacing w:line="240" w:lineRule="auto"/>
        <w:rPr>
          <w:rFonts w:ascii="Times New Roman" w:eastAsia="Times New Roman" w:hAnsi="Times New Roman" w:cs="Times New Roman"/>
          <w:sz w:val="24"/>
          <w:szCs w:val="24"/>
        </w:rPr>
      </w:pPr>
    </w:p>
    <w:p w14:paraId="1F205164"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Each of the independent variables was measurable and reported in a form conducive to multiple regression. Years of experience were reported on a continuous scale. The remaining independent variables were measured via a measurable, continuous scale using Likert-type scale items, where 1 indicated “strongly disagree,” and 5 indicated “strongly agree.” Since the scale exceeded four points and the dependent variable was treated as a continuous variable, this decision is consistent with what is considered common practice in educational research (Norman, 2010). The same one to five scale was used for all Likert-type scale items found throughout the instrument.</w:t>
      </w:r>
    </w:p>
    <w:p w14:paraId="35DF3382" w14:textId="77777777" w:rsidR="00D032E2" w:rsidRDefault="00D032E2">
      <w:pPr>
        <w:spacing w:line="240" w:lineRule="auto"/>
        <w:rPr>
          <w:rFonts w:ascii="Times New Roman" w:eastAsia="Times New Roman" w:hAnsi="Times New Roman" w:cs="Times New Roman"/>
          <w:sz w:val="24"/>
          <w:szCs w:val="24"/>
        </w:rPr>
      </w:pPr>
    </w:p>
    <w:p w14:paraId="4EC7D55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Constructs were developed in alignment with the framework (Ajzen, 1991), utilizing several Likert-type scale items. The calculated constructs included: (a) subjective norms, (b) attitudes, and (c) perceived behavioral control. The totals of items connected to a specific area of the framework were averaged and assessed as a single construct. For example, the five instrument items connected to “attitudes” were averaged and reported as a construct.</w:t>
      </w:r>
    </w:p>
    <w:p w14:paraId="634F957C" w14:textId="77777777" w:rsidR="00D032E2" w:rsidRDefault="00D032E2">
      <w:pPr>
        <w:spacing w:line="240" w:lineRule="auto"/>
        <w:rPr>
          <w:rFonts w:ascii="Times New Roman" w:eastAsia="Times New Roman" w:hAnsi="Times New Roman" w:cs="Times New Roman"/>
          <w:sz w:val="24"/>
          <w:szCs w:val="24"/>
        </w:rPr>
      </w:pPr>
    </w:p>
    <w:p w14:paraId="7F26A90F" w14:textId="77777777" w:rsidR="00D032E2" w:rsidRDefault="00000000">
      <w:pPr>
        <w:spacing w:line="24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Analytic Techniques and Diagnostics</w:t>
      </w:r>
    </w:p>
    <w:p w14:paraId="09309DB0"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 and post-instrument responses were linked using ID codes (Creswell &amp; Creswell, 2018). The de-identified data were analyzed using Stata, utilizing this regression formula:</w:t>
      </w:r>
    </w:p>
    <w:p w14:paraId="291E185E" w14:textId="77777777" w:rsidR="00D032E2" w:rsidRDefault="00D032E2">
      <w:pPr>
        <w:spacing w:line="240" w:lineRule="auto"/>
        <w:rPr>
          <w:rFonts w:ascii="Times New Roman" w:eastAsia="Times New Roman" w:hAnsi="Times New Roman" w:cs="Times New Roman"/>
          <w:sz w:val="12"/>
          <w:szCs w:val="12"/>
        </w:rPr>
      </w:pPr>
    </w:p>
    <w:p w14:paraId="0299A72B"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Level of Implementation = 𝑏0 + 𝑏1(Years of Teaching Experience) + 𝑏2(Attitudes) + 𝑏3(Subjective Norms) + 𝑏4(Perceived Behavioral Control) + 𝑏5(Grading Practices)</w:t>
      </w:r>
    </w:p>
    <w:p w14:paraId="5BAEC801" w14:textId="77777777" w:rsidR="00D032E2" w:rsidRDefault="00D032E2">
      <w:pPr>
        <w:spacing w:line="240" w:lineRule="auto"/>
        <w:rPr>
          <w:rFonts w:ascii="Times New Roman" w:eastAsia="Times New Roman" w:hAnsi="Times New Roman" w:cs="Times New Roman"/>
          <w:sz w:val="12"/>
          <w:szCs w:val="12"/>
        </w:rPr>
      </w:pPr>
    </w:p>
    <w:p w14:paraId="5B3BAEB9"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Most of the equation variables were continuous; the only categorical independent variable was grading practices. For this variable, we utilized “yes” as the reference category. It was essential to first ensure that the dependent variable was measured on a continuous scale; data not measured on a continuous scale were excluded from the multiple regression and reported as descriptive statistics. A linear association between the independent variables and the dependent variable was examined using a scatter plot. Further, multicollinearity was examined using a correlation matrix; any high variance inflation factors (VIFs) were dropped from the model (</w:t>
      </w:r>
      <w:proofErr w:type="spellStart"/>
      <w:r>
        <w:rPr>
          <w:rFonts w:ascii="Times New Roman" w:eastAsia="Times New Roman" w:hAnsi="Times New Roman" w:cs="Times New Roman"/>
          <w:sz w:val="24"/>
          <w:szCs w:val="24"/>
        </w:rPr>
        <w:t>Mehmetoglu</w:t>
      </w:r>
      <w:proofErr w:type="spellEnd"/>
      <w:r>
        <w:rPr>
          <w:rFonts w:ascii="Times New Roman" w:eastAsia="Times New Roman" w:hAnsi="Times New Roman" w:cs="Times New Roman"/>
          <w:sz w:val="24"/>
          <w:szCs w:val="24"/>
        </w:rPr>
        <w:t xml:space="preserve"> &amp; Jakobsen, 2022). Establishing content and face validity was crucial in ensuring that the instrument consistently measured the intended variables (Creswell &amp; Creswell, 2018). To achieve this assumption, feedback was solicited from an expert panel, and revisions were made to ensure the items addressed the research objectives and were grounded in theory. Independence of residuals and observations was ensured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a Durbin-Watson test. Further, residuals were examined for their normal distribution. Finally, measures to ensure homoscedasticity were taken, ensuring there were no patterns in residual plots. Homoscedasticity was evaluated using an inspection of a visual plot, followed by a test for heteroskedasticity.</w:t>
      </w:r>
    </w:p>
    <w:p w14:paraId="1BAAD051" w14:textId="77777777" w:rsidR="00D032E2" w:rsidRDefault="00D032E2">
      <w:pPr>
        <w:spacing w:line="240" w:lineRule="auto"/>
        <w:rPr>
          <w:rFonts w:ascii="Times New Roman" w:eastAsia="Times New Roman" w:hAnsi="Times New Roman" w:cs="Times New Roman"/>
          <w:sz w:val="24"/>
          <w:szCs w:val="24"/>
        </w:rPr>
      </w:pPr>
    </w:p>
    <w:p w14:paraId="0306767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Results</w:t>
      </w:r>
    </w:p>
    <w:p w14:paraId="29FC62B1" w14:textId="77777777" w:rsidR="00D032E2" w:rsidRDefault="00D032E2">
      <w:pPr>
        <w:spacing w:line="240" w:lineRule="auto"/>
        <w:rPr>
          <w:rFonts w:ascii="Times New Roman" w:eastAsia="Times New Roman" w:hAnsi="Times New Roman" w:cs="Times New Roman"/>
          <w:sz w:val="24"/>
          <w:szCs w:val="24"/>
        </w:rPr>
      </w:pPr>
    </w:p>
    <w:p w14:paraId="5262EC81"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173 Iowa agricultural educators participated in the study, despite some not completing the entirety of the instrument, and some attrition between the pre- and post-instruments. We achieved a balance in terms of years of experience and gender, and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educators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97; 67.8%) reported participating in other SAE for All training previously (see Table 2).</w:t>
      </w:r>
    </w:p>
    <w:p w14:paraId="3817F74B"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Table 2</w:t>
      </w:r>
    </w:p>
    <w:p w14:paraId="0A76B757"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Demographics of SAE for All Study Respondents</w:t>
      </w:r>
    </w:p>
    <w:tbl>
      <w:tblPr>
        <w:tblStyle w:val="a0"/>
        <w:tblW w:w="67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90"/>
        <w:gridCol w:w="810"/>
        <w:gridCol w:w="705"/>
        <w:gridCol w:w="765"/>
        <w:gridCol w:w="1110"/>
      </w:tblGrid>
      <w:tr w:rsidR="00D032E2" w14:paraId="459D7541" w14:textId="77777777">
        <w:trPr>
          <w:trHeight w:val="150"/>
        </w:trPr>
        <w:tc>
          <w:tcPr>
            <w:tcW w:w="3390" w:type="dxa"/>
            <w:tcBorders>
              <w:top w:val="single" w:sz="6" w:space="0" w:color="000000"/>
              <w:bottom w:val="single" w:sz="8" w:space="0" w:color="000000"/>
            </w:tcBorders>
            <w:tcMar>
              <w:top w:w="0" w:type="dxa"/>
              <w:bottom w:w="0" w:type="dxa"/>
            </w:tcMar>
            <w:vAlign w:val="center"/>
          </w:tcPr>
          <w:p w14:paraId="076435D6" w14:textId="77777777" w:rsidR="00D032E2" w:rsidRDefault="00D032E2">
            <w:pPr>
              <w:spacing w:line="240" w:lineRule="auto"/>
              <w:jc w:val="center"/>
              <w:rPr>
                <w:rFonts w:ascii="Times New Roman" w:eastAsia="Times New Roman" w:hAnsi="Times New Roman" w:cs="Times New Roman"/>
                <w:sz w:val="24"/>
                <w:szCs w:val="24"/>
              </w:rPr>
            </w:pPr>
          </w:p>
        </w:tc>
        <w:tc>
          <w:tcPr>
            <w:tcW w:w="81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A72132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x̄</w:t>
            </w:r>
          </w:p>
        </w:tc>
        <w:tc>
          <w:tcPr>
            <w:tcW w:w="70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556ADA4"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σ</w:t>
            </w:r>
          </w:p>
        </w:tc>
        <w:tc>
          <w:tcPr>
            <w:tcW w:w="76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95055EE"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n</w:t>
            </w:r>
          </w:p>
        </w:tc>
        <w:tc>
          <w:tcPr>
            <w:tcW w:w="111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9FD4DC6"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t>
            </w:r>
          </w:p>
        </w:tc>
      </w:tr>
      <w:tr w:rsidR="00D032E2" w14:paraId="26888FC3" w14:textId="77777777">
        <w:tc>
          <w:tcPr>
            <w:tcW w:w="3390" w:type="dxa"/>
            <w:tcBorders>
              <w:top w:val="nil"/>
              <w:left w:val="nil"/>
              <w:bottom w:val="nil"/>
              <w:right w:val="nil"/>
            </w:tcBorders>
            <w:tcMar>
              <w:top w:w="0" w:type="dxa"/>
              <w:left w:w="100" w:type="dxa"/>
              <w:bottom w:w="0" w:type="dxa"/>
              <w:right w:w="100" w:type="dxa"/>
            </w:tcMar>
            <w:vAlign w:val="center"/>
          </w:tcPr>
          <w:p w14:paraId="44A80DAA"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Years of Teaching Experience</w:t>
            </w:r>
          </w:p>
        </w:tc>
        <w:tc>
          <w:tcPr>
            <w:tcW w:w="810" w:type="dxa"/>
            <w:tcBorders>
              <w:top w:val="nil"/>
              <w:left w:val="nil"/>
              <w:bottom w:val="nil"/>
              <w:right w:val="nil"/>
            </w:tcBorders>
            <w:tcMar>
              <w:top w:w="0" w:type="dxa"/>
              <w:left w:w="100" w:type="dxa"/>
              <w:bottom w:w="0" w:type="dxa"/>
              <w:right w:w="100" w:type="dxa"/>
            </w:tcMar>
            <w:vAlign w:val="center"/>
          </w:tcPr>
          <w:p w14:paraId="7E20FE6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8.58</w:t>
            </w:r>
          </w:p>
        </w:tc>
        <w:tc>
          <w:tcPr>
            <w:tcW w:w="705" w:type="dxa"/>
            <w:tcBorders>
              <w:top w:val="nil"/>
              <w:left w:val="nil"/>
              <w:bottom w:val="nil"/>
              <w:right w:val="nil"/>
            </w:tcBorders>
            <w:tcMar>
              <w:top w:w="0" w:type="dxa"/>
              <w:left w:w="100" w:type="dxa"/>
              <w:bottom w:w="0" w:type="dxa"/>
              <w:right w:w="100" w:type="dxa"/>
            </w:tcMar>
            <w:vAlign w:val="center"/>
          </w:tcPr>
          <w:p w14:paraId="52CDD3B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7.47</w:t>
            </w:r>
          </w:p>
        </w:tc>
        <w:tc>
          <w:tcPr>
            <w:tcW w:w="765" w:type="dxa"/>
            <w:tcBorders>
              <w:top w:val="nil"/>
              <w:left w:val="nil"/>
              <w:bottom w:val="nil"/>
              <w:right w:val="nil"/>
            </w:tcBorders>
            <w:tcMar>
              <w:top w:w="0" w:type="dxa"/>
              <w:left w:w="100" w:type="dxa"/>
              <w:bottom w:w="0" w:type="dxa"/>
              <w:right w:w="100" w:type="dxa"/>
            </w:tcMar>
            <w:vAlign w:val="center"/>
          </w:tcPr>
          <w:p w14:paraId="3D3F38B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143</w:t>
            </w:r>
          </w:p>
        </w:tc>
        <w:tc>
          <w:tcPr>
            <w:tcW w:w="1110" w:type="dxa"/>
            <w:tcBorders>
              <w:top w:val="nil"/>
              <w:left w:val="nil"/>
              <w:bottom w:val="nil"/>
              <w:right w:val="nil"/>
            </w:tcBorders>
            <w:tcMar>
              <w:top w:w="0" w:type="dxa"/>
              <w:left w:w="100" w:type="dxa"/>
              <w:bottom w:w="0" w:type="dxa"/>
              <w:right w:w="100" w:type="dxa"/>
            </w:tcMar>
            <w:vAlign w:val="center"/>
          </w:tcPr>
          <w:p w14:paraId="3D70AC23" w14:textId="77777777" w:rsidR="00D032E2" w:rsidRDefault="00D032E2">
            <w:pPr>
              <w:spacing w:line="240" w:lineRule="auto"/>
              <w:jc w:val="center"/>
              <w:rPr>
                <w:rFonts w:ascii="Times New Roman" w:eastAsia="Times New Roman" w:hAnsi="Times New Roman" w:cs="Times New Roman"/>
                <w:b/>
                <w:bCs/>
                <w:sz w:val="24"/>
                <w:szCs w:val="24"/>
              </w:rPr>
            </w:pPr>
          </w:p>
        </w:tc>
      </w:tr>
      <w:tr w:rsidR="00D032E2" w14:paraId="7872E039" w14:textId="77777777">
        <w:tc>
          <w:tcPr>
            <w:tcW w:w="3390" w:type="dxa"/>
            <w:tcBorders>
              <w:top w:val="nil"/>
              <w:left w:val="nil"/>
              <w:bottom w:val="nil"/>
              <w:right w:val="nil"/>
            </w:tcBorders>
            <w:tcMar>
              <w:top w:w="0" w:type="dxa"/>
              <w:left w:w="100" w:type="dxa"/>
              <w:bottom w:w="0" w:type="dxa"/>
              <w:right w:w="100" w:type="dxa"/>
            </w:tcMar>
            <w:vAlign w:val="center"/>
          </w:tcPr>
          <w:p w14:paraId="5FFFE588"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Early career (1-5 years)</w:t>
            </w:r>
          </w:p>
        </w:tc>
        <w:tc>
          <w:tcPr>
            <w:tcW w:w="810" w:type="dxa"/>
            <w:tcBorders>
              <w:top w:val="nil"/>
              <w:left w:val="nil"/>
              <w:right w:val="nil"/>
            </w:tcBorders>
            <w:tcMar>
              <w:top w:w="0" w:type="dxa"/>
              <w:left w:w="100" w:type="dxa"/>
              <w:bottom w:w="0" w:type="dxa"/>
              <w:right w:w="100" w:type="dxa"/>
            </w:tcMar>
            <w:vAlign w:val="center"/>
          </w:tcPr>
          <w:p w14:paraId="77158D5C"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10DD0566"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0A24E10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w:t>
            </w:r>
          </w:p>
        </w:tc>
        <w:tc>
          <w:tcPr>
            <w:tcW w:w="1110" w:type="dxa"/>
            <w:tcBorders>
              <w:top w:val="nil"/>
              <w:left w:val="nil"/>
              <w:bottom w:val="nil"/>
              <w:right w:val="nil"/>
            </w:tcBorders>
            <w:tcMar>
              <w:top w:w="0" w:type="dxa"/>
              <w:left w:w="100" w:type="dxa"/>
              <w:bottom w:w="0" w:type="dxa"/>
              <w:right w:w="100" w:type="dxa"/>
            </w:tcMar>
            <w:vAlign w:val="center"/>
          </w:tcPr>
          <w:p w14:paraId="43D90A7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46.2%</w:t>
            </w:r>
          </w:p>
        </w:tc>
      </w:tr>
      <w:tr w:rsidR="00D032E2" w14:paraId="073C2A65" w14:textId="77777777">
        <w:tc>
          <w:tcPr>
            <w:tcW w:w="3390" w:type="dxa"/>
            <w:tcBorders>
              <w:top w:val="nil"/>
              <w:left w:val="nil"/>
              <w:bottom w:val="nil"/>
              <w:right w:val="nil"/>
            </w:tcBorders>
            <w:tcMar>
              <w:top w:w="0" w:type="dxa"/>
              <w:left w:w="100" w:type="dxa"/>
              <w:bottom w:w="0" w:type="dxa"/>
              <w:right w:w="100" w:type="dxa"/>
            </w:tcMar>
            <w:vAlign w:val="center"/>
          </w:tcPr>
          <w:p w14:paraId="6A10F3F9"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Mid-career (6-15 years)</w:t>
            </w:r>
          </w:p>
        </w:tc>
        <w:tc>
          <w:tcPr>
            <w:tcW w:w="810" w:type="dxa"/>
            <w:tcBorders>
              <w:top w:val="nil"/>
              <w:left w:val="nil"/>
              <w:right w:val="nil"/>
            </w:tcBorders>
            <w:tcMar>
              <w:top w:w="0" w:type="dxa"/>
              <w:left w:w="100" w:type="dxa"/>
              <w:bottom w:w="0" w:type="dxa"/>
              <w:right w:w="100" w:type="dxa"/>
            </w:tcMar>
            <w:vAlign w:val="center"/>
          </w:tcPr>
          <w:p w14:paraId="276C8EAB"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0AAA0F97"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3924C2B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110" w:type="dxa"/>
            <w:tcBorders>
              <w:top w:val="nil"/>
              <w:left w:val="nil"/>
              <w:bottom w:val="nil"/>
              <w:right w:val="nil"/>
            </w:tcBorders>
            <w:tcMar>
              <w:top w:w="0" w:type="dxa"/>
              <w:left w:w="100" w:type="dxa"/>
              <w:bottom w:w="0" w:type="dxa"/>
              <w:right w:w="100" w:type="dxa"/>
            </w:tcMar>
            <w:vAlign w:val="center"/>
          </w:tcPr>
          <w:p w14:paraId="524DA19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38.5%</w:t>
            </w:r>
          </w:p>
        </w:tc>
      </w:tr>
      <w:tr w:rsidR="00D032E2" w14:paraId="1769316B" w14:textId="77777777">
        <w:tc>
          <w:tcPr>
            <w:tcW w:w="3390" w:type="dxa"/>
            <w:tcBorders>
              <w:top w:val="nil"/>
              <w:left w:val="nil"/>
              <w:bottom w:val="nil"/>
              <w:right w:val="nil"/>
            </w:tcBorders>
            <w:tcMar>
              <w:top w:w="0" w:type="dxa"/>
              <w:left w:w="100" w:type="dxa"/>
              <w:bottom w:w="0" w:type="dxa"/>
              <w:right w:w="100" w:type="dxa"/>
            </w:tcMar>
            <w:vAlign w:val="center"/>
          </w:tcPr>
          <w:p w14:paraId="2A331BB1"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Late career (&gt;15 years)</w:t>
            </w:r>
          </w:p>
        </w:tc>
        <w:tc>
          <w:tcPr>
            <w:tcW w:w="810" w:type="dxa"/>
            <w:tcBorders>
              <w:top w:val="nil"/>
              <w:left w:val="nil"/>
              <w:right w:val="nil"/>
            </w:tcBorders>
            <w:tcMar>
              <w:top w:w="0" w:type="dxa"/>
              <w:left w:w="100" w:type="dxa"/>
              <w:bottom w:w="0" w:type="dxa"/>
              <w:right w:w="100" w:type="dxa"/>
            </w:tcMar>
            <w:vAlign w:val="center"/>
          </w:tcPr>
          <w:p w14:paraId="05BA1538"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4ECCB67F"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1E8205F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110" w:type="dxa"/>
            <w:tcBorders>
              <w:top w:val="nil"/>
              <w:left w:val="nil"/>
              <w:bottom w:val="nil"/>
              <w:right w:val="nil"/>
            </w:tcBorders>
            <w:tcMar>
              <w:top w:w="0" w:type="dxa"/>
              <w:left w:w="100" w:type="dxa"/>
              <w:bottom w:w="0" w:type="dxa"/>
              <w:right w:w="100" w:type="dxa"/>
            </w:tcMar>
            <w:vAlign w:val="center"/>
          </w:tcPr>
          <w:p w14:paraId="7D2BE12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15.3%</w:t>
            </w:r>
          </w:p>
        </w:tc>
      </w:tr>
      <w:tr w:rsidR="00D032E2" w14:paraId="771FC375" w14:textId="77777777">
        <w:tc>
          <w:tcPr>
            <w:tcW w:w="3390" w:type="dxa"/>
            <w:tcBorders>
              <w:top w:val="nil"/>
              <w:left w:val="nil"/>
              <w:bottom w:val="nil"/>
              <w:right w:val="nil"/>
            </w:tcBorders>
            <w:tcMar>
              <w:top w:w="0" w:type="dxa"/>
              <w:left w:w="100" w:type="dxa"/>
              <w:bottom w:w="0" w:type="dxa"/>
              <w:right w:w="100" w:type="dxa"/>
            </w:tcMar>
            <w:vAlign w:val="center"/>
          </w:tcPr>
          <w:p w14:paraId="39999BC8"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Teaching Recordkeeping</w:t>
            </w:r>
          </w:p>
        </w:tc>
        <w:tc>
          <w:tcPr>
            <w:tcW w:w="810" w:type="dxa"/>
            <w:tcBorders>
              <w:top w:val="nil"/>
              <w:left w:val="nil"/>
              <w:right w:val="nil"/>
            </w:tcBorders>
            <w:tcMar>
              <w:top w:w="0" w:type="dxa"/>
              <w:left w:w="100" w:type="dxa"/>
              <w:bottom w:w="0" w:type="dxa"/>
              <w:right w:w="100" w:type="dxa"/>
            </w:tcMar>
            <w:vAlign w:val="center"/>
          </w:tcPr>
          <w:p w14:paraId="54FA0D30"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17D8D9DC"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752A8437" w14:textId="77777777" w:rsidR="00D032E2" w:rsidRDefault="00D032E2">
            <w:pPr>
              <w:spacing w:line="240" w:lineRule="auto"/>
              <w:jc w:val="center"/>
              <w:rPr>
                <w:rFonts w:ascii="Times New Roman" w:eastAsia="Times New Roman" w:hAnsi="Times New Roman" w:cs="Times New Roman"/>
                <w:sz w:val="24"/>
                <w:szCs w:val="24"/>
              </w:rPr>
            </w:pPr>
          </w:p>
        </w:tc>
        <w:tc>
          <w:tcPr>
            <w:tcW w:w="1110" w:type="dxa"/>
            <w:tcBorders>
              <w:top w:val="nil"/>
              <w:left w:val="nil"/>
              <w:bottom w:val="nil"/>
              <w:right w:val="nil"/>
            </w:tcBorders>
            <w:tcMar>
              <w:top w:w="0" w:type="dxa"/>
              <w:left w:w="100" w:type="dxa"/>
              <w:bottom w:w="0" w:type="dxa"/>
              <w:right w:w="100" w:type="dxa"/>
            </w:tcMar>
            <w:vAlign w:val="center"/>
          </w:tcPr>
          <w:p w14:paraId="7B1F3421"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1C2F36B2" w14:textId="77777777">
        <w:tc>
          <w:tcPr>
            <w:tcW w:w="3390" w:type="dxa"/>
            <w:tcBorders>
              <w:top w:val="nil"/>
              <w:left w:val="nil"/>
              <w:bottom w:val="nil"/>
              <w:right w:val="nil"/>
            </w:tcBorders>
            <w:tcMar>
              <w:top w:w="0" w:type="dxa"/>
              <w:left w:w="100" w:type="dxa"/>
              <w:bottom w:w="0" w:type="dxa"/>
              <w:right w:w="100" w:type="dxa"/>
            </w:tcMar>
            <w:vAlign w:val="center"/>
          </w:tcPr>
          <w:p w14:paraId="189A47E2"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810" w:type="dxa"/>
            <w:tcBorders>
              <w:top w:val="nil"/>
              <w:left w:val="nil"/>
              <w:right w:val="nil"/>
            </w:tcBorders>
            <w:tcMar>
              <w:top w:w="0" w:type="dxa"/>
              <w:left w:w="100" w:type="dxa"/>
              <w:bottom w:w="0" w:type="dxa"/>
              <w:right w:w="100" w:type="dxa"/>
            </w:tcMar>
            <w:vAlign w:val="center"/>
          </w:tcPr>
          <w:p w14:paraId="71C45DA0"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1548A9A1"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1FA04B8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p>
        </w:tc>
        <w:tc>
          <w:tcPr>
            <w:tcW w:w="1110" w:type="dxa"/>
            <w:tcBorders>
              <w:top w:val="nil"/>
              <w:left w:val="nil"/>
              <w:bottom w:val="nil"/>
              <w:right w:val="nil"/>
            </w:tcBorders>
            <w:tcMar>
              <w:top w:w="0" w:type="dxa"/>
              <w:left w:w="100" w:type="dxa"/>
              <w:bottom w:w="0" w:type="dxa"/>
              <w:right w:w="100" w:type="dxa"/>
            </w:tcMar>
            <w:vAlign w:val="center"/>
          </w:tcPr>
          <w:p w14:paraId="637F0D5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87.3%</w:t>
            </w:r>
          </w:p>
        </w:tc>
      </w:tr>
      <w:tr w:rsidR="00D032E2" w14:paraId="52BC9DA0" w14:textId="77777777">
        <w:tc>
          <w:tcPr>
            <w:tcW w:w="3390" w:type="dxa"/>
            <w:tcBorders>
              <w:top w:val="nil"/>
              <w:left w:val="nil"/>
              <w:bottom w:val="nil"/>
              <w:right w:val="nil"/>
            </w:tcBorders>
            <w:tcMar>
              <w:top w:w="0" w:type="dxa"/>
              <w:left w:w="100" w:type="dxa"/>
              <w:bottom w:w="0" w:type="dxa"/>
              <w:right w:w="100" w:type="dxa"/>
            </w:tcMar>
            <w:vAlign w:val="center"/>
          </w:tcPr>
          <w:p w14:paraId="5A5202B6"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810" w:type="dxa"/>
            <w:tcBorders>
              <w:top w:val="nil"/>
              <w:left w:val="nil"/>
              <w:right w:val="nil"/>
            </w:tcBorders>
            <w:tcMar>
              <w:top w:w="0" w:type="dxa"/>
              <w:left w:w="100" w:type="dxa"/>
              <w:bottom w:w="0" w:type="dxa"/>
              <w:right w:w="100" w:type="dxa"/>
            </w:tcMar>
            <w:vAlign w:val="center"/>
          </w:tcPr>
          <w:p w14:paraId="173ED4DD"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6078E678"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192E6EA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110" w:type="dxa"/>
            <w:tcBorders>
              <w:top w:val="nil"/>
              <w:left w:val="nil"/>
              <w:bottom w:val="nil"/>
              <w:right w:val="nil"/>
            </w:tcBorders>
            <w:tcMar>
              <w:top w:w="0" w:type="dxa"/>
              <w:left w:w="100" w:type="dxa"/>
              <w:bottom w:w="0" w:type="dxa"/>
              <w:right w:w="100" w:type="dxa"/>
            </w:tcMar>
            <w:vAlign w:val="center"/>
          </w:tcPr>
          <w:p w14:paraId="2558979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w:t>
            </w:r>
          </w:p>
        </w:tc>
      </w:tr>
      <w:tr w:rsidR="00D032E2" w14:paraId="31257AC7" w14:textId="77777777">
        <w:tc>
          <w:tcPr>
            <w:tcW w:w="3390" w:type="dxa"/>
            <w:tcBorders>
              <w:top w:val="nil"/>
              <w:left w:val="nil"/>
              <w:bottom w:val="nil"/>
              <w:right w:val="nil"/>
            </w:tcBorders>
            <w:tcMar>
              <w:top w:w="0" w:type="dxa"/>
              <w:left w:w="100" w:type="dxa"/>
              <w:bottom w:w="0" w:type="dxa"/>
              <w:right w:w="100" w:type="dxa"/>
            </w:tcMar>
            <w:vAlign w:val="center"/>
          </w:tcPr>
          <w:p w14:paraId="28F7E32F"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Past SAE for All Training</w:t>
            </w:r>
          </w:p>
        </w:tc>
        <w:tc>
          <w:tcPr>
            <w:tcW w:w="810" w:type="dxa"/>
            <w:tcBorders>
              <w:top w:val="nil"/>
              <w:left w:val="nil"/>
              <w:bottom w:val="nil"/>
              <w:right w:val="nil"/>
            </w:tcBorders>
            <w:tcMar>
              <w:top w:w="0" w:type="dxa"/>
              <w:left w:w="100" w:type="dxa"/>
              <w:bottom w:w="0" w:type="dxa"/>
              <w:right w:w="100" w:type="dxa"/>
            </w:tcMar>
            <w:vAlign w:val="center"/>
          </w:tcPr>
          <w:p w14:paraId="48D356AB"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6EB0BABB"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0CF88542" w14:textId="77777777" w:rsidR="00D032E2" w:rsidRDefault="00D032E2">
            <w:pPr>
              <w:spacing w:line="240" w:lineRule="auto"/>
              <w:jc w:val="center"/>
              <w:rPr>
                <w:rFonts w:ascii="Times New Roman" w:eastAsia="Times New Roman" w:hAnsi="Times New Roman" w:cs="Times New Roman"/>
                <w:sz w:val="24"/>
                <w:szCs w:val="24"/>
              </w:rPr>
            </w:pPr>
          </w:p>
        </w:tc>
        <w:tc>
          <w:tcPr>
            <w:tcW w:w="1110" w:type="dxa"/>
            <w:tcBorders>
              <w:top w:val="nil"/>
              <w:left w:val="nil"/>
              <w:bottom w:val="nil"/>
              <w:right w:val="nil"/>
            </w:tcBorders>
            <w:tcMar>
              <w:top w:w="0" w:type="dxa"/>
              <w:left w:w="100" w:type="dxa"/>
              <w:bottom w:w="0" w:type="dxa"/>
              <w:right w:w="100" w:type="dxa"/>
            </w:tcMar>
            <w:vAlign w:val="center"/>
          </w:tcPr>
          <w:p w14:paraId="351CE90D"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47887262" w14:textId="77777777">
        <w:tc>
          <w:tcPr>
            <w:tcW w:w="3390" w:type="dxa"/>
            <w:tcBorders>
              <w:top w:val="nil"/>
              <w:left w:val="nil"/>
              <w:bottom w:val="nil"/>
              <w:right w:val="nil"/>
            </w:tcBorders>
            <w:tcMar>
              <w:top w:w="0" w:type="dxa"/>
              <w:left w:w="100" w:type="dxa"/>
              <w:bottom w:w="0" w:type="dxa"/>
              <w:right w:w="100" w:type="dxa"/>
            </w:tcMar>
            <w:vAlign w:val="center"/>
          </w:tcPr>
          <w:p w14:paraId="05E40315"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810" w:type="dxa"/>
            <w:tcBorders>
              <w:top w:val="nil"/>
              <w:left w:val="nil"/>
              <w:right w:val="nil"/>
            </w:tcBorders>
            <w:tcMar>
              <w:top w:w="0" w:type="dxa"/>
              <w:left w:w="100" w:type="dxa"/>
              <w:bottom w:w="0" w:type="dxa"/>
              <w:right w:w="100" w:type="dxa"/>
            </w:tcMar>
            <w:vAlign w:val="center"/>
          </w:tcPr>
          <w:p w14:paraId="1756E77E"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top w:val="nil"/>
              <w:left w:val="nil"/>
              <w:bottom w:val="nil"/>
              <w:right w:val="nil"/>
            </w:tcBorders>
            <w:tcMar>
              <w:top w:w="0" w:type="dxa"/>
              <w:left w:w="100" w:type="dxa"/>
              <w:bottom w:w="0" w:type="dxa"/>
              <w:right w:w="100" w:type="dxa"/>
            </w:tcMar>
            <w:vAlign w:val="center"/>
          </w:tcPr>
          <w:p w14:paraId="7BFB7C59"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top w:val="nil"/>
              <w:left w:val="nil"/>
              <w:bottom w:val="nil"/>
              <w:right w:val="nil"/>
            </w:tcBorders>
            <w:tcMar>
              <w:top w:w="0" w:type="dxa"/>
              <w:left w:w="100" w:type="dxa"/>
              <w:bottom w:w="0" w:type="dxa"/>
              <w:right w:w="100" w:type="dxa"/>
            </w:tcMar>
            <w:vAlign w:val="center"/>
          </w:tcPr>
          <w:p w14:paraId="79DE6FA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w:t>
            </w:r>
          </w:p>
        </w:tc>
        <w:tc>
          <w:tcPr>
            <w:tcW w:w="1110" w:type="dxa"/>
            <w:tcBorders>
              <w:top w:val="nil"/>
              <w:left w:val="nil"/>
              <w:bottom w:val="nil"/>
              <w:right w:val="nil"/>
            </w:tcBorders>
            <w:tcMar>
              <w:top w:w="0" w:type="dxa"/>
              <w:left w:w="100" w:type="dxa"/>
              <w:bottom w:w="0" w:type="dxa"/>
              <w:right w:w="100" w:type="dxa"/>
            </w:tcMar>
            <w:vAlign w:val="center"/>
          </w:tcPr>
          <w:p w14:paraId="656DFCC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67.8%</w:t>
            </w:r>
          </w:p>
        </w:tc>
      </w:tr>
      <w:tr w:rsidR="00D032E2" w14:paraId="31412B5C" w14:textId="77777777">
        <w:tc>
          <w:tcPr>
            <w:tcW w:w="3390" w:type="dxa"/>
            <w:tcBorders>
              <w:left w:val="nil"/>
              <w:bottom w:val="single" w:sz="6" w:space="0" w:color="000000"/>
              <w:right w:val="nil"/>
            </w:tcBorders>
            <w:tcMar>
              <w:top w:w="0" w:type="dxa"/>
              <w:left w:w="100" w:type="dxa"/>
              <w:bottom w:w="0" w:type="dxa"/>
              <w:right w:w="100" w:type="dxa"/>
            </w:tcMar>
            <w:vAlign w:val="center"/>
          </w:tcPr>
          <w:p w14:paraId="5898E3A1" w14:textId="77777777" w:rsidR="00D032E2" w:rsidRDefault="00000000">
            <w:pPr>
              <w:spacing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810" w:type="dxa"/>
            <w:tcBorders>
              <w:left w:val="nil"/>
              <w:bottom w:val="single" w:sz="6" w:space="0" w:color="000000"/>
              <w:right w:val="nil"/>
            </w:tcBorders>
            <w:tcMar>
              <w:top w:w="0" w:type="dxa"/>
              <w:left w:w="100" w:type="dxa"/>
              <w:bottom w:w="0" w:type="dxa"/>
              <w:right w:w="100" w:type="dxa"/>
            </w:tcMar>
            <w:vAlign w:val="center"/>
          </w:tcPr>
          <w:p w14:paraId="7C618302" w14:textId="77777777" w:rsidR="00D032E2" w:rsidRDefault="00D032E2">
            <w:pPr>
              <w:spacing w:line="240" w:lineRule="auto"/>
              <w:jc w:val="center"/>
              <w:rPr>
                <w:rFonts w:ascii="Times New Roman" w:eastAsia="Times New Roman" w:hAnsi="Times New Roman" w:cs="Times New Roman"/>
                <w:sz w:val="24"/>
                <w:szCs w:val="24"/>
              </w:rPr>
            </w:pPr>
          </w:p>
        </w:tc>
        <w:tc>
          <w:tcPr>
            <w:tcW w:w="705" w:type="dxa"/>
            <w:tcBorders>
              <w:left w:val="nil"/>
              <w:bottom w:val="single" w:sz="6" w:space="0" w:color="000000"/>
              <w:right w:val="nil"/>
            </w:tcBorders>
            <w:tcMar>
              <w:top w:w="0" w:type="dxa"/>
              <w:left w:w="100" w:type="dxa"/>
              <w:bottom w:w="0" w:type="dxa"/>
              <w:right w:w="100" w:type="dxa"/>
            </w:tcMar>
            <w:vAlign w:val="center"/>
          </w:tcPr>
          <w:p w14:paraId="43EBD6AB" w14:textId="77777777" w:rsidR="00D032E2" w:rsidRDefault="00D032E2">
            <w:pPr>
              <w:spacing w:line="240" w:lineRule="auto"/>
              <w:jc w:val="center"/>
              <w:rPr>
                <w:rFonts w:ascii="Times New Roman" w:eastAsia="Times New Roman" w:hAnsi="Times New Roman" w:cs="Times New Roman"/>
                <w:sz w:val="24"/>
                <w:szCs w:val="24"/>
              </w:rPr>
            </w:pPr>
          </w:p>
        </w:tc>
        <w:tc>
          <w:tcPr>
            <w:tcW w:w="765" w:type="dxa"/>
            <w:tcBorders>
              <w:left w:val="nil"/>
              <w:bottom w:val="single" w:sz="6" w:space="0" w:color="000000"/>
              <w:right w:val="nil"/>
            </w:tcBorders>
            <w:tcMar>
              <w:top w:w="0" w:type="dxa"/>
              <w:left w:w="100" w:type="dxa"/>
              <w:bottom w:w="0" w:type="dxa"/>
              <w:right w:w="100" w:type="dxa"/>
            </w:tcMar>
            <w:vAlign w:val="center"/>
          </w:tcPr>
          <w:p w14:paraId="49972A0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110" w:type="dxa"/>
            <w:tcBorders>
              <w:left w:val="nil"/>
              <w:bottom w:val="single" w:sz="6" w:space="0" w:color="000000"/>
              <w:right w:val="nil"/>
            </w:tcBorders>
            <w:tcMar>
              <w:top w:w="0" w:type="dxa"/>
              <w:left w:w="100" w:type="dxa"/>
              <w:bottom w:w="0" w:type="dxa"/>
              <w:right w:w="100" w:type="dxa"/>
            </w:tcMar>
            <w:vAlign w:val="center"/>
          </w:tcPr>
          <w:p w14:paraId="4734021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32.2%</w:t>
            </w:r>
          </w:p>
        </w:tc>
      </w:tr>
    </w:tbl>
    <w:p w14:paraId="2C293DB1" w14:textId="77777777" w:rsidR="00D032E2" w:rsidRDefault="00D032E2">
      <w:pPr>
        <w:spacing w:line="240" w:lineRule="auto"/>
        <w:rPr>
          <w:rFonts w:ascii="Times New Roman" w:eastAsia="Times New Roman" w:hAnsi="Times New Roman" w:cs="Times New Roman"/>
          <w:sz w:val="24"/>
          <w:szCs w:val="24"/>
        </w:rPr>
      </w:pPr>
    </w:p>
    <w:p w14:paraId="45307DE7"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1</w:t>
      </w:r>
    </w:p>
    <w:p w14:paraId="705ACF25"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 1 measured agricultural educators’ self-reported implementation of SAE for All after attending a statewide professional development (see Table 3). Prior to the training, 71.8%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61) of teachers reported implementing SAE, with 47.6%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40) also grading them. After the training, 97.9%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94) reported implementing SAE for All, with 72.3%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68) grading SAEs. A paired samples </w:t>
      </w:r>
      <w:r>
        <w:rPr>
          <w:rFonts w:ascii="Times New Roman" w:eastAsia="Times New Roman" w:hAnsi="Times New Roman" w:cs="Times New Roman"/>
          <w:i/>
          <w:iCs/>
          <w:sz w:val="24"/>
          <w:szCs w:val="24"/>
        </w:rPr>
        <w:t>t</w:t>
      </w:r>
      <w:r>
        <w:rPr>
          <w:rFonts w:ascii="Times New Roman" w:eastAsia="Times New Roman" w:hAnsi="Times New Roman" w:cs="Times New Roman"/>
          <w:sz w:val="24"/>
          <w:szCs w:val="24"/>
        </w:rPr>
        <w:t>-test revealed a statistically significant increase in teachers’ level of SAE for All implementation from pre- to post-training (</w:t>
      </w:r>
      <w:proofErr w:type="spellStart"/>
      <w:r>
        <w:rPr>
          <w:rFonts w:ascii="Times New Roman" w:eastAsia="Times New Roman" w:hAnsi="Times New Roman" w:cs="Times New Roman"/>
          <w:i/>
          <w:iCs/>
          <w:sz w:val="24"/>
          <w:szCs w:val="24"/>
        </w:rPr>
        <w:t>df</w:t>
      </w:r>
      <w:proofErr w:type="spellEnd"/>
      <w:r>
        <w:rPr>
          <w:rFonts w:ascii="Times New Roman" w:eastAsia="Times New Roman" w:hAnsi="Times New Roman" w:cs="Times New Roman"/>
          <w:sz w:val="24"/>
          <w:szCs w:val="24"/>
        </w:rPr>
        <w:t xml:space="preserve"> = 84; </w:t>
      </w:r>
      <w:r>
        <w:rPr>
          <w:rFonts w:ascii="Times New Roman" w:eastAsia="Times New Roman" w:hAnsi="Times New Roman" w:cs="Times New Roman"/>
          <w:i/>
          <w:iCs/>
          <w:sz w:val="24"/>
          <w:szCs w:val="24"/>
        </w:rPr>
        <w:t>t</w:t>
      </w:r>
      <w:r>
        <w:rPr>
          <w:rFonts w:ascii="Times New Roman" w:eastAsia="Times New Roman" w:hAnsi="Times New Roman" w:cs="Times New Roman"/>
          <w:sz w:val="24"/>
          <w:szCs w:val="24"/>
        </w:rPr>
        <w:t xml:space="preserve"> = 5.607;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0.001; </w:t>
      </w:r>
      <w:r>
        <w:rPr>
          <w:rFonts w:ascii="Times New Roman" w:eastAsia="Times New Roman" w:hAnsi="Times New Roman" w:cs="Times New Roman"/>
          <w:i/>
          <w:iCs/>
          <w:sz w:val="24"/>
          <w:szCs w:val="24"/>
        </w:rPr>
        <w:t>d</w:t>
      </w:r>
      <w:r>
        <w:rPr>
          <w:rFonts w:ascii="Times New Roman" w:eastAsia="Times New Roman" w:hAnsi="Times New Roman" w:cs="Times New Roman"/>
          <w:sz w:val="24"/>
          <w:szCs w:val="24"/>
        </w:rPr>
        <w:t xml:space="preserve"> = 0.71).</w:t>
      </w:r>
    </w:p>
    <w:p w14:paraId="66C9C28A" w14:textId="77777777" w:rsidR="00D032E2" w:rsidRDefault="00D032E2">
      <w:pPr>
        <w:spacing w:line="240" w:lineRule="auto"/>
        <w:rPr>
          <w:rFonts w:ascii="Times New Roman" w:eastAsia="Times New Roman" w:hAnsi="Times New Roman" w:cs="Times New Roman"/>
          <w:b/>
          <w:bCs/>
          <w:sz w:val="24"/>
          <w:szCs w:val="24"/>
        </w:rPr>
      </w:pPr>
    </w:p>
    <w:p w14:paraId="65390AF6"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 3</w:t>
      </w:r>
    </w:p>
    <w:p w14:paraId="58666F9C"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Variables of Interest Before and After Attending SAE for All Training</w:t>
      </w:r>
    </w:p>
    <w:tbl>
      <w:tblPr>
        <w:tblStyle w:val="a1"/>
        <w:tblW w:w="8332"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795"/>
        <w:gridCol w:w="1135"/>
        <w:gridCol w:w="1134"/>
        <w:gridCol w:w="1134"/>
        <w:gridCol w:w="1134"/>
      </w:tblGrid>
      <w:tr w:rsidR="00D032E2" w14:paraId="70C3014B" w14:textId="77777777">
        <w:trPr>
          <w:trHeight w:val="123"/>
        </w:trPr>
        <w:tc>
          <w:tcPr>
            <w:tcW w:w="3793" w:type="dxa"/>
            <w:vMerge w:val="restart"/>
            <w:tcBorders>
              <w:top w:val="single" w:sz="6" w:space="0" w:color="000000"/>
              <w:bottom w:val="single" w:sz="8" w:space="0" w:color="000000"/>
            </w:tcBorders>
            <w:tcMar>
              <w:top w:w="0" w:type="dxa"/>
              <w:bottom w:w="0" w:type="dxa"/>
            </w:tcMar>
            <w:vAlign w:val="center"/>
          </w:tcPr>
          <w:p w14:paraId="6CD4914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Variable</w:t>
            </w:r>
          </w:p>
        </w:tc>
        <w:tc>
          <w:tcPr>
            <w:tcW w:w="2268"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31D565C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w:t>
            </w:r>
          </w:p>
        </w:tc>
        <w:tc>
          <w:tcPr>
            <w:tcW w:w="2268"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62AF0E4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Post</w:t>
            </w:r>
          </w:p>
        </w:tc>
      </w:tr>
      <w:tr w:rsidR="00D032E2" w14:paraId="6F5FDCA6" w14:textId="77777777">
        <w:trPr>
          <w:trHeight w:val="123"/>
        </w:trPr>
        <w:tc>
          <w:tcPr>
            <w:tcW w:w="3793" w:type="dxa"/>
            <w:vMerge/>
            <w:tcBorders>
              <w:top w:val="single" w:sz="6" w:space="0" w:color="000000"/>
              <w:bottom w:val="single" w:sz="8" w:space="0" w:color="000000"/>
            </w:tcBorders>
            <w:tcMar>
              <w:top w:w="0" w:type="dxa"/>
              <w:bottom w:w="0" w:type="dxa"/>
            </w:tcMar>
            <w:vAlign w:val="center"/>
          </w:tcPr>
          <w:p w14:paraId="04159C1A"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4C123CAE"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w:t>
            </w:r>
          </w:p>
        </w:tc>
        <w:tc>
          <w:tcPr>
            <w:tcW w:w="1134"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2AEB1A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134"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2E16633"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w:t>
            </w:r>
          </w:p>
        </w:tc>
        <w:tc>
          <w:tcPr>
            <w:tcW w:w="1134"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C1A7DF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032E2" w14:paraId="014DD941"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4BA0BDAC" w14:textId="77777777" w:rsidR="00D032E2" w:rsidRDefault="00000000">
            <w:pPr>
              <w:spacing w:line="240" w:lineRule="auto"/>
              <w:ind w:left="-9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Implementation of SAE for All</w:t>
            </w:r>
          </w:p>
        </w:tc>
        <w:tc>
          <w:tcPr>
            <w:tcW w:w="1134" w:type="dxa"/>
            <w:tcBorders>
              <w:top w:val="nil"/>
              <w:left w:val="nil"/>
              <w:bottom w:val="nil"/>
              <w:right w:val="nil"/>
            </w:tcBorders>
            <w:tcMar>
              <w:top w:w="0" w:type="dxa"/>
              <w:left w:w="100" w:type="dxa"/>
              <w:bottom w:w="0" w:type="dxa"/>
              <w:right w:w="100" w:type="dxa"/>
            </w:tcMar>
            <w:vAlign w:val="center"/>
          </w:tcPr>
          <w:p w14:paraId="70994294"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429C1277"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787D2BE1"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75094FF8"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2500A64C"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22944558"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34" w:type="dxa"/>
            <w:tcBorders>
              <w:top w:val="nil"/>
              <w:left w:val="nil"/>
              <w:bottom w:val="nil"/>
              <w:right w:val="nil"/>
            </w:tcBorders>
            <w:tcMar>
              <w:top w:w="0" w:type="dxa"/>
              <w:left w:w="100" w:type="dxa"/>
              <w:bottom w:w="0" w:type="dxa"/>
              <w:right w:w="100" w:type="dxa"/>
            </w:tcMar>
            <w:vAlign w:val="center"/>
          </w:tcPr>
          <w:p w14:paraId="2D34F35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1134" w:type="dxa"/>
            <w:tcBorders>
              <w:top w:val="nil"/>
              <w:left w:val="nil"/>
              <w:bottom w:val="nil"/>
              <w:right w:val="nil"/>
            </w:tcBorders>
            <w:tcMar>
              <w:top w:w="0" w:type="dxa"/>
              <w:left w:w="100" w:type="dxa"/>
              <w:bottom w:w="0" w:type="dxa"/>
              <w:right w:w="100" w:type="dxa"/>
            </w:tcMar>
            <w:vAlign w:val="center"/>
          </w:tcPr>
          <w:p w14:paraId="6367788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71.8%</w:t>
            </w:r>
          </w:p>
        </w:tc>
        <w:tc>
          <w:tcPr>
            <w:tcW w:w="1134" w:type="dxa"/>
            <w:tcBorders>
              <w:top w:val="nil"/>
              <w:left w:val="nil"/>
              <w:bottom w:val="nil"/>
              <w:right w:val="nil"/>
            </w:tcBorders>
            <w:tcMar>
              <w:top w:w="0" w:type="dxa"/>
              <w:left w:w="100" w:type="dxa"/>
              <w:bottom w:w="0" w:type="dxa"/>
              <w:right w:w="100" w:type="dxa"/>
            </w:tcMar>
            <w:vAlign w:val="center"/>
          </w:tcPr>
          <w:p w14:paraId="1387AC2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94</w:t>
            </w:r>
          </w:p>
        </w:tc>
        <w:tc>
          <w:tcPr>
            <w:tcW w:w="1134" w:type="dxa"/>
            <w:tcBorders>
              <w:top w:val="nil"/>
              <w:left w:val="nil"/>
              <w:bottom w:val="nil"/>
              <w:right w:val="nil"/>
            </w:tcBorders>
            <w:tcMar>
              <w:top w:w="0" w:type="dxa"/>
              <w:left w:w="100" w:type="dxa"/>
              <w:bottom w:w="0" w:type="dxa"/>
              <w:right w:w="100" w:type="dxa"/>
            </w:tcMar>
            <w:vAlign w:val="center"/>
          </w:tcPr>
          <w:p w14:paraId="56E4DD0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97.9%</w:t>
            </w:r>
          </w:p>
        </w:tc>
      </w:tr>
      <w:tr w:rsidR="00D032E2" w14:paraId="26E47DF1"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24F86709"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34" w:type="dxa"/>
            <w:tcBorders>
              <w:top w:val="nil"/>
              <w:left w:val="nil"/>
              <w:bottom w:val="nil"/>
              <w:right w:val="nil"/>
            </w:tcBorders>
            <w:tcMar>
              <w:top w:w="0" w:type="dxa"/>
              <w:left w:w="100" w:type="dxa"/>
              <w:bottom w:w="0" w:type="dxa"/>
              <w:right w:w="100" w:type="dxa"/>
            </w:tcMar>
            <w:vAlign w:val="center"/>
          </w:tcPr>
          <w:p w14:paraId="68958B4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1134" w:type="dxa"/>
            <w:tcBorders>
              <w:top w:val="nil"/>
              <w:left w:val="nil"/>
              <w:bottom w:val="nil"/>
              <w:right w:val="nil"/>
            </w:tcBorders>
            <w:tcMar>
              <w:top w:w="0" w:type="dxa"/>
              <w:left w:w="100" w:type="dxa"/>
              <w:bottom w:w="0" w:type="dxa"/>
              <w:right w:w="100" w:type="dxa"/>
            </w:tcMar>
            <w:vAlign w:val="center"/>
          </w:tcPr>
          <w:p w14:paraId="4C0DEA4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28.2%</w:t>
            </w:r>
          </w:p>
        </w:tc>
        <w:tc>
          <w:tcPr>
            <w:tcW w:w="1134" w:type="dxa"/>
            <w:tcBorders>
              <w:top w:val="nil"/>
              <w:left w:val="nil"/>
              <w:bottom w:val="nil"/>
              <w:right w:val="nil"/>
            </w:tcBorders>
            <w:tcMar>
              <w:top w:w="0" w:type="dxa"/>
              <w:left w:w="100" w:type="dxa"/>
              <w:bottom w:w="0" w:type="dxa"/>
              <w:right w:w="100" w:type="dxa"/>
            </w:tcMar>
            <w:vAlign w:val="center"/>
          </w:tcPr>
          <w:p w14:paraId="4CE28A4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34" w:type="dxa"/>
            <w:tcBorders>
              <w:top w:val="nil"/>
              <w:left w:val="nil"/>
              <w:bottom w:val="nil"/>
              <w:right w:val="nil"/>
            </w:tcBorders>
            <w:tcMar>
              <w:top w:w="0" w:type="dxa"/>
              <w:left w:w="100" w:type="dxa"/>
              <w:bottom w:w="0" w:type="dxa"/>
              <w:right w:w="100" w:type="dxa"/>
            </w:tcMar>
            <w:vAlign w:val="center"/>
          </w:tcPr>
          <w:p w14:paraId="29E08F4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D032E2" w14:paraId="3C5D73C8"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26C04B69" w14:textId="77777777" w:rsidR="00D032E2" w:rsidRDefault="00000000">
            <w:pPr>
              <w:spacing w:line="240" w:lineRule="auto"/>
              <w:ind w:left="-9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Grading Students’ SAE Projects</w:t>
            </w:r>
          </w:p>
        </w:tc>
        <w:tc>
          <w:tcPr>
            <w:tcW w:w="1134" w:type="dxa"/>
            <w:tcBorders>
              <w:top w:val="nil"/>
              <w:left w:val="nil"/>
              <w:bottom w:val="nil"/>
              <w:right w:val="nil"/>
            </w:tcBorders>
            <w:tcMar>
              <w:top w:w="0" w:type="dxa"/>
              <w:left w:w="100" w:type="dxa"/>
              <w:bottom w:w="0" w:type="dxa"/>
              <w:right w:w="100" w:type="dxa"/>
            </w:tcMar>
            <w:vAlign w:val="center"/>
          </w:tcPr>
          <w:p w14:paraId="3A19D236"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0BA23E02"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6A3184C7"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08BFAD06"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290D7544"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682F86C3"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134" w:type="dxa"/>
            <w:tcBorders>
              <w:top w:val="nil"/>
              <w:left w:val="nil"/>
              <w:bottom w:val="nil"/>
              <w:right w:val="nil"/>
            </w:tcBorders>
            <w:tcMar>
              <w:top w:w="0" w:type="dxa"/>
              <w:left w:w="100" w:type="dxa"/>
              <w:bottom w:w="0" w:type="dxa"/>
              <w:right w:w="100" w:type="dxa"/>
            </w:tcMar>
            <w:vAlign w:val="center"/>
          </w:tcPr>
          <w:p w14:paraId="0251CF2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134" w:type="dxa"/>
            <w:tcBorders>
              <w:top w:val="nil"/>
              <w:left w:val="nil"/>
              <w:bottom w:val="nil"/>
              <w:right w:val="nil"/>
            </w:tcBorders>
            <w:tcMar>
              <w:top w:w="0" w:type="dxa"/>
              <w:left w:w="100" w:type="dxa"/>
              <w:bottom w:w="0" w:type="dxa"/>
              <w:right w:w="100" w:type="dxa"/>
            </w:tcMar>
            <w:vAlign w:val="center"/>
          </w:tcPr>
          <w:p w14:paraId="17846BE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47.6%</w:t>
            </w:r>
          </w:p>
        </w:tc>
        <w:tc>
          <w:tcPr>
            <w:tcW w:w="1134" w:type="dxa"/>
            <w:tcBorders>
              <w:top w:val="nil"/>
              <w:left w:val="nil"/>
              <w:bottom w:val="nil"/>
              <w:right w:val="nil"/>
            </w:tcBorders>
            <w:tcMar>
              <w:top w:w="0" w:type="dxa"/>
              <w:left w:w="100" w:type="dxa"/>
              <w:bottom w:w="0" w:type="dxa"/>
              <w:right w:w="100" w:type="dxa"/>
            </w:tcMar>
            <w:vAlign w:val="center"/>
          </w:tcPr>
          <w:p w14:paraId="4E2D206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w:t>
            </w:r>
          </w:p>
        </w:tc>
        <w:tc>
          <w:tcPr>
            <w:tcW w:w="1134" w:type="dxa"/>
            <w:tcBorders>
              <w:top w:val="nil"/>
              <w:left w:val="nil"/>
              <w:bottom w:val="nil"/>
              <w:right w:val="nil"/>
            </w:tcBorders>
            <w:tcMar>
              <w:top w:w="0" w:type="dxa"/>
              <w:left w:w="100" w:type="dxa"/>
              <w:bottom w:w="0" w:type="dxa"/>
              <w:right w:w="100" w:type="dxa"/>
            </w:tcMar>
            <w:vAlign w:val="center"/>
          </w:tcPr>
          <w:p w14:paraId="34407D2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72.3%</w:t>
            </w:r>
          </w:p>
        </w:tc>
      </w:tr>
      <w:tr w:rsidR="00D032E2" w14:paraId="44E2F5C8"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04588B79"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134" w:type="dxa"/>
            <w:tcBorders>
              <w:top w:val="nil"/>
              <w:left w:val="nil"/>
              <w:bottom w:val="nil"/>
              <w:right w:val="nil"/>
            </w:tcBorders>
            <w:tcMar>
              <w:top w:w="0" w:type="dxa"/>
              <w:left w:w="100" w:type="dxa"/>
              <w:bottom w:w="0" w:type="dxa"/>
              <w:right w:w="100" w:type="dxa"/>
            </w:tcMar>
            <w:vAlign w:val="center"/>
          </w:tcPr>
          <w:p w14:paraId="53EB454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134" w:type="dxa"/>
            <w:tcBorders>
              <w:top w:val="nil"/>
              <w:left w:val="nil"/>
              <w:bottom w:val="nil"/>
              <w:right w:val="nil"/>
            </w:tcBorders>
            <w:tcMar>
              <w:top w:w="0" w:type="dxa"/>
              <w:left w:w="100" w:type="dxa"/>
              <w:bottom w:w="0" w:type="dxa"/>
              <w:right w:w="100" w:type="dxa"/>
            </w:tcMar>
            <w:vAlign w:val="center"/>
          </w:tcPr>
          <w:p w14:paraId="03CE522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52.3%</w:t>
            </w:r>
          </w:p>
        </w:tc>
        <w:tc>
          <w:tcPr>
            <w:tcW w:w="1134" w:type="dxa"/>
            <w:tcBorders>
              <w:top w:val="nil"/>
              <w:left w:val="nil"/>
              <w:bottom w:val="nil"/>
              <w:right w:val="nil"/>
            </w:tcBorders>
            <w:tcMar>
              <w:top w:w="0" w:type="dxa"/>
              <w:left w:w="100" w:type="dxa"/>
              <w:bottom w:w="0" w:type="dxa"/>
              <w:right w:w="100" w:type="dxa"/>
            </w:tcMar>
            <w:vAlign w:val="center"/>
          </w:tcPr>
          <w:p w14:paraId="1D313D1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134" w:type="dxa"/>
            <w:tcBorders>
              <w:top w:val="nil"/>
              <w:left w:val="nil"/>
              <w:bottom w:val="nil"/>
              <w:right w:val="nil"/>
            </w:tcBorders>
            <w:tcMar>
              <w:top w:w="0" w:type="dxa"/>
              <w:left w:w="100" w:type="dxa"/>
              <w:bottom w:w="0" w:type="dxa"/>
              <w:right w:w="100" w:type="dxa"/>
            </w:tcMar>
            <w:vAlign w:val="center"/>
          </w:tcPr>
          <w:p w14:paraId="050250D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27.7%</w:t>
            </w:r>
          </w:p>
        </w:tc>
      </w:tr>
      <w:tr w:rsidR="00D032E2" w14:paraId="35B20E20"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51FBD8AA" w14:textId="77777777" w:rsidR="00D032E2" w:rsidRDefault="00000000">
            <w:pPr>
              <w:spacing w:line="240" w:lineRule="auto"/>
              <w:ind w:left="-9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Recordkeeping</w:t>
            </w:r>
          </w:p>
        </w:tc>
        <w:tc>
          <w:tcPr>
            <w:tcW w:w="1134" w:type="dxa"/>
            <w:tcBorders>
              <w:top w:val="nil"/>
              <w:left w:val="nil"/>
              <w:bottom w:val="nil"/>
              <w:right w:val="nil"/>
            </w:tcBorders>
            <w:tcMar>
              <w:top w:w="0" w:type="dxa"/>
              <w:left w:w="100" w:type="dxa"/>
              <w:bottom w:w="0" w:type="dxa"/>
              <w:right w:w="100" w:type="dxa"/>
            </w:tcMar>
            <w:vAlign w:val="center"/>
          </w:tcPr>
          <w:p w14:paraId="45B3D7E3"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1F6DE90C"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56923312"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41BE1ED8"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7C63EC77"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0AD4AA4F"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Mainly during class</w:t>
            </w:r>
          </w:p>
        </w:tc>
        <w:tc>
          <w:tcPr>
            <w:tcW w:w="1134" w:type="dxa"/>
            <w:tcBorders>
              <w:top w:val="nil"/>
              <w:left w:val="nil"/>
              <w:bottom w:val="nil"/>
              <w:right w:val="nil"/>
            </w:tcBorders>
            <w:tcMar>
              <w:top w:w="0" w:type="dxa"/>
              <w:left w:w="100" w:type="dxa"/>
              <w:bottom w:w="0" w:type="dxa"/>
              <w:right w:w="100" w:type="dxa"/>
            </w:tcMar>
            <w:vAlign w:val="center"/>
          </w:tcPr>
          <w:p w14:paraId="1B96538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1134" w:type="dxa"/>
            <w:tcBorders>
              <w:top w:val="nil"/>
              <w:left w:val="nil"/>
              <w:bottom w:val="nil"/>
              <w:right w:val="nil"/>
            </w:tcBorders>
            <w:tcMar>
              <w:top w:w="0" w:type="dxa"/>
              <w:left w:w="100" w:type="dxa"/>
              <w:bottom w:w="0" w:type="dxa"/>
              <w:right w:w="100" w:type="dxa"/>
            </w:tcMar>
            <w:vAlign w:val="center"/>
          </w:tcPr>
          <w:p w14:paraId="710EDF5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49.3%</w:t>
            </w:r>
          </w:p>
        </w:tc>
        <w:tc>
          <w:tcPr>
            <w:tcW w:w="1134" w:type="dxa"/>
            <w:tcBorders>
              <w:top w:val="nil"/>
              <w:left w:val="nil"/>
              <w:bottom w:val="nil"/>
              <w:right w:val="nil"/>
            </w:tcBorders>
            <w:tcMar>
              <w:top w:w="0" w:type="dxa"/>
              <w:left w:w="100" w:type="dxa"/>
              <w:bottom w:w="0" w:type="dxa"/>
              <w:right w:w="100" w:type="dxa"/>
            </w:tcMar>
            <w:vAlign w:val="center"/>
          </w:tcPr>
          <w:p w14:paraId="629B1E7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1134" w:type="dxa"/>
            <w:tcBorders>
              <w:top w:val="nil"/>
              <w:left w:val="nil"/>
              <w:bottom w:val="nil"/>
              <w:right w:val="nil"/>
            </w:tcBorders>
            <w:tcMar>
              <w:top w:w="0" w:type="dxa"/>
              <w:left w:w="100" w:type="dxa"/>
              <w:bottom w:w="0" w:type="dxa"/>
              <w:right w:w="100" w:type="dxa"/>
            </w:tcMar>
            <w:vAlign w:val="center"/>
          </w:tcPr>
          <w:p w14:paraId="73ED946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64.6%</w:t>
            </w:r>
          </w:p>
        </w:tc>
      </w:tr>
      <w:tr w:rsidR="00D032E2" w14:paraId="10A7D731"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20738D64"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Mainly out of class</w:t>
            </w:r>
          </w:p>
        </w:tc>
        <w:tc>
          <w:tcPr>
            <w:tcW w:w="1134" w:type="dxa"/>
            <w:tcBorders>
              <w:top w:val="nil"/>
              <w:left w:val="nil"/>
              <w:bottom w:val="nil"/>
              <w:right w:val="nil"/>
            </w:tcBorders>
            <w:tcMar>
              <w:top w:w="0" w:type="dxa"/>
              <w:left w:w="100" w:type="dxa"/>
              <w:bottom w:w="0" w:type="dxa"/>
              <w:right w:w="100" w:type="dxa"/>
            </w:tcMar>
            <w:vAlign w:val="center"/>
          </w:tcPr>
          <w:p w14:paraId="0C03E80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1134" w:type="dxa"/>
            <w:tcBorders>
              <w:top w:val="nil"/>
              <w:left w:val="nil"/>
              <w:bottom w:val="nil"/>
              <w:right w:val="nil"/>
            </w:tcBorders>
            <w:tcMar>
              <w:top w:w="0" w:type="dxa"/>
              <w:left w:w="100" w:type="dxa"/>
              <w:bottom w:w="0" w:type="dxa"/>
              <w:right w:w="100" w:type="dxa"/>
            </w:tcMar>
            <w:vAlign w:val="center"/>
          </w:tcPr>
          <w:p w14:paraId="0CEA39C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32.9%</w:t>
            </w:r>
          </w:p>
        </w:tc>
        <w:tc>
          <w:tcPr>
            <w:tcW w:w="1134" w:type="dxa"/>
            <w:tcBorders>
              <w:top w:val="nil"/>
              <w:left w:val="nil"/>
              <w:bottom w:val="nil"/>
              <w:right w:val="nil"/>
            </w:tcBorders>
            <w:tcMar>
              <w:top w:w="0" w:type="dxa"/>
              <w:left w:w="100" w:type="dxa"/>
              <w:bottom w:w="0" w:type="dxa"/>
              <w:right w:w="100" w:type="dxa"/>
            </w:tcMar>
            <w:vAlign w:val="center"/>
          </w:tcPr>
          <w:p w14:paraId="10B849B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134" w:type="dxa"/>
            <w:tcBorders>
              <w:top w:val="nil"/>
              <w:left w:val="nil"/>
              <w:bottom w:val="nil"/>
              <w:right w:val="nil"/>
            </w:tcBorders>
            <w:tcMar>
              <w:top w:w="0" w:type="dxa"/>
              <w:left w:w="100" w:type="dxa"/>
              <w:bottom w:w="0" w:type="dxa"/>
              <w:right w:w="100" w:type="dxa"/>
            </w:tcMar>
            <w:vAlign w:val="center"/>
          </w:tcPr>
          <w:p w14:paraId="08F0959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29.2%</w:t>
            </w:r>
          </w:p>
        </w:tc>
      </w:tr>
      <w:tr w:rsidR="00D032E2" w14:paraId="7487E2BA"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11F726A8"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Not required</w:t>
            </w:r>
          </w:p>
        </w:tc>
        <w:tc>
          <w:tcPr>
            <w:tcW w:w="1134" w:type="dxa"/>
            <w:tcBorders>
              <w:top w:val="nil"/>
              <w:left w:val="nil"/>
              <w:bottom w:val="nil"/>
              <w:right w:val="nil"/>
            </w:tcBorders>
            <w:tcMar>
              <w:top w:w="0" w:type="dxa"/>
              <w:left w:w="100" w:type="dxa"/>
              <w:bottom w:w="0" w:type="dxa"/>
              <w:right w:w="100" w:type="dxa"/>
            </w:tcMar>
            <w:vAlign w:val="center"/>
          </w:tcPr>
          <w:p w14:paraId="5192A2D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134" w:type="dxa"/>
            <w:tcBorders>
              <w:top w:val="nil"/>
              <w:left w:val="nil"/>
              <w:bottom w:val="nil"/>
              <w:right w:val="nil"/>
            </w:tcBorders>
            <w:tcMar>
              <w:top w:w="0" w:type="dxa"/>
              <w:left w:w="100" w:type="dxa"/>
              <w:bottom w:w="0" w:type="dxa"/>
              <w:right w:w="100" w:type="dxa"/>
            </w:tcMar>
            <w:vAlign w:val="center"/>
          </w:tcPr>
          <w:p w14:paraId="017D171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p>
        </w:tc>
        <w:tc>
          <w:tcPr>
            <w:tcW w:w="1134" w:type="dxa"/>
            <w:tcBorders>
              <w:top w:val="nil"/>
              <w:left w:val="nil"/>
              <w:bottom w:val="nil"/>
              <w:right w:val="nil"/>
            </w:tcBorders>
            <w:tcMar>
              <w:top w:w="0" w:type="dxa"/>
              <w:left w:w="100" w:type="dxa"/>
              <w:bottom w:w="0" w:type="dxa"/>
              <w:right w:w="100" w:type="dxa"/>
            </w:tcMar>
            <w:vAlign w:val="center"/>
          </w:tcPr>
          <w:p w14:paraId="36EB040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134" w:type="dxa"/>
            <w:tcBorders>
              <w:top w:val="nil"/>
              <w:left w:val="nil"/>
              <w:bottom w:val="nil"/>
              <w:right w:val="nil"/>
            </w:tcBorders>
            <w:tcMar>
              <w:top w:w="0" w:type="dxa"/>
              <w:left w:w="100" w:type="dxa"/>
              <w:bottom w:w="0" w:type="dxa"/>
              <w:right w:w="100" w:type="dxa"/>
            </w:tcMar>
            <w:vAlign w:val="center"/>
          </w:tcPr>
          <w:p w14:paraId="7105548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r>
      <w:tr w:rsidR="00D032E2" w14:paraId="4B5FB633"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1C12022B" w14:textId="77777777" w:rsidR="00D032E2" w:rsidRDefault="00000000">
            <w:pPr>
              <w:spacing w:line="240" w:lineRule="auto"/>
              <w:ind w:left="-9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Recordkeeping Platform</w:t>
            </w:r>
          </w:p>
        </w:tc>
        <w:tc>
          <w:tcPr>
            <w:tcW w:w="1134" w:type="dxa"/>
            <w:tcBorders>
              <w:top w:val="nil"/>
              <w:left w:val="nil"/>
              <w:bottom w:val="nil"/>
              <w:right w:val="nil"/>
            </w:tcBorders>
            <w:tcMar>
              <w:top w:w="0" w:type="dxa"/>
              <w:left w:w="100" w:type="dxa"/>
              <w:bottom w:w="0" w:type="dxa"/>
              <w:right w:w="100" w:type="dxa"/>
            </w:tcMar>
            <w:vAlign w:val="center"/>
          </w:tcPr>
          <w:p w14:paraId="79E9E430"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1CE40AF6"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73854D11" w14:textId="77777777" w:rsidR="00D032E2" w:rsidRDefault="00D032E2">
            <w:pPr>
              <w:spacing w:line="240" w:lineRule="auto"/>
              <w:jc w:val="center"/>
              <w:rPr>
                <w:rFonts w:ascii="Times New Roman" w:eastAsia="Times New Roman" w:hAnsi="Times New Roman" w:cs="Times New Roman"/>
                <w:sz w:val="24"/>
                <w:szCs w:val="24"/>
              </w:rPr>
            </w:pPr>
          </w:p>
        </w:tc>
        <w:tc>
          <w:tcPr>
            <w:tcW w:w="1134" w:type="dxa"/>
            <w:tcBorders>
              <w:top w:val="nil"/>
              <w:left w:val="nil"/>
              <w:bottom w:val="nil"/>
              <w:right w:val="nil"/>
            </w:tcBorders>
            <w:tcMar>
              <w:top w:w="0" w:type="dxa"/>
              <w:left w:w="100" w:type="dxa"/>
              <w:bottom w:w="0" w:type="dxa"/>
              <w:right w:w="100" w:type="dxa"/>
            </w:tcMar>
            <w:vAlign w:val="center"/>
          </w:tcPr>
          <w:p w14:paraId="5BEA6CE0"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1BD02B83"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31DDA0CA"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AET</w:t>
            </w:r>
          </w:p>
        </w:tc>
        <w:tc>
          <w:tcPr>
            <w:tcW w:w="1134" w:type="dxa"/>
            <w:tcBorders>
              <w:top w:val="nil"/>
              <w:left w:val="nil"/>
              <w:bottom w:val="nil"/>
              <w:right w:val="nil"/>
            </w:tcBorders>
            <w:tcMar>
              <w:top w:w="0" w:type="dxa"/>
              <w:left w:w="100" w:type="dxa"/>
              <w:bottom w:w="0" w:type="dxa"/>
              <w:right w:w="100" w:type="dxa"/>
            </w:tcMar>
            <w:vAlign w:val="center"/>
          </w:tcPr>
          <w:p w14:paraId="1E6E2C3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1134" w:type="dxa"/>
            <w:tcBorders>
              <w:top w:val="nil"/>
              <w:left w:val="nil"/>
              <w:bottom w:val="nil"/>
              <w:right w:val="nil"/>
            </w:tcBorders>
            <w:tcMar>
              <w:top w:w="0" w:type="dxa"/>
              <w:left w:w="100" w:type="dxa"/>
              <w:bottom w:w="0" w:type="dxa"/>
              <w:right w:w="100" w:type="dxa"/>
            </w:tcMar>
            <w:vAlign w:val="center"/>
          </w:tcPr>
          <w:p w14:paraId="03A2203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83.6%</w:t>
            </w:r>
          </w:p>
        </w:tc>
        <w:tc>
          <w:tcPr>
            <w:tcW w:w="1134" w:type="dxa"/>
            <w:tcBorders>
              <w:top w:val="nil"/>
              <w:left w:val="nil"/>
              <w:bottom w:val="nil"/>
              <w:right w:val="nil"/>
            </w:tcBorders>
            <w:tcMar>
              <w:top w:w="0" w:type="dxa"/>
              <w:left w:w="100" w:type="dxa"/>
              <w:bottom w:w="0" w:type="dxa"/>
              <w:right w:w="100" w:type="dxa"/>
            </w:tcMar>
            <w:vAlign w:val="center"/>
          </w:tcPr>
          <w:p w14:paraId="7DBB356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88</w:t>
            </w:r>
          </w:p>
        </w:tc>
        <w:tc>
          <w:tcPr>
            <w:tcW w:w="1134" w:type="dxa"/>
            <w:tcBorders>
              <w:top w:val="nil"/>
              <w:left w:val="nil"/>
              <w:bottom w:val="nil"/>
              <w:right w:val="nil"/>
            </w:tcBorders>
            <w:tcMar>
              <w:top w:w="0" w:type="dxa"/>
              <w:left w:w="100" w:type="dxa"/>
              <w:bottom w:w="0" w:type="dxa"/>
              <w:right w:w="100" w:type="dxa"/>
            </w:tcMar>
            <w:vAlign w:val="center"/>
          </w:tcPr>
          <w:p w14:paraId="11FC6C3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93.6%</w:t>
            </w:r>
          </w:p>
        </w:tc>
      </w:tr>
      <w:tr w:rsidR="00D032E2" w14:paraId="61C404A7" w14:textId="77777777">
        <w:trPr>
          <w:trHeight w:val="123"/>
        </w:trPr>
        <w:tc>
          <w:tcPr>
            <w:tcW w:w="3793" w:type="dxa"/>
            <w:tcBorders>
              <w:top w:val="nil"/>
              <w:left w:val="nil"/>
              <w:bottom w:val="nil"/>
              <w:right w:val="nil"/>
            </w:tcBorders>
            <w:tcMar>
              <w:top w:w="0" w:type="dxa"/>
              <w:left w:w="100" w:type="dxa"/>
              <w:bottom w:w="0" w:type="dxa"/>
              <w:right w:w="100" w:type="dxa"/>
            </w:tcMar>
            <w:vAlign w:val="center"/>
          </w:tcPr>
          <w:p w14:paraId="1C21F68A" w14:textId="77777777" w:rsidR="00D032E2" w:rsidRDefault="00000000">
            <w:pPr>
              <w:spacing w:line="240" w:lineRule="auto"/>
              <w:ind w:left="27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platform</w:t>
            </w:r>
          </w:p>
        </w:tc>
        <w:tc>
          <w:tcPr>
            <w:tcW w:w="1134" w:type="dxa"/>
            <w:tcBorders>
              <w:top w:val="nil"/>
              <w:left w:val="nil"/>
              <w:bottom w:val="nil"/>
              <w:right w:val="nil"/>
            </w:tcBorders>
            <w:tcMar>
              <w:top w:w="0" w:type="dxa"/>
              <w:left w:w="100" w:type="dxa"/>
              <w:bottom w:w="0" w:type="dxa"/>
              <w:right w:w="100" w:type="dxa"/>
            </w:tcMar>
            <w:vAlign w:val="center"/>
          </w:tcPr>
          <w:p w14:paraId="5DFBDD9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34" w:type="dxa"/>
            <w:tcBorders>
              <w:top w:val="nil"/>
              <w:left w:val="nil"/>
              <w:bottom w:val="nil"/>
              <w:right w:val="nil"/>
            </w:tcBorders>
            <w:tcMar>
              <w:top w:w="0" w:type="dxa"/>
              <w:left w:w="100" w:type="dxa"/>
              <w:bottom w:w="0" w:type="dxa"/>
              <w:right w:w="100" w:type="dxa"/>
            </w:tcMar>
            <w:vAlign w:val="center"/>
          </w:tcPr>
          <w:p w14:paraId="2270619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134" w:type="dxa"/>
            <w:tcBorders>
              <w:top w:val="nil"/>
              <w:left w:val="nil"/>
              <w:bottom w:val="nil"/>
              <w:right w:val="nil"/>
            </w:tcBorders>
            <w:tcMar>
              <w:top w:w="0" w:type="dxa"/>
              <w:left w:w="100" w:type="dxa"/>
              <w:bottom w:w="0" w:type="dxa"/>
              <w:right w:w="100" w:type="dxa"/>
            </w:tcMar>
            <w:vAlign w:val="center"/>
          </w:tcPr>
          <w:p w14:paraId="4C5D9E9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34" w:type="dxa"/>
            <w:tcBorders>
              <w:top w:val="nil"/>
              <w:left w:val="nil"/>
              <w:bottom w:val="nil"/>
              <w:right w:val="nil"/>
            </w:tcBorders>
            <w:tcMar>
              <w:top w:w="0" w:type="dxa"/>
              <w:left w:w="100" w:type="dxa"/>
              <w:bottom w:w="0" w:type="dxa"/>
              <w:right w:w="100" w:type="dxa"/>
            </w:tcMar>
            <w:vAlign w:val="center"/>
          </w:tcPr>
          <w:p w14:paraId="3E9B2AC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D032E2" w14:paraId="68A10847" w14:textId="77777777">
        <w:trPr>
          <w:trHeight w:val="123"/>
        </w:trPr>
        <w:tc>
          <w:tcPr>
            <w:tcW w:w="3793" w:type="dxa"/>
            <w:tcBorders>
              <w:left w:val="nil"/>
              <w:bottom w:val="single" w:sz="6" w:space="0" w:color="000000"/>
              <w:right w:val="nil"/>
            </w:tcBorders>
            <w:tcMar>
              <w:top w:w="0" w:type="dxa"/>
              <w:left w:w="100" w:type="dxa"/>
              <w:bottom w:w="0" w:type="dxa"/>
              <w:right w:w="100" w:type="dxa"/>
            </w:tcMar>
            <w:vAlign w:val="center"/>
          </w:tcPr>
          <w:p w14:paraId="37F37301"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Not required</w:t>
            </w:r>
          </w:p>
        </w:tc>
        <w:tc>
          <w:tcPr>
            <w:tcW w:w="1134" w:type="dxa"/>
            <w:tcBorders>
              <w:left w:val="nil"/>
              <w:bottom w:val="single" w:sz="6" w:space="0" w:color="000000"/>
              <w:right w:val="nil"/>
            </w:tcBorders>
            <w:tcMar>
              <w:top w:w="0" w:type="dxa"/>
              <w:left w:w="100" w:type="dxa"/>
              <w:bottom w:w="0" w:type="dxa"/>
              <w:right w:w="100" w:type="dxa"/>
            </w:tcMar>
            <w:vAlign w:val="center"/>
          </w:tcPr>
          <w:p w14:paraId="118FBC4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134" w:type="dxa"/>
            <w:tcBorders>
              <w:left w:val="nil"/>
              <w:bottom w:val="single" w:sz="6" w:space="0" w:color="000000"/>
              <w:right w:val="nil"/>
            </w:tcBorders>
            <w:tcMar>
              <w:top w:w="0" w:type="dxa"/>
              <w:left w:w="100" w:type="dxa"/>
              <w:bottom w:w="0" w:type="dxa"/>
              <w:right w:w="100" w:type="dxa"/>
            </w:tcMar>
            <w:vAlign w:val="center"/>
          </w:tcPr>
          <w:p w14:paraId="52363A7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c>
          <w:tcPr>
            <w:tcW w:w="1134" w:type="dxa"/>
            <w:tcBorders>
              <w:left w:val="nil"/>
              <w:bottom w:val="single" w:sz="6" w:space="0" w:color="000000"/>
              <w:right w:val="nil"/>
            </w:tcBorders>
            <w:tcMar>
              <w:top w:w="0" w:type="dxa"/>
              <w:left w:w="100" w:type="dxa"/>
              <w:bottom w:w="0" w:type="dxa"/>
              <w:right w:w="100" w:type="dxa"/>
            </w:tcMar>
            <w:vAlign w:val="center"/>
          </w:tcPr>
          <w:p w14:paraId="056CF4A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34" w:type="dxa"/>
            <w:tcBorders>
              <w:left w:val="nil"/>
              <w:bottom w:val="single" w:sz="6" w:space="0" w:color="000000"/>
              <w:right w:val="nil"/>
            </w:tcBorders>
            <w:tcMar>
              <w:top w:w="0" w:type="dxa"/>
              <w:left w:w="100" w:type="dxa"/>
              <w:bottom w:w="0" w:type="dxa"/>
              <w:right w:w="100" w:type="dxa"/>
            </w:tcMar>
            <w:vAlign w:val="center"/>
          </w:tcPr>
          <w:p w14:paraId="3FF3020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bl>
    <w:p w14:paraId="04C767CF" w14:textId="77777777" w:rsidR="00D032E2" w:rsidRDefault="00D032E2">
      <w:pPr>
        <w:spacing w:line="240" w:lineRule="auto"/>
        <w:rPr>
          <w:rFonts w:ascii="Times New Roman" w:eastAsia="Times New Roman" w:hAnsi="Times New Roman" w:cs="Times New Roman"/>
          <w:sz w:val="24"/>
          <w:szCs w:val="24"/>
        </w:rPr>
      </w:pPr>
    </w:p>
    <w:p w14:paraId="70E625C5"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2</w:t>
      </w:r>
    </w:p>
    <w:p w14:paraId="4843F1E6"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2 compared </w:t>
      </w:r>
      <w:proofErr w:type="gramStart"/>
      <w:r>
        <w:rPr>
          <w:rFonts w:ascii="Times New Roman" w:eastAsia="Times New Roman" w:hAnsi="Times New Roman" w:cs="Times New Roman"/>
          <w:sz w:val="24"/>
          <w:szCs w:val="24"/>
        </w:rPr>
        <w:t>educators’</w:t>
      </w:r>
      <w:proofErr w:type="gramEnd"/>
      <w:r>
        <w:rPr>
          <w:rFonts w:ascii="Times New Roman" w:eastAsia="Times New Roman" w:hAnsi="Times New Roman" w:cs="Times New Roman"/>
          <w:sz w:val="24"/>
          <w:szCs w:val="24"/>
        </w:rPr>
        <w:t xml:space="preserve"> perceived barriers of SAE for All before and after professional development. Overall, educators reported fewer barriers after the training. However, when considering perceived student barriers, they indicated limited time investment from their teacher and the use of AET were two barriers that were more pronounced after the training (see Table 4).</w:t>
      </w:r>
    </w:p>
    <w:p w14:paraId="71A3DDA4"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4</w:t>
      </w:r>
    </w:p>
    <w:p w14:paraId="367ADBA8"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Perceived Barriers to SAE for All Implementation Before and After Attending Training</w:t>
      </w:r>
    </w:p>
    <w:tbl>
      <w:tblPr>
        <w:tblStyle w:val="a2"/>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90"/>
        <w:gridCol w:w="645"/>
        <w:gridCol w:w="1005"/>
        <w:gridCol w:w="1005"/>
        <w:gridCol w:w="1005"/>
        <w:gridCol w:w="1005"/>
      </w:tblGrid>
      <w:tr w:rsidR="00D032E2" w14:paraId="21322E70" w14:textId="77777777">
        <w:trPr>
          <w:trHeight w:val="220"/>
        </w:trPr>
        <w:tc>
          <w:tcPr>
            <w:tcW w:w="4290" w:type="dxa"/>
            <w:vMerge w:val="restart"/>
            <w:tcBorders>
              <w:top w:val="single" w:sz="6" w:space="0" w:color="000000"/>
              <w:bottom w:val="single" w:sz="8" w:space="0" w:color="000000"/>
            </w:tcBorders>
            <w:tcMar>
              <w:top w:w="0" w:type="dxa"/>
              <w:bottom w:w="0" w:type="dxa"/>
            </w:tcMar>
            <w:vAlign w:val="center"/>
          </w:tcPr>
          <w:p w14:paraId="2249984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Barrier</w:t>
            </w:r>
          </w:p>
        </w:tc>
        <w:tc>
          <w:tcPr>
            <w:tcW w:w="1650"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7C63598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141)</w:t>
            </w:r>
          </w:p>
        </w:tc>
        <w:tc>
          <w:tcPr>
            <w:tcW w:w="2010"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0A6F187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Post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91)</w:t>
            </w:r>
          </w:p>
        </w:tc>
        <w:tc>
          <w:tcPr>
            <w:tcW w:w="1005" w:type="dxa"/>
            <w:vMerge w:val="restart"/>
            <w:tcBorders>
              <w:top w:val="single" w:sz="6" w:space="0" w:color="000000"/>
              <w:left w:val="nil"/>
              <w:bottom w:val="single" w:sz="6" w:space="0" w:color="000000"/>
              <w:right w:val="nil"/>
            </w:tcBorders>
            <w:tcMar>
              <w:top w:w="0" w:type="dxa"/>
              <w:left w:w="100" w:type="dxa"/>
              <w:bottom w:w="0" w:type="dxa"/>
              <w:right w:w="100" w:type="dxa"/>
            </w:tcMar>
            <w:vAlign w:val="center"/>
          </w:tcPr>
          <w:p w14:paraId="630A678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Change</w:t>
            </w:r>
          </w:p>
        </w:tc>
      </w:tr>
      <w:tr w:rsidR="00D032E2" w14:paraId="13FC2989" w14:textId="77777777">
        <w:trPr>
          <w:trHeight w:val="220"/>
        </w:trPr>
        <w:tc>
          <w:tcPr>
            <w:tcW w:w="4290" w:type="dxa"/>
            <w:vMerge/>
            <w:tcBorders>
              <w:top w:val="single" w:sz="6" w:space="0" w:color="000000"/>
              <w:bottom w:val="single" w:sz="8" w:space="0" w:color="000000"/>
            </w:tcBorders>
            <w:tcMar>
              <w:top w:w="0" w:type="dxa"/>
              <w:bottom w:w="0" w:type="dxa"/>
            </w:tcMar>
            <w:vAlign w:val="center"/>
          </w:tcPr>
          <w:p w14:paraId="1D2C3F5A" w14:textId="77777777" w:rsidR="00D032E2" w:rsidRDefault="00D032E2">
            <w:pPr>
              <w:spacing w:line="240" w:lineRule="auto"/>
              <w:jc w:val="center"/>
              <w:rPr>
                <w:rFonts w:ascii="Times New Roman" w:eastAsia="Times New Roman" w:hAnsi="Times New Roman" w:cs="Times New Roman"/>
                <w:sz w:val="24"/>
                <w:szCs w:val="24"/>
              </w:rPr>
            </w:pPr>
          </w:p>
        </w:tc>
        <w:tc>
          <w:tcPr>
            <w:tcW w:w="64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4587302B"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w:t>
            </w:r>
          </w:p>
        </w:tc>
        <w:tc>
          <w:tcPr>
            <w:tcW w:w="100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6E4FBE9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0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4502A1C"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f</w:t>
            </w:r>
          </w:p>
        </w:tc>
        <w:tc>
          <w:tcPr>
            <w:tcW w:w="100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26C39E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005" w:type="dxa"/>
            <w:vMerge/>
            <w:tcBorders>
              <w:top w:val="single" w:sz="6" w:space="0" w:color="000000"/>
              <w:left w:val="nil"/>
              <w:bottom w:val="single" w:sz="6" w:space="0" w:color="000000"/>
              <w:right w:val="nil"/>
            </w:tcBorders>
            <w:tcMar>
              <w:top w:w="0" w:type="dxa"/>
              <w:left w:w="100" w:type="dxa"/>
              <w:bottom w:w="0" w:type="dxa"/>
              <w:right w:w="100" w:type="dxa"/>
            </w:tcMar>
            <w:vAlign w:val="center"/>
          </w:tcPr>
          <w:p w14:paraId="5CF73D6B"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66DF8E9F"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4BD22351" w14:textId="77777777" w:rsidR="00D032E2" w:rsidRDefault="00000000">
            <w:pPr>
              <w:spacing w:line="240" w:lineRule="auto"/>
              <w:ind w:left="-9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Perceived Teacher Barriers</w:t>
            </w:r>
          </w:p>
        </w:tc>
        <w:tc>
          <w:tcPr>
            <w:tcW w:w="645" w:type="dxa"/>
            <w:tcBorders>
              <w:top w:val="nil"/>
              <w:left w:val="nil"/>
              <w:bottom w:val="nil"/>
              <w:right w:val="nil"/>
            </w:tcBorders>
            <w:tcMar>
              <w:top w:w="0" w:type="dxa"/>
              <w:left w:w="100" w:type="dxa"/>
              <w:bottom w:w="0" w:type="dxa"/>
              <w:right w:w="100" w:type="dxa"/>
            </w:tcMar>
            <w:vAlign w:val="center"/>
          </w:tcPr>
          <w:p w14:paraId="57A1BD41"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72E656DA"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099EED26"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30FC7956"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60C7AA5D"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70D00674"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296F45A0"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Student effort</w:t>
            </w:r>
          </w:p>
        </w:tc>
        <w:tc>
          <w:tcPr>
            <w:tcW w:w="645" w:type="dxa"/>
            <w:tcBorders>
              <w:top w:val="nil"/>
              <w:left w:val="nil"/>
              <w:bottom w:val="nil"/>
              <w:right w:val="nil"/>
            </w:tcBorders>
            <w:tcMar>
              <w:top w:w="0" w:type="dxa"/>
              <w:left w:w="100" w:type="dxa"/>
              <w:bottom w:w="0" w:type="dxa"/>
              <w:right w:w="100" w:type="dxa"/>
            </w:tcMar>
            <w:vAlign w:val="center"/>
          </w:tcPr>
          <w:p w14:paraId="2CCED92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005" w:type="dxa"/>
            <w:tcBorders>
              <w:top w:val="nil"/>
              <w:left w:val="nil"/>
              <w:bottom w:val="nil"/>
              <w:right w:val="nil"/>
            </w:tcBorders>
            <w:tcMar>
              <w:top w:w="0" w:type="dxa"/>
              <w:left w:w="100" w:type="dxa"/>
              <w:bottom w:w="0" w:type="dxa"/>
              <w:right w:w="100" w:type="dxa"/>
            </w:tcMar>
            <w:vAlign w:val="center"/>
          </w:tcPr>
          <w:p w14:paraId="166C7DD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85.1%</w:t>
            </w:r>
          </w:p>
        </w:tc>
        <w:tc>
          <w:tcPr>
            <w:tcW w:w="1005" w:type="dxa"/>
            <w:tcBorders>
              <w:top w:val="nil"/>
              <w:left w:val="nil"/>
              <w:bottom w:val="nil"/>
              <w:right w:val="nil"/>
            </w:tcBorders>
            <w:tcMar>
              <w:top w:w="0" w:type="dxa"/>
              <w:left w:w="100" w:type="dxa"/>
              <w:bottom w:w="0" w:type="dxa"/>
              <w:right w:w="100" w:type="dxa"/>
            </w:tcMar>
            <w:vAlign w:val="center"/>
          </w:tcPr>
          <w:p w14:paraId="5B24531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w:t>
            </w:r>
          </w:p>
        </w:tc>
        <w:tc>
          <w:tcPr>
            <w:tcW w:w="1005" w:type="dxa"/>
            <w:tcBorders>
              <w:top w:val="nil"/>
              <w:left w:val="nil"/>
              <w:bottom w:val="nil"/>
              <w:right w:val="nil"/>
            </w:tcBorders>
            <w:tcMar>
              <w:top w:w="0" w:type="dxa"/>
              <w:left w:w="100" w:type="dxa"/>
              <w:bottom w:w="0" w:type="dxa"/>
              <w:right w:w="100" w:type="dxa"/>
            </w:tcMar>
            <w:vAlign w:val="center"/>
          </w:tcPr>
          <w:p w14:paraId="1B942C6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84.6%</w:t>
            </w:r>
          </w:p>
        </w:tc>
        <w:tc>
          <w:tcPr>
            <w:tcW w:w="1005" w:type="dxa"/>
            <w:tcBorders>
              <w:top w:val="nil"/>
              <w:left w:val="nil"/>
              <w:bottom w:val="nil"/>
              <w:right w:val="nil"/>
            </w:tcBorders>
            <w:tcMar>
              <w:top w:w="0" w:type="dxa"/>
              <w:left w:w="100" w:type="dxa"/>
              <w:bottom w:w="0" w:type="dxa"/>
              <w:right w:w="100" w:type="dxa"/>
            </w:tcMar>
            <w:vAlign w:val="center"/>
          </w:tcPr>
          <w:p w14:paraId="1E77B10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w:t>
            </w:r>
          </w:p>
        </w:tc>
      </w:tr>
      <w:tr w:rsidR="00D032E2" w14:paraId="354F911A"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77947BF6"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Time investment by students</w:t>
            </w:r>
          </w:p>
        </w:tc>
        <w:tc>
          <w:tcPr>
            <w:tcW w:w="645" w:type="dxa"/>
            <w:tcBorders>
              <w:top w:val="nil"/>
              <w:left w:val="nil"/>
              <w:bottom w:val="nil"/>
              <w:right w:val="nil"/>
            </w:tcBorders>
            <w:tcMar>
              <w:top w:w="0" w:type="dxa"/>
              <w:left w:w="100" w:type="dxa"/>
              <w:bottom w:w="0" w:type="dxa"/>
              <w:right w:w="100" w:type="dxa"/>
            </w:tcMar>
            <w:vAlign w:val="center"/>
          </w:tcPr>
          <w:p w14:paraId="166474E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w:t>
            </w:r>
          </w:p>
        </w:tc>
        <w:tc>
          <w:tcPr>
            <w:tcW w:w="1005" w:type="dxa"/>
            <w:tcBorders>
              <w:top w:val="nil"/>
              <w:left w:val="nil"/>
              <w:bottom w:val="nil"/>
              <w:right w:val="nil"/>
            </w:tcBorders>
            <w:tcMar>
              <w:top w:w="0" w:type="dxa"/>
              <w:left w:w="100" w:type="dxa"/>
              <w:bottom w:w="0" w:type="dxa"/>
              <w:right w:w="100" w:type="dxa"/>
            </w:tcMar>
            <w:vAlign w:val="center"/>
          </w:tcPr>
          <w:p w14:paraId="26E537A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80.1%</w:t>
            </w:r>
          </w:p>
        </w:tc>
        <w:tc>
          <w:tcPr>
            <w:tcW w:w="1005" w:type="dxa"/>
            <w:tcBorders>
              <w:top w:val="nil"/>
              <w:left w:val="nil"/>
              <w:bottom w:val="nil"/>
              <w:right w:val="nil"/>
            </w:tcBorders>
            <w:tcMar>
              <w:top w:w="0" w:type="dxa"/>
              <w:left w:w="100" w:type="dxa"/>
              <w:bottom w:w="0" w:type="dxa"/>
              <w:right w:w="100" w:type="dxa"/>
            </w:tcMar>
            <w:vAlign w:val="center"/>
          </w:tcPr>
          <w:p w14:paraId="4294DFE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1005" w:type="dxa"/>
            <w:tcBorders>
              <w:top w:val="nil"/>
              <w:left w:val="nil"/>
              <w:bottom w:val="nil"/>
              <w:right w:val="nil"/>
            </w:tcBorders>
            <w:tcMar>
              <w:top w:w="0" w:type="dxa"/>
              <w:left w:w="100" w:type="dxa"/>
              <w:bottom w:w="0" w:type="dxa"/>
              <w:right w:w="100" w:type="dxa"/>
            </w:tcMar>
            <w:vAlign w:val="center"/>
          </w:tcPr>
          <w:p w14:paraId="645F744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68.1%</w:t>
            </w:r>
          </w:p>
        </w:tc>
        <w:tc>
          <w:tcPr>
            <w:tcW w:w="1005" w:type="dxa"/>
            <w:tcBorders>
              <w:top w:val="nil"/>
              <w:left w:val="nil"/>
              <w:bottom w:val="nil"/>
              <w:right w:val="nil"/>
            </w:tcBorders>
            <w:tcMar>
              <w:top w:w="0" w:type="dxa"/>
              <w:left w:w="100" w:type="dxa"/>
              <w:bottom w:w="0" w:type="dxa"/>
              <w:right w:w="100" w:type="dxa"/>
            </w:tcMar>
            <w:vAlign w:val="center"/>
          </w:tcPr>
          <w:p w14:paraId="3CFC477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r>
      <w:tr w:rsidR="00D032E2" w14:paraId="44133C85"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487E749A"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Lack of teacher understanding</w:t>
            </w:r>
          </w:p>
        </w:tc>
        <w:tc>
          <w:tcPr>
            <w:tcW w:w="645" w:type="dxa"/>
            <w:tcBorders>
              <w:top w:val="nil"/>
              <w:left w:val="nil"/>
              <w:bottom w:val="nil"/>
              <w:right w:val="nil"/>
            </w:tcBorders>
            <w:tcMar>
              <w:top w:w="0" w:type="dxa"/>
              <w:left w:w="100" w:type="dxa"/>
              <w:bottom w:w="0" w:type="dxa"/>
              <w:right w:w="100" w:type="dxa"/>
            </w:tcMar>
            <w:vAlign w:val="center"/>
          </w:tcPr>
          <w:p w14:paraId="364C0FD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005" w:type="dxa"/>
            <w:tcBorders>
              <w:top w:val="nil"/>
              <w:left w:val="nil"/>
              <w:bottom w:val="nil"/>
              <w:right w:val="nil"/>
            </w:tcBorders>
            <w:tcMar>
              <w:top w:w="0" w:type="dxa"/>
              <w:left w:w="100" w:type="dxa"/>
              <w:bottom w:w="0" w:type="dxa"/>
              <w:right w:w="100" w:type="dxa"/>
            </w:tcMar>
            <w:vAlign w:val="center"/>
          </w:tcPr>
          <w:p w14:paraId="1F08610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31.3%</w:t>
            </w:r>
          </w:p>
        </w:tc>
        <w:tc>
          <w:tcPr>
            <w:tcW w:w="1005" w:type="dxa"/>
            <w:tcBorders>
              <w:top w:val="nil"/>
              <w:left w:val="nil"/>
              <w:bottom w:val="nil"/>
              <w:right w:val="nil"/>
            </w:tcBorders>
            <w:tcMar>
              <w:top w:w="0" w:type="dxa"/>
              <w:left w:w="100" w:type="dxa"/>
              <w:bottom w:w="0" w:type="dxa"/>
              <w:right w:w="100" w:type="dxa"/>
            </w:tcMar>
            <w:vAlign w:val="center"/>
          </w:tcPr>
          <w:p w14:paraId="1F80278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005" w:type="dxa"/>
            <w:tcBorders>
              <w:top w:val="nil"/>
              <w:left w:val="nil"/>
              <w:bottom w:val="nil"/>
              <w:right w:val="nil"/>
            </w:tcBorders>
            <w:tcMar>
              <w:top w:w="0" w:type="dxa"/>
              <w:left w:w="100" w:type="dxa"/>
              <w:bottom w:w="0" w:type="dxa"/>
              <w:right w:w="100" w:type="dxa"/>
            </w:tcMar>
            <w:vAlign w:val="center"/>
          </w:tcPr>
          <w:p w14:paraId="1279774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p>
        </w:tc>
        <w:tc>
          <w:tcPr>
            <w:tcW w:w="1005" w:type="dxa"/>
            <w:tcBorders>
              <w:top w:val="nil"/>
              <w:left w:val="nil"/>
              <w:bottom w:val="nil"/>
              <w:right w:val="nil"/>
            </w:tcBorders>
            <w:tcMar>
              <w:top w:w="0" w:type="dxa"/>
              <w:left w:w="100" w:type="dxa"/>
              <w:bottom w:w="0" w:type="dxa"/>
              <w:right w:w="100" w:type="dxa"/>
            </w:tcMar>
            <w:vAlign w:val="center"/>
          </w:tcPr>
          <w:p w14:paraId="58E0D33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r>
      <w:tr w:rsidR="00D032E2" w14:paraId="2EF5F95B"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310590DC"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Lack of resources to implement</w:t>
            </w:r>
          </w:p>
        </w:tc>
        <w:tc>
          <w:tcPr>
            <w:tcW w:w="645" w:type="dxa"/>
            <w:tcBorders>
              <w:top w:val="nil"/>
              <w:left w:val="nil"/>
              <w:bottom w:val="nil"/>
              <w:right w:val="nil"/>
            </w:tcBorders>
            <w:tcMar>
              <w:top w:w="0" w:type="dxa"/>
              <w:left w:w="100" w:type="dxa"/>
              <w:bottom w:w="0" w:type="dxa"/>
              <w:right w:w="100" w:type="dxa"/>
            </w:tcMar>
            <w:vAlign w:val="center"/>
          </w:tcPr>
          <w:p w14:paraId="3D9319E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1005" w:type="dxa"/>
            <w:tcBorders>
              <w:top w:val="nil"/>
              <w:left w:val="nil"/>
              <w:bottom w:val="nil"/>
              <w:right w:val="nil"/>
            </w:tcBorders>
            <w:tcMar>
              <w:top w:w="0" w:type="dxa"/>
              <w:left w:w="100" w:type="dxa"/>
              <w:bottom w:w="0" w:type="dxa"/>
              <w:right w:w="100" w:type="dxa"/>
            </w:tcMar>
            <w:vAlign w:val="center"/>
          </w:tcPr>
          <w:p w14:paraId="4F55351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1005" w:type="dxa"/>
            <w:tcBorders>
              <w:top w:val="nil"/>
              <w:left w:val="nil"/>
              <w:bottom w:val="nil"/>
              <w:right w:val="nil"/>
            </w:tcBorders>
            <w:tcMar>
              <w:top w:w="0" w:type="dxa"/>
              <w:left w:w="100" w:type="dxa"/>
              <w:bottom w:w="0" w:type="dxa"/>
              <w:right w:w="100" w:type="dxa"/>
            </w:tcMar>
            <w:vAlign w:val="center"/>
          </w:tcPr>
          <w:p w14:paraId="12E2977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005" w:type="dxa"/>
            <w:tcBorders>
              <w:top w:val="nil"/>
              <w:left w:val="nil"/>
              <w:bottom w:val="nil"/>
              <w:right w:val="nil"/>
            </w:tcBorders>
            <w:tcMar>
              <w:top w:w="0" w:type="dxa"/>
              <w:left w:w="100" w:type="dxa"/>
              <w:bottom w:w="0" w:type="dxa"/>
              <w:right w:w="100" w:type="dxa"/>
            </w:tcMar>
            <w:vAlign w:val="center"/>
          </w:tcPr>
          <w:p w14:paraId="19D9571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12.1%</w:t>
            </w:r>
          </w:p>
        </w:tc>
        <w:tc>
          <w:tcPr>
            <w:tcW w:w="1005" w:type="dxa"/>
            <w:tcBorders>
              <w:top w:val="nil"/>
              <w:left w:val="nil"/>
              <w:bottom w:val="nil"/>
              <w:right w:val="nil"/>
            </w:tcBorders>
            <w:tcMar>
              <w:top w:w="0" w:type="dxa"/>
              <w:left w:w="100" w:type="dxa"/>
              <w:bottom w:w="0" w:type="dxa"/>
              <w:right w:w="100" w:type="dxa"/>
            </w:tcMar>
            <w:vAlign w:val="center"/>
          </w:tcPr>
          <w:p w14:paraId="41EFFE2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r>
      <w:tr w:rsidR="00D032E2" w14:paraId="35C04C30"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2D6BF412"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Lack of interest</w:t>
            </w:r>
          </w:p>
        </w:tc>
        <w:tc>
          <w:tcPr>
            <w:tcW w:w="645" w:type="dxa"/>
            <w:tcBorders>
              <w:top w:val="nil"/>
              <w:left w:val="nil"/>
              <w:bottom w:val="nil"/>
              <w:right w:val="nil"/>
            </w:tcBorders>
            <w:tcMar>
              <w:top w:w="0" w:type="dxa"/>
              <w:left w:w="100" w:type="dxa"/>
              <w:bottom w:w="0" w:type="dxa"/>
              <w:right w:w="100" w:type="dxa"/>
            </w:tcMar>
            <w:vAlign w:val="center"/>
          </w:tcPr>
          <w:p w14:paraId="217F327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p>
        </w:tc>
        <w:tc>
          <w:tcPr>
            <w:tcW w:w="1005" w:type="dxa"/>
            <w:tcBorders>
              <w:top w:val="nil"/>
              <w:left w:val="nil"/>
              <w:bottom w:val="nil"/>
              <w:right w:val="nil"/>
            </w:tcBorders>
            <w:tcMar>
              <w:top w:w="0" w:type="dxa"/>
              <w:left w:w="100" w:type="dxa"/>
              <w:bottom w:w="0" w:type="dxa"/>
              <w:right w:w="100" w:type="dxa"/>
            </w:tcMar>
            <w:vAlign w:val="center"/>
          </w:tcPr>
          <w:p w14:paraId="27C0474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51.8%</w:t>
            </w:r>
          </w:p>
        </w:tc>
        <w:tc>
          <w:tcPr>
            <w:tcW w:w="1005" w:type="dxa"/>
            <w:tcBorders>
              <w:top w:val="nil"/>
              <w:left w:val="nil"/>
              <w:bottom w:val="nil"/>
              <w:right w:val="nil"/>
            </w:tcBorders>
            <w:tcMar>
              <w:top w:w="0" w:type="dxa"/>
              <w:left w:w="100" w:type="dxa"/>
              <w:bottom w:w="0" w:type="dxa"/>
              <w:right w:w="100" w:type="dxa"/>
            </w:tcMar>
            <w:vAlign w:val="center"/>
          </w:tcPr>
          <w:p w14:paraId="167BBAF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005" w:type="dxa"/>
            <w:tcBorders>
              <w:top w:val="nil"/>
              <w:left w:val="nil"/>
              <w:bottom w:val="nil"/>
              <w:right w:val="nil"/>
            </w:tcBorders>
            <w:tcMar>
              <w:top w:w="0" w:type="dxa"/>
              <w:left w:w="100" w:type="dxa"/>
              <w:bottom w:w="0" w:type="dxa"/>
              <w:right w:w="100" w:type="dxa"/>
            </w:tcMar>
            <w:vAlign w:val="center"/>
          </w:tcPr>
          <w:p w14:paraId="23C0BB2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47.3%</w:t>
            </w:r>
          </w:p>
        </w:tc>
        <w:tc>
          <w:tcPr>
            <w:tcW w:w="1005" w:type="dxa"/>
            <w:tcBorders>
              <w:top w:val="nil"/>
              <w:left w:val="nil"/>
              <w:bottom w:val="nil"/>
              <w:right w:val="nil"/>
            </w:tcBorders>
            <w:tcMar>
              <w:top w:w="0" w:type="dxa"/>
              <w:left w:w="100" w:type="dxa"/>
              <w:bottom w:w="0" w:type="dxa"/>
              <w:right w:w="100" w:type="dxa"/>
            </w:tcMar>
            <w:vAlign w:val="center"/>
          </w:tcPr>
          <w:p w14:paraId="33D9633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r>
      <w:tr w:rsidR="00D032E2" w14:paraId="356D4A87"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2D37960B"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Using AET</w:t>
            </w:r>
          </w:p>
        </w:tc>
        <w:tc>
          <w:tcPr>
            <w:tcW w:w="645" w:type="dxa"/>
            <w:tcBorders>
              <w:top w:val="nil"/>
              <w:left w:val="nil"/>
              <w:bottom w:val="nil"/>
              <w:right w:val="nil"/>
            </w:tcBorders>
            <w:tcMar>
              <w:top w:w="0" w:type="dxa"/>
              <w:left w:w="100" w:type="dxa"/>
              <w:bottom w:w="0" w:type="dxa"/>
              <w:right w:w="100" w:type="dxa"/>
            </w:tcMar>
            <w:vAlign w:val="center"/>
          </w:tcPr>
          <w:p w14:paraId="4883FE3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005" w:type="dxa"/>
            <w:tcBorders>
              <w:top w:val="nil"/>
              <w:left w:val="nil"/>
              <w:bottom w:val="nil"/>
              <w:right w:val="nil"/>
            </w:tcBorders>
            <w:tcMar>
              <w:top w:w="0" w:type="dxa"/>
              <w:left w:w="100" w:type="dxa"/>
              <w:bottom w:w="0" w:type="dxa"/>
              <w:right w:w="100" w:type="dxa"/>
            </w:tcMar>
            <w:vAlign w:val="center"/>
          </w:tcPr>
          <w:p w14:paraId="0ABC2BC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33.3%</w:t>
            </w:r>
          </w:p>
        </w:tc>
        <w:tc>
          <w:tcPr>
            <w:tcW w:w="1005" w:type="dxa"/>
            <w:tcBorders>
              <w:top w:val="nil"/>
              <w:left w:val="nil"/>
              <w:bottom w:val="nil"/>
              <w:right w:val="nil"/>
            </w:tcBorders>
            <w:tcMar>
              <w:top w:w="0" w:type="dxa"/>
              <w:left w:w="100" w:type="dxa"/>
              <w:bottom w:w="0" w:type="dxa"/>
              <w:right w:w="100" w:type="dxa"/>
            </w:tcMar>
            <w:vAlign w:val="center"/>
          </w:tcPr>
          <w:p w14:paraId="6FE7E95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005" w:type="dxa"/>
            <w:tcBorders>
              <w:top w:val="nil"/>
              <w:left w:val="nil"/>
              <w:bottom w:val="nil"/>
              <w:right w:val="nil"/>
            </w:tcBorders>
            <w:tcMar>
              <w:top w:w="0" w:type="dxa"/>
              <w:left w:w="100" w:type="dxa"/>
              <w:bottom w:w="0" w:type="dxa"/>
              <w:right w:w="100" w:type="dxa"/>
            </w:tcMar>
            <w:vAlign w:val="center"/>
          </w:tcPr>
          <w:p w14:paraId="2EEFF1C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30.8%</w:t>
            </w:r>
          </w:p>
        </w:tc>
        <w:tc>
          <w:tcPr>
            <w:tcW w:w="1005" w:type="dxa"/>
            <w:tcBorders>
              <w:top w:val="nil"/>
              <w:left w:val="nil"/>
              <w:bottom w:val="nil"/>
              <w:right w:val="nil"/>
            </w:tcBorders>
            <w:tcMar>
              <w:top w:w="0" w:type="dxa"/>
              <w:left w:w="100" w:type="dxa"/>
              <w:bottom w:w="0" w:type="dxa"/>
              <w:right w:w="100" w:type="dxa"/>
            </w:tcMar>
            <w:vAlign w:val="center"/>
          </w:tcPr>
          <w:p w14:paraId="461BD95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r>
      <w:tr w:rsidR="00D032E2" w14:paraId="70078E90"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3CD0DCCF"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Lack of funding (e.g., summer pay)</w:t>
            </w:r>
          </w:p>
        </w:tc>
        <w:tc>
          <w:tcPr>
            <w:tcW w:w="645" w:type="dxa"/>
            <w:tcBorders>
              <w:top w:val="nil"/>
              <w:left w:val="nil"/>
              <w:bottom w:val="nil"/>
              <w:right w:val="nil"/>
            </w:tcBorders>
            <w:tcMar>
              <w:top w:w="0" w:type="dxa"/>
              <w:left w:w="100" w:type="dxa"/>
              <w:bottom w:w="0" w:type="dxa"/>
              <w:right w:w="100" w:type="dxa"/>
            </w:tcMar>
            <w:vAlign w:val="center"/>
          </w:tcPr>
          <w:p w14:paraId="33B3BAC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005" w:type="dxa"/>
            <w:tcBorders>
              <w:top w:val="nil"/>
              <w:left w:val="nil"/>
              <w:bottom w:val="nil"/>
              <w:right w:val="nil"/>
            </w:tcBorders>
            <w:tcMar>
              <w:top w:w="0" w:type="dxa"/>
              <w:left w:w="100" w:type="dxa"/>
              <w:bottom w:w="0" w:type="dxa"/>
              <w:right w:w="100" w:type="dxa"/>
            </w:tcMar>
            <w:vAlign w:val="center"/>
          </w:tcPr>
          <w:p w14:paraId="11114C5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28.3%</w:t>
            </w:r>
          </w:p>
        </w:tc>
        <w:tc>
          <w:tcPr>
            <w:tcW w:w="1005" w:type="dxa"/>
            <w:tcBorders>
              <w:top w:val="nil"/>
              <w:left w:val="nil"/>
              <w:bottom w:val="nil"/>
              <w:right w:val="nil"/>
            </w:tcBorders>
            <w:tcMar>
              <w:top w:w="0" w:type="dxa"/>
              <w:left w:w="100" w:type="dxa"/>
              <w:bottom w:w="0" w:type="dxa"/>
              <w:right w:w="100" w:type="dxa"/>
            </w:tcMar>
            <w:vAlign w:val="center"/>
          </w:tcPr>
          <w:p w14:paraId="5FAB977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1005" w:type="dxa"/>
            <w:tcBorders>
              <w:top w:val="nil"/>
              <w:left w:val="nil"/>
              <w:bottom w:val="nil"/>
              <w:right w:val="nil"/>
            </w:tcBorders>
            <w:tcMar>
              <w:top w:w="0" w:type="dxa"/>
              <w:left w:w="100" w:type="dxa"/>
              <w:bottom w:w="0" w:type="dxa"/>
              <w:right w:w="100" w:type="dxa"/>
            </w:tcMar>
            <w:vAlign w:val="center"/>
          </w:tcPr>
          <w:p w14:paraId="54DE06C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p>
        </w:tc>
        <w:tc>
          <w:tcPr>
            <w:tcW w:w="1005" w:type="dxa"/>
            <w:tcBorders>
              <w:top w:val="nil"/>
              <w:left w:val="nil"/>
              <w:bottom w:val="nil"/>
              <w:right w:val="nil"/>
            </w:tcBorders>
            <w:tcMar>
              <w:top w:w="0" w:type="dxa"/>
              <w:left w:w="100" w:type="dxa"/>
              <w:bottom w:w="0" w:type="dxa"/>
              <w:right w:w="100" w:type="dxa"/>
            </w:tcMar>
            <w:vAlign w:val="center"/>
          </w:tcPr>
          <w:p w14:paraId="64B788C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r>
      <w:tr w:rsidR="00D032E2" w14:paraId="5D69FCEB"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6CF51AB4"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and grading</w:t>
            </w:r>
          </w:p>
        </w:tc>
        <w:tc>
          <w:tcPr>
            <w:tcW w:w="645" w:type="dxa"/>
            <w:tcBorders>
              <w:top w:val="nil"/>
              <w:left w:val="nil"/>
              <w:bottom w:val="nil"/>
              <w:right w:val="nil"/>
            </w:tcBorders>
            <w:tcMar>
              <w:top w:w="0" w:type="dxa"/>
              <w:left w:w="100" w:type="dxa"/>
              <w:bottom w:w="0" w:type="dxa"/>
              <w:right w:w="100" w:type="dxa"/>
            </w:tcMar>
            <w:vAlign w:val="center"/>
          </w:tcPr>
          <w:p w14:paraId="120E56E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005" w:type="dxa"/>
            <w:tcBorders>
              <w:top w:val="nil"/>
              <w:left w:val="nil"/>
              <w:bottom w:val="nil"/>
              <w:right w:val="nil"/>
            </w:tcBorders>
            <w:tcMar>
              <w:top w:w="0" w:type="dxa"/>
              <w:left w:w="100" w:type="dxa"/>
              <w:bottom w:w="0" w:type="dxa"/>
              <w:right w:w="100" w:type="dxa"/>
            </w:tcMar>
            <w:vAlign w:val="center"/>
          </w:tcPr>
          <w:p w14:paraId="4B291BA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31.3%</w:t>
            </w:r>
          </w:p>
        </w:tc>
        <w:tc>
          <w:tcPr>
            <w:tcW w:w="1005" w:type="dxa"/>
            <w:tcBorders>
              <w:top w:val="nil"/>
              <w:left w:val="nil"/>
              <w:bottom w:val="nil"/>
              <w:right w:val="nil"/>
            </w:tcBorders>
            <w:tcMar>
              <w:top w:w="0" w:type="dxa"/>
              <w:left w:w="100" w:type="dxa"/>
              <w:bottom w:w="0" w:type="dxa"/>
              <w:right w:w="100" w:type="dxa"/>
            </w:tcMar>
            <w:vAlign w:val="center"/>
          </w:tcPr>
          <w:p w14:paraId="0316F54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005" w:type="dxa"/>
            <w:tcBorders>
              <w:top w:val="nil"/>
              <w:left w:val="nil"/>
              <w:bottom w:val="nil"/>
              <w:right w:val="nil"/>
            </w:tcBorders>
            <w:tcMar>
              <w:top w:w="0" w:type="dxa"/>
              <w:left w:w="100" w:type="dxa"/>
              <w:bottom w:w="0" w:type="dxa"/>
              <w:right w:w="100" w:type="dxa"/>
            </w:tcMar>
            <w:vAlign w:val="center"/>
          </w:tcPr>
          <w:p w14:paraId="22CC078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p>
        </w:tc>
        <w:tc>
          <w:tcPr>
            <w:tcW w:w="1005" w:type="dxa"/>
            <w:tcBorders>
              <w:top w:val="nil"/>
              <w:left w:val="nil"/>
              <w:bottom w:val="nil"/>
              <w:right w:val="nil"/>
            </w:tcBorders>
            <w:tcMar>
              <w:top w:w="0" w:type="dxa"/>
              <w:left w:w="100" w:type="dxa"/>
              <w:bottom w:w="0" w:type="dxa"/>
              <w:right w:w="100" w:type="dxa"/>
            </w:tcMar>
            <w:vAlign w:val="center"/>
          </w:tcPr>
          <w:p w14:paraId="08486C2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w:t>
            </w:r>
          </w:p>
        </w:tc>
      </w:tr>
      <w:tr w:rsidR="00D032E2" w14:paraId="6042BD44"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46189AAA" w14:textId="77777777" w:rsidR="00D032E2" w:rsidRDefault="00000000">
            <w:pPr>
              <w:spacing w:line="240" w:lineRule="auto"/>
              <w:ind w:left="-9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Perceived Student Barriers</w:t>
            </w:r>
          </w:p>
        </w:tc>
        <w:tc>
          <w:tcPr>
            <w:tcW w:w="645" w:type="dxa"/>
            <w:tcBorders>
              <w:top w:val="nil"/>
              <w:left w:val="nil"/>
              <w:bottom w:val="nil"/>
              <w:right w:val="nil"/>
            </w:tcBorders>
            <w:tcMar>
              <w:top w:w="0" w:type="dxa"/>
              <w:left w:w="100" w:type="dxa"/>
              <w:bottom w:w="0" w:type="dxa"/>
              <w:right w:w="100" w:type="dxa"/>
            </w:tcMar>
            <w:vAlign w:val="center"/>
          </w:tcPr>
          <w:p w14:paraId="38F236B0"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3F28C9FD"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1AD9D6C3"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3210C73D"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48B8452D"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34A7BD1B"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7B63C572"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Student effort</w:t>
            </w:r>
          </w:p>
        </w:tc>
        <w:tc>
          <w:tcPr>
            <w:tcW w:w="645" w:type="dxa"/>
            <w:tcBorders>
              <w:top w:val="nil"/>
              <w:left w:val="nil"/>
              <w:bottom w:val="nil"/>
              <w:right w:val="nil"/>
            </w:tcBorders>
            <w:tcMar>
              <w:top w:w="0" w:type="dxa"/>
              <w:left w:w="100" w:type="dxa"/>
              <w:bottom w:w="0" w:type="dxa"/>
              <w:right w:w="100" w:type="dxa"/>
            </w:tcMar>
            <w:vAlign w:val="center"/>
          </w:tcPr>
          <w:p w14:paraId="3D9AAE4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w:t>
            </w:r>
          </w:p>
        </w:tc>
        <w:tc>
          <w:tcPr>
            <w:tcW w:w="1005" w:type="dxa"/>
            <w:tcBorders>
              <w:top w:val="nil"/>
              <w:left w:val="nil"/>
              <w:bottom w:val="nil"/>
              <w:right w:val="nil"/>
            </w:tcBorders>
            <w:tcMar>
              <w:top w:w="0" w:type="dxa"/>
              <w:left w:w="100" w:type="dxa"/>
              <w:bottom w:w="0" w:type="dxa"/>
              <w:right w:w="100" w:type="dxa"/>
            </w:tcMar>
            <w:vAlign w:val="center"/>
          </w:tcPr>
          <w:p w14:paraId="721BFFF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68.8%</w:t>
            </w:r>
          </w:p>
        </w:tc>
        <w:tc>
          <w:tcPr>
            <w:tcW w:w="1005" w:type="dxa"/>
            <w:tcBorders>
              <w:top w:val="nil"/>
              <w:left w:val="nil"/>
              <w:bottom w:val="nil"/>
              <w:right w:val="nil"/>
            </w:tcBorders>
            <w:tcMar>
              <w:top w:w="0" w:type="dxa"/>
              <w:left w:w="100" w:type="dxa"/>
              <w:bottom w:w="0" w:type="dxa"/>
              <w:right w:w="100" w:type="dxa"/>
            </w:tcMar>
            <w:vAlign w:val="center"/>
          </w:tcPr>
          <w:p w14:paraId="373715A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1005" w:type="dxa"/>
            <w:tcBorders>
              <w:top w:val="nil"/>
              <w:left w:val="nil"/>
              <w:bottom w:val="nil"/>
              <w:right w:val="nil"/>
            </w:tcBorders>
            <w:tcMar>
              <w:top w:w="0" w:type="dxa"/>
              <w:left w:w="100" w:type="dxa"/>
              <w:bottom w:w="0" w:type="dxa"/>
              <w:right w:w="100" w:type="dxa"/>
            </w:tcMar>
            <w:vAlign w:val="center"/>
          </w:tcPr>
          <w:p w14:paraId="57464B4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57.1%</w:t>
            </w:r>
          </w:p>
        </w:tc>
        <w:tc>
          <w:tcPr>
            <w:tcW w:w="1005" w:type="dxa"/>
            <w:tcBorders>
              <w:top w:val="nil"/>
              <w:left w:val="nil"/>
              <w:bottom w:val="nil"/>
              <w:right w:val="nil"/>
            </w:tcBorders>
            <w:tcMar>
              <w:top w:w="0" w:type="dxa"/>
              <w:left w:w="100" w:type="dxa"/>
              <w:bottom w:w="0" w:type="dxa"/>
              <w:right w:w="100" w:type="dxa"/>
            </w:tcMar>
            <w:vAlign w:val="center"/>
          </w:tcPr>
          <w:p w14:paraId="3EC2078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-11.7%</w:t>
            </w:r>
          </w:p>
        </w:tc>
      </w:tr>
      <w:tr w:rsidR="00D032E2" w14:paraId="62E878F4"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220E8057"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Time investment by the teacher</w:t>
            </w:r>
          </w:p>
        </w:tc>
        <w:tc>
          <w:tcPr>
            <w:tcW w:w="645" w:type="dxa"/>
            <w:tcBorders>
              <w:top w:val="nil"/>
              <w:left w:val="nil"/>
              <w:bottom w:val="nil"/>
              <w:right w:val="nil"/>
            </w:tcBorders>
            <w:tcMar>
              <w:top w:w="0" w:type="dxa"/>
              <w:left w:w="100" w:type="dxa"/>
              <w:bottom w:w="0" w:type="dxa"/>
              <w:right w:w="100" w:type="dxa"/>
            </w:tcMar>
            <w:vAlign w:val="center"/>
          </w:tcPr>
          <w:p w14:paraId="215E40A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1005" w:type="dxa"/>
            <w:tcBorders>
              <w:top w:val="nil"/>
              <w:left w:val="nil"/>
              <w:bottom w:val="nil"/>
              <w:right w:val="nil"/>
            </w:tcBorders>
            <w:tcMar>
              <w:top w:w="0" w:type="dxa"/>
              <w:left w:w="100" w:type="dxa"/>
              <w:bottom w:w="0" w:type="dxa"/>
              <w:right w:w="100" w:type="dxa"/>
            </w:tcMar>
            <w:vAlign w:val="center"/>
          </w:tcPr>
          <w:p w14:paraId="37E41A1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19.1%</w:t>
            </w:r>
          </w:p>
        </w:tc>
        <w:tc>
          <w:tcPr>
            <w:tcW w:w="1005" w:type="dxa"/>
            <w:tcBorders>
              <w:top w:val="nil"/>
              <w:left w:val="nil"/>
              <w:bottom w:val="nil"/>
              <w:right w:val="nil"/>
            </w:tcBorders>
            <w:tcMar>
              <w:top w:w="0" w:type="dxa"/>
              <w:left w:w="100" w:type="dxa"/>
              <w:bottom w:w="0" w:type="dxa"/>
              <w:right w:w="100" w:type="dxa"/>
            </w:tcMar>
            <w:vAlign w:val="center"/>
          </w:tcPr>
          <w:p w14:paraId="44C9DE1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005" w:type="dxa"/>
            <w:tcBorders>
              <w:top w:val="nil"/>
              <w:left w:val="nil"/>
              <w:bottom w:val="nil"/>
              <w:right w:val="nil"/>
            </w:tcBorders>
            <w:tcMar>
              <w:top w:w="0" w:type="dxa"/>
              <w:left w:w="100" w:type="dxa"/>
              <w:bottom w:w="0" w:type="dxa"/>
              <w:right w:w="100" w:type="dxa"/>
            </w:tcMar>
            <w:vAlign w:val="center"/>
          </w:tcPr>
          <w:p w14:paraId="0F5ADEB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19.8%</w:t>
            </w:r>
          </w:p>
        </w:tc>
        <w:tc>
          <w:tcPr>
            <w:tcW w:w="1005" w:type="dxa"/>
            <w:tcBorders>
              <w:top w:val="nil"/>
              <w:left w:val="nil"/>
              <w:bottom w:val="nil"/>
              <w:right w:val="nil"/>
            </w:tcBorders>
            <w:tcMar>
              <w:top w:w="0" w:type="dxa"/>
              <w:left w:w="100" w:type="dxa"/>
              <w:bottom w:w="0" w:type="dxa"/>
              <w:right w:w="100" w:type="dxa"/>
            </w:tcMar>
            <w:vAlign w:val="center"/>
          </w:tcPr>
          <w:p w14:paraId="2C20018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p>
        </w:tc>
      </w:tr>
      <w:tr w:rsidR="00D032E2" w14:paraId="7A0DDFF5"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0B7516B7"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Lack of student understanding</w:t>
            </w:r>
          </w:p>
        </w:tc>
        <w:tc>
          <w:tcPr>
            <w:tcW w:w="645" w:type="dxa"/>
            <w:tcBorders>
              <w:top w:val="nil"/>
              <w:left w:val="nil"/>
              <w:bottom w:val="nil"/>
              <w:right w:val="nil"/>
            </w:tcBorders>
            <w:tcMar>
              <w:top w:w="0" w:type="dxa"/>
              <w:left w:w="100" w:type="dxa"/>
              <w:bottom w:w="0" w:type="dxa"/>
              <w:right w:w="100" w:type="dxa"/>
            </w:tcMar>
            <w:vAlign w:val="center"/>
          </w:tcPr>
          <w:p w14:paraId="25F5177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c>
          <w:tcPr>
            <w:tcW w:w="1005" w:type="dxa"/>
            <w:tcBorders>
              <w:top w:val="nil"/>
              <w:left w:val="nil"/>
              <w:bottom w:val="nil"/>
              <w:right w:val="nil"/>
            </w:tcBorders>
            <w:tcMar>
              <w:top w:w="0" w:type="dxa"/>
              <w:left w:w="100" w:type="dxa"/>
              <w:bottom w:w="0" w:type="dxa"/>
              <w:right w:w="100" w:type="dxa"/>
            </w:tcMar>
            <w:vAlign w:val="center"/>
          </w:tcPr>
          <w:p w14:paraId="4690FCE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56.7%</w:t>
            </w:r>
          </w:p>
        </w:tc>
        <w:tc>
          <w:tcPr>
            <w:tcW w:w="1005" w:type="dxa"/>
            <w:tcBorders>
              <w:top w:val="nil"/>
              <w:left w:val="nil"/>
              <w:bottom w:val="nil"/>
              <w:right w:val="nil"/>
            </w:tcBorders>
            <w:tcMar>
              <w:top w:w="0" w:type="dxa"/>
              <w:left w:w="100" w:type="dxa"/>
              <w:bottom w:w="0" w:type="dxa"/>
              <w:right w:w="100" w:type="dxa"/>
            </w:tcMar>
            <w:vAlign w:val="center"/>
          </w:tcPr>
          <w:p w14:paraId="4343F6C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1005" w:type="dxa"/>
            <w:tcBorders>
              <w:top w:val="nil"/>
              <w:left w:val="nil"/>
              <w:bottom w:val="nil"/>
              <w:right w:val="nil"/>
            </w:tcBorders>
            <w:tcMar>
              <w:top w:w="0" w:type="dxa"/>
              <w:left w:w="100" w:type="dxa"/>
              <w:bottom w:w="0" w:type="dxa"/>
              <w:right w:w="100" w:type="dxa"/>
            </w:tcMar>
            <w:vAlign w:val="center"/>
          </w:tcPr>
          <w:p w14:paraId="215DF7B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49.5%</w:t>
            </w:r>
          </w:p>
        </w:tc>
        <w:tc>
          <w:tcPr>
            <w:tcW w:w="1005" w:type="dxa"/>
            <w:tcBorders>
              <w:top w:val="nil"/>
              <w:left w:val="nil"/>
              <w:bottom w:val="nil"/>
              <w:right w:val="nil"/>
            </w:tcBorders>
            <w:tcMar>
              <w:top w:w="0" w:type="dxa"/>
              <w:left w:w="100" w:type="dxa"/>
              <w:bottom w:w="0" w:type="dxa"/>
              <w:right w:w="100" w:type="dxa"/>
            </w:tcMar>
            <w:vAlign w:val="center"/>
          </w:tcPr>
          <w:p w14:paraId="2CF6259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r>
      <w:tr w:rsidR="00D032E2" w14:paraId="08F5715A"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0155B7BD"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student supports or resources </w:t>
            </w:r>
          </w:p>
        </w:tc>
        <w:tc>
          <w:tcPr>
            <w:tcW w:w="645" w:type="dxa"/>
            <w:tcBorders>
              <w:top w:val="nil"/>
              <w:left w:val="nil"/>
              <w:bottom w:val="nil"/>
              <w:right w:val="nil"/>
            </w:tcBorders>
            <w:tcMar>
              <w:top w:w="0" w:type="dxa"/>
              <w:left w:w="100" w:type="dxa"/>
              <w:bottom w:w="0" w:type="dxa"/>
              <w:right w:w="100" w:type="dxa"/>
            </w:tcMar>
            <w:vAlign w:val="center"/>
          </w:tcPr>
          <w:p w14:paraId="5076793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005" w:type="dxa"/>
            <w:tcBorders>
              <w:top w:val="nil"/>
              <w:left w:val="nil"/>
              <w:bottom w:val="nil"/>
              <w:right w:val="nil"/>
            </w:tcBorders>
            <w:tcMar>
              <w:top w:w="0" w:type="dxa"/>
              <w:left w:w="100" w:type="dxa"/>
              <w:bottom w:w="0" w:type="dxa"/>
              <w:right w:w="100" w:type="dxa"/>
            </w:tcMar>
            <w:vAlign w:val="center"/>
          </w:tcPr>
          <w:p w14:paraId="6C143B1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19.9%</w:t>
            </w:r>
          </w:p>
        </w:tc>
        <w:tc>
          <w:tcPr>
            <w:tcW w:w="1005" w:type="dxa"/>
            <w:tcBorders>
              <w:top w:val="nil"/>
              <w:left w:val="nil"/>
              <w:bottom w:val="nil"/>
              <w:right w:val="nil"/>
            </w:tcBorders>
            <w:tcMar>
              <w:top w:w="0" w:type="dxa"/>
              <w:left w:w="100" w:type="dxa"/>
              <w:bottom w:w="0" w:type="dxa"/>
              <w:right w:w="100" w:type="dxa"/>
            </w:tcMar>
            <w:vAlign w:val="center"/>
          </w:tcPr>
          <w:p w14:paraId="5F2BFB6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005" w:type="dxa"/>
            <w:tcBorders>
              <w:top w:val="nil"/>
              <w:left w:val="nil"/>
              <w:bottom w:val="nil"/>
              <w:right w:val="nil"/>
            </w:tcBorders>
            <w:tcMar>
              <w:top w:w="0" w:type="dxa"/>
              <w:left w:w="100" w:type="dxa"/>
              <w:bottom w:w="0" w:type="dxa"/>
              <w:right w:w="100" w:type="dxa"/>
            </w:tcMar>
            <w:vAlign w:val="center"/>
          </w:tcPr>
          <w:p w14:paraId="3558B00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15.4%</w:t>
            </w:r>
          </w:p>
        </w:tc>
        <w:tc>
          <w:tcPr>
            <w:tcW w:w="1005" w:type="dxa"/>
            <w:tcBorders>
              <w:top w:val="nil"/>
              <w:left w:val="nil"/>
              <w:bottom w:val="nil"/>
              <w:right w:val="nil"/>
            </w:tcBorders>
            <w:tcMar>
              <w:top w:w="0" w:type="dxa"/>
              <w:left w:w="100" w:type="dxa"/>
              <w:bottom w:w="0" w:type="dxa"/>
              <w:right w:w="100" w:type="dxa"/>
            </w:tcMar>
            <w:vAlign w:val="center"/>
          </w:tcPr>
          <w:p w14:paraId="2664ED6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r>
      <w:tr w:rsidR="00D032E2" w14:paraId="06D87E9D" w14:textId="77777777">
        <w:trPr>
          <w:trHeight w:val="123"/>
        </w:trPr>
        <w:tc>
          <w:tcPr>
            <w:tcW w:w="4290" w:type="dxa"/>
            <w:tcBorders>
              <w:top w:val="nil"/>
              <w:left w:val="nil"/>
              <w:bottom w:val="nil"/>
              <w:right w:val="nil"/>
            </w:tcBorders>
            <w:tcMar>
              <w:top w:w="0" w:type="dxa"/>
              <w:left w:w="100" w:type="dxa"/>
              <w:bottom w:w="0" w:type="dxa"/>
              <w:right w:w="100" w:type="dxa"/>
            </w:tcMar>
            <w:vAlign w:val="center"/>
          </w:tcPr>
          <w:p w14:paraId="4B0A3BBF"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Lack of interest</w:t>
            </w:r>
          </w:p>
        </w:tc>
        <w:tc>
          <w:tcPr>
            <w:tcW w:w="645" w:type="dxa"/>
            <w:tcBorders>
              <w:top w:val="nil"/>
              <w:left w:val="nil"/>
              <w:bottom w:val="nil"/>
              <w:right w:val="nil"/>
            </w:tcBorders>
            <w:tcMar>
              <w:top w:w="0" w:type="dxa"/>
              <w:left w:w="100" w:type="dxa"/>
              <w:bottom w:w="0" w:type="dxa"/>
              <w:right w:w="100" w:type="dxa"/>
            </w:tcMar>
            <w:vAlign w:val="center"/>
          </w:tcPr>
          <w:p w14:paraId="62A2F51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w:t>
            </w:r>
          </w:p>
        </w:tc>
        <w:tc>
          <w:tcPr>
            <w:tcW w:w="1005" w:type="dxa"/>
            <w:tcBorders>
              <w:top w:val="nil"/>
              <w:left w:val="nil"/>
              <w:bottom w:val="nil"/>
              <w:right w:val="nil"/>
            </w:tcBorders>
            <w:tcMar>
              <w:top w:w="0" w:type="dxa"/>
              <w:left w:w="100" w:type="dxa"/>
              <w:bottom w:w="0" w:type="dxa"/>
              <w:right w:w="100" w:type="dxa"/>
            </w:tcMar>
            <w:vAlign w:val="center"/>
          </w:tcPr>
          <w:p w14:paraId="20A2348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63.8%</w:t>
            </w:r>
          </w:p>
        </w:tc>
        <w:tc>
          <w:tcPr>
            <w:tcW w:w="1005" w:type="dxa"/>
            <w:tcBorders>
              <w:top w:val="nil"/>
              <w:left w:val="nil"/>
              <w:bottom w:val="nil"/>
              <w:right w:val="nil"/>
            </w:tcBorders>
            <w:tcMar>
              <w:top w:w="0" w:type="dxa"/>
              <w:left w:w="100" w:type="dxa"/>
              <w:bottom w:w="0" w:type="dxa"/>
              <w:right w:w="100" w:type="dxa"/>
            </w:tcMar>
            <w:vAlign w:val="center"/>
          </w:tcPr>
          <w:p w14:paraId="09C4D99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1005" w:type="dxa"/>
            <w:tcBorders>
              <w:top w:val="nil"/>
              <w:left w:val="nil"/>
              <w:bottom w:val="nil"/>
              <w:right w:val="nil"/>
            </w:tcBorders>
            <w:tcMar>
              <w:top w:w="0" w:type="dxa"/>
              <w:left w:w="100" w:type="dxa"/>
              <w:bottom w:w="0" w:type="dxa"/>
              <w:right w:w="100" w:type="dxa"/>
            </w:tcMar>
            <w:vAlign w:val="center"/>
          </w:tcPr>
          <w:p w14:paraId="5FDCF79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52.7%</w:t>
            </w:r>
          </w:p>
        </w:tc>
        <w:tc>
          <w:tcPr>
            <w:tcW w:w="1005" w:type="dxa"/>
            <w:tcBorders>
              <w:top w:val="nil"/>
              <w:left w:val="nil"/>
              <w:bottom w:val="nil"/>
              <w:right w:val="nil"/>
            </w:tcBorders>
            <w:tcMar>
              <w:top w:w="0" w:type="dxa"/>
              <w:left w:w="100" w:type="dxa"/>
              <w:bottom w:w="0" w:type="dxa"/>
              <w:right w:w="100" w:type="dxa"/>
            </w:tcMar>
            <w:vAlign w:val="center"/>
          </w:tcPr>
          <w:p w14:paraId="3B13EF8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p>
        </w:tc>
      </w:tr>
      <w:tr w:rsidR="00D032E2" w14:paraId="0741E3FD" w14:textId="77777777">
        <w:trPr>
          <w:trHeight w:val="123"/>
        </w:trPr>
        <w:tc>
          <w:tcPr>
            <w:tcW w:w="4290" w:type="dxa"/>
            <w:tcBorders>
              <w:left w:val="nil"/>
              <w:bottom w:val="single" w:sz="6" w:space="0" w:color="000000"/>
              <w:right w:val="nil"/>
            </w:tcBorders>
            <w:tcMar>
              <w:top w:w="0" w:type="dxa"/>
              <w:left w:w="100" w:type="dxa"/>
              <w:bottom w:w="0" w:type="dxa"/>
              <w:right w:w="100" w:type="dxa"/>
            </w:tcMar>
            <w:vAlign w:val="center"/>
          </w:tcPr>
          <w:p w14:paraId="3A7DF07A" w14:textId="77777777" w:rsidR="00D032E2" w:rsidRDefault="00000000">
            <w:pPr>
              <w:spacing w:line="24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Using AET</w:t>
            </w:r>
          </w:p>
        </w:tc>
        <w:tc>
          <w:tcPr>
            <w:tcW w:w="645" w:type="dxa"/>
            <w:tcBorders>
              <w:left w:val="nil"/>
              <w:bottom w:val="single" w:sz="6" w:space="0" w:color="000000"/>
              <w:right w:val="nil"/>
            </w:tcBorders>
            <w:tcMar>
              <w:top w:w="0" w:type="dxa"/>
              <w:left w:w="100" w:type="dxa"/>
              <w:bottom w:w="0" w:type="dxa"/>
              <w:right w:w="100" w:type="dxa"/>
            </w:tcMar>
            <w:vAlign w:val="center"/>
          </w:tcPr>
          <w:p w14:paraId="0C7F4EF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1005" w:type="dxa"/>
            <w:tcBorders>
              <w:left w:val="nil"/>
              <w:bottom w:val="single" w:sz="6" w:space="0" w:color="000000"/>
              <w:right w:val="nil"/>
            </w:tcBorders>
            <w:tcMar>
              <w:top w:w="0" w:type="dxa"/>
              <w:left w:w="100" w:type="dxa"/>
              <w:bottom w:w="0" w:type="dxa"/>
              <w:right w:w="100" w:type="dxa"/>
            </w:tcMar>
            <w:vAlign w:val="center"/>
          </w:tcPr>
          <w:p w14:paraId="0B04262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37.6%</w:t>
            </w:r>
          </w:p>
        </w:tc>
        <w:tc>
          <w:tcPr>
            <w:tcW w:w="1005" w:type="dxa"/>
            <w:tcBorders>
              <w:left w:val="nil"/>
              <w:bottom w:val="single" w:sz="6" w:space="0" w:color="000000"/>
              <w:right w:val="nil"/>
            </w:tcBorders>
            <w:tcMar>
              <w:top w:w="0" w:type="dxa"/>
              <w:left w:w="100" w:type="dxa"/>
              <w:bottom w:w="0" w:type="dxa"/>
              <w:right w:w="100" w:type="dxa"/>
            </w:tcMar>
            <w:vAlign w:val="center"/>
          </w:tcPr>
          <w:p w14:paraId="39378AC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005" w:type="dxa"/>
            <w:tcBorders>
              <w:left w:val="nil"/>
              <w:bottom w:val="single" w:sz="6" w:space="0" w:color="000000"/>
              <w:right w:val="nil"/>
            </w:tcBorders>
            <w:tcMar>
              <w:top w:w="0" w:type="dxa"/>
              <w:left w:w="100" w:type="dxa"/>
              <w:bottom w:w="0" w:type="dxa"/>
              <w:right w:w="100" w:type="dxa"/>
            </w:tcMar>
            <w:vAlign w:val="center"/>
          </w:tcPr>
          <w:p w14:paraId="22D365A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44.0%</w:t>
            </w:r>
          </w:p>
        </w:tc>
        <w:tc>
          <w:tcPr>
            <w:tcW w:w="1005" w:type="dxa"/>
            <w:tcBorders>
              <w:left w:val="nil"/>
              <w:bottom w:val="single" w:sz="6" w:space="0" w:color="000000"/>
              <w:right w:val="nil"/>
            </w:tcBorders>
            <w:tcMar>
              <w:top w:w="0" w:type="dxa"/>
              <w:left w:w="100" w:type="dxa"/>
              <w:bottom w:w="0" w:type="dxa"/>
              <w:right w:w="100" w:type="dxa"/>
            </w:tcMar>
            <w:vAlign w:val="center"/>
          </w:tcPr>
          <w:p w14:paraId="22F0B44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w:t>
            </w:r>
          </w:p>
        </w:tc>
      </w:tr>
    </w:tbl>
    <w:p w14:paraId="05D4179D" w14:textId="77777777" w:rsidR="00D032E2" w:rsidRDefault="00D032E2">
      <w:pPr>
        <w:spacing w:line="240" w:lineRule="auto"/>
        <w:rPr>
          <w:rFonts w:ascii="Times New Roman" w:eastAsia="Times New Roman" w:hAnsi="Times New Roman" w:cs="Times New Roman"/>
          <w:b/>
          <w:bCs/>
          <w:sz w:val="24"/>
          <w:szCs w:val="24"/>
        </w:rPr>
      </w:pPr>
    </w:p>
    <w:p w14:paraId="349A8614"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3</w:t>
      </w:r>
    </w:p>
    <w:p w14:paraId="27166EE8"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3 was designed to evaluate how an agricultural educator’s level of prior teaching experience and other factors might predict their implementation of SAE for All. Before conducting multiple regression, the assumptions were checked. The dependent variable was measured on a continuous scale. A scatterplot and correlation matrix revealed a linear relationship between the independent and dependent variables, and no multicollinearity was identified within the data. Based on insights from theory (Ajzen, 1991) and an expert panel (Creswell &amp; Creswell, 2018), the regression model includes the relevant variables for the data, and items were designed to allow for accurate and consistent measurement of these variables. The Durbin-Watson test yielded a critical value of 2.015, allowing us to assume the residuals are independent of each other. Variables were examined for normal distribution, and the data were found to be homoscedastic with a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-value of 0.37. Models a through e are presented in Table 5. The F-tests conducted on each model, along with the increasing 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value from model to model, indicate greater improvements with each model.</w:t>
      </w:r>
    </w:p>
    <w:p w14:paraId="22A97241" w14:textId="77777777" w:rsidR="00D032E2" w:rsidRDefault="00D032E2">
      <w:pPr>
        <w:spacing w:line="240" w:lineRule="auto"/>
        <w:rPr>
          <w:rFonts w:ascii="Times New Roman" w:eastAsia="Times New Roman" w:hAnsi="Times New Roman" w:cs="Times New Roman"/>
          <w:sz w:val="24"/>
          <w:szCs w:val="24"/>
        </w:rPr>
      </w:pPr>
    </w:p>
    <w:p w14:paraId="5990F563"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Model e, the 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value suggested 38.90% of the variance in SAE for All implementation is explained by the variables examined in the model. Within Model e, the regression results did not reveal a statistically significant relationship between SAE for All implementation and years of experience or attitudes. However, there was marginal significance and a positive relationship between SAE for All implementation and grading, and strong statistical significance and a positive relationship between SAE for All implementation and a teacher’s subjective norms and perceived behavioral control (see Table 5), holding constant all other variables. Most notably, with each one additional unit of perceived behavioral control within SAEs, a teacher’s implementation level is predicted to increase by 0.474 on the Likert-type scale.</w:t>
      </w:r>
    </w:p>
    <w:p w14:paraId="2922C5A3" w14:textId="77777777" w:rsidR="00D032E2" w:rsidRDefault="00D032E2">
      <w:pPr>
        <w:spacing w:line="240" w:lineRule="auto"/>
        <w:rPr>
          <w:rFonts w:ascii="Times New Roman" w:eastAsia="Times New Roman" w:hAnsi="Times New Roman" w:cs="Times New Roman"/>
          <w:b/>
          <w:bCs/>
          <w:sz w:val="24"/>
          <w:szCs w:val="24"/>
        </w:rPr>
        <w:sectPr w:rsidR="00D032E2">
          <w:headerReference w:type="default" r:id="rId8"/>
          <w:footerReference w:type="default" r:id="rId9"/>
          <w:pgSz w:w="12240" w:h="15840"/>
          <w:pgMar w:top="1440" w:right="1440" w:bottom="1440" w:left="1440" w:header="720" w:footer="720" w:gutter="0"/>
          <w:pgNumType w:start="1"/>
          <w:cols w:space="720"/>
        </w:sectPr>
      </w:pPr>
    </w:p>
    <w:p w14:paraId="3604BC8E"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5</w:t>
      </w:r>
    </w:p>
    <w:p w14:paraId="6EC27238"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Multiple Regression Analysis for SAE for All Implementation (n = 107)</w:t>
      </w:r>
    </w:p>
    <w:tbl>
      <w:tblPr>
        <w:tblStyle w:val="a3"/>
        <w:tblW w:w="136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80"/>
        <w:gridCol w:w="1080"/>
        <w:gridCol w:w="1005"/>
        <w:gridCol w:w="1155"/>
        <w:gridCol w:w="990"/>
        <w:gridCol w:w="1170"/>
        <w:gridCol w:w="840"/>
        <w:gridCol w:w="1320"/>
        <w:gridCol w:w="975"/>
        <w:gridCol w:w="1185"/>
        <w:gridCol w:w="1080"/>
      </w:tblGrid>
      <w:tr w:rsidR="00D032E2" w14:paraId="5F13056D" w14:textId="77777777">
        <w:trPr>
          <w:trHeight w:val="240"/>
        </w:trPr>
        <w:tc>
          <w:tcPr>
            <w:tcW w:w="2880" w:type="dxa"/>
            <w:tcBorders>
              <w:top w:val="single" w:sz="6" w:space="0" w:color="000000"/>
              <w:bottom w:val="single" w:sz="8" w:space="0" w:color="000000"/>
            </w:tcBorders>
            <w:tcMar>
              <w:top w:w="0" w:type="dxa"/>
              <w:bottom w:w="0" w:type="dxa"/>
            </w:tcMar>
            <w:vAlign w:val="center"/>
          </w:tcPr>
          <w:p w14:paraId="34A4B7FE" w14:textId="77777777" w:rsidR="00D032E2" w:rsidRDefault="00D032E2">
            <w:pPr>
              <w:spacing w:line="240" w:lineRule="auto"/>
              <w:jc w:val="center"/>
              <w:rPr>
                <w:rFonts w:ascii="Times New Roman" w:eastAsia="Times New Roman" w:hAnsi="Times New Roman" w:cs="Times New Roman"/>
                <w:sz w:val="24"/>
                <w:szCs w:val="24"/>
              </w:rPr>
            </w:pPr>
          </w:p>
        </w:tc>
        <w:tc>
          <w:tcPr>
            <w:tcW w:w="2085"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2E33697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Model A</w:t>
            </w:r>
          </w:p>
        </w:tc>
        <w:tc>
          <w:tcPr>
            <w:tcW w:w="2145"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056193B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Model B</w:t>
            </w:r>
          </w:p>
        </w:tc>
        <w:tc>
          <w:tcPr>
            <w:tcW w:w="2010"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0B6C574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Model C</w:t>
            </w:r>
          </w:p>
        </w:tc>
        <w:tc>
          <w:tcPr>
            <w:tcW w:w="2295"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565E08E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Model D</w:t>
            </w:r>
          </w:p>
        </w:tc>
        <w:tc>
          <w:tcPr>
            <w:tcW w:w="2265" w:type="dxa"/>
            <w:gridSpan w:val="2"/>
            <w:tcBorders>
              <w:top w:val="single" w:sz="6" w:space="0" w:color="000000"/>
              <w:left w:val="nil"/>
              <w:bottom w:val="single" w:sz="6" w:space="0" w:color="000000"/>
              <w:right w:val="nil"/>
            </w:tcBorders>
            <w:tcMar>
              <w:top w:w="0" w:type="dxa"/>
              <w:left w:w="100" w:type="dxa"/>
              <w:bottom w:w="0" w:type="dxa"/>
              <w:right w:w="100" w:type="dxa"/>
            </w:tcMar>
            <w:vAlign w:val="center"/>
          </w:tcPr>
          <w:p w14:paraId="708951C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Model E</w:t>
            </w:r>
          </w:p>
        </w:tc>
      </w:tr>
      <w:tr w:rsidR="00D032E2" w14:paraId="6F9CBE26" w14:textId="77777777">
        <w:trPr>
          <w:trHeight w:val="150"/>
        </w:trPr>
        <w:tc>
          <w:tcPr>
            <w:tcW w:w="2880" w:type="dxa"/>
            <w:tcBorders>
              <w:top w:val="single" w:sz="6" w:space="0" w:color="000000"/>
              <w:bottom w:val="single" w:sz="8" w:space="0" w:color="000000"/>
            </w:tcBorders>
            <w:tcMar>
              <w:top w:w="0" w:type="dxa"/>
              <w:bottom w:w="0" w:type="dxa"/>
            </w:tcMar>
            <w:vAlign w:val="center"/>
          </w:tcPr>
          <w:p w14:paraId="77C40108" w14:textId="77777777" w:rsidR="00D032E2" w:rsidRDefault="00D032E2">
            <w:pPr>
              <w:spacing w:line="240" w:lineRule="auto"/>
              <w:jc w:val="center"/>
              <w:rPr>
                <w:rFonts w:ascii="Times New Roman" w:eastAsia="Times New Roman" w:hAnsi="Times New Roman" w:cs="Times New Roman"/>
                <w:sz w:val="24"/>
                <w:szCs w:val="24"/>
              </w:rPr>
            </w:pPr>
          </w:p>
        </w:tc>
        <w:tc>
          <w:tcPr>
            <w:tcW w:w="108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5689953"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b</w:t>
            </w:r>
          </w:p>
        </w:tc>
        <w:tc>
          <w:tcPr>
            <w:tcW w:w="100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8CEE3F1"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β</w:t>
            </w:r>
          </w:p>
        </w:tc>
        <w:tc>
          <w:tcPr>
            <w:tcW w:w="115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040B3F6A"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b</w:t>
            </w:r>
          </w:p>
        </w:tc>
        <w:tc>
          <w:tcPr>
            <w:tcW w:w="99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3E8C7516"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β</w:t>
            </w:r>
          </w:p>
        </w:tc>
        <w:tc>
          <w:tcPr>
            <w:tcW w:w="117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D74B3F2"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b</w:t>
            </w:r>
          </w:p>
        </w:tc>
        <w:tc>
          <w:tcPr>
            <w:tcW w:w="84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128146B"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β</w:t>
            </w:r>
          </w:p>
        </w:tc>
        <w:tc>
          <w:tcPr>
            <w:tcW w:w="132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29A42DFB"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b</w:t>
            </w:r>
          </w:p>
        </w:tc>
        <w:tc>
          <w:tcPr>
            <w:tcW w:w="97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A84B93F"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β</w:t>
            </w:r>
          </w:p>
        </w:tc>
        <w:tc>
          <w:tcPr>
            <w:tcW w:w="1185"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70C36F2A"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b</w:t>
            </w:r>
          </w:p>
        </w:tc>
        <w:tc>
          <w:tcPr>
            <w:tcW w:w="1080" w:type="dxa"/>
            <w:tcBorders>
              <w:top w:val="single" w:sz="6" w:space="0" w:color="000000"/>
              <w:left w:val="nil"/>
              <w:bottom w:val="single" w:sz="6" w:space="0" w:color="000000"/>
              <w:right w:val="nil"/>
            </w:tcBorders>
            <w:tcMar>
              <w:top w:w="0" w:type="dxa"/>
              <w:left w:w="100" w:type="dxa"/>
              <w:bottom w:w="0" w:type="dxa"/>
              <w:right w:w="100" w:type="dxa"/>
            </w:tcMar>
            <w:vAlign w:val="center"/>
          </w:tcPr>
          <w:p w14:paraId="148C90D3" w14:textId="77777777" w:rsidR="00D032E2" w:rsidRDefault="00000000">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β</w:t>
            </w:r>
          </w:p>
        </w:tc>
      </w:tr>
      <w:tr w:rsidR="00D032E2" w14:paraId="272C11BF" w14:textId="77777777">
        <w:tc>
          <w:tcPr>
            <w:tcW w:w="2880" w:type="dxa"/>
            <w:tcBorders>
              <w:top w:val="nil"/>
              <w:left w:val="nil"/>
              <w:bottom w:val="nil"/>
              <w:right w:val="nil"/>
            </w:tcBorders>
            <w:tcMar>
              <w:top w:w="0" w:type="dxa"/>
              <w:left w:w="100" w:type="dxa"/>
              <w:bottom w:w="0" w:type="dxa"/>
              <w:right w:w="100" w:type="dxa"/>
            </w:tcMar>
            <w:vAlign w:val="center"/>
          </w:tcPr>
          <w:p w14:paraId="6B37AD4A"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Years of teaching</w:t>
            </w:r>
          </w:p>
        </w:tc>
        <w:tc>
          <w:tcPr>
            <w:tcW w:w="1080" w:type="dxa"/>
            <w:tcBorders>
              <w:top w:val="nil"/>
              <w:left w:val="nil"/>
              <w:bottom w:val="nil"/>
              <w:right w:val="nil"/>
            </w:tcBorders>
            <w:tcMar>
              <w:top w:w="0" w:type="dxa"/>
              <w:left w:w="100" w:type="dxa"/>
              <w:bottom w:w="0" w:type="dxa"/>
              <w:right w:w="100" w:type="dxa"/>
            </w:tcMar>
            <w:vAlign w:val="center"/>
          </w:tcPr>
          <w:p w14:paraId="51FFE8E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0.030+</w:t>
            </w:r>
          </w:p>
        </w:tc>
        <w:tc>
          <w:tcPr>
            <w:tcW w:w="1005" w:type="dxa"/>
            <w:tcBorders>
              <w:top w:val="nil"/>
              <w:left w:val="nil"/>
              <w:bottom w:val="nil"/>
              <w:right w:val="nil"/>
            </w:tcBorders>
            <w:tcMar>
              <w:top w:w="0" w:type="dxa"/>
              <w:left w:w="100" w:type="dxa"/>
              <w:bottom w:w="0" w:type="dxa"/>
              <w:right w:w="100" w:type="dxa"/>
            </w:tcMar>
            <w:vAlign w:val="center"/>
          </w:tcPr>
          <w:p w14:paraId="61965A2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0.179</w:t>
            </w:r>
          </w:p>
        </w:tc>
        <w:tc>
          <w:tcPr>
            <w:tcW w:w="1155" w:type="dxa"/>
            <w:tcBorders>
              <w:top w:val="nil"/>
              <w:left w:val="nil"/>
              <w:bottom w:val="nil"/>
              <w:right w:val="nil"/>
            </w:tcBorders>
            <w:tcMar>
              <w:top w:w="0" w:type="dxa"/>
              <w:left w:w="100" w:type="dxa"/>
              <w:bottom w:w="0" w:type="dxa"/>
              <w:right w:w="100" w:type="dxa"/>
            </w:tcMar>
            <w:vAlign w:val="center"/>
          </w:tcPr>
          <w:p w14:paraId="600D768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0.031*</w:t>
            </w:r>
          </w:p>
        </w:tc>
        <w:tc>
          <w:tcPr>
            <w:tcW w:w="990" w:type="dxa"/>
            <w:tcBorders>
              <w:top w:val="nil"/>
              <w:left w:val="nil"/>
              <w:bottom w:val="nil"/>
              <w:right w:val="nil"/>
            </w:tcBorders>
            <w:tcMar>
              <w:top w:w="0" w:type="dxa"/>
              <w:left w:w="100" w:type="dxa"/>
              <w:bottom w:w="0" w:type="dxa"/>
              <w:right w:w="100" w:type="dxa"/>
            </w:tcMar>
            <w:vAlign w:val="center"/>
          </w:tcPr>
          <w:p w14:paraId="7F88727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0.183</w:t>
            </w:r>
          </w:p>
        </w:tc>
        <w:tc>
          <w:tcPr>
            <w:tcW w:w="1170" w:type="dxa"/>
            <w:tcBorders>
              <w:top w:val="nil"/>
              <w:left w:val="nil"/>
              <w:bottom w:val="nil"/>
              <w:right w:val="nil"/>
            </w:tcBorders>
            <w:tcMar>
              <w:top w:w="0" w:type="dxa"/>
              <w:left w:w="100" w:type="dxa"/>
              <w:bottom w:w="0" w:type="dxa"/>
              <w:right w:w="100" w:type="dxa"/>
            </w:tcMar>
            <w:vAlign w:val="center"/>
          </w:tcPr>
          <w:p w14:paraId="309BB77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0.027*</w:t>
            </w:r>
          </w:p>
        </w:tc>
        <w:tc>
          <w:tcPr>
            <w:tcW w:w="840" w:type="dxa"/>
            <w:tcBorders>
              <w:top w:val="nil"/>
              <w:left w:val="nil"/>
              <w:bottom w:val="nil"/>
              <w:right w:val="nil"/>
            </w:tcBorders>
            <w:tcMar>
              <w:top w:w="0" w:type="dxa"/>
              <w:left w:w="100" w:type="dxa"/>
              <w:bottom w:w="0" w:type="dxa"/>
              <w:right w:w="100" w:type="dxa"/>
            </w:tcMar>
            <w:vAlign w:val="center"/>
          </w:tcPr>
          <w:p w14:paraId="60D921B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0.160</w:t>
            </w:r>
          </w:p>
        </w:tc>
        <w:tc>
          <w:tcPr>
            <w:tcW w:w="1320" w:type="dxa"/>
            <w:tcBorders>
              <w:top w:val="nil"/>
              <w:left w:val="nil"/>
              <w:bottom w:val="nil"/>
              <w:right w:val="nil"/>
            </w:tcBorders>
            <w:tcMar>
              <w:top w:w="0" w:type="dxa"/>
              <w:left w:w="100" w:type="dxa"/>
              <w:bottom w:w="0" w:type="dxa"/>
              <w:right w:w="100" w:type="dxa"/>
            </w:tcMar>
            <w:vAlign w:val="center"/>
          </w:tcPr>
          <w:p w14:paraId="04EF8E7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0.019+</w:t>
            </w:r>
          </w:p>
        </w:tc>
        <w:tc>
          <w:tcPr>
            <w:tcW w:w="975" w:type="dxa"/>
            <w:tcBorders>
              <w:top w:val="nil"/>
              <w:left w:val="nil"/>
              <w:bottom w:val="nil"/>
              <w:right w:val="nil"/>
            </w:tcBorders>
            <w:tcMar>
              <w:top w:w="0" w:type="dxa"/>
              <w:left w:w="100" w:type="dxa"/>
              <w:bottom w:w="0" w:type="dxa"/>
              <w:right w:w="100" w:type="dxa"/>
            </w:tcMar>
            <w:vAlign w:val="center"/>
          </w:tcPr>
          <w:p w14:paraId="753990B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0.115</w:t>
            </w:r>
          </w:p>
        </w:tc>
        <w:tc>
          <w:tcPr>
            <w:tcW w:w="1185" w:type="dxa"/>
            <w:tcBorders>
              <w:top w:val="nil"/>
              <w:left w:val="nil"/>
              <w:bottom w:val="nil"/>
              <w:right w:val="nil"/>
            </w:tcBorders>
            <w:tcMar>
              <w:top w:w="0" w:type="dxa"/>
              <w:left w:w="100" w:type="dxa"/>
              <w:bottom w:w="0" w:type="dxa"/>
              <w:right w:w="100" w:type="dxa"/>
            </w:tcMar>
            <w:vAlign w:val="center"/>
          </w:tcPr>
          <w:p w14:paraId="3C72D29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0.017</w:t>
            </w:r>
          </w:p>
        </w:tc>
        <w:tc>
          <w:tcPr>
            <w:tcW w:w="1080" w:type="dxa"/>
            <w:tcBorders>
              <w:top w:val="nil"/>
              <w:left w:val="nil"/>
              <w:bottom w:val="nil"/>
              <w:right w:val="nil"/>
            </w:tcBorders>
            <w:tcMar>
              <w:top w:w="0" w:type="dxa"/>
              <w:left w:w="100" w:type="dxa"/>
              <w:bottom w:w="0" w:type="dxa"/>
              <w:right w:w="100" w:type="dxa"/>
            </w:tcMar>
            <w:vAlign w:val="center"/>
          </w:tcPr>
          <w:p w14:paraId="1C05D79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0.102</w:t>
            </w:r>
          </w:p>
        </w:tc>
      </w:tr>
      <w:tr w:rsidR="00D032E2" w14:paraId="0214B06A" w14:textId="77777777">
        <w:tc>
          <w:tcPr>
            <w:tcW w:w="2880" w:type="dxa"/>
            <w:tcBorders>
              <w:top w:val="nil"/>
              <w:left w:val="nil"/>
              <w:bottom w:val="nil"/>
              <w:right w:val="nil"/>
            </w:tcBorders>
            <w:tcMar>
              <w:top w:w="0" w:type="dxa"/>
              <w:left w:w="100" w:type="dxa"/>
              <w:bottom w:w="0" w:type="dxa"/>
              <w:right w:w="100" w:type="dxa"/>
            </w:tcMar>
            <w:vAlign w:val="center"/>
          </w:tcPr>
          <w:p w14:paraId="60B1A314" w14:textId="77777777" w:rsidR="00D032E2" w:rsidRDefault="00D032E2">
            <w:pPr>
              <w:spacing w:line="240" w:lineRule="auto"/>
              <w:rPr>
                <w:rFonts w:ascii="Times New Roman" w:eastAsia="Times New Roman" w:hAnsi="Times New Roman" w:cs="Times New Roman"/>
                <w:sz w:val="24"/>
                <w:szCs w:val="24"/>
              </w:rPr>
            </w:pPr>
          </w:p>
        </w:tc>
        <w:tc>
          <w:tcPr>
            <w:tcW w:w="1080" w:type="dxa"/>
            <w:tcBorders>
              <w:top w:val="nil"/>
              <w:left w:val="nil"/>
              <w:bottom w:val="nil"/>
              <w:right w:val="nil"/>
            </w:tcBorders>
            <w:tcMar>
              <w:top w:w="0" w:type="dxa"/>
              <w:left w:w="100" w:type="dxa"/>
              <w:bottom w:w="0" w:type="dxa"/>
              <w:right w:w="100" w:type="dxa"/>
            </w:tcMar>
            <w:vAlign w:val="center"/>
          </w:tcPr>
          <w:p w14:paraId="19CA162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(0.016)</w:t>
            </w:r>
          </w:p>
        </w:tc>
        <w:tc>
          <w:tcPr>
            <w:tcW w:w="1005" w:type="dxa"/>
            <w:tcBorders>
              <w:top w:val="nil"/>
              <w:left w:val="nil"/>
              <w:bottom w:val="nil"/>
              <w:right w:val="nil"/>
            </w:tcBorders>
            <w:tcMar>
              <w:top w:w="0" w:type="dxa"/>
              <w:left w:w="100" w:type="dxa"/>
              <w:bottom w:w="0" w:type="dxa"/>
              <w:right w:w="100" w:type="dxa"/>
            </w:tcMar>
            <w:vAlign w:val="center"/>
          </w:tcPr>
          <w:p w14:paraId="78C18300"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32CBA23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(0.015)</w:t>
            </w:r>
          </w:p>
        </w:tc>
        <w:tc>
          <w:tcPr>
            <w:tcW w:w="990" w:type="dxa"/>
            <w:tcBorders>
              <w:top w:val="nil"/>
              <w:left w:val="nil"/>
              <w:bottom w:val="nil"/>
              <w:right w:val="nil"/>
            </w:tcBorders>
            <w:tcMar>
              <w:top w:w="0" w:type="dxa"/>
              <w:left w:w="100" w:type="dxa"/>
              <w:bottom w:w="0" w:type="dxa"/>
              <w:right w:w="100" w:type="dxa"/>
            </w:tcMar>
            <w:vAlign w:val="center"/>
          </w:tcPr>
          <w:p w14:paraId="491B048D"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2C8A76A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c>
          <w:tcPr>
            <w:tcW w:w="840" w:type="dxa"/>
            <w:tcBorders>
              <w:top w:val="nil"/>
              <w:left w:val="nil"/>
              <w:bottom w:val="nil"/>
              <w:right w:val="nil"/>
            </w:tcBorders>
            <w:tcMar>
              <w:top w:w="0" w:type="dxa"/>
              <w:left w:w="100" w:type="dxa"/>
              <w:bottom w:w="0" w:type="dxa"/>
              <w:right w:w="100" w:type="dxa"/>
            </w:tcMar>
            <w:vAlign w:val="center"/>
          </w:tcPr>
          <w:p w14:paraId="56F5DD6C"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313C576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c>
          <w:tcPr>
            <w:tcW w:w="975" w:type="dxa"/>
            <w:tcBorders>
              <w:top w:val="nil"/>
              <w:left w:val="nil"/>
              <w:bottom w:val="nil"/>
              <w:right w:val="nil"/>
            </w:tcBorders>
            <w:tcMar>
              <w:top w:w="0" w:type="dxa"/>
              <w:left w:w="100" w:type="dxa"/>
              <w:bottom w:w="0" w:type="dxa"/>
              <w:right w:w="100" w:type="dxa"/>
            </w:tcMar>
            <w:vAlign w:val="center"/>
          </w:tcPr>
          <w:p w14:paraId="72F18B64"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377D630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(0.013)</w:t>
            </w:r>
          </w:p>
        </w:tc>
        <w:tc>
          <w:tcPr>
            <w:tcW w:w="1080" w:type="dxa"/>
            <w:tcBorders>
              <w:top w:val="nil"/>
              <w:left w:val="nil"/>
              <w:bottom w:val="nil"/>
              <w:right w:val="nil"/>
            </w:tcBorders>
            <w:tcMar>
              <w:top w:w="0" w:type="dxa"/>
              <w:left w:w="100" w:type="dxa"/>
              <w:bottom w:w="0" w:type="dxa"/>
              <w:right w:w="100" w:type="dxa"/>
            </w:tcMar>
            <w:vAlign w:val="center"/>
          </w:tcPr>
          <w:p w14:paraId="604CEC5E"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139D3709" w14:textId="77777777">
        <w:tc>
          <w:tcPr>
            <w:tcW w:w="2880" w:type="dxa"/>
            <w:tcBorders>
              <w:top w:val="nil"/>
              <w:left w:val="nil"/>
              <w:bottom w:val="nil"/>
              <w:right w:val="nil"/>
            </w:tcBorders>
            <w:tcMar>
              <w:top w:w="0" w:type="dxa"/>
              <w:left w:w="100" w:type="dxa"/>
              <w:bottom w:w="0" w:type="dxa"/>
              <w:right w:w="100" w:type="dxa"/>
            </w:tcMar>
            <w:vAlign w:val="center"/>
          </w:tcPr>
          <w:p w14:paraId="6EC072F3"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Graded</w:t>
            </w:r>
          </w:p>
        </w:tc>
        <w:tc>
          <w:tcPr>
            <w:tcW w:w="1080" w:type="dxa"/>
            <w:tcBorders>
              <w:top w:val="nil"/>
              <w:left w:val="nil"/>
              <w:bottom w:val="nil"/>
              <w:right w:val="nil"/>
            </w:tcBorders>
            <w:tcMar>
              <w:top w:w="0" w:type="dxa"/>
              <w:left w:w="100" w:type="dxa"/>
              <w:bottom w:w="0" w:type="dxa"/>
              <w:right w:w="100" w:type="dxa"/>
            </w:tcMar>
            <w:vAlign w:val="center"/>
          </w:tcPr>
          <w:p w14:paraId="6806C711"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670FD26E"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6508BE7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0.843***</w:t>
            </w:r>
          </w:p>
        </w:tc>
        <w:tc>
          <w:tcPr>
            <w:tcW w:w="990" w:type="dxa"/>
            <w:tcBorders>
              <w:top w:val="nil"/>
              <w:left w:val="nil"/>
              <w:bottom w:val="nil"/>
              <w:right w:val="nil"/>
            </w:tcBorders>
            <w:tcMar>
              <w:top w:w="0" w:type="dxa"/>
              <w:left w:w="100" w:type="dxa"/>
              <w:bottom w:w="0" w:type="dxa"/>
              <w:right w:w="100" w:type="dxa"/>
            </w:tcMar>
            <w:vAlign w:val="center"/>
          </w:tcPr>
          <w:p w14:paraId="1B7EF84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0.356</w:t>
            </w:r>
          </w:p>
        </w:tc>
        <w:tc>
          <w:tcPr>
            <w:tcW w:w="1170" w:type="dxa"/>
            <w:tcBorders>
              <w:top w:val="nil"/>
              <w:left w:val="nil"/>
              <w:bottom w:val="nil"/>
              <w:right w:val="nil"/>
            </w:tcBorders>
            <w:tcMar>
              <w:top w:w="0" w:type="dxa"/>
              <w:left w:w="100" w:type="dxa"/>
              <w:bottom w:w="0" w:type="dxa"/>
              <w:right w:w="100" w:type="dxa"/>
            </w:tcMar>
            <w:vAlign w:val="center"/>
          </w:tcPr>
          <w:p w14:paraId="71068B1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0.831***</w:t>
            </w:r>
          </w:p>
        </w:tc>
        <w:tc>
          <w:tcPr>
            <w:tcW w:w="840" w:type="dxa"/>
            <w:tcBorders>
              <w:top w:val="nil"/>
              <w:left w:val="nil"/>
              <w:bottom w:val="nil"/>
              <w:right w:val="nil"/>
            </w:tcBorders>
            <w:tcMar>
              <w:top w:w="0" w:type="dxa"/>
              <w:left w:w="100" w:type="dxa"/>
              <w:bottom w:w="0" w:type="dxa"/>
              <w:right w:w="100" w:type="dxa"/>
            </w:tcMar>
            <w:vAlign w:val="center"/>
          </w:tcPr>
          <w:p w14:paraId="2313A58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0.351</w:t>
            </w:r>
          </w:p>
        </w:tc>
        <w:tc>
          <w:tcPr>
            <w:tcW w:w="1320" w:type="dxa"/>
            <w:tcBorders>
              <w:top w:val="nil"/>
              <w:left w:val="nil"/>
              <w:bottom w:val="nil"/>
              <w:right w:val="nil"/>
            </w:tcBorders>
            <w:tcMar>
              <w:top w:w="0" w:type="dxa"/>
              <w:left w:w="100" w:type="dxa"/>
              <w:bottom w:w="0" w:type="dxa"/>
              <w:right w:w="100" w:type="dxa"/>
            </w:tcMar>
            <w:vAlign w:val="center"/>
          </w:tcPr>
          <w:p w14:paraId="43C2560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0.678***</w:t>
            </w:r>
          </w:p>
        </w:tc>
        <w:tc>
          <w:tcPr>
            <w:tcW w:w="975" w:type="dxa"/>
            <w:tcBorders>
              <w:top w:val="nil"/>
              <w:left w:val="nil"/>
              <w:bottom w:val="nil"/>
              <w:right w:val="nil"/>
            </w:tcBorders>
            <w:tcMar>
              <w:top w:w="0" w:type="dxa"/>
              <w:left w:w="100" w:type="dxa"/>
              <w:bottom w:w="0" w:type="dxa"/>
              <w:right w:w="100" w:type="dxa"/>
            </w:tcMar>
            <w:vAlign w:val="center"/>
          </w:tcPr>
          <w:p w14:paraId="116C366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0.286</w:t>
            </w:r>
          </w:p>
        </w:tc>
        <w:tc>
          <w:tcPr>
            <w:tcW w:w="1185" w:type="dxa"/>
            <w:tcBorders>
              <w:top w:val="nil"/>
              <w:left w:val="nil"/>
              <w:bottom w:val="nil"/>
              <w:right w:val="nil"/>
            </w:tcBorders>
            <w:tcMar>
              <w:top w:w="0" w:type="dxa"/>
              <w:left w:w="100" w:type="dxa"/>
              <w:bottom w:w="0" w:type="dxa"/>
              <w:right w:w="100" w:type="dxa"/>
            </w:tcMar>
            <w:vAlign w:val="center"/>
          </w:tcPr>
          <w:p w14:paraId="7F6F9C53"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0.499+</w:t>
            </w:r>
          </w:p>
        </w:tc>
        <w:tc>
          <w:tcPr>
            <w:tcW w:w="1080" w:type="dxa"/>
            <w:tcBorders>
              <w:top w:val="nil"/>
              <w:left w:val="nil"/>
              <w:bottom w:val="nil"/>
              <w:right w:val="nil"/>
            </w:tcBorders>
            <w:tcMar>
              <w:top w:w="0" w:type="dxa"/>
              <w:left w:w="100" w:type="dxa"/>
              <w:bottom w:w="0" w:type="dxa"/>
              <w:right w:w="100" w:type="dxa"/>
            </w:tcMar>
            <w:vAlign w:val="center"/>
          </w:tcPr>
          <w:p w14:paraId="77CD21F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0.211</w:t>
            </w:r>
          </w:p>
        </w:tc>
      </w:tr>
      <w:tr w:rsidR="00D032E2" w14:paraId="4E80D45E" w14:textId="77777777">
        <w:tc>
          <w:tcPr>
            <w:tcW w:w="2880" w:type="dxa"/>
            <w:tcBorders>
              <w:top w:val="nil"/>
              <w:left w:val="nil"/>
              <w:bottom w:val="nil"/>
              <w:right w:val="nil"/>
            </w:tcBorders>
            <w:tcMar>
              <w:top w:w="0" w:type="dxa"/>
              <w:left w:w="100" w:type="dxa"/>
              <w:bottom w:w="0" w:type="dxa"/>
              <w:right w:w="100" w:type="dxa"/>
            </w:tcMar>
            <w:vAlign w:val="center"/>
          </w:tcPr>
          <w:p w14:paraId="11550533" w14:textId="77777777" w:rsidR="00D032E2" w:rsidRDefault="00D032E2">
            <w:pPr>
              <w:spacing w:line="240" w:lineRule="auto"/>
              <w:rPr>
                <w:rFonts w:ascii="Times New Roman" w:eastAsia="Times New Roman" w:hAnsi="Times New Roman" w:cs="Times New Roman"/>
                <w:sz w:val="24"/>
                <w:szCs w:val="24"/>
              </w:rPr>
            </w:pPr>
          </w:p>
        </w:tc>
        <w:tc>
          <w:tcPr>
            <w:tcW w:w="1080" w:type="dxa"/>
            <w:tcBorders>
              <w:top w:val="nil"/>
              <w:left w:val="nil"/>
              <w:bottom w:val="nil"/>
              <w:right w:val="nil"/>
            </w:tcBorders>
            <w:tcMar>
              <w:top w:w="0" w:type="dxa"/>
              <w:left w:w="100" w:type="dxa"/>
              <w:bottom w:w="0" w:type="dxa"/>
              <w:right w:w="100" w:type="dxa"/>
            </w:tcMar>
            <w:vAlign w:val="center"/>
          </w:tcPr>
          <w:p w14:paraId="05B54076"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1576948F"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012DF371"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(0.213)</w:t>
            </w:r>
          </w:p>
        </w:tc>
        <w:tc>
          <w:tcPr>
            <w:tcW w:w="990" w:type="dxa"/>
            <w:tcBorders>
              <w:top w:val="nil"/>
              <w:left w:val="nil"/>
              <w:bottom w:val="nil"/>
              <w:right w:val="nil"/>
            </w:tcBorders>
            <w:tcMar>
              <w:top w:w="0" w:type="dxa"/>
              <w:left w:w="100" w:type="dxa"/>
              <w:bottom w:w="0" w:type="dxa"/>
              <w:right w:w="100" w:type="dxa"/>
            </w:tcMar>
            <w:vAlign w:val="center"/>
          </w:tcPr>
          <w:p w14:paraId="5AE0E016"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0001820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(0.197)</w:t>
            </w:r>
          </w:p>
        </w:tc>
        <w:tc>
          <w:tcPr>
            <w:tcW w:w="840" w:type="dxa"/>
            <w:tcBorders>
              <w:top w:val="nil"/>
              <w:left w:val="nil"/>
              <w:bottom w:val="nil"/>
              <w:right w:val="nil"/>
            </w:tcBorders>
            <w:tcMar>
              <w:top w:w="0" w:type="dxa"/>
              <w:left w:w="100" w:type="dxa"/>
              <w:bottom w:w="0" w:type="dxa"/>
              <w:right w:w="100" w:type="dxa"/>
            </w:tcMar>
            <w:vAlign w:val="center"/>
          </w:tcPr>
          <w:p w14:paraId="54E5801C"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037095E8"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(0.196)</w:t>
            </w:r>
          </w:p>
        </w:tc>
        <w:tc>
          <w:tcPr>
            <w:tcW w:w="975" w:type="dxa"/>
            <w:tcBorders>
              <w:top w:val="nil"/>
              <w:left w:val="nil"/>
              <w:bottom w:val="nil"/>
              <w:right w:val="nil"/>
            </w:tcBorders>
            <w:tcMar>
              <w:top w:w="0" w:type="dxa"/>
              <w:left w:w="100" w:type="dxa"/>
              <w:bottom w:w="0" w:type="dxa"/>
              <w:right w:w="100" w:type="dxa"/>
            </w:tcMar>
            <w:vAlign w:val="center"/>
          </w:tcPr>
          <w:p w14:paraId="11339D8E"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043013E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(0.192)</w:t>
            </w:r>
          </w:p>
        </w:tc>
        <w:tc>
          <w:tcPr>
            <w:tcW w:w="1080" w:type="dxa"/>
            <w:tcBorders>
              <w:top w:val="nil"/>
              <w:left w:val="nil"/>
              <w:bottom w:val="nil"/>
              <w:right w:val="nil"/>
            </w:tcBorders>
            <w:tcMar>
              <w:top w:w="0" w:type="dxa"/>
              <w:left w:w="100" w:type="dxa"/>
              <w:bottom w:w="0" w:type="dxa"/>
              <w:right w:w="100" w:type="dxa"/>
            </w:tcMar>
            <w:vAlign w:val="center"/>
          </w:tcPr>
          <w:p w14:paraId="43773032"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3550D8D3" w14:textId="77777777">
        <w:tc>
          <w:tcPr>
            <w:tcW w:w="2880" w:type="dxa"/>
            <w:tcBorders>
              <w:top w:val="nil"/>
              <w:left w:val="nil"/>
              <w:bottom w:val="nil"/>
              <w:right w:val="nil"/>
            </w:tcBorders>
            <w:tcMar>
              <w:top w:w="0" w:type="dxa"/>
              <w:left w:w="100" w:type="dxa"/>
              <w:bottom w:w="0" w:type="dxa"/>
              <w:right w:w="100" w:type="dxa"/>
            </w:tcMar>
            <w:vAlign w:val="center"/>
          </w:tcPr>
          <w:p w14:paraId="3F5FEAB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Subjective norms</w:t>
            </w:r>
          </w:p>
        </w:tc>
        <w:tc>
          <w:tcPr>
            <w:tcW w:w="1080" w:type="dxa"/>
            <w:tcBorders>
              <w:top w:val="nil"/>
              <w:left w:val="nil"/>
              <w:bottom w:val="nil"/>
              <w:right w:val="nil"/>
            </w:tcBorders>
            <w:tcMar>
              <w:top w:w="0" w:type="dxa"/>
              <w:left w:w="100" w:type="dxa"/>
              <w:bottom w:w="0" w:type="dxa"/>
              <w:right w:w="100" w:type="dxa"/>
            </w:tcMar>
            <w:vAlign w:val="center"/>
          </w:tcPr>
          <w:p w14:paraId="5DBB929E"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7FF49D13"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663ACE66" w14:textId="77777777" w:rsidR="00D032E2" w:rsidRDefault="00D032E2">
            <w:pPr>
              <w:spacing w:line="240" w:lineRule="auto"/>
              <w:jc w:val="center"/>
              <w:rPr>
                <w:rFonts w:ascii="Times New Roman" w:eastAsia="Times New Roman" w:hAnsi="Times New Roman" w:cs="Times New Roman"/>
                <w:sz w:val="24"/>
                <w:szCs w:val="24"/>
              </w:rPr>
            </w:pPr>
          </w:p>
        </w:tc>
        <w:tc>
          <w:tcPr>
            <w:tcW w:w="990" w:type="dxa"/>
            <w:tcBorders>
              <w:top w:val="nil"/>
              <w:left w:val="nil"/>
              <w:bottom w:val="nil"/>
              <w:right w:val="nil"/>
            </w:tcBorders>
            <w:tcMar>
              <w:top w:w="0" w:type="dxa"/>
              <w:left w:w="100" w:type="dxa"/>
              <w:bottom w:w="0" w:type="dxa"/>
              <w:right w:w="100" w:type="dxa"/>
            </w:tcMar>
            <w:vAlign w:val="center"/>
          </w:tcPr>
          <w:p w14:paraId="790CF97D"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01CC39D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0.670***</w:t>
            </w:r>
          </w:p>
        </w:tc>
        <w:tc>
          <w:tcPr>
            <w:tcW w:w="840" w:type="dxa"/>
            <w:tcBorders>
              <w:top w:val="nil"/>
              <w:left w:val="nil"/>
              <w:bottom w:val="nil"/>
              <w:right w:val="nil"/>
            </w:tcBorders>
            <w:tcMar>
              <w:top w:w="0" w:type="dxa"/>
              <w:left w:w="100" w:type="dxa"/>
              <w:bottom w:w="0" w:type="dxa"/>
              <w:right w:w="100" w:type="dxa"/>
            </w:tcMar>
            <w:vAlign w:val="center"/>
          </w:tcPr>
          <w:p w14:paraId="12D358C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0.353</w:t>
            </w:r>
          </w:p>
        </w:tc>
        <w:tc>
          <w:tcPr>
            <w:tcW w:w="1320" w:type="dxa"/>
            <w:tcBorders>
              <w:top w:val="nil"/>
              <w:left w:val="nil"/>
              <w:bottom w:val="nil"/>
              <w:right w:val="nil"/>
            </w:tcBorders>
            <w:tcMar>
              <w:top w:w="0" w:type="dxa"/>
              <w:left w:w="100" w:type="dxa"/>
              <w:bottom w:w="0" w:type="dxa"/>
              <w:right w:w="100" w:type="dxa"/>
            </w:tcMar>
            <w:vAlign w:val="center"/>
          </w:tcPr>
          <w:p w14:paraId="510281B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0.554***</w:t>
            </w:r>
          </w:p>
        </w:tc>
        <w:tc>
          <w:tcPr>
            <w:tcW w:w="975" w:type="dxa"/>
            <w:tcBorders>
              <w:top w:val="nil"/>
              <w:left w:val="nil"/>
              <w:bottom w:val="nil"/>
              <w:right w:val="nil"/>
            </w:tcBorders>
            <w:tcMar>
              <w:top w:w="0" w:type="dxa"/>
              <w:left w:w="100" w:type="dxa"/>
              <w:bottom w:w="0" w:type="dxa"/>
              <w:right w:w="100" w:type="dxa"/>
            </w:tcMar>
            <w:vAlign w:val="center"/>
          </w:tcPr>
          <w:p w14:paraId="6836769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0.292</w:t>
            </w:r>
          </w:p>
        </w:tc>
        <w:tc>
          <w:tcPr>
            <w:tcW w:w="1185" w:type="dxa"/>
            <w:tcBorders>
              <w:top w:val="nil"/>
              <w:left w:val="nil"/>
              <w:bottom w:val="nil"/>
              <w:right w:val="nil"/>
            </w:tcBorders>
            <w:tcMar>
              <w:top w:w="0" w:type="dxa"/>
              <w:left w:w="100" w:type="dxa"/>
              <w:bottom w:w="0" w:type="dxa"/>
              <w:right w:w="100" w:type="dxa"/>
            </w:tcMar>
            <w:vAlign w:val="center"/>
          </w:tcPr>
          <w:p w14:paraId="0C711C8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0.549***</w:t>
            </w:r>
          </w:p>
        </w:tc>
        <w:tc>
          <w:tcPr>
            <w:tcW w:w="1080" w:type="dxa"/>
            <w:tcBorders>
              <w:top w:val="nil"/>
              <w:left w:val="nil"/>
              <w:bottom w:val="nil"/>
              <w:right w:val="nil"/>
            </w:tcBorders>
            <w:tcMar>
              <w:top w:w="0" w:type="dxa"/>
              <w:left w:w="100" w:type="dxa"/>
              <w:bottom w:w="0" w:type="dxa"/>
              <w:right w:w="100" w:type="dxa"/>
            </w:tcMar>
            <w:vAlign w:val="center"/>
          </w:tcPr>
          <w:p w14:paraId="6A616447"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0.289</w:t>
            </w:r>
          </w:p>
        </w:tc>
      </w:tr>
      <w:tr w:rsidR="00D032E2" w14:paraId="2AB12386" w14:textId="77777777">
        <w:tc>
          <w:tcPr>
            <w:tcW w:w="2880" w:type="dxa"/>
            <w:tcBorders>
              <w:top w:val="nil"/>
              <w:left w:val="nil"/>
              <w:bottom w:val="nil"/>
              <w:right w:val="nil"/>
            </w:tcBorders>
            <w:tcMar>
              <w:top w:w="0" w:type="dxa"/>
              <w:left w:w="100" w:type="dxa"/>
              <w:bottom w:w="0" w:type="dxa"/>
              <w:right w:w="100" w:type="dxa"/>
            </w:tcMar>
            <w:vAlign w:val="center"/>
          </w:tcPr>
          <w:p w14:paraId="799AF91B" w14:textId="77777777" w:rsidR="00D032E2" w:rsidRDefault="00D032E2">
            <w:pPr>
              <w:spacing w:line="240" w:lineRule="auto"/>
              <w:rPr>
                <w:rFonts w:ascii="Times New Roman" w:eastAsia="Times New Roman" w:hAnsi="Times New Roman" w:cs="Times New Roman"/>
                <w:sz w:val="24"/>
                <w:szCs w:val="24"/>
              </w:rPr>
            </w:pPr>
          </w:p>
        </w:tc>
        <w:tc>
          <w:tcPr>
            <w:tcW w:w="1080" w:type="dxa"/>
            <w:tcBorders>
              <w:top w:val="nil"/>
              <w:left w:val="nil"/>
              <w:bottom w:val="nil"/>
              <w:right w:val="nil"/>
            </w:tcBorders>
            <w:tcMar>
              <w:top w:w="0" w:type="dxa"/>
              <w:left w:w="100" w:type="dxa"/>
              <w:bottom w:w="0" w:type="dxa"/>
              <w:right w:w="100" w:type="dxa"/>
            </w:tcMar>
            <w:vAlign w:val="center"/>
          </w:tcPr>
          <w:p w14:paraId="49537493"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21ABF74F"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5D3B4540" w14:textId="77777777" w:rsidR="00D032E2" w:rsidRDefault="00D032E2">
            <w:pPr>
              <w:spacing w:line="240" w:lineRule="auto"/>
              <w:jc w:val="center"/>
              <w:rPr>
                <w:rFonts w:ascii="Times New Roman" w:eastAsia="Times New Roman" w:hAnsi="Times New Roman" w:cs="Times New Roman"/>
                <w:sz w:val="24"/>
                <w:szCs w:val="24"/>
              </w:rPr>
            </w:pPr>
          </w:p>
        </w:tc>
        <w:tc>
          <w:tcPr>
            <w:tcW w:w="990" w:type="dxa"/>
            <w:tcBorders>
              <w:top w:val="nil"/>
              <w:left w:val="nil"/>
              <w:bottom w:val="nil"/>
              <w:right w:val="nil"/>
            </w:tcBorders>
            <w:tcMar>
              <w:top w:w="0" w:type="dxa"/>
              <w:left w:w="100" w:type="dxa"/>
              <w:bottom w:w="0" w:type="dxa"/>
              <w:right w:w="100" w:type="dxa"/>
            </w:tcMar>
            <w:vAlign w:val="center"/>
          </w:tcPr>
          <w:p w14:paraId="45DC80E4"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3749801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(0.159)</w:t>
            </w:r>
          </w:p>
        </w:tc>
        <w:tc>
          <w:tcPr>
            <w:tcW w:w="840" w:type="dxa"/>
            <w:tcBorders>
              <w:top w:val="nil"/>
              <w:left w:val="nil"/>
              <w:bottom w:val="nil"/>
              <w:right w:val="nil"/>
            </w:tcBorders>
            <w:tcMar>
              <w:top w:w="0" w:type="dxa"/>
              <w:left w:w="100" w:type="dxa"/>
              <w:bottom w:w="0" w:type="dxa"/>
              <w:right w:w="100" w:type="dxa"/>
            </w:tcMar>
            <w:vAlign w:val="center"/>
          </w:tcPr>
          <w:p w14:paraId="19C40DAF"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114DBAC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(0.157)</w:t>
            </w:r>
          </w:p>
        </w:tc>
        <w:tc>
          <w:tcPr>
            <w:tcW w:w="975" w:type="dxa"/>
            <w:tcBorders>
              <w:top w:val="nil"/>
              <w:left w:val="nil"/>
              <w:bottom w:val="nil"/>
              <w:right w:val="nil"/>
            </w:tcBorders>
            <w:tcMar>
              <w:top w:w="0" w:type="dxa"/>
              <w:left w:w="100" w:type="dxa"/>
              <w:bottom w:w="0" w:type="dxa"/>
              <w:right w:w="100" w:type="dxa"/>
            </w:tcMar>
            <w:vAlign w:val="center"/>
          </w:tcPr>
          <w:p w14:paraId="6E044E92"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364719C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(0.149)</w:t>
            </w:r>
          </w:p>
        </w:tc>
        <w:tc>
          <w:tcPr>
            <w:tcW w:w="1080" w:type="dxa"/>
            <w:tcBorders>
              <w:top w:val="nil"/>
              <w:left w:val="nil"/>
              <w:bottom w:val="nil"/>
              <w:right w:val="nil"/>
            </w:tcBorders>
            <w:tcMar>
              <w:top w:w="0" w:type="dxa"/>
              <w:left w:w="100" w:type="dxa"/>
              <w:bottom w:w="0" w:type="dxa"/>
              <w:right w:w="100" w:type="dxa"/>
            </w:tcMar>
            <w:vAlign w:val="center"/>
          </w:tcPr>
          <w:p w14:paraId="60B56A05"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179D2FE3" w14:textId="77777777">
        <w:tc>
          <w:tcPr>
            <w:tcW w:w="2880" w:type="dxa"/>
            <w:tcBorders>
              <w:top w:val="nil"/>
              <w:left w:val="nil"/>
              <w:bottom w:val="nil"/>
              <w:right w:val="nil"/>
            </w:tcBorders>
            <w:tcMar>
              <w:top w:w="0" w:type="dxa"/>
              <w:left w:w="100" w:type="dxa"/>
              <w:bottom w:w="0" w:type="dxa"/>
              <w:right w:w="100" w:type="dxa"/>
            </w:tcMar>
            <w:vAlign w:val="center"/>
          </w:tcPr>
          <w:p w14:paraId="68ACA01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Attitudes</w:t>
            </w:r>
          </w:p>
        </w:tc>
        <w:tc>
          <w:tcPr>
            <w:tcW w:w="1080" w:type="dxa"/>
            <w:tcBorders>
              <w:top w:val="nil"/>
              <w:left w:val="nil"/>
              <w:bottom w:val="nil"/>
              <w:right w:val="nil"/>
            </w:tcBorders>
            <w:tcMar>
              <w:top w:w="0" w:type="dxa"/>
              <w:left w:w="100" w:type="dxa"/>
              <w:bottom w:w="0" w:type="dxa"/>
              <w:right w:w="100" w:type="dxa"/>
            </w:tcMar>
            <w:vAlign w:val="center"/>
          </w:tcPr>
          <w:p w14:paraId="4187BA4D"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0F02EB2D"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7E04D098" w14:textId="77777777" w:rsidR="00D032E2" w:rsidRDefault="00D032E2">
            <w:pPr>
              <w:spacing w:line="240" w:lineRule="auto"/>
              <w:jc w:val="center"/>
              <w:rPr>
                <w:rFonts w:ascii="Times New Roman" w:eastAsia="Times New Roman" w:hAnsi="Times New Roman" w:cs="Times New Roman"/>
                <w:sz w:val="24"/>
                <w:szCs w:val="24"/>
              </w:rPr>
            </w:pPr>
          </w:p>
        </w:tc>
        <w:tc>
          <w:tcPr>
            <w:tcW w:w="990" w:type="dxa"/>
            <w:tcBorders>
              <w:top w:val="nil"/>
              <w:left w:val="nil"/>
              <w:bottom w:val="nil"/>
              <w:right w:val="nil"/>
            </w:tcBorders>
            <w:tcMar>
              <w:top w:w="0" w:type="dxa"/>
              <w:left w:w="100" w:type="dxa"/>
              <w:bottom w:w="0" w:type="dxa"/>
              <w:right w:w="100" w:type="dxa"/>
            </w:tcMar>
            <w:vAlign w:val="center"/>
          </w:tcPr>
          <w:p w14:paraId="19C360B7"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77620BF1" w14:textId="77777777" w:rsidR="00D032E2" w:rsidRDefault="00D032E2">
            <w:pPr>
              <w:spacing w:line="240" w:lineRule="auto"/>
              <w:jc w:val="center"/>
              <w:rPr>
                <w:rFonts w:ascii="Times New Roman" w:eastAsia="Times New Roman" w:hAnsi="Times New Roman" w:cs="Times New Roman"/>
                <w:sz w:val="24"/>
                <w:szCs w:val="24"/>
              </w:rPr>
            </w:pPr>
          </w:p>
        </w:tc>
        <w:tc>
          <w:tcPr>
            <w:tcW w:w="840" w:type="dxa"/>
            <w:tcBorders>
              <w:top w:val="nil"/>
              <w:left w:val="nil"/>
              <w:bottom w:val="nil"/>
              <w:right w:val="nil"/>
            </w:tcBorders>
            <w:tcMar>
              <w:top w:w="0" w:type="dxa"/>
              <w:left w:w="100" w:type="dxa"/>
              <w:bottom w:w="0" w:type="dxa"/>
              <w:right w:w="100" w:type="dxa"/>
            </w:tcMar>
            <w:vAlign w:val="center"/>
          </w:tcPr>
          <w:p w14:paraId="077116FD"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188B93B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0.351**</w:t>
            </w:r>
          </w:p>
        </w:tc>
        <w:tc>
          <w:tcPr>
            <w:tcW w:w="975" w:type="dxa"/>
            <w:tcBorders>
              <w:top w:val="nil"/>
              <w:left w:val="nil"/>
              <w:bottom w:val="nil"/>
              <w:right w:val="nil"/>
            </w:tcBorders>
            <w:tcMar>
              <w:top w:w="0" w:type="dxa"/>
              <w:left w:w="100" w:type="dxa"/>
              <w:bottom w:w="0" w:type="dxa"/>
              <w:right w:w="100" w:type="dxa"/>
            </w:tcMar>
            <w:vAlign w:val="center"/>
          </w:tcPr>
          <w:p w14:paraId="3DAFC3D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0.271</w:t>
            </w:r>
          </w:p>
        </w:tc>
        <w:tc>
          <w:tcPr>
            <w:tcW w:w="1185" w:type="dxa"/>
            <w:tcBorders>
              <w:top w:val="nil"/>
              <w:left w:val="nil"/>
              <w:bottom w:val="nil"/>
              <w:right w:val="nil"/>
            </w:tcBorders>
            <w:tcMar>
              <w:top w:w="0" w:type="dxa"/>
              <w:left w:w="100" w:type="dxa"/>
              <w:bottom w:w="0" w:type="dxa"/>
              <w:right w:w="100" w:type="dxa"/>
            </w:tcMar>
            <w:vAlign w:val="center"/>
          </w:tcPr>
          <w:p w14:paraId="1AF873C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0.103</w:t>
            </w:r>
          </w:p>
        </w:tc>
        <w:tc>
          <w:tcPr>
            <w:tcW w:w="1080" w:type="dxa"/>
            <w:tcBorders>
              <w:top w:val="nil"/>
              <w:left w:val="nil"/>
              <w:bottom w:val="nil"/>
              <w:right w:val="nil"/>
            </w:tcBorders>
            <w:tcMar>
              <w:top w:w="0" w:type="dxa"/>
              <w:left w:w="100" w:type="dxa"/>
              <w:bottom w:w="0" w:type="dxa"/>
              <w:right w:w="100" w:type="dxa"/>
            </w:tcMar>
            <w:vAlign w:val="center"/>
          </w:tcPr>
          <w:p w14:paraId="487DA7D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0.079</w:t>
            </w:r>
          </w:p>
        </w:tc>
      </w:tr>
      <w:tr w:rsidR="00D032E2" w14:paraId="4257A154" w14:textId="77777777">
        <w:tc>
          <w:tcPr>
            <w:tcW w:w="2880" w:type="dxa"/>
            <w:tcBorders>
              <w:top w:val="nil"/>
              <w:left w:val="nil"/>
              <w:bottom w:val="nil"/>
              <w:right w:val="nil"/>
            </w:tcBorders>
            <w:tcMar>
              <w:top w:w="0" w:type="dxa"/>
              <w:left w:w="100" w:type="dxa"/>
              <w:bottom w:w="0" w:type="dxa"/>
              <w:right w:w="100" w:type="dxa"/>
            </w:tcMar>
            <w:vAlign w:val="center"/>
          </w:tcPr>
          <w:p w14:paraId="0442DB34" w14:textId="77777777" w:rsidR="00D032E2" w:rsidRDefault="00D032E2">
            <w:pPr>
              <w:spacing w:line="240" w:lineRule="auto"/>
              <w:rPr>
                <w:rFonts w:ascii="Times New Roman" w:eastAsia="Times New Roman" w:hAnsi="Times New Roman" w:cs="Times New Roman"/>
                <w:sz w:val="24"/>
                <w:szCs w:val="24"/>
              </w:rPr>
            </w:pPr>
          </w:p>
        </w:tc>
        <w:tc>
          <w:tcPr>
            <w:tcW w:w="1080" w:type="dxa"/>
            <w:tcBorders>
              <w:top w:val="nil"/>
              <w:left w:val="nil"/>
              <w:bottom w:val="nil"/>
              <w:right w:val="nil"/>
            </w:tcBorders>
            <w:tcMar>
              <w:top w:w="0" w:type="dxa"/>
              <w:left w:w="100" w:type="dxa"/>
              <w:bottom w:w="0" w:type="dxa"/>
              <w:right w:w="100" w:type="dxa"/>
            </w:tcMar>
            <w:vAlign w:val="center"/>
          </w:tcPr>
          <w:p w14:paraId="13E01529"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16989360"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765A764E" w14:textId="77777777" w:rsidR="00D032E2" w:rsidRDefault="00D032E2">
            <w:pPr>
              <w:spacing w:line="240" w:lineRule="auto"/>
              <w:jc w:val="center"/>
              <w:rPr>
                <w:rFonts w:ascii="Times New Roman" w:eastAsia="Times New Roman" w:hAnsi="Times New Roman" w:cs="Times New Roman"/>
                <w:sz w:val="24"/>
                <w:szCs w:val="24"/>
              </w:rPr>
            </w:pPr>
          </w:p>
        </w:tc>
        <w:tc>
          <w:tcPr>
            <w:tcW w:w="990" w:type="dxa"/>
            <w:tcBorders>
              <w:top w:val="nil"/>
              <w:left w:val="nil"/>
              <w:bottom w:val="nil"/>
              <w:right w:val="nil"/>
            </w:tcBorders>
            <w:tcMar>
              <w:top w:w="0" w:type="dxa"/>
              <w:left w:w="100" w:type="dxa"/>
              <w:bottom w:w="0" w:type="dxa"/>
              <w:right w:w="100" w:type="dxa"/>
            </w:tcMar>
            <w:vAlign w:val="center"/>
          </w:tcPr>
          <w:p w14:paraId="07798387"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5BB788D0" w14:textId="77777777" w:rsidR="00D032E2" w:rsidRDefault="00D032E2">
            <w:pPr>
              <w:spacing w:line="240" w:lineRule="auto"/>
              <w:jc w:val="center"/>
              <w:rPr>
                <w:rFonts w:ascii="Times New Roman" w:eastAsia="Times New Roman" w:hAnsi="Times New Roman" w:cs="Times New Roman"/>
                <w:sz w:val="24"/>
                <w:szCs w:val="24"/>
              </w:rPr>
            </w:pPr>
          </w:p>
        </w:tc>
        <w:tc>
          <w:tcPr>
            <w:tcW w:w="840" w:type="dxa"/>
            <w:tcBorders>
              <w:top w:val="nil"/>
              <w:left w:val="nil"/>
              <w:bottom w:val="nil"/>
              <w:right w:val="nil"/>
            </w:tcBorders>
            <w:tcMar>
              <w:top w:w="0" w:type="dxa"/>
              <w:left w:w="100" w:type="dxa"/>
              <w:bottom w:w="0" w:type="dxa"/>
              <w:right w:w="100" w:type="dxa"/>
            </w:tcMar>
            <w:vAlign w:val="center"/>
          </w:tcPr>
          <w:p w14:paraId="2B088B4D"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01D4C67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(0.112)</w:t>
            </w:r>
          </w:p>
        </w:tc>
        <w:tc>
          <w:tcPr>
            <w:tcW w:w="975" w:type="dxa"/>
            <w:tcBorders>
              <w:top w:val="nil"/>
              <w:left w:val="nil"/>
              <w:bottom w:val="nil"/>
              <w:right w:val="nil"/>
            </w:tcBorders>
            <w:tcMar>
              <w:top w:w="0" w:type="dxa"/>
              <w:left w:w="100" w:type="dxa"/>
              <w:bottom w:w="0" w:type="dxa"/>
              <w:right w:w="100" w:type="dxa"/>
            </w:tcMar>
            <w:vAlign w:val="center"/>
          </w:tcPr>
          <w:p w14:paraId="5ACF881E"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66A5D784"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(0.127)</w:t>
            </w:r>
          </w:p>
        </w:tc>
        <w:tc>
          <w:tcPr>
            <w:tcW w:w="1080" w:type="dxa"/>
            <w:tcBorders>
              <w:top w:val="nil"/>
              <w:left w:val="nil"/>
              <w:bottom w:val="nil"/>
              <w:right w:val="nil"/>
            </w:tcBorders>
            <w:tcMar>
              <w:top w:w="0" w:type="dxa"/>
              <w:left w:w="100" w:type="dxa"/>
              <w:bottom w:w="0" w:type="dxa"/>
              <w:right w:w="100" w:type="dxa"/>
            </w:tcMar>
            <w:vAlign w:val="center"/>
          </w:tcPr>
          <w:p w14:paraId="0349D406"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2E681CA1" w14:textId="77777777">
        <w:tc>
          <w:tcPr>
            <w:tcW w:w="2880" w:type="dxa"/>
            <w:tcBorders>
              <w:top w:val="nil"/>
              <w:left w:val="nil"/>
              <w:bottom w:val="nil"/>
              <w:right w:val="nil"/>
            </w:tcBorders>
            <w:tcMar>
              <w:top w:w="0" w:type="dxa"/>
              <w:left w:w="100" w:type="dxa"/>
              <w:bottom w:w="0" w:type="dxa"/>
              <w:right w:w="100" w:type="dxa"/>
            </w:tcMar>
            <w:vAlign w:val="center"/>
          </w:tcPr>
          <w:p w14:paraId="36D4E15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Perceived behavior control</w:t>
            </w:r>
          </w:p>
        </w:tc>
        <w:tc>
          <w:tcPr>
            <w:tcW w:w="1080" w:type="dxa"/>
            <w:tcBorders>
              <w:top w:val="nil"/>
              <w:left w:val="nil"/>
              <w:bottom w:val="nil"/>
              <w:right w:val="nil"/>
            </w:tcBorders>
            <w:tcMar>
              <w:top w:w="0" w:type="dxa"/>
              <w:left w:w="100" w:type="dxa"/>
              <w:bottom w:w="0" w:type="dxa"/>
              <w:right w:w="100" w:type="dxa"/>
            </w:tcMar>
            <w:vAlign w:val="center"/>
          </w:tcPr>
          <w:p w14:paraId="1FD6B96E"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0B94621E"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5684D25E" w14:textId="77777777" w:rsidR="00D032E2" w:rsidRDefault="00D032E2">
            <w:pPr>
              <w:spacing w:line="240" w:lineRule="auto"/>
              <w:jc w:val="center"/>
              <w:rPr>
                <w:rFonts w:ascii="Times New Roman" w:eastAsia="Times New Roman" w:hAnsi="Times New Roman" w:cs="Times New Roman"/>
                <w:sz w:val="24"/>
                <w:szCs w:val="24"/>
              </w:rPr>
            </w:pPr>
          </w:p>
        </w:tc>
        <w:tc>
          <w:tcPr>
            <w:tcW w:w="990" w:type="dxa"/>
            <w:tcBorders>
              <w:top w:val="nil"/>
              <w:left w:val="nil"/>
              <w:bottom w:val="nil"/>
              <w:right w:val="nil"/>
            </w:tcBorders>
            <w:tcMar>
              <w:top w:w="0" w:type="dxa"/>
              <w:left w:w="100" w:type="dxa"/>
              <w:bottom w:w="0" w:type="dxa"/>
              <w:right w:w="100" w:type="dxa"/>
            </w:tcMar>
            <w:vAlign w:val="center"/>
          </w:tcPr>
          <w:p w14:paraId="40874633"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209CFB81" w14:textId="77777777" w:rsidR="00D032E2" w:rsidRDefault="00D032E2">
            <w:pPr>
              <w:spacing w:line="240" w:lineRule="auto"/>
              <w:jc w:val="center"/>
              <w:rPr>
                <w:rFonts w:ascii="Times New Roman" w:eastAsia="Times New Roman" w:hAnsi="Times New Roman" w:cs="Times New Roman"/>
                <w:sz w:val="24"/>
                <w:szCs w:val="24"/>
              </w:rPr>
            </w:pPr>
          </w:p>
        </w:tc>
        <w:tc>
          <w:tcPr>
            <w:tcW w:w="840" w:type="dxa"/>
            <w:tcBorders>
              <w:top w:val="nil"/>
              <w:left w:val="nil"/>
              <w:bottom w:val="nil"/>
              <w:right w:val="nil"/>
            </w:tcBorders>
            <w:tcMar>
              <w:top w:w="0" w:type="dxa"/>
              <w:left w:w="100" w:type="dxa"/>
              <w:bottom w:w="0" w:type="dxa"/>
              <w:right w:w="100" w:type="dxa"/>
            </w:tcMar>
            <w:vAlign w:val="center"/>
          </w:tcPr>
          <w:p w14:paraId="416949B2"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7F3D1697" w14:textId="77777777" w:rsidR="00D032E2" w:rsidRDefault="00D032E2">
            <w:pPr>
              <w:spacing w:line="240" w:lineRule="auto"/>
              <w:jc w:val="center"/>
              <w:rPr>
                <w:rFonts w:ascii="Times New Roman" w:eastAsia="Times New Roman" w:hAnsi="Times New Roman" w:cs="Times New Roman"/>
                <w:sz w:val="24"/>
                <w:szCs w:val="24"/>
              </w:rPr>
            </w:pPr>
          </w:p>
        </w:tc>
        <w:tc>
          <w:tcPr>
            <w:tcW w:w="975" w:type="dxa"/>
            <w:tcBorders>
              <w:top w:val="nil"/>
              <w:left w:val="nil"/>
              <w:bottom w:val="nil"/>
              <w:right w:val="nil"/>
            </w:tcBorders>
            <w:tcMar>
              <w:top w:w="0" w:type="dxa"/>
              <w:left w:w="100" w:type="dxa"/>
              <w:bottom w:w="0" w:type="dxa"/>
              <w:right w:w="100" w:type="dxa"/>
            </w:tcMar>
            <w:vAlign w:val="center"/>
          </w:tcPr>
          <w:p w14:paraId="65989265"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293509FB"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0.474***</w:t>
            </w:r>
          </w:p>
        </w:tc>
        <w:tc>
          <w:tcPr>
            <w:tcW w:w="1080" w:type="dxa"/>
            <w:tcBorders>
              <w:top w:val="nil"/>
              <w:left w:val="nil"/>
              <w:bottom w:val="nil"/>
              <w:right w:val="nil"/>
            </w:tcBorders>
            <w:tcMar>
              <w:top w:w="0" w:type="dxa"/>
              <w:left w:w="100" w:type="dxa"/>
              <w:bottom w:w="0" w:type="dxa"/>
              <w:right w:w="100" w:type="dxa"/>
            </w:tcMar>
            <w:vAlign w:val="center"/>
          </w:tcPr>
          <w:p w14:paraId="72CC9B2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0.350</w:t>
            </w:r>
          </w:p>
        </w:tc>
      </w:tr>
      <w:tr w:rsidR="00D032E2" w14:paraId="541BB288" w14:textId="77777777">
        <w:tc>
          <w:tcPr>
            <w:tcW w:w="2880" w:type="dxa"/>
            <w:tcBorders>
              <w:top w:val="nil"/>
              <w:left w:val="nil"/>
              <w:bottom w:val="nil"/>
              <w:right w:val="nil"/>
            </w:tcBorders>
            <w:tcMar>
              <w:top w:w="0" w:type="dxa"/>
              <w:left w:w="100" w:type="dxa"/>
              <w:bottom w:w="0" w:type="dxa"/>
              <w:right w:w="100" w:type="dxa"/>
            </w:tcMar>
            <w:vAlign w:val="center"/>
          </w:tcPr>
          <w:p w14:paraId="6B1F05A8" w14:textId="77777777" w:rsidR="00D032E2" w:rsidRDefault="00D032E2">
            <w:pPr>
              <w:spacing w:line="240" w:lineRule="auto"/>
              <w:rPr>
                <w:rFonts w:ascii="Times New Roman" w:eastAsia="Times New Roman" w:hAnsi="Times New Roman" w:cs="Times New Roman"/>
                <w:sz w:val="24"/>
                <w:szCs w:val="24"/>
              </w:rPr>
            </w:pPr>
          </w:p>
        </w:tc>
        <w:tc>
          <w:tcPr>
            <w:tcW w:w="1080" w:type="dxa"/>
            <w:tcBorders>
              <w:top w:val="nil"/>
              <w:left w:val="nil"/>
              <w:bottom w:val="nil"/>
              <w:right w:val="nil"/>
            </w:tcBorders>
            <w:tcMar>
              <w:top w:w="0" w:type="dxa"/>
              <w:left w:w="100" w:type="dxa"/>
              <w:bottom w:w="0" w:type="dxa"/>
              <w:right w:w="100" w:type="dxa"/>
            </w:tcMar>
            <w:vAlign w:val="center"/>
          </w:tcPr>
          <w:p w14:paraId="2028EE93" w14:textId="77777777" w:rsidR="00D032E2" w:rsidRDefault="00D032E2">
            <w:pPr>
              <w:spacing w:line="240" w:lineRule="auto"/>
              <w:jc w:val="center"/>
              <w:rPr>
                <w:rFonts w:ascii="Times New Roman" w:eastAsia="Times New Roman" w:hAnsi="Times New Roman" w:cs="Times New Roman"/>
                <w:sz w:val="24"/>
                <w:szCs w:val="24"/>
              </w:rPr>
            </w:pPr>
          </w:p>
        </w:tc>
        <w:tc>
          <w:tcPr>
            <w:tcW w:w="1005" w:type="dxa"/>
            <w:tcBorders>
              <w:top w:val="nil"/>
              <w:left w:val="nil"/>
              <w:bottom w:val="nil"/>
              <w:right w:val="nil"/>
            </w:tcBorders>
            <w:tcMar>
              <w:top w:w="0" w:type="dxa"/>
              <w:left w:w="100" w:type="dxa"/>
              <w:bottom w:w="0" w:type="dxa"/>
              <w:right w:w="100" w:type="dxa"/>
            </w:tcMar>
            <w:vAlign w:val="center"/>
          </w:tcPr>
          <w:p w14:paraId="5D55507F"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2CFE02D6" w14:textId="77777777" w:rsidR="00D032E2" w:rsidRDefault="00D032E2">
            <w:pPr>
              <w:spacing w:line="240" w:lineRule="auto"/>
              <w:jc w:val="center"/>
              <w:rPr>
                <w:rFonts w:ascii="Times New Roman" w:eastAsia="Times New Roman" w:hAnsi="Times New Roman" w:cs="Times New Roman"/>
                <w:sz w:val="24"/>
                <w:szCs w:val="24"/>
              </w:rPr>
            </w:pPr>
          </w:p>
        </w:tc>
        <w:tc>
          <w:tcPr>
            <w:tcW w:w="990" w:type="dxa"/>
            <w:tcBorders>
              <w:top w:val="nil"/>
              <w:left w:val="nil"/>
              <w:bottom w:val="nil"/>
              <w:right w:val="nil"/>
            </w:tcBorders>
            <w:tcMar>
              <w:top w:w="0" w:type="dxa"/>
              <w:left w:w="100" w:type="dxa"/>
              <w:bottom w:w="0" w:type="dxa"/>
              <w:right w:w="100" w:type="dxa"/>
            </w:tcMar>
            <w:vAlign w:val="center"/>
          </w:tcPr>
          <w:p w14:paraId="27BF9865"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7C462D8F" w14:textId="77777777" w:rsidR="00D032E2" w:rsidRDefault="00D032E2">
            <w:pPr>
              <w:spacing w:line="240" w:lineRule="auto"/>
              <w:jc w:val="center"/>
              <w:rPr>
                <w:rFonts w:ascii="Times New Roman" w:eastAsia="Times New Roman" w:hAnsi="Times New Roman" w:cs="Times New Roman"/>
                <w:sz w:val="24"/>
                <w:szCs w:val="24"/>
              </w:rPr>
            </w:pPr>
          </w:p>
        </w:tc>
        <w:tc>
          <w:tcPr>
            <w:tcW w:w="840" w:type="dxa"/>
            <w:tcBorders>
              <w:top w:val="nil"/>
              <w:left w:val="nil"/>
              <w:bottom w:val="nil"/>
              <w:right w:val="nil"/>
            </w:tcBorders>
            <w:tcMar>
              <w:top w:w="0" w:type="dxa"/>
              <w:left w:w="100" w:type="dxa"/>
              <w:bottom w:w="0" w:type="dxa"/>
              <w:right w:w="100" w:type="dxa"/>
            </w:tcMar>
            <w:vAlign w:val="center"/>
          </w:tcPr>
          <w:p w14:paraId="2B4EC31B"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079FBBE7" w14:textId="77777777" w:rsidR="00D032E2" w:rsidRDefault="00D032E2">
            <w:pPr>
              <w:spacing w:line="240" w:lineRule="auto"/>
              <w:jc w:val="center"/>
              <w:rPr>
                <w:rFonts w:ascii="Times New Roman" w:eastAsia="Times New Roman" w:hAnsi="Times New Roman" w:cs="Times New Roman"/>
                <w:sz w:val="24"/>
                <w:szCs w:val="24"/>
              </w:rPr>
            </w:pPr>
          </w:p>
        </w:tc>
        <w:tc>
          <w:tcPr>
            <w:tcW w:w="975" w:type="dxa"/>
            <w:tcBorders>
              <w:top w:val="nil"/>
              <w:left w:val="nil"/>
              <w:bottom w:val="nil"/>
              <w:right w:val="nil"/>
            </w:tcBorders>
            <w:tcMar>
              <w:top w:w="0" w:type="dxa"/>
              <w:left w:w="100" w:type="dxa"/>
              <w:bottom w:w="0" w:type="dxa"/>
              <w:right w:w="100" w:type="dxa"/>
            </w:tcMar>
            <w:vAlign w:val="center"/>
          </w:tcPr>
          <w:p w14:paraId="15F83F46"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6FA0164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(0.134)</w:t>
            </w:r>
          </w:p>
        </w:tc>
        <w:tc>
          <w:tcPr>
            <w:tcW w:w="1080" w:type="dxa"/>
            <w:tcBorders>
              <w:top w:val="nil"/>
              <w:left w:val="nil"/>
              <w:bottom w:val="nil"/>
              <w:right w:val="nil"/>
            </w:tcBorders>
            <w:tcMar>
              <w:top w:w="0" w:type="dxa"/>
              <w:left w:w="100" w:type="dxa"/>
              <w:bottom w:w="0" w:type="dxa"/>
              <w:right w:w="100" w:type="dxa"/>
            </w:tcMar>
            <w:vAlign w:val="center"/>
          </w:tcPr>
          <w:p w14:paraId="6B8478D0"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01206433" w14:textId="77777777">
        <w:tc>
          <w:tcPr>
            <w:tcW w:w="2880" w:type="dxa"/>
            <w:tcBorders>
              <w:top w:val="nil"/>
              <w:left w:val="nil"/>
              <w:bottom w:val="nil"/>
              <w:right w:val="nil"/>
            </w:tcBorders>
            <w:tcMar>
              <w:top w:w="0" w:type="dxa"/>
              <w:left w:w="100" w:type="dxa"/>
              <w:bottom w:w="0" w:type="dxa"/>
              <w:right w:w="100" w:type="dxa"/>
            </w:tcMar>
            <w:vAlign w:val="center"/>
          </w:tcPr>
          <w:p w14:paraId="459CE5B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Constant </w:t>
            </w:r>
          </w:p>
        </w:tc>
        <w:tc>
          <w:tcPr>
            <w:tcW w:w="1080" w:type="dxa"/>
            <w:tcBorders>
              <w:top w:val="nil"/>
              <w:left w:val="nil"/>
              <w:bottom w:val="nil"/>
              <w:right w:val="nil"/>
            </w:tcBorders>
            <w:tcMar>
              <w:top w:w="0" w:type="dxa"/>
              <w:left w:w="100" w:type="dxa"/>
              <w:bottom w:w="0" w:type="dxa"/>
              <w:right w:w="100" w:type="dxa"/>
            </w:tcMar>
            <w:vAlign w:val="center"/>
          </w:tcPr>
          <w:p w14:paraId="2F24B2C9"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2.980</w:t>
            </w:r>
          </w:p>
        </w:tc>
        <w:tc>
          <w:tcPr>
            <w:tcW w:w="1005" w:type="dxa"/>
            <w:tcBorders>
              <w:top w:val="nil"/>
              <w:left w:val="nil"/>
              <w:bottom w:val="nil"/>
              <w:right w:val="nil"/>
            </w:tcBorders>
            <w:tcMar>
              <w:top w:w="0" w:type="dxa"/>
              <w:left w:w="100" w:type="dxa"/>
              <w:bottom w:w="0" w:type="dxa"/>
              <w:right w:w="100" w:type="dxa"/>
            </w:tcMar>
            <w:vAlign w:val="center"/>
          </w:tcPr>
          <w:p w14:paraId="2DEB89AF"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right w:val="nil"/>
            </w:tcBorders>
            <w:tcMar>
              <w:top w:w="0" w:type="dxa"/>
              <w:left w:w="100" w:type="dxa"/>
              <w:bottom w:w="0" w:type="dxa"/>
              <w:right w:w="100" w:type="dxa"/>
            </w:tcMar>
            <w:vAlign w:val="center"/>
          </w:tcPr>
          <w:p w14:paraId="400DCF0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2.58***</w:t>
            </w:r>
          </w:p>
        </w:tc>
        <w:tc>
          <w:tcPr>
            <w:tcW w:w="990" w:type="dxa"/>
            <w:tcBorders>
              <w:top w:val="nil"/>
              <w:left w:val="nil"/>
              <w:bottom w:val="nil"/>
              <w:right w:val="nil"/>
            </w:tcBorders>
            <w:tcMar>
              <w:top w:w="0" w:type="dxa"/>
              <w:left w:w="100" w:type="dxa"/>
              <w:bottom w:w="0" w:type="dxa"/>
              <w:right w:w="100" w:type="dxa"/>
            </w:tcMar>
            <w:vAlign w:val="center"/>
          </w:tcPr>
          <w:p w14:paraId="6CCCDC58"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right w:val="nil"/>
            </w:tcBorders>
            <w:tcMar>
              <w:top w:w="0" w:type="dxa"/>
              <w:left w:w="100" w:type="dxa"/>
              <w:bottom w:w="0" w:type="dxa"/>
              <w:right w:w="100" w:type="dxa"/>
            </w:tcMar>
            <w:vAlign w:val="center"/>
          </w:tcPr>
          <w:p w14:paraId="0A2E05C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0.677</w:t>
            </w:r>
          </w:p>
        </w:tc>
        <w:tc>
          <w:tcPr>
            <w:tcW w:w="840" w:type="dxa"/>
            <w:tcBorders>
              <w:top w:val="nil"/>
              <w:left w:val="nil"/>
              <w:bottom w:val="nil"/>
              <w:right w:val="nil"/>
            </w:tcBorders>
            <w:tcMar>
              <w:top w:w="0" w:type="dxa"/>
              <w:left w:w="100" w:type="dxa"/>
              <w:bottom w:w="0" w:type="dxa"/>
              <w:right w:w="100" w:type="dxa"/>
            </w:tcMar>
            <w:vAlign w:val="center"/>
          </w:tcPr>
          <w:p w14:paraId="22A01C54"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right w:val="nil"/>
            </w:tcBorders>
            <w:tcMar>
              <w:top w:w="0" w:type="dxa"/>
              <w:left w:w="100" w:type="dxa"/>
              <w:bottom w:w="0" w:type="dxa"/>
              <w:right w:w="100" w:type="dxa"/>
            </w:tcMar>
            <w:vAlign w:val="center"/>
          </w:tcPr>
          <w:p w14:paraId="736B7A1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-0.123</w:t>
            </w:r>
          </w:p>
        </w:tc>
        <w:tc>
          <w:tcPr>
            <w:tcW w:w="975" w:type="dxa"/>
            <w:tcBorders>
              <w:top w:val="nil"/>
              <w:left w:val="nil"/>
              <w:bottom w:val="nil"/>
              <w:right w:val="nil"/>
            </w:tcBorders>
            <w:tcMar>
              <w:top w:w="0" w:type="dxa"/>
              <w:left w:w="100" w:type="dxa"/>
              <w:bottom w:w="0" w:type="dxa"/>
              <w:right w:w="100" w:type="dxa"/>
            </w:tcMar>
            <w:vAlign w:val="center"/>
          </w:tcPr>
          <w:p w14:paraId="7D387BD4"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right w:val="nil"/>
            </w:tcBorders>
            <w:tcMar>
              <w:top w:w="0" w:type="dxa"/>
              <w:left w:w="100" w:type="dxa"/>
              <w:bottom w:w="0" w:type="dxa"/>
              <w:right w:w="100" w:type="dxa"/>
            </w:tcMar>
            <w:vAlign w:val="center"/>
          </w:tcPr>
          <w:p w14:paraId="7AF3775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-0.843</w:t>
            </w:r>
          </w:p>
        </w:tc>
        <w:tc>
          <w:tcPr>
            <w:tcW w:w="1080" w:type="dxa"/>
            <w:tcBorders>
              <w:top w:val="nil"/>
              <w:left w:val="nil"/>
              <w:bottom w:val="nil"/>
              <w:right w:val="nil"/>
            </w:tcBorders>
            <w:tcMar>
              <w:top w:w="0" w:type="dxa"/>
              <w:left w:w="100" w:type="dxa"/>
              <w:bottom w:w="0" w:type="dxa"/>
              <w:right w:w="100" w:type="dxa"/>
            </w:tcMar>
            <w:vAlign w:val="center"/>
          </w:tcPr>
          <w:p w14:paraId="693714A8"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29A971E5" w14:textId="77777777">
        <w:tc>
          <w:tcPr>
            <w:tcW w:w="2880" w:type="dxa"/>
            <w:tcBorders>
              <w:top w:val="nil"/>
              <w:left w:val="nil"/>
              <w:bottom w:val="single" w:sz="6" w:space="0" w:color="000000"/>
              <w:right w:val="nil"/>
            </w:tcBorders>
            <w:tcMar>
              <w:top w:w="0" w:type="dxa"/>
              <w:left w:w="100" w:type="dxa"/>
              <w:bottom w:w="0" w:type="dxa"/>
              <w:right w:w="100" w:type="dxa"/>
            </w:tcMar>
            <w:vAlign w:val="center"/>
          </w:tcPr>
          <w:p w14:paraId="52B0B2F8" w14:textId="77777777" w:rsidR="00D032E2" w:rsidRDefault="00D032E2">
            <w:pPr>
              <w:spacing w:line="240" w:lineRule="auto"/>
              <w:rPr>
                <w:rFonts w:ascii="Times New Roman" w:eastAsia="Times New Roman" w:hAnsi="Times New Roman" w:cs="Times New Roman"/>
                <w:sz w:val="24"/>
                <w:szCs w:val="24"/>
              </w:rPr>
            </w:pPr>
          </w:p>
        </w:tc>
        <w:tc>
          <w:tcPr>
            <w:tcW w:w="1080" w:type="dxa"/>
            <w:tcBorders>
              <w:top w:val="nil"/>
              <w:left w:val="nil"/>
              <w:bottom w:val="single" w:sz="6" w:space="0" w:color="000000"/>
              <w:right w:val="nil"/>
            </w:tcBorders>
            <w:tcMar>
              <w:top w:w="0" w:type="dxa"/>
              <w:left w:w="100" w:type="dxa"/>
              <w:bottom w:w="0" w:type="dxa"/>
              <w:right w:w="100" w:type="dxa"/>
            </w:tcMar>
            <w:vAlign w:val="center"/>
          </w:tcPr>
          <w:p w14:paraId="5FCEC80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(0.177)</w:t>
            </w:r>
          </w:p>
        </w:tc>
        <w:tc>
          <w:tcPr>
            <w:tcW w:w="1005" w:type="dxa"/>
            <w:tcBorders>
              <w:top w:val="nil"/>
              <w:left w:val="nil"/>
              <w:bottom w:val="single" w:sz="6" w:space="0" w:color="000000"/>
              <w:right w:val="nil"/>
            </w:tcBorders>
            <w:tcMar>
              <w:top w:w="0" w:type="dxa"/>
              <w:left w:w="100" w:type="dxa"/>
              <w:bottom w:w="0" w:type="dxa"/>
              <w:right w:w="100" w:type="dxa"/>
            </w:tcMar>
            <w:vAlign w:val="center"/>
          </w:tcPr>
          <w:p w14:paraId="1ADBD9F5"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single" w:sz="6" w:space="0" w:color="000000"/>
              <w:right w:val="nil"/>
            </w:tcBorders>
            <w:tcMar>
              <w:top w:w="0" w:type="dxa"/>
              <w:left w:w="100" w:type="dxa"/>
              <w:bottom w:w="0" w:type="dxa"/>
              <w:right w:w="100" w:type="dxa"/>
            </w:tcMar>
            <w:vAlign w:val="center"/>
          </w:tcPr>
          <w:p w14:paraId="7F454EB0"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(0.194)</w:t>
            </w:r>
          </w:p>
        </w:tc>
        <w:tc>
          <w:tcPr>
            <w:tcW w:w="990" w:type="dxa"/>
            <w:tcBorders>
              <w:top w:val="nil"/>
              <w:left w:val="nil"/>
              <w:bottom w:val="single" w:sz="6" w:space="0" w:color="000000"/>
              <w:right w:val="nil"/>
            </w:tcBorders>
            <w:tcMar>
              <w:top w:w="0" w:type="dxa"/>
              <w:left w:w="100" w:type="dxa"/>
              <w:bottom w:w="0" w:type="dxa"/>
              <w:right w:w="100" w:type="dxa"/>
            </w:tcMar>
            <w:vAlign w:val="center"/>
          </w:tcPr>
          <w:p w14:paraId="20E8A91B"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single" w:sz="6" w:space="0" w:color="000000"/>
              <w:right w:val="nil"/>
            </w:tcBorders>
            <w:tcMar>
              <w:top w:w="0" w:type="dxa"/>
              <w:left w:w="100" w:type="dxa"/>
              <w:bottom w:w="0" w:type="dxa"/>
              <w:right w:w="100" w:type="dxa"/>
            </w:tcMar>
            <w:vAlign w:val="center"/>
          </w:tcPr>
          <w:p w14:paraId="18AC2B5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(0.485)</w:t>
            </w:r>
          </w:p>
        </w:tc>
        <w:tc>
          <w:tcPr>
            <w:tcW w:w="840" w:type="dxa"/>
            <w:tcBorders>
              <w:top w:val="nil"/>
              <w:left w:val="nil"/>
              <w:bottom w:val="single" w:sz="6" w:space="0" w:color="000000"/>
              <w:right w:val="nil"/>
            </w:tcBorders>
            <w:tcMar>
              <w:top w:w="0" w:type="dxa"/>
              <w:left w:w="100" w:type="dxa"/>
              <w:bottom w:w="0" w:type="dxa"/>
              <w:right w:w="100" w:type="dxa"/>
            </w:tcMar>
            <w:vAlign w:val="center"/>
          </w:tcPr>
          <w:p w14:paraId="20070A09"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single" w:sz="6" w:space="0" w:color="000000"/>
              <w:right w:val="nil"/>
            </w:tcBorders>
            <w:tcMar>
              <w:top w:w="0" w:type="dxa"/>
              <w:left w:w="100" w:type="dxa"/>
              <w:bottom w:w="0" w:type="dxa"/>
              <w:right w:w="100" w:type="dxa"/>
            </w:tcMar>
            <w:vAlign w:val="center"/>
          </w:tcPr>
          <w:p w14:paraId="4918D0E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(0.531)</w:t>
            </w:r>
          </w:p>
        </w:tc>
        <w:tc>
          <w:tcPr>
            <w:tcW w:w="975" w:type="dxa"/>
            <w:tcBorders>
              <w:top w:val="nil"/>
              <w:left w:val="nil"/>
              <w:bottom w:val="single" w:sz="6" w:space="0" w:color="000000"/>
              <w:right w:val="nil"/>
            </w:tcBorders>
            <w:tcMar>
              <w:top w:w="0" w:type="dxa"/>
              <w:left w:w="100" w:type="dxa"/>
              <w:bottom w:w="0" w:type="dxa"/>
              <w:right w:w="100" w:type="dxa"/>
            </w:tcMar>
            <w:vAlign w:val="center"/>
          </w:tcPr>
          <w:p w14:paraId="58136C16"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single" w:sz="6" w:space="0" w:color="000000"/>
              <w:right w:val="nil"/>
            </w:tcBorders>
            <w:tcMar>
              <w:top w:w="0" w:type="dxa"/>
              <w:left w:w="100" w:type="dxa"/>
              <w:bottom w:w="0" w:type="dxa"/>
              <w:right w:w="100" w:type="dxa"/>
            </w:tcMar>
            <w:vAlign w:val="center"/>
          </w:tcPr>
          <w:p w14:paraId="7C2661F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(0.543)</w:t>
            </w:r>
          </w:p>
        </w:tc>
        <w:tc>
          <w:tcPr>
            <w:tcW w:w="1080" w:type="dxa"/>
            <w:tcBorders>
              <w:top w:val="nil"/>
              <w:left w:val="nil"/>
              <w:bottom w:val="single" w:sz="6" w:space="0" w:color="000000"/>
              <w:right w:val="nil"/>
            </w:tcBorders>
            <w:tcMar>
              <w:top w:w="0" w:type="dxa"/>
              <w:left w:w="100" w:type="dxa"/>
              <w:bottom w:w="0" w:type="dxa"/>
              <w:right w:w="100" w:type="dxa"/>
            </w:tcMar>
            <w:vAlign w:val="center"/>
          </w:tcPr>
          <w:p w14:paraId="6789B9CA"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6148B230" w14:textId="77777777">
        <w:trPr>
          <w:trHeight w:val="240"/>
        </w:trPr>
        <w:tc>
          <w:tcPr>
            <w:tcW w:w="2880" w:type="dxa"/>
            <w:tcBorders>
              <w:top w:val="single" w:sz="6" w:space="0" w:color="000000"/>
              <w:left w:val="nil"/>
              <w:bottom w:val="nil"/>
              <w:right w:val="nil"/>
            </w:tcBorders>
            <w:tcMar>
              <w:top w:w="0" w:type="dxa"/>
              <w:left w:w="100" w:type="dxa"/>
              <w:bottom w:w="0" w:type="dxa"/>
              <w:right w:w="100" w:type="dxa"/>
            </w:tcMar>
            <w:vAlign w:val="center"/>
          </w:tcPr>
          <w:p w14:paraId="64832D2A"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 =</w:t>
            </w:r>
          </w:p>
        </w:tc>
        <w:tc>
          <w:tcPr>
            <w:tcW w:w="1080" w:type="dxa"/>
            <w:tcBorders>
              <w:top w:val="nil"/>
              <w:left w:val="nil"/>
              <w:bottom w:val="nil"/>
            </w:tcBorders>
            <w:tcMar>
              <w:top w:w="0" w:type="dxa"/>
              <w:left w:w="100" w:type="dxa"/>
              <w:bottom w:w="0" w:type="dxa"/>
              <w:right w:w="100" w:type="dxa"/>
            </w:tcMar>
            <w:vAlign w:val="center"/>
          </w:tcPr>
          <w:p w14:paraId="17688F55"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1005" w:type="dxa"/>
            <w:tcBorders>
              <w:top w:val="nil"/>
              <w:left w:val="nil"/>
              <w:bottom w:val="nil"/>
              <w:right w:val="nil"/>
            </w:tcBorders>
            <w:tcMar>
              <w:top w:w="0" w:type="dxa"/>
              <w:left w:w="100" w:type="dxa"/>
              <w:bottom w:w="0" w:type="dxa"/>
              <w:right w:w="100" w:type="dxa"/>
            </w:tcMar>
            <w:vAlign w:val="center"/>
          </w:tcPr>
          <w:p w14:paraId="214F7903"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top w:val="nil"/>
              <w:left w:val="nil"/>
              <w:bottom w:val="nil"/>
            </w:tcBorders>
            <w:tcMar>
              <w:top w:w="0" w:type="dxa"/>
              <w:left w:w="100" w:type="dxa"/>
              <w:bottom w:w="0" w:type="dxa"/>
              <w:right w:w="100" w:type="dxa"/>
            </w:tcMar>
            <w:vAlign w:val="center"/>
          </w:tcPr>
          <w:p w14:paraId="00E2265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990" w:type="dxa"/>
            <w:tcBorders>
              <w:top w:val="nil"/>
              <w:left w:val="nil"/>
              <w:bottom w:val="nil"/>
              <w:right w:val="nil"/>
            </w:tcBorders>
            <w:tcMar>
              <w:top w:w="0" w:type="dxa"/>
              <w:left w:w="100" w:type="dxa"/>
              <w:bottom w:w="0" w:type="dxa"/>
              <w:right w:w="100" w:type="dxa"/>
            </w:tcMar>
            <w:vAlign w:val="center"/>
          </w:tcPr>
          <w:p w14:paraId="7EE648B9"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top w:val="nil"/>
              <w:left w:val="nil"/>
              <w:bottom w:val="nil"/>
            </w:tcBorders>
            <w:tcMar>
              <w:top w:w="0" w:type="dxa"/>
              <w:left w:w="100" w:type="dxa"/>
              <w:bottom w:w="0" w:type="dxa"/>
              <w:right w:w="100" w:type="dxa"/>
            </w:tcMar>
            <w:vAlign w:val="center"/>
          </w:tcPr>
          <w:p w14:paraId="6380CEFA"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840" w:type="dxa"/>
            <w:tcBorders>
              <w:top w:val="nil"/>
              <w:left w:val="nil"/>
              <w:bottom w:val="nil"/>
              <w:right w:val="nil"/>
            </w:tcBorders>
            <w:tcMar>
              <w:top w:w="0" w:type="dxa"/>
              <w:left w:w="100" w:type="dxa"/>
              <w:bottom w:w="0" w:type="dxa"/>
              <w:right w:w="100" w:type="dxa"/>
            </w:tcMar>
            <w:vAlign w:val="center"/>
          </w:tcPr>
          <w:p w14:paraId="5F913618"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top w:val="nil"/>
              <w:left w:val="nil"/>
              <w:bottom w:val="nil"/>
            </w:tcBorders>
            <w:tcMar>
              <w:top w:w="0" w:type="dxa"/>
              <w:left w:w="100" w:type="dxa"/>
              <w:bottom w:w="0" w:type="dxa"/>
              <w:right w:w="100" w:type="dxa"/>
            </w:tcMar>
            <w:vAlign w:val="center"/>
          </w:tcPr>
          <w:p w14:paraId="60D5186C"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975" w:type="dxa"/>
            <w:tcBorders>
              <w:top w:val="nil"/>
              <w:left w:val="nil"/>
              <w:bottom w:val="nil"/>
              <w:right w:val="nil"/>
            </w:tcBorders>
            <w:tcMar>
              <w:top w:w="0" w:type="dxa"/>
              <w:left w:w="100" w:type="dxa"/>
              <w:bottom w:w="0" w:type="dxa"/>
              <w:right w:w="100" w:type="dxa"/>
            </w:tcMar>
            <w:vAlign w:val="center"/>
          </w:tcPr>
          <w:p w14:paraId="6A16E20A"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top w:val="nil"/>
              <w:left w:val="nil"/>
              <w:bottom w:val="nil"/>
            </w:tcBorders>
            <w:tcMar>
              <w:top w:w="0" w:type="dxa"/>
              <w:left w:w="100" w:type="dxa"/>
              <w:bottom w:w="0" w:type="dxa"/>
              <w:right w:w="100" w:type="dxa"/>
            </w:tcMar>
            <w:vAlign w:val="center"/>
          </w:tcPr>
          <w:p w14:paraId="0AEA8EAD"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107</w:t>
            </w:r>
          </w:p>
        </w:tc>
        <w:tc>
          <w:tcPr>
            <w:tcW w:w="1080" w:type="dxa"/>
            <w:tcBorders>
              <w:top w:val="nil"/>
              <w:left w:val="nil"/>
              <w:bottom w:val="nil"/>
              <w:right w:val="nil"/>
            </w:tcBorders>
            <w:tcMar>
              <w:top w:w="0" w:type="dxa"/>
              <w:left w:w="100" w:type="dxa"/>
              <w:bottom w:w="0" w:type="dxa"/>
              <w:right w:w="100" w:type="dxa"/>
            </w:tcMar>
            <w:vAlign w:val="center"/>
          </w:tcPr>
          <w:p w14:paraId="63702BAF" w14:textId="77777777" w:rsidR="00D032E2" w:rsidRDefault="00D032E2">
            <w:pPr>
              <w:spacing w:line="240" w:lineRule="auto"/>
              <w:jc w:val="center"/>
              <w:rPr>
                <w:rFonts w:ascii="Times New Roman" w:eastAsia="Times New Roman" w:hAnsi="Times New Roman" w:cs="Times New Roman"/>
                <w:sz w:val="24"/>
                <w:szCs w:val="24"/>
              </w:rPr>
            </w:pPr>
          </w:p>
        </w:tc>
      </w:tr>
      <w:tr w:rsidR="00D032E2" w14:paraId="5E8E21DC" w14:textId="77777777">
        <w:trPr>
          <w:trHeight w:val="240"/>
        </w:trPr>
        <w:tc>
          <w:tcPr>
            <w:tcW w:w="2880" w:type="dxa"/>
            <w:tcBorders>
              <w:left w:val="nil"/>
              <w:bottom w:val="single" w:sz="6" w:space="0" w:color="000000"/>
              <w:right w:val="nil"/>
            </w:tcBorders>
            <w:tcMar>
              <w:top w:w="0" w:type="dxa"/>
              <w:left w:w="100" w:type="dxa"/>
              <w:bottom w:w="0" w:type="dxa"/>
              <w:right w:w="100" w:type="dxa"/>
            </w:tcMar>
            <w:vAlign w:val="center"/>
          </w:tcPr>
          <w:p w14:paraId="3CE8BE91"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Adjusted 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w:p>
        </w:tc>
        <w:tc>
          <w:tcPr>
            <w:tcW w:w="1080" w:type="dxa"/>
            <w:tcBorders>
              <w:left w:val="nil"/>
              <w:bottom w:val="single" w:sz="6" w:space="0" w:color="000000"/>
            </w:tcBorders>
            <w:tcMar>
              <w:top w:w="0" w:type="dxa"/>
              <w:left w:w="100" w:type="dxa"/>
              <w:bottom w:w="0" w:type="dxa"/>
              <w:right w:w="100" w:type="dxa"/>
            </w:tcMar>
            <w:vAlign w:val="center"/>
          </w:tcPr>
          <w:p w14:paraId="47E3A66E"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0.023</w:t>
            </w:r>
          </w:p>
        </w:tc>
        <w:tc>
          <w:tcPr>
            <w:tcW w:w="1005" w:type="dxa"/>
            <w:tcBorders>
              <w:left w:val="nil"/>
              <w:bottom w:val="single" w:sz="6" w:space="0" w:color="000000"/>
              <w:right w:val="nil"/>
            </w:tcBorders>
            <w:tcMar>
              <w:top w:w="0" w:type="dxa"/>
              <w:left w:w="100" w:type="dxa"/>
              <w:bottom w:w="0" w:type="dxa"/>
              <w:right w:w="100" w:type="dxa"/>
            </w:tcMar>
            <w:vAlign w:val="center"/>
          </w:tcPr>
          <w:p w14:paraId="03749711" w14:textId="77777777" w:rsidR="00D032E2" w:rsidRDefault="00D032E2">
            <w:pPr>
              <w:spacing w:line="240" w:lineRule="auto"/>
              <w:jc w:val="center"/>
              <w:rPr>
                <w:rFonts w:ascii="Times New Roman" w:eastAsia="Times New Roman" w:hAnsi="Times New Roman" w:cs="Times New Roman"/>
                <w:sz w:val="24"/>
                <w:szCs w:val="24"/>
              </w:rPr>
            </w:pPr>
          </w:p>
        </w:tc>
        <w:tc>
          <w:tcPr>
            <w:tcW w:w="1155" w:type="dxa"/>
            <w:tcBorders>
              <w:left w:val="nil"/>
              <w:bottom w:val="single" w:sz="6" w:space="0" w:color="000000"/>
            </w:tcBorders>
            <w:tcMar>
              <w:top w:w="0" w:type="dxa"/>
              <w:left w:w="100" w:type="dxa"/>
              <w:bottom w:w="0" w:type="dxa"/>
              <w:right w:w="100" w:type="dxa"/>
            </w:tcMar>
            <w:vAlign w:val="center"/>
          </w:tcPr>
          <w:p w14:paraId="2AD4172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0.143</w:t>
            </w:r>
          </w:p>
        </w:tc>
        <w:tc>
          <w:tcPr>
            <w:tcW w:w="990" w:type="dxa"/>
            <w:tcBorders>
              <w:left w:val="nil"/>
              <w:bottom w:val="single" w:sz="6" w:space="0" w:color="000000"/>
              <w:right w:val="nil"/>
            </w:tcBorders>
            <w:tcMar>
              <w:top w:w="0" w:type="dxa"/>
              <w:left w:w="100" w:type="dxa"/>
              <w:bottom w:w="0" w:type="dxa"/>
              <w:right w:w="100" w:type="dxa"/>
            </w:tcMar>
            <w:vAlign w:val="center"/>
          </w:tcPr>
          <w:p w14:paraId="2588306C" w14:textId="77777777" w:rsidR="00D032E2" w:rsidRDefault="00D032E2">
            <w:pPr>
              <w:spacing w:line="240" w:lineRule="auto"/>
              <w:jc w:val="center"/>
              <w:rPr>
                <w:rFonts w:ascii="Times New Roman" w:eastAsia="Times New Roman" w:hAnsi="Times New Roman" w:cs="Times New Roman"/>
                <w:sz w:val="24"/>
                <w:szCs w:val="24"/>
              </w:rPr>
            </w:pPr>
          </w:p>
        </w:tc>
        <w:tc>
          <w:tcPr>
            <w:tcW w:w="1170" w:type="dxa"/>
            <w:tcBorders>
              <w:left w:val="nil"/>
              <w:bottom w:val="single" w:sz="6" w:space="0" w:color="000000"/>
            </w:tcBorders>
            <w:tcMar>
              <w:top w:w="0" w:type="dxa"/>
              <w:left w:w="100" w:type="dxa"/>
              <w:bottom w:w="0" w:type="dxa"/>
              <w:right w:w="100" w:type="dxa"/>
            </w:tcMar>
            <w:vAlign w:val="center"/>
          </w:tcPr>
          <w:p w14:paraId="74B65422"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0.262</w:t>
            </w:r>
          </w:p>
        </w:tc>
        <w:tc>
          <w:tcPr>
            <w:tcW w:w="840" w:type="dxa"/>
            <w:tcBorders>
              <w:left w:val="nil"/>
              <w:bottom w:val="single" w:sz="6" w:space="0" w:color="000000"/>
              <w:right w:val="nil"/>
            </w:tcBorders>
            <w:tcMar>
              <w:top w:w="0" w:type="dxa"/>
              <w:left w:w="100" w:type="dxa"/>
              <w:bottom w:w="0" w:type="dxa"/>
              <w:right w:w="100" w:type="dxa"/>
            </w:tcMar>
            <w:vAlign w:val="center"/>
          </w:tcPr>
          <w:p w14:paraId="11C67F56" w14:textId="77777777" w:rsidR="00D032E2" w:rsidRDefault="00D032E2">
            <w:pPr>
              <w:spacing w:line="240" w:lineRule="auto"/>
              <w:jc w:val="center"/>
              <w:rPr>
                <w:rFonts w:ascii="Times New Roman" w:eastAsia="Times New Roman" w:hAnsi="Times New Roman" w:cs="Times New Roman"/>
                <w:sz w:val="24"/>
                <w:szCs w:val="24"/>
              </w:rPr>
            </w:pPr>
          </w:p>
        </w:tc>
        <w:tc>
          <w:tcPr>
            <w:tcW w:w="1320" w:type="dxa"/>
            <w:tcBorders>
              <w:left w:val="nil"/>
              <w:bottom w:val="single" w:sz="6" w:space="0" w:color="000000"/>
            </w:tcBorders>
            <w:tcMar>
              <w:top w:w="0" w:type="dxa"/>
              <w:left w:w="100" w:type="dxa"/>
              <w:bottom w:w="0" w:type="dxa"/>
              <w:right w:w="100" w:type="dxa"/>
            </w:tcMar>
            <w:vAlign w:val="center"/>
          </w:tcPr>
          <w:p w14:paraId="070FB7C6"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0.320</w:t>
            </w:r>
          </w:p>
        </w:tc>
        <w:tc>
          <w:tcPr>
            <w:tcW w:w="975" w:type="dxa"/>
            <w:tcBorders>
              <w:left w:val="nil"/>
              <w:bottom w:val="single" w:sz="6" w:space="0" w:color="000000"/>
              <w:right w:val="nil"/>
            </w:tcBorders>
            <w:tcMar>
              <w:top w:w="0" w:type="dxa"/>
              <w:left w:w="100" w:type="dxa"/>
              <w:bottom w:w="0" w:type="dxa"/>
              <w:right w:w="100" w:type="dxa"/>
            </w:tcMar>
            <w:vAlign w:val="center"/>
          </w:tcPr>
          <w:p w14:paraId="0109DCE2" w14:textId="77777777" w:rsidR="00D032E2" w:rsidRDefault="00D032E2">
            <w:pPr>
              <w:spacing w:line="240" w:lineRule="auto"/>
              <w:jc w:val="center"/>
              <w:rPr>
                <w:rFonts w:ascii="Times New Roman" w:eastAsia="Times New Roman" w:hAnsi="Times New Roman" w:cs="Times New Roman"/>
                <w:sz w:val="24"/>
                <w:szCs w:val="24"/>
              </w:rPr>
            </w:pPr>
          </w:p>
        </w:tc>
        <w:tc>
          <w:tcPr>
            <w:tcW w:w="1185" w:type="dxa"/>
            <w:tcBorders>
              <w:left w:val="nil"/>
              <w:bottom w:val="single" w:sz="6" w:space="0" w:color="000000"/>
            </w:tcBorders>
            <w:tcMar>
              <w:top w:w="0" w:type="dxa"/>
              <w:left w:w="100" w:type="dxa"/>
              <w:bottom w:w="0" w:type="dxa"/>
              <w:right w:w="100" w:type="dxa"/>
            </w:tcMar>
            <w:vAlign w:val="center"/>
          </w:tcPr>
          <w:p w14:paraId="726B752F" w14:textId="77777777" w:rsidR="00D032E2"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0.389</w:t>
            </w:r>
          </w:p>
        </w:tc>
        <w:tc>
          <w:tcPr>
            <w:tcW w:w="1080" w:type="dxa"/>
            <w:tcBorders>
              <w:left w:val="nil"/>
              <w:bottom w:val="single" w:sz="6" w:space="0" w:color="000000"/>
              <w:right w:val="nil"/>
            </w:tcBorders>
            <w:tcMar>
              <w:top w:w="0" w:type="dxa"/>
              <w:left w:w="100" w:type="dxa"/>
              <w:bottom w:w="0" w:type="dxa"/>
              <w:right w:w="100" w:type="dxa"/>
            </w:tcMar>
            <w:vAlign w:val="center"/>
          </w:tcPr>
          <w:p w14:paraId="1F7B76ED" w14:textId="77777777" w:rsidR="00D032E2" w:rsidRDefault="00D032E2">
            <w:pPr>
              <w:spacing w:line="240" w:lineRule="auto"/>
              <w:jc w:val="center"/>
              <w:rPr>
                <w:rFonts w:ascii="Times New Roman" w:eastAsia="Times New Roman" w:hAnsi="Times New Roman" w:cs="Times New Roman"/>
                <w:sz w:val="24"/>
                <w:szCs w:val="24"/>
              </w:rPr>
            </w:pPr>
          </w:p>
        </w:tc>
      </w:tr>
    </w:tbl>
    <w:p w14:paraId="0DB5E4DE" w14:textId="77777777" w:rsidR="00D032E2" w:rsidRDefault="00D032E2">
      <w:pPr>
        <w:spacing w:line="240" w:lineRule="auto"/>
        <w:rPr>
          <w:rFonts w:ascii="Times New Roman" w:eastAsia="Times New Roman" w:hAnsi="Times New Roman" w:cs="Times New Roman"/>
          <w:i/>
          <w:iCs/>
          <w:sz w:val="24"/>
          <w:szCs w:val="24"/>
        </w:rPr>
      </w:pPr>
    </w:p>
    <w:p w14:paraId="1619DA5D"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Note</w:t>
      </w:r>
      <w:r>
        <w:rPr>
          <w:rFonts w:ascii="Times New Roman" w:eastAsia="Times New Roman" w:hAnsi="Times New Roman" w:cs="Times New Roman"/>
          <w:sz w:val="24"/>
          <w:szCs w:val="24"/>
        </w:rPr>
        <w:t>. Standard error in parentheses.</w:t>
      </w:r>
    </w:p>
    <w:p w14:paraId="78DAE0B9" w14:textId="77777777" w:rsidR="00D032E2" w:rsidRDefault="00000000">
      <w:pPr>
        <w:spacing w:line="240" w:lineRule="auto"/>
        <w:rPr>
          <w:rFonts w:ascii="Times New Roman" w:eastAsia="Times New Roman" w:hAnsi="Times New Roman" w:cs="Times New Roman"/>
          <w:sz w:val="24"/>
          <w:szCs w:val="24"/>
        </w:rPr>
        <w:sectPr w:rsidR="00D032E2">
          <w:pgSz w:w="15840" w:h="12240" w:orient="landscape"/>
          <w:pgMar w:top="1440" w:right="1440" w:bottom="1440" w:left="1440" w:header="720" w:footer="720" w:gutter="0"/>
          <w:cols w:space="720"/>
        </w:sectPr>
      </w:pP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0.10, *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0.05, **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0.01, ***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0.001</w:t>
      </w:r>
    </w:p>
    <w:p w14:paraId="7FEC0939" w14:textId="77777777" w:rsidR="00D032E2"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Conclusions and Recommendations</w:t>
      </w:r>
    </w:p>
    <w:p w14:paraId="1D2ABED4" w14:textId="77777777" w:rsidR="00D032E2" w:rsidRDefault="00D032E2">
      <w:pPr>
        <w:spacing w:line="240" w:lineRule="auto"/>
        <w:rPr>
          <w:rFonts w:ascii="Times New Roman" w:eastAsia="Times New Roman" w:hAnsi="Times New Roman" w:cs="Times New Roman"/>
          <w:sz w:val="24"/>
          <w:szCs w:val="24"/>
        </w:rPr>
      </w:pPr>
    </w:p>
    <w:p w14:paraId="0BE78CE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was to examine the implementation of SAE for All among Iowa agricultural educators before and after attending professional development. This study sought to provide empirical evidence of how targeted training influences SAE for All implementation by strengthening </w:t>
      </w:r>
      <w:proofErr w:type="gramStart"/>
      <w:r>
        <w:rPr>
          <w:rFonts w:ascii="Times New Roman" w:eastAsia="Times New Roman" w:hAnsi="Times New Roman" w:cs="Times New Roman"/>
          <w:sz w:val="24"/>
          <w:szCs w:val="24"/>
        </w:rPr>
        <w:t>educators’</w:t>
      </w:r>
      <w:proofErr w:type="gramEnd"/>
      <w:r>
        <w:rPr>
          <w:rFonts w:ascii="Times New Roman" w:eastAsia="Times New Roman" w:hAnsi="Times New Roman" w:cs="Times New Roman"/>
          <w:sz w:val="24"/>
          <w:szCs w:val="24"/>
        </w:rPr>
        <w:t xml:space="preserve"> perceived behavioral control (Ajzen, 1991), which can be used to inform professional development on a state, regional, or perhaps national level. We acknowledge that future research is warranted to overcome limitations of this study. Some limitations that will be important to address include having a larger sample size, more equal representation across the career stages, and examining teachers’ prior FFA or SAE experience as variables of interest.</w:t>
      </w:r>
    </w:p>
    <w:p w14:paraId="4D14609D" w14:textId="77777777" w:rsidR="00D032E2" w:rsidRDefault="00D032E2">
      <w:pPr>
        <w:spacing w:line="240" w:lineRule="auto"/>
        <w:rPr>
          <w:rFonts w:ascii="Times New Roman" w:eastAsia="Times New Roman" w:hAnsi="Times New Roman" w:cs="Times New Roman"/>
          <w:sz w:val="24"/>
          <w:szCs w:val="24"/>
        </w:rPr>
      </w:pPr>
    </w:p>
    <w:p w14:paraId="21CB4ED0"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SAEs have value in the total SBAE experience (Croom, 2008), and the literature suggests educators lack familiarity with SAEs (Doss &amp; Rayfield, 2019;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and that professional development can have a profound impact on teachers’ practice (</w:t>
      </w:r>
      <w:proofErr w:type="spellStart"/>
      <w:r>
        <w:rPr>
          <w:rFonts w:ascii="Times New Roman" w:eastAsia="Times New Roman" w:hAnsi="Times New Roman" w:cs="Times New Roman"/>
          <w:sz w:val="24"/>
          <w:szCs w:val="24"/>
        </w:rPr>
        <w:t>Guskey</w:t>
      </w:r>
      <w:proofErr w:type="spellEnd"/>
      <w:r>
        <w:rPr>
          <w:rFonts w:ascii="Times New Roman" w:eastAsia="Times New Roman" w:hAnsi="Times New Roman" w:cs="Times New Roman"/>
          <w:sz w:val="24"/>
          <w:szCs w:val="24"/>
        </w:rPr>
        <w:t xml:space="preserve">, 2002). This study provides a first step toward addressing the gap in the literature regarding the impact of SAE for All professional </w:t>
      </w:r>
      <w:proofErr w:type="gramStart"/>
      <w:r>
        <w:rPr>
          <w:rFonts w:ascii="Times New Roman" w:eastAsia="Times New Roman" w:hAnsi="Times New Roman" w:cs="Times New Roman"/>
          <w:sz w:val="24"/>
          <w:szCs w:val="24"/>
        </w:rPr>
        <w:t>development, and</w:t>
      </w:r>
      <w:proofErr w:type="gramEnd"/>
      <w:r>
        <w:rPr>
          <w:rFonts w:ascii="Times New Roman" w:eastAsia="Times New Roman" w:hAnsi="Times New Roman" w:cs="Times New Roman"/>
          <w:sz w:val="24"/>
          <w:szCs w:val="24"/>
        </w:rPr>
        <w:t xml:space="preserve"> extends the current body of knowledge. This study’s conclusions and recommendations are supported by findings, the literature, and the framework.</w:t>
      </w:r>
    </w:p>
    <w:p w14:paraId="0F9B4AFF" w14:textId="77777777" w:rsidR="00D032E2" w:rsidRDefault="00D032E2">
      <w:pPr>
        <w:spacing w:line="240" w:lineRule="auto"/>
        <w:rPr>
          <w:rFonts w:ascii="Times New Roman" w:eastAsia="Times New Roman" w:hAnsi="Times New Roman" w:cs="Times New Roman"/>
          <w:sz w:val="24"/>
          <w:szCs w:val="24"/>
        </w:rPr>
      </w:pPr>
    </w:p>
    <w:p w14:paraId="5398CC69"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1</w:t>
      </w:r>
    </w:p>
    <w:p w14:paraId="27E6C5B1"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Objective 1 measured educators’ self-reported implementation of SAE for All after attending professional development. The data revealed 71.8% of agricultural educators agreed they were implementing SAE for All within their programs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61) prior to the professional development, despite over two-thirds of respondents indicating participation in SAE for All professional development in the past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97; 67.8%). As supported by prior research, this lack of full implementation may be attributed to teachers’ limited knowledge of SAE for All, even after attending professional development (Doss &amp; Rayfield, 2019;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This may be especially true of older or more experienced teachers, who may not wish to adopt SAE for All since they lack formalized SAE for All practices introduced to them during their teacher preparation program (Doss &amp; Rayfield, 2019; </w:t>
      </w:r>
      <w:proofErr w:type="spellStart"/>
      <w:r>
        <w:rPr>
          <w:rFonts w:ascii="Times New Roman" w:eastAsia="Times New Roman" w:hAnsi="Times New Roman" w:cs="Times New Roman"/>
          <w:sz w:val="24"/>
          <w:szCs w:val="24"/>
        </w:rPr>
        <w:t>Figland</w:t>
      </w:r>
      <w:proofErr w:type="spellEnd"/>
      <w:r>
        <w:rPr>
          <w:rFonts w:ascii="Times New Roman" w:eastAsia="Times New Roman" w:hAnsi="Times New Roman" w:cs="Times New Roman"/>
          <w:sz w:val="24"/>
          <w:szCs w:val="24"/>
        </w:rPr>
        <w:t xml:space="preserve"> et al., 2019; Hainline &amp; Smalley, 2023). Educators’ lack of SAE for All knowledge may influence their perceived behavioral control or attitudes regarding SAE for All, and cause apprehension in their intentions or behaviors in adopting the initiative within their programs (Ajzen, 1991;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Despite this, the professional development was associated with assisting teachers in their implementation of SAE for All; a statistically significant increase in implementation resulted when comparing responses before and after the professional development (</w:t>
      </w:r>
      <w:proofErr w:type="spellStart"/>
      <w:r>
        <w:rPr>
          <w:rFonts w:ascii="Times New Roman" w:eastAsia="Times New Roman" w:hAnsi="Times New Roman" w:cs="Times New Roman"/>
          <w:i/>
          <w:iCs/>
          <w:sz w:val="24"/>
          <w:szCs w:val="24"/>
        </w:rPr>
        <w:t>df</w:t>
      </w:r>
      <w:proofErr w:type="spellEnd"/>
      <w:r>
        <w:rPr>
          <w:rFonts w:ascii="Times New Roman" w:eastAsia="Times New Roman" w:hAnsi="Times New Roman" w:cs="Times New Roman"/>
          <w:sz w:val="24"/>
          <w:szCs w:val="24"/>
        </w:rPr>
        <w:t xml:space="preserve"> = 84; </w:t>
      </w:r>
      <w:r>
        <w:rPr>
          <w:rFonts w:ascii="Times New Roman" w:eastAsia="Times New Roman" w:hAnsi="Times New Roman" w:cs="Times New Roman"/>
          <w:i/>
          <w:iCs/>
          <w:sz w:val="24"/>
          <w:szCs w:val="24"/>
        </w:rPr>
        <w:t>t</w:t>
      </w:r>
      <w:r>
        <w:rPr>
          <w:rFonts w:ascii="Times New Roman" w:eastAsia="Times New Roman" w:hAnsi="Times New Roman" w:cs="Times New Roman"/>
          <w:sz w:val="24"/>
          <w:szCs w:val="24"/>
        </w:rPr>
        <w:t xml:space="preserve"> = 5.607; </w:t>
      </w:r>
      <w:r>
        <w:rPr>
          <w:rFonts w:ascii="Times New Roman" w:eastAsia="Times New Roman" w:hAnsi="Times New Roman" w:cs="Times New Roman"/>
          <w:i/>
          <w:iCs/>
          <w:sz w:val="24"/>
          <w:szCs w:val="24"/>
        </w:rPr>
        <w:t>p</w:t>
      </w:r>
      <w:r>
        <w:rPr>
          <w:rFonts w:ascii="Times New Roman" w:eastAsia="Times New Roman" w:hAnsi="Times New Roman" w:cs="Times New Roman"/>
          <w:sz w:val="24"/>
          <w:szCs w:val="24"/>
        </w:rPr>
        <w:t xml:space="preserve"> &lt; 0.001; </w:t>
      </w:r>
      <w:r>
        <w:rPr>
          <w:rFonts w:ascii="Times New Roman" w:eastAsia="Times New Roman" w:hAnsi="Times New Roman" w:cs="Times New Roman"/>
          <w:i/>
          <w:iCs/>
          <w:sz w:val="24"/>
          <w:szCs w:val="24"/>
        </w:rPr>
        <w:t>d</w:t>
      </w:r>
      <w:r>
        <w:rPr>
          <w:rFonts w:ascii="Times New Roman" w:eastAsia="Times New Roman" w:hAnsi="Times New Roman" w:cs="Times New Roman"/>
          <w:sz w:val="24"/>
          <w:szCs w:val="24"/>
        </w:rPr>
        <w:t xml:space="preserve"> = 0.71).</w:t>
      </w:r>
    </w:p>
    <w:p w14:paraId="5B3AE034" w14:textId="77777777" w:rsidR="00D032E2" w:rsidRDefault="00D032E2">
      <w:pPr>
        <w:spacing w:line="240" w:lineRule="auto"/>
        <w:rPr>
          <w:rFonts w:ascii="Times New Roman" w:eastAsia="Times New Roman" w:hAnsi="Times New Roman" w:cs="Times New Roman"/>
          <w:b/>
          <w:bCs/>
          <w:sz w:val="24"/>
          <w:szCs w:val="24"/>
        </w:rPr>
      </w:pPr>
    </w:p>
    <w:p w14:paraId="7CB820F9"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Objective 2</w:t>
      </w:r>
    </w:p>
    <w:p w14:paraId="3ED5FADA" w14:textId="273DDE65"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2 compared </w:t>
      </w:r>
      <w:proofErr w:type="gramStart"/>
      <w:r>
        <w:rPr>
          <w:rFonts w:ascii="Times New Roman" w:eastAsia="Times New Roman" w:hAnsi="Times New Roman" w:cs="Times New Roman"/>
          <w:sz w:val="24"/>
          <w:szCs w:val="24"/>
        </w:rPr>
        <w:t>educators’</w:t>
      </w:r>
      <w:proofErr w:type="gramEnd"/>
      <w:r>
        <w:rPr>
          <w:rFonts w:ascii="Times New Roman" w:eastAsia="Times New Roman" w:hAnsi="Times New Roman" w:cs="Times New Roman"/>
          <w:sz w:val="24"/>
          <w:szCs w:val="24"/>
        </w:rPr>
        <w:t xml:space="preserve"> perceived barriers to SAE for All implementation before and after attending the professional development. Overall,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perceived barriers were put at ease after the SAE for All professional development. On a percentage basis,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perceived teacher barriers decreased after the professional development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8; 100.0%). Similarly,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perceived student barriers decreased (</w:t>
      </w:r>
      <w:r>
        <w:rPr>
          <w:rFonts w:ascii="Times New Roman" w:eastAsia="Times New Roman" w:hAnsi="Times New Roman" w:cs="Times New Roman"/>
          <w:i/>
          <w:iCs/>
          <w:sz w:val="24"/>
          <w:szCs w:val="24"/>
        </w:rPr>
        <w:t>n</w:t>
      </w:r>
      <w:r>
        <w:rPr>
          <w:rFonts w:ascii="Times New Roman" w:eastAsia="Times New Roman" w:hAnsi="Times New Roman" w:cs="Times New Roman"/>
          <w:sz w:val="24"/>
          <w:szCs w:val="24"/>
        </w:rPr>
        <w:t xml:space="preserve"> = 4; 66.7%). Initial SAE for All barriers may be attributed to </w:t>
      </w:r>
      <w:proofErr w:type="gramStart"/>
      <w:r>
        <w:rPr>
          <w:rFonts w:ascii="Times New Roman" w:eastAsia="Times New Roman" w:hAnsi="Times New Roman" w:cs="Times New Roman"/>
          <w:sz w:val="24"/>
          <w:szCs w:val="24"/>
        </w:rPr>
        <w:t>teachers’</w:t>
      </w:r>
      <w:proofErr w:type="gramEnd"/>
      <w:r>
        <w:rPr>
          <w:rFonts w:ascii="Times New Roman" w:eastAsia="Times New Roman" w:hAnsi="Times New Roman" w:cs="Times New Roman"/>
          <w:sz w:val="24"/>
          <w:szCs w:val="24"/>
        </w:rPr>
        <w:t xml:space="preserve"> perceived lack of knowledge (Lewis et al., 2012;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Rubenstein &amp; Thoron, 2015), or perhaps the attitudes, hesitation, or reluctance more experienced teachers may have (Ajzen, 1991). However, with reduced barriers, teachers demonstrate greater perceived behavioral control (Ajzen, 1991) to implement SAE for All.</w:t>
      </w:r>
    </w:p>
    <w:p w14:paraId="3205438E"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Objective 3</w:t>
      </w:r>
    </w:p>
    <w:p w14:paraId="0EFD679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Objective 3 aimed to predict factors that would influence teachers’ ability to implement SAE for All. The data revealed that agricultural educators’ implementation of SAE for All within their programs has the potential to be predicted by the years of teaching experience offered by the educator, along with other factors—SAE for All implementation was statistically significant with several of the variables examined across all five models (see Table 5). While there is a weaker statistical relationship between SAE for All implementation and years of teaching experience across the models, these findings may be attributed to the best practices which are being introduced at the teacher preparation programs across the nation that younger teachers have been recently exposed to (Lewis et al., 2012;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Rubenstein &amp; Thoron, 2015), or perhaps the attitudes, hesitation, or reluctance more experienced teachers may offer related to SAE for All (Ajzen, 1991). More recent graduates and early career teachers might be more likely to grade SAE </w:t>
      </w:r>
      <w:proofErr w:type="gramStart"/>
      <w:r>
        <w:rPr>
          <w:rFonts w:ascii="Times New Roman" w:eastAsia="Times New Roman" w:hAnsi="Times New Roman" w:cs="Times New Roman"/>
          <w:sz w:val="24"/>
          <w:szCs w:val="24"/>
        </w:rPr>
        <w:t>as a way to</w:t>
      </w:r>
      <w:proofErr w:type="gramEnd"/>
      <w:r>
        <w:rPr>
          <w:rFonts w:ascii="Times New Roman" w:eastAsia="Times New Roman" w:hAnsi="Times New Roman" w:cs="Times New Roman"/>
          <w:sz w:val="24"/>
          <w:szCs w:val="24"/>
        </w:rPr>
        <w:t xml:space="preserve"> implement SAE for All and appease the expectations placed upon them by state staff and potentially, the school administration, as subjective norms had strong statistical significance in the regression models (Ajzen, 1991). Furthermore, findings suggest educators with greater levels of perceived behavioral control related to SAE for All implementation are more likely to implement SAE for All within their programs because they feel more confident in their ability to do so (Ajzen, 1991). Perhaps additional professional development can continue to influence and increase teachers’ </w:t>
      </w:r>
      <w:proofErr w:type="gramStart"/>
      <w:r>
        <w:rPr>
          <w:rFonts w:ascii="Times New Roman" w:eastAsia="Times New Roman" w:hAnsi="Times New Roman" w:cs="Times New Roman"/>
          <w:sz w:val="24"/>
          <w:szCs w:val="24"/>
        </w:rPr>
        <w:t>confidence</w:t>
      </w:r>
      <w:proofErr w:type="gramEnd"/>
      <w:r>
        <w:rPr>
          <w:rFonts w:ascii="Times New Roman" w:eastAsia="Times New Roman" w:hAnsi="Times New Roman" w:cs="Times New Roman"/>
          <w:sz w:val="24"/>
          <w:szCs w:val="24"/>
        </w:rPr>
        <w:t xml:space="preserve"> so more are willing or able to implement SAE for All within their SBAE programs in the future (Doss &amp; Rayfield, 2019; Eck &amp; Davis, 2024; </w:t>
      </w:r>
      <w:proofErr w:type="spellStart"/>
      <w:r>
        <w:rPr>
          <w:rFonts w:ascii="Times New Roman" w:eastAsia="Times New Roman" w:hAnsi="Times New Roman" w:cs="Times New Roman"/>
          <w:sz w:val="24"/>
          <w:szCs w:val="24"/>
        </w:rPr>
        <w:t>Guskey</w:t>
      </w:r>
      <w:proofErr w:type="spellEnd"/>
      <w:r>
        <w:rPr>
          <w:rFonts w:ascii="Times New Roman" w:eastAsia="Times New Roman" w:hAnsi="Times New Roman" w:cs="Times New Roman"/>
          <w:sz w:val="24"/>
          <w:szCs w:val="24"/>
        </w:rPr>
        <w:t xml:space="preserve">, 2002;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w:t>
      </w:r>
    </w:p>
    <w:p w14:paraId="2A7AFC5F" w14:textId="77777777" w:rsidR="00D032E2" w:rsidRDefault="00D032E2">
      <w:pPr>
        <w:spacing w:line="240" w:lineRule="auto"/>
        <w:rPr>
          <w:rFonts w:ascii="Times New Roman" w:eastAsia="Times New Roman" w:hAnsi="Times New Roman" w:cs="Times New Roman"/>
          <w:b/>
          <w:bCs/>
          <w:sz w:val="24"/>
          <w:szCs w:val="24"/>
        </w:rPr>
      </w:pPr>
    </w:p>
    <w:p w14:paraId="4B30820E"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Recommendations</w:t>
      </w:r>
    </w:p>
    <w:p w14:paraId="1EFA401C" w14:textId="77777777" w:rsidR="00D032E2" w:rsidRDefault="00000000">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Several research and professional practice recommendations have emerged from our findings. It is recommended that future research efforts aim to address the limitations that have been outlined. Further, qualitative research examining teachers’ implementation of SAE for All may help explain some of the trends revealed in this study. For example, conducting interviews or focus groups with agricultural educators to share their experiences and challenges with SAE for All implementation may help teacher educators or agricultural education stakeholders secure or develop resources to support educators in adopting SAE for All within their programs. Additionally, a content analysis of SAE for All artifacts, such as SAE project instructions or grading rubrics, SAE expectation sheets, and SAE visit forms, may reveal some additional best practices to inform future professional development and resources for agricultural educators. For professional practice, it is recommended that the National Council for Agricultural Education continue to develop SAE for All professional development for teachers, particularly in relation to AET. Professional development can continue to influence and increase teachers’ confidence, making them more willing or able to implement SAE for All within their programs in the future (Doss &amp; Rayfield, 2019; Eck &amp; Davis, 2024; </w:t>
      </w:r>
      <w:proofErr w:type="spellStart"/>
      <w:r>
        <w:rPr>
          <w:rFonts w:ascii="Times New Roman" w:eastAsia="Times New Roman" w:hAnsi="Times New Roman" w:cs="Times New Roman"/>
          <w:sz w:val="24"/>
          <w:szCs w:val="24"/>
        </w:rPr>
        <w:t>Guskey</w:t>
      </w:r>
      <w:proofErr w:type="spellEnd"/>
      <w:r>
        <w:rPr>
          <w:rFonts w:ascii="Times New Roman" w:eastAsia="Times New Roman" w:hAnsi="Times New Roman" w:cs="Times New Roman"/>
          <w:sz w:val="24"/>
          <w:szCs w:val="24"/>
        </w:rPr>
        <w:t xml:space="preserve">, 2002; </w:t>
      </w: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&amp; McKim, 2024). Educators with greater levels of perceived behavioral control related to SAE for All implementation may be more likely to implement SAE for All within their programs because they have a stronger sense of confidence in their ability to do so and feel more comfortable navigating the perceived barriers, and to satisfy the expectations (i.e., subjective norms) they perceive others placing on them (Ajzen, 1991). This professional development could be delivered in-person at statewide conferences. Alternatively, asynchronous, virtual experiences may be more convenient and cost-effective to </w:t>
      </w:r>
      <w:proofErr w:type="gramStart"/>
      <w:r>
        <w:rPr>
          <w:rFonts w:ascii="Times New Roman" w:eastAsia="Times New Roman" w:hAnsi="Times New Roman" w:cs="Times New Roman"/>
          <w:sz w:val="24"/>
          <w:szCs w:val="24"/>
        </w:rPr>
        <w:t>facilitate, and</w:t>
      </w:r>
      <w:proofErr w:type="gramEnd"/>
      <w:r>
        <w:rPr>
          <w:rFonts w:ascii="Times New Roman" w:eastAsia="Times New Roman" w:hAnsi="Times New Roman" w:cs="Times New Roman"/>
          <w:sz w:val="24"/>
          <w:szCs w:val="24"/>
        </w:rPr>
        <w:t xml:space="preserve"> be more conducive to providing updated resources since SAE for All and AET continue to evolve.</w:t>
      </w:r>
      <w:r>
        <w:br w:type="page"/>
      </w:r>
    </w:p>
    <w:p w14:paraId="017A30AB" w14:textId="77777777" w:rsidR="00D032E2" w:rsidRDefault="00000000">
      <w:pPr>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14:paraId="47A9AFF7" w14:textId="77777777" w:rsidR="00D032E2" w:rsidRDefault="00D032E2">
      <w:pPr>
        <w:spacing w:line="240" w:lineRule="auto"/>
        <w:rPr>
          <w:rFonts w:ascii="Times New Roman" w:eastAsia="Times New Roman" w:hAnsi="Times New Roman" w:cs="Times New Roman"/>
          <w:sz w:val="24"/>
          <w:szCs w:val="24"/>
        </w:rPr>
      </w:pPr>
    </w:p>
    <w:p w14:paraId="53D07823"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Ajzen, I. (1991). The theory of planned behavior. </w:t>
      </w:r>
      <w:r>
        <w:rPr>
          <w:rFonts w:ascii="Times New Roman" w:eastAsia="Times New Roman" w:hAnsi="Times New Roman" w:cs="Times New Roman"/>
          <w:i/>
          <w:iCs/>
          <w:sz w:val="24"/>
          <w:szCs w:val="24"/>
        </w:rPr>
        <w:t xml:space="preserve">Organizational Behavior and Human Decision </w:t>
      </w:r>
    </w:p>
    <w:p w14:paraId="7F9DC11C"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Processes, 50</w:t>
      </w:r>
      <w:r>
        <w:rPr>
          <w:rFonts w:ascii="Times New Roman" w:eastAsia="Times New Roman" w:hAnsi="Times New Roman" w:cs="Times New Roman"/>
          <w:sz w:val="24"/>
          <w:szCs w:val="24"/>
        </w:rPr>
        <w:t>(2), 179–211. https://doi.org/10.1016/0749-5978(91)90020-T</w:t>
      </w:r>
    </w:p>
    <w:p w14:paraId="62064CAD" w14:textId="77777777" w:rsidR="00D032E2" w:rsidRDefault="00D032E2">
      <w:pPr>
        <w:spacing w:line="240" w:lineRule="auto"/>
        <w:rPr>
          <w:rFonts w:ascii="Times New Roman" w:eastAsia="Times New Roman" w:hAnsi="Times New Roman" w:cs="Times New Roman"/>
          <w:sz w:val="24"/>
          <w:szCs w:val="24"/>
        </w:rPr>
      </w:pPr>
    </w:p>
    <w:p w14:paraId="26B86C48"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Bird, T. D., &amp; Rice, A. H. (2021). The influence of CASE on agriculture teachers’ use of </w:t>
      </w:r>
    </w:p>
    <w:p w14:paraId="0C1EBB0F"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inquiry-based methods. </w:t>
      </w:r>
      <w:r>
        <w:rPr>
          <w:rFonts w:ascii="Times New Roman" w:eastAsia="Times New Roman" w:hAnsi="Times New Roman" w:cs="Times New Roman"/>
          <w:i/>
          <w:iCs/>
          <w:sz w:val="24"/>
          <w:szCs w:val="24"/>
        </w:rPr>
        <w:t>Journal of Agricultural Education, 62</w:t>
      </w:r>
      <w:r>
        <w:rPr>
          <w:rFonts w:ascii="Times New Roman" w:eastAsia="Times New Roman" w:hAnsi="Times New Roman" w:cs="Times New Roman"/>
          <w:sz w:val="24"/>
          <w:szCs w:val="24"/>
        </w:rPr>
        <w:t>(1), 260–275. https://doi.org/10.5032/jae.2021.01260</w:t>
      </w:r>
    </w:p>
    <w:p w14:paraId="11FAEB12" w14:textId="77777777" w:rsidR="00D032E2" w:rsidRDefault="00D032E2">
      <w:pPr>
        <w:spacing w:line="240" w:lineRule="auto"/>
        <w:rPr>
          <w:rFonts w:ascii="Times New Roman" w:eastAsia="Times New Roman" w:hAnsi="Times New Roman" w:cs="Times New Roman"/>
          <w:sz w:val="24"/>
          <w:szCs w:val="24"/>
        </w:rPr>
      </w:pPr>
    </w:p>
    <w:p w14:paraId="6218C2FD"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Creswell, J. D., &amp; Creswell, J. W. (2018). </w:t>
      </w:r>
      <w:r>
        <w:rPr>
          <w:rFonts w:ascii="Times New Roman" w:eastAsia="Times New Roman" w:hAnsi="Times New Roman" w:cs="Times New Roman"/>
          <w:i/>
          <w:iCs/>
          <w:sz w:val="24"/>
          <w:szCs w:val="24"/>
        </w:rPr>
        <w:t xml:space="preserve">Research design: Qualitative, quantitative, and mixed </w:t>
      </w:r>
    </w:p>
    <w:p w14:paraId="6AFD5F9D"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methods </w:t>
      </w:r>
      <w:proofErr w:type="gramStart"/>
      <w:r>
        <w:rPr>
          <w:rFonts w:ascii="Times New Roman" w:eastAsia="Times New Roman" w:hAnsi="Times New Roman" w:cs="Times New Roman"/>
          <w:i/>
          <w:iCs/>
          <w:sz w:val="24"/>
          <w:szCs w:val="24"/>
        </w:rPr>
        <w:t>approaches</w:t>
      </w:r>
      <w:proofErr w:type="gramEnd"/>
      <w:r>
        <w:rPr>
          <w:rFonts w:ascii="Times New Roman" w:eastAsia="Times New Roman" w:hAnsi="Times New Roman" w:cs="Times New Roman"/>
          <w:sz w:val="24"/>
          <w:szCs w:val="24"/>
        </w:rPr>
        <w:t>. SAGE Publications.</w:t>
      </w:r>
    </w:p>
    <w:p w14:paraId="154A05F8" w14:textId="77777777" w:rsidR="00D032E2" w:rsidRDefault="00D032E2">
      <w:pPr>
        <w:spacing w:line="240" w:lineRule="auto"/>
        <w:rPr>
          <w:rFonts w:ascii="Times New Roman" w:eastAsia="Times New Roman" w:hAnsi="Times New Roman" w:cs="Times New Roman"/>
          <w:sz w:val="24"/>
          <w:szCs w:val="24"/>
        </w:rPr>
      </w:pPr>
    </w:p>
    <w:p w14:paraId="53D3BF34"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Croom, D. B. (2008). The development of the integrated three-component model of agricultural </w:t>
      </w:r>
    </w:p>
    <w:p w14:paraId="7D5B0BFF"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education. </w:t>
      </w:r>
      <w:r>
        <w:rPr>
          <w:rFonts w:ascii="Times New Roman" w:eastAsia="Times New Roman" w:hAnsi="Times New Roman" w:cs="Times New Roman"/>
          <w:i/>
          <w:iCs/>
          <w:sz w:val="24"/>
          <w:szCs w:val="24"/>
        </w:rPr>
        <w:t>Journal of Agricultural Education, 49</w:t>
      </w:r>
      <w:r>
        <w:rPr>
          <w:rFonts w:ascii="Times New Roman" w:eastAsia="Times New Roman" w:hAnsi="Times New Roman" w:cs="Times New Roman"/>
          <w:sz w:val="24"/>
          <w:szCs w:val="24"/>
        </w:rPr>
        <w:t>(1), 110–120. https://doi.org/10.5032/jae.2008.01110</w:t>
      </w:r>
    </w:p>
    <w:p w14:paraId="28E83B3C" w14:textId="77777777" w:rsidR="00D032E2" w:rsidRDefault="00D032E2">
      <w:pPr>
        <w:spacing w:line="240" w:lineRule="auto"/>
        <w:rPr>
          <w:rFonts w:ascii="Times New Roman" w:eastAsia="Times New Roman" w:hAnsi="Times New Roman" w:cs="Times New Roman"/>
          <w:sz w:val="24"/>
          <w:szCs w:val="24"/>
        </w:rPr>
      </w:pPr>
    </w:p>
    <w:p w14:paraId="7035418A"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Doss, W., &amp; Rayfield, J. (2019). Assessing school-based agricultural education teacher </w:t>
      </w:r>
    </w:p>
    <w:p w14:paraId="462035AE"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familiarity, knowledge, and perceptions of supervised agricultural experience categories.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(3), 206–218. https://doi.org/10.5032/jae.2019.03206</w:t>
      </w:r>
    </w:p>
    <w:p w14:paraId="5CB8394A" w14:textId="77777777" w:rsidR="00D032E2" w:rsidRDefault="00D032E2">
      <w:pPr>
        <w:spacing w:line="240" w:lineRule="auto"/>
        <w:rPr>
          <w:rFonts w:ascii="Times New Roman" w:eastAsia="Times New Roman" w:hAnsi="Times New Roman" w:cs="Times New Roman"/>
          <w:sz w:val="24"/>
          <w:szCs w:val="24"/>
        </w:rPr>
      </w:pPr>
    </w:p>
    <w:p w14:paraId="227AA6F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Eck, C., &amp; Davis, R. (2024). Identifying the perceptions, barriers, and implementation of middle </w:t>
      </w:r>
    </w:p>
    <w:p w14:paraId="566559AE"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 supervised agricultural experiences.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(1), 126–139. https://doi.org/10.5032/jae.v65i1.158</w:t>
      </w:r>
    </w:p>
    <w:p w14:paraId="092E4846" w14:textId="77777777" w:rsidR="00D032E2" w:rsidRDefault="00D032E2">
      <w:pPr>
        <w:spacing w:line="240" w:lineRule="auto"/>
        <w:rPr>
          <w:rFonts w:ascii="Times New Roman" w:eastAsia="Times New Roman" w:hAnsi="Times New Roman" w:cs="Times New Roman"/>
          <w:sz w:val="24"/>
          <w:szCs w:val="24"/>
        </w:rPr>
      </w:pPr>
    </w:p>
    <w:p w14:paraId="4F9753A9" w14:textId="77777777" w:rsidR="00D032E2"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Figland</w:t>
      </w:r>
      <w:proofErr w:type="spellEnd"/>
      <w:r>
        <w:rPr>
          <w:rFonts w:ascii="Times New Roman" w:eastAsia="Times New Roman" w:hAnsi="Times New Roman" w:cs="Times New Roman"/>
          <w:sz w:val="24"/>
          <w:szCs w:val="24"/>
        </w:rPr>
        <w:t xml:space="preserve">, W., Blackburn, D. J., Stair, D. K., &amp; Smith, D. E. (2019). What do they need? </w:t>
      </w:r>
    </w:p>
    <w:p w14:paraId="7B715701"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Determining differences in the professional development needs of Louisiana agriculture teachers by years of teaching experience.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(2), 173–189. https://doi.org/10.5032/jae.2019.02173</w:t>
      </w:r>
    </w:p>
    <w:p w14:paraId="4623AEAF" w14:textId="77777777" w:rsidR="00D032E2" w:rsidRDefault="00D032E2">
      <w:pPr>
        <w:spacing w:line="240" w:lineRule="auto"/>
        <w:rPr>
          <w:rFonts w:ascii="Times New Roman" w:eastAsia="Times New Roman" w:hAnsi="Times New Roman" w:cs="Times New Roman"/>
          <w:sz w:val="24"/>
          <w:szCs w:val="24"/>
        </w:rPr>
      </w:pPr>
    </w:p>
    <w:p w14:paraId="61F14A03"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Frankfort-Nachmias, C., Leon-Guerrero, A., &amp; Davis, G. (2021). </w:t>
      </w:r>
      <w:r>
        <w:rPr>
          <w:rFonts w:ascii="Times New Roman" w:eastAsia="Times New Roman" w:hAnsi="Times New Roman" w:cs="Times New Roman"/>
          <w:i/>
          <w:iCs/>
          <w:sz w:val="24"/>
          <w:szCs w:val="24"/>
        </w:rPr>
        <w:t xml:space="preserve">Social statistics for a diverse </w:t>
      </w:r>
    </w:p>
    <w:p w14:paraId="00B13826"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society</w:t>
      </w:r>
      <w:r>
        <w:rPr>
          <w:rFonts w:ascii="Times New Roman" w:eastAsia="Times New Roman" w:hAnsi="Times New Roman" w:cs="Times New Roman"/>
          <w:sz w:val="24"/>
          <w:szCs w:val="24"/>
        </w:rPr>
        <w:t xml:space="preserve"> (9th ed.). SAGE Publications.</w:t>
      </w:r>
    </w:p>
    <w:p w14:paraId="29C3C23A" w14:textId="77777777" w:rsidR="00D032E2" w:rsidRDefault="00D032E2">
      <w:pPr>
        <w:spacing w:line="240" w:lineRule="auto"/>
        <w:rPr>
          <w:rFonts w:ascii="Times New Roman" w:eastAsia="Times New Roman" w:hAnsi="Times New Roman" w:cs="Times New Roman"/>
          <w:sz w:val="24"/>
          <w:szCs w:val="24"/>
        </w:rPr>
      </w:pPr>
    </w:p>
    <w:p w14:paraId="55FEFC4B" w14:textId="472E9D9D"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Guskey, T. (2002). Professional development and teacher change. </w:t>
      </w:r>
      <w:r>
        <w:rPr>
          <w:rFonts w:ascii="Times New Roman" w:eastAsia="Times New Roman" w:hAnsi="Times New Roman" w:cs="Times New Roman"/>
          <w:i/>
          <w:iCs/>
          <w:sz w:val="24"/>
          <w:szCs w:val="24"/>
        </w:rPr>
        <w:t xml:space="preserve">Teachers and Teaching </w:t>
      </w:r>
    </w:p>
    <w:p w14:paraId="3221AAB1" w14:textId="0A7F0D51" w:rsidR="00D032E2" w:rsidRDefault="00AE5F6C">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Theory </w:t>
      </w:r>
      <w:r w:rsidR="00000000">
        <w:rPr>
          <w:rFonts w:ascii="Times New Roman" w:eastAsia="Times New Roman" w:hAnsi="Times New Roman" w:cs="Times New Roman"/>
          <w:i/>
          <w:iCs/>
          <w:sz w:val="24"/>
          <w:szCs w:val="24"/>
        </w:rPr>
        <w:t>and Practice, 8</w:t>
      </w:r>
      <w:r w:rsidR="00000000">
        <w:rPr>
          <w:rFonts w:ascii="Times New Roman" w:eastAsia="Times New Roman" w:hAnsi="Times New Roman" w:cs="Times New Roman"/>
          <w:sz w:val="24"/>
          <w:szCs w:val="24"/>
        </w:rPr>
        <w:t>(3), 381–391. https://doi.org/10.1080/135406002100000512</w:t>
      </w:r>
    </w:p>
    <w:p w14:paraId="509E1793" w14:textId="77777777" w:rsidR="00D032E2" w:rsidRDefault="00D032E2">
      <w:pPr>
        <w:spacing w:line="240" w:lineRule="auto"/>
        <w:rPr>
          <w:rFonts w:ascii="Times New Roman" w:eastAsia="Times New Roman" w:hAnsi="Times New Roman" w:cs="Times New Roman"/>
          <w:sz w:val="24"/>
          <w:szCs w:val="24"/>
        </w:rPr>
      </w:pPr>
    </w:p>
    <w:p w14:paraId="5BFB42FC"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Hainline, M., &amp; Smalley, S. (2023). Determining the professional development needs of Iowa </w:t>
      </w:r>
    </w:p>
    <w:p w14:paraId="51459C8E"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school-based agricultural education teachers related to program design, leadership, and SAE development. </w:t>
      </w:r>
      <w:r>
        <w:rPr>
          <w:rFonts w:ascii="Times New Roman" w:eastAsia="Times New Roman" w:hAnsi="Times New Roman" w:cs="Times New Roman"/>
          <w:i/>
          <w:iCs/>
          <w:sz w:val="24"/>
          <w:szCs w:val="24"/>
        </w:rPr>
        <w:t>Journal of Agricultural Education, 64</w:t>
      </w:r>
      <w:r>
        <w:rPr>
          <w:rFonts w:ascii="Times New Roman" w:eastAsia="Times New Roman" w:hAnsi="Times New Roman" w:cs="Times New Roman"/>
          <w:sz w:val="24"/>
          <w:szCs w:val="24"/>
        </w:rPr>
        <w:t>(1), 1–10. https://doi.org/10.5032/jae.v64i1.26</w:t>
      </w:r>
    </w:p>
    <w:p w14:paraId="7693D9B6" w14:textId="77777777" w:rsidR="00D032E2" w:rsidRDefault="00D032E2">
      <w:pPr>
        <w:spacing w:line="240" w:lineRule="auto"/>
        <w:rPr>
          <w:rFonts w:ascii="Times New Roman" w:eastAsia="Times New Roman" w:hAnsi="Times New Roman" w:cs="Times New Roman"/>
          <w:sz w:val="24"/>
          <w:szCs w:val="24"/>
        </w:rPr>
      </w:pPr>
    </w:p>
    <w:p w14:paraId="21140B10"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Hill, A. E., Ornelas, I., &amp; Taylor, J. E. (2021). Agricultural labor supply. </w:t>
      </w:r>
      <w:r>
        <w:rPr>
          <w:rFonts w:ascii="Times New Roman" w:eastAsia="Times New Roman" w:hAnsi="Times New Roman" w:cs="Times New Roman"/>
          <w:i/>
          <w:iCs/>
          <w:sz w:val="24"/>
          <w:szCs w:val="24"/>
        </w:rPr>
        <w:t xml:space="preserve">Annual Review of </w:t>
      </w:r>
    </w:p>
    <w:p w14:paraId="18F92687"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Resource Economics, 13</w:t>
      </w:r>
      <w:r>
        <w:rPr>
          <w:rFonts w:ascii="Times New Roman" w:eastAsia="Times New Roman" w:hAnsi="Times New Roman" w:cs="Times New Roman"/>
          <w:sz w:val="24"/>
          <w:szCs w:val="24"/>
        </w:rPr>
        <w:t>(1), 39–64. https://doi.org/10.1146/annurev-resource-101620-080426</w:t>
      </w:r>
    </w:p>
    <w:p w14:paraId="2947C7FC" w14:textId="77777777" w:rsidR="00D032E2" w:rsidRDefault="00D032E2">
      <w:pPr>
        <w:spacing w:line="240" w:lineRule="auto"/>
        <w:rPr>
          <w:rFonts w:ascii="Times New Roman" w:eastAsia="Times New Roman" w:hAnsi="Times New Roman" w:cs="Times New Roman"/>
          <w:sz w:val="24"/>
          <w:szCs w:val="24"/>
        </w:rPr>
      </w:pPr>
    </w:p>
    <w:p w14:paraId="41CFD834" w14:textId="77777777" w:rsidR="00D032E2" w:rsidRDefault="00D032E2">
      <w:pPr>
        <w:spacing w:line="240" w:lineRule="auto"/>
        <w:rPr>
          <w:rFonts w:ascii="Times New Roman" w:eastAsia="Times New Roman" w:hAnsi="Times New Roman" w:cs="Times New Roman"/>
          <w:sz w:val="24"/>
          <w:szCs w:val="24"/>
        </w:rPr>
      </w:pPr>
    </w:p>
    <w:p w14:paraId="5DA60B92"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Johnson, D. M., &amp; Shoulders, C. W. (2019). Beyond magic words and symbols: Rethinking </w:t>
      </w:r>
    </w:p>
    <w:p w14:paraId="4616C139"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common practices in quantitative research. </w:t>
      </w:r>
      <w:r>
        <w:rPr>
          <w:rFonts w:ascii="Times New Roman" w:eastAsia="Times New Roman" w:hAnsi="Times New Roman" w:cs="Times New Roman"/>
          <w:i/>
          <w:iCs/>
          <w:sz w:val="24"/>
          <w:szCs w:val="24"/>
        </w:rPr>
        <w:t>Journal of Agricultural Education, 60</w:t>
      </w:r>
      <w:r>
        <w:rPr>
          <w:rFonts w:ascii="Times New Roman" w:eastAsia="Times New Roman" w:hAnsi="Times New Roman" w:cs="Times New Roman"/>
          <w:sz w:val="24"/>
          <w:szCs w:val="24"/>
        </w:rPr>
        <w:t>(3), 291–303. https://doi.org/10.5032/jae.2019.03291</w:t>
      </w:r>
    </w:p>
    <w:p w14:paraId="71FF71BC" w14:textId="77777777" w:rsidR="00D032E2" w:rsidRDefault="00D032E2">
      <w:pPr>
        <w:spacing w:line="240" w:lineRule="auto"/>
        <w:rPr>
          <w:rFonts w:ascii="Times New Roman" w:eastAsia="Times New Roman" w:hAnsi="Times New Roman" w:cs="Times New Roman"/>
          <w:sz w:val="24"/>
          <w:szCs w:val="24"/>
        </w:rPr>
      </w:pPr>
    </w:p>
    <w:p w14:paraId="6FBB24D1"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Lewis, L. J., Rayfield, J., &amp; Moore, L. L. (2012). Supervised agricultural experience: An </w:t>
      </w:r>
    </w:p>
    <w:p w14:paraId="798058F0"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examination of student knowledge and participation. </w:t>
      </w:r>
      <w:r>
        <w:rPr>
          <w:rFonts w:ascii="Times New Roman" w:eastAsia="Times New Roman" w:hAnsi="Times New Roman" w:cs="Times New Roman"/>
          <w:i/>
          <w:iCs/>
          <w:sz w:val="24"/>
          <w:szCs w:val="24"/>
        </w:rPr>
        <w:t>Journal of Agricultural Education, 53</w:t>
      </w:r>
      <w:r>
        <w:rPr>
          <w:rFonts w:ascii="Times New Roman" w:eastAsia="Times New Roman" w:hAnsi="Times New Roman" w:cs="Times New Roman"/>
          <w:sz w:val="24"/>
          <w:szCs w:val="24"/>
        </w:rPr>
        <w:t>(4), 70–84. https://doi.org/10.5032/jae.2012.04070</w:t>
      </w:r>
    </w:p>
    <w:p w14:paraId="4BE0E87F" w14:textId="77777777" w:rsidR="00D032E2" w:rsidRDefault="00D032E2">
      <w:pPr>
        <w:spacing w:line="240" w:lineRule="auto"/>
        <w:rPr>
          <w:rFonts w:ascii="Times New Roman" w:eastAsia="Times New Roman" w:hAnsi="Times New Roman" w:cs="Times New Roman"/>
          <w:sz w:val="24"/>
          <w:szCs w:val="24"/>
        </w:rPr>
      </w:pPr>
    </w:p>
    <w:p w14:paraId="0E442CFA" w14:textId="77777777" w:rsidR="00D032E2" w:rsidRDefault="00000000">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Marzolino</w:t>
      </w:r>
      <w:proofErr w:type="spellEnd"/>
      <w:r>
        <w:rPr>
          <w:rFonts w:ascii="Times New Roman" w:eastAsia="Times New Roman" w:hAnsi="Times New Roman" w:cs="Times New Roman"/>
          <w:sz w:val="24"/>
          <w:szCs w:val="24"/>
        </w:rPr>
        <w:t xml:space="preserve">, T., &amp; McKim, A. (2024). Teacher perceptions of student growth and successful </w:t>
      </w:r>
    </w:p>
    <w:p w14:paraId="687E2851"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supervised agricultural experiences. </w:t>
      </w:r>
      <w:r>
        <w:rPr>
          <w:rFonts w:ascii="Times New Roman" w:eastAsia="Times New Roman" w:hAnsi="Times New Roman" w:cs="Times New Roman"/>
          <w:i/>
          <w:iCs/>
          <w:sz w:val="24"/>
          <w:szCs w:val="24"/>
        </w:rPr>
        <w:t>Journal of Agricultural Education, 65</w:t>
      </w:r>
      <w:r>
        <w:rPr>
          <w:rFonts w:ascii="Times New Roman" w:eastAsia="Times New Roman" w:hAnsi="Times New Roman" w:cs="Times New Roman"/>
          <w:sz w:val="24"/>
          <w:szCs w:val="24"/>
        </w:rPr>
        <w:t>(2), 71–85. https://doi.org/10.5032/jae.v65i2.120</w:t>
      </w:r>
    </w:p>
    <w:p w14:paraId="4ADD9FCA" w14:textId="77777777" w:rsidR="00D032E2" w:rsidRDefault="00D032E2">
      <w:pPr>
        <w:spacing w:line="240" w:lineRule="auto"/>
        <w:rPr>
          <w:rFonts w:ascii="Times New Roman" w:eastAsia="Times New Roman" w:hAnsi="Times New Roman" w:cs="Times New Roman"/>
          <w:sz w:val="24"/>
          <w:szCs w:val="24"/>
        </w:rPr>
      </w:pPr>
    </w:p>
    <w:p w14:paraId="3347E598"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McKendree, R. B., &amp; Washburn, S. (2023). Metacognition and teacher beliefs. </w:t>
      </w:r>
      <w:r>
        <w:rPr>
          <w:rFonts w:ascii="Times New Roman" w:eastAsia="Times New Roman" w:hAnsi="Times New Roman" w:cs="Times New Roman"/>
          <w:i/>
          <w:iCs/>
          <w:sz w:val="24"/>
          <w:szCs w:val="24"/>
        </w:rPr>
        <w:t xml:space="preserve">Journal of </w:t>
      </w:r>
    </w:p>
    <w:p w14:paraId="683FD08F"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Agricultural Education, 64</w:t>
      </w:r>
      <w:r>
        <w:rPr>
          <w:rFonts w:ascii="Times New Roman" w:eastAsia="Times New Roman" w:hAnsi="Times New Roman" w:cs="Times New Roman"/>
          <w:sz w:val="24"/>
          <w:szCs w:val="24"/>
        </w:rPr>
        <w:t>(2), 176–193. https://doi.org/10.5032/jae.v64i2.61</w:t>
      </w:r>
    </w:p>
    <w:p w14:paraId="7330DDB4" w14:textId="77777777" w:rsidR="00D032E2" w:rsidRDefault="00D032E2">
      <w:pPr>
        <w:spacing w:line="240" w:lineRule="auto"/>
        <w:rPr>
          <w:rFonts w:ascii="Times New Roman" w:eastAsia="Times New Roman" w:hAnsi="Times New Roman" w:cs="Times New Roman"/>
          <w:sz w:val="24"/>
          <w:szCs w:val="24"/>
        </w:rPr>
      </w:pPr>
    </w:p>
    <w:p w14:paraId="34B647D7"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McKim, A. J., &amp; Velez, J. J. (2017). Developing self-efficacy: Exploring preservice coursework, </w:t>
      </w:r>
    </w:p>
    <w:p w14:paraId="4FEEC9E9"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and professional development experiences.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(1), 172–285. https://doi.org/10.5032/jae.2017.01172</w:t>
      </w:r>
    </w:p>
    <w:p w14:paraId="16C4E270" w14:textId="77777777" w:rsidR="00D032E2" w:rsidRDefault="00D032E2">
      <w:pPr>
        <w:spacing w:line="240" w:lineRule="auto"/>
        <w:rPr>
          <w:rFonts w:ascii="Times New Roman" w:eastAsia="Times New Roman" w:hAnsi="Times New Roman" w:cs="Times New Roman"/>
          <w:sz w:val="24"/>
          <w:szCs w:val="24"/>
        </w:rPr>
      </w:pPr>
    </w:p>
    <w:p w14:paraId="3457EFE9" w14:textId="77777777" w:rsidR="00F45002" w:rsidRDefault="00000000" w:rsidP="00F45002">
      <w:pPr>
        <w:spacing w:line="240" w:lineRule="auto"/>
        <w:rPr>
          <w:rFonts w:ascii="Times New Roman" w:eastAsia="Times New Roman" w:hAnsi="Times New Roman" w:cs="Times New Roman"/>
          <w:i/>
          <w:iCs/>
          <w:sz w:val="24"/>
          <w:szCs w:val="24"/>
        </w:rPr>
      </w:pPr>
      <w:proofErr w:type="spellStart"/>
      <w:r>
        <w:rPr>
          <w:rFonts w:ascii="Times New Roman" w:eastAsia="Times New Roman" w:hAnsi="Times New Roman" w:cs="Times New Roman"/>
          <w:sz w:val="24"/>
          <w:szCs w:val="24"/>
        </w:rPr>
        <w:t>Mehmetoglu</w:t>
      </w:r>
      <w:proofErr w:type="spellEnd"/>
      <w:r>
        <w:rPr>
          <w:rFonts w:ascii="Times New Roman" w:eastAsia="Times New Roman" w:hAnsi="Times New Roman" w:cs="Times New Roman"/>
          <w:sz w:val="24"/>
          <w:szCs w:val="24"/>
        </w:rPr>
        <w:t xml:space="preserve">, M., &amp; Jakobsen, T. G. (2022). </w:t>
      </w:r>
      <w:r>
        <w:rPr>
          <w:rFonts w:ascii="Times New Roman" w:eastAsia="Times New Roman" w:hAnsi="Times New Roman" w:cs="Times New Roman"/>
          <w:i/>
          <w:iCs/>
          <w:sz w:val="24"/>
          <w:szCs w:val="24"/>
        </w:rPr>
        <w:t xml:space="preserve">Applied statistics using Stata: A guide for the social </w:t>
      </w:r>
    </w:p>
    <w:p w14:paraId="1A2FA0A8" w14:textId="2C397C07" w:rsidR="00D032E2" w:rsidRDefault="00000000" w:rsidP="00F45002">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sciences</w:t>
      </w:r>
      <w:r>
        <w:rPr>
          <w:rFonts w:ascii="Times New Roman" w:eastAsia="Times New Roman" w:hAnsi="Times New Roman" w:cs="Times New Roman"/>
          <w:sz w:val="24"/>
          <w:szCs w:val="24"/>
        </w:rPr>
        <w:t xml:space="preserve"> (2nd ed). SAGE Publications.</w:t>
      </w:r>
    </w:p>
    <w:p w14:paraId="303308D3" w14:textId="77777777" w:rsidR="00D032E2" w:rsidRDefault="00D032E2">
      <w:pPr>
        <w:spacing w:line="240" w:lineRule="auto"/>
        <w:rPr>
          <w:rFonts w:ascii="Times New Roman" w:eastAsia="Times New Roman" w:hAnsi="Times New Roman" w:cs="Times New Roman"/>
          <w:sz w:val="24"/>
          <w:szCs w:val="24"/>
        </w:rPr>
      </w:pPr>
    </w:p>
    <w:p w14:paraId="30E65E8B"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National Council for Agricultural Education. (2015). </w:t>
      </w:r>
      <w:r>
        <w:rPr>
          <w:rFonts w:ascii="Times New Roman" w:eastAsia="Times New Roman" w:hAnsi="Times New Roman" w:cs="Times New Roman"/>
          <w:i/>
          <w:iCs/>
          <w:sz w:val="24"/>
          <w:szCs w:val="24"/>
        </w:rPr>
        <w:t>Philosophy and guiding principles for</w:t>
      </w:r>
    </w:p>
    <w:p w14:paraId="10C5D6D0"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execution of the supervised agricultural experience component of the total school based agricultural education program</w:t>
      </w:r>
      <w:r>
        <w:rPr>
          <w:rFonts w:ascii="Times New Roman" w:eastAsia="Times New Roman" w:hAnsi="Times New Roman" w:cs="Times New Roman"/>
          <w:sz w:val="24"/>
          <w:szCs w:val="24"/>
        </w:rPr>
        <w:t>. https://ffa.app.box.com/s/i8ntesw8zsajaxxdnj5cle6zaf0a6za3</w:t>
      </w:r>
    </w:p>
    <w:p w14:paraId="10CE94A6" w14:textId="77777777" w:rsidR="00D032E2" w:rsidRDefault="00D032E2">
      <w:pPr>
        <w:spacing w:line="240" w:lineRule="auto"/>
        <w:rPr>
          <w:rFonts w:ascii="Times New Roman" w:eastAsia="Times New Roman" w:hAnsi="Times New Roman" w:cs="Times New Roman"/>
          <w:sz w:val="24"/>
          <w:szCs w:val="24"/>
        </w:rPr>
      </w:pPr>
    </w:p>
    <w:p w14:paraId="602968CA" w14:textId="77777777" w:rsidR="00D032E2" w:rsidRDefault="00000000">
      <w:pPr>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Norman, G. (2010) Likert scales, levels of measurement and the “laws” of statistics. </w:t>
      </w:r>
      <w:r>
        <w:rPr>
          <w:rFonts w:ascii="Times New Roman" w:eastAsia="Times New Roman" w:hAnsi="Times New Roman" w:cs="Times New Roman"/>
          <w:i/>
          <w:iCs/>
          <w:sz w:val="24"/>
          <w:szCs w:val="24"/>
        </w:rPr>
        <w:t xml:space="preserve">Advances in </w:t>
      </w:r>
    </w:p>
    <w:p w14:paraId="2FA5E7F9"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i/>
          <w:iCs/>
          <w:sz w:val="24"/>
          <w:szCs w:val="24"/>
        </w:rPr>
        <w:t>Health Science Education, 15</w:t>
      </w:r>
      <w:r>
        <w:rPr>
          <w:rFonts w:ascii="Times New Roman" w:eastAsia="Times New Roman" w:hAnsi="Times New Roman" w:cs="Times New Roman"/>
          <w:sz w:val="24"/>
          <w:szCs w:val="24"/>
        </w:rPr>
        <w:t>, 625–632. https://doi.org/10.1007/s10459-010-9222-y</w:t>
      </w:r>
    </w:p>
    <w:p w14:paraId="0AC10617" w14:textId="77777777" w:rsidR="00D032E2" w:rsidRDefault="00D032E2">
      <w:pPr>
        <w:spacing w:line="240" w:lineRule="auto"/>
        <w:rPr>
          <w:rFonts w:ascii="Times New Roman" w:eastAsia="Times New Roman" w:hAnsi="Times New Roman" w:cs="Times New Roman"/>
          <w:sz w:val="24"/>
          <w:szCs w:val="24"/>
        </w:rPr>
      </w:pPr>
    </w:p>
    <w:p w14:paraId="2A135089"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Nunnally, J. C. (1978). </w:t>
      </w:r>
      <w:r>
        <w:rPr>
          <w:rFonts w:ascii="Times New Roman" w:eastAsia="Times New Roman" w:hAnsi="Times New Roman" w:cs="Times New Roman"/>
          <w:i/>
          <w:iCs/>
          <w:sz w:val="24"/>
          <w:szCs w:val="24"/>
        </w:rPr>
        <w:t>Psychometric theory</w:t>
      </w:r>
      <w:r>
        <w:rPr>
          <w:rFonts w:ascii="Times New Roman" w:eastAsia="Times New Roman" w:hAnsi="Times New Roman" w:cs="Times New Roman"/>
          <w:sz w:val="24"/>
          <w:szCs w:val="24"/>
        </w:rPr>
        <w:t xml:space="preserve"> (2nd ed.). McGraw-Hill.</w:t>
      </w:r>
    </w:p>
    <w:p w14:paraId="420569BE" w14:textId="77777777" w:rsidR="00D032E2" w:rsidRDefault="00D032E2">
      <w:pPr>
        <w:spacing w:line="240" w:lineRule="auto"/>
        <w:rPr>
          <w:rFonts w:ascii="Times New Roman" w:eastAsia="Times New Roman" w:hAnsi="Times New Roman" w:cs="Times New Roman"/>
          <w:sz w:val="24"/>
          <w:szCs w:val="24"/>
        </w:rPr>
      </w:pPr>
    </w:p>
    <w:p w14:paraId="64B66CEC"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Retallick, M. S. (2010). Implementation of supervised agricultural experience programs: The </w:t>
      </w:r>
    </w:p>
    <w:p w14:paraId="457D7DD7"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agriculture teachers’ perspective. </w:t>
      </w:r>
      <w:r>
        <w:rPr>
          <w:rFonts w:ascii="Times New Roman" w:eastAsia="Times New Roman" w:hAnsi="Times New Roman" w:cs="Times New Roman"/>
          <w:i/>
          <w:iCs/>
          <w:sz w:val="24"/>
          <w:szCs w:val="24"/>
        </w:rPr>
        <w:t>Journal of Agricultural Education, 51</w:t>
      </w:r>
      <w:r>
        <w:rPr>
          <w:rFonts w:ascii="Times New Roman" w:eastAsia="Times New Roman" w:hAnsi="Times New Roman" w:cs="Times New Roman"/>
          <w:sz w:val="24"/>
          <w:szCs w:val="24"/>
        </w:rPr>
        <w:t>(4), 59–70. https://doi.org/10.5032/jae.2010.04059</w:t>
      </w:r>
    </w:p>
    <w:p w14:paraId="7A516E5A" w14:textId="77777777" w:rsidR="00D032E2" w:rsidRDefault="00D032E2">
      <w:pPr>
        <w:spacing w:line="240" w:lineRule="auto"/>
        <w:rPr>
          <w:rFonts w:ascii="Times New Roman" w:eastAsia="Times New Roman" w:hAnsi="Times New Roman" w:cs="Times New Roman"/>
          <w:sz w:val="24"/>
          <w:szCs w:val="24"/>
        </w:rPr>
      </w:pPr>
    </w:p>
    <w:p w14:paraId="21037D51"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Rice, A. H., &amp; Kitchel, T. (2015). The relationships between agriculture knowledge bases for </w:t>
      </w:r>
    </w:p>
    <w:p w14:paraId="1DEB4141"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and sources of knowledge. </w:t>
      </w:r>
      <w:r>
        <w:rPr>
          <w:rFonts w:ascii="Times New Roman" w:eastAsia="Times New Roman" w:hAnsi="Times New Roman" w:cs="Times New Roman"/>
          <w:i/>
          <w:iCs/>
          <w:sz w:val="24"/>
          <w:szCs w:val="24"/>
        </w:rPr>
        <w:t>Journal of Agricultural Education, 56</w:t>
      </w:r>
      <w:r>
        <w:rPr>
          <w:rFonts w:ascii="Times New Roman" w:eastAsia="Times New Roman" w:hAnsi="Times New Roman" w:cs="Times New Roman"/>
          <w:sz w:val="24"/>
          <w:szCs w:val="24"/>
        </w:rPr>
        <w:t>(4), 153–168. https://doi.org/10.5032/jae.2015.04153</w:t>
      </w:r>
    </w:p>
    <w:p w14:paraId="65331043" w14:textId="77777777" w:rsidR="00D032E2" w:rsidRDefault="00D032E2">
      <w:pPr>
        <w:spacing w:line="240" w:lineRule="auto"/>
        <w:rPr>
          <w:rFonts w:ascii="Times New Roman" w:eastAsia="Times New Roman" w:hAnsi="Times New Roman" w:cs="Times New Roman"/>
          <w:sz w:val="24"/>
          <w:szCs w:val="24"/>
        </w:rPr>
      </w:pPr>
    </w:p>
    <w:p w14:paraId="7303B646"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Rubenstein, E. D., &amp; Thoron, A. C. (2015). Supervised agricultural experience programs: An </w:t>
      </w:r>
    </w:p>
    <w:p w14:paraId="707496C2"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examination of committed teachers and student-centered programs. </w:t>
      </w:r>
      <w:r>
        <w:rPr>
          <w:rFonts w:ascii="Times New Roman" w:eastAsia="Times New Roman" w:hAnsi="Times New Roman" w:cs="Times New Roman"/>
          <w:i/>
          <w:iCs/>
          <w:sz w:val="24"/>
          <w:szCs w:val="24"/>
        </w:rPr>
        <w:t>Journal of Agricultural Education, 56</w:t>
      </w:r>
      <w:r>
        <w:rPr>
          <w:rFonts w:ascii="Times New Roman" w:eastAsia="Times New Roman" w:hAnsi="Times New Roman" w:cs="Times New Roman"/>
          <w:sz w:val="24"/>
          <w:szCs w:val="24"/>
        </w:rPr>
        <w:t>(4), 75–89. https://doi.org/10.5032/jae.2015.04075</w:t>
      </w:r>
    </w:p>
    <w:p w14:paraId="43C88FEE" w14:textId="77777777" w:rsidR="00D032E2" w:rsidRDefault="00D032E2">
      <w:pPr>
        <w:spacing w:line="240" w:lineRule="auto"/>
        <w:rPr>
          <w:rFonts w:ascii="Times New Roman" w:eastAsia="Times New Roman" w:hAnsi="Times New Roman" w:cs="Times New Roman"/>
          <w:sz w:val="24"/>
          <w:szCs w:val="24"/>
        </w:rPr>
      </w:pPr>
    </w:p>
    <w:p w14:paraId="00467641" w14:textId="77777777" w:rsidR="00D032E2" w:rsidRDefault="00D032E2">
      <w:pPr>
        <w:spacing w:line="240" w:lineRule="auto"/>
        <w:rPr>
          <w:rFonts w:ascii="Times New Roman" w:eastAsia="Times New Roman" w:hAnsi="Times New Roman" w:cs="Times New Roman"/>
          <w:sz w:val="24"/>
          <w:szCs w:val="24"/>
        </w:rPr>
      </w:pPr>
    </w:p>
    <w:p w14:paraId="2A335875" w14:textId="77777777" w:rsidR="00D032E2" w:rsidRDefault="00D032E2">
      <w:pPr>
        <w:spacing w:line="240" w:lineRule="auto"/>
        <w:rPr>
          <w:rFonts w:ascii="Times New Roman" w:eastAsia="Times New Roman" w:hAnsi="Times New Roman" w:cs="Times New Roman"/>
          <w:sz w:val="24"/>
          <w:szCs w:val="24"/>
        </w:rPr>
      </w:pPr>
    </w:p>
    <w:p w14:paraId="0ED546DE"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Smalley, S., &amp; Smith, A. (2017). Professional development needs of mid-career agriculture </w:t>
      </w:r>
    </w:p>
    <w:p w14:paraId="270C63A7"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w:t>
      </w:r>
      <w:r>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(4), 282–290. https://doi.org/10.5032/jae.2017.04283</w:t>
      </w:r>
    </w:p>
    <w:p w14:paraId="2157CF91" w14:textId="77777777" w:rsidR="00D032E2" w:rsidRDefault="00D032E2">
      <w:pPr>
        <w:spacing w:line="240" w:lineRule="auto"/>
        <w:rPr>
          <w:rFonts w:ascii="Times New Roman" w:eastAsia="Times New Roman" w:hAnsi="Times New Roman" w:cs="Times New Roman"/>
          <w:sz w:val="24"/>
          <w:szCs w:val="24"/>
        </w:rPr>
      </w:pPr>
    </w:p>
    <w:p w14:paraId="40C2B59B"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K. L., &amp; Rayfield, J. (2016). An early historical examination of the educational intent of </w:t>
      </w:r>
    </w:p>
    <w:p w14:paraId="08BDE38A"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supervised agricultural experiences (SAEs) and project-based learning in agricultural education. </w:t>
      </w:r>
      <w:r>
        <w:rPr>
          <w:rFonts w:ascii="Times New Roman" w:eastAsia="Times New Roman" w:hAnsi="Times New Roman" w:cs="Times New Roman"/>
          <w:i/>
          <w:iCs/>
          <w:sz w:val="24"/>
          <w:szCs w:val="24"/>
        </w:rPr>
        <w:t>Journal of Agricultural Education, 57</w:t>
      </w:r>
      <w:r>
        <w:rPr>
          <w:rFonts w:ascii="Times New Roman" w:eastAsia="Times New Roman" w:hAnsi="Times New Roman" w:cs="Times New Roman"/>
          <w:sz w:val="24"/>
          <w:szCs w:val="24"/>
        </w:rPr>
        <w:t>(2), 146–160. https://doi.org/10.5032/jae.2016.02146</w:t>
      </w:r>
    </w:p>
    <w:p w14:paraId="77CECBA5" w14:textId="77777777" w:rsidR="00D032E2" w:rsidRDefault="00D032E2">
      <w:pPr>
        <w:spacing w:line="240" w:lineRule="auto"/>
        <w:rPr>
          <w:rFonts w:ascii="Times New Roman" w:eastAsia="Times New Roman" w:hAnsi="Times New Roman" w:cs="Times New Roman"/>
          <w:sz w:val="24"/>
          <w:szCs w:val="24"/>
        </w:rPr>
      </w:pPr>
    </w:p>
    <w:p w14:paraId="536760B7"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Thyer, B. A. (2010). </w:t>
      </w:r>
      <w:r>
        <w:rPr>
          <w:rFonts w:ascii="Times New Roman" w:eastAsia="Times New Roman" w:hAnsi="Times New Roman" w:cs="Times New Roman"/>
          <w:i/>
          <w:iCs/>
          <w:sz w:val="24"/>
          <w:szCs w:val="24"/>
        </w:rPr>
        <w:t>The handbook of social work research methods</w:t>
      </w:r>
      <w:r>
        <w:rPr>
          <w:rFonts w:ascii="Times New Roman" w:eastAsia="Times New Roman" w:hAnsi="Times New Roman" w:cs="Times New Roman"/>
          <w:sz w:val="24"/>
          <w:szCs w:val="24"/>
        </w:rPr>
        <w:t xml:space="preserve"> (2nd ed.). SAGE </w:t>
      </w:r>
    </w:p>
    <w:p w14:paraId="3FF63C59"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Publications. </w:t>
      </w:r>
    </w:p>
    <w:p w14:paraId="64760370" w14:textId="77777777" w:rsidR="00D032E2" w:rsidRDefault="00D032E2">
      <w:pPr>
        <w:spacing w:line="240" w:lineRule="auto"/>
        <w:rPr>
          <w:rFonts w:ascii="Times New Roman" w:eastAsia="Times New Roman" w:hAnsi="Times New Roman" w:cs="Times New Roman"/>
          <w:sz w:val="24"/>
          <w:szCs w:val="24"/>
        </w:rPr>
      </w:pPr>
    </w:p>
    <w:p w14:paraId="1E6EC91D"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Toombs, J. M., Eck, C. J., &amp; Robinson, J. S. (2022). The impact of a project-based learning </w:t>
      </w:r>
    </w:p>
    <w:p w14:paraId="1B2626D1"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experience on the SAE self-efficacy of preservice teachers. </w:t>
      </w:r>
      <w:r>
        <w:rPr>
          <w:rFonts w:ascii="Times New Roman" w:eastAsia="Times New Roman" w:hAnsi="Times New Roman" w:cs="Times New Roman"/>
          <w:i/>
          <w:iCs/>
          <w:sz w:val="24"/>
          <w:szCs w:val="24"/>
        </w:rPr>
        <w:t>Journal of Agricultural Education, 63</w:t>
      </w:r>
      <w:r>
        <w:rPr>
          <w:rFonts w:ascii="Times New Roman" w:eastAsia="Times New Roman" w:hAnsi="Times New Roman" w:cs="Times New Roman"/>
          <w:sz w:val="24"/>
          <w:szCs w:val="24"/>
        </w:rPr>
        <w:t>(1), 29–46. https://doi.org/10.5032/jae.2022.01029</w:t>
      </w:r>
    </w:p>
    <w:p w14:paraId="21ABEC21" w14:textId="77777777" w:rsidR="00D032E2" w:rsidRDefault="00D032E2">
      <w:pPr>
        <w:spacing w:line="240" w:lineRule="auto"/>
        <w:rPr>
          <w:rFonts w:ascii="Times New Roman" w:eastAsia="Times New Roman" w:hAnsi="Times New Roman" w:cs="Times New Roman"/>
          <w:sz w:val="24"/>
          <w:szCs w:val="24"/>
        </w:rPr>
      </w:pPr>
    </w:p>
    <w:p w14:paraId="5B8E7D69"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USDA Economic Research Service. (2024, February 14). </w:t>
      </w:r>
      <w:r>
        <w:rPr>
          <w:rFonts w:ascii="Times New Roman" w:eastAsia="Times New Roman" w:hAnsi="Times New Roman" w:cs="Times New Roman"/>
          <w:i/>
          <w:iCs/>
          <w:sz w:val="24"/>
          <w:szCs w:val="24"/>
        </w:rPr>
        <w:t>Chart detail</w:t>
      </w:r>
      <w:r>
        <w:rPr>
          <w:rFonts w:ascii="Times New Roman" w:eastAsia="Times New Roman" w:hAnsi="Times New Roman" w:cs="Times New Roman"/>
          <w:sz w:val="24"/>
          <w:szCs w:val="24"/>
        </w:rPr>
        <w:t xml:space="preserve">. USDA ERS. </w:t>
      </w:r>
    </w:p>
    <w:p w14:paraId="046E13AB" w14:textId="77777777" w:rsidR="00D032E2"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https://www.ers.usda.gov/data-products/chart-gallery/gallery/chart-detail/?chartId=58282</w:t>
      </w:r>
    </w:p>
    <w:p w14:paraId="0DF53787" w14:textId="77777777" w:rsidR="00D032E2" w:rsidRDefault="00D032E2">
      <w:pPr>
        <w:spacing w:line="240" w:lineRule="auto"/>
        <w:rPr>
          <w:rFonts w:ascii="Times New Roman" w:eastAsia="Times New Roman" w:hAnsi="Times New Roman" w:cs="Times New Roman"/>
          <w:sz w:val="24"/>
          <w:szCs w:val="24"/>
        </w:rPr>
      </w:pPr>
    </w:p>
    <w:p w14:paraId="135FF68F" w14:textId="77777777" w:rsidR="00D032E2"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Wilson, E. B., &amp; Moore, G. E. (2007). Exploring the paradox of supervised agricultural </w:t>
      </w:r>
    </w:p>
    <w:p w14:paraId="63828E7C" w14:textId="77777777" w:rsidR="00D032E2" w:rsidRDefault="00000000">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experience programs in agricultural education. </w:t>
      </w:r>
      <w:r>
        <w:rPr>
          <w:rFonts w:ascii="Times New Roman" w:eastAsia="Times New Roman" w:hAnsi="Times New Roman" w:cs="Times New Roman"/>
          <w:i/>
          <w:iCs/>
          <w:sz w:val="24"/>
          <w:szCs w:val="24"/>
        </w:rPr>
        <w:t>Journal of Agricultural Education, 48</w:t>
      </w:r>
      <w:r>
        <w:rPr>
          <w:rFonts w:ascii="Times New Roman" w:eastAsia="Times New Roman" w:hAnsi="Times New Roman" w:cs="Times New Roman"/>
          <w:sz w:val="24"/>
          <w:szCs w:val="24"/>
        </w:rPr>
        <w:t>(4), 82–92. https://doi.org/10.5032/jae.2007.04082</w:t>
      </w:r>
    </w:p>
    <w:p w14:paraId="22A11047" w14:textId="77777777" w:rsidR="00D032E2" w:rsidRDefault="00D032E2">
      <w:pPr>
        <w:spacing w:line="240" w:lineRule="auto"/>
        <w:rPr>
          <w:rFonts w:ascii="Times New Roman" w:eastAsia="Times New Roman" w:hAnsi="Times New Roman" w:cs="Times New Roman"/>
          <w:sz w:val="24"/>
          <w:szCs w:val="24"/>
        </w:rPr>
      </w:pPr>
    </w:p>
    <w:sectPr w:rsidR="00D032E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125E6" w14:textId="77777777" w:rsidR="00DE2D3C" w:rsidRDefault="00DE2D3C">
      <w:pPr>
        <w:spacing w:line="240" w:lineRule="auto"/>
      </w:pPr>
      <w:r>
        <w:separator/>
      </w:r>
    </w:p>
  </w:endnote>
  <w:endnote w:type="continuationSeparator" w:id="0">
    <w:p w14:paraId="0808694F" w14:textId="77777777" w:rsidR="00DE2D3C" w:rsidRDefault="00DE2D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ACAF893-7F0A-3B4F-90F5-64561FDC1BE6}"/>
    <w:embedBold r:id="rId2" w:fontKey="{34985B7A-3E3D-1B4D-B25A-414D768E6473}"/>
    <w:embedItalic r:id="rId3" w:fontKey="{8C288BB4-BA82-7B4E-B4D7-B8060A1B3718}"/>
    <w:embedBoldItalic r:id="rId4" w:fontKey="{4FE8958A-313F-AD4C-8060-A8217C7C3B43}"/>
  </w:font>
  <w:font w:name="Arial">
    <w:panose1 w:val="020B0604020202020204"/>
    <w:charset w:val="00"/>
    <w:family w:val="swiss"/>
    <w:pitch w:val="variable"/>
    <w:sig w:usb0="E0002EFF" w:usb1="C000785B" w:usb2="00000009" w:usb3="00000000" w:csb0="000001FF" w:csb1="00000000"/>
    <w:embedRegular r:id="rId5" w:fontKey="{BDC39C17-9D8B-F047-A6F2-B5F9DA597DBB}"/>
    <w:embedItalic r:id="rId6" w:fontKey="{50A37D62-E48F-9649-A727-3C042CB31F89}"/>
  </w:font>
  <w:font w:name="Calibri">
    <w:panose1 w:val="020F0502020204030204"/>
    <w:charset w:val="00"/>
    <w:family w:val="swiss"/>
    <w:pitch w:val="variable"/>
    <w:sig w:usb0="E4002EFF" w:usb1="C200247B" w:usb2="00000009" w:usb3="00000000" w:csb0="000001FF" w:csb1="00000000"/>
    <w:embedRegular r:id="rId7" w:fontKey="{F2DB226B-CC91-9847-9055-70B4F17008F4}"/>
  </w:font>
  <w:font w:name="Cambria">
    <w:panose1 w:val="02040503050406030204"/>
    <w:charset w:val="00"/>
    <w:family w:val="roman"/>
    <w:pitch w:val="variable"/>
    <w:sig w:usb0="E00006FF" w:usb1="420024FF" w:usb2="02000000" w:usb3="00000000" w:csb0="0000019F" w:csb1="00000000"/>
    <w:embedRegular r:id="rId8" w:fontKey="{73D1D0AF-A865-1F43-B37C-A06A1C7E7A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51924" w14:textId="77777777" w:rsidR="00D032E2"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A6A7B">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0FA9F" w14:textId="77777777" w:rsidR="00DE2D3C" w:rsidRDefault="00DE2D3C">
      <w:pPr>
        <w:spacing w:line="240" w:lineRule="auto"/>
      </w:pPr>
      <w:r>
        <w:separator/>
      </w:r>
    </w:p>
  </w:footnote>
  <w:footnote w:type="continuationSeparator" w:id="0">
    <w:p w14:paraId="30CE0999" w14:textId="77777777" w:rsidR="00DE2D3C" w:rsidRDefault="00DE2D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BD7AE" w14:textId="77777777" w:rsidR="00D032E2" w:rsidRDefault="00D032E2">
    <w:pPr>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F0E00"/>
    <w:multiLevelType w:val="multilevel"/>
    <w:tmpl w:val="99CC8E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8059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2E2"/>
    <w:rsid w:val="004A59FF"/>
    <w:rsid w:val="006A6A7B"/>
    <w:rsid w:val="00AE5F6C"/>
    <w:rsid w:val="00B24AAD"/>
    <w:rsid w:val="00D032E2"/>
    <w:rsid w:val="00DE2D3C"/>
    <w:rsid w:val="00F45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D2876A"/>
  <w15:docId w15:val="{E96ED260-A2FB-8A4C-8C93-EB32D446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6429</Words>
  <Characters>37357</Characters>
  <Application>Microsoft Office Word</Application>
  <DocSecurity>0</DocSecurity>
  <Lines>1245</Lines>
  <Paragraphs>742</Paragraphs>
  <ScaleCrop>false</ScaleCrop>
  <Company/>
  <LinksUpToDate>false</LinksUpToDate>
  <CharactersWithSpaces>43044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Ramstad, Joseph E</cp:lastModifiedBy>
  <cp:revision>5</cp:revision>
  <dcterms:created xsi:type="dcterms:W3CDTF">2026-03-25T17:12:00Z</dcterms:created>
  <dcterms:modified xsi:type="dcterms:W3CDTF">2026-04-01T18:43:00Z</dcterms:modified>
</cp:coreProperties>
</file>