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4BDC6"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Evaluating Teacher Perceptions of the FFA Affiliation Model in North Carolina</w:t>
      </w:r>
    </w:p>
    <w:p w14:paraId="377121E2" w14:textId="77777777" w:rsidR="00485C1F" w:rsidRDefault="00485C1F">
      <w:pPr>
        <w:spacing w:line="240" w:lineRule="auto"/>
        <w:rPr>
          <w:rFonts w:ascii="Times New Roman" w:eastAsia="Times New Roman" w:hAnsi="Times New Roman" w:cs="Times New Roman"/>
          <w:b/>
          <w:bCs/>
          <w:sz w:val="24"/>
          <w:szCs w:val="24"/>
        </w:rPr>
      </w:pPr>
    </w:p>
    <w:p w14:paraId="0A2DA37C"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Kayla L. Paglia, North Carolina State University</w:t>
      </w:r>
    </w:p>
    <w:p w14:paraId="13E5915C"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Travis D. Park, North Carolina State University</w:t>
      </w:r>
    </w:p>
    <w:p w14:paraId="69062A92"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Morgan F. Simpson, North Carolina State University</w:t>
      </w:r>
    </w:p>
    <w:p w14:paraId="2C9C0D10"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Misty D. Lambert, North Carolina State University</w:t>
      </w:r>
    </w:p>
    <w:p w14:paraId="79ADF979" w14:textId="77777777" w:rsidR="00485C1F" w:rsidRDefault="00485C1F">
      <w:pPr>
        <w:spacing w:line="240" w:lineRule="auto"/>
        <w:rPr>
          <w:rFonts w:ascii="Times New Roman" w:eastAsia="Times New Roman" w:hAnsi="Times New Roman" w:cs="Times New Roman"/>
          <w:b/>
          <w:bCs/>
          <w:sz w:val="24"/>
          <w:szCs w:val="24"/>
        </w:rPr>
      </w:pPr>
    </w:p>
    <w:p w14:paraId="22488EEB" w14:textId="77777777" w:rsidR="00485C1F" w:rsidRDefault="00485C1F">
      <w:pPr>
        <w:spacing w:line="240" w:lineRule="auto"/>
        <w:jc w:val="center"/>
        <w:rPr>
          <w:rFonts w:ascii="Times New Roman" w:eastAsia="Times New Roman" w:hAnsi="Times New Roman" w:cs="Times New Roman"/>
          <w:b/>
          <w:bCs/>
          <w:sz w:val="24"/>
          <w:szCs w:val="24"/>
        </w:rPr>
      </w:pPr>
    </w:p>
    <w:p w14:paraId="549F9FDE"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0AC4E0F7" w14:textId="77777777" w:rsidR="00485C1F" w:rsidRDefault="00485C1F">
      <w:pPr>
        <w:spacing w:line="240" w:lineRule="auto"/>
        <w:jc w:val="center"/>
        <w:rPr>
          <w:rFonts w:ascii="Times New Roman" w:eastAsia="Times New Roman" w:hAnsi="Times New Roman" w:cs="Times New Roman"/>
          <w:b/>
          <w:bCs/>
          <w:sz w:val="24"/>
          <w:szCs w:val="24"/>
        </w:rPr>
      </w:pPr>
    </w:p>
    <w:p w14:paraId="3DF72AFD" w14:textId="77777777" w:rsidR="00485C1F"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The affiliation model is one option FFA chapters can use when managing student members. This mixed-methods study evaluates perceptions of school-based agricultural education (SBAE) teachers’ benefits and challenges in North Carolina, where teachers can opt into the model. This study utilized Rogers’ Diffusion of Innovation theoretical framework to assess the perceptions of FFA affiliation in North Carolina. FFA affiliation would require all students enrolled in an SBAE class to be members of the FFA program. This moves the organization to a chapter-based participation fee versus individual member-based dues. Six constructs were identified in the literature, and one was developed by the research team to guide the questionnaire. A simple random sample of SBAE teachers who had opted into the FFA affiliate model for their program in the 2024-2025 school year was the sample population. Participants had a slightly more positive view of the FFA affiliation model than the non-affiliation model, and the data were skewed towards agreement with the constructs. Younger teachers generally had a more positive view of the model than their older counterparts. Two open-ended questions provided qualitative insights to benefits and challenges not discussed in the questionnaire. Teachers found the North Carolina incentives to be an added benefit, including a free camp registration, a free state FFA officer visit, and more. They found that choosing the model added a component of student apathy among FFA members, as they were automatically enrolled in the program rather than choosing to be an FFA member. This showcases the perceptions of those who choose the model, its benefits and challenges, and may be beneficial for stakeholders to hear teachers' experiences with the model in their programs.</w:t>
      </w:r>
    </w:p>
    <w:p w14:paraId="79828B0F" w14:textId="77777777" w:rsidR="00A65E42" w:rsidRDefault="00A65E42">
      <w:pPr>
        <w:spacing w:line="240" w:lineRule="auto"/>
        <w:rPr>
          <w:rFonts w:ascii="Times New Roman" w:eastAsia="Times New Roman" w:hAnsi="Times New Roman" w:cs="Times New Roman"/>
          <w:i/>
          <w:iCs/>
          <w:sz w:val="24"/>
          <w:szCs w:val="24"/>
        </w:rPr>
      </w:pPr>
    </w:p>
    <w:p w14:paraId="0ECE434A" w14:textId="297A567C" w:rsidR="00A65E42" w:rsidRPr="00A65E42" w:rsidRDefault="00A65E42">
      <w:pPr>
        <w:spacing w:line="240" w:lineRule="auto"/>
        <w:rPr>
          <w:rFonts w:ascii="Times New Roman" w:eastAsia="Times New Roman" w:hAnsi="Times New Roman" w:cs="Times New Roman"/>
          <w:i/>
          <w:iCs/>
          <w:sz w:val="28"/>
          <w:szCs w:val="28"/>
        </w:rPr>
      </w:pPr>
      <w:r w:rsidRPr="00A65E42">
        <w:rPr>
          <w:rFonts w:ascii="Times New Roman" w:hAnsi="Times New Roman" w:cs="Times New Roman"/>
          <w:color w:val="222222"/>
          <w:sz w:val="24"/>
          <w:szCs w:val="24"/>
          <w:shd w:val="clear" w:color="auto" w:fill="FFFFFF"/>
        </w:rPr>
        <w:t>This manuscript is based on data published in the Southern Region AAAE Conference Proceedings, Paglia et al. (2026).</w:t>
      </w:r>
    </w:p>
    <w:p w14:paraId="4E38FBC8" w14:textId="77777777" w:rsidR="00485C1F" w:rsidRDefault="00485C1F">
      <w:pPr>
        <w:spacing w:line="240" w:lineRule="auto"/>
        <w:rPr>
          <w:rFonts w:ascii="Times New Roman" w:eastAsia="Times New Roman" w:hAnsi="Times New Roman" w:cs="Times New Roman"/>
          <w:i/>
          <w:iCs/>
          <w:sz w:val="24"/>
          <w:szCs w:val="24"/>
        </w:rPr>
      </w:pPr>
    </w:p>
    <w:p w14:paraId="7B20199E"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Introduction and Review of Literature </w:t>
      </w:r>
    </w:p>
    <w:p w14:paraId="1983CD2B" w14:textId="77777777" w:rsidR="00485C1F" w:rsidRDefault="00485C1F">
      <w:pPr>
        <w:spacing w:line="240" w:lineRule="auto"/>
        <w:ind w:firstLine="720"/>
        <w:rPr>
          <w:rFonts w:ascii="Times New Roman" w:eastAsia="Times New Roman" w:hAnsi="Times New Roman" w:cs="Times New Roman"/>
          <w:sz w:val="24"/>
          <w:szCs w:val="24"/>
        </w:rPr>
      </w:pPr>
    </w:p>
    <w:p w14:paraId="7062AD61" w14:textId="77777777" w:rsidR="00485C1F" w:rsidRDefault="00000000">
      <w:pPr>
        <w:spacing w:line="240" w:lineRule="auto"/>
        <w:ind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Agricultural education is taught using the three-circle model. This model includes classroom/laboratory instruction, supervised agricultural experience (SAE), and FFA (Croom, 2008; National FFA Organization, 2017). The three-circle model, as we know it today, was first described in the FFA advisor handbook released in 1975 (Croom, 2008). The FFA Organization is a Career and Technical Student Organization (CTSO). Students involved in CTSO are encouraged to strengthen their leadership skills through hands-on learning and real-world experiences (National Coordinating Council for Career and Technical Student Organizations, 2014). The FFA Organization’s mission statement strongly reflects the ideals of CTSOs, stating that the FFA “develops [students] potential for premier leadership, personal growth, and career success through agricultural education” (National FFA Organization, 2026). CTSOs and the </w:t>
      </w:r>
      <w:r>
        <w:rPr>
          <w:rFonts w:ascii="Times New Roman" w:eastAsia="Times New Roman" w:hAnsi="Times New Roman" w:cs="Times New Roman"/>
          <w:sz w:val="24"/>
          <w:szCs w:val="24"/>
        </w:rPr>
        <w:lastRenderedPageBreak/>
        <w:t>three-circle agricultural education model help strengthen FFA members' futures. According to Rose et al. (2026), 80.5% of FFA members in the study say they are more likely to pursue further education or a trade after high school because of their FFA involvement. One could argue that FFA membership is crucial for student success. This presents the question of how FFA membership is handled and awarded.</w:t>
      </w:r>
    </w:p>
    <w:p w14:paraId="14A25C60" w14:textId="77777777" w:rsidR="00485C1F" w:rsidRDefault="00485C1F">
      <w:pPr>
        <w:spacing w:line="240" w:lineRule="auto"/>
        <w:jc w:val="center"/>
        <w:rPr>
          <w:rFonts w:ascii="Times New Roman" w:eastAsia="Times New Roman" w:hAnsi="Times New Roman" w:cs="Times New Roman"/>
          <w:b/>
          <w:bCs/>
          <w:sz w:val="24"/>
          <w:szCs w:val="24"/>
        </w:rPr>
      </w:pPr>
    </w:p>
    <w:p w14:paraId="33BE8533"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FFA associations across the nation have varying ways of managing their FFA membership. An increasingly popular membership management strategy is the affiliate membership model. Affiliate membership is a membership management strategy in which all agricultural education students are FFA members. Instead of students paying optional, individual FFA membership dues, chapters are charged an affiliation fee based on the number of students enrolled in their agricultural classes (National FFA Organization, 2022). The affiliate membership program was adopted in 2009 and remains a relatively new membership structure (Rada et al., 2025; Sheehan &amp; Moore, 2019; Sheehan et al., 2023). As agricultural education becomes increasingly popular, the National FFA Organization and its Board of Directors are guiding the organization toward adopting the affiliation model (National FFA Organization, 2025a). In October 2025, National FFA delegates failed to pass a motion that would establish the FFA affiliation model as the requirement for all state associations (National FFA Organization, 2025b). By evaluating how different states and regions manage their membership, the National FFA Organization can best navigate its membership decisions. </w:t>
      </w:r>
    </w:p>
    <w:p w14:paraId="2F08C374" w14:textId="77777777" w:rsidR="00485C1F" w:rsidRDefault="00485C1F">
      <w:pPr>
        <w:spacing w:line="240" w:lineRule="auto"/>
        <w:ind w:firstLine="720"/>
        <w:rPr>
          <w:rFonts w:ascii="Times New Roman" w:eastAsia="Times New Roman" w:hAnsi="Times New Roman" w:cs="Times New Roman"/>
          <w:sz w:val="24"/>
          <w:szCs w:val="24"/>
        </w:rPr>
      </w:pPr>
    </w:p>
    <w:p w14:paraId="7E3F0F61"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FFA Convention Delegates recommended the FFA affiliation model at the 2009 National FFA Convention, and the National Board of Directors adopted the model in early 2010 (Deimler et al., 2021; National FFA Organization, 2009a, 2009b, 2010). As of April 2025, 20 associations had adopted the affiliation model, with the oldest adopter being California and the most recent being the U.S. Virgin Islands (National FFA Organization, 2025c). Nationwide, over 75% of students are members through affiliation, and 61% of FFA chapters use the affiliate membership model (National FFA Organization, 2025a). States have adopted the affiliation model since 2017, when regional data indicated that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chapters across all four regions were still paying individual dues, with the Southern Region having the lowest percentage of affiliated chapters (Sheehan &amp; Moore, 2019). Currie (2017) conducted a study that showed that the affiliation membership model best served states with higher proportions of students receiving free or reduced-price lunch, non-white members, and increasing student populations. It is critical to understand the thoughts and concerns about affiliate membership to more widely adopt the model nationwide. </w:t>
      </w:r>
    </w:p>
    <w:p w14:paraId="543DFF10" w14:textId="77777777" w:rsidR="00485C1F" w:rsidRDefault="00485C1F">
      <w:pPr>
        <w:spacing w:line="240" w:lineRule="auto"/>
        <w:ind w:firstLine="720"/>
        <w:rPr>
          <w:rFonts w:ascii="Times New Roman" w:eastAsia="Times New Roman" w:hAnsi="Times New Roman" w:cs="Times New Roman"/>
          <w:sz w:val="24"/>
          <w:szCs w:val="24"/>
        </w:rPr>
      </w:pPr>
    </w:p>
    <w:p w14:paraId="696EE832"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FFA Organization remained a “private” organization until it received its National Charter in 1950 (Croom, 2008). This charter officially linked FFA membership and agricultural </w:t>
      </w:r>
      <w:proofErr w:type="gramStart"/>
      <w:r>
        <w:rPr>
          <w:rFonts w:ascii="Times New Roman" w:eastAsia="Times New Roman" w:hAnsi="Times New Roman" w:cs="Times New Roman"/>
          <w:sz w:val="24"/>
          <w:szCs w:val="24"/>
        </w:rPr>
        <w:t>education, and</w:t>
      </w:r>
      <w:proofErr w:type="gramEnd"/>
      <w:r>
        <w:rPr>
          <w:rFonts w:ascii="Times New Roman" w:eastAsia="Times New Roman" w:hAnsi="Times New Roman" w:cs="Times New Roman"/>
          <w:sz w:val="24"/>
          <w:szCs w:val="24"/>
        </w:rPr>
        <w:t xml:space="preserve"> has raised questions about how membership should be managed for agricultural students across the nation (Croom, 2008; National FFA Organization, 2022). The National FFA Organization’s Federal Charter Amendments Act (2019) states that FFA is an “integral component of instruction in agricultural education." Therefore, it can be argued that all students enrolled in an SBAE class are worthy of FFA membership, and that membership in the organization should not be optional (Deimler et al., 2021; National FFA Organization, 2022). Historically, a gap exists between the number of students enrolled in agricultural courses and the FFA membership. In 1969, 87,000 students enrolled in agricultural education but chose not to </w:t>
      </w:r>
      <w:r>
        <w:rPr>
          <w:rFonts w:ascii="Times New Roman" w:eastAsia="Times New Roman" w:hAnsi="Times New Roman" w:cs="Times New Roman"/>
          <w:sz w:val="24"/>
          <w:szCs w:val="24"/>
        </w:rPr>
        <w:lastRenderedPageBreak/>
        <w:t xml:space="preserve">join FFA (Welton, 1970). This problem has not disappeared over time; 25% of agricultural education students aged 12-21 did not have an FFA membership and were actively missing out on the organization in 2019-2020 (Deimler et al., 2021). The FFA affiliation model seeks to bridge this gap between agricultural education students and FFA membership. </w:t>
      </w:r>
    </w:p>
    <w:p w14:paraId="5ECEA8C5" w14:textId="77777777" w:rsidR="00485C1F" w:rsidRDefault="00485C1F">
      <w:pPr>
        <w:spacing w:line="240" w:lineRule="auto"/>
        <w:rPr>
          <w:rFonts w:ascii="Times New Roman" w:eastAsia="Times New Roman" w:hAnsi="Times New Roman" w:cs="Times New Roman"/>
          <w:sz w:val="24"/>
          <w:szCs w:val="24"/>
        </w:rPr>
      </w:pPr>
    </w:p>
    <w:p w14:paraId="392D68E8"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variety of studies have indicated both benefits and barriers of the FFA affiliation model, although these studies are qualitative. Teachers have expressed appreciation for no longer having to beg students to join the organization (Rada et al., 2025; Sheehan et al., 2023). Educators have found that affiliation has brought a greater diversity of students into their FFA program (Elliott &amp; Lambert, 2018; Phelps et al., 2012; Sheehan et al., 2023). Teachers also appreciate that affiliated membership is simpler to handle than organizing individual student dues and value how it relieves the financial burden on students (Sheehan et al., 2023). The main concern of agricultural educators regarding FFA affiliation membership is funding the program (Rada et al., 2025; Sheehan et al., 2023). Of the 20 state associations that have adopted affiliation, seven are fully funded by state government budgets, governor funds, or state departments of agriculture (National FFA Organization, 2025c). Further concerns regarding affiliate membership include whether affiliation increases students' engagement (Currie, 2017; Sheehan et al., 2023). Additionally, some teachers report a lack of opportunities to involve 100% of their students in FFA (Sheehan et al., 2023). </w:t>
      </w:r>
    </w:p>
    <w:p w14:paraId="1E1E4FDE" w14:textId="77777777" w:rsidR="00485C1F" w:rsidRDefault="00485C1F">
      <w:pPr>
        <w:spacing w:line="240" w:lineRule="auto"/>
        <w:ind w:firstLine="720"/>
        <w:rPr>
          <w:rFonts w:ascii="Times New Roman" w:eastAsia="Times New Roman" w:hAnsi="Times New Roman" w:cs="Times New Roman"/>
          <w:sz w:val="24"/>
          <w:szCs w:val="24"/>
        </w:rPr>
      </w:pPr>
    </w:p>
    <w:p w14:paraId="0BEACB59"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Affiliate membership aims to provide FFA opportunities to all agricultural education students (National FFA, 2022). Twenty state associations have transitioned to affiliate membership (National FFA, 2025a), while other states prohibit affiliate membership or have left the decision to the chapters. As the National FFA Organization moves toward a chapter-based, 100% affiliation membership model, concerns about the financial stability and participation levels of affiliate membership need to be addressed. This study seeks to address the gap in the literature of a quantitative study and look at teachers' perceptions who choose the affiliation model for their programs. </w:t>
      </w:r>
    </w:p>
    <w:p w14:paraId="4987C4B0" w14:textId="77777777" w:rsidR="00485C1F" w:rsidRDefault="00485C1F">
      <w:pPr>
        <w:spacing w:line="240" w:lineRule="auto"/>
        <w:ind w:firstLine="720"/>
        <w:rPr>
          <w:rFonts w:ascii="Times New Roman" w:eastAsia="Times New Roman" w:hAnsi="Times New Roman" w:cs="Times New Roman"/>
          <w:sz w:val="24"/>
          <w:szCs w:val="24"/>
        </w:rPr>
      </w:pPr>
    </w:p>
    <w:p w14:paraId="789165FB"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Purpose and Objectives</w:t>
      </w:r>
    </w:p>
    <w:p w14:paraId="7D024A69" w14:textId="77777777" w:rsidR="00485C1F" w:rsidRDefault="00485C1F">
      <w:pPr>
        <w:spacing w:line="240" w:lineRule="auto"/>
        <w:rPr>
          <w:rFonts w:ascii="Times New Roman" w:eastAsia="Times New Roman" w:hAnsi="Times New Roman" w:cs="Times New Roman"/>
          <w:b/>
          <w:bCs/>
          <w:sz w:val="24"/>
          <w:szCs w:val="24"/>
        </w:rPr>
      </w:pPr>
    </w:p>
    <w:p w14:paraId="5BEDA47D"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Quantitative data on the FFA affiliation model are limited and contain mainly qualitative studies (Sheehan et al., 2023; Sheehan &amp; Moore, 2019; Rada et al., 2025; Falwell &amp; Guffey, 2023). A gap in the literature has been identified, and this study seeks to quantitatively examine and evaluate the FFA affiliation model. Qualitative responses will help to supplement the current literature and conduct objective three. The objectives of this study were to</w:t>
      </w:r>
    </w:p>
    <w:p w14:paraId="46CC4379" w14:textId="77777777" w:rsidR="00485C1F"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Examine teachers’ perceptions of the benefits and challenges of FFA affiliation in North Carolina.</w:t>
      </w:r>
    </w:p>
    <w:p w14:paraId="254560A9" w14:textId="77777777" w:rsidR="00485C1F"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Determine if there is a relationship between teachers’ years of experience, licensure type, NAAE membership, North Carolina Agricultural Teachers Association membership, and gender amongst constructs.</w:t>
      </w:r>
    </w:p>
    <w:p w14:paraId="7199F5DA" w14:textId="77777777" w:rsidR="00485C1F"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new perceived benefits or challenges associated with FFA affiliation from teachers who choose the model for their program.</w:t>
      </w:r>
    </w:p>
    <w:p w14:paraId="3A79B0D2" w14:textId="77777777" w:rsidR="00485C1F" w:rsidRDefault="00485C1F">
      <w:pPr>
        <w:spacing w:line="240" w:lineRule="auto"/>
        <w:rPr>
          <w:rFonts w:ascii="Times New Roman" w:eastAsia="Times New Roman" w:hAnsi="Times New Roman" w:cs="Times New Roman"/>
          <w:b/>
          <w:bCs/>
          <w:sz w:val="24"/>
          <w:szCs w:val="24"/>
        </w:rPr>
      </w:pPr>
    </w:p>
    <w:p w14:paraId="69812F18"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Framework</w:t>
      </w:r>
    </w:p>
    <w:p w14:paraId="1BF89E83" w14:textId="77777777" w:rsidR="00485C1F" w:rsidRDefault="00485C1F">
      <w:pPr>
        <w:spacing w:line="240" w:lineRule="auto"/>
        <w:rPr>
          <w:rFonts w:ascii="Times New Roman" w:eastAsia="Times New Roman" w:hAnsi="Times New Roman" w:cs="Times New Roman"/>
          <w:b/>
          <w:bCs/>
          <w:sz w:val="24"/>
          <w:szCs w:val="24"/>
        </w:rPr>
      </w:pPr>
    </w:p>
    <w:p w14:paraId="2BE5C58F"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study implemented Rogers’ (2003) Diffusion of Innovations theoretical framework. Rogers (2003) theorized that an individual’s decision to adopt a new idea (such as FFA affiliation) is based on recommendations and communication from peers who have experience with it. Thus, it is proposed that an advisor’s decision to adopt the affiliation model is based on conversations with other advisors whose chapters have already adopted it. Rogers’ (2003) framework has four main components: the innovation, the social system, the communication channels, and time. A social system can take months to years to accept an idea as the standard practice (Rogers, 2003). Therefore, time is a critical component for the adoption of any innovation. Typically, the Diffusion of Innovation framework states that to accelerate a social system’s rate of innovation adoption, fewer individuals need to be involved in the decision-making process (Rogers, 2003). </w:t>
      </w:r>
    </w:p>
    <w:p w14:paraId="28D8BABE" w14:textId="77777777" w:rsidR="00485C1F" w:rsidRDefault="00485C1F">
      <w:pPr>
        <w:spacing w:line="240" w:lineRule="auto"/>
        <w:rPr>
          <w:rFonts w:ascii="Times New Roman" w:eastAsia="Times New Roman" w:hAnsi="Times New Roman" w:cs="Times New Roman"/>
          <w:sz w:val="24"/>
          <w:szCs w:val="24"/>
        </w:rPr>
      </w:pPr>
    </w:p>
    <w:p w14:paraId="1D80E2EB"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Methods</w:t>
      </w:r>
    </w:p>
    <w:p w14:paraId="748E0751" w14:textId="77777777" w:rsidR="00485C1F"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p>
    <w:p w14:paraId="07BBA63D"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27 responses of this study served as the pilot data for a national paper under review in the Journal of Agricultural Education and were used to determine reliability by calculating Cronbach’s alpha for each construct ([hidden for review], 2026). This study examines a different population and has one extra construct than the paper under review. This study showcases the perceived benefits and challenges from the perspectives of teachers who have opted into the FFA affiliation program in North Carolina, which allows teachers to affiliate their chapters. </w:t>
      </w:r>
      <w:proofErr w:type="gramStart"/>
      <w:r>
        <w:rPr>
          <w:rFonts w:ascii="Times New Roman" w:eastAsia="Times New Roman" w:hAnsi="Times New Roman" w:cs="Times New Roman"/>
          <w:sz w:val="24"/>
          <w:szCs w:val="24"/>
        </w:rPr>
        <w:t>Mixed-methods</w:t>
      </w:r>
      <w:proofErr w:type="gramEnd"/>
      <w:r>
        <w:rPr>
          <w:rFonts w:ascii="Times New Roman" w:eastAsia="Times New Roman" w:hAnsi="Times New Roman" w:cs="Times New Roman"/>
          <w:sz w:val="24"/>
          <w:szCs w:val="24"/>
        </w:rPr>
        <w:t xml:space="preserve"> were used to assess SBAE teachers' perceptions. Quantitative methods are the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of this paper, supplemented with qualitative additions of new benefits or challenges identified. </w:t>
      </w:r>
    </w:p>
    <w:p w14:paraId="44E536B8" w14:textId="77777777" w:rsidR="00485C1F" w:rsidRDefault="00485C1F">
      <w:pPr>
        <w:spacing w:line="240" w:lineRule="auto"/>
        <w:jc w:val="center"/>
        <w:rPr>
          <w:rFonts w:ascii="Times New Roman" w:eastAsia="Times New Roman" w:hAnsi="Times New Roman" w:cs="Times New Roman"/>
          <w:b/>
          <w:bCs/>
          <w:sz w:val="24"/>
          <w:szCs w:val="24"/>
        </w:rPr>
      </w:pPr>
    </w:p>
    <w:p w14:paraId="28711267"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Quantitative Instrumentation</w:t>
      </w:r>
    </w:p>
    <w:p w14:paraId="14DBBFEE" w14:textId="77777777" w:rsidR="00485C1F" w:rsidRDefault="00485C1F">
      <w:pPr>
        <w:spacing w:line="240" w:lineRule="auto"/>
        <w:rPr>
          <w:rFonts w:ascii="Times New Roman" w:eastAsia="Times New Roman" w:hAnsi="Times New Roman" w:cs="Times New Roman"/>
          <w:b/>
          <w:bCs/>
          <w:sz w:val="24"/>
          <w:szCs w:val="24"/>
        </w:rPr>
      </w:pPr>
    </w:p>
    <w:p w14:paraId="4D5EBE04"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Data were gathered using a Qualtrics questionnaire comprising 67 questions. A seven-point Likert scale was used for the 52 questions assessing the constructs identified in the literature. A seven-point scale was used instead of a five-point scale to increase data quality (</w:t>
      </w:r>
      <w:proofErr w:type="spellStart"/>
      <w:r>
        <w:rPr>
          <w:rFonts w:ascii="Times New Roman" w:eastAsia="Times New Roman" w:hAnsi="Times New Roman" w:cs="Times New Roman"/>
          <w:sz w:val="24"/>
          <w:szCs w:val="24"/>
        </w:rPr>
        <w:t>Taherdoost</w:t>
      </w:r>
      <w:proofErr w:type="spellEnd"/>
      <w:r>
        <w:rPr>
          <w:rFonts w:ascii="Times New Roman" w:eastAsia="Times New Roman" w:hAnsi="Times New Roman" w:cs="Times New Roman"/>
          <w:sz w:val="24"/>
          <w:szCs w:val="24"/>
        </w:rPr>
        <w:t xml:space="preserve">, 2019), and two questions were open-ended to allow participants to add benefits and challenges that may not have been included in the questionnaire. Questions included an affiliation knowledge check, 52 construct questions, demographics, and gift card drawing information. Gift cards were funded by a graduate student on the research team. The instrument was created using the literature, reviewed for clarity by a panel of experts with over 80 years of agricultural education experience, and a pilot was run to assess the readability and validity of the questions with current teachers in a different state. The research team created constructs as identified by Sheehan et al. (2023) and National FFA (2022), including financial management, integration of the three-circle model, student engagement, external engagement, teacher efficiency, and program efficiency. One construct (affiliation versus non-affiliation engagement) was developed by the research team to assess teachers' beliefs about whether the affiliation versus non-affiliation model leads to greater student engagement. This construct was created because teachers who had opted in North Carolina would ideally have experience with both models, as they chose to opt in. </w:t>
      </w:r>
    </w:p>
    <w:p w14:paraId="46AC6DE7" w14:textId="77777777" w:rsidR="00485C1F" w:rsidRDefault="00485C1F">
      <w:pPr>
        <w:spacing w:line="240" w:lineRule="auto"/>
        <w:ind w:firstLine="720"/>
        <w:rPr>
          <w:rFonts w:ascii="Times New Roman" w:eastAsia="Times New Roman" w:hAnsi="Times New Roman" w:cs="Times New Roman"/>
          <w:sz w:val="24"/>
          <w:szCs w:val="24"/>
        </w:rPr>
      </w:pPr>
    </w:p>
    <w:p w14:paraId="60011793" w14:textId="77777777" w:rsidR="00485C1F"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Defining Constructs</w:t>
      </w:r>
    </w:p>
    <w:p w14:paraId="24F24862" w14:textId="77777777" w:rsidR="00485C1F" w:rsidRDefault="00485C1F">
      <w:pPr>
        <w:spacing w:line="240" w:lineRule="auto"/>
        <w:rPr>
          <w:rFonts w:ascii="Times New Roman" w:eastAsia="Times New Roman" w:hAnsi="Times New Roman" w:cs="Times New Roman"/>
          <w:b/>
          <w:bCs/>
          <w:sz w:val="24"/>
          <w:szCs w:val="24"/>
        </w:rPr>
      </w:pPr>
    </w:p>
    <w:p w14:paraId="7DCF933E"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ab/>
      </w:r>
      <w:r>
        <w:rPr>
          <w:rFonts w:ascii="Times New Roman" w:eastAsia="Times New Roman" w:hAnsi="Times New Roman" w:cs="Times New Roman"/>
          <w:sz w:val="24"/>
          <w:szCs w:val="24"/>
        </w:rPr>
        <w:t xml:space="preserve">The seven constructs examined were student engagement, external engagement, financial management, integration of the three-circle model, teacher efficiency, and program efficiency. Due to teachers opting into the affiliation model, which is a newer option in North Carolina, teachers were asked to evaluate differences in student engagement at the local, state, and national levels, comparing the affiliation model to a traditional dues-paying model. </w:t>
      </w:r>
    </w:p>
    <w:p w14:paraId="1F50A1D8" w14:textId="77777777" w:rsidR="00485C1F" w:rsidRDefault="00485C1F">
      <w:pPr>
        <w:spacing w:line="240" w:lineRule="auto"/>
        <w:rPr>
          <w:rFonts w:ascii="Times New Roman" w:eastAsia="Times New Roman" w:hAnsi="Times New Roman" w:cs="Times New Roman"/>
          <w:sz w:val="24"/>
          <w:szCs w:val="24"/>
        </w:rPr>
      </w:pPr>
    </w:p>
    <w:p w14:paraId="735D99BB"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engagement examines how advisors engage students from a variety of backgrounds and school levels, and how to engage students early in the academic semester. This helps to understand the teacher’s perception of student engagement when choosing to use the FFA affiliation model for their chapters. External engagement asks teachers to reflect on the engagement levels from external sources, including community involvement, advisory committees, booster clubs, and service-learning opportunities. The integration of the three-circle model looks at how the FFA affiliation structure may or may not allow SBAE teachers to integrate all three components into their classes fully. This takes into consideration FFA, SAE, and classroom components being a portion of each class and not just outside of class hours. We examined teacher and program efficiency as two separate constructs to see perceived benefits and challenges for the teacher and for the program. Questions included making teaching easier, making rosters more efficient, and whether affiliation makes teaching easier overall (see Table 1). The most prominent challenge of the FFA affiliation model is the cost for chapters to cover the fees (Sheehan et al., 2023). The financial management construct examines the perceptions of teachers about the financial cost, investment, and buy-in from stakeholders. Questions were developed to gauge how teachers perceive the costs of the chapter-based fee structure and the effects on their chapter.  </w:t>
      </w:r>
    </w:p>
    <w:p w14:paraId="68DF98F6" w14:textId="77777777" w:rsidR="00485C1F" w:rsidRDefault="00485C1F">
      <w:pPr>
        <w:spacing w:line="240" w:lineRule="auto"/>
        <w:ind w:firstLine="720"/>
        <w:rPr>
          <w:rFonts w:ascii="Times New Roman" w:eastAsia="Times New Roman" w:hAnsi="Times New Roman" w:cs="Times New Roman"/>
          <w:sz w:val="24"/>
          <w:szCs w:val="24"/>
        </w:rPr>
      </w:pPr>
    </w:p>
    <w:tbl>
      <w:tblPr>
        <w:tblStyle w:val="af"/>
        <w:tblW w:w="9450" w:type="dxa"/>
        <w:tblBorders>
          <w:top w:val="nil"/>
          <w:left w:val="nil"/>
          <w:bottom w:val="nil"/>
          <w:right w:val="nil"/>
          <w:insideH w:val="nil"/>
          <w:insideV w:val="nil"/>
        </w:tblBorders>
        <w:tblLayout w:type="fixed"/>
        <w:tblLook w:val="0400" w:firstRow="0" w:lastRow="0" w:firstColumn="0" w:lastColumn="0" w:noHBand="0" w:noVBand="1"/>
      </w:tblPr>
      <w:tblGrid>
        <w:gridCol w:w="2562"/>
        <w:gridCol w:w="6888"/>
      </w:tblGrid>
      <w:tr w:rsidR="00485C1F" w14:paraId="33F4A592" w14:textId="77777777">
        <w:tc>
          <w:tcPr>
            <w:tcW w:w="9450" w:type="dxa"/>
            <w:gridSpan w:val="2"/>
            <w:tcBorders>
              <w:bottom w:val="single" w:sz="4" w:space="0" w:color="000000"/>
            </w:tcBorders>
          </w:tcPr>
          <w:p w14:paraId="64FC0323" w14:textId="77777777" w:rsidR="00485C1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w:t>
            </w:r>
          </w:p>
          <w:p w14:paraId="33113387" w14:textId="77777777" w:rsidR="00485C1F" w:rsidRDefault="00485C1F">
            <w:pPr>
              <w:rPr>
                <w:rFonts w:ascii="Times New Roman" w:eastAsia="Times New Roman" w:hAnsi="Times New Roman" w:cs="Times New Roman"/>
                <w:sz w:val="24"/>
                <w:szCs w:val="24"/>
              </w:rPr>
            </w:pPr>
          </w:p>
          <w:p w14:paraId="35F28568" w14:textId="77777777" w:rsidR="00485C1F" w:rsidRDefault="00000000">
            <w:pPr>
              <w:rPr>
                <w:rFonts w:ascii="Times New Roman" w:eastAsia="Times New Roman" w:hAnsi="Times New Roman" w:cs="Times New Roman"/>
                <w:i/>
                <w:iCs/>
                <w:sz w:val="24"/>
                <w:szCs w:val="24"/>
              </w:rPr>
            </w:pPr>
            <w:r>
              <w:rPr>
                <w:rFonts w:ascii="Times New Roman" w:eastAsia="Times New Roman" w:hAnsi="Times New Roman" w:cs="Times New Roman"/>
                <w:sz w:val="24"/>
                <w:szCs w:val="24"/>
              </w:rPr>
              <w:t>Question Examples by Construct</w:t>
            </w:r>
          </w:p>
        </w:tc>
      </w:tr>
      <w:tr w:rsidR="00485C1F" w14:paraId="20E11D82" w14:textId="77777777">
        <w:tc>
          <w:tcPr>
            <w:tcW w:w="2562" w:type="dxa"/>
            <w:tcBorders>
              <w:top w:val="single" w:sz="4" w:space="0" w:color="000000"/>
              <w:bottom w:val="single" w:sz="4" w:space="0" w:color="000000"/>
            </w:tcBorders>
          </w:tcPr>
          <w:p w14:paraId="4B80B41F"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w:t>
            </w:r>
          </w:p>
        </w:tc>
        <w:tc>
          <w:tcPr>
            <w:tcW w:w="6888" w:type="dxa"/>
            <w:tcBorders>
              <w:top w:val="single" w:sz="4" w:space="0" w:color="000000"/>
              <w:bottom w:val="single" w:sz="4" w:space="0" w:color="000000"/>
            </w:tcBorders>
          </w:tcPr>
          <w:p w14:paraId="238ADA3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Question (Affiliation…)</w:t>
            </w:r>
          </w:p>
        </w:tc>
      </w:tr>
      <w:tr w:rsidR="00485C1F" w14:paraId="690B6D4B" w14:textId="77777777">
        <w:tc>
          <w:tcPr>
            <w:tcW w:w="2562" w:type="dxa"/>
          </w:tcPr>
          <w:p w14:paraId="7735D54C"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Affiliation vs. Non-Affiliation Engagement</w:t>
            </w:r>
          </w:p>
        </w:tc>
        <w:tc>
          <w:tcPr>
            <w:tcW w:w="6888" w:type="dxa"/>
          </w:tcPr>
          <w:p w14:paraId="6744B2FA"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leads to MORE engaged local FFA members than non-affiliation.</w:t>
            </w:r>
          </w:p>
          <w:p w14:paraId="51931017"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leads to LESS engaged local FFA members than non-affiliation.</w:t>
            </w:r>
          </w:p>
          <w:p w14:paraId="11DD1215"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leads to MORE engaged state FFA members than non-affiliation.</w:t>
            </w:r>
          </w:p>
        </w:tc>
      </w:tr>
      <w:tr w:rsidR="00485C1F" w14:paraId="75D55ECB" w14:textId="77777777">
        <w:tc>
          <w:tcPr>
            <w:tcW w:w="2562" w:type="dxa"/>
          </w:tcPr>
          <w:p w14:paraId="766CC2E4"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Engagement </w:t>
            </w:r>
          </w:p>
        </w:tc>
        <w:tc>
          <w:tcPr>
            <w:tcW w:w="6888" w:type="dxa"/>
          </w:tcPr>
          <w:p w14:paraId="457D8D34"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makes my job as an FFA advisor easier to engage ALL students.</w:t>
            </w:r>
          </w:p>
          <w:p w14:paraId="7C9EDEC6"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improves student participation.</w:t>
            </w:r>
          </w:p>
        </w:tc>
      </w:tr>
      <w:tr w:rsidR="00485C1F" w14:paraId="7B3CA1B4" w14:textId="77777777">
        <w:tc>
          <w:tcPr>
            <w:tcW w:w="2562" w:type="dxa"/>
          </w:tcPr>
          <w:p w14:paraId="15A27E2C"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Engagement</w:t>
            </w:r>
          </w:p>
        </w:tc>
        <w:tc>
          <w:tcPr>
            <w:tcW w:w="6888" w:type="dxa"/>
          </w:tcPr>
          <w:p w14:paraId="15CF0B2B"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allows for easier partnerships with parents.</w:t>
            </w:r>
          </w:p>
          <w:p w14:paraId="42EC3867"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allows me to expand opportunities for community involvement.</w:t>
            </w:r>
          </w:p>
        </w:tc>
      </w:tr>
      <w:tr w:rsidR="00485C1F" w14:paraId="42BA8FCB" w14:textId="77777777">
        <w:tc>
          <w:tcPr>
            <w:tcW w:w="2562" w:type="dxa"/>
          </w:tcPr>
          <w:p w14:paraId="601471DF"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Management</w:t>
            </w:r>
          </w:p>
        </w:tc>
        <w:tc>
          <w:tcPr>
            <w:tcW w:w="6888" w:type="dxa"/>
          </w:tcPr>
          <w:p w14:paraId="0B615F0B"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creates financial restrictions on our chapter.</w:t>
            </w:r>
          </w:p>
          <w:p w14:paraId="3187D31B"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difficult overcoming misconceptions that FFA affiliation is an unnecessary cost.</w:t>
            </w:r>
          </w:p>
        </w:tc>
      </w:tr>
      <w:tr w:rsidR="00485C1F" w14:paraId="42F50CC1" w14:textId="77777777">
        <w:tc>
          <w:tcPr>
            <w:tcW w:w="2562" w:type="dxa"/>
          </w:tcPr>
          <w:p w14:paraId="0A2B488C"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of 3-Circle Model</w:t>
            </w:r>
          </w:p>
        </w:tc>
        <w:tc>
          <w:tcPr>
            <w:tcW w:w="6888" w:type="dxa"/>
          </w:tcPr>
          <w:p w14:paraId="398AE89E"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enables a more complete agricultural education program.</w:t>
            </w:r>
          </w:p>
          <w:p w14:paraId="210AD35C"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reinforces the integral role of FFA in the total agricultural education program.</w:t>
            </w:r>
          </w:p>
          <w:p w14:paraId="375B41B8"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reinforces the integral role of SAE (Supervised Agriculture Experience) in the total agricultural education program.</w:t>
            </w:r>
          </w:p>
        </w:tc>
      </w:tr>
      <w:tr w:rsidR="00485C1F" w14:paraId="66691DB2" w14:textId="77777777">
        <w:tc>
          <w:tcPr>
            <w:tcW w:w="2562" w:type="dxa"/>
          </w:tcPr>
          <w:p w14:paraId="4DF72AF1"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Teacher Efficiency</w:t>
            </w:r>
          </w:p>
        </w:tc>
        <w:tc>
          <w:tcPr>
            <w:tcW w:w="6888" w:type="dxa"/>
          </w:tcPr>
          <w:p w14:paraId="1E374FCC"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provides teachers with time to focus on instruction rather than membership logistics.</w:t>
            </w:r>
          </w:p>
          <w:p w14:paraId="4AFCFC55"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benefits outweigh the challenges of being an affiliated FFA chapter.</w:t>
            </w:r>
          </w:p>
        </w:tc>
      </w:tr>
      <w:tr w:rsidR="00485C1F" w14:paraId="40095145" w14:textId="77777777">
        <w:tc>
          <w:tcPr>
            <w:tcW w:w="2562" w:type="dxa"/>
          </w:tcPr>
          <w:p w14:paraId="69A5272E"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Program Efficiency</w:t>
            </w:r>
          </w:p>
        </w:tc>
        <w:tc>
          <w:tcPr>
            <w:tcW w:w="6888" w:type="dxa"/>
          </w:tcPr>
          <w:p w14:paraId="7FDCF0AA"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reduces the time needed to complete rosters.</w:t>
            </w:r>
          </w:p>
          <w:p w14:paraId="5A09AB9B" w14:textId="77777777" w:rsidR="00485C1F" w:rsidRDefault="00000000">
            <w:pPr>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is difficult because I do not have students for the full academic year.</w:t>
            </w:r>
          </w:p>
        </w:tc>
      </w:tr>
      <w:tr w:rsidR="00485C1F" w14:paraId="79BD0BC1" w14:textId="77777777">
        <w:tc>
          <w:tcPr>
            <w:tcW w:w="9450" w:type="dxa"/>
            <w:gridSpan w:val="2"/>
            <w:tcBorders>
              <w:top w:val="single" w:sz="4" w:space="0" w:color="000000"/>
            </w:tcBorders>
          </w:tcPr>
          <w:p w14:paraId="407F967D"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Note.</w:t>
            </w:r>
            <w:r>
              <w:rPr>
                <w:rFonts w:ascii="Times New Roman" w:eastAsia="Times New Roman" w:hAnsi="Times New Roman" w:cs="Times New Roman"/>
                <w:sz w:val="24"/>
                <w:szCs w:val="24"/>
              </w:rPr>
              <w:t xml:space="preserve"> The rating scale ranged from -3 = Strongly Disagree, -2 = Disagree, -1 = Slightly Disagree, 0 = Neutral, 1 = Slightly Agree, 2 = Agree, 3 = Strongly Agree.</w:t>
            </w:r>
          </w:p>
        </w:tc>
      </w:tr>
    </w:tbl>
    <w:p w14:paraId="6478DCDA" w14:textId="77777777" w:rsidR="00485C1F" w:rsidRDefault="00485C1F">
      <w:pPr>
        <w:spacing w:line="240" w:lineRule="auto"/>
        <w:rPr>
          <w:rFonts w:ascii="Times New Roman" w:eastAsia="Times New Roman" w:hAnsi="Times New Roman" w:cs="Times New Roman"/>
          <w:b/>
          <w:bCs/>
          <w:sz w:val="24"/>
          <w:szCs w:val="24"/>
        </w:rPr>
      </w:pPr>
    </w:p>
    <w:p w14:paraId="0BBD8D10"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Collection</w:t>
      </w:r>
    </w:p>
    <w:p w14:paraId="01D94794" w14:textId="77777777" w:rsidR="00485C1F" w:rsidRDefault="00485C1F">
      <w:pPr>
        <w:spacing w:line="240" w:lineRule="auto"/>
        <w:rPr>
          <w:rFonts w:ascii="Times New Roman" w:eastAsia="Times New Roman" w:hAnsi="Times New Roman" w:cs="Times New Roman"/>
          <w:sz w:val="24"/>
          <w:szCs w:val="24"/>
        </w:rPr>
      </w:pPr>
    </w:p>
    <w:p w14:paraId="079BA50D"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All SBAE teachers in North Carolina who opted in to the FFA affiliation model for their chapter during the 2024-2025 school year comprised the study population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235). Emails were obtained from the state agricultural education directory, randomized, and a simple random sample of 155 emails was selected to showcase teachers’ perspectives (Fraenkel et al., 2023). If any emails bounced back, the next email on the list was used to fulfill the desired sample size. The instrument was sent directly to participants via email in late April of 2025, and data collection concluded in late May. Following the guidance of Dillman et al. (2014), emails were sent according to a schedule over the course of one month. </w:t>
      </w:r>
    </w:p>
    <w:p w14:paraId="7917A49C" w14:textId="77777777" w:rsidR="00485C1F" w:rsidRDefault="00485C1F">
      <w:pPr>
        <w:spacing w:line="240" w:lineRule="auto"/>
        <w:rPr>
          <w:rFonts w:ascii="Times New Roman" w:eastAsia="Times New Roman" w:hAnsi="Times New Roman" w:cs="Times New Roman"/>
          <w:sz w:val="24"/>
          <w:szCs w:val="24"/>
        </w:rPr>
      </w:pPr>
    </w:p>
    <w:p w14:paraId="1B12F10C"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Participants were asked 12 demographic questions. Participants of this study were 62.5% female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40), 87.5% white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xml:space="preserve">= 56), 79.5% members of the North Carolina agricultural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xml:space="preserve"> association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58), and 61.6% members of NAAE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45). Years of teaching experience and licensure type are shown in Table 2. Demographics match well with North Carolina SBAE teacher demographics overall.</w:t>
      </w:r>
    </w:p>
    <w:p w14:paraId="40B611A1" w14:textId="77777777" w:rsidR="00485C1F" w:rsidRDefault="00485C1F">
      <w:pPr>
        <w:spacing w:line="240" w:lineRule="auto"/>
        <w:rPr>
          <w:rFonts w:ascii="Times New Roman" w:eastAsia="Times New Roman" w:hAnsi="Times New Roman" w:cs="Times New Roman"/>
          <w:sz w:val="24"/>
          <w:szCs w:val="24"/>
        </w:rPr>
      </w:pPr>
    </w:p>
    <w:tbl>
      <w:tblPr>
        <w:tblStyle w:val="af0"/>
        <w:tblW w:w="9345" w:type="dxa"/>
        <w:tblBorders>
          <w:top w:val="nil"/>
          <w:left w:val="nil"/>
          <w:bottom w:val="nil"/>
          <w:right w:val="nil"/>
          <w:insideH w:val="nil"/>
          <w:insideV w:val="nil"/>
        </w:tblBorders>
        <w:tblLayout w:type="fixed"/>
        <w:tblLook w:val="0400" w:firstRow="0" w:lastRow="0" w:firstColumn="0" w:lastColumn="0" w:noHBand="0" w:noVBand="1"/>
      </w:tblPr>
      <w:tblGrid>
        <w:gridCol w:w="2685"/>
        <w:gridCol w:w="3270"/>
        <w:gridCol w:w="795"/>
        <w:gridCol w:w="930"/>
        <w:gridCol w:w="690"/>
        <w:gridCol w:w="975"/>
      </w:tblGrid>
      <w:tr w:rsidR="00485C1F" w14:paraId="7214BB06" w14:textId="77777777">
        <w:tc>
          <w:tcPr>
            <w:tcW w:w="9345" w:type="dxa"/>
            <w:gridSpan w:val="6"/>
            <w:tcBorders>
              <w:bottom w:val="single" w:sz="4" w:space="0" w:color="000000"/>
            </w:tcBorders>
          </w:tcPr>
          <w:p w14:paraId="23CF3724" w14:textId="77777777" w:rsidR="00485C1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w:t>
            </w:r>
          </w:p>
          <w:p w14:paraId="5F8317E6" w14:textId="77777777" w:rsidR="00485C1F" w:rsidRDefault="00485C1F">
            <w:pPr>
              <w:rPr>
                <w:rFonts w:ascii="Times New Roman" w:eastAsia="Times New Roman" w:hAnsi="Times New Roman" w:cs="Times New Roman"/>
                <w:sz w:val="24"/>
                <w:szCs w:val="24"/>
              </w:rPr>
            </w:pPr>
          </w:p>
          <w:p w14:paraId="4338B8C2" w14:textId="77777777" w:rsidR="00485C1F"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Participant Demographics Years of Teaching and Type of Licensure</w:t>
            </w:r>
          </w:p>
        </w:tc>
      </w:tr>
      <w:tr w:rsidR="00485C1F" w14:paraId="64218495" w14:textId="77777777">
        <w:tc>
          <w:tcPr>
            <w:tcW w:w="2685" w:type="dxa"/>
            <w:tcBorders>
              <w:top w:val="single" w:sz="4" w:space="0" w:color="000000"/>
              <w:bottom w:val="single" w:sz="4" w:space="0" w:color="000000"/>
            </w:tcBorders>
          </w:tcPr>
          <w:p w14:paraId="2057B92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Characteristic</w:t>
            </w:r>
          </w:p>
        </w:tc>
        <w:tc>
          <w:tcPr>
            <w:tcW w:w="3270" w:type="dxa"/>
            <w:tcBorders>
              <w:top w:val="single" w:sz="4" w:space="0" w:color="000000"/>
              <w:bottom w:val="single" w:sz="4" w:space="0" w:color="000000"/>
            </w:tcBorders>
          </w:tcPr>
          <w:p w14:paraId="6066330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Category</w:t>
            </w:r>
          </w:p>
        </w:tc>
        <w:tc>
          <w:tcPr>
            <w:tcW w:w="795" w:type="dxa"/>
            <w:tcBorders>
              <w:top w:val="single" w:sz="4" w:space="0" w:color="000000"/>
              <w:bottom w:val="single" w:sz="4" w:space="0" w:color="000000"/>
            </w:tcBorders>
          </w:tcPr>
          <w:p w14:paraId="4BC0800A"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w:t>
            </w:r>
          </w:p>
        </w:tc>
        <w:tc>
          <w:tcPr>
            <w:tcW w:w="930" w:type="dxa"/>
            <w:tcBorders>
              <w:top w:val="single" w:sz="4" w:space="0" w:color="000000"/>
              <w:bottom w:val="single" w:sz="4" w:space="0" w:color="000000"/>
            </w:tcBorders>
          </w:tcPr>
          <w:p w14:paraId="32FCDA1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Range</w:t>
            </w:r>
          </w:p>
        </w:tc>
        <w:tc>
          <w:tcPr>
            <w:tcW w:w="690" w:type="dxa"/>
            <w:tcBorders>
              <w:top w:val="single" w:sz="4" w:space="0" w:color="000000"/>
              <w:bottom w:val="single" w:sz="4" w:space="0" w:color="000000"/>
            </w:tcBorders>
          </w:tcPr>
          <w:p w14:paraId="2946C799" w14:textId="77777777" w:rsidR="00485C1F" w:rsidRDefault="00000000">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w:t>
            </w:r>
          </w:p>
        </w:tc>
        <w:tc>
          <w:tcPr>
            <w:tcW w:w="975" w:type="dxa"/>
            <w:tcBorders>
              <w:top w:val="single" w:sz="4" w:space="0" w:color="000000"/>
              <w:bottom w:val="single" w:sz="4" w:space="0" w:color="000000"/>
            </w:tcBorders>
          </w:tcPr>
          <w:p w14:paraId="1B63F10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485C1F" w14:paraId="21392084" w14:textId="77777777">
        <w:tc>
          <w:tcPr>
            <w:tcW w:w="2685" w:type="dxa"/>
          </w:tcPr>
          <w:p w14:paraId="74E8446F"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Years Teaching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64)</w:t>
            </w:r>
          </w:p>
        </w:tc>
        <w:tc>
          <w:tcPr>
            <w:tcW w:w="3270" w:type="dxa"/>
          </w:tcPr>
          <w:p w14:paraId="0D963D47" w14:textId="77777777" w:rsidR="00485C1F" w:rsidRDefault="00485C1F">
            <w:pPr>
              <w:rPr>
                <w:rFonts w:ascii="Times New Roman" w:eastAsia="Times New Roman" w:hAnsi="Times New Roman" w:cs="Times New Roman"/>
                <w:sz w:val="24"/>
                <w:szCs w:val="24"/>
              </w:rPr>
            </w:pPr>
          </w:p>
        </w:tc>
        <w:tc>
          <w:tcPr>
            <w:tcW w:w="795" w:type="dxa"/>
          </w:tcPr>
          <w:p w14:paraId="57B9964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12.37</w:t>
            </w:r>
          </w:p>
        </w:tc>
        <w:tc>
          <w:tcPr>
            <w:tcW w:w="930" w:type="dxa"/>
          </w:tcPr>
          <w:p w14:paraId="05C7C2B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1 - 34</w:t>
            </w:r>
          </w:p>
        </w:tc>
        <w:tc>
          <w:tcPr>
            <w:tcW w:w="690" w:type="dxa"/>
          </w:tcPr>
          <w:p w14:paraId="5B85CFE7" w14:textId="77777777" w:rsidR="00485C1F" w:rsidRDefault="00485C1F">
            <w:pPr>
              <w:jc w:val="center"/>
              <w:rPr>
                <w:rFonts w:ascii="Times New Roman" w:eastAsia="Times New Roman" w:hAnsi="Times New Roman" w:cs="Times New Roman"/>
                <w:sz w:val="24"/>
                <w:szCs w:val="24"/>
              </w:rPr>
            </w:pPr>
          </w:p>
        </w:tc>
        <w:tc>
          <w:tcPr>
            <w:tcW w:w="975" w:type="dxa"/>
          </w:tcPr>
          <w:p w14:paraId="3785C090" w14:textId="77777777" w:rsidR="00485C1F" w:rsidRDefault="00485C1F">
            <w:pPr>
              <w:rPr>
                <w:rFonts w:ascii="Times New Roman" w:eastAsia="Times New Roman" w:hAnsi="Times New Roman" w:cs="Times New Roman"/>
                <w:sz w:val="24"/>
                <w:szCs w:val="24"/>
              </w:rPr>
            </w:pPr>
          </w:p>
        </w:tc>
      </w:tr>
      <w:tr w:rsidR="00485C1F" w14:paraId="2E3A0F9A" w14:textId="77777777">
        <w:tc>
          <w:tcPr>
            <w:tcW w:w="2685" w:type="dxa"/>
          </w:tcPr>
          <w:p w14:paraId="27A13761" w14:textId="77777777" w:rsidR="00485C1F" w:rsidRDefault="00485C1F">
            <w:pPr>
              <w:rPr>
                <w:rFonts w:ascii="Times New Roman" w:eastAsia="Times New Roman" w:hAnsi="Times New Roman" w:cs="Times New Roman"/>
                <w:sz w:val="24"/>
                <w:szCs w:val="24"/>
              </w:rPr>
            </w:pPr>
          </w:p>
        </w:tc>
        <w:tc>
          <w:tcPr>
            <w:tcW w:w="3270" w:type="dxa"/>
          </w:tcPr>
          <w:p w14:paraId="6ED64C64"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0 - 3 Years</w:t>
            </w:r>
          </w:p>
        </w:tc>
        <w:tc>
          <w:tcPr>
            <w:tcW w:w="795" w:type="dxa"/>
          </w:tcPr>
          <w:p w14:paraId="2E3D9576" w14:textId="77777777" w:rsidR="00485C1F" w:rsidRDefault="00485C1F">
            <w:pPr>
              <w:jc w:val="center"/>
              <w:rPr>
                <w:rFonts w:ascii="Times New Roman" w:eastAsia="Times New Roman" w:hAnsi="Times New Roman" w:cs="Times New Roman"/>
                <w:sz w:val="24"/>
                <w:szCs w:val="24"/>
              </w:rPr>
            </w:pPr>
          </w:p>
        </w:tc>
        <w:tc>
          <w:tcPr>
            <w:tcW w:w="930" w:type="dxa"/>
          </w:tcPr>
          <w:p w14:paraId="0B9B9062" w14:textId="77777777" w:rsidR="00485C1F" w:rsidRDefault="00485C1F">
            <w:pPr>
              <w:jc w:val="center"/>
              <w:rPr>
                <w:rFonts w:ascii="Times New Roman" w:eastAsia="Times New Roman" w:hAnsi="Times New Roman" w:cs="Times New Roman"/>
                <w:sz w:val="24"/>
                <w:szCs w:val="24"/>
              </w:rPr>
            </w:pPr>
          </w:p>
        </w:tc>
        <w:tc>
          <w:tcPr>
            <w:tcW w:w="690" w:type="dxa"/>
          </w:tcPr>
          <w:p w14:paraId="69FEC22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975" w:type="dxa"/>
          </w:tcPr>
          <w:p w14:paraId="6D6A9DF1"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p>
        </w:tc>
      </w:tr>
      <w:tr w:rsidR="00485C1F" w14:paraId="463F3100" w14:textId="77777777">
        <w:tc>
          <w:tcPr>
            <w:tcW w:w="2685" w:type="dxa"/>
          </w:tcPr>
          <w:p w14:paraId="047553C0" w14:textId="77777777" w:rsidR="00485C1F" w:rsidRDefault="00485C1F">
            <w:pPr>
              <w:rPr>
                <w:rFonts w:ascii="Times New Roman" w:eastAsia="Times New Roman" w:hAnsi="Times New Roman" w:cs="Times New Roman"/>
                <w:sz w:val="24"/>
                <w:szCs w:val="24"/>
              </w:rPr>
            </w:pPr>
          </w:p>
        </w:tc>
        <w:tc>
          <w:tcPr>
            <w:tcW w:w="3270" w:type="dxa"/>
          </w:tcPr>
          <w:p w14:paraId="241AA732"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4 - 7 Years</w:t>
            </w:r>
          </w:p>
        </w:tc>
        <w:tc>
          <w:tcPr>
            <w:tcW w:w="795" w:type="dxa"/>
          </w:tcPr>
          <w:p w14:paraId="2D8CF6B7" w14:textId="77777777" w:rsidR="00485C1F" w:rsidRDefault="00485C1F">
            <w:pPr>
              <w:jc w:val="center"/>
              <w:rPr>
                <w:rFonts w:ascii="Times New Roman" w:eastAsia="Times New Roman" w:hAnsi="Times New Roman" w:cs="Times New Roman"/>
                <w:sz w:val="24"/>
                <w:szCs w:val="24"/>
              </w:rPr>
            </w:pPr>
          </w:p>
        </w:tc>
        <w:tc>
          <w:tcPr>
            <w:tcW w:w="930" w:type="dxa"/>
          </w:tcPr>
          <w:p w14:paraId="13E1A43F" w14:textId="77777777" w:rsidR="00485C1F" w:rsidRDefault="00485C1F">
            <w:pPr>
              <w:jc w:val="center"/>
              <w:rPr>
                <w:rFonts w:ascii="Times New Roman" w:eastAsia="Times New Roman" w:hAnsi="Times New Roman" w:cs="Times New Roman"/>
                <w:sz w:val="24"/>
                <w:szCs w:val="24"/>
              </w:rPr>
            </w:pPr>
          </w:p>
        </w:tc>
        <w:tc>
          <w:tcPr>
            <w:tcW w:w="690" w:type="dxa"/>
          </w:tcPr>
          <w:p w14:paraId="5266CF9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975" w:type="dxa"/>
          </w:tcPr>
          <w:p w14:paraId="4D36B15E"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12.5</w:t>
            </w:r>
          </w:p>
        </w:tc>
      </w:tr>
      <w:tr w:rsidR="00485C1F" w14:paraId="74E8449F" w14:textId="77777777">
        <w:tc>
          <w:tcPr>
            <w:tcW w:w="2685" w:type="dxa"/>
          </w:tcPr>
          <w:p w14:paraId="01479C47" w14:textId="77777777" w:rsidR="00485C1F" w:rsidRDefault="00485C1F">
            <w:pPr>
              <w:rPr>
                <w:rFonts w:ascii="Times New Roman" w:eastAsia="Times New Roman" w:hAnsi="Times New Roman" w:cs="Times New Roman"/>
                <w:sz w:val="24"/>
                <w:szCs w:val="24"/>
              </w:rPr>
            </w:pPr>
          </w:p>
        </w:tc>
        <w:tc>
          <w:tcPr>
            <w:tcW w:w="3270" w:type="dxa"/>
          </w:tcPr>
          <w:p w14:paraId="33430A03"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8 - 14 Years</w:t>
            </w:r>
          </w:p>
        </w:tc>
        <w:tc>
          <w:tcPr>
            <w:tcW w:w="795" w:type="dxa"/>
          </w:tcPr>
          <w:p w14:paraId="2DE3F41A" w14:textId="77777777" w:rsidR="00485C1F" w:rsidRDefault="00485C1F">
            <w:pPr>
              <w:jc w:val="center"/>
              <w:rPr>
                <w:rFonts w:ascii="Times New Roman" w:eastAsia="Times New Roman" w:hAnsi="Times New Roman" w:cs="Times New Roman"/>
                <w:sz w:val="24"/>
                <w:szCs w:val="24"/>
              </w:rPr>
            </w:pPr>
          </w:p>
        </w:tc>
        <w:tc>
          <w:tcPr>
            <w:tcW w:w="930" w:type="dxa"/>
          </w:tcPr>
          <w:p w14:paraId="1D1854B7" w14:textId="77777777" w:rsidR="00485C1F" w:rsidRDefault="00485C1F">
            <w:pPr>
              <w:jc w:val="center"/>
              <w:rPr>
                <w:rFonts w:ascii="Times New Roman" w:eastAsia="Times New Roman" w:hAnsi="Times New Roman" w:cs="Times New Roman"/>
                <w:sz w:val="24"/>
                <w:szCs w:val="24"/>
              </w:rPr>
            </w:pPr>
          </w:p>
        </w:tc>
        <w:tc>
          <w:tcPr>
            <w:tcW w:w="690" w:type="dxa"/>
          </w:tcPr>
          <w:p w14:paraId="4976A25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975" w:type="dxa"/>
          </w:tcPr>
          <w:p w14:paraId="673EF274"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32.8</w:t>
            </w:r>
          </w:p>
        </w:tc>
      </w:tr>
      <w:tr w:rsidR="00485C1F" w14:paraId="79A54873" w14:textId="77777777">
        <w:tc>
          <w:tcPr>
            <w:tcW w:w="2685" w:type="dxa"/>
          </w:tcPr>
          <w:p w14:paraId="0D9D8AF7" w14:textId="77777777" w:rsidR="00485C1F" w:rsidRDefault="00485C1F">
            <w:pPr>
              <w:rPr>
                <w:rFonts w:ascii="Times New Roman" w:eastAsia="Times New Roman" w:hAnsi="Times New Roman" w:cs="Times New Roman"/>
                <w:sz w:val="24"/>
                <w:szCs w:val="24"/>
              </w:rPr>
            </w:pPr>
          </w:p>
        </w:tc>
        <w:tc>
          <w:tcPr>
            <w:tcW w:w="3270" w:type="dxa"/>
          </w:tcPr>
          <w:p w14:paraId="6FE8DB4D"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15 + Years</w:t>
            </w:r>
          </w:p>
        </w:tc>
        <w:tc>
          <w:tcPr>
            <w:tcW w:w="795" w:type="dxa"/>
          </w:tcPr>
          <w:p w14:paraId="5332144E" w14:textId="77777777" w:rsidR="00485C1F" w:rsidRDefault="00485C1F">
            <w:pPr>
              <w:jc w:val="center"/>
              <w:rPr>
                <w:rFonts w:ascii="Times New Roman" w:eastAsia="Times New Roman" w:hAnsi="Times New Roman" w:cs="Times New Roman"/>
                <w:sz w:val="24"/>
                <w:szCs w:val="24"/>
              </w:rPr>
            </w:pPr>
          </w:p>
        </w:tc>
        <w:tc>
          <w:tcPr>
            <w:tcW w:w="930" w:type="dxa"/>
          </w:tcPr>
          <w:p w14:paraId="4341CD6D" w14:textId="77777777" w:rsidR="00485C1F" w:rsidRDefault="00485C1F">
            <w:pPr>
              <w:jc w:val="center"/>
              <w:rPr>
                <w:rFonts w:ascii="Times New Roman" w:eastAsia="Times New Roman" w:hAnsi="Times New Roman" w:cs="Times New Roman"/>
                <w:sz w:val="24"/>
                <w:szCs w:val="24"/>
              </w:rPr>
            </w:pPr>
          </w:p>
        </w:tc>
        <w:tc>
          <w:tcPr>
            <w:tcW w:w="690" w:type="dxa"/>
          </w:tcPr>
          <w:p w14:paraId="4E72A75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975" w:type="dxa"/>
          </w:tcPr>
          <w:p w14:paraId="1F89844D"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32.8</w:t>
            </w:r>
          </w:p>
        </w:tc>
      </w:tr>
      <w:tr w:rsidR="00485C1F" w14:paraId="3A649344" w14:textId="77777777">
        <w:trPr>
          <w:trHeight w:val="220"/>
        </w:trPr>
        <w:tc>
          <w:tcPr>
            <w:tcW w:w="5955" w:type="dxa"/>
            <w:gridSpan w:val="2"/>
          </w:tcPr>
          <w:p w14:paraId="54D952BF"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License Type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64)</w:t>
            </w:r>
          </w:p>
        </w:tc>
        <w:tc>
          <w:tcPr>
            <w:tcW w:w="795" w:type="dxa"/>
          </w:tcPr>
          <w:p w14:paraId="304843AD" w14:textId="77777777" w:rsidR="00485C1F" w:rsidRDefault="00485C1F">
            <w:pPr>
              <w:jc w:val="center"/>
              <w:rPr>
                <w:rFonts w:ascii="Times New Roman" w:eastAsia="Times New Roman" w:hAnsi="Times New Roman" w:cs="Times New Roman"/>
                <w:sz w:val="24"/>
                <w:szCs w:val="24"/>
              </w:rPr>
            </w:pPr>
          </w:p>
        </w:tc>
        <w:tc>
          <w:tcPr>
            <w:tcW w:w="930" w:type="dxa"/>
          </w:tcPr>
          <w:p w14:paraId="5F5918F7" w14:textId="77777777" w:rsidR="00485C1F" w:rsidRDefault="00485C1F">
            <w:pPr>
              <w:jc w:val="center"/>
              <w:rPr>
                <w:rFonts w:ascii="Times New Roman" w:eastAsia="Times New Roman" w:hAnsi="Times New Roman" w:cs="Times New Roman"/>
                <w:sz w:val="24"/>
                <w:szCs w:val="24"/>
              </w:rPr>
            </w:pPr>
          </w:p>
        </w:tc>
        <w:tc>
          <w:tcPr>
            <w:tcW w:w="690" w:type="dxa"/>
          </w:tcPr>
          <w:p w14:paraId="781FA2C1" w14:textId="77777777" w:rsidR="00485C1F" w:rsidRDefault="00485C1F">
            <w:pPr>
              <w:jc w:val="center"/>
              <w:rPr>
                <w:rFonts w:ascii="Times New Roman" w:eastAsia="Times New Roman" w:hAnsi="Times New Roman" w:cs="Times New Roman"/>
                <w:sz w:val="24"/>
                <w:szCs w:val="24"/>
              </w:rPr>
            </w:pPr>
          </w:p>
        </w:tc>
        <w:tc>
          <w:tcPr>
            <w:tcW w:w="975" w:type="dxa"/>
          </w:tcPr>
          <w:p w14:paraId="70B3BCF2" w14:textId="77777777" w:rsidR="00485C1F" w:rsidRDefault="00485C1F">
            <w:pPr>
              <w:rPr>
                <w:rFonts w:ascii="Times New Roman" w:eastAsia="Times New Roman" w:hAnsi="Times New Roman" w:cs="Times New Roman"/>
                <w:sz w:val="24"/>
                <w:szCs w:val="24"/>
              </w:rPr>
            </w:pPr>
          </w:p>
        </w:tc>
      </w:tr>
      <w:tr w:rsidR="00485C1F" w14:paraId="555060CA" w14:textId="77777777">
        <w:tc>
          <w:tcPr>
            <w:tcW w:w="2685" w:type="dxa"/>
          </w:tcPr>
          <w:p w14:paraId="3F725B37" w14:textId="77777777" w:rsidR="00485C1F" w:rsidRDefault="00485C1F">
            <w:pPr>
              <w:rPr>
                <w:rFonts w:ascii="Times New Roman" w:eastAsia="Times New Roman" w:hAnsi="Times New Roman" w:cs="Times New Roman"/>
                <w:sz w:val="24"/>
                <w:szCs w:val="24"/>
              </w:rPr>
            </w:pPr>
          </w:p>
        </w:tc>
        <w:tc>
          <w:tcPr>
            <w:tcW w:w="3270" w:type="dxa"/>
          </w:tcPr>
          <w:p w14:paraId="212219B6"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in Agriculture</w:t>
            </w:r>
          </w:p>
        </w:tc>
        <w:tc>
          <w:tcPr>
            <w:tcW w:w="795" w:type="dxa"/>
          </w:tcPr>
          <w:p w14:paraId="34410E98" w14:textId="77777777" w:rsidR="00485C1F" w:rsidRDefault="00485C1F">
            <w:pPr>
              <w:jc w:val="center"/>
              <w:rPr>
                <w:rFonts w:ascii="Times New Roman" w:eastAsia="Times New Roman" w:hAnsi="Times New Roman" w:cs="Times New Roman"/>
                <w:sz w:val="24"/>
                <w:szCs w:val="24"/>
              </w:rPr>
            </w:pPr>
          </w:p>
        </w:tc>
        <w:tc>
          <w:tcPr>
            <w:tcW w:w="930" w:type="dxa"/>
          </w:tcPr>
          <w:p w14:paraId="3ED9AEE4" w14:textId="77777777" w:rsidR="00485C1F" w:rsidRDefault="00485C1F">
            <w:pPr>
              <w:jc w:val="center"/>
              <w:rPr>
                <w:rFonts w:ascii="Times New Roman" w:eastAsia="Times New Roman" w:hAnsi="Times New Roman" w:cs="Times New Roman"/>
                <w:sz w:val="24"/>
                <w:szCs w:val="24"/>
              </w:rPr>
            </w:pPr>
          </w:p>
        </w:tc>
        <w:tc>
          <w:tcPr>
            <w:tcW w:w="690" w:type="dxa"/>
          </w:tcPr>
          <w:p w14:paraId="40173A3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p>
        </w:tc>
        <w:tc>
          <w:tcPr>
            <w:tcW w:w="975" w:type="dxa"/>
          </w:tcPr>
          <w:p w14:paraId="56214491"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60.9</w:t>
            </w:r>
          </w:p>
        </w:tc>
      </w:tr>
      <w:tr w:rsidR="00485C1F" w14:paraId="05BDB753" w14:textId="77777777">
        <w:tc>
          <w:tcPr>
            <w:tcW w:w="2685" w:type="dxa"/>
          </w:tcPr>
          <w:p w14:paraId="079E17BA" w14:textId="77777777" w:rsidR="00485C1F" w:rsidRDefault="00485C1F">
            <w:pPr>
              <w:rPr>
                <w:rFonts w:ascii="Times New Roman" w:eastAsia="Times New Roman" w:hAnsi="Times New Roman" w:cs="Times New Roman"/>
                <w:sz w:val="24"/>
                <w:szCs w:val="24"/>
              </w:rPr>
            </w:pPr>
          </w:p>
        </w:tc>
        <w:tc>
          <w:tcPr>
            <w:tcW w:w="3270" w:type="dxa"/>
          </w:tcPr>
          <w:p w14:paraId="5700F517"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in Other Area</w:t>
            </w:r>
          </w:p>
        </w:tc>
        <w:tc>
          <w:tcPr>
            <w:tcW w:w="795" w:type="dxa"/>
          </w:tcPr>
          <w:p w14:paraId="5AC747E0" w14:textId="77777777" w:rsidR="00485C1F" w:rsidRDefault="00485C1F">
            <w:pPr>
              <w:jc w:val="center"/>
              <w:rPr>
                <w:rFonts w:ascii="Times New Roman" w:eastAsia="Times New Roman" w:hAnsi="Times New Roman" w:cs="Times New Roman"/>
                <w:sz w:val="24"/>
                <w:szCs w:val="24"/>
              </w:rPr>
            </w:pPr>
          </w:p>
        </w:tc>
        <w:tc>
          <w:tcPr>
            <w:tcW w:w="930" w:type="dxa"/>
          </w:tcPr>
          <w:p w14:paraId="2A1D3205" w14:textId="77777777" w:rsidR="00485C1F" w:rsidRDefault="00485C1F">
            <w:pPr>
              <w:jc w:val="center"/>
              <w:rPr>
                <w:rFonts w:ascii="Times New Roman" w:eastAsia="Times New Roman" w:hAnsi="Times New Roman" w:cs="Times New Roman"/>
                <w:sz w:val="24"/>
                <w:szCs w:val="24"/>
              </w:rPr>
            </w:pPr>
          </w:p>
        </w:tc>
        <w:tc>
          <w:tcPr>
            <w:tcW w:w="690" w:type="dxa"/>
          </w:tcPr>
          <w:p w14:paraId="3D14B4E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75" w:type="dxa"/>
          </w:tcPr>
          <w:p w14:paraId="5E6C8F2E"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p>
        </w:tc>
      </w:tr>
      <w:tr w:rsidR="00485C1F" w14:paraId="4B81440D" w14:textId="77777777">
        <w:tc>
          <w:tcPr>
            <w:tcW w:w="2685" w:type="dxa"/>
          </w:tcPr>
          <w:p w14:paraId="5A2E95EF" w14:textId="77777777" w:rsidR="00485C1F" w:rsidRDefault="00485C1F">
            <w:pPr>
              <w:rPr>
                <w:rFonts w:ascii="Times New Roman" w:eastAsia="Times New Roman" w:hAnsi="Times New Roman" w:cs="Times New Roman"/>
                <w:sz w:val="24"/>
                <w:szCs w:val="24"/>
              </w:rPr>
            </w:pPr>
          </w:p>
        </w:tc>
        <w:tc>
          <w:tcPr>
            <w:tcW w:w="3270" w:type="dxa"/>
          </w:tcPr>
          <w:p w14:paraId="483AE729"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Alternatively in Agriculture</w:t>
            </w:r>
          </w:p>
        </w:tc>
        <w:tc>
          <w:tcPr>
            <w:tcW w:w="795" w:type="dxa"/>
          </w:tcPr>
          <w:p w14:paraId="16C2FAF8" w14:textId="77777777" w:rsidR="00485C1F" w:rsidRDefault="00485C1F">
            <w:pPr>
              <w:jc w:val="center"/>
              <w:rPr>
                <w:rFonts w:ascii="Times New Roman" w:eastAsia="Times New Roman" w:hAnsi="Times New Roman" w:cs="Times New Roman"/>
                <w:sz w:val="24"/>
                <w:szCs w:val="24"/>
              </w:rPr>
            </w:pPr>
          </w:p>
        </w:tc>
        <w:tc>
          <w:tcPr>
            <w:tcW w:w="930" w:type="dxa"/>
          </w:tcPr>
          <w:p w14:paraId="5122C539" w14:textId="77777777" w:rsidR="00485C1F" w:rsidRDefault="00485C1F">
            <w:pPr>
              <w:jc w:val="center"/>
              <w:rPr>
                <w:rFonts w:ascii="Times New Roman" w:eastAsia="Times New Roman" w:hAnsi="Times New Roman" w:cs="Times New Roman"/>
                <w:sz w:val="24"/>
                <w:szCs w:val="24"/>
              </w:rPr>
            </w:pPr>
          </w:p>
        </w:tc>
        <w:tc>
          <w:tcPr>
            <w:tcW w:w="690" w:type="dxa"/>
          </w:tcPr>
          <w:p w14:paraId="3DF5005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975" w:type="dxa"/>
          </w:tcPr>
          <w:p w14:paraId="7B1ABAE8"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24.7</w:t>
            </w:r>
          </w:p>
        </w:tc>
      </w:tr>
      <w:tr w:rsidR="00485C1F" w14:paraId="69411EA6" w14:textId="77777777">
        <w:tc>
          <w:tcPr>
            <w:tcW w:w="2685" w:type="dxa"/>
          </w:tcPr>
          <w:p w14:paraId="391C849C" w14:textId="77777777" w:rsidR="00485C1F" w:rsidRDefault="00485C1F">
            <w:pPr>
              <w:rPr>
                <w:rFonts w:ascii="Times New Roman" w:eastAsia="Times New Roman" w:hAnsi="Times New Roman" w:cs="Times New Roman"/>
                <w:sz w:val="24"/>
                <w:szCs w:val="24"/>
              </w:rPr>
            </w:pPr>
          </w:p>
        </w:tc>
        <w:tc>
          <w:tcPr>
            <w:tcW w:w="3270" w:type="dxa"/>
          </w:tcPr>
          <w:p w14:paraId="16181F01"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Emergency Credential/License</w:t>
            </w:r>
          </w:p>
        </w:tc>
        <w:tc>
          <w:tcPr>
            <w:tcW w:w="795" w:type="dxa"/>
          </w:tcPr>
          <w:p w14:paraId="366A2408" w14:textId="77777777" w:rsidR="00485C1F" w:rsidRDefault="00485C1F">
            <w:pPr>
              <w:jc w:val="center"/>
              <w:rPr>
                <w:rFonts w:ascii="Times New Roman" w:eastAsia="Times New Roman" w:hAnsi="Times New Roman" w:cs="Times New Roman"/>
                <w:sz w:val="24"/>
                <w:szCs w:val="24"/>
              </w:rPr>
            </w:pPr>
          </w:p>
        </w:tc>
        <w:tc>
          <w:tcPr>
            <w:tcW w:w="930" w:type="dxa"/>
          </w:tcPr>
          <w:p w14:paraId="20F5295D" w14:textId="77777777" w:rsidR="00485C1F" w:rsidRDefault="00485C1F">
            <w:pPr>
              <w:jc w:val="center"/>
              <w:rPr>
                <w:rFonts w:ascii="Times New Roman" w:eastAsia="Times New Roman" w:hAnsi="Times New Roman" w:cs="Times New Roman"/>
                <w:sz w:val="24"/>
                <w:szCs w:val="24"/>
              </w:rPr>
            </w:pPr>
          </w:p>
        </w:tc>
        <w:tc>
          <w:tcPr>
            <w:tcW w:w="690" w:type="dxa"/>
          </w:tcPr>
          <w:p w14:paraId="7840A22F"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75" w:type="dxa"/>
          </w:tcPr>
          <w:p w14:paraId="629AD743"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bl>
    <w:p w14:paraId="0241A312" w14:textId="77777777" w:rsidR="00485C1F" w:rsidRDefault="00485C1F">
      <w:pPr>
        <w:spacing w:line="240" w:lineRule="auto"/>
        <w:rPr>
          <w:rFonts w:ascii="Times New Roman" w:eastAsia="Times New Roman" w:hAnsi="Times New Roman" w:cs="Times New Roman"/>
          <w:b/>
          <w:bCs/>
          <w:sz w:val="24"/>
          <w:szCs w:val="24"/>
        </w:rPr>
      </w:pPr>
    </w:p>
    <w:p w14:paraId="2B199812" w14:textId="77777777" w:rsidR="00485C1F" w:rsidRDefault="00485C1F">
      <w:pPr>
        <w:spacing w:line="240" w:lineRule="auto"/>
        <w:rPr>
          <w:rFonts w:ascii="Times New Roman" w:eastAsia="Times New Roman" w:hAnsi="Times New Roman" w:cs="Times New Roman"/>
          <w:b/>
          <w:bCs/>
          <w:sz w:val="24"/>
          <w:szCs w:val="24"/>
        </w:rPr>
      </w:pPr>
    </w:p>
    <w:p w14:paraId="0FEBBCAB"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Quantitative Results/Findings</w:t>
      </w:r>
    </w:p>
    <w:p w14:paraId="61B1933B" w14:textId="77777777" w:rsidR="00485C1F" w:rsidRDefault="00485C1F">
      <w:pPr>
        <w:spacing w:line="240" w:lineRule="auto"/>
        <w:rPr>
          <w:rFonts w:ascii="Times New Roman" w:eastAsia="Times New Roman" w:hAnsi="Times New Roman" w:cs="Times New Roman"/>
          <w:sz w:val="24"/>
          <w:szCs w:val="24"/>
        </w:rPr>
      </w:pPr>
    </w:p>
    <w:p w14:paraId="746A3797"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is quantitative and assesses the seven constructs using 52 items on a seven-point Likert scale (-3 = “strongly disagree,” 0 = “neutral,” 3 = “strongly agree”). Data analysis was completed using IBM SPSS Statistics version 29. </w:t>
      </w:r>
    </w:p>
    <w:p w14:paraId="29E3910C" w14:textId="77777777" w:rsidR="00485C1F" w:rsidRDefault="00485C1F">
      <w:pPr>
        <w:spacing w:line="240" w:lineRule="auto"/>
        <w:ind w:firstLine="720"/>
        <w:rPr>
          <w:rFonts w:ascii="Times New Roman" w:eastAsia="Times New Roman" w:hAnsi="Times New Roman" w:cs="Times New Roman"/>
          <w:sz w:val="24"/>
          <w:szCs w:val="24"/>
        </w:rPr>
      </w:pPr>
    </w:p>
    <w:p w14:paraId="1A403022"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simple random sample consisted of 155 teachers who opted into the affiliation model for the 2024-2025 school year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xml:space="preserve">= 235). To calculate the simple random sample size, we used </w:t>
      </w:r>
      <w:r>
        <w:rPr>
          <w:rFonts w:ascii="Times New Roman" w:eastAsia="Times New Roman" w:hAnsi="Times New Roman" w:cs="Times New Roman"/>
          <w:sz w:val="24"/>
          <w:szCs w:val="24"/>
          <w:highlight w:val="white"/>
        </w:rPr>
        <w:t xml:space="preserve">a </w:t>
      </w:r>
      <w:r>
        <w:rPr>
          <w:rFonts w:ascii="Times New Roman" w:eastAsia="Times New Roman" w:hAnsi="Times New Roman" w:cs="Times New Roman"/>
          <w:sz w:val="24"/>
          <w:szCs w:val="24"/>
          <w:highlight w:val="white"/>
        </w:rPr>
        <w:lastRenderedPageBreak/>
        <w:t>population proportion of 50%, a confidence level of 95%, and a margin of error of 5% (</w:t>
      </w:r>
      <w:proofErr w:type="spellStart"/>
      <w:r>
        <w:rPr>
          <w:rFonts w:ascii="Times New Roman" w:eastAsia="Times New Roman" w:hAnsi="Times New Roman" w:cs="Times New Roman"/>
          <w:sz w:val="24"/>
          <w:szCs w:val="24"/>
          <w:highlight w:val="white"/>
        </w:rPr>
        <w:t>Krejcie</w:t>
      </w:r>
      <w:proofErr w:type="spellEnd"/>
      <w:r>
        <w:rPr>
          <w:rFonts w:ascii="Times New Roman" w:eastAsia="Times New Roman" w:hAnsi="Times New Roman" w:cs="Times New Roman"/>
          <w:sz w:val="24"/>
          <w:szCs w:val="24"/>
          <w:highlight w:val="white"/>
        </w:rPr>
        <w:t xml:space="preserve"> &amp; Morgan, 1970). </w:t>
      </w:r>
      <w:r>
        <w:rPr>
          <w:rFonts w:ascii="Times New Roman" w:eastAsia="Times New Roman" w:hAnsi="Times New Roman" w:cs="Times New Roman"/>
          <w:sz w:val="24"/>
          <w:szCs w:val="24"/>
        </w:rPr>
        <w:t xml:space="preserve">Overall, 64 surveys were completed, which yielded a 41.3% response rate. Early and late responses were analyzed for significant differences across the constructs, and none were found. This considers Lindner et al. (2001) and accounts for non-response bias. Since there are no significant differences, the results could be generalized to other teachers in this population. Correlations among demographic variables, including years of teaching experience, teacher gender, type of teaching credential, NAAE membership, and NCATA membership, were analyzed, and no significant differences were found (see Table 3). Summated means were calculated to represent constructs. </w:t>
      </w:r>
    </w:p>
    <w:p w14:paraId="2B8359BA" w14:textId="77777777" w:rsidR="00485C1F" w:rsidRDefault="00485C1F">
      <w:pPr>
        <w:spacing w:line="240" w:lineRule="auto"/>
        <w:rPr>
          <w:rFonts w:ascii="Times New Roman" w:eastAsia="Times New Roman" w:hAnsi="Times New Roman" w:cs="Times New Roman"/>
          <w:sz w:val="24"/>
          <w:szCs w:val="24"/>
        </w:rPr>
      </w:pPr>
    </w:p>
    <w:p w14:paraId="6915F216" w14:textId="77777777" w:rsidR="00485C1F" w:rsidRDefault="00485C1F">
      <w:pPr>
        <w:spacing w:line="240" w:lineRule="auto"/>
        <w:rPr>
          <w:rFonts w:ascii="Times New Roman" w:eastAsia="Times New Roman" w:hAnsi="Times New Roman" w:cs="Times New Roman"/>
          <w:sz w:val="24"/>
          <w:szCs w:val="24"/>
        </w:rPr>
      </w:pPr>
    </w:p>
    <w:tbl>
      <w:tblPr>
        <w:tblStyle w:val="af1"/>
        <w:tblW w:w="9360" w:type="dxa"/>
        <w:tblBorders>
          <w:top w:val="nil"/>
          <w:left w:val="nil"/>
          <w:bottom w:val="nil"/>
          <w:right w:val="nil"/>
          <w:insideH w:val="nil"/>
          <w:insideV w:val="nil"/>
        </w:tblBorders>
        <w:tblLayout w:type="fixed"/>
        <w:tblLook w:val="0400" w:firstRow="0" w:lastRow="0" w:firstColumn="0" w:lastColumn="0" w:noHBand="0" w:noVBand="1"/>
      </w:tblPr>
      <w:tblGrid>
        <w:gridCol w:w="1729"/>
        <w:gridCol w:w="881"/>
        <w:gridCol w:w="960"/>
        <w:gridCol w:w="1110"/>
        <w:gridCol w:w="1275"/>
        <w:gridCol w:w="1215"/>
        <w:gridCol w:w="1170"/>
        <w:gridCol w:w="1020"/>
      </w:tblGrid>
      <w:tr w:rsidR="00485C1F" w14:paraId="5B444FF0" w14:textId="77777777">
        <w:tc>
          <w:tcPr>
            <w:tcW w:w="9360" w:type="dxa"/>
            <w:gridSpan w:val="8"/>
            <w:tcBorders>
              <w:bottom w:val="single" w:sz="4" w:space="0" w:color="000000"/>
            </w:tcBorders>
          </w:tcPr>
          <w:p w14:paraId="09F514B5" w14:textId="77777777" w:rsidR="00485C1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w:t>
            </w:r>
          </w:p>
          <w:p w14:paraId="1A2807A6" w14:textId="77777777" w:rsidR="00485C1F" w:rsidRDefault="00485C1F">
            <w:pPr>
              <w:rPr>
                <w:rFonts w:ascii="Times New Roman" w:eastAsia="Times New Roman" w:hAnsi="Times New Roman" w:cs="Times New Roman"/>
                <w:sz w:val="24"/>
                <w:szCs w:val="24"/>
              </w:rPr>
            </w:pPr>
          </w:p>
          <w:p w14:paraId="0CBA1F02" w14:textId="77777777" w:rsidR="00485C1F"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Correlations Among Demographics and Constructs</w:t>
            </w:r>
          </w:p>
        </w:tc>
      </w:tr>
      <w:tr w:rsidR="00485C1F" w14:paraId="778C6E15" w14:textId="77777777">
        <w:trPr>
          <w:trHeight w:val="240"/>
        </w:trPr>
        <w:tc>
          <w:tcPr>
            <w:tcW w:w="1729" w:type="dxa"/>
            <w:tcBorders>
              <w:top w:val="single" w:sz="4" w:space="0" w:color="000000"/>
              <w:bottom w:val="single" w:sz="4" w:space="0" w:color="000000"/>
            </w:tcBorders>
          </w:tcPr>
          <w:p w14:paraId="66BB9D9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Demo. Variable</w:t>
            </w:r>
          </w:p>
        </w:tc>
        <w:tc>
          <w:tcPr>
            <w:tcW w:w="7631" w:type="dxa"/>
            <w:gridSpan w:val="7"/>
            <w:tcBorders>
              <w:top w:val="single" w:sz="4" w:space="0" w:color="000000"/>
              <w:bottom w:val="single" w:sz="4" w:space="0" w:color="000000"/>
            </w:tcBorders>
          </w:tcPr>
          <w:p w14:paraId="4699061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w:t>
            </w:r>
          </w:p>
        </w:tc>
      </w:tr>
      <w:tr w:rsidR="00485C1F" w14:paraId="1BC65802" w14:textId="77777777">
        <w:trPr>
          <w:trHeight w:val="566"/>
        </w:trPr>
        <w:tc>
          <w:tcPr>
            <w:tcW w:w="1729" w:type="dxa"/>
          </w:tcPr>
          <w:p w14:paraId="61681CE1" w14:textId="77777777" w:rsidR="00485C1F" w:rsidRDefault="00485C1F">
            <w:pPr>
              <w:rPr>
                <w:rFonts w:ascii="Times New Roman" w:eastAsia="Times New Roman" w:hAnsi="Times New Roman" w:cs="Times New Roman"/>
                <w:sz w:val="24"/>
                <w:szCs w:val="24"/>
              </w:rPr>
            </w:pPr>
          </w:p>
        </w:tc>
        <w:tc>
          <w:tcPr>
            <w:tcW w:w="881" w:type="dxa"/>
            <w:tcBorders>
              <w:bottom w:val="single" w:sz="8" w:space="0" w:color="000000"/>
            </w:tcBorders>
          </w:tcPr>
          <w:p w14:paraId="7228CA5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Aff vs Non</w:t>
            </w:r>
          </w:p>
        </w:tc>
        <w:tc>
          <w:tcPr>
            <w:tcW w:w="960" w:type="dxa"/>
            <w:tcBorders>
              <w:bottom w:val="single" w:sz="8" w:space="0" w:color="000000"/>
            </w:tcBorders>
          </w:tcPr>
          <w:p w14:paraId="21E6527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Engage</w:t>
            </w:r>
          </w:p>
        </w:tc>
        <w:tc>
          <w:tcPr>
            <w:tcW w:w="1110" w:type="dxa"/>
            <w:tcBorders>
              <w:bottom w:val="single" w:sz="8" w:space="0" w:color="000000"/>
            </w:tcBorders>
          </w:tcPr>
          <w:p w14:paraId="1BF5FB7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External </w:t>
            </w:r>
          </w:p>
          <w:p w14:paraId="46BDD1F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Engage</w:t>
            </w:r>
          </w:p>
        </w:tc>
        <w:tc>
          <w:tcPr>
            <w:tcW w:w="1275" w:type="dxa"/>
            <w:tcBorders>
              <w:bottom w:val="single" w:sz="8" w:space="0" w:color="000000"/>
            </w:tcBorders>
          </w:tcPr>
          <w:p w14:paraId="7B2CA54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Teacher Efficiency</w:t>
            </w:r>
          </w:p>
        </w:tc>
        <w:tc>
          <w:tcPr>
            <w:tcW w:w="1215" w:type="dxa"/>
            <w:tcBorders>
              <w:bottom w:val="single" w:sz="8" w:space="0" w:color="000000"/>
            </w:tcBorders>
          </w:tcPr>
          <w:p w14:paraId="7ACC951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Program Efficiency</w:t>
            </w:r>
          </w:p>
        </w:tc>
        <w:tc>
          <w:tcPr>
            <w:tcW w:w="1170" w:type="dxa"/>
            <w:tcBorders>
              <w:bottom w:val="single" w:sz="8" w:space="0" w:color="000000"/>
            </w:tcBorders>
          </w:tcPr>
          <w:p w14:paraId="158165F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Mgt</w:t>
            </w:r>
          </w:p>
        </w:tc>
        <w:tc>
          <w:tcPr>
            <w:tcW w:w="1020" w:type="dxa"/>
            <w:tcBorders>
              <w:bottom w:val="single" w:sz="8" w:space="0" w:color="000000"/>
            </w:tcBorders>
          </w:tcPr>
          <w:p w14:paraId="20313B8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3-Circle Model</w:t>
            </w:r>
          </w:p>
        </w:tc>
      </w:tr>
      <w:tr w:rsidR="00485C1F" w14:paraId="75BE1FE9" w14:textId="77777777">
        <w:tc>
          <w:tcPr>
            <w:tcW w:w="1729" w:type="dxa"/>
          </w:tcPr>
          <w:p w14:paraId="232AF8A7"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Years Teaching </w:t>
            </w:r>
          </w:p>
        </w:tc>
        <w:tc>
          <w:tcPr>
            <w:tcW w:w="881" w:type="dxa"/>
            <w:tcBorders>
              <w:top w:val="single" w:sz="8" w:space="0" w:color="000000"/>
            </w:tcBorders>
          </w:tcPr>
          <w:p w14:paraId="4291F3C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0.49</w:t>
            </w:r>
          </w:p>
        </w:tc>
        <w:tc>
          <w:tcPr>
            <w:tcW w:w="960" w:type="dxa"/>
            <w:tcBorders>
              <w:top w:val="single" w:sz="8" w:space="0" w:color="000000"/>
            </w:tcBorders>
          </w:tcPr>
          <w:p w14:paraId="74424D0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0.94</w:t>
            </w:r>
          </w:p>
        </w:tc>
        <w:tc>
          <w:tcPr>
            <w:tcW w:w="1110" w:type="dxa"/>
            <w:tcBorders>
              <w:top w:val="single" w:sz="8" w:space="0" w:color="000000"/>
            </w:tcBorders>
          </w:tcPr>
          <w:p w14:paraId="2E9295D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0.75</w:t>
            </w:r>
          </w:p>
        </w:tc>
        <w:tc>
          <w:tcPr>
            <w:tcW w:w="1275" w:type="dxa"/>
            <w:tcBorders>
              <w:top w:val="single" w:sz="8" w:space="0" w:color="000000"/>
            </w:tcBorders>
          </w:tcPr>
          <w:p w14:paraId="488AE95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0.99</w:t>
            </w:r>
          </w:p>
        </w:tc>
        <w:tc>
          <w:tcPr>
            <w:tcW w:w="1215" w:type="dxa"/>
            <w:tcBorders>
              <w:top w:val="single" w:sz="8" w:space="0" w:color="000000"/>
            </w:tcBorders>
          </w:tcPr>
          <w:p w14:paraId="14277E9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0.51</w:t>
            </w:r>
          </w:p>
        </w:tc>
        <w:tc>
          <w:tcPr>
            <w:tcW w:w="1170" w:type="dxa"/>
            <w:tcBorders>
              <w:top w:val="single" w:sz="8" w:space="0" w:color="000000"/>
            </w:tcBorders>
          </w:tcPr>
          <w:p w14:paraId="4A30064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0.79</w:t>
            </w:r>
          </w:p>
        </w:tc>
        <w:tc>
          <w:tcPr>
            <w:tcW w:w="1020" w:type="dxa"/>
            <w:tcBorders>
              <w:top w:val="single" w:sz="8" w:space="0" w:color="000000"/>
            </w:tcBorders>
          </w:tcPr>
          <w:p w14:paraId="2F6CA33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0.68</w:t>
            </w:r>
          </w:p>
        </w:tc>
      </w:tr>
      <w:tr w:rsidR="00485C1F" w14:paraId="2C29E980" w14:textId="77777777">
        <w:tc>
          <w:tcPr>
            <w:tcW w:w="1729" w:type="dxa"/>
          </w:tcPr>
          <w:p w14:paraId="19DB30EC"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Gender</w:t>
            </w:r>
          </w:p>
        </w:tc>
        <w:tc>
          <w:tcPr>
            <w:tcW w:w="881" w:type="dxa"/>
          </w:tcPr>
          <w:p w14:paraId="08F08A3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w:t>
            </w:r>
          </w:p>
        </w:tc>
        <w:tc>
          <w:tcPr>
            <w:tcW w:w="960" w:type="dxa"/>
          </w:tcPr>
          <w:p w14:paraId="0EF2B6C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0.87</w:t>
            </w:r>
          </w:p>
        </w:tc>
        <w:tc>
          <w:tcPr>
            <w:tcW w:w="1110" w:type="dxa"/>
          </w:tcPr>
          <w:p w14:paraId="105A812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0.95</w:t>
            </w:r>
          </w:p>
        </w:tc>
        <w:tc>
          <w:tcPr>
            <w:tcW w:w="1275" w:type="dxa"/>
          </w:tcPr>
          <w:p w14:paraId="7B1989F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0.86</w:t>
            </w:r>
          </w:p>
        </w:tc>
        <w:tc>
          <w:tcPr>
            <w:tcW w:w="1215" w:type="dxa"/>
          </w:tcPr>
          <w:p w14:paraId="1DCF7A1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w:t>
            </w:r>
          </w:p>
        </w:tc>
        <w:tc>
          <w:tcPr>
            <w:tcW w:w="1170" w:type="dxa"/>
          </w:tcPr>
          <w:p w14:paraId="3B8A98D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0.29</w:t>
            </w:r>
          </w:p>
        </w:tc>
        <w:tc>
          <w:tcPr>
            <w:tcW w:w="1020" w:type="dxa"/>
          </w:tcPr>
          <w:p w14:paraId="4F1678E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0.33</w:t>
            </w:r>
          </w:p>
        </w:tc>
      </w:tr>
      <w:tr w:rsidR="00485C1F" w14:paraId="5D6B53F2" w14:textId="77777777">
        <w:tc>
          <w:tcPr>
            <w:tcW w:w="1729" w:type="dxa"/>
          </w:tcPr>
          <w:p w14:paraId="5EEF9F53"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Credential </w:t>
            </w:r>
          </w:p>
        </w:tc>
        <w:tc>
          <w:tcPr>
            <w:tcW w:w="881" w:type="dxa"/>
          </w:tcPr>
          <w:p w14:paraId="29C02C7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0.12</w:t>
            </w:r>
          </w:p>
        </w:tc>
        <w:tc>
          <w:tcPr>
            <w:tcW w:w="960" w:type="dxa"/>
          </w:tcPr>
          <w:p w14:paraId="4C7687A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0.25</w:t>
            </w:r>
          </w:p>
        </w:tc>
        <w:tc>
          <w:tcPr>
            <w:tcW w:w="1110" w:type="dxa"/>
          </w:tcPr>
          <w:p w14:paraId="7A3E006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0.31</w:t>
            </w:r>
          </w:p>
        </w:tc>
        <w:tc>
          <w:tcPr>
            <w:tcW w:w="1275" w:type="dxa"/>
          </w:tcPr>
          <w:p w14:paraId="37A181B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0.46</w:t>
            </w:r>
          </w:p>
        </w:tc>
        <w:tc>
          <w:tcPr>
            <w:tcW w:w="1215" w:type="dxa"/>
          </w:tcPr>
          <w:p w14:paraId="49FA730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0.36</w:t>
            </w:r>
          </w:p>
        </w:tc>
        <w:tc>
          <w:tcPr>
            <w:tcW w:w="1170" w:type="dxa"/>
          </w:tcPr>
          <w:p w14:paraId="281C48D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0.25</w:t>
            </w:r>
          </w:p>
        </w:tc>
        <w:tc>
          <w:tcPr>
            <w:tcW w:w="1020" w:type="dxa"/>
          </w:tcPr>
          <w:p w14:paraId="6023EDE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0.37</w:t>
            </w:r>
          </w:p>
        </w:tc>
      </w:tr>
      <w:tr w:rsidR="00485C1F" w14:paraId="708FE5D8" w14:textId="77777777">
        <w:tc>
          <w:tcPr>
            <w:tcW w:w="1729" w:type="dxa"/>
          </w:tcPr>
          <w:p w14:paraId="79804340"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NAAE </w:t>
            </w:r>
          </w:p>
        </w:tc>
        <w:tc>
          <w:tcPr>
            <w:tcW w:w="881" w:type="dxa"/>
          </w:tcPr>
          <w:p w14:paraId="48A0F45F"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0.51</w:t>
            </w:r>
          </w:p>
        </w:tc>
        <w:tc>
          <w:tcPr>
            <w:tcW w:w="960" w:type="dxa"/>
          </w:tcPr>
          <w:p w14:paraId="61CBBF9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0.28</w:t>
            </w:r>
          </w:p>
        </w:tc>
        <w:tc>
          <w:tcPr>
            <w:tcW w:w="1110" w:type="dxa"/>
          </w:tcPr>
          <w:p w14:paraId="6082175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0.77</w:t>
            </w:r>
          </w:p>
        </w:tc>
        <w:tc>
          <w:tcPr>
            <w:tcW w:w="1275" w:type="dxa"/>
          </w:tcPr>
          <w:p w14:paraId="79C543E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0.90</w:t>
            </w:r>
          </w:p>
        </w:tc>
        <w:tc>
          <w:tcPr>
            <w:tcW w:w="1215" w:type="dxa"/>
          </w:tcPr>
          <w:p w14:paraId="1FCA1D8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0.18</w:t>
            </w:r>
          </w:p>
        </w:tc>
        <w:tc>
          <w:tcPr>
            <w:tcW w:w="1170" w:type="dxa"/>
          </w:tcPr>
          <w:p w14:paraId="27DC8C0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0.36</w:t>
            </w:r>
          </w:p>
        </w:tc>
        <w:tc>
          <w:tcPr>
            <w:tcW w:w="1020" w:type="dxa"/>
          </w:tcPr>
          <w:p w14:paraId="52F3DDC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0.81</w:t>
            </w:r>
          </w:p>
        </w:tc>
      </w:tr>
      <w:tr w:rsidR="00485C1F" w14:paraId="734B5369" w14:textId="77777777">
        <w:tc>
          <w:tcPr>
            <w:tcW w:w="1729" w:type="dxa"/>
          </w:tcPr>
          <w:p w14:paraId="5B718568"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NCATA </w:t>
            </w:r>
          </w:p>
        </w:tc>
        <w:tc>
          <w:tcPr>
            <w:tcW w:w="881" w:type="dxa"/>
          </w:tcPr>
          <w:p w14:paraId="2D17BCE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960" w:type="dxa"/>
          </w:tcPr>
          <w:p w14:paraId="02B5ABE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0.45</w:t>
            </w:r>
          </w:p>
        </w:tc>
        <w:tc>
          <w:tcPr>
            <w:tcW w:w="1110" w:type="dxa"/>
          </w:tcPr>
          <w:p w14:paraId="0E907E2F"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0.52</w:t>
            </w:r>
          </w:p>
        </w:tc>
        <w:tc>
          <w:tcPr>
            <w:tcW w:w="1275" w:type="dxa"/>
          </w:tcPr>
          <w:p w14:paraId="58458C9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1215" w:type="dxa"/>
          </w:tcPr>
          <w:p w14:paraId="7F2E900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0.74</w:t>
            </w:r>
          </w:p>
        </w:tc>
        <w:tc>
          <w:tcPr>
            <w:tcW w:w="1170" w:type="dxa"/>
          </w:tcPr>
          <w:p w14:paraId="3859732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0.44</w:t>
            </w:r>
          </w:p>
        </w:tc>
        <w:tc>
          <w:tcPr>
            <w:tcW w:w="1020" w:type="dxa"/>
          </w:tcPr>
          <w:p w14:paraId="5AA47C8F"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0.96</w:t>
            </w:r>
          </w:p>
        </w:tc>
      </w:tr>
    </w:tbl>
    <w:p w14:paraId="2BCBDEB4" w14:textId="77777777" w:rsidR="00485C1F" w:rsidRDefault="00485C1F">
      <w:pPr>
        <w:spacing w:line="240" w:lineRule="auto"/>
        <w:rPr>
          <w:rFonts w:ascii="Times New Roman" w:eastAsia="Times New Roman" w:hAnsi="Times New Roman" w:cs="Times New Roman"/>
          <w:sz w:val="24"/>
          <w:szCs w:val="24"/>
        </w:rPr>
      </w:pPr>
    </w:p>
    <w:p w14:paraId="472B6719" w14:textId="77777777" w:rsidR="00485C1F" w:rsidRDefault="00485C1F">
      <w:pPr>
        <w:spacing w:line="240" w:lineRule="auto"/>
        <w:rPr>
          <w:rFonts w:ascii="Times New Roman" w:eastAsia="Times New Roman" w:hAnsi="Times New Roman" w:cs="Times New Roman"/>
          <w:sz w:val="24"/>
          <w:szCs w:val="24"/>
        </w:rPr>
      </w:pPr>
    </w:p>
    <w:p w14:paraId="671EFD66"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original program efficiency construct included many questions (n = 17), which may have inflated Cronbach’s alpha due to the high number (Field, 2018). It was decided to break it down into two constructs: teacher efficiency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10) and program efficiency (</w:t>
      </w:r>
      <w:r>
        <w:rPr>
          <w:rFonts w:ascii="Times New Roman" w:eastAsia="Times New Roman" w:hAnsi="Times New Roman" w:cs="Times New Roman"/>
          <w:i/>
          <w:iCs/>
          <w:sz w:val="24"/>
          <w:szCs w:val="24"/>
        </w:rPr>
        <w:t xml:space="preserve">n </w:t>
      </w:r>
      <w:r>
        <w:rPr>
          <w:rFonts w:ascii="Times New Roman" w:eastAsia="Times New Roman" w:hAnsi="Times New Roman" w:cs="Times New Roman"/>
          <w:sz w:val="24"/>
          <w:szCs w:val="24"/>
        </w:rPr>
        <w:t xml:space="preserve">= 7). All constructs (financial management, integration of the three-circle model, student engagement, external engagement, teacher efficiency, program efficiency, and affiliation versus non-affiliation engagement) were analyzed using Cronbach’s Alpha </w:t>
      </w:r>
      <w:r>
        <w:rPr>
          <w:rFonts w:ascii="Times New Roman" w:eastAsia="Times New Roman" w:hAnsi="Times New Roman" w:cs="Times New Roman"/>
          <w:i/>
          <w:iCs/>
          <w:sz w:val="24"/>
          <w:szCs w:val="24"/>
        </w:rPr>
        <w:t xml:space="preserve">post-hoc </w:t>
      </w:r>
      <w:r>
        <w:rPr>
          <w:rFonts w:ascii="Times New Roman" w:eastAsia="Times New Roman" w:hAnsi="Times New Roman" w:cs="Times New Roman"/>
          <w:sz w:val="24"/>
          <w:szCs w:val="24"/>
        </w:rPr>
        <w:t xml:space="preserve">to assess reliability (see Table 3). Questions that were negatively phrased were </w:t>
      </w:r>
      <w:proofErr w:type="gramStart"/>
      <w:r>
        <w:rPr>
          <w:rFonts w:ascii="Times New Roman" w:eastAsia="Times New Roman" w:hAnsi="Times New Roman" w:cs="Times New Roman"/>
          <w:sz w:val="24"/>
          <w:szCs w:val="24"/>
        </w:rPr>
        <w:t>reverse-coded</w:t>
      </w:r>
      <w:proofErr w:type="gramEnd"/>
      <w:r>
        <w:rPr>
          <w:rFonts w:ascii="Times New Roman" w:eastAsia="Times New Roman" w:hAnsi="Times New Roman" w:cs="Times New Roman"/>
          <w:sz w:val="24"/>
          <w:szCs w:val="24"/>
        </w:rPr>
        <w:t xml:space="preserve"> to ensure Cronbach’s alpha was most reliable and on a succinct scale (Field, 2018). All constructs had a 𝛂 above 0.85 (see Table 3), which is acceptable (</w:t>
      </w:r>
      <w:proofErr w:type="spellStart"/>
      <w:r>
        <w:rPr>
          <w:rFonts w:ascii="Times New Roman" w:eastAsia="Times New Roman" w:hAnsi="Times New Roman" w:cs="Times New Roman"/>
          <w:sz w:val="24"/>
          <w:szCs w:val="24"/>
        </w:rPr>
        <w:t>Tavakol</w:t>
      </w:r>
      <w:proofErr w:type="spellEnd"/>
      <w:r>
        <w:rPr>
          <w:rFonts w:ascii="Times New Roman" w:eastAsia="Times New Roman" w:hAnsi="Times New Roman" w:cs="Times New Roman"/>
          <w:sz w:val="24"/>
          <w:szCs w:val="24"/>
        </w:rPr>
        <w:t xml:space="preserve"> &amp; Dennick, 2011). </w:t>
      </w:r>
    </w:p>
    <w:p w14:paraId="2AEC31A9" w14:textId="77777777" w:rsidR="00485C1F" w:rsidRDefault="00485C1F">
      <w:pPr>
        <w:spacing w:line="240" w:lineRule="auto"/>
        <w:ind w:firstLine="720"/>
        <w:rPr>
          <w:rFonts w:ascii="Times New Roman" w:eastAsia="Times New Roman" w:hAnsi="Times New Roman" w:cs="Times New Roman"/>
          <w:sz w:val="24"/>
          <w:szCs w:val="24"/>
        </w:rPr>
      </w:pPr>
    </w:p>
    <w:p w14:paraId="4239E0AF"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 the Likert scale, means of -3.00 to -2.15 were ranked as “strongly disagree,” -2.14 to -1.30 as “disagree,” -1.29 to -0.44 as “slightly disagree,” -0.43 to 0.43 as “neutral,” 0.44 to 1.29 as “slightly agree,” 1.30 to 2.14 as “agree,” and 2.15 to 3.00 as “strongly agree.” The research team created these categories to be 0.85 apart to account for an even spread across the seven-point Likert scale. All summated means of constructs fell into the neutral category (see Table 4).</w:t>
      </w:r>
    </w:p>
    <w:p w14:paraId="416D6D92" w14:textId="77777777" w:rsidR="00485C1F" w:rsidRDefault="00485C1F">
      <w:pPr>
        <w:rPr>
          <w:rFonts w:ascii="Times New Roman" w:eastAsia="Times New Roman" w:hAnsi="Times New Roman" w:cs="Times New Roman"/>
          <w:sz w:val="24"/>
          <w:szCs w:val="24"/>
        </w:rPr>
      </w:pPr>
    </w:p>
    <w:tbl>
      <w:tblPr>
        <w:tblStyle w:val="af2"/>
        <w:tblW w:w="9360" w:type="dxa"/>
        <w:tblBorders>
          <w:top w:val="nil"/>
          <w:left w:val="nil"/>
          <w:bottom w:val="nil"/>
          <w:right w:val="nil"/>
          <w:insideH w:val="nil"/>
          <w:insideV w:val="nil"/>
        </w:tblBorders>
        <w:tblLayout w:type="fixed"/>
        <w:tblLook w:val="0400" w:firstRow="0" w:lastRow="0" w:firstColumn="0" w:lastColumn="0" w:noHBand="0" w:noVBand="1"/>
      </w:tblPr>
      <w:tblGrid>
        <w:gridCol w:w="3425"/>
        <w:gridCol w:w="811"/>
        <w:gridCol w:w="1157"/>
        <w:gridCol w:w="811"/>
        <w:gridCol w:w="1082"/>
        <w:gridCol w:w="812"/>
        <w:gridCol w:w="1262"/>
      </w:tblGrid>
      <w:tr w:rsidR="00485C1F" w14:paraId="215D8F75" w14:textId="77777777">
        <w:tc>
          <w:tcPr>
            <w:tcW w:w="9360" w:type="dxa"/>
            <w:gridSpan w:val="7"/>
            <w:tcBorders>
              <w:bottom w:val="single" w:sz="4" w:space="0" w:color="000000"/>
            </w:tcBorders>
          </w:tcPr>
          <w:p w14:paraId="1E114545" w14:textId="77777777" w:rsidR="00485C1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4</w:t>
            </w:r>
          </w:p>
          <w:p w14:paraId="179B29A2" w14:textId="77777777" w:rsidR="00485C1F" w:rsidRDefault="00485C1F">
            <w:pPr>
              <w:rPr>
                <w:rFonts w:ascii="Times New Roman" w:eastAsia="Times New Roman" w:hAnsi="Times New Roman" w:cs="Times New Roman"/>
                <w:b/>
                <w:bCs/>
                <w:sz w:val="24"/>
                <w:szCs w:val="24"/>
              </w:rPr>
            </w:pPr>
          </w:p>
          <w:p w14:paraId="3698DCDB" w14:textId="77777777" w:rsidR="00485C1F" w:rsidRDefault="00000000">
            <w:pPr>
              <w:rPr>
                <w:rFonts w:ascii="Times New Roman" w:eastAsia="Times New Roman" w:hAnsi="Times New Roman" w:cs="Times New Roman"/>
                <w:i/>
                <w:iCs/>
                <w:sz w:val="24"/>
                <w:szCs w:val="24"/>
              </w:rPr>
            </w:pPr>
            <w:r>
              <w:rPr>
                <w:rFonts w:ascii="Times New Roman" w:eastAsia="Times New Roman" w:hAnsi="Times New Roman" w:cs="Times New Roman"/>
                <w:sz w:val="24"/>
                <w:szCs w:val="24"/>
              </w:rPr>
              <w:t>Summated Means, Medians, and Modes of the Seven Constructs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64-72).</w:t>
            </w:r>
          </w:p>
        </w:tc>
      </w:tr>
      <w:tr w:rsidR="00485C1F" w14:paraId="726020D5" w14:textId="77777777">
        <w:tc>
          <w:tcPr>
            <w:tcW w:w="3425" w:type="dxa"/>
            <w:vMerge w:val="restart"/>
            <w:tcBorders>
              <w:top w:val="single" w:sz="4" w:space="0" w:color="000000"/>
            </w:tcBorders>
            <w:vAlign w:val="bottom"/>
          </w:tcPr>
          <w:p w14:paraId="1D55437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w:t>
            </w:r>
          </w:p>
        </w:tc>
        <w:tc>
          <w:tcPr>
            <w:tcW w:w="811" w:type="dxa"/>
            <w:vMerge w:val="restart"/>
            <w:tcBorders>
              <w:top w:val="single" w:sz="4" w:space="0" w:color="000000"/>
            </w:tcBorders>
            <w:vAlign w:val="bottom"/>
          </w:tcPr>
          <w:p w14:paraId="6B08E18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Items (#)</w:t>
            </w:r>
          </w:p>
        </w:tc>
        <w:tc>
          <w:tcPr>
            <w:tcW w:w="1157" w:type="dxa"/>
            <w:vMerge w:val="restart"/>
            <w:tcBorders>
              <w:top w:val="single" w:sz="4" w:space="0" w:color="000000"/>
            </w:tcBorders>
            <w:vAlign w:val="bottom"/>
          </w:tcPr>
          <w:p w14:paraId="4EC1AB1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Response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w:t>
            </w:r>
          </w:p>
        </w:tc>
        <w:tc>
          <w:tcPr>
            <w:tcW w:w="2705" w:type="dxa"/>
            <w:gridSpan w:val="3"/>
            <w:tcBorders>
              <w:top w:val="single" w:sz="4" w:space="0" w:color="000000"/>
              <w:bottom w:val="single" w:sz="4" w:space="0" w:color="000000"/>
            </w:tcBorders>
            <w:vAlign w:val="bottom"/>
          </w:tcPr>
          <w:p w14:paraId="76CDC5D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Summated</w:t>
            </w:r>
          </w:p>
        </w:tc>
        <w:tc>
          <w:tcPr>
            <w:tcW w:w="1262" w:type="dxa"/>
            <w:vMerge w:val="restart"/>
            <w:tcBorders>
              <w:top w:val="single" w:sz="4" w:space="0" w:color="000000"/>
            </w:tcBorders>
            <w:vAlign w:val="bottom"/>
          </w:tcPr>
          <w:p w14:paraId="4F2C525A"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Reliability (α)</w:t>
            </w:r>
          </w:p>
        </w:tc>
      </w:tr>
      <w:tr w:rsidR="00485C1F" w14:paraId="76B41692" w14:textId="77777777">
        <w:tc>
          <w:tcPr>
            <w:tcW w:w="3425" w:type="dxa"/>
            <w:vMerge/>
            <w:tcBorders>
              <w:top w:val="single" w:sz="4" w:space="0" w:color="000000"/>
            </w:tcBorders>
            <w:vAlign w:val="bottom"/>
          </w:tcPr>
          <w:p w14:paraId="6CD878EC" w14:textId="77777777" w:rsidR="00485C1F" w:rsidRDefault="00485C1F">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811" w:type="dxa"/>
            <w:vMerge/>
            <w:tcBorders>
              <w:top w:val="single" w:sz="4" w:space="0" w:color="000000"/>
            </w:tcBorders>
            <w:vAlign w:val="bottom"/>
          </w:tcPr>
          <w:p w14:paraId="47A3E501" w14:textId="77777777" w:rsidR="00485C1F" w:rsidRDefault="00485C1F">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1157" w:type="dxa"/>
            <w:vMerge/>
            <w:tcBorders>
              <w:top w:val="single" w:sz="4" w:space="0" w:color="000000"/>
            </w:tcBorders>
            <w:vAlign w:val="bottom"/>
          </w:tcPr>
          <w:p w14:paraId="75952729" w14:textId="77777777" w:rsidR="00485C1F" w:rsidRDefault="00485C1F">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c>
          <w:tcPr>
            <w:tcW w:w="811" w:type="dxa"/>
            <w:tcBorders>
              <w:top w:val="single" w:sz="4" w:space="0" w:color="000000"/>
              <w:bottom w:val="single" w:sz="4" w:space="0" w:color="000000"/>
            </w:tcBorders>
            <w:vAlign w:val="bottom"/>
          </w:tcPr>
          <w:p w14:paraId="760C3AE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 </w:t>
            </w:r>
          </w:p>
        </w:tc>
        <w:tc>
          <w:tcPr>
            <w:tcW w:w="1082" w:type="dxa"/>
            <w:tcBorders>
              <w:top w:val="single" w:sz="4" w:space="0" w:color="000000"/>
              <w:bottom w:val="single" w:sz="4" w:space="0" w:color="000000"/>
            </w:tcBorders>
            <w:vAlign w:val="bottom"/>
          </w:tcPr>
          <w:p w14:paraId="4E3C255A"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Median</w:t>
            </w:r>
          </w:p>
        </w:tc>
        <w:tc>
          <w:tcPr>
            <w:tcW w:w="812" w:type="dxa"/>
            <w:tcBorders>
              <w:top w:val="single" w:sz="4" w:space="0" w:color="000000"/>
              <w:bottom w:val="single" w:sz="4" w:space="0" w:color="000000"/>
            </w:tcBorders>
            <w:vAlign w:val="bottom"/>
          </w:tcPr>
          <w:p w14:paraId="7471D68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w:t>
            </w:r>
          </w:p>
        </w:tc>
        <w:tc>
          <w:tcPr>
            <w:tcW w:w="1262" w:type="dxa"/>
            <w:vMerge/>
            <w:tcBorders>
              <w:top w:val="single" w:sz="4" w:space="0" w:color="000000"/>
            </w:tcBorders>
            <w:vAlign w:val="bottom"/>
          </w:tcPr>
          <w:p w14:paraId="4E3F8A93" w14:textId="77777777" w:rsidR="00485C1F" w:rsidRDefault="00485C1F">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c>
      </w:tr>
      <w:tr w:rsidR="00485C1F" w14:paraId="5ED7630D" w14:textId="77777777">
        <w:tc>
          <w:tcPr>
            <w:tcW w:w="3425" w:type="dxa"/>
          </w:tcPr>
          <w:p w14:paraId="75D2D1D4"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Engagement</w:t>
            </w:r>
          </w:p>
        </w:tc>
        <w:tc>
          <w:tcPr>
            <w:tcW w:w="811" w:type="dxa"/>
          </w:tcPr>
          <w:p w14:paraId="33C8965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57" w:type="dxa"/>
          </w:tcPr>
          <w:p w14:paraId="313C903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w:t>
            </w:r>
          </w:p>
        </w:tc>
        <w:tc>
          <w:tcPr>
            <w:tcW w:w="811" w:type="dxa"/>
          </w:tcPr>
          <w:p w14:paraId="7B74D36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1.26</w:t>
            </w:r>
          </w:p>
        </w:tc>
        <w:tc>
          <w:tcPr>
            <w:tcW w:w="1082" w:type="dxa"/>
          </w:tcPr>
          <w:p w14:paraId="4BDE552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w:t>
            </w:r>
          </w:p>
        </w:tc>
        <w:tc>
          <w:tcPr>
            <w:tcW w:w="812" w:type="dxa"/>
          </w:tcPr>
          <w:p w14:paraId="2B75B16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w:t>
            </w:r>
          </w:p>
        </w:tc>
        <w:tc>
          <w:tcPr>
            <w:tcW w:w="1262" w:type="dxa"/>
          </w:tcPr>
          <w:p w14:paraId="5D2490E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w:t>
            </w:r>
          </w:p>
        </w:tc>
      </w:tr>
      <w:tr w:rsidR="00485C1F" w14:paraId="2D06A527" w14:textId="77777777">
        <w:tc>
          <w:tcPr>
            <w:tcW w:w="3425" w:type="dxa"/>
          </w:tcPr>
          <w:p w14:paraId="07FFDCF7"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Teacher Efficiency</w:t>
            </w:r>
          </w:p>
        </w:tc>
        <w:tc>
          <w:tcPr>
            <w:tcW w:w="811" w:type="dxa"/>
          </w:tcPr>
          <w:p w14:paraId="7DCCB12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157" w:type="dxa"/>
          </w:tcPr>
          <w:p w14:paraId="30B4A1DF"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c>
          <w:tcPr>
            <w:tcW w:w="811" w:type="dxa"/>
          </w:tcPr>
          <w:p w14:paraId="1CB2C22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082" w:type="dxa"/>
          </w:tcPr>
          <w:p w14:paraId="10CF195A"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812" w:type="dxa"/>
          </w:tcPr>
          <w:p w14:paraId="740C5A9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1262" w:type="dxa"/>
          </w:tcPr>
          <w:p w14:paraId="18FC95A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r>
      <w:tr w:rsidR="00485C1F" w14:paraId="237E8A70" w14:textId="77777777">
        <w:trPr>
          <w:trHeight w:val="222"/>
        </w:trPr>
        <w:tc>
          <w:tcPr>
            <w:tcW w:w="3425" w:type="dxa"/>
          </w:tcPr>
          <w:p w14:paraId="72FA8F73"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of the 3-Circle Model</w:t>
            </w:r>
          </w:p>
        </w:tc>
        <w:tc>
          <w:tcPr>
            <w:tcW w:w="811" w:type="dxa"/>
          </w:tcPr>
          <w:p w14:paraId="115E172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157" w:type="dxa"/>
          </w:tcPr>
          <w:p w14:paraId="61AB0E0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c>
          <w:tcPr>
            <w:tcW w:w="811" w:type="dxa"/>
          </w:tcPr>
          <w:p w14:paraId="7A47159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1082" w:type="dxa"/>
          </w:tcPr>
          <w:p w14:paraId="141407E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1.13</w:t>
            </w:r>
          </w:p>
        </w:tc>
        <w:tc>
          <w:tcPr>
            <w:tcW w:w="812" w:type="dxa"/>
          </w:tcPr>
          <w:p w14:paraId="5F806F8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0.63</w:t>
            </w:r>
          </w:p>
        </w:tc>
        <w:tc>
          <w:tcPr>
            <w:tcW w:w="1262" w:type="dxa"/>
          </w:tcPr>
          <w:p w14:paraId="5D44625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r>
      <w:tr w:rsidR="00485C1F" w14:paraId="332F6753" w14:textId="77777777">
        <w:trPr>
          <w:trHeight w:val="276"/>
        </w:trPr>
        <w:tc>
          <w:tcPr>
            <w:tcW w:w="3425" w:type="dxa"/>
          </w:tcPr>
          <w:p w14:paraId="4891BFCE"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Engagement</w:t>
            </w:r>
          </w:p>
        </w:tc>
        <w:tc>
          <w:tcPr>
            <w:tcW w:w="811" w:type="dxa"/>
          </w:tcPr>
          <w:p w14:paraId="1A7828D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57" w:type="dxa"/>
          </w:tcPr>
          <w:p w14:paraId="0EC476C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w:t>
            </w:r>
          </w:p>
        </w:tc>
        <w:tc>
          <w:tcPr>
            <w:tcW w:w="811" w:type="dxa"/>
          </w:tcPr>
          <w:p w14:paraId="220CCD7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0.68</w:t>
            </w:r>
          </w:p>
        </w:tc>
        <w:tc>
          <w:tcPr>
            <w:tcW w:w="1082" w:type="dxa"/>
          </w:tcPr>
          <w:p w14:paraId="603311AA"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w:t>
            </w:r>
          </w:p>
        </w:tc>
        <w:tc>
          <w:tcPr>
            <w:tcW w:w="812" w:type="dxa"/>
          </w:tcPr>
          <w:p w14:paraId="223992E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62" w:type="dxa"/>
          </w:tcPr>
          <w:p w14:paraId="15C49FB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w:t>
            </w:r>
          </w:p>
        </w:tc>
      </w:tr>
      <w:tr w:rsidR="00485C1F" w14:paraId="12131A18" w14:textId="77777777">
        <w:tc>
          <w:tcPr>
            <w:tcW w:w="3425" w:type="dxa"/>
          </w:tcPr>
          <w:p w14:paraId="3C9BB810"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Affiliation vs. </w:t>
            </w:r>
            <w:proofErr w:type="gramStart"/>
            <w:r>
              <w:rPr>
                <w:rFonts w:ascii="Times New Roman" w:eastAsia="Times New Roman" w:hAnsi="Times New Roman" w:cs="Times New Roman"/>
                <w:sz w:val="24"/>
                <w:szCs w:val="24"/>
              </w:rPr>
              <w:t>Non-Aff</w:t>
            </w:r>
            <w:proofErr w:type="gramEnd"/>
            <w:r>
              <w:rPr>
                <w:rFonts w:ascii="Times New Roman" w:eastAsia="Times New Roman" w:hAnsi="Times New Roman" w:cs="Times New Roman"/>
                <w:sz w:val="24"/>
                <w:szCs w:val="24"/>
              </w:rPr>
              <w:t>. Engage.</w:t>
            </w:r>
          </w:p>
        </w:tc>
        <w:tc>
          <w:tcPr>
            <w:tcW w:w="811" w:type="dxa"/>
          </w:tcPr>
          <w:p w14:paraId="3CF120A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157" w:type="dxa"/>
          </w:tcPr>
          <w:p w14:paraId="097E23D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c>
          <w:tcPr>
            <w:tcW w:w="811" w:type="dxa"/>
          </w:tcPr>
          <w:p w14:paraId="47310CE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0.66</w:t>
            </w:r>
          </w:p>
        </w:tc>
        <w:tc>
          <w:tcPr>
            <w:tcW w:w="1082" w:type="dxa"/>
          </w:tcPr>
          <w:p w14:paraId="3FC7C23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0.83</w:t>
            </w:r>
          </w:p>
        </w:tc>
        <w:tc>
          <w:tcPr>
            <w:tcW w:w="812" w:type="dxa"/>
          </w:tcPr>
          <w:p w14:paraId="6D71C35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62" w:type="dxa"/>
          </w:tcPr>
          <w:p w14:paraId="405EDB6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r>
      <w:tr w:rsidR="00485C1F" w14:paraId="517C0470" w14:textId="77777777">
        <w:tc>
          <w:tcPr>
            <w:tcW w:w="3425" w:type="dxa"/>
          </w:tcPr>
          <w:p w14:paraId="01DCB5E2"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Program Efficiency</w:t>
            </w:r>
          </w:p>
        </w:tc>
        <w:tc>
          <w:tcPr>
            <w:tcW w:w="811" w:type="dxa"/>
          </w:tcPr>
          <w:p w14:paraId="0B3A443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57" w:type="dxa"/>
          </w:tcPr>
          <w:p w14:paraId="5556E24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c>
          <w:tcPr>
            <w:tcW w:w="811" w:type="dxa"/>
          </w:tcPr>
          <w:p w14:paraId="0133531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w:t>
            </w:r>
          </w:p>
        </w:tc>
        <w:tc>
          <w:tcPr>
            <w:tcW w:w="1082" w:type="dxa"/>
          </w:tcPr>
          <w:p w14:paraId="29066DD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812" w:type="dxa"/>
          </w:tcPr>
          <w:p w14:paraId="76B0D9E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1262" w:type="dxa"/>
          </w:tcPr>
          <w:p w14:paraId="79A531FF"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r>
      <w:tr w:rsidR="00485C1F" w14:paraId="3CFC71F2" w14:textId="77777777">
        <w:trPr>
          <w:trHeight w:val="267"/>
        </w:trPr>
        <w:tc>
          <w:tcPr>
            <w:tcW w:w="3425" w:type="dxa"/>
          </w:tcPr>
          <w:p w14:paraId="1DC31FD2"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Management</w:t>
            </w:r>
          </w:p>
        </w:tc>
        <w:tc>
          <w:tcPr>
            <w:tcW w:w="811" w:type="dxa"/>
          </w:tcPr>
          <w:p w14:paraId="61A87AA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57" w:type="dxa"/>
          </w:tcPr>
          <w:p w14:paraId="1777325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c>
          <w:tcPr>
            <w:tcW w:w="811" w:type="dxa"/>
          </w:tcPr>
          <w:p w14:paraId="52D1FD6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0.59</w:t>
            </w:r>
          </w:p>
        </w:tc>
        <w:tc>
          <w:tcPr>
            <w:tcW w:w="1082" w:type="dxa"/>
          </w:tcPr>
          <w:p w14:paraId="5CF255A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0.71</w:t>
            </w:r>
          </w:p>
        </w:tc>
        <w:tc>
          <w:tcPr>
            <w:tcW w:w="812" w:type="dxa"/>
          </w:tcPr>
          <w:p w14:paraId="57CD5C6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62" w:type="dxa"/>
          </w:tcPr>
          <w:p w14:paraId="7C5DFE9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.89</w:t>
            </w:r>
          </w:p>
        </w:tc>
      </w:tr>
      <w:tr w:rsidR="00485C1F" w14:paraId="5644878B" w14:textId="77777777">
        <w:tc>
          <w:tcPr>
            <w:tcW w:w="9360" w:type="dxa"/>
            <w:gridSpan w:val="7"/>
            <w:tcBorders>
              <w:top w:val="single" w:sz="4" w:space="0" w:color="000000"/>
            </w:tcBorders>
          </w:tcPr>
          <w:p w14:paraId="3BAC2642"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Note.</w:t>
            </w:r>
            <w:r>
              <w:rPr>
                <w:rFonts w:ascii="Times New Roman" w:eastAsia="Times New Roman" w:hAnsi="Times New Roman" w:cs="Times New Roman"/>
                <w:sz w:val="24"/>
                <w:szCs w:val="24"/>
              </w:rPr>
              <w:t xml:space="preserve"> Strongly disagree = -3 to -2.15, disagree = -2.14 to -1.30, slightly disagree = -1.29 to -0.43, neutral = -0.43 to 0.43, slightly agree = 0.44 to 1.29, agree = 1.30 to 2.14, strongly agree = 2.15 to 3.00 and ordered by highest mean.</w:t>
            </w:r>
          </w:p>
        </w:tc>
      </w:tr>
    </w:tbl>
    <w:p w14:paraId="1E10C9F9"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5210D35"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analyzing simple means, medians, and modes, it was noted that the responses from some participants were skewed. Several medians and modes were higher than the means, thus analyses of frequencies of the summated means were conducted. The simple means gave more power to the relatively few respondents who disagreed with the constructs. The highest percentage of responses was in the agree range for five out of the seven constructs: student engagement, teacher efficiency, integration of the three-circle model, financial management, and affiliation versus non-affiliation engagement (see Table 5). </w:t>
      </w:r>
    </w:p>
    <w:p w14:paraId="6004631F" w14:textId="77777777" w:rsidR="00485C1F" w:rsidRDefault="00485C1F">
      <w:pPr>
        <w:spacing w:line="240" w:lineRule="auto"/>
        <w:rPr>
          <w:rFonts w:ascii="Times New Roman" w:eastAsia="Times New Roman" w:hAnsi="Times New Roman" w:cs="Times New Roman"/>
          <w:sz w:val="24"/>
          <w:szCs w:val="24"/>
        </w:rPr>
      </w:pPr>
    </w:p>
    <w:tbl>
      <w:tblPr>
        <w:tblStyle w:val="af3"/>
        <w:tblW w:w="9360" w:type="dxa"/>
        <w:tblBorders>
          <w:top w:val="nil"/>
          <w:left w:val="nil"/>
          <w:bottom w:val="nil"/>
          <w:right w:val="nil"/>
          <w:insideH w:val="nil"/>
          <w:insideV w:val="nil"/>
        </w:tblBorders>
        <w:tblLayout w:type="fixed"/>
        <w:tblLook w:val="0400" w:firstRow="0" w:lastRow="0" w:firstColumn="0" w:lastColumn="0" w:noHBand="0" w:noVBand="1"/>
      </w:tblPr>
      <w:tblGrid>
        <w:gridCol w:w="2250"/>
        <w:gridCol w:w="1080"/>
        <w:gridCol w:w="1076"/>
        <w:gridCol w:w="1072"/>
        <w:gridCol w:w="936"/>
        <w:gridCol w:w="977"/>
        <w:gridCol w:w="926"/>
        <w:gridCol w:w="1043"/>
      </w:tblGrid>
      <w:tr w:rsidR="00485C1F" w14:paraId="3FB7A3EF" w14:textId="77777777">
        <w:tc>
          <w:tcPr>
            <w:tcW w:w="9360" w:type="dxa"/>
            <w:gridSpan w:val="8"/>
            <w:tcBorders>
              <w:bottom w:val="single" w:sz="4" w:space="0" w:color="000000"/>
            </w:tcBorders>
          </w:tcPr>
          <w:p w14:paraId="235B974C" w14:textId="77777777" w:rsidR="00485C1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w:t>
            </w:r>
          </w:p>
          <w:p w14:paraId="0BC7FBD4" w14:textId="77777777" w:rsidR="00485C1F" w:rsidRDefault="00485C1F">
            <w:pPr>
              <w:rPr>
                <w:rFonts w:ascii="Times New Roman" w:eastAsia="Times New Roman" w:hAnsi="Times New Roman" w:cs="Times New Roman"/>
                <w:b/>
                <w:bCs/>
                <w:sz w:val="24"/>
                <w:szCs w:val="24"/>
              </w:rPr>
            </w:pPr>
          </w:p>
          <w:p w14:paraId="1214B6DB"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 of Summated Means by Construct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64-72).</w:t>
            </w:r>
          </w:p>
        </w:tc>
      </w:tr>
      <w:tr w:rsidR="00485C1F" w14:paraId="493D8480" w14:textId="77777777">
        <w:tc>
          <w:tcPr>
            <w:tcW w:w="2250" w:type="dxa"/>
            <w:tcBorders>
              <w:top w:val="single" w:sz="4" w:space="0" w:color="000000"/>
              <w:bottom w:val="single" w:sz="4" w:space="0" w:color="000000"/>
            </w:tcBorders>
            <w:vAlign w:val="bottom"/>
          </w:tcPr>
          <w:p w14:paraId="0318E065" w14:textId="77777777" w:rsidR="00485C1F"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Construct</w:t>
            </w:r>
          </w:p>
        </w:tc>
        <w:tc>
          <w:tcPr>
            <w:tcW w:w="1080" w:type="dxa"/>
            <w:tcBorders>
              <w:top w:val="single" w:sz="4" w:space="0" w:color="000000"/>
              <w:bottom w:val="single" w:sz="4" w:space="0" w:color="000000"/>
            </w:tcBorders>
            <w:vAlign w:val="bottom"/>
          </w:tcPr>
          <w:p w14:paraId="6C652AA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tc>
        <w:tc>
          <w:tcPr>
            <w:tcW w:w="1076" w:type="dxa"/>
            <w:tcBorders>
              <w:top w:val="single" w:sz="4" w:space="0" w:color="000000"/>
              <w:bottom w:val="single" w:sz="4" w:space="0" w:color="000000"/>
            </w:tcBorders>
            <w:vAlign w:val="bottom"/>
          </w:tcPr>
          <w:p w14:paraId="0021353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tc>
        <w:tc>
          <w:tcPr>
            <w:tcW w:w="1072" w:type="dxa"/>
            <w:tcBorders>
              <w:top w:val="single" w:sz="4" w:space="0" w:color="000000"/>
              <w:bottom w:val="single" w:sz="4" w:space="0" w:color="000000"/>
            </w:tcBorders>
            <w:vAlign w:val="bottom"/>
          </w:tcPr>
          <w:p w14:paraId="1503376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Slightly Disagree </w:t>
            </w:r>
          </w:p>
        </w:tc>
        <w:tc>
          <w:tcPr>
            <w:tcW w:w="936" w:type="dxa"/>
            <w:tcBorders>
              <w:top w:val="single" w:sz="4" w:space="0" w:color="000000"/>
              <w:bottom w:val="single" w:sz="4" w:space="0" w:color="000000"/>
            </w:tcBorders>
            <w:vAlign w:val="bottom"/>
          </w:tcPr>
          <w:p w14:paraId="37713BA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tc>
        <w:tc>
          <w:tcPr>
            <w:tcW w:w="977" w:type="dxa"/>
            <w:tcBorders>
              <w:top w:val="single" w:sz="4" w:space="0" w:color="000000"/>
              <w:bottom w:val="single" w:sz="4" w:space="0" w:color="000000"/>
            </w:tcBorders>
            <w:vAlign w:val="bottom"/>
          </w:tcPr>
          <w:p w14:paraId="0E09E6E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Slightly Agree </w:t>
            </w:r>
          </w:p>
        </w:tc>
        <w:tc>
          <w:tcPr>
            <w:tcW w:w="926" w:type="dxa"/>
            <w:tcBorders>
              <w:top w:val="single" w:sz="4" w:space="0" w:color="000000"/>
              <w:bottom w:val="single" w:sz="4" w:space="0" w:color="000000"/>
            </w:tcBorders>
            <w:vAlign w:val="bottom"/>
          </w:tcPr>
          <w:p w14:paraId="2CEB7C7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tc>
        <w:tc>
          <w:tcPr>
            <w:tcW w:w="1043" w:type="dxa"/>
            <w:tcBorders>
              <w:top w:val="single" w:sz="4" w:space="0" w:color="000000"/>
              <w:bottom w:val="single" w:sz="4" w:space="0" w:color="000000"/>
            </w:tcBorders>
            <w:vAlign w:val="bottom"/>
          </w:tcPr>
          <w:p w14:paraId="6113A21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Agree </w:t>
            </w:r>
          </w:p>
        </w:tc>
      </w:tr>
      <w:tr w:rsidR="00485C1F" w14:paraId="7CF50127" w14:textId="77777777">
        <w:tc>
          <w:tcPr>
            <w:tcW w:w="2250" w:type="dxa"/>
            <w:tcBorders>
              <w:top w:val="single" w:sz="4" w:space="0" w:color="000000"/>
            </w:tcBorders>
          </w:tcPr>
          <w:p w14:paraId="5810F4EC" w14:textId="77777777" w:rsidR="00485C1F" w:rsidRDefault="00000000">
            <w:pPr>
              <w:ind w:left="345" w:hanging="345"/>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Student Engagement</w:t>
            </w:r>
          </w:p>
        </w:tc>
        <w:tc>
          <w:tcPr>
            <w:tcW w:w="1080" w:type="dxa"/>
            <w:tcBorders>
              <w:top w:val="single" w:sz="4" w:space="0" w:color="000000"/>
            </w:tcBorders>
          </w:tcPr>
          <w:p w14:paraId="1D90D41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076" w:type="dxa"/>
            <w:tcBorders>
              <w:top w:val="single" w:sz="4" w:space="0" w:color="000000"/>
            </w:tcBorders>
          </w:tcPr>
          <w:p w14:paraId="5824F50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072" w:type="dxa"/>
            <w:tcBorders>
              <w:top w:val="single" w:sz="4" w:space="0" w:color="000000"/>
            </w:tcBorders>
          </w:tcPr>
          <w:p w14:paraId="1CD81D3A"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936" w:type="dxa"/>
            <w:tcBorders>
              <w:top w:val="single" w:sz="4" w:space="0" w:color="000000"/>
            </w:tcBorders>
          </w:tcPr>
          <w:p w14:paraId="29E6093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22.7</w:t>
            </w:r>
          </w:p>
        </w:tc>
        <w:tc>
          <w:tcPr>
            <w:tcW w:w="977" w:type="dxa"/>
            <w:tcBorders>
              <w:top w:val="single" w:sz="4" w:space="0" w:color="000000"/>
            </w:tcBorders>
          </w:tcPr>
          <w:p w14:paraId="78FB95CF"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16.7</w:t>
            </w:r>
          </w:p>
        </w:tc>
        <w:tc>
          <w:tcPr>
            <w:tcW w:w="926" w:type="dxa"/>
            <w:tcBorders>
              <w:top w:val="single" w:sz="4" w:space="0" w:color="000000"/>
            </w:tcBorders>
          </w:tcPr>
          <w:p w14:paraId="66AF0D7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31.8</w:t>
            </w:r>
          </w:p>
        </w:tc>
        <w:tc>
          <w:tcPr>
            <w:tcW w:w="1043" w:type="dxa"/>
            <w:tcBorders>
              <w:top w:val="single" w:sz="4" w:space="0" w:color="000000"/>
            </w:tcBorders>
          </w:tcPr>
          <w:p w14:paraId="64A3DA2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24.2</w:t>
            </w:r>
          </w:p>
        </w:tc>
      </w:tr>
      <w:tr w:rsidR="00485C1F" w14:paraId="20B63B83" w14:textId="77777777">
        <w:tc>
          <w:tcPr>
            <w:tcW w:w="2250" w:type="dxa"/>
          </w:tcPr>
          <w:p w14:paraId="5E3A2017" w14:textId="77777777" w:rsidR="00485C1F" w:rsidRDefault="00000000">
            <w:pPr>
              <w:ind w:left="345"/>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Teacher Efficiency</w:t>
            </w:r>
          </w:p>
        </w:tc>
        <w:tc>
          <w:tcPr>
            <w:tcW w:w="1080" w:type="dxa"/>
          </w:tcPr>
          <w:p w14:paraId="76EDF3F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76" w:type="dxa"/>
          </w:tcPr>
          <w:p w14:paraId="21B5FE6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072" w:type="dxa"/>
          </w:tcPr>
          <w:p w14:paraId="5DECEEC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936" w:type="dxa"/>
          </w:tcPr>
          <w:p w14:paraId="65907DAA"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18.5</w:t>
            </w:r>
          </w:p>
        </w:tc>
        <w:tc>
          <w:tcPr>
            <w:tcW w:w="977" w:type="dxa"/>
          </w:tcPr>
          <w:p w14:paraId="7331BFE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23.1</w:t>
            </w:r>
          </w:p>
        </w:tc>
        <w:tc>
          <w:tcPr>
            <w:tcW w:w="926" w:type="dxa"/>
          </w:tcPr>
          <w:p w14:paraId="569B859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33.8</w:t>
            </w:r>
          </w:p>
        </w:tc>
        <w:tc>
          <w:tcPr>
            <w:tcW w:w="1043" w:type="dxa"/>
          </w:tcPr>
          <w:p w14:paraId="275FC93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15.4</w:t>
            </w:r>
          </w:p>
        </w:tc>
      </w:tr>
      <w:tr w:rsidR="00485C1F" w14:paraId="4A634DA8" w14:textId="77777777">
        <w:tc>
          <w:tcPr>
            <w:tcW w:w="2250" w:type="dxa"/>
          </w:tcPr>
          <w:p w14:paraId="0A15DAD9" w14:textId="77777777" w:rsidR="00485C1F" w:rsidRDefault="00000000">
            <w:pPr>
              <w:ind w:left="345"/>
              <w:rPr>
                <w:rFonts w:ascii="Times New Roman" w:eastAsia="Times New Roman" w:hAnsi="Times New Roman" w:cs="Times New Roman"/>
                <w:b/>
                <w:bCs/>
                <w:sz w:val="24"/>
                <w:szCs w:val="24"/>
              </w:rPr>
            </w:pPr>
            <w:r>
              <w:rPr>
                <w:rFonts w:ascii="Times New Roman" w:eastAsia="Times New Roman" w:hAnsi="Times New Roman" w:cs="Times New Roman"/>
                <w:sz w:val="24"/>
                <w:szCs w:val="24"/>
              </w:rPr>
              <w:t>Integration of the 3-Circle Model</w:t>
            </w:r>
          </w:p>
        </w:tc>
        <w:tc>
          <w:tcPr>
            <w:tcW w:w="1080" w:type="dxa"/>
          </w:tcPr>
          <w:p w14:paraId="03796A8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76" w:type="dxa"/>
          </w:tcPr>
          <w:p w14:paraId="63F8C9F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1072" w:type="dxa"/>
          </w:tcPr>
          <w:p w14:paraId="5A699592"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c>
          <w:tcPr>
            <w:tcW w:w="936" w:type="dxa"/>
          </w:tcPr>
          <w:p w14:paraId="1F9BF7C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18.8</w:t>
            </w:r>
          </w:p>
        </w:tc>
        <w:tc>
          <w:tcPr>
            <w:tcW w:w="977" w:type="dxa"/>
          </w:tcPr>
          <w:p w14:paraId="3D7C684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29.7</w:t>
            </w:r>
          </w:p>
        </w:tc>
        <w:tc>
          <w:tcPr>
            <w:tcW w:w="926" w:type="dxa"/>
          </w:tcPr>
          <w:p w14:paraId="68BA2CD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29.7</w:t>
            </w:r>
          </w:p>
        </w:tc>
        <w:tc>
          <w:tcPr>
            <w:tcW w:w="1043" w:type="dxa"/>
          </w:tcPr>
          <w:p w14:paraId="4957DA6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14.1</w:t>
            </w:r>
          </w:p>
        </w:tc>
      </w:tr>
      <w:tr w:rsidR="00485C1F" w14:paraId="3BA48ADB" w14:textId="77777777">
        <w:tc>
          <w:tcPr>
            <w:tcW w:w="2250" w:type="dxa"/>
          </w:tcPr>
          <w:p w14:paraId="5EA6F980" w14:textId="77777777" w:rsidR="00485C1F" w:rsidRDefault="00000000">
            <w:pPr>
              <w:ind w:left="34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Affiliation vs. </w:t>
            </w:r>
            <w:proofErr w:type="gramStart"/>
            <w:r>
              <w:rPr>
                <w:rFonts w:ascii="Times New Roman" w:eastAsia="Times New Roman" w:hAnsi="Times New Roman" w:cs="Times New Roman"/>
                <w:sz w:val="24"/>
                <w:szCs w:val="24"/>
              </w:rPr>
              <w:t>Non-</w:t>
            </w:r>
            <w:proofErr w:type="spellStart"/>
            <w:r>
              <w:rPr>
                <w:rFonts w:ascii="Times New Roman" w:eastAsia="Times New Roman" w:hAnsi="Times New Roman" w:cs="Times New Roman"/>
                <w:sz w:val="24"/>
                <w:szCs w:val="24"/>
              </w:rPr>
              <w:t>Affil</w:t>
            </w:r>
            <w:proofErr w:type="spellEnd"/>
            <w:proofErr w:type="gramEnd"/>
            <w:r>
              <w:rPr>
                <w:rFonts w:ascii="Times New Roman" w:eastAsia="Times New Roman" w:hAnsi="Times New Roman" w:cs="Times New Roman"/>
                <w:sz w:val="24"/>
                <w:szCs w:val="24"/>
              </w:rPr>
              <w:t>. Engagement</w:t>
            </w:r>
          </w:p>
        </w:tc>
        <w:tc>
          <w:tcPr>
            <w:tcW w:w="1080" w:type="dxa"/>
          </w:tcPr>
          <w:p w14:paraId="46BE8AAD"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076" w:type="dxa"/>
          </w:tcPr>
          <w:p w14:paraId="16DAED43"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c>
          <w:tcPr>
            <w:tcW w:w="1072" w:type="dxa"/>
          </w:tcPr>
          <w:p w14:paraId="67CCD1B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13.9</w:t>
            </w:r>
          </w:p>
        </w:tc>
        <w:tc>
          <w:tcPr>
            <w:tcW w:w="936" w:type="dxa"/>
          </w:tcPr>
          <w:p w14:paraId="37966A6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20.8</w:t>
            </w:r>
          </w:p>
        </w:tc>
        <w:tc>
          <w:tcPr>
            <w:tcW w:w="977" w:type="dxa"/>
          </w:tcPr>
          <w:p w14:paraId="207C636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20.8</w:t>
            </w:r>
          </w:p>
        </w:tc>
        <w:tc>
          <w:tcPr>
            <w:tcW w:w="926" w:type="dxa"/>
          </w:tcPr>
          <w:p w14:paraId="5EFE67E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w:t>
            </w:r>
          </w:p>
        </w:tc>
        <w:tc>
          <w:tcPr>
            <w:tcW w:w="1043" w:type="dxa"/>
          </w:tcPr>
          <w:p w14:paraId="60E4913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w:t>
            </w:r>
          </w:p>
        </w:tc>
      </w:tr>
      <w:tr w:rsidR="00485C1F" w14:paraId="14B82BBA" w14:textId="77777777">
        <w:tc>
          <w:tcPr>
            <w:tcW w:w="2250" w:type="dxa"/>
          </w:tcPr>
          <w:p w14:paraId="326FC827" w14:textId="77777777" w:rsidR="00485C1F" w:rsidRDefault="00000000">
            <w:pPr>
              <w:ind w:left="345"/>
              <w:rPr>
                <w:rFonts w:ascii="Times New Roman" w:eastAsia="Times New Roman" w:hAnsi="Times New Roman" w:cs="Times New Roman"/>
                <w:sz w:val="24"/>
                <w:szCs w:val="24"/>
              </w:rPr>
            </w:pPr>
            <w:r>
              <w:rPr>
                <w:rFonts w:ascii="Times New Roman" w:eastAsia="Times New Roman" w:hAnsi="Times New Roman" w:cs="Times New Roman"/>
                <w:sz w:val="24"/>
                <w:szCs w:val="24"/>
              </w:rPr>
              <w:t>Program Efficiency</w:t>
            </w:r>
          </w:p>
        </w:tc>
        <w:tc>
          <w:tcPr>
            <w:tcW w:w="1080" w:type="dxa"/>
          </w:tcPr>
          <w:p w14:paraId="055E5CC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1076" w:type="dxa"/>
          </w:tcPr>
          <w:p w14:paraId="101A2B9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c>
          <w:tcPr>
            <w:tcW w:w="1072" w:type="dxa"/>
          </w:tcPr>
          <w:p w14:paraId="57080066"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w:t>
            </w:r>
          </w:p>
        </w:tc>
        <w:tc>
          <w:tcPr>
            <w:tcW w:w="936" w:type="dxa"/>
          </w:tcPr>
          <w:p w14:paraId="69042524"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26.6</w:t>
            </w:r>
          </w:p>
        </w:tc>
        <w:tc>
          <w:tcPr>
            <w:tcW w:w="977" w:type="dxa"/>
          </w:tcPr>
          <w:p w14:paraId="5F11B8F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26.6</w:t>
            </w:r>
          </w:p>
        </w:tc>
        <w:tc>
          <w:tcPr>
            <w:tcW w:w="926" w:type="dxa"/>
          </w:tcPr>
          <w:p w14:paraId="45F26C6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18.8</w:t>
            </w:r>
          </w:p>
        </w:tc>
        <w:tc>
          <w:tcPr>
            <w:tcW w:w="1043" w:type="dxa"/>
          </w:tcPr>
          <w:p w14:paraId="0035382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10.9</w:t>
            </w:r>
          </w:p>
        </w:tc>
      </w:tr>
      <w:tr w:rsidR="00485C1F" w14:paraId="73A2CBA1" w14:textId="77777777">
        <w:tc>
          <w:tcPr>
            <w:tcW w:w="2250" w:type="dxa"/>
          </w:tcPr>
          <w:p w14:paraId="78724633" w14:textId="77777777" w:rsidR="00485C1F" w:rsidRDefault="00000000">
            <w:pPr>
              <w:ind w:left="345" w:hanging="345"/>
              <w:rPr>
                <w:rFonts w:ascii="Times New Roman" w:eastAsia="Times New Roman" w:hAnsi="Times New Roman" w:cs="Times New Roman"/>
                <w:b/>
                <w:bCs/>
                <w:sz w:val="24"/>
                <w:szCs w:val="24"/>
              </w:rPr>
            </w:pPr>
            <w:r>
              <w:rPr>
                <w:rFonts w:ascii="Times New Roman" w:eastAsia="Times New Roman" w:hAnsi="Times New Roman" w:cs="Times New Roman"/>
                <w:sz w:val="24"/>
                <w:szCs w:val="24"/>
              </w:rPr>
              <w:t>Financial Mgt.</w:t>
            </w:r>
          </w:p>
        </w:tc>
        <w:tc>
          <w:tcPr>
            <w:tcW w:w="1080" w:type="dxa"/>
          </w:tcPr>
          <w:p w14:paraId="52FC139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076" w:type="dxa"/>
          </w:tcPr>
          <w:p w14:paraId="2B89281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072" w:type="dxa"/>
          </w:tcPr>
          <w:p w14:paraId="47D464E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c>
          <w:tcPr>
            <w:tcW w:w="936" w:type="dxa"/>
          </w:tcPr>
          <w:p w14:paraId="3A2EFA1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26.6</w:t>
            </w:r>
          </w:p>
        </w:tc>
        <w:tc>
          <w:tcPr>
            <w:tcW w:w="977" w:type="dxa"/>
          </w:tcPr>
          <w:p w14:paraId="373DCD01"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p>
        </w:tc>
        <w:tc>
          <w:tcPr>
            <w:tcW w:w="926" w:type="dxa"/>
          </w:tcPr>
          <w:p w14:paraId="58EE681E"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28.1</w:t>
            </w:r>
          </w:p>
        </w:tc>
        <w:tc>
          <w:tcPr>
            <w:tcW w:w="1043" w:type="dxa"/>
          </w:tcPr>
          <w:p w14:paraId="4D1D2F0C"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485C1F" w14:paraId="74D15EE5" w14:textId="77777777">
        <w:tc>
          <w:tcPr>
            <w:tcW w:w="2250" w:type="dxa"/>
          </w:tcPr>
          <w:p w14:paraId="476ACB63" w14:textId="77777777" w:rsidR="00485C1F" w:rsidRDefault="00000000">
            <w:pPr>
              <w:ind w:left="345" w:hanging="345"/>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Engage.</w:t>
            </w:r>
          </w:p>
        </w:tc>
        <w:tc>
          <w:tcPr>
            <w:tcW w:w="1080" w:type="dxa"/>
          </w:tcPr>
          <w:p w14:paraId="67095E05"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076" w:type="dxa"/>
          </w:tcPr>
          <w:p w14:paraId="6D68C379"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072" w:type="dxa"/>
          </w:tcPr>
          <w:p w14:paraId="671FFB1B"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936" w:type="dxa"/>
          </w:tcPr>
          <w:p w14:paraId="50F1284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37.9</w:t>
            </w:r>
          </w:p>
        </w:tc>
        <w:tc>
          <w:tcPr>
            <w:tcW w:w="977" w:type="dxa"/>
          </w:tcPr>
          <w:p w14:paraId="4EA31418"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p>
        </w:tc>
        <w:tc>
          <w:tcPr>
            <w:tcW w:w="926" w:type="dxa"/>
          </w:tcPr>
          <w:p w14:paraId="6146B090"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22.7</w:t>
            </w:r>
          </w:p>
        </w:tc>
        <w:tc>
          <w:tcPr>
            <w:tcW w:w="1043" w:type="dxa"/>
          </w:tcPr>
          <w:p w14:paraId="6FF067F7" w14:textId="77777777" w:rsidR="00485C1F"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7.6</w:t>
            </w:r>
          </w:p>
        </w:tc>
      </w:tr>
      <w:tr w:rsidR="00485C1F" w14:paraId="6DA274DE" w14:textId="77777777">
        <w:tc>
          <w:tcPr>
            <w:tcW w:w="9360" w:type="dxa"/>
            <w:gridSpan w:val="8"/>
            <w:tcBorders>
              <w:top w:val="single" w:sz="4" w:space="0" w:color="000000"/>
            </w:tcBorders>
          </w:tcPr>
          <w:p w14:paraId="1F327440" w14:textId="77777777" w:rsidR="00485C1F"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Note.</w:t>
            </w:r>
            <w:r>
              <w:rPr>
                <w:rFonts w:ascii="Times New Roman" w:eastAsia="Times New Roman" w:hAnsi="Times New Roman" w:cs="Times New Roman"/>
                <w:sz w:val="24"/>
                <w:szCs w:val="24"/>
              </w:rPr>
              <w:t xml:space="preserve"> Numbers are presented as percentages of total respondents per construct and ordered by the most positive strongly agreed category.</w:t>
            </w:r>
          </w:p>
        </w:tc>
      </w:tr>
    </w:tbl>
    <w:p w14:paraId="0C6A5CA4" w14:textId="77777777" w:rsidR="00485C1F" w:rsidRDefault="00485C1F">
      <w:pPr>
        <w:spacing w:line="240" w:lineRule="auto"/>
        <w:ind w:firstLine="720"/>
        <w:rPr>
          <w:rFonts w:ascii="Times New Roman" w:eastAsia="Times New Roman" w:hAnsi="Times New Roman" w:cs="Times New Roman"/>
          <w:sz w:val="24"/>
          <w:szCs w:val="24"/>
        </w:rPr>
      </w:pPr>
    </w:p>
    <w:p w14:paraId="6770B9F2"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showed that most teachers were skewed toward the positive end of the scale across all constructs. Meaning that most teachers agreed with constructs about the FFA affiliation model. One item was examined as a stand-alone question, but it is important to remember that this was not assessed for individual reliability, so it should not be generalized to the general population. The question, “The benefits outweigh the challenges of being an </w:t>
      </w:r>
      <w:r>
        <w:rPr>
          <w:rFonts w:ascii="Times New Roman" w:eastAsia="Times New Roman" w:hAnsi="Times New Roman" w:cs="Times New Roman"/>
          <w:sz w:val="24"/>
          <w:szCs w:val="24"/>
        </w:rPr>
        <w:lastRenderedPageBreak/>
        <w:t xml:space="preserve">affiliated FFA chapter,” yielded a mean of 1.41, which falls into the “agree” category. This may be an interesting finding because teachers have the option to join the FFA affiliation model for their programs. </w:t>
      </w:r>
    </w:p>
    <w:p w14:paraId="6A9A65DC" w14:textId="77777777" w:rsidR="00485C1F" w:rsidRDefault="00485C1F">
      <w:pPr>
        <w:spacing w:line="240" w:lineRule="auto"/>
        <w:rPr>
          <w:rFonts w:ascii="Times New Roman" w:eastAsia="Times New Roman" w:hAnsi="Times New Roman" w:cs="Times New Roman"/>
          <w:b/>
          <w:bCs/>
          <w:sz w:val="24"/>
          <w:szCs w:val="24"/>
        </w:rPr>
      </w:pPr>
    </w:p>
    <w:p w14:paraId="404286CF"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Qualitative Methodology and Results</w:t>
      </w:r>
    </w:p>
    <w:p w14:paraId="533A7D87" w14:textId="77777777" w:rsidR="00485C1F" w:rsidRDefault="00485C1F">
      <w:pPr>
        <w:spacing w:line="240" w:lineRule="auto"/>
        <w:jc w:val="center"/>
        <w:rPr>
          <w:rFonts w:ascii="Times New Roman" w:eastAsia="Times New Roman" w:hAnsi="Times New Roman" w:cs="Times New Roman"/>
          <w:b/>
          <w:bCs/>
          <w:sz w:val="24"/>
          <w:szCs w:val="24"/>
        </w:rPr>
      </w:pPr>
    </w:p>
    <w:p w14:paraId="05EE8514" w14:textId="77777777" w:rsidR="00485C1F" w:rsidRDefault="00000000">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 xml:space="preserve">Two open-ended questions were asked for participants to share additional benefits or challenges of the FFA affiliation model. This question served as the qualitative portion of this study and provided the research team with data to analyze. </w:t>
      </w:r>
      <w:r>
        <w:rPr>
          <w:rFonts w:ascii="Times New Roman" w:eastAsia="Times New Roman" w:hAnsi="Times New Roman" w:cs="Times New Roman"/>
          <w:sz w:val="24"/>
          <w:szCs w:val="24"/>
          <w:highlight w:val="white"/>
        </w:rPr>
        <w:t>The research team analyzed open-ended questions using descriptive open coding in Google Sheets, assigning each answer a general theme (</w:t>
      </w:r>
      <w:r>
        <w:rPr>
          <w:rFonts w:ascii="Times New Roman" w:eastAsia="Times New Roman" w:hAnsi="Times New Roman" w:cs="Times New Roman"/>
          <w:sz w:val="24"/>
          <w:szCs w:val="24"/>
        </w:rPr>
        <w:t>Saldaña, 2013</w:t>
      </w:r>
      <w:r>
        <w:rPr>
          <w:rFonts w:ascii="Times New Roman" w:eastAsia="Times New Roman" w:hAnsi="Times New Roman" w:cs="Times New Roman"/>
          <w:sz w:val="24"/>
          <w:szCs w:val="24"/>
          <w:highlight w:val="white"/>
        </w:rPr>
        <w:t>). This coding was inductive, which allowed the data to lead to results (Hatch, 2002). Two members of the research team conducted the analysis, reviewing themes and checking in with the other team member for interrater reliability and consistency. Answers varied in length from a few words to a few sentences. Only full sentences were analyzed by the research team in deciphering new codes and themes. Twenty-five participants provided additional information on challenges, and 19 provided information on additional benefits. It is important to note that price was discussed as a challenge, but the research team omitted it because it had been an established challenge for the affiliation model. Only responses with four or more participants are included in the findings.</w:t>
      </w:r>
    </w:p>
    <w:p w14:paraId="2A740C5C" w14:textId="77777777" w:rsidR="00485C1F" w:rsidRDefault="00485C1F">
      <w:pPr>
        <w:spacing w:line="240" w:lineRule="auto"/>
        <w:rPr>
          <w:rFonts w:ascii="Times New Roman" w:eastAsia="Times New Roman" w:hAnsi="Times New Roman" w:cs="Times New Roman"/>
          <w:sz w:val="24"/>
          <w:szCs w:val="24"/>
          <w:highlight w:val="white"/>
        </w:rPr>
      </w:pPr>
    </w:p>
    <w:p w14:paraId="410AF2D3" w14:textId="77777777" w:rsidR="00485C1F" w:rsidRDefault="00000000">
      <w:pPr>
        <w:spacing w:line="24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rPr>
        <w:t>Challenges</w:t>
      </w:r>
    </w:p>
    <w:p w14:paraId="5C12547A" w14:textId="77777777" w:rsidR="00485C1F" w:rsidRDefault="00485C1F">
      <w:pPr>
        <w:spacing w:line="240" w:lineRule="auto"/>
        <w:rPr>
          <w:rFonts w:ascii="Times New Roman" w:eastAsia="Times New Roman" w:hAnsi="Times New Roman" w:cs="Times New Roman"/>
          <w:sz w:val="24"/>
          <w:szCs w:val="24"/>
          <w:highlight w:val="white"/>
        </w:rPr>
      </w:pPr>
    </w:p>
    <w:p w14:paraId="463FC5A1" w14:textId="77777777" w:rsidR="00485C1F" w:rsidRDefault="00000000">
      <w:pPr>
        <w:spacing w:line="24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Of the 25 respondents who added an additional challenge, three new challenges emerged. The most prominent challenge was a lack of engagement from students, even though they were an FFA member under the affiliation model. Twelve of 25 respondents agreed that this was a new challenge not discussed in the questionnaire. One participant stated, “Every student will not use the membership”, while another shared, “Not all students in my class are interested in being in FFA and choose not to participate in anything, yet I am still paying for them.” One teacher noted that the “The work-life balance has been MUCH harder following affiliation” due to “the time investment in creating and providing the resources for students who want to be more active/engaged in opportunities.” Students who were now FFA members were choosing not to engage in FFA activities, thus a lack of engagement among FFA members in the chapter. </w:t>
      </w:r>
    </w:p>
    <w:p w14:paraId="178D8E41" w14:textId="77777777" w:rsidR="00485C1F" w:rsidRDefault="00485C1F">
      <w:pPr>
        <w:spacing w:line="240" w:lineRule="auto"/>
        <w:ind w:firstLine="720"/>
        <w:rPr>
          <w:rFonts w:ascii="Times New Roman" w:eastAsia="Times New Roman" w:hAnsi="Times New Roman" w:cs="Times New Roman"/>
          <w:sz w:val="24"/>
          <w:szCs w:val="24"/>
          <w:highlight w:val="white"/>
        </w:rPr>
      </w:pPr>
    </w:p>
    <w:p w14:paraId="2C970225" w14:textId="77777777" w:rsidR="00485C1F" w:rsidRDefault="00000000">
      <w:pPr>
        <w:spacing w:line="24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Seven participants believed that the affiliation model created more work for them to manage FFA rosters, specifically through “[the] time it takes to put in names of students as members if they are not part of theaet.com” or “in larger programs it is difficult if the task of doing the roster is pushed on to one advisor.” One teacher shared:</w:t>
      </w:r>
    </w:p>
    <w:p w14:paraId="383A1790" w14:textId="77777777" w:rsidR="00485C1F" w:rsidRDefault="00485C1F">
      <w:pPr>
        <w:spacing w:line="240" w:lineRule="auto"/>
        <w:ind w:firstLine="720"/>
        <w:rPr>
          <w:rFonts w:ascii="Times New Roman" w:eastAsia="Times New Roman" w:hAnsi="Times New Roman" w:cs="Times New Roman"/>
          <w:sz w:val="24"/>
          <w:szCs w:val="24"/>
          <w:highlight w:val="white"/>
        </w:rPr>
      </w:pPr>
    </w:p>
    <w:p w14:paraId="27A6CC27" w14:textId="77777777" w:rsidR="00485C1F" w:rsidRDefault="00000000">
      <w:pPr>
        <w:spacing w:line="24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can be challenging for students to enroll in an agriculture course every year. Affiliate membership essentially created two separate rosters that had to be managed. It doubled the amount of roster paperwork and management that I had to address as well as those that ordered shirts. I'm still working on ways to streamline my methods.”</w:t>
      </w:r>
    </w:p>
    <w:p w14:paraId="44F2A9AB" w14:textId="77777777" w:rsidR="00485C1F" w:rsidRDefault="00485C1F">
      <w:pPr>
        <w:spacing w:line="240" w:lineRule="auto"/>
        <w:ind w:left="720"/>
        <w:rPr>
          <w:rFonts w:ascii="Times New Roman" w:eastAsia="Times New Roman" w:hAnsi="Times New Roman" w:cs="Times New Roman"/>
          <w:sz w:val="24"/>
          <w:szCs w:val="24"/>
          <w:highlight w:val="white"/>
        </w:rPr>
      </w:pPr>
    </w:p>
    <w:p w14:paraId="2C63D31F" w14:textId="77777777" w:rsidR="00485C1F" w:rsidRDefault="00000000">
      <w:pPr>
        <w:spacing w:line="24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Three teachers identified a related challenge: students who are unable to enroll in an SBAE course every semester or year but would like to be an FFA member. One teacher stated that it is confusing to know if “We are allowed to submit students on our FFA roster when … </w:t>
      </w:r>
      <w:r>
        <w:rPr>
          <w:rFonts w:ascii="Times New Roman" w:eastAsia="Times New Roman" w:hAnsi="Times New Roman" w:cs="Times New Roman"/>
          <w:sz w:val="24"/>
          <w:szCs w:val="24"/>
          <w:highlight w:val="white"/>
        </w:rPr>
        <w:lastRenderedPageBreak/>
        <w:t xml:space="preserve">they are not enrolled in our class” and that “many of our typical active members cannot get into an agriculture course due to their career path.” </w:t>
      </w:r>
    </w:p>
    <w:p w14:paraId="0CA7297A" w14:textId="77777777" w:rsidR="00485C1F" w:rsidRDefault="00485C1F">
      <w:pPr>
        <w:spacing w:line="240" w:lineRule="auto"/>
        <w:ind w:firstLine="720"/>
        <w:rPr>
          <w:rFonts w:ascii="Times New Roman" w:eastAsia="Times New Roman" w:hAnsi="Times New Roman" w:cs="Times New Roman"/>
          <w:sz w:val="24"/>
          <w:szCs w:val="24"/>
          <w:highlight w:val="white"/>
        </w:rPr>
      </w:pPr>
    </w:p>
    <w:p w14:paraId="03EEDF4D"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Benefits </w:t>
      </w:r>
    </w:p>
    <w:p w14:paraId="7DF9465D" w14:textId="77777777" w:rsidR="00485C1F" w:rsidRDefault="00485C1F">
      <w:pPr>
        <w:spacing w:line="240" w:lineRule="auto"/>
        <w:jc w:val="center"/>
        <w:rPr>
          <w:rFonts w:ascii="Times New Roman" w:eastAsia="Times New Roman" w:hAnsi="Times New Roman" w:cs="Times New Roman"/>
          <w:b/>
          <w:bCs/>
          <w:sz w:val="24"/>
          <w:szCs w:val="24"/>
        </w:rPr>
      </w:pPr>
    </w:p>
    <w:p w14:paraId="5F0D633B"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Participants discussed two additional benefits. The most prominent issue, among 9 of 19 participants, is increased access for all students. For example, affiliation makes “It easier for new students to go to FFA events since they're not intimidated by being a non-member”, and “I find it beneficial that non-traditional ag students are given opportunities that they would not normally take if they had to pay dues.” Affiliation also helped some teachers find substitutes for students at CDE events because all students are members and can participate in activities. One teacher shares that affiliation “Allows students to choose their involvement, but ultimately it allows them the choice and opportunity.” This access is a benefit that is identified from a teacher's perspective in North Carolina.</w:t>
      </w:r>
    </w:p>
    <w:p w14:paraId="1FA4BB9B" w14:textId="77777777" w:rsidR="00485C1F" w:rsidRDefault="00485C1F">
      <w:pPr>
        <w:spacing w:line="240" w:lineRule="auto"/>
        <w:rPr>
          <w:rFonts w:ascii="Times New Roman" w:eastAsia="Times New Roman" w:hAnsi="Times New Roman" w:cs="Times New Roman"/>
          <w:sz w:val="24"/>
          <w:szCs w:val="24"/>
        </w:rPr>
      </w:pPr>
    </w:p>
    <w:p w14:paraId="0DBDF5BD"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Five teachers believed that the incentives for affiliation through the state association was beneficial to choosing the model for their programs. In North Carolina, programs that choose to affiliate receive added benefits such as “free registration for State events and a free state officer visit” and “early access to camp.” These added benefits are important to note that some states provide incentives for teachers who opt into the model.</w:t>
      </w:r>
    </w:p>
    <w:p w14:paraId="4B8911A0" w14:textId="77777777" w:rsidR="00485C1F" w:rsidRDefault="00485C1F">
      <w:pPr>
        <w:spacing w:line="240" w:lineRule="auto"/>
        <w:rPr>
          <w:rFonts w:ascii="Times New Roman" w:eastAsia="Times New Roman" w:hAnsi="Times New Roman" w:cs="Times New Roman"/>
          <w:sz w:val="24"/>
          <w:szCs w:val="24"/>
        </w:rPr>
      </w:pPr>
    </w:p>
    <w:p w14:paraId="64760947"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Reflexivity and Limitations</w:t>
      </w:r>
    </w:p>
    <w:p w14:paraId="1F4EE70D" w14:textId="77777777" w:rsidR="00485C1F" w:rsidRDefault="00485C1F">
      <w:pPr>
        <w:spacing w:line="240" w:lineRule="auto"/>
        <w:jc w:val="center"/>
        <w:rPr>
          <w:rFonts w:ascii="Times New Roman" w:eastAsia="Times New Roman" w:hAnsi="Times New Roman" w:cs="Times New Roman"/>
          <w:b/>
          <w:bCs/>
          <w:sz w:val="24"/>
          <w:szCs w:val="24"/>
        </w:rPr>
      </w:pPr>
    </w:p>
    <w:p w14:paraId="310293AC"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 xml:space="preserve">The coding team consisted of two members: a graduate student and a faculty teacher educator. Both have experience with the FFA affiliation model through interacting with teachers, and the graduate student taught in a fully affiliated state. When analyzing qualitative data, it is important to note that the team did not aim for saturation; rather, they grouped responses by similar themes. The team went through multiple rounds of coding and communicated throughout the process to minimize bias when interpreting results. A limitation of this study is that the results should not be generalized beyond North Carolina, and that saturation was not achieved in the qualitative data. </w:t>
      </w:r>
    </w:p>
    <w:p w14:paraId="4AE7FEEE" w14:textId="77777777" w:rsidR="00485C1F" w:rsidRDefault="00485C1F">
      <w:pPr>
        <w:spacing w:line="240" w:lineRule="auto"/>
        <w:rPr>
          <w:rFonts w:ascii="Times New Roman" w:eastAsia="Times New Roman" w:hAnsi="Times New Roman" w:cs="Times New Roman"/>
          <w:b/>
          <w:bCs/>
          <w:sz w:val="24"/>
          <w:szCs w:val="24"/>
        </w:rPr>
      </w:pPr>
    </w:p>
    <w:p w14:paraId="412BDB4F"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Conclusions, Recommendations, and Implications</w:t>
      </w:r>
    </w:p>
    <w:p w14:paraId="4A89404A" w14:textId="77777777" w:rsidR="00485C1F"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
      </w:r>
    </w:p>
    <w:p w14:paraId="0E742184"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teachers in North Carolina who had previously adopted the National FFA Organization’s affiliation model of membership were positive about its benefits. Teachers perceived the greatest benefits to be increased student engagement, enhanced teacher efficiency, and the full integration of the three-circle model of agricultural education. Over 50% of respondents agreed or strongly agreed with enhanced student engagement as a benefit of affiliation. Over 40% of respondents agreed or strongly agreed that (1) teacher efficiency and (2) integration of the three-circle model of agricultural education were benefits. When analyzing the single question, “The benefits outweigh the challenges” of being an affiliated FFA chapter, teachers were most affirmative. A newly identified benefit of state incentives to opt into the model included early access to state events, a free state officer visit, and early access to camp. It is recommended that state associations that offer affiliation as an option for their members consider incentives for teachers who choose to affiliate as a chapter. </w:t>
      </w:r>
    </w:p>
    <w:p w14:paraId="18367523" w14:textId="77777777" w:rsidR="00485C1F" w:rsidRDefault="00485C1F">
      <w:pPr>
        <w:spacing w:line="240" w:lineRule="auto"/>
        <w:ind w:firstLine="720"/>
        <w:rPr>
          <w:rFonts w:ascii="Times New Roman" w:eastAsia="Times New Roman" w:hAnsi="Times New Roman" w:cs="Times New Roman"/>
          <w:sz w:val="24"/>
          <w:szCs w:val="24"/>
        </w:rPr>
      </w:pPr>
    </w:p>
    <w:p w14:paraId="7C386B52" w14:textId="77777777" w:rsidR="00485C1F"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Cost has been established as a barrier through previous literature (Rada et al., 2025, Sheehan et al., 2023), and was the most neutrally perceived, with the mode of participants being neutral about the financial construct. Rada et al. (2025) found that if the affiliation fee was paid by an external source and did not need to be fundraised, teachers in this study would be more likely to adopt the model. A recommendation for the National FFA Organization and state associations is to consider how the affiliation fee can be paid through alternative funds, as some states already pay these costs through legislation (National FFA, 2025c).</w:t>
      </w:r>
    </w:p>
    <w:p w14:paraId="1B7A1E0E" w14:textId="77777777" w:rsidR="00485C1F" w:rsidRDefault="00485C1F">
      <w:pPr>
        <w:spacing w:line="240" w:lineRule="auto"/>
        <w:rPr>
          <w:rFonts w:ascii="Times New Roman" w:eastAsia="Times New Roman" w:hAnsi="Times New Roman" w:cs="Times New Roman"/>
          <w:sz w:val="24"/>
          <w:szCs w:val="24"/>
        </w:rPr>
      </w:pPr>
    </w:p>
    <w:p w14:paraId="36DFBCE7"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interesting to note that there were no significant differences in the summated means across any demographic groups or subgroups of teacher participants. This conclusion could indicate the overall acceptability of the affiliation model among all types of teachers. Alternatively, this conclusion could indicate that teachers with certain licensure types, years of experience, or gender tend to adopt affiliation earlier than others. While this study engaged teachers who had adopted affiliation, additional research should be conducted to analyze the demographic differences among affiliation’s early adopters. Because there are no significant differences among demographic groups and constructs, this suggests that none of the current demographic variables appears to influence their perceptions of affiliation. </w:t>
      </w:r>
    </w:p>
    <w:p w14:paraId="405EBE23" w14:textId="77777777" w:rsidR="00485C1F" w:rsidRDefault="00485C1F">
      <w:pPr>
        <w:spacing w:line="240" w:lineRule="auto"/>
        <w:ind w:firstLine="720"/>
        <w:rPr>
          <w:rFonts w:ascii="Times New Roman" w:eastAsia="Times New Roman" w:hAnsi="Times New Roman" w:cs="Times New Roman"/>
          <w:sz w:val="24"/>
          <w:szCs w:val="24"/>
        </w:rPr>
      </w:pPr>
    </w:p>
    <w:p w14:paraId="0DB124DA"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Clearly, the National FFA Board of Directors and leadership within the National FFA Organization believe a tipping point has been crossed for affiliation. Presenting the idea of nationwide affiliate membership to the 2025 National FFA Convention Delegates aimed to accelerate the model’s adoption; if it had passed, it would have been adopted by the whole organization. If the constitutional and bylaws amendments pass to allow only chapter-based membership, the total affiliation model could be adopted more quickly through the delegate body and Board of Directors approval, rather than waiting for each state association to opt into the model. </w:t>
      </w:r>
    </w:p>
    <w:p w14:paraId="5FDF7465" w14:textId="77777777" w:rsidR="00485C1F" w:rsidRDefault="00485C1F">
      <w:pPr>
        <w:spacing w:line="240" w:lineRule="auto"/>
        <w:ind w:firstLine="720"/>
        <w:rPr>
          <w:rFonts w:ascii="Times New Roman" w:eastAsia="Times New Roman" w:hAnsi="Times New Roman" w:cs="Times New Roman"/>
          <w:sz w:val="24"/>
          <w:szCs w:val="24"/>
        </w:rPr>
      </w:pPr>
    </w:p>
    <w:p w14:paraId="1A811F2F"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clear that there is a lack of clarity about how to work with students who are unable to enroll in an SBAE course every semester or </w:t>
      </w:r>
      <w:proofErr w:type="gramStart"/>
      <w:r>
        <w:rPr>
          <w:rFonts w:ascii="Times New Roman" w:eastAsia="Times New Roman" w:hAnsi="Times New Roman" w:cs="Times New Roman"/>
          <w:sz w:val="24"/>
          <w:szCs w:val="24"/>
        </w:rPr>
        <w:t>year, yet</w:t>
      </w:r>
      <w:proofErr w:type="gramEnd"/>
      <w:r>
        <w:rPr>
          <w:rFonts w:ascii="Times New Roman" w:eastAsia="Times New Roman" w:hAnsi="Times New Roman" w:cs="Times New Roman"/>
          <w:sz w:val="24"/>
          <w:szCs w:val="24"/>
        </w:rPr>
        <w:t xml:space="preserve"> want to remain active FFA members. It is recommended that National FFA and state associations work together to establish clarity. It could be beneficial to work across the agricultural education ecosystem with the National Council for Agricultural Education and the National Association for Agricultural Education to establish clear expectations for implementing the three-component model and communicate them to chapters and programs. If FFA affiliation is truly meant to be </w:t>
      </w:r>
      <w:proofErr w:type="spellStart"/>
      <w:r>
        <w:rPr>
          <w:rFonts w:ascii="Times New Roman" w:eastAsia="Times New Roman" w:hAnsi="Times New Roman" w:cs="Times New Roman"/>
          <w:sz w:val="24"/>
          <w:szCs w:val="24"/>
        </w:rPr>
        <w:t>intracurricular</w:t>
      </w:r>
      <w:proofErr w:type="spellEnd"/>
      <w:r>
        <w:rPr>
          <w:rFonts w:ascii="Times New Roman" w:eastAsia="Times New Roman" w:hAnsi="Times New Roman" w:cs="Times New Roman"/>
          <w:sz w:val="24"/>
          <w:szCs w:val="24"/>
        </w:rPr>
        <w:t xml:space="preserve">, the required implementation should involve a conversation with all stakeholders, not just be encouraged by the National FFA Organization.  </w:t>
      </w:r>
    </w:p>
    <w:p w14:paraId="66961567" w14:textId="77777777" w:rsidR="00485C1F" w:rsidRDefault="00485C1F">
      <w:pPr>
        <w:spacing w:line="240" w:lineRule="auto"/>
        <w:ind w:firstLine="720"/>
        <w:rPr>
          <w:rFonts w:ascii="Times New Roman" w:eastAsia="Times New Roman" w:hAnsi="Times New Roman" w:cs="Times New Roman"/>
          <w:sz w:val="24"/>
          <w:szCs w:val="24"/>
        </w:rPr>
      </w:pPr>
    </w:p>
    <w:p w14:paraId="26C00DA0" w14:textId="77777777" w:rsidR="00485C1F"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Affiliate membership may be a powerful tool that seeks to provide FFA opportunities to all agricultural education students. Presently, 20 state associations have transitioned to 100% affiliate membership (National FFA, 2025c), while other states either prohibit affiliate membership or leave the decision up to individual FFA chapters. As the National FFA Organization moves towards a chapter-based, 100% affiliation membership model, concerns about the financial stability and participation levels of affiliate membership need to be addressed. Additionally, some teachers indicated confusion about how to efficiently count and roster students without adding excess work for the teacher. An implication of this finding is that </w:t>
      </w:r>
      <w:r>
        <w:rPr>
          <w:rFonts w:ascii="Times New Roman" w:eastAsia="Times New Roman" w:hAnsi="Times New Roman" w:cs="Times New Roman"/>
          <w:sz w:val="24"/>
          <w:szCs w:val="24"/>
        </w:rPr>
        <w:lastRenderedPageBreak/>
        <w:t xml:space="preserve">professional development that explains which students count as FFA members and how to properly and efficiently roster them should be offered. By further studying affiliated associations and chapters, while evaluating the perceptions of affiliated teachers and students, the National FFA Organization will be better equipped to manage its student membership. </w:t>
      </w:r>
    </w:p>
    <w:p w14:paraId="30D77A9C" w14:textId="77777777" w:rsidR="00485C1F" w:rsidRDefault="00000000">
      <w:pPr>
        <w:spacing w:line="240" w:lineRule="auto"/>
        <w:jc w:val="center"/>
        <w:rPr>
          <w:rFonts w:ascii="Times New Roman" w:eastAsia="Times New Roman" w:hAnsi="Times New Roman" w:cs="Times New Roman"/>
          <w:b/>
          <w:bCs/>
          <w:sz w:val="24"/>
          <w:szCs w:val="24"/>
        </w:rPr>
      </w:pPr>
      <w:r>
        <w:br w:type="page"/>
      </w:r>
    </w:p>
    <w:p w14:paraId="55877116" w14:textId="77777777" w:rsidR="00485C1F"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References </w:t>
      </w:r>
    </w:p>
    <w:p w14:paraId="480A3E98" w14:textId="77777777" w:rsidR="00485C1F" w:rsidRDefault="00485C1F">
      <w:pPr>
        <w:spacing w:line="240" w:lineRule="auto"/>
        <w:jc w:val="center"/>
        <w:rPr>
          <w:rFonts w:ascii="Times New Roman" w:eastAsia="Times New Roman" w:hAnsi="Times New Roman" w:cs="Times New Roman"/>
          <w:b/>
          <w:bCs/>
          <w:sz w:val="24"/>
          <w:szCs w:val="24"/>
        </w:rPr>
      </w:pPr>
    </w:p>
    <w:p w14:paraId="4C1032BF" w14:textId="77777777" w:rsidR="00485C1F" w:rsidRDefault="00000000">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Croom, D. B. (2008). The development of the integrated three-component model of agricultural education. </w:t>
      </w:r>
      <w:r>
        <w:rPr>
          <w:rFonts w:ascii="Times New Roman" w:eastAsia="Times New Roman" w:hAnsi="Times New Roman" w:cs="Times New Roman"/>
          <w:i/>
          <w:iCs/>
          <w:sz w:val="24"/>
          <w:szCs w:val="24"/>
        </w:rPr>
        <w:t>Journal of Agricultural Education, 49</w:t>
      </w:r>
      <w:r>
        <w:rPr>
          <w:rFonts w:ascii="Times New Roman" w:eastAsia="Times New Roman" w:hAnsi="Times New Roman" w:cs="Times New Roman"/>
          <w:sz w:val="24"/>
          <w:szCs w:val="24"/>
        </w:rPr>
        <w:t>(1), 110–120. https://doi.org/10.5032/jae.2008.01110</w:t>
      </w:r>
    </w:p>
    <w:p w14:paraId="2477A7F3" w14:textId="77777777" w:rsidR="00485C1F" w:rsidRDefault="00485C1F">
      <w:pPr>
        <w:widowControl w:val="0"/>
        <w:spacing w:line="240" w:lineRule="auto"/>
        <w:ind w:left="720" w:hanging="720"/>
        <w:rPr>
          <w:rFonts w:ascii="Times New Roman" w:eastAsia="Times New Roman" w:hAnsi="Times New Roman" w:cs="Times New Roman"/>
          <w:sz w:val="24"/>
          <w:szCs w:val="24"/>
        </w:rPr>
      </w:pPr>
    </w:p>
    <w:p w14:paraId="1D72D199" w14:textId="77777777" w:rsidR="00485C1F" w:rsidRDefault="00000000">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Currie, B. K. (2017). </w:t>
      </w:r>
      <w:r>
        <w:rPr>
          <w:rFonts w:ascii="Times New Roman" w:eastAsia="Times New Roman" w:hAnsi="Times New Roman" w:cs="Times New Roman"/>
          <w:i/>
          <w:iCs/>
          <w:sz w:val="24"/>
          <w:szCs w:val="24"/>
        </w:rPr>
        <w:t xml:space="preserve">FFA membership growth compared to a changing and growing student population. </w:t>
      </w:r>
      <w:r>
        <w:rPr>
          <w:rFonts w:ascii="Times New Roman" w:eastAsia="Times New Roman" w:hAnsi="Times New Roman" w:cs="Times New Roman"/>
          <w:sz w:val="24"/>
          <w:szCs w:val="24"/>
        </w:rPr>
        <w:t xml:space="preserve"> [Master’s Thesis, University of Illinois at Urbana-Champaign]. University of Illinois at Urbana-Champaign Library. https://hdl.handle.net/2142/97795</w:t>
      </w:r>
    </w:p>
    <w:p w14:paraId="58DF9686" w14:textId="77777777" w:rsidR="00485C1F" w:rsidRDefault="00485C1F">
      <w:pPr>
        <w:widowControl w:val="0"/>
        <w:spacing w:line="240" w:lineRule="auto"/>
        <w:ind w:left="720" w:hanging="720"/>
        <w:rPr>
          <w:rFonts w:ascii="Times New Roman" w:eastAsia="Times New Roman" w:hAnsi="Times New Roman" w:cs="Times New Roman"/>
          <w:sz w:val="24"/>
          <w:szCs w:val="24"/>
        </w:rPr>
      </w:pPr>
    </w:p>
    <w:p w14:paraId="149E7883"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Deimler, W., Stump, S., &amp; Woodard, J. (2021). FFA for every student, every class, every day. </w:t>
      </w:r>
      <w:r>
        <w:rPr>
          <w:rFonts w:ascii="Times New Roman" w:eastAsia="Times New Roman" w:hAnsi="Times New Roman" w:cs="Times New Roman"/>
          <w:i/>
          <w:iCs/>
          <w:sz w:val="24"/>
          <w:szCs w:val="24"/>
        </w:rPr>
        <w:t>The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Agricultural Education Magazine, 94</w:t>
      </w:r>
      <w:r>
        <w:rPr>
          <w:rFonts w:ascii="Times New Roman" w:eastAsia="Times New Roman" w:hAnsi="Times New Roman" w:cs="Times New Roman"/>
          <w:sz w:val="24"/>
          <w:szCs w:val="24"/>
        </w:rPr>
        <w:t>(2), 19–20. https://www.naae.org/naae/document-server/?cfp=/naae/assets/file/public/magazine/volume94/2021%2009%20--%20september%20october.pdf</w:t>
      </w:r>
    </w:p>
    <w:p w14:paraId="1E81E74C" w14:textId="77777777" w:rsidR="00485C1F" w:rsidRDefault="00485C1F">
      <w:pPr>
        <w:spacing w:line="240" w:lineRule="auto"/>
        <w:ind w:left="720" w:hanging="720"/>
        <w:rPr>
          <w:rFonts w:ascii="Times New Roman" w:eastAsia="Times New Roman" w:hAnsi="Times New Roman" w:cs="Times New Roman"/>
          <w:sz w:val="24"/>
          <w:szCs w:val="24"/>
        </w:rPr>
      </w:pPr>
    </w:p>
    <w:p w14:paraId="789320CD"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Dillman, D. A., Smyth, J. D., &amp; Christian, L. M. (2014). </w:t>
      </w:r>
      <w:r>
        <w:rPr>
          <w:rFonts w:ascii="Times New Roman" w:eastAsia="Times New Roman" w:hAnsi="Times New Roman" w:cs="Times New Roman"/>
          <w:i/>
          <w:iCs/>
          <w:sz w:val="24"/>
          <w:szCs w:val="24"/>
        </w:rPr>
        <w:t>Internet, phone, mail, and mixed-mode surveys: The tailored design method.</w:t>
      </w:r>
      <w:r>
        <w:rPr>
          <w:rFonts w:ascii="Times New Roman" w:eastAsia="Times New Roman" w:hAnsi="Times New Roman" w:cs="Times New Roman"/>
          <w:sz w:val="24"/>
          <w:szCs w:val="24"/>
        </w:rPr>
        <w:t xml:space="preserve"> John Wiley &amp; Sons, Inc.</w:t>
      </w:r>
    </w:p>
    <w:p w14:paraId="3F5E62A4" w14:textId="77777777" w:rsidR="00485C1F" w:rsidRDefault="00485C1F">
      <w:pPr>
        <w:spacing w:line="240" w:lineRule="auto"/>
        <w:ind w:left="720" w:hanging="720"/>
        <w:rPr>
          <w:rFonts w:ascii="Times New Roman" w:eastAsia="Times New Roman" w:hAnsi="Times New Roman" w:cs="Times New Roman"/>
          <w:sz w:val="24"/>
          <w:szCs w:val="24"/>
        </w:rPr>
      </w:pPr>
    </w:p>
    <w:p w14:paraId="22FB0552" w14:textId="77777777" w:rsidR="00485C1F" w:rsidRDefault="00000000">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Elliott, K. M., &amp; Lambert, M. D. (2018). Urban and rural Latino students’ experiences in agricultural education: Toward defining rural privilege.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59</w:t>
      </w:r>
      <w:r>
        <w:rPr>
          <w:rFonts w:ascii="Times New Roman" w:eastAsia="Times New Roman" w:hAnsi="Times New Roman" w:cs="Times New Roman"/>
          <w:sz w:val="24"/>
          <w:szCs w:val="24"/>
        </w:rPr>
        <w:t>(3), 198–212. https://doi.org/10.5032/jae.2018.03198</w:t>
      </w:r>
    </w:p>
    <w:p w14:paraId="1307E92B" w14:textId="77777777" w:rsidR="00485C1F" w:rsidRDefault="00485C1F">
      <w:pPr>
        <w:spacing w:line="240" w:lineRule="auto"/>
        <w:ind w:left="720" w:hanging="720"/>
        <w:rPr>
          <w:rFonts w:ascii="Times New Roman" w:eastAsia="Times New Roman" w:hAnsi="Times New Roman" w:cs="Times New Roman"/>
          <w:b/>
          <w:bCs/>
          <w:sz w:val="24"/>
          <w:szCs w:val="24"/>
        </w:rPr>
      </w:pPr>
    </w:p>
    <w:p w14:paraId="3188C9F3" w14:textId="509996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Falwell, J., &amp; Guffey, K. B. (2023). The role affiliation membership plays in an FFA chapter: A qualitative view from Kentucky. </w:t>
      </w:r>
      <w:r>
        <w:rPr>
          <w:rFonts w:ascii="Times New Roman" w:eastAsia="Times New Roman" w:hAnsi="Times New Roman" w:cs="Times New Roman"/>
          <w:i/>
          <w:iCs/>
          <w:sz w:val="24"/>
          <w:szCs w:val="24"/>
        </w:rPr>
        <w:t xml:space="preserve">Murray State </w:t>
      </w:r>
      <w:r w:rsidR="00A65E42">
        <w:rPr>
          <w:rFonts w:ascii="Times New Roman" w:eastAsia="Times New Roman" w:hAnsi="Times New Roman" w:cs="Times New Roman"/>
          <w:i/>
          <w:iCs/>
          <w:sz w:val="24"/>
          <w:szCs w:val="24"/>
        </w:rPr>
        <w:t>University</w:t>
      </w:r>
      <w:r>
        <w:rPr>
          <w:rFonts w:ascii="Times New Roman" w:eastAsia="Times New Roman" w:hAnsi="Times New Roman" w:cs="Times New Roman"/>
          <w:i/>
          <w:iCs/>
          <w:sz w:val="24"/>
          <w:szCs w:val="24"/>
        </w:rPr>
        <w:t xml:space="preserve"> Theses and Dissertations. 281.</w:t>
      </w:r>
      <w:r>
        <w:rPr>
          <w:rFonts w:ascii="Times New Roman" w:eastAsia="Times New Roman" w:hAnsi="Times New Roman" w:cs="Times New Roman"/>
          <w:sz w:val="24"/>
          <w:szCs w:val="24"/>
        </w:rPr>
        <w:t xml:space="preserve"> https://digitalcommons.murraystate.edu/etd/281</w:t>
      </w:r>
    </w:p>
    <w:p w14:paraId="67B83303" w14:textId="77777777" w:rsidR="00485C1F" w:rsidRDefault="00485C1F">
      <w:pPr>
        <w:spacing w:line="240" w:lineRule="auto"/>
        <w:ind w:left="720" w:hanging="720"/>
        <w:rPr>
          <w:rFonts w:ascii="Times New Roman" w:eastAsia="Times New Roman" w:hAnsi="Times New Roman" w:cs="Times New Roman"/>
          <w:sz w:val="24"/>
          <w:szCs w:val="24"/>
          <w:highlight w:val="white"/>
        </w:rPr>
      </w:pPr>
    </w:p>
    <w:p w14:paraId="2089DBB9"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Field, A. (2018). </w:t>
      </w:r>
      <w:r>
        <w:rPr>
          <w:rFonts w:ascii="Times New Roman" w:eastAsia="Times New Roman" w:hAnsi="Times New Roman" w:cs="Times New Roman"/>
          <w:i/>
          <w:iCs/>
          <w:sz w:val="24"/>
          <w:szCs w:val="24"/>
        </w:rPr>
        <w:t>Discovering statistics using IBM SPSS statistics</w:t>
      </w:r>
      <w:r>
        <w:rPr>
          <w:rFonts w:ascii="Times New Roman" w:eastAsia="Times New Roman" w:hAnsi="Times New Roman" w:cs="Times New Roman"/>
          <w:sz w:val="24"/>
          <w:szCs w:val="24"/>
          <w:highlight w:val="white"/>
        </w:rPr>
        <w:t xml:space="preserve"> (5th ed.). SAGE Publications.</w:t>
      </w:r>
    </w:p>
    <w:p w14:paraId="63BF15AE" w14:textId="77777777" w:rsidR="00485C1F"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Fraenkel, J. R., Wallen, N. E., &amp; Hyun, H. H. (2023). </w:t>
      </w:r>
      <w:r>
        <w:rPr>
          <w:rFonts w:ascii="Times New Roman" w:eastAsia="Times New Roman" w:hAnsi="Times New Roman" w:cs="Times New Roman"/>
          <w:i/>
          <w:iCs/>
          <w:sz w:val="24"/>
          <w:szCs w:val="24"/>
        </w:rPr>
        <w:t xml:space="preserve">How to design and evaluate research in education </w:t>
      </w:r>
      <w:r>
        <w:rPr>
          <w:rFonts w:ascii="Times New Roman" w:eastAsia="Times New Roman" w:hAnsi="Times New Roman" w:cs="Times New Roman"/>
          <w:sz w:val="24"/>
          <w:szCs w:val="24"/>
        </w:rPr>
        <w:t>(11th ed.). McGraw-Hill.</w:t>
      </w:r>
    </w:p>
    <w:p w14:paraId="529AE456" w14:textId="77777777" w:rsidR="00485C1F"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Hatch, J. A. (2002). </w:t>
      </w:r>
      <w:r>
        <w:rPr>
          <w:rFonts w:ascii="Times New Roman" w:eastAsia="Times New Roman" w:hAnsi="Times New Roman" w:cs="Times New Roman"/>
          <w:i/>
          <w:iCs/>
          <w:sz w:val="24"/>
          <w:szCs w:val="24"/>
        </w:rPr>
        <w:t>Doing qualitative research in education settings</w:t>
      </w:r>
      <w:r>
        <w:rPr>
          <w:rFonts w:ascii="Times New Roman" w:eastAsia="Times New Roman" w:hAnsi="Times New Roman" w:cs="Times New Roman"/>
          <w:sz w:val="24"/>
          <w:szCs w:val="24"/>
        </w:rPr>
        <w:t xml:space="preserve">. State University of New York Press. </w:t>
      </w:r>
    </w:p>
    <w:p w14:paraId="1B369461" w14:textId="77777777" w:rsidR="00485C1F" w:rsidRDefault="00000000">
      <w:pPr>
        <w:spacing w:before="240" w:after="240"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Krejcie</w:t>
      </w:r>
      <w:proofErr w:type="spellEnd"/>
      <w:r>
        <w:rPr>
          <w:rFonts w:ascii="Times New Roman" w:eastAsia="Times New Roman" w:hAnsi="Times New Roman" w:cs="Times New Roman"/>
          <w:sz w:val="24"/>
          <w:szCs w:val="24"/>
        </w:rPr>
        <w:t xml:space="preserve">, R.V., &amp; Morgan, D.W. (1970). Determining sample size for research activities. </w:t>
      </w:r>
      <w:r>
        <w:rPr>
          <w:rFonts w:ascii="Times New Roman" w:eastAsia="Times New Roman" w:hAnsi="Times New Roman" w:cs="Times New Roman"/>
          <w:i/>
          <w:iCs/>
          <w:sz w:val="24"/>
          <w:szCs w:val="24"/>
        </w:rPr>
        <w:t>Educational and Psychological Measurement, 30</w:t>
      </w:r>
      <w:r>
        <w:rPr>
          <w:rFonts w:ascii="Times New Roman" w:eastAsia="Times New Roman" w:hAnsi="Times New Roman" w:cs="Times New Roman"/>
          <w:sz w:val="24"/>
          <w:szCs w:val="24"/>
        </w:rPr>
        <w:t>(3), 607–610.</w:t>
      </w:r>
    </w:p>
    <w:p w14:paraId="17E71E9D"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Lindner, J. R., Murphy, T. H., &amp; Briers, G. E. (2001). Handling nonresponse in social science research. </w:t>
      </w:r>
      <w:r>
        <w:rPr>
          <w:rFonts w:ascii="Times New Roman" w:eastAsia="Times New Roman" w:hAnsi="Times New Roman" w:cs="Times New Roman"/>
          <w:i/>
          <w:iCs/>
          <w:sz w:val="24"/>
          <w:szCs w:val="24"/>
        </w:rPr>
        <w:t>Journal of Agricultural Education, 42</w:t>
      </w:r>
      <w:r>
        <w:rPr>
          <w:rFonts w:ascii="Times New Roman" w:eastAsia="Times New Roman" w:hAnsi="Times New Roman" w:cs="Times New Roman"/>
          <w:sz w:val="24"/>
          <w:szCs w:val="24"/>
        </w:rPr>
        <w:t>(4), 43-53. https://doi.org/10.5032/jae.2001.04043</w:t>
      </w:r>
    </w:p>
    <w:p w14:paraId="15053815" w14:textId="77777777" w:rsidR="00485C1F" w:rsidRDefault="00485C1F" w:rsidP="00A65E42">
      <w:pPr>
        <w:spacing w:line="240" w:lineRule="auto"/>
        <w:rPr>
          <w:rFonts w:ascii="Times New Roman" w:eastAsia="Times New Roman" w:hAnsi="Times New Roman" w:cs="Times New Roman"/>
          <w:sz w:val="24"/>
          <w:szCs w:val="24"/>
        </w:rPr>
      </w:pPr>
    </w:p>
    <w:p w14:paraId="04453155"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Coordinating Council for Career and Technical Student Organizations. (2014). </w:t>
      </w:r>
      <w:r>
        <w:rPr>
          <w:rFonts w:ascii="Times New Roman" w:eastAsia="Times New Roman" w:hAnsi="Times New Roman" w:cs="Times New Roman"/>
          <w:i/>
          <w:iCs/>
          <w:sz w:val="24"/>
          <w:szCs w:val="24"/>
        </w:rPr>
        <w:t>Definition, mission, purpose and criteria for membership</w:t>
      </w:r>
      <w:r>
        <w:rPr>
          <w:rFonts w:ascii="Times New Roman" w:eastAsia="Times New Roman" w:hAnsi="Times New Roman" w:cs="Times New Roman"/>
          <w:sz w:val="24"/>
          <w:szCs w:val="24"/>
        </w:rPr>
        <w:t xml:space="preserve"> [PDF]. https://www.ctsos.org/wp-content/uploads/2019/03/2016-Final-Definition-NCC-CTS-JULY-16.pdf</w:t>
      </w:r>
    </w:p>
    <w:p w14:paraId="6D824A17" w14:textId="77777777" w:rsidR="00485C1F" w:rsidRDefault="00485C1F">
      <w:pPr>
        <w:spacing w:line="240" w:lineRule="auto"/>
        <w:ind w:left="720" w:hanging="720"/>
        <w:rPr>
          <w:rFonts w:ascii="Times New Roman" w:eastAsia="Times New Roman" w:hAnsi="Times New Roman" w:cs="Times New Roman"/>
          <w:sz w:val="24"/>
          <w:szCs w:val="24"/>
        </w:rPr>
      </w:pPr>
    </w:p>
    <w:p w14:paraId="3A6147BF" w14:textId="77777777" w:rsidR="00485C1F"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 xml:space="preserve">National FFA Organization. (2009a). </w:t>
      </w:r>
      <w:r>
        <w:rPr>
          <w:rFonts w:ascii="Times New Roman" w:eastAsia="Times New Roman" w:hAnsi="Times New Roman" w:cs="Times New Roman"/>
          <w:i/>
          <w:iCs/>
          <w:sz w:val="24"/>
          <w:szCs w:val="24"/>
        </w:rPr>
        <w:t xml:space="preserve">National FFA Board of Directors August 2009 meeting minutes. </w:t>
      </w:r>
      <w:r>
        <w:rPr>
          <w:rFonts w:ascii="Times New Roman" w:eastAsia="Times New Roman" w:hAnsi="Times New Roman" w:cs="Times New Roman"/>
          <w:sz w:val="24"/>
          <w:szCs w:val="24"/>
        </w:rPr>
        <w:t xml:space="preserve">National FFA. </w:t>
      </w:r>
      <w:r>
        <w:rPr>
          <w:rFonts w:ascii="Times New Roman" w:eastAsia="Times New Roman" w:hAnsi="Times New Roman" w:cs="Times New Roman"/>
          <w:sz w:val="24"/>
          <w:szCs w:val="24"/>
          <w:highlight w:val="white"/>
        </w:rPr>
        <w:t>https://hdl.handle.net/2450/10958</w:t>
      </w:r>
    </w:p>
    <w:p w14:paraId="410A39BC" w14:textId="77777777" w:rsidR="00485C1F" w:rsidRDefault="00485C1F">
      <w:pPr>
        <w:spacing w:line="240" w:lineRule="auto"/>
        <w:ind w:left="720" w:hanging="720"/>
        <w:rPr>
          <w:rFonts w:ascii="Times New Roman" w:eastAsia="Times New Roman" w:hAnsi="Times New Roman" w:cs="Times New Roman"/>
          <w:sz w:val="24"/>
          <w:szCs w:val="24"/>
        </w:rPr>
      </w:pPr>
    </w:p>
    <w:p w14:paraId="4055C8D9"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(2009b). </w:t>
      </w:r>
      <w:r>
        <w:rPr>
          <w:rFonts w:ascii="Times New Roman" w:eastAsia="Times New Roman" w:hAnsi="Times New Roman" w:cs="Times New Roman"/>
          <w:i/>
          <w:iCs/>
          <w:sz w:val="24"/>
          <w:szCs w:val="24"/>
        </w:rPr>
        <w:t xml:space="preserve">National FFA Convention 2009 proceedings. </w:t>
      </w:r>
      <w:r>
        <w:rPr>
          <w:rFonts w:ascii="Times New Roman" w:eastAsia="Times New Roman" w:hAnsi="Times New Roman" w:cs="Times New Roman"/>
          <w:sz w:val="24"/>
          <w:szCs w:val="24"/>
        </w:rPr>
        <w:t>National FFA. https://hdl.handle.net/2450/6547</w:t>
      </w:r>
    </w:p>
    <w:p w14:paraId="360707B9" w14:textId="77777777" w:rsidR="00485C1F" w:rsidRDefault="00485C1F">
      <w:pPr>
        <w:spacing w:line="240" w:lineRule="auto"/>
        <w:ind w:left="720" w:hanging="720"/>
        <w:rPr>
          <w:rFonts w:ascii="Times New Roman" w:eastAsia="Times New Roman" w:hAnsi="Times New Roman" w:cs="Times New Roman"/>
          <w:sz w:val="24"/>
          <w:szCs w:val="24"/>
        </w:rPr>
      </w:pPr>
    </w:p>
    <w:p w14:paraId="46C00458"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(2010). </w:t>
      </w:r>
      <w:r>
        <w:rPr>
          <w:rFonts w:ascii="Times New Roman" w:eastAsia="Times New Roman" w:hAnsi="Times New Roman" w:cs="Times New Roman"/>
          <w:i/>
          <w:iCs/>
          <w:sz w:val="24"/>
          <w:szCs w:val="24"/>
        </w:rPr>
        <w:t xml:space="preserve">National FFA Board of Directors January 2010 meeting minutes. </w:t>
      </w:r>
      <w:r>
        <w:rPr>
          <w:rFonts w:ascii="Times New Roman" w:eastAsia="Times New Roman" w:hAnsi="Times New Roman" w:cs="Times New Roman"/>
          <w:sz w:val="24"/>
          <w:szCs w:val="24"/>
        </w:rPr>
        <w:t>National FFA. https://hdl.handle.net/2450/10959</w:t>
      </w:r>
    </w:p>
    <w:p w14:paraId="4F739064" w14:textId="77777777" w:rsidR="00485C1F" w:rsidRDefault="00485C1F">
      <w:pPr>
        <w:spacing w:line="240" w:lineRule="auto"/>
        <w:ind w:left="720" w:hanging="720"/>
        <w:rPr>
          <w:rFonts w:ascii="Times New Roman" w:eastAsia="Times New Roman" w:hAnsi="Times New Roman" w:cs="Times New Roman"/>
          <w:sz w:val="24"/>
          <w:szCs w:val="24"/>
        </w:rPr>
      </w:pPr>
    </w:p>
    <w:p w14:paraId="1F771FCD"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(2017). </w:t>
      </w:r>
      <w:r>
        <w:rPr>
          <w:rFonts w:ascii="Times New Roman" w:eastAsia="Times New Roman" w:hAnsi="Times New Roman" w:cs="Times New Roman"/>
          <w:i/>
          <w:iCs/>
          <w:sz w:val="24"/>
          <w:szCs w:val="24"/>
        </w:rPr>
        <w:t>FFA student handbook</w:t>
      </w:r>
      <w:r>
        <w:rPr>
          <w:rFonts w:ascii="Times New Roman" w:eastAsia="Times New Roman" w:hAnsi="Times New Roman" w:cs="Times New Roman"/>
          <w:sz w:val="24"/>
          <w:szCs w:val="24"/>
        </w:rPr>
        <w:t>. https://ffa.app.box.com/v/studenthandbook/file/639012943093</w:t>
      </w:r>
    </w:p>
    <w:p w14:paraId="380BBC49" w14:textId="77777777" w:rsidR="00485C1F" w:rsidRDefault="00485C1F">
      <w:pPr>
        <w:spacing w:line="240" w:lineRule="auto"/>
        <w:ind w:left="720" w:hanging="720"/>
        <w:rPr>
          <w:rFonts w:ascii="Times New Roman" w:eastAsia="Times New Roman" w:hAnsi="Times New Roman" w:cs="Times New Roman"/>
          <w:sz w:val="24"/>
          <w:szCs w:val="24"/>
        </w:rPr>
      </w:pPr>
    </w:p>
    <w:p w14:paraId="35431AEE"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(2022). </w:t>
      </w:r>
      <w:r>
        <w:rPr>
          <w:rFonts w:ascii="Times New Roman" w:eastAsia="Times New Roman" w:hAnsi="Times New Roman" w:cs="Times New Roman"/>
          <w:i/>
          <w:iCs/>
          <w:sz w:val="24"/>
          <w:szCs w:val="24"/>
        </w:rPr>
        <w:t xml:space="preserve">Affiliation membership description, philosophy, benefits, policy, and procedures. </w:t>
      </w:r>
      <w:r>
        <w:rPr>
          <w:rFonts w:ascii="Times New Roman" w:eastAsia="Times New Roman" w:hAnsi="Times New Roman" w:cs="Times New Roman"/>
          <w:sz w:val="24"/>
          <w:szCs w:val="24"/>
        </w:rPr>
        <w:t>National FFA. https://ffa.app.box.com/v/Library/file/1324692786810</w:t>
      </w:r>
    </w:p>
    <w:p w14:paraId="6A6CF134" w14:textId="77777777" w:rsidR="00485C1F" w:rsidRDefault="00485C1F">
      <w:pPr>
        <w:widowControl w:val="0"/>
        <w:spacing w:line="240" w:lineRule="auto"/>
        <w:ind w:left="720" w:hanging="720"/>
        <w:rPr>
          <w:rFonts w:ascii="Times New Roman" w:eastAsia="Times New Roman" w:hAnsi="Times New Roman" w:cs="Times New Roman"/>
          <w:sz w:val="24"/>
          <w:szCs w:val="24"/>
        </w:rPr>
      </w:pPr>
    </w:p>
    <w:p w14:paraId="706E4270" w14:textId="77777777" w:rsidR="00485C1F" w:rsidRDefault="00000000">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(2025a). </w:t>
      </w:r>
      <w:r>
        <w:rPr>
          <w:rFonts w:ascii="Times New Roman" w:eastAsia="Times New Roman" w:hAnsi="Times New Roman" w:cs="Times New Roman"/>
          <w:i/>
          <w:iCs/>
          <w:sz w:val="24"/>
          <w:szCs w:val="24"/>
        </w:rPr>
        <w:t>Removing barriers to FFA</w:t>
      </w:r>
      <w:r>
        <w:rPr>
          <w:rFonts w:ascii="Times New Roman" w:eastAsia="Times New Roman" w:hAnsi="Times New Roman" w:cs="Times New Roman"/>
          <w:sz w:val="24"/>
          <w:szCs w:val="24"/>
        </w:rPr>
        <w:t>. National FFA Organization. https://ffa.app.box.com/v/RemovingBarriersProposal</w:t>
      </w:r>
    </w:p>
    <w:p w14:paraId="50F7A7C4" w14:textId="77777777" w:rsidR="00485C1F" w:rsidRDefault="00485C1F">
      <w:pPr>
        <w:widowControl w:val="0"/>
        <w:spacing w:line="240" w:lineRule="auto"/>
        <w:ind w:left="720" w:hanging="720"/>
        <w:rPr>
          <w:rFonts w:ascii="Times New Roman" w:eastAsia="Times New Roman" w:hAnsi="Times New Roman" w:cs="Times New Roman"/>
          <w:sz w:val="24"/>
          <w:szCs w:val="24"/>
        </w:rPr>
      </w:pPr>
    </w:p>
    <w:p w14:paraId="47EBE564" w14:textId="77777777" w:rsidR="00485C1F" w:rsidRDefault="00000000">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(2025b). </w:t>
      </w:r>
      <w:r>
        <w:rPr>
          <w:rFonts w:ascii="Times New Roman" w:eastAsia="Times New Roman" w:hAnsi="Times New Roman" w:cs="Times New Roman"/>
          <w:i/>
          <w:iCs/>
          <w:sz w:val="24"/>
          <w:szCs w:val="24"/>
        </w:rPr>
        <w:t xml:space="preserve">98th National FFA Convention &amp; Expo delegate business session 1 </w:t>
      </w:r>
      <w:r>
        <w:rPr>
          <w:rFonts w:ascii="Times New Roman" w:eastAsia="Times New Roman" w:hAnsi="Times New Roman" w:cs="Times New Roman"/>
          <w:sz w:val="24"/>
          <w:szCs w:val="24"/>
        </w:rPr>
        <w:t>[Video]</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Vimeo. https://vimeo.com/1132187598</w:t>
      </w:r>
    </w:p>
    <w:p w14:paraId="3FCC0957" w14:textId="77777777" w:rsidR="00485C1F"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(2025c). </w:t>
      </w:r>
      <w:r>
        <w:rPr>
          <w:rFonts w:ascii="Times New Roman" w:eastAsia="Times New Roman" w:hAnsi="Times New Roman" w:cs="Times New Roman"/>
          <w:i/>
          <w:iCs/>
          <w:sz w:val="24"/>
          <w:szCs w:val="24"/>
        </w:rPr>
        <w:t>100% membership states practices, policies, and methods of enactment</w:t>
      </w:r>
      <w:r>
        <w:rPr>
          <w:rFonts w:ascii="Times New Roman" w:eastAsia="Times New Roman" w:hAnsi="Times New Roman" w:cs="Times New Roman"/>
          <w:sz w:val="24"/>
          <w:szCs w:val="24"/>
        </w:rPr>
        <w:t>. National FFA Organization. https://ffa.app.box.com/v/Library/file/1848543666498</w:t>
      </w:r>
    </w:p>
    <w:p w14:paraId="118F2A8C" w14:textId="77777777" w:rsidR="00485C1F" w:rsidRDefault="00000000">
      <w:pPr>
        <w:spacing w:before="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FFA Organization. (2026). Vision, mission, motto. National FFA Organization. https://www.ffa.org/about/who-we-are/mission-motto/</w:t>
      </w:r>
    </w:p>
    <w:p w14:paraId="3C5FEB77" w14:textId="77777777" w:rsidR="00485C1F" w:rsidRDefault="00485C1F">
      <w:pPr>
        <w:widowControl w:val="0"/>
        <w:spacing w:line="240" w:lineRule="auto"/>
        <w:ind w:left="720" w:hanging="720"/>
        <w:rPr>
          <w:rFonts w:ascii="Times New Roman" w:eastAsia="Times New Roman" w:hAnsi="Times New Roman" w:cs="Times New Roman"/>
          <w:sz w:val="24"/>
          <w:szCs w:val="24"/>
        </w:rPr>
      </w:pPr>
    </w:p>
    <w:p w14:paraId="46D90D52" w14:textId="77777777" w:rsidR="00485C1F" w:rsidRDefault="00000000">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Organization’s Federal Charter Amendments Act. 36 USC 101 </w:t>
      </w:r>
      <w:r>
        <w:rPr>
          <w:rFonts w:ascii="Times New Roman" w:eastAsia="Times New Roman" w:hAnsi="Times New Roman" w:cs="Times New Roman"/>
          <w:i/>
          <w:iCs/>
          <w:sz w:val="24"/>
          <w:szCs w:val="24"/>
        </w:rPr>
        <w:t xml:space="preserve">et seq. </w:t>
      </w:r>
      <w:r>
        <w:rPr>
          <w:rFonts w:ascii="Times New Roman" w:eastAsia="Times New Roman" w:hAnsi="Times New Roman" w:cs="Times New Roman"/>
          <w:sz w:val="24"/>
          <w:szCs w:val="24"/>
        </w:rPr>
        <w:t xml:space="preserve">(2019). https://www.govinfo.gov/content/pkg/PLAW-116publ7/pdf/PLAW-116publ7.pdf </w:t>
      </w:r>
    </w:p>
    <w:p w14:paraId="0FE0DB82" w14:textId="77777777" w:rsidR="00485C1F" w:rsidRDefault="00485C1F">
      <w:pPr>
        <w:spacing w:line="240" w:lineRule="auto"/>
        <w:ind w:left="720" w:hanging="720"/>
        <w:rPr>
          <w:rFonts w:ascii="Times New Roman" w:eastAsia="Times New Roman" w:hAnsi="Times New Roman" w:cs="Times New Roman"/>
          <w:sz w:val="24"/>
          <w:szCs w:val="24"/>
        </w:rPr>
      </w:pPr>
    </w:p>
    <w:p w14:paraId="1C855372" w14:textId="5B23A735" w:rsidR="00A65E42" w:rsidRDefault="00A65E42">
      <w:pPr>
        <w:widowControl w:val="0"/>
        <w:spacing w:line="240" w:lineRule="auto"/>
        <w:ind w:left="720" w:hanging="720"/>
        <w:rPr>
          <w:rFonts w:ascii="Times New Roman" w:eastAsia="Times New Roman" w:hAnsi="Times New Roman" w:cs="Times New Roman"/>
          <w:sz w:val="24"/>
          <w:szCs w:val="24"/>
        </w:rPr>
      </w:pPr>
      <w:r w:rsidRPr="00A65E42">
        <w:rPr>
          <w:rFonts w:ascii="Times New Roman" w:eastAsia="Times New Roman" w:hAnsi="Times New Roman" w:cs="Times New Roman"/>
          <w:sz w:val="24"/>
          <w:szCs w:val="24"/>
        </w:rPr>
        <w:t>Paglia, K. L., Park, T. D., &amp; Simpson, M. F. (2026). North Carolina SBAE Teacher Perceptions of the FFA Affiliation Model [Conference Presentation]. Proceedings of the 2026 Southern Region American Association for Agricultural Education Research Conference, Louisville, KY.</w:t>
      </w:r>
    </w:p>
    <w:p w14:paraId="08D94DB0" w14:textId="77777777" w:rsidR="00A65E42" w:rsidRDefault="00A65E42">
      <w:pPr>
        <w:widowControl w:val="0"/>
        <w:spacing w:line="240" w:lineRule="auto"/>
        <w:ind w:left="720" w:hanging="720"/>
        <w:rPr>
          <w:rFonts w:ascii="Times New Roman" w:eastAsia="Times New Roman" w:hAnsi="Times New Roman" w:cs="Times New Roman"/>
          <w:sz w:val="24"/>
          <w:szCs w:val="24"/>
        </w:rPr>
      </w:pPr>
    </w:p>
    <w:p w14:paraId="4051C01A" w14:textId="1858AA2E" w:rsidR="00485C1F" w:rsidRDefault="00000000">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Phelps, K., Henry, A. L., &amp; Bird, W. A. (2012). Factors influencing or discouraging secondary school students’ FFA participation. </w:t>
      </w:r>
      <w:r>
        <w:rPr>
          <w:rFonts w:ascii="Times New Roman" w:eastAsia="Times New Roman" w:hAnsi="Times New Roman" w:cs="Times New Roman"/>
          <w:i/>
          <w:iCs/>
          <w:sz w:val="24"/>
          <w:szCs w:val="24"/>
        </w:rPr>
        <w:t>Journal of Agricultural Education, 53</w:t>
      </w:r>
      <w:r>
        <w:rPr>
          <w:rFonts w:ascii="Times New Roman" w:eastAsia="Times New Roman" w:hAnsi="Times New Roman" w:cs="Times New Roman"/>
          <w:sz w:val="24"/>
          <w:szCs w:val="24"/>
        </w:rPr>
        <w:t>(2), 70–86. https://doi.org/10.5032/jae.2012.02070</w:t>
      </w:r>
    </w:p>
    <w:p w14:paraId="1B436FED" w14:textId="77777777" w:rsidR="00485C1F" w:rsidRDefault="00485C1F">
      <w:pPr>
        <w:spacing w:line="240" w:lineRule="auto"/>
        <w:ind w:left="720" w:hanging="720"/>
        <w:rPr>
          <w:rFonts w:ascii="Times New Roman" w:eastAsia="Times New Roman" w:hAnsi="Times New Roman" w:cs="Times New Roman"/>
          <w:sz w:val="24"/>
          <w:szCs w:val="24"/>
        </w:rPr>
      </w:pPr>
    </w:p>
    <w:p w14:paraId="05299FB5"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Rada, L. L., Sheehan, C. Z., Smith, A. R., &amp; </w:t>
      </w:r>
      <w:proofErr w:type="spellStart"/>
      <w:r>
        <w:rPr>
          <w:rFonts w:ascii="Times New Roman" w:eastAsia="Times New Roman" w:hAnsi="Times New Roman" w:cs="Times New Roman"/>
          <w:sz w:val="24"/>
          <w:szCs w:val="24"/>
        </w:rPr>
        <w:t>Livstrom</w:t>
      </w:r>
      <w:proofErr w:type="spellEnd"/>
      <w:r>
        <w:rPr>
          <w:rFonts w:ascii="Times New Roman" w:eastAsia="Times New Roman" w:hAnsi="Times New Roman" w:cs="Times New Roman"/>
          <w:sz w:val="24"/>
          <w:szCs w:val="24"/>
        </w:rPr>
        <w:t xml:space="preserve">, I. C. (2025). Benefits and challenges of SAE for All and FFA affiliation adoption.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66</w:t>
      </w:r>
      <w:r>
        <w:rPr>
          <w:rFonts w:ascii="Times New Roman" w:eastAsia="Times New Roman" w:hAnsi="Times New Roman" w:cs="Times New Roman"/>
          <w:sz w:val="24"/>
          <w:szCs w:val="24"/>
        </w:rPr>
        <w:t>(1), 1–19. https://doi.org/10.5032/jae.v66i1.2770</w:t>
      </w:r>
    </w:p>
    <w:p w14:paraId="28E0969B" w14:textId="77777777" w:rsidR="00485C1F" w:rsidRDefault="00485C1F">
      <w:pPr>
        <w:spacing w:line="240" w:lineRule="auto"/>
        <w:ind w:left="720" w:hanging="720"/>
        <w:rPr>
          <w:rFonts w:ascii="Times New Roman" w:eastAsia="Times New Roman" w:hAnsi="Times New Roman" w:cs="Times New Roman"/>
          <w:sz w:val="24"/>
          <w:szCs w:val="24"/>
        </w:rPr>
      </w:pPr>
    </w:p>
    <w:p w14:paraId="4AFE8675"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Rogers, Everett M. (2003). </w:t>
      </w:r>
      <w:r>
        <w:rPr>
          <w:rFonts w:ascii="Times New Roman" w:eastAsia="Times New Roman" w:hAnsi="Times New Roman" w:cs="Times New Roman"/>
          <w:i/>
          <w:iCs/>
          <w:sz w:val="24"/>
          <w:szCs w:val="24"/>
        </w:rPr>
        <w:t>Diffusion of innovations, 5th Edition</w:t>
      </w:r>
      <w:r>
        <w:rPr>
          <w:rFonts w:ascii="Times New Roman" w:eastAsia="Times New Roman" w:hAnsi="Times New Roman" w:cs="Times New Roman"/>
          <w:sz w:val="24"/>
          <w:szCs w:val="24"/>
        </w:rPr>
        <w:t>. Free Press.</w:t>
      </w:r>
    </w:p>
    <w:p w14:paraId="217921A7" w14:textId="77777777" w:rsidR="00485C1F" w:rsidRDefault="00485C1F">
      <w:pPr>
        <w:spacing w:line="240" w:lineRule="auto"/>
        <w:ind w:left="720" w:hanging="720"/>
        <w:rPr>
          <w:rFonts w:ascii="Times New Roman" w:eastAsia="Times New Roman" w:hAnsi="Times New Roman" w:cs="Times New Roman"/>
          <w:sz w:val="24"/>
          <w:szCs w:val="24"/>
        </w:rPr>
      </w:pPr>
    </w:p>
    <w:p w14:paraId="3F0CD3C4"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Rose, C., Stephens, C. A., Stripling, C., Cross, T., Sanok, D. E., &amp; Brawner, S. (2016). The benefits of FFA membership as part of agricultural education.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57</w:t>
      </w:r>
      <w:r>
        <w:rPr>
          <w:rFonts w:ascii="Times New Roman" w:eastAsia="Times New Roman" w:hAnsi="Times New Roman" w:cs="Times New Roman"/>
          <w:sz w:val="24"/>
          <w:szCs w:val="24"/>
        </w:rPr>
        <w:t xml:space="preserve">(2), 33–45. </w:t>
      </w:r>
    </w:p>
    <w:p w14:paraId="6A24E6B5" w14:textId="77777777" w:rsidR="00485C1F" w:rsidRDefault="00485C1F">
      <w:pPr>
        <w:spacing w:line="240" w:lineRule="auto"/>
        <w:ind w:left="720" w:hanging="720"/>
        <w:rPr>
          <w:rFonts w:ascii="Times New Roman" w:eastAsia="Times New Roman" w:hAnsi="Times New Roman" w:cs="Times New Roman"/>
          <w:sz w:val="24"/>
          <w:szCs w:val="24"/>
        </w:rPr>
      </w:pPr>
    </w:p>
    <w:p w14:paraId="24B3AC29"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Saldaña, J. (2013). The coding manual for qualitative researchers (2nd ed.). Sage Publications.</w:t>
      </w:r>
    </w:p>
    <w:p w14:paraId="1BE064C8" w14:textId="77777777" w:rsidR="00485C1F" w:rsidRDefault="00485C1F">
      <w:pPr>
        <w:spacing w:line="240" w:lineRule="auto"/>
        <w:ind w:left="720" w:hanging="720"/>
        <w:rPr>
          <w:rFonts w:ascii="Times New Roman" w:eastAsia="Times New Roman" w:hAnsi="Times New Roman" w:cs="Times New Roman"/>
          <w:sz w:val="24"/>
          <w:szCs w:val="24"/>
        </w:rPr>
      </w:pPr>
    </w:p>
    <w:p w14:paraId="0A8715DD"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Sheehan, C. Z., &amp; Moore, L. L. (2019). Trends and impact of FFA affiliation on National FFA Organization student membership: A secondary analysis of existing data.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60</w:t>
      </w:r>
      <w:r>
        <w:rPr>
          <w:rFonts w:ascii="Times New Roman" w:eastAsia="Times New Roman" w:hAnsi="Times New Roman" w:cs="Times New Roman"/>
          <w:sz w:val="24"/>
          <w:szCs w:val="24"/>
        </w:rPr>
        <w:t>(2), 210–221. https://doi.org/10.5032/jae.2019.02210</w:t>
      </w:r>
    </w:p>
    <w:p w14:paraId="7B5E8484" w14:textId="77777777" w:rsidR="00485C1F" w:rsidRDefault="00485C1F">
      <w:pPr>
        <w:spacing w:line="240" w:lineRule="auto"/>
        <w:ind w:left="720" w:hanging="720"/>
        <w:rPr>
          <w:rFonts w:ascii="Times New Roman" w:eastAsia="Times New Roman" w:hAnsi="Times New Roman" w:cs="Times New Roman"/>
          <w:sz w:val="24"/>
          <w:szCs w:val="24"/>
          <w:highlight w:val="cyan"/>
        </w:rPr>
      </w:pPr>
    </w:p>
    <w:p w14:paraId="740EB5DC" w14:textId="77777777" w:rsidR="00485C1F"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Sheehan, C. Z., Rada, L., Greiman, B., &amp; </w:t>
      </w:r>
      <w:proofErr w:type="spellStart"/>
      <w:r>
        <w:rPr>
          <w:rFonts w:ascii="Times New Roman" w:eastAsia="Times New Roman" w:hAnsi="Times New Roman" w:cs="Times New Roman"/>
          <w:sz w:val="24"/>
          <w:szCs w:val="24"/>
        </w:rPr>
        <w:t>Livstrom</w:t>
      </w:r>
      <w:proofErr w:type="spellEnd"/>
      <w:r>
        <w:rPr>
          <w:rFonts w:ascii="Times New Roman" w:eastAsia="Times New Roman" w:hAnsi="Times New Roman" w:cs="Times New Roman"/>
          <w:sz w:val="24"/>
          <w:szCs w:val="24"/>
        </w:rPr>
        <w:t xml:space="preserve">, I. C. (2023). Benefits, barriers, and implementation strategies experienced by teachers adopting FFA affiliation membership: A case study. </w:t>
      </w:r>
      <w:r>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64</w:t>
      </w:r>
      <w:r>
        <w:rPr>
          <w:rFonts w:ascii="Times New Roman" w:eastAsia="Times New Roman" w:hAnsi="Times New Roman" w:cs="Times New Roman"/>
          <w:sz w:val="24"/>
          <w:szCs w:val="24"/>
        </w:rPr>
        <w:t>(4), 29–47. https://doi.org/10.5032/jae.v64i4.86</w:t>
      </w:r>
    </w:p>
    <w:p w14:paraId="7363A723" w14:textId="77777777" w:rsidR="00485C1F" w:rsidRDefault="00485C1F">
      <w:pPr>
        <w:spacing w:line="240" w:lineRule="auto"/>
        <w:ind w:left="720" w:hanging="720"/>
        <w:rPr>
          <w:rFonts w:ascii="Times New Roman" w:eastAsia="Times New Roman" w:hAnsi="Times New Roman" w:cs="Times New Roman"/>
          <w:sz w:val="24"/>
          <w:szCs w:val="24"/>
        </w:rPr>
      </w:pPr>
    </w:p>
    <w:p w14:paraId="510FF169" w14:textId="77777777" w:rsidR="00485C1F" w:rsidRDefault="00000000">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Taherdoost</w:t>
      </w:r>
      <w:proofErr w:type="spellEnd"/>
      <w:r>
        <w:rPr>
          <w:rFonts w:ascii="Times New Roman" w:eastAsia="Times New Roman" w:hAnsi="Times New Roman" w:cs="Times New Roman"/>
          <w:sz w:val="24"/>
          <w:szCs w:val="24"/>
        </w:rPr>
        <w:t xml:space="preserve">, H. (2019). What is the best response scale for survey and questionnaire design: Review of different lengths of rating scale/attitude scale/Likert scale. </w:t>
      </w:r>
      <w:r>
        <w:rPr>
          <w:rFonts w:ascii="Times New Roman" w:eastAsia="Times New Roman" w:hAnsi="Times New Roman" w:cs="Times New Roman"/>
          <w:i/>
          <w:iCs/>
          <w:sz w:val="24"/>
          <w:szCs w:val="24"/>
        </w:rPr>
        <w:t>International Journal of Academic Research in Management, 8</w:t>
      </w:r>
      <w:r>
        <w:rPr>
          <w:rFonts w:ascii="Times New Roman" w:eastAsia="Times New Roman" w:hAnsi="Times New Roman" w:cs="Times New Roman"/>
          <w:sz w:val="24"/>
          <w:szCs w:val="24"/>
        </w:rPr>
        <w:t>(1), 1–10. https://bit.ly/3Be4KL7</w:t>
      </w:r>
    </w:p>
    <w:p w14:paraId="6BAD212F" w14:textId="77777777" w:rsidR="00485C1F" w:rsidRDefault="00485C1F">
      <w:pPr>
        <w:spacing w:line="240" w:lineRule="auto"/>
        <w:ind w:left="720" w:hanging="720"/>
        <w:rPr>
          <w:rFonts w:ascii="Times New Roman" w:eastAsia="Times New Roman" w:hAnsi="Times New Roman" w:cs="Times New Roman"/>
          <w:sz w:val="24"/>
          <w:szCs w:val="24"/>
        </w:rPr>
      </w:pPr>
    </w:p>
    <w:p w14:paraId="6BDEF252" w14:textId="77777777" w:rsidR="00485C1F" w:rsidRDefault="00000000">
      <w:pPr>
        <w:spacing w:line="24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Tavakol</w:t>
      </w:r>
      <w:proofErr w:type="spellEnd"/>
      <w:r>
        <w:rPr>
          <w:rFonts w:ascii="Times New Roman" w:eastAsia="Times New Roman" w:hAnsi="Times New Roman" w:cs="Times New Roman"/>
          <w:sz w:val="24"/>
          <w:szCs w:val="24"/>
        </w:rPr>
        <w:t xml:space="preserve">, M., &amp; Dennick, R. (2011). Making sense of Cronbach’s alpha. </w:t>
      </w:r>
      <w:r>
        <w:rPr>
          <w:rFonts w:ascii="Times New Roman" w:eastAsia="Times New Roman" w:hAnsi="Times New Roman" w:cs="Times New Roman"/>
          <w:i/>
          <w:iCs/>
          <w:sz w:val="24"/>
          <w:szCs w:val="24"/>
        </w:rPr>
        <w:t>International Journal of Medical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 53–55. https://doi.org/10.5116/ijme.4dfb.8dfd</w:t>
      </w:r>
    </w:p>
    <w:p w14:paraId="6303235B" w14:textId="77777777" w:rsidR="00485C1F" w:rsidRDefault="00000000">
      <w:pPr>
        <w:spacing w:before="240" w:after="24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Welton, R. F. (1970). Membership gap...fact or fallacy appraisal. </w:t>
      </w:r>
      <w:r>
        <w:rPr>
          <w:rFonts w:ascii="Times New Roman" w:eastAsia="Times New Roman" w:hAnsi="Times New Roman" w:cs="Times New Roman"/>
          <w:i/>
          <w:iCs/>
          <w:sz w:val="24"/>
          <w:szCs w:val="24"/>
        </w:rPr>
        <w:t>The Agricultural Education Magazine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43</w:t>
      </w:r>
      <w:r>
        <w:rPr>
          <w:rFonts w:ascii="Times New Roman" w:eastAsia="Times New Roman" w:hAnsi="Times New Roman" w:cs="Times New Roman"/>
          <w:sz w:val="24"/>
          <w:szCs w:val="24"/>
        </w:rPr>
        <w:t>(2), 58–59. https://www.naae.org/naae/document-server/?cfp=/naae/assets/file/public/magazine/volume43/v43i3.pdf</w:t>
      </w:r>
    </w:p>
    <w:sectPr w:rsidR="00485C1F" w:rsidSect="00A65E42">
      <w:headerReference w:type="default" r:id="rId8"/>
      <w:footerReference w:type="default" r:id="rId9"/>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1C80D" w14:textId="77777777" w:rsidR="006A76DA" w:rsidRDefault="006A76DA">
      <w:pPr>
        <w:spacing w:line="240" w:lineRule="auto"/>
      </w:pPr>
      <w:r>
        <w:separator/>
      </w:r>
    </w:p>
  </w:endnote>
  <w:endnote w:type="continuationSeparator" w:id="0">
    <w:p w14:paraId="7D30A0E9" w14:textId="77777777" w:rsidR="006A76DA" w:rsidRDefault="006A76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CFD105F-C675-C649-A2AA-6D48ADCD0ACA}"/>
    <w:embedBold r:id="rId2" w:fontKey="{BDE09A83-44FC-0F4C-BF57-029FD15727E2}"/>
    <w:embedItalic r:id="rId3" w:fontKey="{FB15A868-2045-7241-B85C-63DE2BC598BA}"/>
  </w:font>
  <w:font w:name="Arial">
    <w:panose1 w:val="020B0604020202020204"/>
    <w:charset w:val="00"/>
    <w:family w:val="swiss"/>
    <w:pitch w:val="variable"/>
    <w:sig w:usb0="E0002AFF" w:usb1="C0007843" w:usb2="00000009" w:usb3="00000000" w:csb0="000001FF" w:csb1="00000000"/>
    <w:embedRegular r:id="rId4" w:fontKey="{E40EC474-1D3D-7D48-B145-3FB1BDCDAD21}"/>
    <w:embedItalic r:id="rId5" w:fontKey="{F45081CE-73E2-5244-AE46-6334DBB52103}"/>
  </w:font>
  <w:font w:name="Calibri">
    <w:panose1 w:val="020F0502020204030204"/>
    <w:charset w:val="00"/>
    <w:family w:val="swiss"/>
    <w:pitch w:val="variable"/>
    <w:sig w:usb0="E4002EFF" w:usb1="C200247B" w:usb2="00000009" w:usb3="00000000" w:csb0="000001FF" w:csb1="00000000"/>
    <w:embedRegular r:id="rId6" w:fontKey="{65629ECB-0800-0147-9D3F-37B507F73453}"/>
  </w:font>
  <w:font w:name="Cambria">
    <w:panose1 w:val="02040503050406030204"/>
    <w:charset w:val="00"/>
    <w:family w:val="roman"/>
    <w:pitch w:val="variable"/>
    <w:sig w:usb0="E00002FF" w:usb1="400004FF" w:usb2="00000000" w:usb3="00000000" w:csb0="0000019F" w:csb1="00000000"/>
    <w:embedRegular r:id="rId7" w:fontKey="{2DC4B4D4-6EBA-FC4B-A596-26AD93F5B7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71F1A" w14:textId="77777777" w:rsidR="00485C1F" w:rsidRDefault="00000000">
    <w:pPr>
      <w:jc w:val="center"/>
      <w:rPr>
        <w:rFonts w:ascii="Times New Roman" w:eastAsia="Times New Roman" w:hAnsi="Times New Roman" w:cs="Times New Roman"/>
        <w:sz w:val="26"/>
        <w:szCs w:val="26"/>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F40958">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56F46" w14:textId="77777777" w:rsidR="006A76DA" w:rsidRDefault="006A76DA">
      <w:pPr>
        <w:spacing w:line="240" w:lineRule="auto"/>
      </w:pPr>
      <w:r>
        <w:separator/>
      </w:r>
    </w:p>
  </w:footnote>
  <w:footnote w:type="continuationSeparator" w:id="0">
    <w:p w14:paraId="6F545FDF" w14:textId="77777777" w:rsidR="006A76DA" w:rsidRDefault="006A76D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25522" w14:textId="77777777" w:rsidR="00485C1F" w:rsidRDefault="00485C1F">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EE10DF"/>
    <w:multiLevelType w:val="multilevel"/>
    <w:tmpl w:val="E23011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96373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C1F"/>
    <w:rsid w:val="00485C1F"/>
    <w:rsid w:val="006A76DA"/>
    <w:rsid w:val="00A65E42"/>
    <w:rsid w:val="00D805DE"/>
    <w:rsid w:val="00F40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7E8E41"/>
  <w15:docId w15:val="{F426EB11-8618-4D43-AFA2-4878311C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a">
    <w:basedOn w:val="TableNormal4"/>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4"/>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4"/>
    <w:pPr>
      <w:spacing w:line="240" w:lineRule="auto"/>
    </w:p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rsid w:val="006B5A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paragraph" w:styleId="Header">
    <w:name w:val="header"/>
    <w:basedOn w:val="Normal"/>
    <w:link w:val="HeaderChar"/>
    <w:uiPriority w:val="99"/>
    <w:unhideWhenUsed/>
    <w:rsid w:val="001E26B7"/>
    <w:pPr>
      <w:tabs>
        <w:tab w:val="center" w:pos="4680"/>
        <w:tab w:val="right" w:pos="9360"/>
      </w:tabs>
      <w:spacing w:line="240" w:lineRule="auto"/>
    </w:pPr>
  </w:style>
  <w:style w:type="character" w:customStyle="1" w:styleId="HeaderChar">
    <w:name w:val="Header Char"/>
    <w:basedOn w:val="DefaultParagraphFont"/>
    <w:link w:val="Header"/>
    <w:uiPriority w:val="99"/>
    <w:rsid w:val="001E26B7"/>
  </w:style>
  <w:style w:type="paragraph" w:styleId="Footer">
    <w:name w:val="footer"/>
    <w:basedOn w:val="Normal"/>
    <w:link w:val="FooterChar"/>
    <w:uiPriority w:val="99"/>
    <w:unhideWhenUsed/>
    <w:rsid w:val="001E26B7"/>
    <w:pPr>
      <w:tabs>
        <w:tab w:val="center" w:pos="4680"/>
        <w:tab w:val="right" w:pos="9360"/>
      </w:tabs>
      <w:spacing w:line="240" w:lineRule="auto"/>
    </w:pPr>
  </w:style>
  <w:style w:type="character" w:customStyle="1" w:styleId="FooterChar">
    <w:name w:val="Footer Char"/>
    <w:basedOn w:val="DefaultParagraphFont"/>
    <w:link w:val="Footer"/>
    <w:uiPriority w:val="99"/>
    <w:rsid w:val="001E26B7"/>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pPr>
      <w:spacing w:line="240" w:lineRule="auto"/>
    </w:pPr>
    <w:tblPr>
      <w:tblStyleRowBandSize w:val="1"/>
      <w:tblStyleColBandSize w:val="1"/>
    </w:tblPr>
  </w:style>
  <w:style w:type="table" w:customStyle="1" w:styleId="aa">
    <w:basedOn w:val="TableNormal"/>
    <w:pPr>
      <w:spacing w:line="240" w:lineRule="auto"/>
    </w:pPr>
    <w:tblPr>
      <w:tblStyleRowBandSize w:val="1"/>
      <w:tblStyleColBandSize w:val="1"/>
    </w:tblPr>
  </w:style>
  <w:style w:type="table" w:customStyle="1" w:styleId="ab">
    <w:basedOn w:val="TableNormal"/>
    <w:pPr>
      <w:spacing w:line="240" w:lineRule="auto"/>
    </w:pPr>
    <w:tblPr>
      <w:tblStyleRowBandSize w:val="1"/>
      <w:tblStyleColBandSize w:val="1"/>
    </w:tblPr>
  </w:style>
  <w:style w:type="table" w:customStyle="1" w:styleId="ac">
    <w:basedOn w:val="TableNormal"/>
    <w:pPr>
      <w:spacing w:line="240" w:lineRule="auto"/>
    </w:pPr>
    <w:tblPr>
      <w:tblStyleRowBandSize w:val="1"/>
      <w:tblStyleColBandSize w:val="1"/>
    </w:tblPr>
  </w:style>
  <w:style w:type="table" w:customStyle="1" w:styleId="ad">
    <w:basedOn w:val="TableNormal"/>
    <w:pPr>
      <w:spacing w:line="240" w:lineRule="auto"/>
    </w:pPr>
    <w:tblPr>
      <w:tblStyleRowBandSize w:val="1"/>
      <w:tblStyleColBandSize w:val="1"/>
    </w:tblPr>
  </w:style>
  <w:style w:type="table" w:customStyle="1" w:styleId="ae">
    <w:basedOn w:val="TableNormal"/>
    <w:pPr>
      <w:spacing w:line="240" w:lineRule="auto"/>
    </w:pPr>
    <w:tblPr>
      <w:tblStyleRowBandSize w:val="1"/>
      <w:tblStyleColBandSize w:val="1"/>
    </w:tblPr>
  </w:style>
  <w:style w:type="character" w:styleId="LineNumber">
    <w:name w:val="line number"/>
    <w:basedOn w:val="DefaultParagraphFont"/>
    <w:uiPriority w:val="99"/>
    <w:semiHidden/>
    <w:unhideWhenUsed/>
    <w:rsid w:val="00F40203"/>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f">
    <w:basedOn w:val="TableNormal"/>
    <w:pPr>
      <w:spacing w:line="240" w:lineRule="auto"/>
    </w:pPr>
    <w:tblPr>
      <w:tblStyleRowBandSize w:val="1"/>
      <w:tblStyleColBandSize w:val="1"/>
    </w:tblPr>
  </w:style>
  <w:style w:type="table" w:customStyle="1" w:styleId="af0">
    <w:basedOn w:val="TableNormal"/>
    <w:pPr>
      <w:spacing w:line="240" w:lineRule="auto"/>
    </w:pPr>
    <w:tblPr>
      <w:tblStyleRowBandSize w:val="1"/>
      <w:tblStyleColBandSize w:val="1"/>
    </w:tblPr>
  </w:style>
  <w:style w:type="table" w:customStyle="1" w:styleId="af1">
    <w:basedOn w:val="TableNormal"/>
    <w:pPr>
      <w:spacing w:line="240" w:lineRule="auto"/>
    </w:pPr>
    <w:tblPr>
      <w:tblStyleRowBandSize w:val="1"/>
      <w:tblStyleColBandSize w:val="1"/>
    </w:tblPr>
  </w:style>
  <w:style w:type="table" w:customStyle="1" w:styleId="af2">
    <w:basedOn w:val="TableNormal"/>
    <w:pPr>
      <w:spacing w:line="240" w:lineRule="auto"/>
    </w:pPr>
    <w:tblPr>
      <w:tblStyleRowBandSize w:val="1"/>
      <w:tblStyleColBandSize w:val="1"/>
    </w:tblPr>
  </w:style>
  <w:style w:type="table" w:customStyle="1" w:styleId="af3">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WpqcbwSmzMrGKepFsELNndPpIw==">CgMxLjA4AHIhMUhFaTlxRGtXQjlfcExGMEF0aUdJNHpjVkFuNXhvYnQ3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6040</Words>
  <Characters>34434</Characters>
  <Application>Microsoft Office Word</Application>
  <DocSecurity>0</DocSecurity>
  <Lines>286</Lines>
  <Paragraphs>80</Paragraphs>
  <ScaleCrop>false</ScaleCrop>
  <Company/>
  <LinksUpToDate>false</LinksUpToDate>
  <CharactersWithSpaces>40394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Kayla Leanne Paglia</cp:lastModifiedBy>
  <cp:revision>3</cp:revision>
  <dcterms:created xsi:type="dcterms:W3CDTF">2026-03-27T00:46:00Z</dcterms:created>
  <dcterms:modified xsi:type="dcterms:W3CDTF">2026-03-27T00:52:00Z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9c5d16c9-9a7c-478e-80b0-4ae5da487982</vt:lpwstr>
  </property>
</Properties>
</file>