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D123F" w14:textId="59F2F54D" w:rsidR="0029398F" w:rsidRDefault="68072A0B" w:rsidP="00C50984">
      <w:pPr>
        <w:spacing w:after="0" w:line="240" w:lineRule="auto"/>
        <w:rPr>
          <w:rFonts w:ascii="Times New Roman" w:eastAsia="Times New Roman" w:hAnsi="Times New Roman" w:cs="Times New Roman"/>
          <w:b/>
          <w:bCs/>
        </w:rPr>
      </w:pPr>
      <w:r w:rsidRPr="0029398F">
        <w:rPr>
          <w:rFonts w:ascii="Times New Roman" w:eastAsia="Times New Roman" w:hAnsi="Times New Roman" w:cs="Times New Roman"/>
          <w:b/>
          <w:bCs/>
        </w:rPr>
        <w:t xml:space="preserve">Pre-Service Agricultural Education Teachers’ Perceptions and Conceptualizations of </w:t>
      </w:r>
      <w:r w:rsidR="006C1FF0">
        <w:rPr>
          <w:rFonts w:ascii="Times New Roman" w:eastAsia="Times New Roman" w:hAnsi="Times New Roman" w:cs="Times New Roman"/>
          <w:b/>
          <w:bCs/>
        </w:rPr>
        <w:t>CASE and Inquiry-Based Science Instruction</w:t>
      </w:r>
      <w:r w:rsidRPr="0029398F">
        <w:rPr>
          <w:rFonts w:ascii="Times New Roman" w:eastAsia="Times New Roman" w:hAnsi="Times New Roman" w:cs="Times New Roman"/>
          <w:b/>
          <w:bCs/>
        </w:rPr>
        <w:t xml:space="preserve"> Across High- and Low-</w:t>
      </w:r>
      <w:r w:rsidR="006C1FF0">
        <w:rPr>
          <w:rFonts w:ascii="Times New Roman" w:eastAsia="Times New Roman" w:hAnsi="Times New Roman" w:cs="Times New Roman"/>
          <w:b/>
          <w:bCs/>
        </w:rPr>
        <w:t xml:space="preserve">CASE </w:t>
      </w:r>
      <w:r w:rsidRPr="0029398F">
        <w:rPr>
          <w:rFonts w:ascii="Times New Roman" w:eastAsia="Times New Roman" w:hAnsi="Times New Roman" w:cs="Times New Roman"/>
          <w:b/>
          <w:bCs/>
        </w:rPr>
        <w:t>Adoption Contexts</w:t>
      </w:r>
    </w:p>
    <w:p w14:paraId="5CBEE153" w14:textId="65EFBD70" w:rsidR="00C50984" w:rsidRDefault="00C50984" w:rsidP="00C50984">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Taylor D. Bird, Amber H. Rice, Scott W. Smalley, &amp; Eric D. Rubenstein</w:t>
      </w:r>
    </w:p>
    <w:p w14:paraId="0F181858" w14:textId="15BD1A99" w:rsidR="00C50984" w:rsidRPr="00C50984" w:rsidRDefault="00C50984" w:rsidP="00C50984">
      <w:pPr>
        <w:spacing w:line="240" w:lineRule="auto"/>
        <w:jc w:val="center"/>
        <w:rPr>
          <w:rFonts w:ascii="Times New Roman" w:eastAsia="Times New Roman" w:hAnsi="Times New Roman" w:cs="Times New Roman"/>
        </w:rPr>
      </w:pPr>
      <w:r>
        <w:rPr>
          <w:rFonts w:ascii="Times New Roman" w:eastAsia="Times New Roman" w:hAnsi="Times New Roman" w:cs="Times New Roman"/>
        </w:rPr>
        <w:t>University of Georgia, Iowa State University</w:t>
      </w:r>
    </w:p>
    <w:p w14:paraId="1F85B73E" w14:textId="7D885E2B" w:rsidR="008B3938" w:rsidRPr="0029398F" w:rsidRDefault="00354D7D" w:rsidP="00C50984">
      <w:pPr>
        <w:spacing w:after="0" w:line="240" w:lineRule="auto"/>
        <w:jc w:val="center"/>
        <w:rPr>
          <w:rFonts w:ascii="Times New Roman" w:eastAsia="Times New Roman" w:hAnsi="Times New Roman" w:cs="Times New Roman"/>
          <w:b/>
          <w:bCs/>
          <w:kern w:val="0"/>
          <w14:ligatures w14:val="none"/>
        </w:rPr>
      </w:pPr>
      <w:r w:rsidRPr="0029398F">
        <w:rPr>
          <w:rFonts w:ascii="Times New Roman" w:eastAsia="Times New Roman" w:hAnsi="Times New Roman" w:cs="Times New Roman"/>
          <w:b/>
          <w:bCs/>
          <w:kern w:val="0"/>
          <w14:ligatures w14:val="none"/>
        </w:rPr>
        <w:t>Abstract</w:t>
      </w:r>
    </w:p>
    <w:p w14:paraId="1242A03B" w14:textId="296E9E66" w:rsidR="0029398F" w:rsidRPr="008B3938" w:rsidRDefault="008B3938" w:rsidP="00C50984">
      <w:pPr>
        <w:pStyle w:val="NormalWeb"/>
        <w:spacing w:before="0" w:beforeAutospacing="0" w:after="240" w:afterAutospacing="0"/>
        <w:rPr>
          <w:i/>
          <w:iCs/>
        </w:rPr>
      </w:pPr>
      <w:r w:rsidRPr="008B3938">
        <w:rPr>
          <w:i/>
          <w:iCs/>
        </w:rPr>
        <w:t xml:space="preserve">Inquiry-based STEM instruction is a central goal of school-based agricultural education; however, pre-service teachers often enter the profession with limited pedagogical clarity regarding inquiry and STEM integration, and exposure to curricula such as the Curriculum for Agricultural Science Education (CASE) varies across contexts. The purpose of this study was to explore and compare how pre-service agricultural education teachers perceive and conceptualize inquiry-based </w:t>
      </w:r>
      <w:r w:rsidR="003F5EA0">
        <w:rPr>
          <w:i/>
          <w:iCs/>
        </w:rPr>
        <w:t>science</w:t>
      </w:r>
      <w:r w:rsidRPr="008B3938">
        <w:rPr>
          <w:i/>
          <w:iCs/>
        </w:rPr>
        <w:t xml:space="preserve"> instruction across high- and low-CASE adoption contexts. Guided by Rogers’ Diffusion of Innovation theory and the conceptual model of inquiry-based instruction, this qualitative study employed a multiple bounded case design. Data were collected through two semi-structured focus groups with 14 pre-service teachers and analyzed using thematic analysis with inductive and deductive reasoning. Findings indicated that participants’ perceptions of CASE were shaped primarily by prior exposure, observed implementation, and professional discourse rather than by the curriculum itself. Across contexts, participants expressed strong philosophical alignment with inquiry-based </w:t>
      </w:r>
      <w:r w:rsidR="003F5EA0">
        <w:rPr>
          <w:i/>
          <w:iCs/>
        </w:rPr>
        <w:t>science</w:t>
      </w:r>
      <w:r w:rsidRPr="008B3938">
        <w:rPr>
          <w:i/>
          <w:iCs/>
        </w:rPr>
        <w:t xml:space="preserve"> instruction but demonstrated uncertainty in operationalizing inquiry as a pedagogical method. Differences between high- and low-adoption contexts influenced perceptions of curriculum compatibility, complexity, and relative advantage. These findings suggest a need for teacher preparation and professional development experiences that more explicitly address the pedagogical rationale underlying inquiry-based </w:t>
      </w:r>
      <w:r w:rsidR="003F5EA0">
        <w:rPr>
          <w:i/>
          <w:iCs/>
        </w:rPr>
        <w:t>science</w:t>
      </w:r>
      <w:r w:rsidRPr="008B3938">
        <w:rPr>
          <w:i/>
          <w:iCs/>
        </w:rPr>
        <w:t xml:space="preserve"> instruction within CASE.</w:t>
      </w:r>
    </w:p>
    <w:p w14:paraId="210E23A5" w14:textId="5D3CE814" w:rsidR="0029398F" w:rsidRPr="005137B3" w:rsidRDefault="00F27FFC" w:rsidP="00C50984">
      <w:pPr>
        <w:spacing w:after="0" w:line="240" w:lineRule="auto"/>
        <w:jc w:val="center"/>
        <w:rPr>
          <w:rFonts w:ascii="Times New Roman" w:eastAsia="Times New Roman" w:hAnsi="Times New Roman" w:cs="Times New Roman"/>
          <w:b/>
          <w:bCs/>
          <w:kern w:val="0"/>
          <w14:ligatures w14:val="none"/>
        </w:rPr>
      </w:pPr>
      <w:r w:rsidRPr="0029398F">
        <w:rPr>
          <w:rFonts w:ascii="Times New Roman" w:eastAsia="Times New Roman" w:hAnsi="Times New Roman" w:cs="Times New Roman"/>
          <w:b/>
          <w:bCs/>
          <w:kern w:val="0"/>
          <w14:ligatures w14:val="none"/>
        </w:rPr>
        <w:t>Introduction and Literature Review</w:t>
      </w:r>
    </w:p>
    <w:p w14:paraId="093DF2BE" w14:textId="7C8A37ED" w:rsidR="0029398F" w:rsidRPr="0029398F" w:rsidRDefault="005137B3" w:rsidP="00C50984">
      <w:pPr>
        <w:pStyle w:val="NormalWeb"/>
        <w:spacing w:before="0" w:beforeAutospacing="0" w:after="240" w:afterAutospacing="0"/>
        <w:ind w:firstLine="720"/>
      </w:pPr>
      <w:r w:rsidRPr="0029398F">
        <w:t>School-based agricultural education (SBAE) occupies a distinctive instructional space within secondary education, blending academic learning, career preparation, and applied problem solving in ways that differ from traditional discipline-specific courses (Parr et al., 2006; Wells et al., 2015). Rather than isolating scientific concepts, SBAE engages students in complex agricultural systems that require the integration of biological, environmental, technological, and mathematical knowledge to address authentic challenges relat</w:t>
      </w:r>
      <w:r w:rsidR="007C2A8D">
        <w:t>e</w:t>
      </w:r>
      <w:r w:rsidRPr="0029398F">
        <w:t>d to food, fiber, and natural resource systems (McKim et al., 2025</w:t>
      </w:r>
      <w:r w:rsidR="00924972">
        <w:t xml:space="preserve">; </w:t>
      </w:r>
      <w:r w:rsidR="00924972" w:rsidRPr="0029398F">
        <w:t>Young et al., 2009</w:t>
      </w:r>
      <w:r w:rsidRPr="0029398F">
        <w:t>). This integrative structure positions SBAE as a particularly well-suited context for</w:t>
      </w:r>
      <w:r w:rsidR="003F5EA0">
        <w:t xml:space="preserve"> science</w:t>
      </w:r>
      <w:r w:rsidRPr="0029398F">
        <w:t xml:space="preserve"> learning when instruction emphasizes investigation, decision-making, and application rather than procedural recall (National Research Council [NRC], 1988; Talbert et al., 2005). As educational priorities increasingly emphasize </w:t>
      </w:r>
      <w:r w:rsidR="003F5EA0">
        <w:t>science</w:t>
      </w:r>
      <w:r w:rsidRPr="0029398F">
        <w:t xml:space="preserve"> literacy, problem solving, and workforce readiness, understanding how inquiry-based </w:t>
      </w:r>
      <w:r w:rsidR="003F5EA0">
        <w:t>science</w:t>
      </w:r>
      <w:r w:rsidRPr="0029398F">
        <w:t xml:space="preserve"> instruction is conceptualized within SBAE has become a central concern for teacher preparation and curriculum development (McKim et al., 2025</w:t>
      </w:r>
      <w:r w:rsidR="007C2A8D">
        <w:t>;</w:t>
      </w:r>
      <w:r w:rsidR="007C2A8D" w:rsidRPr="007C2A8D">
        <w:t xml:space="preserve"> </w:t>
      </w:r>
      <w:r w:rsidR="007C2A8D" w:rsidRPr="0029398F">
        <w:t>Wells et al., 2015</w:t>
      </w:r>
      <w:r w:rsidRPr="0029398F">
        <w:t>).</w:t>
      </w:r>
    </w:p>
    <w:p w14:paraId="204BE549" w14:textId="08EF0063" w:rsidR="0029398F" w:rsidRPr="0029398F" w:rsidRDefault="003F5EA0" w:rsidP="00C50984">
      <w:pPr>
        <w:pStyle w:val="NormalWeb"/>
        <w:spacing w:before="0" w:beforeAutospacing="0" w:after="240" w:afterAutospacing="0"/>
        <w:ind w:firstLine="720"/>
      </w:pPr>
      <w:r>
        <w:t xml:space="preserve">Inquiry-based learning (IBL), an instructional approach that emphasizes questioning, investigation, evidence use, and explanation, gained prominence in science education following national efforts to strengthen scientific literacy (Ungvarsky, 2025). </w:t>
      </w:r>
      <w:proofErr w:type="gramStart"/>
      <w:r>
        <w:t xml:space="preserve">IBL </w:t>
      </w:r>
      <w:r w:rsidR="005137B3" w:rsidRPr="0029398F">
        <w:t xml:space="preserve"> has</w:t>
      </w:r>
      <w:proofErr w:type="gramEnd"/>
      <w:r w:rsidR="005137B3" w:rsidRPr="0029398F">
        <w:t xml:space="preserve"> been widely promoted as an effective pedagogical approach because it centers student questioning, investigation, and sensemaking (Keselman, 2003; </w:t>
      </w:r>
      <w:proofErr w:type="spellStart"/>
      <w:r w:rsidR="005137B3" w:rsidRPr="0029398F">
        <w:t>Pedaste</w:t>
      </w:r>
      <w:proofErr w:type="spellEnd"/>
      <w:r w:rsidR="005137B3" w:rsidRPr="0029398F">
        <w:t xml:space="preserve"> et al., 2012). Within SBAE, </w:t>
      </w:r>
      <w:r>
        <w:t>IBL</w:t>
      </w:r>
      <w:r w:rsidR="005137B3" w:rsidRPr="0029398F">
        <w:t xml:space="preserve"> aligns closely with experiential learning traditions that emphasize learning by doing, reflection, and application in authentic contexts (</w:t>
      </w:r>
      <w:r w:rsidR="005F1A48" w:rsidRPr="0029398F">
        <w:t>Parr et al., 2006</w:t>
      </w:r>
      <w:r w:rsidR="005F1A48">
        <w:t xml:space="preserve">; </w:t>
      </w:r>
      <w:r w:rsidR="005137B3" w:rsidRPr="0029398F">
        <w:t>Roberts, 2006). Research</w:t>
      </w:r>
      <w:r w:rsidR="00C666D8">
        <w:t>ers</w:t>
      </w:r>
      <w:r w:rsidR="005137B3" w:rsidRPr="0029398F">
        <w:t xml:space="preserve"> indicate that </w:t>
      </w:r>
      <w:r w:rsidR="005137B3" w:rsidRPr="0029398F">
        <w:lastRenderedPageBreak/>
        <w:t>inquiry-oriented agricultural instruction can support deeper conceptual understanding and student engagement; however, teachers often struggle to enact inquiry beyond structured formats, particularly when pedagogical clarity or confidence in science content is limited (Keselman, 2003; Nelson et al., 2022).</w:t>
      </w:r>
    </w:p>
    <w:p w14:paraId="38CA70F3" w14:textId="268645B7" w:rsidR="0029398F" w:rsidRPr="0029398F" w:rsidRDefault="005137B3" w:rsidP="00AF4CFC">
      <w:pPr>
        <w:pStyle w:val="NormalWeb"/>
        <w:spacing w:before="0" w:beforeAutospacing="0" w:after="240" w:afterAutospacing="0"/>
        <w:ind w:firstLine="720"/>
      </w:pPr>
      <w:r w:rsidRPr="0029398F">
        <w:t xml:space="preserve">Expectations for SBAE teachers to integrate </w:t>
      </w:r>
      <w:r w:rsidR="003F5EA0">
        <w:t>science</w:t>
      </w:r>
      <w:r w:rsidRPr="0029398F">
        <w:t xml:space="preserve"> concepts have intensified alongside national calls for</w:t>
      </w:r>
      <w:r w:rsidR="003F5EA0">
        <w:t xml:space="preserve"> science</w:t>
      </w:r>
      <w:r w:rsidRPr="0029398F">
        <w:t xml:space="preserve"> education and career readiness (Wells et al., 2015). Teachers who view agriculture and </w:t>
      </w:r>
      <w:r w:rsidR="003F5EA0">
        <w:t>science</w:t>
      </w:r>
      <w:r w:rsidRPr="0029398F">
        <w:t xml:space="preserve"> as inherently interconnected are more likely to design exemplary</w:t>
      </w:r>
      <w:r w:rsidR="003F5EA0">
        <w:t xml:space="preserve"> science</w:t>
      </w:r>
      <w:r w:rsidRPr="0029398F">
        <w:t xml:space="preserve"> lessons that emphasize interdisciplinary application and learning beyond the classroom through SAE and FFA-related experiences (McKim et al., 2025). Place-based and experiential </w:t>
      </w:r>
      <w:r w:rsidR="003F5EA0">
        <w:t>science</w:t>
      </w:r>
      <w:r w:rsidRPr="0029398F">
        <w:t xml:space="preserve"> initiatives further demonstrate that contextual relevance and instructional flexibility are essential for effective STEM integration (</w:t>
      </w:r>
      <w:proofErr w:type="spellStart"/>
      <w:r w:rsidRPr="0029398F">
        <w:t>Charoenmuang</w:t>
      </w:r>
      <w:proofErr w:type="spellEnd"/>
      <w:r w:rsidRPr="0029398F">
        <w:t xml:space="preserve"> et al., 2024).</w:t>
      </w:r>
      <w:r w:rsidR="00E84FCA" w:rsidRPr="0029398F">
        <w:t xml:space="preserve"> </w:t>
      </w:r>
      <w:r w:rsidRPr="0029398F">
        <w:t>Pre</w:t>
      </w:r>
      <w:r w:rsidR="0039201B">
        <w:t>-</w:t>
      </w:r>
      <w:r w:rsidRPr="0029398F">
        <w:t>service teachers play a critical role in shaping the future of inquiry-based STEM instruction within SBAE, yet research suggests many enter teacher preparation programs with limited conceptions of STEM integration and inquiry-based pedagogy (</w:t>
      </w:r>
      <w:r w:rsidR="00AD21E5" w:rsidRPr="0029398F">
        <w:t>Honeyman &amp; Eck, 2025</w:t>
      </w:r>
      <w:r w:rsidR="00AD21E5">
        <w:t xml:space="preserve">; </w:t>
      </w:r>
      <w:r w:rsidRPr="0029398F">
        <w:t>Wang &amp; Knoblock, 2020). Wang and Knoblock (2020) found that pre</w:t>
      </w:r>
      <w:r w:rsidR="0039201B">
        <w:t>-</w:t>
      </w:r>
      <w:r w:rsidRPr="0029398F">
        <w:t xml:space="preserve">service agricultural educators initially viewed integrated </w:t>
      </w:r>
      <w:r w:rsidR="003F5EA0">
        <w:t>science</w:t>
      </w:r>
      <w:r w:rsidRPr="0029398F">
        <w:t xml:space="preserve"> instruction as the addition of multiple disciplines rather than a cohesive, problem-centered approach. Early conceptions emphasized hands-on engagement but reflected </w:t>
      </w:r>
      <w:r w:rsidR="001071BA">
        <w:t xml:space="preserve">a </w:t>
      </w:r>
      <w:r w:rsidRPr="0029398F">
        <w:t>limited understanding of inquiry as a pedagogical strategy. As pre</w:t>
      </w:r>
      <w:r w:rsidR="0039201B">
        <w:t>-</w:t>
      </w:r>
      <w:r w:rsidRPr="0029398F">
        <w:t xml:space="preserve">service teachers progressed through preparation experiences, their understanding evolved toward </w:t>
      </w:r>
      <w:r w:rsidR="001071BA">
        <w:t xml:space="preserve">a </w:t>
      </w:r>
      <w:r w:rsidRPr="0029398F">
        <w:t>more holistic</w:t>
      </w:r>
      <w:r w:rsidR="001071BA">
        <w:t>,</w:t>
      </w:r>
      <w:r w:rsidRPr="0029398F">
        <w:t xml:space="preserve"> problem-solving orientation (Wang &amp; Knoblock, 2020).</w:t>
      </w:r>
    </w:p>
    <w:p w14:paraId="65DC69A6" w14:textId="0F3094DC" w:rsidR="0029398F" w:rsidRPr="0029398F" w:rsidRDefault="005137B3" w:rsidP="00AF4CFC">
      <w:pPr>
        <w:pStyle w:val="NormalWeb"/>
        <w:spacing w:before="0" w:beforeAutospacing="0" w:after="240" w:afterAutospacing="0"/>
        <w:ind w:firstLine="720"/>
      </w:pPr>
      <w:r w:rsidRPr="0029398F">
        <w:t xml:space="preserve">The enactment of inquiry-based </w:t>
      </w:r>
      <w:r w:rsidR="003F5EA0">
        <w:t>science</w:t>
      </w:r>
      <w:r w:rsidRPr="0029398F">
        <w:t xml:space="preserve"> instruction is closely tied to pedagogical content knowledge (PCK), which integrates content knowledge, pedagogical knowledge, and contextual understanding (Shulman, 1986). In agricultural education, teachers’ PCK is shaped by belief systems, prior experiences, and contextual factors</w:t>
      </w:r>
      <w:r w:rsidR="00CC099D">
        <w:t>,</w:t>
      </w:r>
      <w:r w:rsidRPr="0029398F">
        <w:t xml:space="preserve"> </w:t>
      </w:r>
      <w:r w:rsidR="00CC099D">
        <w:t>including</w:t>
      </w:r>
      <w:r w:rsidRPr="0029398F">
        <w:t xml:space="preserve"> </w:t>
      </w:r>
      <w:r w:rsidR="00CC099D">
        <w:t>the</w:t>
      </w:r>
      <w:r w:rsidRPr="0029398F">
        <w:t xml:space="preserve"> school environment, community expectations, and available resources (Rice &amp; Kitchel, 2017; Stewart et al., 2025). Teachers’ beliefs about the purpose of agricultural education and their confidence in science content influence how curricula are interpreted and </w:t>
      </w:r>
      <w:r w:rsidR="007950A0">
        <w:t xml:space="preserve">how </w:t>
      </w:r>
      <w:r w:rsidRPr="0029398F">
        <w:t>instruction is designed (Rice &amp; Kitchel, 2018). Teacher preparation programs, professional development, industry experience, and prior agricultural education experiences serve as important sources of content knowledge, though these contribute unevenly across instructional contexts (Rice &amp; Kitchel, 2015).</w:t>
      </w:r>
    </w:p>
    <w:p w14:paraId="1ED35F23" w14:textId="32A5162D" w:rsidR="0029398F" w:rsidRPr="0029398F" w:rsidRDefault="005137B3" w:rsidP="003F5EA0">
      <w:pPr>
        <w:pStyle w:val="NormalWeb"/>
        <w:spacing w:before="0" w:beforeAutospacing="0" w:after="240" w:afterAutospacing="0"/>
        <w:ind w:firstLine="720"/>
      </w:pPr>
      <w:r w:rsidRPr="0029398F">
        <w:t xml:space="preserve">Within this instructional landscape, the Curriculum for Agricultural Science Education (CASE) has emerged as a national effort to strengthen science integration and inquiry-based instruction in SBAE (CASE 4 Learning, </w:t>
      </w:r>
      <w:proofErr w:type="spellStart"/>
      <w:r w:rsidRPr="0029398F">
        <w:t>n.d.a</w:t>
      </w:r>
      <w:proofErr w:type="spellEnd"/>
      <w:r w:rsidRPr="0029398F">
        <w:t xml:space="preserve">). CASE is a structured, standards-aligned curricular system designed to embed scientific concepts and inquiry processes within agricultural pathways, including AFNR, plant science, animal science, and agribusiness (CASE 4 Learning, </w:t>
      </w:r>
      <w:proofErr w:type="spellStart"/>
      <w:r w:rsidRPr="0029398F">
        <w:t>n.d.b</w:t>
      </w:r>
      <w:proofErr w:type="spellEnd"/>
      <w:r w:rsidRPr="0029398F">
        <w:t xml:space="preserve">). Lessons are organized using an activity-, problem-, and project-based learning framework intended to engage students in scientific reasoning and application (CASE 4 Learning, </w:t>
      </w:r>
      <w:proofErr w:type="spellStart"/>
      <w:r w:rsidRPr="0029398F">
        <w:t>n.d.b</w:t>
      </w:r>
      <w:proofErr w:type="spellEnd"/>
      <w:r w:rsidRPr="0029398F">
        <w:t xml:space="preserve">). Although CASE has been adopted across the United States, adoption has not occurred uniformly across regions (Nelson et al., 2022). Some states demonstrate relatively high levels of CASE adoption, </w:t>
      </w:r>
      <w:r w:rsidR="00CC099D">
        <w:t>in which</w:t>
      </w:r>
      <w:r w:rsidRPr="0029398F">
        <w:t xml:space="preserve"> the curriculum is embedded within SBAE programs and teacher preparation experiences, wh</w:t>
      </w:r>
      <w:r w:rsidR="00CC099D">
        <w:t>ereas</w:t>
      </w:r>
      <w:r w:rsidRPr="0029398F">
        <w:t xml:space="preserve"> others exhibit lower levels of adoption and limited exposure among pre</w:t>
      </w:r>
      <w:r w:rsidR="0039201B">
        <w:t>-</w:t>
      </w:r>
      <w:r w:rsidRPr="0029398F">
        <w:t>service and in-service teachers (</w:t>
      </w:r>
      <w:r w:rsidR="00BA021E" w:rsidRPr="0029398F">
        <w:t>Honeyman &amp; Eck, 2025</w:t>
      </w:r>
      <w:r w:rsidR="00BA021E">
        <w:t xml:space="preserve">; </w:t>
      </w:r>
      <w:r w:rsidRPr="0029398F">
        <w:t xml:space="preserve">Nelson et al., 2022). Members of the CASE executive team have acknowledged that these patterns likely reflect complex institutional, </w:t>
      </w:r>
      <w:r w:rsidRPr="0029398F">
        <w:lastRenderedPageBreak/>
        <w:t xml:space="preserve">contextual, and cultural factors rather than a single explanatory variable (CASE Executive Team, personal communication, </w:t>
      </w:r>
      <w:r w:rsidR="00AF4CFC">
        <w:t>2</w:t>
      </w:r>
      <w:r w:rsidRPr="0029398F">
        <w:t>024).</w:t>
      </w:r>
    </w:p>
    <w:p w14:paraId="400A6307" w14:textId="161E54CC" w:rsidR="0029398F" w:rsidRPr="0029398F" w:rsidRDefault="005137B3" w:rsidP="00AF4CFC">
      <w:pPr>
        <w:pStyle w:val="NormalWeb"/>
        <w:spacing w:before="0" w:beforeAutospacing="0" w:after="240" w:afterAutospacing="0"/>
        <w:ind w:firstLine="720"/>
      </w:pPr>
      <w:r w:rsidRPr="0029398F">
        <w:t xml:space="preserve">Research examining CASE implementation among in-service teachers has reported positive perceptions of curriculum quality and alignment with science content (Nelson et al., 2022). However, persistent discrepancies have been identified between </w:t>
      </w:r>
      <w:r w:rsidR="007950A0">
        <w:t>teachers'</w:t>
      </w:r>
      <w:r w:rsidR="007950A0" w:rsidRPr="0029398F">
        <w:t xml:space="preserve"> </w:t>
      </w:r>
      <w:r w:rsidRPr="0029398F">
        <w:t xml:space="preserve">perceived use of inquiry and their enacted classroom practices. Nelson et al. (2022) found that teachers frequently characterized CASE lessons as open inquiry despite those lessons being primarily structured or guided. This misalignment suggests that teachers may conflate curriculum structure with inquiry itself, </w:t>
      </w:r>
      <w:r w:rsidR="00A96A71">
        <w:t xml:space="preserve">thereby </w:t>
      </w:r>
      <w:r w:rsidRPr="0029398F">
        <w:t xml:space="preserve">limiting opportunities for higher-level inquiry and </w:t>
      </w:r>
      <w:r w:rsidR="00A96A71" w:rsidRPr="0029398F">
        <w:t>problem</w:t>
      </w:r>
      <w:r w:rsidR="00A96A71">
        <w:t>-</w:t>
      </w:r>
      <w:r w:rsidRPr="0029398F">
        <w:t xml:space="preserve">solving (Keselman, 2003; </w:t>
      </w:r>
      <w:r w:rsidR="00401954" w:rsidRPr="0029398F">
        <w:t>Nelson et al., 2022</w:t>
      </w:r>
      <w:r w:rsidR="00401954">
        <w:t xml:space="preserve">; </w:t>
      </w:r>
      <w:proofErr w:type="spellStart"/>
      <w:r w:rsidRPr="0029398F">
        <w:t>Pedaste</w:t>
      </w:r>
      <w:proofErr w:type="spellEnd"/>
      <w:r w:rsidRPr="0029398F">
        <w:t xml:space="preserve"> et al., 2012).</w:t>
      </w:r>
      <w:r w:rsidR="00E84FCA" w:rsidRPr="0029398F">
        <w:t xml:space="preserve"> </w:t>
      </w:r>
      <w:r w:rsidRPr="0029398F">
        <w:t>Although CASE was initially designed to support in-service teachers, pre</w:t>
      </w:r>
      <w:r w:rsidR="0039201B">
        <w:t>-</w:t>
      </w:r>
      <w:r w:rsidRPr="0029398F">
        <w:t>service teachers increasingly encounter the curriculum through coursework, institutes, and early field experiences. Preliminary research suggests exposure to CASE may increase pre</w:t>
      </w:r>
      <w:r w:rsidR="0039201B">
        <w:t>-</w:t>
      </w:r>
      <w:r w:rsidRPr="0029398F">
        <w:t xml:space="preserve">service teachers’ teaching efficacy by strengthening their understanding of AFNR and STEM content (Honeyman &amp; Eck, 2025). However, without explicit attention to </w:t>
      </w:r>
      <w:r w:rsidR="00A96A71">
        <w:t xml:space="preserve">the </w:t>
      </w:r>
      <w:r w:rsidRPr="0029398F">
        <w:t>pedagogical rationale, pre</w:t>
      </w:r>
      <w:r w:rsidR="0039201B">
        <w:t>-</w:t>
      </w:r>
      <w:r w:rsidRPr="0029398F">
        <w:t xml:space="preserve">service teachers may struggle to interpret how inquiry-based instruction is intended to function within CASE lessons, particularly given </w:t>
      </w:r>
      <w:r w:rsidR="00A96A71">
        <w:t xml:space="preserve">the </w:t>
      </w:r>
      <w:r w:rsidRPr="0029398F">
        <w:t xml:space="preserve">challenges </w:t>
      </w:r>
      <w:r w:rsidR="00A96A71">
        <w:t xml:space="preserve">of </w:t>
      </w:r>
      <w:r w:rsidRPr="0029398F">
        <w:t>differentiating among levels of inquiry (Honeyman &amp; Eck, 2025; Nelson et al., 2022).</w:t>
      </w:r>
    </w:p>
    <w:p w14:paraId="50D55B66" w14:textId="148E5636" w:rsidR="0029398F" w:rsidRPr="0029398F" w:rsidRDefault="005137B3" w:rsidP="00AF4CFC">
      <w:pPr>
        <w:pStyle w:val="NormalWeb"/>
        <w:spacing w:before="0" w:beforeAutospacing="0" w:after="240" w:afterAutospacing="0"/>
        <w:ind w:firstLine="720"/>
      </w:pPr>
      <w:r w:rsidRPr="0029398F">
        <w:t xml:space="preserve">Beyond curriculum materials, teacher discourse and contextual narratives shape how curricula are perceived and enacted. Teachers’ beliefs about inquiry, </w:t>
      </w:r>
      <w:r w:rsidR="003F5EA0">
        <w:t>science learning through agriculture</w:t>
      </w:r>
      <w:r w:rsidRPr="0029398F">
        <w:t>, and the purpose of SBAE are influenced by peer interactions, preparation experiences, and exposure to dominant curricular frameworks within their region or institution (Rice &amp; Kitchel, 2017; 2018). Despite the growing prevalence of CASE, limited research has examined how discourse surrounding CASE influences pre</w:t>
      </w:r>
      <w:r w:rsidR="0039201B">
        <w:t>-</w:t>
      </w:r>
      <w:r w:rsidRPr="0029398F">
        <w:t>service teachers’ conceptualizations of inquiry-based STEM instruction across contexts with differing levels of adoption.</w:t>
      </w:r>
      <w:r w:rsidR="00E84FCA" w:rsidRPr="0029398F">
        <w:t xml:space="preserve"> </w:t>
      </w:r>
      <w:r w:rsidRPr="0029398F">
        <w:t>Given the central role of pre</w:t>
      </w:r>
      <w:r w:rsidR="0039201B">
        <w:t>-</w:t>
      </w:r>
      <w:r w:rsidRPr="0029398F">
        <w:t>service teachers and the documented challenges associated with inquiry pedagogy, curriculum interpretation, and regional variation in CASE adoption, further investigation is warranted. Understanding how pre</w:t>
      </w:r>
      <w:r w:rsidR="0039201B">
        <w:t>-</w:t>
      </w:r>
      <w:r w:rsidRPr="0029398F">
        <w:t xml:space="preserve">service teachers conceptualize inquiry-based </w:t>
      </w:r>
      <w:r w:rsidR="003F5EA0">
        <w:t>science</w:t>
      </w:r>
      <w:r w:rsidRPr="0029398F">
        <w:t xml:space="preserve"> instruction within and beyond CASE, and how these conceptualizations are shaped by preparation experiences and adoption context, can inform improvements to agricultural teacher education and professional development (</w:t>
      </w:r>
      <w:r w:rsidR="00D75B89" w:rsidRPr="0029398F">
        <w:t>Honeyman &amp; Eck, 2025</w:t>
      </w:r>
      <w:r w:rsidR="00D75B89">
        <w:t>;</w:t>
      </w:r>
      <w:r w:rsidRPr="0029398F">
        <w:t xml:space="preserve"> Nelson et al., 2022;</w:t>
      </w:r>
      <w:r w:rsidR="00D75B89">
        <w:t xml:space="preserve"> </w:t>
      </w:r>
      <w:r w:rsidR="00D75B89" w:rsidRPr="0029398F">
        <w:t>Rice &amp; Kitchel, 2017</w:t>
      </w:r>
      <w:r w:rsidRPr="0029398F">
        <w:t>).</w:t>
      </w:r>
    </w:p>
    <w:p w14:paraId="135C560D" w14:textId="3FB87AF3" w:rsidR="0029398F" w:rsidRPr="0029398F" w:rsidRDefault="43716767" w:rsidP="00AF4CFC">
      <w:pPr>
        <w:spacing w:after="0" w:line="240" w:lineRule="auto"/>
        <w:jc w:val="center"/>
        <w:rPr>
          <w:rFonts w:ascii="Times New Roman" w:eastAsia="Times New Roman" w:hAnsi="Times New Roman" w:cs="Times New Roman"/>
          <w:b/>
          <w:bCs/>
          <w:kern w:val="0"/>
          <w14:ligatures w14:val="none"/>
        </w:rPr>
      </w:pPr>
      <w:r w:rsidRPr="0029398F">
        <w:rPr>
          <w:rFonts w:ascii="Times New Roman" w:eastAsia="Times New Roman" w:hAnsi="Times New Roman" w:cs="Times New Roman"/>
          <w:b/>
          <w:bCs/>
          <w:kern w:val="0"/>
          <w14:ligatures w14:val="none"/>
        </w:rPr>
        <w:t>Pu</w:t>
      </w:r>
      <w:r w:rsidR="00F27FFC" w:rsidRPr="0029398F">
        <w:rPr>
          <w:rFonts w:ascii="Times New Roman" w:eastAsia="Times New Roman" w:hAnsi="Times New Roman" w:cs="Times New Roman"/>
          <w:b/>
          <w:bCs/>
          <w:kern w:val="0"/>
          <w14:ligatures w14:val="none"/>
        </w:rPr>
        <w:t>rpose and Research Questions</w:t>
      </w:r>
    </w:p>
    <w:p w14:paraId="46F8B190" w14:textId="1E65EBBC" w:rsidR="00F27FFC" w:rsidRPr="0029398F" w:rsidRDefault="00F27FFC" w:rsidP="0029398F">
      <w:pPr>
        <w:spacing w:after="0" w:line="240" w:lineRule="auto"/>
        <w:rPr>
          <w:rFonts w:ascii="Times New Roman" w:eastAsia="Times New Roman" w:hAnsi="Times New Roman" w:cs="Times New Roman"/>
          <w:kern w:val="0"/>
          <w14:ligatures w14:val="none"/>
        </w:rPr>
      </w:pPr>
      <w:r w:rsidRPr="0029398F">
        <w:rPr>
          <w:rFonts w:ascii="Times New Roman" w:eastAsia="Times New Roman" w:hAnsi="Times New Roman" w:cs="Times New Roman"/>
          <w:kern w:val="0"/>
          <w14:ligatures w14:val="none"/>
        </w:rPr>
        <w:tab/>
      </w:r>
      <w:r w:rsidR="354E3FFB" w:rsidRPr="0029398F">
        <w:rPr>
          <w:rFonts w:ascii="Times New Roman" w:eastAsia="Times New Roman" w:hAnsi="Times New Roman" w:cs="Times New Roman"/>
        </w:rPr>
        <w:t xml:space="preserve">The purpose of this study was to explore and compare how pre-service SBAE </w:t>
      </w:r>
      <w:r w:rsidR="37E54A05" w:rsidRPr="0029398F">
        <w:rPr>
          <w:rFonts w:ascii="Times New Roman" w:eastAsia="Times New Roman" w:hAnsi="Times New Roman" w:cs="Times New Roman"/>
        </w:rPr>
        <w:t>teachers perceive</w:t>
      </w:r>
      <w:r w:rsidR="354E3FFB" w:rsidRPr="0029398F">
        <w:rPr>
          <w:rFonts w:ascii="Times New Roman" w:eastAsia="Times New Roman" w:hAnsi="Times New Roman" w:cs="Times New Roman"/>
        </w:rPr>
        <w:t xml:space="preserve"> </w:t>
      </w:r>
      <w:r w:rsidR="39A33678" w:rsidRPr="0029398F">
        <w:rPr>
          <w:rFonts w:ascii="Times New Roman" w:eastAsia="Times New Roman" w:hAnsi="Times New Roman" w:cs="Times New Roman"/>
        </w:rPr>
        <w:t xml:space="preserve">the CASE curriculum and its influence on their conceptualization of inquiry-based </w:t>
      </w:r>
      <w:r w:rsidR="003F5EA0">
        <w:rPr>
          <w:rFonts w:ascii="Times New Roman" w:eastAsia="Times New Roman" w:hAnsi="Times New Roman" w:cs="Times New Roman"/>
        </w:rPr>
        <w:t>science</w:t>
      </w:r>
      <w:r w:rsidR="39A33678" w:rsidRPr="0029398F">
        <w:rPr>
          <w:rFonts w:ascii="Times New Roman" w:eastAsia="Times New Roman" w:hAnsi="Times New Roman" w:cs="Times New Roman"/>
        </w:rPr>
        <w:t xml:space="preserve"> integration within SBAE.</w:t>
      </w:r>
      <w:r w:rsidR="008C850A" w:rsidRPr="0029398F">
        <w:rPr>
          <w:rFonts w:ascii="Times New Roman" w:eastAsia="Times New Roman" w:hAnsi="Times New Roman" w:cs="Times New Roman"/>
        </w:rPr>
        <w:t xml:space="preserve"> </w:t>
      </w:r>
      <w:r w:rsidR="066489BB" w:rsidRPr="0029398F">
        <w:rPr>
          <w:rFonts w:ascii="Times New Roman" w:eastAsia="Times New Roman" w:hAnsi="Times New Roman" w:cs="Times New Roman"/>
        </w:rPr>
        <w:t>The central research question was, how do pre-service agricultural education teachers perceive and conceptualize</w:t>
      </w:r>
      <w:r w:rsidR="003F5EA0">
        <w:rPr>
          <w:rFonts w:ascii="Times New Roman" w:eastAsia="Times New Roman" w:hAnsi="Times New Roman" w:cs="Times New Roman"/>
        </w:rPr>
        <w:t xml:space="preserve"> CASE and</w:t>
      </w:r>
      <w:r w:rsidR="066489BB" w:rsidRPr="0029398F">
        <w:rPr>
          <w:rFonts w:ascii="Times New Roman" w:eastAsia="Times New Roman" w:hAnsi="Times New Roman" w:cs="Times New Roman"/>
        </w:rPr>
        <w:t xml:space="preserve"> inquiry-based </w:t>
      </w:r>
      <w:r w:rsidR="003F5EA0">
        <w:rPr>
          <w:rFonts w:ascii="Times New Roman" w:eastAsia="Times New Roman" w:hAnsi="Times New Roman" w:cs="Times New Roman"/>
        </w:rPr>
        <w:t>science</w:t>
      </w:r>
      <w:r w:rsidR="066489BB" w:rsidRPr="0029398F">
        <w:rPr>
          <w:rFonts w:ascii="Times New Roman" w:eastAsia="Times New Roman" w:hAnsi="Times New Roman" w:cs="Times New Roman"/>
        </w:rPr>
        <w:t xml:space="preserve"> instruction across high- and low-CASE adoption contexts? </w:t>
      </w:r>
      <w:r w:rsidR="04028C6C" w:rsidRPr="0029398F">
        <w:rPr>
          <w:rFonts w:ascii="Times New Roman" w:eastAsia="Times New Roman" w:hAnsi="Times New Roman" w:cs="Times New Roman"/>
        </w:rPr>
        <w:t>The following sub-research questions helped frame data analysis when exploring the central research question:</w:t>
      </w:r>
    </w:p>
    <w:p w14:paraId="2B8BF83D" w14:textId="0AFFF303" w:rsidR="04028C6C" w:rsidRPr="0029398F" w:rsidRDefault="04028C6C" w:rsidP="0029398F">
      <w:pPr>
        <w:pStyle w:val="ListParagraph"/>
        <w:numPr>
          <w:ilvl w:val="0"/>
          <w:numId w:val="14"/>
        </w:numPr>
        <w:spacing w:after="0" w:line="240" w:lineRule="auto"/>
        <w:rPr>
          <w:rFonts w:ascii="Times New Roman" w:eastAsia="Times New Roman" w:hAnsi="Times New Roman" w:cs="Times New Roman"/>
        </w:rPr>
      </w:pPr>
      <w:r w:rsidRPr="0029398F">
        <w:rPr>
          <w:rFonts w:ascii="Times New Roman" w:eastAsia="Times New Roman" w:hAnsi="Times New Roman" w:cs="Times New Roman"/>
        </w:rPr>
        <w:t xml:space="preserve">How do pre-service agricultural education teachers describe their comprehension of inquiry-based learning and </w:t>
      </w:r>
      <w:r w:rsidR="27B5AECE" w:rsidRPr="0029398F">
        <w:rPr>
          <w:rFonts w:ascii="Times New Roman" w:eastAsia="Times New Roman" w:hAnsi="Times New Roman" w:cs="Times New Roman"/>
        </w:rPr>
        <w:t>STEM</w:t>
      </w:r>
      <w:r w:rsidRPr="0029398F">
        <w:rPr>
          <w:rFonts w:ascii="Times New Roman" w:eastAsia="Times New Roman" w:hAnsi="Times New Roman" w:cs="Times New Roman"/>
        </w:rPr>
        <w:t xml:space="preserve"> integration within SBAE?</w:t>
      </w:r>
    </w:p>
    <w:p w14:paraId="7C89D9EA" w14:textId="7F7A0983" w:rsidR="45FBC2D2" w:rsidRPr="0029398F" w:rsidRDefault="45FBC2D2" w:rsidP="0029398F">
      <w:pPr>
        <w:pStyle w:val="ListParagraph"/>
        <w:numPr>
          <w:ilvl w:val="0"/>
          <w:numId w:val="14"/>
        </w:numPr>
        <w:spacing w:after="0" w:line="240" w:lineRule="auto"/>
        <w:rPr>
          <w:rFonts w:ascii="Times New Roman" w:eastAsia="Times New Roman" w:hAnsi="Times New Roman" w:cs="Times New Roman"/>
        </w:rPr>
      </w:pPr>
      <w:r w:rsidRPr="0029398F">
        <w:rPr>
          <w:rFonts w:ascii="Times New Roman" w:eastAsia="Times New Roman" w:hAnsi="Times New Roman" w:cs="Times New Roman"/>
        </w:rPr>
        <w:t>How do pre-service agricultural education teachers perceive the CASE curriculum when exposed to high- and low-CASE adoption contexts?</w:t>
      </w:r>
    </w:p>
    <w:p w14:paraId="2A4DAB8F" w14:textId="42626262" w:rsidR="04028C6C" w:rsidRPr="0029398F" w:rsidRDefault="04028C6C" w:rsidP="0029398F">
      <w:pPr>
        <w:pStyle w:val="ListParagraph"/>
        <w:numPr>
          <w:ilvl w:val="0"/>
          <w:numId w:val="14"/>
        </w:numPr>
        <w:spacing w:after="0" w:line="240" w:lineRule="auto"/>
        <w:rPr>
          <w:rFonts w:ascii="Times New Roman" w:eastAsia="Times New Roman" w:hAnsi="Times New Roman" w:cs="Times New Roman"/>
        </w:rPr>
      </w:pPr>
      <w:r w:rsidRPr="0029398F">
        <w:rPr>
          <w:rFonts w:ascii="Times New Roman" w:eastAsia="Times New Roman" w:hAnsi="Times New Roman" w:cs="Times New Roman"/>
        </w:rPr>
        <w:t xml:space="preserve">How do pre-service agricultural education teachers conceptualize the role of inquiry-based instruction and </w:t>
      </w:r>
      <w:r w:rsidR="003F5EA0">
        <w:rPr>
          <w:rFonts w:ascii="Times New Roman" w:eastAsia="Times New Roman" w:hAnsi="Times New Roman" w:cs="Times New Roman"/>
        </w:rPr>
        <w:t>science</w:t>
      </w:r>
      <w:r w:rsidRPr="0029398F">
        <w:rPr>
          <w:rFonts w:ascii="Times New Roman" w:eastAsia="Times New Roman" w:hAnsi="Times New Roman" w:cs="Times New Roman"/>
        </w:rPr>
        <w:t xml:space="preserve"> when planning agricultural education lessons? </w:t>
      </w:r>
    </w:p>
    <w:p w14:paraId="0597D555" w14:textId="2A29F8F8" w:rsidR="00F254B8" w:rsidRPr="009E1655" w:rsidRDefault="568AB3D5" w:rsidP="003F5EA0">
      <w:pPr>
        <w:pStyle w:val="ListParagraph"/>
        <w:numPr>
          <w:ilvl w:val="0"/>
          <w:numId w:val="14"/>
        </w:numPr>
        <w:spacing w:line="240" w:lineRule="auto"/>
        <w:rPr>
          <w:rFonts w:ascii="Times New Roman" w:eastAsia="Times New Roman" w:hAnsi="Times New Roman" w:cs="Times New Roman"/>
        </w:rPr>
      </w:pPr>
      <w:r w:rsidRPr="0029398F">
        <w:rPr>
          <w:rFonts w:ascii="Times New Roman" w:eastAsia="Times New Roman" w:hAnsi="Times New Roman" w:cs="Times New Roman"/>
        </w:rPr>
        <w:lastRenderedPageBreak/>
        <w:t xml:space="preserve">How do teacher preparation experiences, including exposure to CASE, shape pre-service teachers’ views of inquiry-based </w:t>
      </w:r>
      <w:r w:rsidR="003F5EA0">
        <w:rPr>
          <w:rFonts w:ascii="Times New Roman" w:eastAsia="Times New Roman" w:hAnsi="Times New Roman" w:cs="Times New Roman"/>
        </w:rPr>
        <w:t>science learning</w:t>
      </w:r>
      <w:r w:rsidRPr="0029398F">
        <w:rPr>
          <w:rFonts w:ascii="Times New Roman" w:eastAsia="Times New Roman" w:hAnsi="Times New Roman" w:cs="Times New Roman"/>
        </w:rPr>
        <w:t xml:space="preserve">? </w:t>
      </w:r>
    </w:p>
    <w:p w14:paraId="26613AAF" w14:textId="77301135" w:rsidR="0029398F" w:rsidRPr="0029398F" w:rsidRDefault="39C384D9" w:rsidP="00AF4CFC">
      <w:pPr>
        <w:spacing w:after="0" w:line="240" w:lineRule="auto"/>
        <w:jc w:val="center"/>
        <w:rPr>
          <w:rFonts w:ascii="Times New Roman" w:eastAsia="Times New Roman" w:hAnsi="Times New Roman" w:cs="Times New Roman"/>
          <w:b/>
          <w:bCs/>
        </w:rPr>
      </w:pPr>
      <w:r w:rsidRPr="0029398F">
        <w:rPr>
          <w:rFonts w:ascii="Times New Roman" w:eastAsia="Times New Roman" w:hAnsi="Times New Roman" w:cs="Times New Roman"/>
          <w:b/>
          <w:bCs/>
        </w:rPr>
        <w:t>Theoretical</w:t>
      </w:r>
      <w:r w:rsidR="005137B3" w:rsidRPr="0029398F">
        <w:rPr>
          <w:rFonts w:ascii="Times New Roman" w:eastAsia="Times New Roman" w:hAnsi="Times New Roman" w:cs="Times New Roman"/>
          <w:b/>
          <w:bCs/>
        </w:rPr>
        <w:t xml:space="preserve"> and Conceptual</w:t>
      </w:r>
      <w:r w:rsidRPr="0029398F">
        <w:rPr>
          <w:rFonts w:ascii="Times New Roman" w:eastAsia="Times New Roman" w:hAnsi="Times New Roman" w:cs="Times New Roman"/>
          <w:b/>
          <w:bCs/>
        </w:rPr>
        <w:t xml:space="preserve"> Framework </w:t>
      </w:r>
    </w:p>
    <w:p w14:paraId="701920ED" w14:textId="7F41CB04" w:rsidR="0029398F" w:rsidRPr="005137B3" w:rsidRDefault="005137B3" w:rsidP="00AF4CFC">
      <w:pPr>
        <w:spacing w:line="240" w:lineRule="auto"/>
        <w:ind w:firstLine="720"/>
        <w:rPr>
          <w:rFonts w:ascii="Times New Roman" w:eastAsia="Times New Roman" w:hAnsi="Times New Roman" w:cs="Times New Roman"/>
          <w:kern w:val="0"/>
          <w14:ligatures w14:val="none"/>
        </w:rPr>
      </w:pPr>
      <w:r w:rsidRPr="005137B3">
        <w:rPr>
          <w:rFonts w:ascii="Times New Roman" w:eastAsia="Times New Roman" w:hAnsi="Times New Roman" w:cs="Times New Roman"/>
          <w:kern w:val="0"/>
          <w14:ligatures w14:val="none"/>
        </w:rPr>
        <w:t xml:space="preserve">This study was guided by Rogers’ </w:t>
      </w:r>
      <w:r w:rsidR="00E84FCA" w:rsidRPr="0029398F">
        <w:rPr>
          <w:rFonts w:ascii="Times New Roman" w:eastAsia="Times New Roman" w:hAnsi="Times New Roman" w:cs="Times New Roman"/>
          <w:kern w:val="0"/>
          <w14:ligatures w14:val="none"/>
        </w:rPr>
        <w:t xml:space="preserve">(2003) </w:t>
      </w:r>
      <w:r w:rsidRPr="005137B3">
        <w:rPr>
          <w:rFonts w:ascii="Times New Roman" w:eastAsia="Times New Roman" w:hAnsi="Times New Roman" w:cs="Times New Roman"/>
          <w:kern w:val="0"/>
          <w14:ligatures w14:val="none"/>
        </w:rPr>
        <w:t>Diffusion of Innovation theory, specifically the five perceived attributes of innovation: relative advantage, compatibility, complexity, trialability, and observability. These attributes provide a useful lens for examining how pre</w:t>
      </w:r>
      <w:r w:rsidR="0039201B">
        <w:rPr>
          <w:rFonts w:ascii="Times New Roman" w:eastAsia="Times New Roman" w:hAnsi="Times New Roman" w:cs="Times New Roman"/>
          <w:kern w:val="0"/>
          <w14:ligatures w14:val="none"/>
        </w:rPr>
        <w:t>-</w:t>
      </w:r>
      <w:r w:rsidRPr="005137B3">
        <w:rPr>
          <w:rFonts w:ascii="Times New Roman" w:eastAsia="Times New Roman" w:hAnsi="Times New Roman" w:cs="Times New Roman"/>
          <w:kern w:val="0"/>
          <w14:ligatures w14:val="none"/>
        </w:rPr>
        <w:t xml:space="preserve">service teachers perceive and make sense of curricular innovations such as </w:t>
      </w:r>
      <w:r w:rsidRPr="0029398F">
        <w:rPr>
          <w:rFonts w:ascii="Times New Roman" w:eastAsia="Times New Roman" w:hAnsi="Times New Roman" w:cs="Times New Roman"/>
          <w:kern w:val="0"/>
          <w14:ligatures w14:val="none"/>
        </w:rPr>
        <w:t>CASE.</w:t>
      </w:r>
      <w:r w:rsidRPr="005137B3">
        <w:rPr>
          <w:rFonts w:ascii="Times New Roman" w:eastAsia="Times New Roman" w:hAnsi="Times New Roman" w:cs="Times New Roman"/>
          <w:kern w:val="0"/>
          <w14:ligatures w14:val="none"/>
        </w:rPr>
        <w:t xml:space="preserve"> Rogers’ </w:t>
      </w:r>
      <w:r w:rsidR="00E84FCA" w:rsidRPr="0029398F">
        <w:rPr>
          <w:rFonts w:ascii="Times New Roman" w:eastAsia="Times New Roman" w:hAnsi="Times New Roman" w:cs="Times New Roman"/>
          <w:kern w:val="0"/>
          <w14:ligatures w14:val="none"/>
        </w:rPr>
        <w:t xml:space="preserve">(2003) </w:t>
      </w:r>
      <w:r w:rsidRPr="005137B3">
        <w:rPr>
          <w:rFonts w:ascii="Times New Roman" w:eastAsia="Times New Roman" w:hAnsi="Times New Roman" w:cs="Times New Roman"/>
          <w:kern w:val="0"/>
          <w14:ligatures w14:val="none"/>
        </w:rPr>
        <w:t xml:space="preserve">framework supports </w:t>
      </w:r>
      <w:r w:rsidR="00CC4DB0">
        <w:rPr>
          <w:rFonts w:ascii="Times New Roman" w:eastAsia="Times New Roman" w:hAnsi="Times New Roman" w:cs="Times New Roman"/>
          <w:kern w:val="0"/>
          <w14:ligatures w14:val="none"/>
        </w:rPr>
        <w:t xml:space="preserve">the </w:t>
      </w:r>
      <w:r w:rsidRPr="005137B3">
        <w:rPr>
          <w:rFonts w:ascii="Times New Roman" w:eastAsia="Times New Roman" w:hAnsi="Times New Roman" w:cs="Times New Roman"/>
          <w:kern w:val="0"/>
          <w14:ligatures w14:val="none"/>
        </w:rPr>
        <w:t xml:space="preserve">exploration of how participants evaluate CASE </w:t>
      </w:r>
      <w:r w:rsidR="00CC4DB0">
        <w:rPr>
          <w:rFonts w:ascii="Times New Roman" w:eastAsia="Times New Roman" w:hAnsi="Times New Roman" w:cs="Times New Roman"/>
          <w:kern w:val="0"/>
          <w14:ligatures w14:val="none"/>
        </w:rPr>
        <w:t>relative</w:t>
      </w:r>
      <w:r w:rsidRPr="005137B3">
        <w:rPr>
          <w:rFonts w:ascii="Times New Roman" w:eastAsia="Times New Roman" w:hAnsi="Times New Roman" w:cs="Times New Roman"/>
          <w:kern w:val="0"/>
          <w14:ligatures w14:val="none"/>
        </w:rPr>
        <w:t xml:space="preserve"> to existing instructional practices, their preparation experiences, and contextual expectations, a</w:t>
      </w:r>
      <w:r w:rsidR="00CC4DB0">
        <w:rPr>
          <w:rFonts w:ascii="Times New Roman" w:eastAsia="Times New Roman" w:hAnsi="Times New Roman" w:cs="Times New Roman"/>
          <w:kern w:val="0"/>
          <w14:ligatures w14:val="none"/>
        </w:rPr>
        <w:t>nd</w:t>
      </w:r>
      <w:r w:rsidRPr="005137B3">
        <w:rPr>
          <w:rFonts w:ascii="Times New Roman" w:eastAsia="Times New Roman" w:hAnsi="Times New Roman" w:cs="Times New Roman"/>
          <w:kern w:val="0"/>
          <w14:ligatures w14:val="none"/>
        </w:rPr>
        <w:t xml:space="preserve"> how perceptions of usability, alignment, and visibility influence adoption and interpretation across high- and low-adoption contexts.</w:t>
      </w:r>
    </w:p>
    <w:p w14:paraId="1D770912" w14:textId="39E4D419" w:rsidR="0029398F" w:rsidRPr="0029398F" w:rsidRDefault="005137B3" w:rsidP="00AF4CFC">
      <w:pPr>
        <w:spacing w:line="240" w:lineRule="auto"/>
        <w:ind w:firstLine="720"/>
        <w:rPr>
          <w:rFonts w:ascii="Times New Roman" w:eastAsia="Times New Roman" w:hAnsi="Times New Roman" w:cs="Times New Roman"/>
          <w:kern w:val="0"/>
          <w14:ligatures w14:val="none"/>
        </w:rPr>
      </w:pPr>
      <w:r w:rsidRPr="005137B3">
        <w:rPr>
          <w:rFonts w:ascii="Times New Roman" w:eastAsia="Times New Roman" w:hAnsi="Times New Roman" w:cs="Times New Roman"/>
          <w:kern w:val="0"/>
          <w14:ligatures w14:val="none"/>
        </w:rPr>
        <w:t>The conceptual framework for this study was informed by the conceptual model of inquiry-based instruction developed by Thoron and Myers (2012), which depicts inquiry-based learning as a dynamic interaction among teaching and learning processes, teacher and student characteristics, and social and contextual influences. The model emphasizes how inquiry-based instruction is shaped by factors such as instructional objectives, classroom environment, teacher knowledge of inquiry, and student characteristics, ultimately influencing outcomes related to scientific reasoning and learning</w:t>
      </w:r>
      <w:r w:rsidR="00F71CD3">
        <w:rPr>
          <w:rFonts w:ascii="Times New Roman" w:eastAsia="Times New Roman" w:hAnsi="Times New Roman" w:cs="Times New Roman"/>
          <w:kern w:val="0"/>
          <w14:ligatures w14:val="none"/>
        </w:rPr>
        <w:t>.</w:t>
      </w:r>
      <w:r w:rsidRPr="005137B3">
        <w:rPr>
          <w:rFonts w:ascii="Times New Roman" w:eastAsia="Times New Roman" w:hAnsi="Times New Roman" w:cs="Times New Roman"/>
          <w:kern w:val="0"/>
          <w14:ligatures w14:val="none"/>
        </w:rPr>
        <w:t xml:space="preserve"> Together, these frameworks supported examination of how pre</w:t>
      </w:r>
      <w:r w:rsidR="0039201B">
        <w:rPr>
          <w:rFonts w:ascii="Times New Roman" w:eastAsia="Times New Roman" w:hAnsi="Times New Roman" w:cs="Times New Roman"/>
          <w:kern w:val="0"/>
          <w14:ligatures w14:val="none"/>
        </w:rPr>
        <w:t>-</w:t>
      </w:r>
      <w:r w:rsidRPr="005137B3">
        <w:rPr>
          <w:rFonts w:ascii="Times New Roman" w:eastAsia="Times New Roman" w:hAnsi="Times New Roman" w:cs="Times New Roman"/>
          <w:kern w:val="0"/>
          <w14:ligatures w14:val="none"/>
        </w:rPr>
        <w:t>service teachers conceptualize inquiry-based</w:t>
      </w:r>
      <w:r w:rsidR="003F5EA0">
        <w:rPr>
          <w:rFonts w:ascii="Times New Roman" w:eastAsia="Times New Roman" w:hAnsi="Times New Roman" w:cs="Times New Roman"/>
          <w:kern w:val="0"/>
          <w14:ligatures w14:val="none"/>
        </w:rPr>
        <w:t xml:space="preserve"> science</w:t>
      </w:r>
      <w:r w:rsidRPr="005137B3">
        <w:rPr>
          <w:rFonts w:ascii="Times New Roman" w:eastAsia="Times New Roman" w:hAnsi="Times New Roman" w:cs="Times New Roman"/>
          <w:kern w:val="0"/>
          <w14:ligatures w14:val="none"/>
        </w:rPr>
        <w:t xml:space="preserve"> instruction within CASE and how those conceptualizations are influenced by perceptions of innovation and instructional context.</w:t>
      </w:r>
    </w:p>
    <w:p w14:paraId="752F1B40" w14:textId="09116252" w:rsidR="0029398F" w:rsidRPr="0029398F" w:rsidRDefault="00F27FFC" w:rsidP="00AF4CFC">
      <w:pPr>
        <w:spacing w:after="0" w:line="240" w:lineRule="auto"/>
        <w:jc w:val="center"/>
        <w:rPr>
          <w:rFonts w:ascii="Times New Roman" w:eastAsia="Times New Roman" w:hAnsi="Times New Roman" w:cs="Times New Roman"/>
          <w:b/>
          <w:bCs/>
          <w:kern w:val="0"/>
          <w14:ligatures w14:val="none"/>
        </w:rPr>
      </w:pPr>
      <w:r w:rsidRPr="0029398F">
        <w:rPr>
          <w:rFonts w:ascii="Times New Roman" w:eastAsia="Times New Roman" w:hAnsi="Times New Roman" w:cs="Times New Roman"/>
          <w:b/>
          <w:bCs/>
          <w:kern w:val="0"/>
          <w14:ligatures w14:val="none"/>
        </w:rPr>
        <w:t>Methods</w:t>
      </w:r>
    </w:p>
    <w:p w14:paraId="389199F1" w14:textId="6ACF2C92" w:rsidR="0029398F" w:rsidRPr="0029398F" w:rsidRDefault="00BE1DC2" w:rsidP="00AF4CFC">
      <w:pPr>
        <w:spacing w:line="240" w:lineRule="auto"/>
        <w:ind w:firstLine="720"/>
        <w:textAlignment w:val="baseline"/>
        <w:rPr>
          <w:rFonts w:ascii="Times New Roman" w:eastAsia="Times New Roman" w:hAnsi="Times New Roman" w:cs="Times New Roman"/>
          <w:kern w:val="0"/>
          <w14:ligatures w14:val="none"/>
        </w:rPr>
      </w:pPr>
      <w:r w:rsidRPr="0029398F">
        <w:rPr>
          <w:rFonts w:ascii="Times New Roman" w:eastAsia="Times New Roman" w:hAnsi="Times New Roman" w:cs="Times New Roman"/>
          <w:kern w:val="0"/>
          <w14:ligatures w14:val="none"/>
        </w:rPr>
        <w:t xml:space="preserve">This study was situated within a larger multi-case qualitative research project examining perceptions of CASE across a high-adoption state and a low-adoption state. </w:t>
      </w:r>
      <w:r w:rsidR="003F5EA0">
        <w:rPr>
          <w:rFonts w:ascii="Times New Roman" w:eastAsia="Times New Roman" w:hAnsi="Times New Roman" w:cs="Times New Roman"/>
          <w:kern w:val="0"/>
          <w14:ligatures w14:val="none"/>
        </w:rPr>
        <w:t xml:space="preserve">States were </w:t>
      </w:r>
      <w:proofErr w:type="gramStart"/>
      <w:r w:rsidR="003F5EA0">
        <w:rPr>
          <w:rFonts w:ascii="Times New Roman" w:eastAsia="Times New Roman" w:hAnsi="Times New Roman" w:cs="Times New Roman"/>
          <w:kern w:val="0"/>
          <w14:ligatures w14:val="none"/>
        </w:rPr>
        <w:t>categorizes</w:t>
      </w:r>
      <w:proofErr w:type="gramEnd"/>
      <w:r w:rsidR="003F5EA0">
        <w:rPr>
          <w:rFonts w:ascii="Times New Roman" w:eastAsia="Times New Roman" w:hAnsi="Times New Roman" w:cs="Times New Roman"/>
          <w:kern w:val="0"/>
          <w14:ligatures w14:val="none"/>
        </w:rPr>
        <w:t xml:space="preserve"> as high- and low-adoption contexts based on comparative evidence of CASE presence within teacher preparation and SBAE programs, including certification opportunities, prevalence of CASE-certified teachers, and consultation with CASE leadership regarding regional adoption patterns. </w:t>
      </w:r>
      <w:r w:rsidRPr="0029398F">
        <w:rPr>
          <w:rFonts w:ascii="Times New Roman" w:eastAsia="Times New Roman" w:hAnsi="Times New Roman" w:cs="Times New Roman"/>
          <w:kern w:val="0"/>
          <w14:ligatures w14:val="none"/>
        </w:rPr>
        <w:t xml:space="preserve">The overall design followed a multiple bounded case study approach, with each state serving as a distinct case bounded by geographic context and level of CASE adoption (Yin, 2017). The present paper focuses specifically on comparative analysis </w:t>
      </w:r>
      <w:r w:rsidR="00B26870">
        <w:rPr>
          <w:rFonts w:ascii="Times New Roman" w:eastAsia="Times New Roman" w:hAnsi="Times New Roman" w:cs="Times New Roman"/>
          <w:kern w:val="0"/>
          <w14:ligatures w14:val="none"/>
        </w:rPr>
        <w:t>of</w:t>
      </w:r>
      <w:r w:rsidRPr="0029398F">
        <w:rPr>
          <w:rFonts w:ascii="Times New Roman" w:eastAsia="Times New Roman" w:hAnsi="Times New Roman" w:cs="Times New Roman"/>
          <w:kern w:val="0"/>
          <w14:ligatures w14:val="none"/>
        </w:rPr>
        <w:t xml:space="preserve"> high- and low-adoption cases to better understand how contextual differences shape </w:t>
      </w:r>
      <w:r w:rsidR="00600BFF">
        <w:rPr>
          <w:rFonts w:ascii="Times New Roman" w:eastAsia="Times New Roman" w:hAnsi="Times New Roman" w:cs="Times New Roman"/>
          <w:kern w:val="0"/>
          <w14:ligatures w14:val="none"/>
        </w:rPr>
        <w:t>pre-service teachers’</w:t>
      </w:r>
      <w:r w:rsidRPr="0029398F">
        <w:rPr>
          <w:rFonts w:ascii="Times New Roman" w:eastAsia="Times New Roman" w:hAnsi="Times New Roman" w:cs="Times New Roman"/>
          <w:kern w:val="0"/>
          <w14:ligatures w14:val="none"/>
        </w:rPr>
        <w:t xml:space="preserve"> experiences and perceptions </w:t>
      </w:r>
      <w:r w:rsidR="00F33C2B">
        <w:rPr>
          <w:rFonts w:ascii="Times New Roman" w:eastAsia="Times New Roman" w:hAnsi="Times New Roman" w:cs="Times New Roman"/>
          <w:kern w:val="0"/>
          <w14:ligatures w14:val="none"/>
        </w:rPr>
        <w:t>of</w:t>
      </w:r>
      <w:r w:rsidR="00F33C2B" w:rsidRPr="0029398F">
        <w:rPr>
          <w:rFonts w:ascii="Times New Roman" w:eastAsia="Times New Roman" w:hAnsi="Times New Roman" w:cs="Times New Roman"/>
          <w:kern w:val="0"/>
          <w14:ligatures w14:val="none"/>
        </w:rPr>
        <w:t xml:space="preserve"> </w:t>
      </w:r>
      <w:r w:rsidRPr="0029398F">
        <w:rPr>
          <w:rFonts w:ascii="Times New Roman" w:eastAsia="Times New Roman" w:hAnsi="Times New Roman" w:cs="Times New Roman"/>
          <w:kern w:val="0"/>
          <w14:ligatures w14:val="none"/>
        </w:rPr>
        <w:t xml:space="preserve">CASE, </w:t>
      </w:r>
      <w:r w:rsidR="003F5EA0">
        <w:rPr>
          <w:rFonts w:ascii="Times New Roman" w:eastAsia="Times New Roman" w:hAnsi="Times New Roman" w:cs="Times New Roman"/>
          <w:kern w:val="0"/>
          <w14:ligatures w14:val="none"/>
        </w:rPr>
        <w:t>science teaching</w:t>
      </w:r>
      <w:r w:rsidRPr="0029398F">
        <w:rPr>
          <w:rFonts w:ascii="Times New Roman" w:eastAsia="Times New Roman" w:hAnsi="Times New Roman" w:cs="Times New Roman"/>
          <w:kern w:val="0"/>
          <w14:ligatures w14:val="none"/>
        </w:rPr>
        <w:t xml:space="preserve">, and inquiry-based learning. </w:t>
      </w:r>
    </w:p>
    <w:p w14:paraId="3EE8EBB1" w14:textId="393C25FC" w:rsidR="00BE1DC2" w:rsidRDefault="00BE1DC2" w:rsidP="0029398F">
      <w:pPr>
        <w:spacing w:after="0" w:line="240" w:lineRule="auto"/>
        <w:ind w:firstLine="720"/>
        <w:textAlignment w:val="baseline"/>
        <w:rPr>
          <w:rFonts w:ascii="Times New Roman" w:eastAsia="Times New Roman" w:hAnsi="Times New Roman" w:cs="Times New Roman"/>
          <w:kern w:val="0"/>
          <w14:ligatures w14:val="none"/>
        </w:rPr>
      </w:pPr>
      <w:r w:rsidRPr="0029398F">
        <w:rPr>
          <w:rFonts w:ascii="Times New Roman" w:eastAsia="Times New Roman" w:hAnsi="Times New Roman" w:cs="Times New Roman"/>
          <w:kern w:val="0"/>
          <w14:ligatures w14:val="none"/>
        </w:rPr>
        <w:t xml:space="preserve">Participants were pre-service agriculture teachers who voluntarily </w:t>
      </w:r>
      <w:r w:rsidR="00EA356F">
        <w:rPr>
          <w:rFonts w:ascii="Times New Roman" w:eastAsia="Times New Roman" w:hAnsi="Times New Roman" w:cs="Times New Roman"/>
          <w:kern w:val="0"/>
          <w14:ligatures w14:val="none"/>
        </w:rPr>
        <w:t>participated</w:t>
      </w:r>
      <w:r w:rsidRPr="0029398F">
        <w:rPr>
          <w:rFonts w:ascii="Times New Roman" w:eastAsia="Times New Roman" w:hAnsi="Times New Roman" w:cs="Times New Roman"/>
          <w:kern w:val="0"/>
          <w14:ligatures w14:val="none"/>
        </w:rPr>
        <w:t xml:space="preserve"> </w:t>
      </w:r>
      <w:r w:rsidR="00600BFF">
        <w:rPr>
          <w:rFonts w:ascii="Times New Roman" w:eastAsia="Times New Roman" w:hAnsi="Times New Roman" w:cs="Times New Roman"/>
          <w:kern w:val="0"/>
          <w14:ligatures w14:val="none"/>
        </w:rPr>
        <w:t xml:space="preserve">prior to student teaching </w:t>
      </w:r>
      <w:r w:rsidRPr="0029398F">
        <w:rPr>
          <w:rFonts w:ascii="Times New Roman" w:eastAsia="Times New Roman" w:hAnsi="Times New Roman" w:cs="Times New Roman"/>
          <w:kern w:val="0"/>
          <w14:ligatures w14:val="none"/>
        </w:rPr>
        <w:t xml:space="preserve">(see Table 1). Data were collected through two semi-structured focus groups–lasting between 60 and 90 minutes–one conducted with participants from the high-adoption state and one with participants from the low-adoption state. </w:t>
      </w:r>
      <w:r w:rsidR="00600BFF">
        <w:rPr>
          <w:rFonts w:ascii="Times New Roman" w:eastAsia="Times New Roman" w:hAnsi="Times New Roman" w:cs="Times New Roman"/>
          <w:kern w:val="0"/>
          <w14:ligatures w14:val="none"/>
        </w:rPr>
        <w:t xml:space="preserve">Pre-service students did not have to have CASE certification to participate in this study. </w:t>
      </w:r>
    </w:p>
    <w:p w14:paraId="3C490528" w14:textId="77777777" w:rsidR="003D1B6B" w:rsidRDefault="003D1B6B" w:rsidP="00EE43D4">
      <w:pPr>
        <w:spacing w:after="0" w:line="240" w:lineRule="auto"/>
        <w:textAlignment w:val="baseline"/>
        <w:rPr>
          <w:rFonts w:ascii="Times New Roman" w:eastAsia="Times New Roman" w:hAnsi="Times New Roman" w:cs="Times New Roman"/>
          <w:kern w:val="0"/>
          <w14:ligatures w14:val="none"/>
        </w:rPr>
      </w:pPr>
    </w:p>
    <w:p w14:paraId="64A6346D" w14:textId="77777777" w:rsidR="00F27FFC" w:rsidRPr="0029398F" w:rsidRDefault="00F27FFC" w:rsidP="0029398F">
      <w:pPr>
        <w:spacing w:after="0" w:line="240" w:lineRule="auto"/>
        <w:jc w:val="both"/>
        <w:textAlignment w:val="baseline"/>
        <w:rPr>
          <w:rFonts w:ascii="Times New Roman" w:eastAsia="Times New Roman" w:hAnsi="Times New Roman" w:cs="Times New Roman"/>
          <w:kern w:val="0"/>
          <w14:ligatures w14:val="none"/>
        </w:rPr>
      </w:pPr>
      <w:r w:rsidRPr="0029398F">
        <w:rPr>
          <w:rFonts w:ascii="Times New Roman" w:eastAsia="Times New Roman" w:hAnsi="Times New Roman" w:cs="Times New Roman"/>
          <w:b/>
          <w:bCs/>
          <w:kern w:val="0"/>
          <w14:ligatures w14:val="none"/>
        </w:rPr>
        <w:t>Table 1</w:t>
      </w:r>
    </w:p>
    <w:p w14:paraId="57361575" w14:textId="77777777" w:rsidR="00F27FFC" w:rsidRPr="0029398F" w:rsidRDefault="00F27FFC" w:rsidP="0029398F">
      <w:pPr>
        <w:spacing w:after="0" w:line="240" w:lineRule="auto"/>
        <w:jc w:val="both"/>
        <w:textAlignment w:val="baseline"/>
        <w:rPr>
          <w:rFonts w:ascii="Times New Roman" w:eastAsia="Times New Roman" w:hAnsi="Times New Roman" w:cs="Times New Roman"/>
          <w:i/>
          <w:iCs/>
          <w:kern w:val="0"/>
          <w14:ligatures w14:val="none"/>
        </w:rPr>
      </w:pPr>
      <w:r w:rsidRPr="0029398F">
        <w:rPr>
          <w:rFonts w:ascii="Times New Roman" w:eastAsia="Times New Roman" w:hAnsi="Times New Roman" w:cs="Times New Roman"/>
          <w:i/>
          <w:iCs/>
          <w:kern w:val="0"/>
          <w14:ligatures w14:val="none"/>
        </w:rPr>
        <w:t>Participant Demographics  </w:t>
      </w:r>
    </w:p>
    <w:tbl>
      <w:tblPr>
        <w:tblW w:w="95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5"/>
        <w:gridCol w:w="2445"/>
        <w:gridCol w:w="2610"/>
        <w:gridCol w:w="3120"/>
      </w:tblGrid>
      <w:tr w:rsidR="009941AF" w:rsidRPr="0029398F" w14:paraId="470FCF22" w14:textId="77777777" w:rsidTr="008B3938">
        <w:trPr>
          <w:trHeight w:val="300"/>
          <w:tblHeader/>
        </w:trPr>
        <w:tc>
          <w:tcPr>
            <w:tcW w:w="1335" w:type="dxa"/>
            <w:tcBorders>
              <w:top w:val="single" w:sz="8" w:space="0" w:color="000000" w:themeColor="text1"/>
              <w:left w:val="nil"/>
              <w:bottom w:val="single" w:sz="8" w:space="0" w:color="000000" w:themeColor="text1"/>
              <w:right w:val="nil"/>
            </w:tcBorders>
            <w:hideMark/>
          </w:tcPr>
          <w:p w14:paraId="1A3562B7" w14:textId="7DB587F1" w:rsidR="009941AF" w:rsidRPr="0029398F" w:rsidRDefault="63B34DC8" w:rsidP="0029398F">
            <w:pPr>
              <w:spacing w:after="0" w:line="240" w:lineRule="auto"/>
              <w:rPr>
                <w:rFonts w:ascii="Times New Roman" w:eastAsia="Times New Roman" w:hAnsi="Times New Roman" w:cs="Times New Roman"/>
              </w:rPr>
            </w:pPr>
            <w:r w:rsidRPr="0029398F">
              <w:rPr>
                <w:rFonts w:ascii="Times New Roman" w:eastAsia="Times New Roman" w:hAnsi="Times New Roman" w:cs="Times New Roman"/>
              </w:rPr>
              <w:t>Pseudonym</w:t>
            </w:r>
          </w:p>
        </w:tc>
        <w:tc>
          <w:tcPr>
            <w:tcW w:w="2445" w:type="dxa"/>
            <w:tcBorders>
              <w:top w:val="single" w:sz="6" w:space="0" w:color="000000" w:themeColor="text1"/>
              <w:left w:val="nil"/>
              <w:bottom w:val="single" w:sz="6" w:space="0" w:color="000000" w:themeColor="text1"/>
              <w:right w:val="nil"/>
            </w:tcBorders>
            <w:hideMark/>
          </w:tcPr>
          <w:p w14:paraId="0D18B96F" w14:textId="1FBA9EFF" w:rsidR="009941AF" w:rsidRPr="0029398F" w:rsidRDefault="73E89D3B"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Expected Graduation</w:t>
            </w:r>
          </w:p>
        </w:tc>
        <w:tc>
          <w:tcPr>
            <w:tcW w:w="2610" w:type="dxa"/>
            <w:tcBorders>
              <w:top w:val="single" w:sz="6" w:space="0" w:color="000000" w:themeColor="text1"/>
              <w:left w:val="nil"/>
              <w:bottom w:val="single" w:sz="6" w:space="0" w:color="000000" w:themeColor="text1"/>
              <w:right w:val="nil"/>
            </w:tcBorders>
            <w:hideMark/>
          </w:tcPr>
          <w:p w14:paraId="088E9E96" w14:textId="552F6C73" w:rsidR="009941AF" w:rsidRPr="0029398F" w:rsidRDefault="73E89D3B"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CASE Certification(s)</w:t>
            </w:r>
          </w:p>
        </w:tc>
        <w:tc>
          <w:tcPr>
            <w:tcW w:w="3120" w:type="dxa"/>
            <w:tcBorders>
              <w:top w:val="single" w:sz="6" w:space="0" w:color="000000" w:themeColor="text1"/>
              <w:left w:val="nil"/>
              <w:bottom w:val="single" w:sz="6" w:space="0" w:color="000000" w:themeColor="text1"/>
              <w:right w:val="nil"/>
            </w:tcBorders>
          </w:tcPr>
          <w:p w14:paraId="56041FEE" w14:textId="09BDA5A1" w:rsidR="2A777B7C" w:rsidRPr="0029398F" w:rsidRDefault="17FAA216" w:rsidP="0029398F">
            <w:pPr>
              <w:spacing w:after="0" w:line="240" w:lineRule="auto"/>
              <w:jc w:val="center"/>
              <w:rPr>
                <w:rFonts w:ascii="Times New Roman" w:eastAsia="Times New Roman" w:hAnsi="Times New Roman" w:cs="Times New Roman"/>
              </w:rPr>
            </w:pPr>
            <w:r w:rsidRPr="0029398F">
              <w:rPr>
                <w:rFonts w:ascii="Times New Roman" w:eastAsia="Times New Roman" w:hAnsi="Times New Roman" w:cs="Times New Roman"/>
              </w:rPr>
              <w:t xml:space="preserve">State </w:t>
            </w:r>
            <w:r w:rsidR="008B3938">
              <w:rPr>
                <w:rFonts w:ascii="Times New Roman" w:eastAsia="Times New Roman" w:hAnsi="Times New Roman" w:cs="Times New Roman"/>
              </w:rPr>
              <w:t xml:space="preserve">CASE </w:t>
            </w:r>
            <w:r w:rsidRPr="0029398F">
              <w:rPr>
                <w:rFonts w:ascii="Times New Roman" w:eastAsia="Times New Roman" w:hAnsi="Times New Roman" w:cs="Times New Roman"/>
              </w:rPr>
              <w:t>Adoption Rates</w:t>
            </w:r>
          </w:p>
        </w:tc>
      </w:tr>
      <w:tr w:rsidR="009941AF" w:rsidRPr="0029398F" w14:paraId="2E5BB049" w14:textId="77777777" w:rsidTr="008B3938">
        <w:trPr>
          <w:trHeight w:val="300"/>
        </w:trPr>
        <w:tc>
          <w:tcPr>
            <w:tcW w:w="1335" w:type="dxa"/>
            <w:tcBorders>
              <w:top w:val="nil"/>
              <w:left w:val="nil"/>
              <w:bottom w:val="nil"/>
              <w:right w:val="nil"/>
            </w:tcBorders>
            <w:hideMark/>
          </w:tcPr>
          <w:p w14:paraId="448A347A" w14:textId="1F531D1B" w:rsidR="009941AF" w:rsidRPr="0029398F" w:rsidRDefault="17FAA216"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Jordin</w:t>
            </w:r>
          </w:p>
        </w:tc>
        <w:tc>
          <w:tcPr>
            <w:tcW w:w="2445" w:type="dxa"/>
            <w:tcBorders>
              <w:top w:val="nil"/>
              <w:left w:val="nil"/>
              <w:bottom w:val="nil"/>
              <w:right w:val="nil"/>
            </w:tcBorders>
            <w:hideMark/>
          </w:tcPr>
          <w:p w14:paraId="050C0018" w14:textId="187A6338" w:rsidR="009941AF" w:rsidRPr="0029398F" w:rsidRDefault="17FAA216"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386C4F0B" w14:textId="25CF0059" w:rsidR="009941AF" w:rsidRPr="0029398F" w:rsidRDefault="17FAA216"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39EB4F99" w14:textId="255604A5" w:rsidR="75528CEE"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3675B3EC" w:rsidRPr="0029398F">
              <w:rPr>
                <w:rFonts w:ascii="Times New Roman" w:eastAsia="Times New Roman" w:hAnsi="Times New Roman" w:cs="Times New Roman"/>
              </w:rPr>
              <w:t>Low</w:t>
            </w:r>
          </w:p>
        </w:tc>
      </w:tr>
      <w:tr w:rsidR="009941AF" w:rsidRPr="0029398F" w14:paraId="68839327" w14:textId="77777777" w:rsidTr="008B3938">
        <w:trPr>
          <w:trHeight w:val="300"/>
        </w:trPr>
        <w:tc>
          <w:tcPr>
            <w:tcW w:w="1335" w:type="dxa"/>
            <w:tcBorders>
              <w:top w:val="nil"/>
              <w:left w:val="nil"/>
              <w:bottom w:val="nil"/>
              <w:right w:val="nil"/>
            </w:tcBorders>
            <w:hideMark/>
          </w:tcPr>
          <w:p w14:paraId="0E86998B" w14:textId="05CF5051" w:rsidR="009941AF" w:rsidRPr="0029398F" w:rsidRDefault="46F4B833"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Brielle</w:t>
            </w:r>
          </w:p>
        </w:tc>
        <w:tc>
          <w:tcPr>
            <w:tcW w:w="2445" w:type="dxa"/>
            <w:tcBorders>
              <w:top w:val="nil"/>
              <w:left w:val="nil"/>
              <w:bottom w:val="nil"/>
              <w:right w:val="nil"/>
            </w:tcBorders>
            <w:hideMark/>
          </w:tcPr>
          <w:p w14:paraId="5CBD25BD" w14:textId="40CA1003" w:rsidR="009941AF" w:rsidRPr="0029398F" w:rsidRDefault="5439B8F9"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5F5D9EFF" w14:textId="2AE9DB56" w:rsidR="009941AF" w:rsidRPr="0029398F" w:rsidRDefault="5F098C79"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73E570C3" w14:textId="213FBD75" w:rsidR="1F958621"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009941AF" w:rsidRPr="0029398F" w14:paraId="060435B0" w14:textId="77777777" w:rsidTr="007D6867">
        <w:trPr>
          <w:trHeight w:val="300"/>
        </w:trPr>
        <w:tc>
          <w:tcPr>
            <w:tcW w:w="1335" w:type="dxa"/>
            <w:tcBorders>
              <w:top w:val="nil"/>
              <w:left w:val="nil"/>
              <w:bottom w:val="nil"/>
              <w:right w:val="nil"/>
            </w:tcBorders>
            <w:hideMark/>
          </w:tcPr>
          <w:p w14:paraId="1AB13795" w14:textId="40C21ED5" w:rsidR="009941AF" w:rsidRPr="0029398F" w:rsidRDefault="065A8B75"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Mara</w:t>
            </w:r>
          </w:p>
        </w:tc>
        <w:tc>
          <w:tcPr>
            <w:tcW w:w="2445" w:type="dxa"/>
            <w:tcBorders>
              <w:top w:val="nil"/>
              <w:left w:val="nil"/>
              <w:bottom w:val="nil"/>
              <w:right w:val="nil"/>
            </w:tcBorders>
            <w:hideMark/>
          </w:tcPr>
          <w:p w14:paraId="1BADFEA3" w14:textId="5F9B704C" w:rsidR="009941AF" w:rsidRPr="0029398F" w:rsidRDefault="32E0097F"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7D0E6CD5" w14:textId="445588F5" w:rsidR="009941AF" w:rsidRPr="0029398F" w:rsidRDefault="499394D0"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6ECBD792" w14:textId="214D22C9" w:rsidR="78C437ED"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009941AF" w:rsidRPr="0029398F" w14:paraId="1EE21016" w14:textId="77777777" w:rsidTr="007D6867">
        <w:trPr>
          <w:trHeight w:val="300"/>
        </w:trPr>
        <w:tc>
          <w:tcPr>
            <w:tcW w:w="1335" w:type="dxa"/>
            <w:tcBorders>
              <w:top w:val="nil"/>
              <w:left w:val="nil"/>
              <w:bottom w:val="single" w:sz="4" w:space="0" w:color="auto"/>
              <w:right w:val="nil"/>
            </w:tcBorders>
            <w:hideMark/>
          </w:tcPr>
          <w:p w14:paraId="6A8C5875" w14:textId="739C8414" w:rsidR="009941AF" w:rsidRPr="0029398F" w:rsidRDefault="7B404B3E"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Tessa</w:t>
            </w:r>
          </w:p>
        </w:tc>
        <w:tc>
          <w:tcPr>
            <w:tcW w:w="2445" w:type="dxa"/>
            <w:tcBorders>
              <w:top w:val="nil"/>
              <w:left w:val="nil"/>
              <w:bottom w:val="single" w:sz="4" w:space="0" w:color="auto"/>
              <w:right w:val="nil"/>
            </w:tcBorders>
            <w:hideMark/>
          </w:tcPr>
          <w:p w14:paraId="252A7133" w14:textId="4FDF81BE" w:rsidR="009941AF" w:rsidRPr="0029398F" w:rsidRDefault="73A9734C"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single" w:sz="4" w:space="0" w:color="auto"/>
              <w:right w:val="nil"/>
            </w:tcBorders>
            <w:hideMark/>
          </w:tcPr>
          <w:p w14:paraId="68456C32" w14:textId="2858ACD3" w:rsidR="009941AF" w:rsidRPr="0029398F" w:rsidRDefault="1D2D3F53"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single" w:sz="4" w:space="0" w:color="auto"/>
              <w:right w:val="nil"/>
            </w:tcBorders>
          </w:tcPr>
          <w:p w14:paraId="7AABA785" w14:textId="4C837ECA" w:rsidR="41A9E975"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009941AF" w:rsidRPr="0029398F" w14:paraId="0F30EBCF" w14:textId="77777777" w:rsidTr="007D6867">
        <w:trPr>
          <w:trHeight w:val="300"/>
        </w:trPr>
        <w:tc>
          <w:tcPr>
            <w:tcW w:w="1335" w:type="dxa"/>
            <w:tcBorders>
              <w:top w:val="single" w:sz="4" w:space="0" w:color="auto"/>
              <w:left w:val="nil"/>
              <w:bottom w:val="nil"/>
              <w:right w:val="nil"/>
            </w:tcBorders>
            <w:hideMark/>
          </w:tcPr>
          <w:p w14:paraId="618FEEF0" w14:textId="70A53FCB" w:rsidR="009941AF" w:rsidRPr="0029398F" w:rsidRDefault="19CB9FE9"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lastRenderedPageBreak/>
              <w:t>Emerson</w:t>
            </w:r>
          </w:p>
        </w:tc>
        <w:tc>
          <w:tcPr>
            <w:tcW w:w="2445" w:type="dxa"/>
            <w:tcBorders>
              <w:top w:val="single" w:sz="4" w:space="0" w:color="auto"/>
              <w:left w:val="nil"/>
              <w:bottom w:val="nil"/>
              <w:right w:val="nil"/>
            </w:tcBorders>
            <w:hideMark/>
          </w:tcPr>
          <w:p w14:paraId="69CE49F2" w14:textId="218C79D2" w:rsidR="009941AF" w:rsidRPr="0029398F" w:rsidRDefault="20AA910A"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single" w:sz="4" w:space="0" w:color="auto"/>
              <w:left w:val="nil"/>
              <w:bottom w:val="nil"/>
              <w:right w:val="nil"/>
            </w:tcBorders>
            <w:hideMark/>
          </w:tcPr>
          <w:p w14:paraId="29F7C42C" w14:textId="6117ACAD" w:rsidR="009941AF" w:rsidRPr="0029398F" w:rsidRDefault="26E2585A"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single" w:sz="4" w:space="0" w:color="auto"/>
              <w:left w:val="nil"/>
              <w:bottom w:val="nil"/>
              <w:right w:val="nil"/>
            </w:tcBorders>
          </w:tcPr>
          <w:p w14:paraId="7BF42E2D" w14:textId="08DA162D" w:rsidR="2E003BC4"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009941AF" w:rsidRPr="0029398F" w14:paraId="35A4A0F3" w14:textId="77777777" w:rsidTr="008B3938">
        <w:trPr>
          <w:trHeight w:val="300"/>
        </w:trPr>
        <w:tc>
          <w:tcPr>
            <w:tcW w:w="1335" w:type="dxa"/>
            <w:tcBorders>
              <w:top w:val="nil"/>
              <w:left w:val="nil"/>
              <w:bottom w:val="nil"/>
              <w:right w:val="nil"/>
            </w:tcBorders>
            <w:hideMark/>
          </w:tcPr>
          <w:p w14:paraId="62D30BD6" w14:textId="152E547B" w:rsidR="009941AF" w:rsidRPr="0029398F" w:rsidRDefault="2C029186"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Camille</w:t>
            </w:r>
          </w:p>
        </w:tc>
        <w:tc>
          <w:tcPr>
            <w:tcW w:w="2445" w:type="dxa"/>
            <w:tcBorders>
              <w:top w:val="nil"/>
              <w:left w:val="nil"/>
              <w:bottom w:val="nil"/>
              <w:right w:val="nil"/>
            </w:tcBorders>
            <w:hideMark/>
          </w:tcPr>
          <w:p w14:paraId="5579EDF4" w14:textId="4363EE96" w:rsidR="009941AF" w:rsidRPr="0029398F" w:rsidRDefault="721DD2B7"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41AA81FB" w14:textId="5ABDD3B4" w:rsidR="009941AF" w:rsidRPr="0029398F" w:rsidRDefault="6DD63903"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5D904277" w14:textId="352AEFED" w:rsidR="4B3412AA"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56CD1B73" w:rsidRPr="0029398F" w14:paraId="6FE0C353" w14:textId="77777777" w:rsidTr="008B3938">
        <w:trPr>
          <w:trHeight w:val="300"/>
        </w:trPr>
        <w:tc>
          <w:tcPr>
            <w:tcW w:w="1335" w:type="dxa"/>
            <w:tcBorders>
              <w:top w:val="nil"/>
              <w:left w:val="nil"/>
              <w:bottom w:val="nil"/>
              <w:right w:val="nil"/>
            </w:tcBorders>
            <w:hideMark/>
          </w:tcPr>
          <w:p w14:paraId="000AE30E" w14:textId="3C733576" w:rsidR="0E83D498" w:rsidRPr="0029398F" w:rsidRDefault="3D40EDCA" w:rsidP="0029398F">
            <w:pPr>
              <w:spacing w:after="0" w:line="240" w:lineRule="auto"/>
              <w:jc w:val="both"/>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Carter</w:t>
            </w:r>
          </w:p>
        </w:tc>
        <w:tc>
          <w:tcPr>
            <w:tcW w:w="2445" w:type="dxa"/>
            <w:tcBorders>
              <w:top w:val="nil"/>
              <w:left w:val="nil"/>
              <w:bottom w:val="nil"/>
              <w:right w:val="nil"/>
            </w:tcBorders>
            <w:hideMark/>
          </w:tcPr>
          <w:p w14:paraId="1005BD1E" w14:textId="6AAB2195" w:rsidR="78518AC6" w:rsidRPr="0029398F" w:rsidRDefault="04813DFE"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4BB29DA5" w14:textId="77D8FB8B" w:rsidR="56D2D460" w:rsidRPr="0029398F" w:rsidRDefault="7627DF4F"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4C0767C6" w14:textId="6B014122" w:rsidR="75C44FA9"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56CD1B73" w:rsidRPr="0029398F" w14:paraId="060559BF" w14:textId="77777777" w:rsidTr="008B3938">
        <w:trPr>
          <w:trHeight w:val="300"/>
        </w:trPr>
        <w:tc>
          <w:tcPr>
            <w:tcW w:w="1335" w:type="dxa"/>
            <w:tcBorders>
              <w:top w:val="nil"/>
              <w:left w:val="nil"/>
              <w:bottom w:val="nil"/>
              <w:right w:val="nil"/>
            </w:tcBorders>
            <w:hideMark/>
          </w:tcPr>
          <w:p w14:paraId="0D66E8A1" w14:textId="1874C28F" w:rsidR="62CDDAA3" w:rsidRPr="0029398F" w:rsidRDefault="33831A30" w:rsidP="0029398F">
            <w:pPr>
              <w:spacing w:after="0" w:line="240" w:lineRule="auto"/>
              <w:jc w:val="both"/>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Reese</w:t>
            </w:r>
          </w:p>
        </w:tc>
        <w:tc>
          <w:tcPr>
            <w:tcW w:w="2445" w:type="dxa"/>
            <w:tcBorders>
              <w:top w:val="nil"/>
              <w:left w:val="nil"/>
              <w:bottom w:val="nil"/>
              <w:right w:val="nil"/>
            </w:tcBorders>
            <w:hideMark/>
          </w:tcPr>
          <w:p w14:paraId="5219D3C3" w14:textId="24F8F26E" w:rsidR="13284FB5" w:rsidRPr="0029398F" w:rsidRDefault="7BCD2DA6"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749D98A5" w14:textId="38CACDD9" w:rsidR="56D2D460" w:rsidRPr="0029398F" w:rsidRDefault="7627DF4F"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6037FBDE" w14:textId="0F74A364" w:rsidR="53ACB33C"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56CD1B73" w:rsidRPr="0029398F" w14:paraId="69F58269" w14:textId="77777777" w:rsidTr="008B3938">
        <w:trPr>
          <w:trHeight w:val="300"/>
        </w:trPr>
        <w:tc>
          <w:tcPr>
            <w:tcW w:w="1335" w:type="dxa"/>
            <w:tcBorders>
              <w:top w:val="nil"/>
              <w:left w:val="nil"/>
              <w:bottom w:val="nil"/>
              <w:right w:val="nil"/>
            </w:tcBorders>
            <w:hideMark/>
          </w:tcPr>
          <w:p w14:paraId="4A0298B0" w14:textId="0F6F1C34" w:rsidR="201DBE7C" w:rsidRPr="0029398F" w:rsidRDefault="47B31430" w:rsidP="0029398F">
            <w:pPr>
              <w:spacing w:after="0" w:line="240" w:lineRule="auto"/>
              <w:jc w:val="both"/>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Sadie</w:t>
            </w:r>
          </w:p>
        </w:tc>
        <w:tc>
          <w:tcPr>
            <w:tcW w:w="2445" w:type="dxa"/>
            <w:tcBorders>
              <w:top w:val="nil"/>
              <w:left w:val="nil"/>
              <w:bottom w:val="nil"/>
              <w:right w:val="nil"/>
            </w:tcBorders>
            <w:hideMark/>
          </w:tcPr>
          <w:p w14:paraId="292F31A3" w14:textId="150756B5" w:rsidR="7C3A88AC" w:rsidRPr="0029398F" w:rsidRDefault="0B250A92"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60712231" w14:textId="79D3F403" w:rsidR="56D2D460" w:rsidRPr="0029398F" w:rsidRDefault="7627DF4F"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3634B29D" w14:textId="6A563311" w:rsidR="4EF20C3E"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56CD1B73" w:rsidRPr="0029398F" w14:paraId="292098C4" w14:textId="77777777" w:rsidTr="008B3938">
        <w:trPr>
          <w:trHeight w:val="300"/>
        </w:trPr>
        <w:tc>
          <w:tcPr>
            <w:tcW w:w="1335" w:type="dxa"/>
            <w:tcBorders>
              <w:top w:val="nil"/>
              <w:left w:val="nil"/>
              <w:bottom w:val="nil"/>
              <w:right w:val="nil"/>
            </w:tcBorders>
            <w:hideMark/>
          </w:tcPr>
          <w:p w14:paraId="1A6550EB" w14:textId="029FF673" w:rsidR="11DA6701" w:rsidRPr="0029398F" w:rsidRDefault="322593A6" w:rsidP="0029398F">
            <w:pPr>
              <w:spacing w:after="0" w:line="240" w:lineRule="auto"/>
              <w:jc w:val="both"/>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Elise</w:t>
            </w:r>
          </w:p>
        </w:tc>
        <w:tc>
          <w:tcPr>
            <w:tcW w:w="2445" w:type="dxa"/>
            <w:tcBorders>
              <w:top w:val="nil"/>
              <w:left w:val="nil"/>
              <w:bottom w:val="nil"/>
              <w:right w:val="nil"/>
            </w:tcBorders>
            <w:hideMark/>
          </w:tcPr>
          <w:p w14:paraId="0FAAFFB4" w14:textId="39B37180" w:rsidR="14BAA3BB" w:rsidRPr="0029398F" w:rsidRDefault="2998E26B"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4DF38D51" w14:textId="5F204B0C" w:rsidR="56D2D460" w:rsidRPr="0029398F" w:rsidRDefault="7627DF4F"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AHVS</w:t>
            </w:r>
          </w:p>
        </w:tc>
        <w:tc>
          <w:tcPr>
            <w:tcW w:w="3120" w:type="dxa"/>
            <w:tcBorders>
              <w:top w:val="nil"/>
              <w:left w:val="nil"/>
              <w:bottom w:val="nil"/>
              <w:right w:val="nil"/>
            </w:tcBorders>
          </w:tcPr>
          <w:p w14:paraId="5900ADCB" w14:textId="6D42DD62" w:rsidR="2F9B7702"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Georgia–</w:t>
            </w:r>
            <w:r w:rsidRPr="0029398F">
              <w:rPr>
                <w:rFonts w:ascii="Times New Roman" w:eastAsia="Times New Roman" w:hAnsi="Times New Roman" w:cs="Times New Roman"/>
              </w:rPr>
              <w:t>Low</w:t>
            </w:r>
          </w:p>
        </w:tc>
      </w:tr>
      <w:tr w:rsidR="009941AF" w:rsidRPr="0029398F" w14:paraId="54CE964D" w14:textId="77777777" w:rsidTr="008B3938">
        <w:trPr>
          <w:trHeight w:val="300"/>
        </w:trPr>
        <w:tc>
          <w:tcPr>
            <w:tcW w:w="1335" w:type="dxa"/>
            <w:tcBorders>
              <w:top w:val="nil"/>
              <w:left w:val="nil"/>
              <w:bottom w:val="nil"/>
              <w:right w:val="nil"/>
            </w:tcBorders>
            <w:hideMark/>
          </w:tcPr>
          <w:p w14:paraId="07BF4FBD" w14:textId="2C6A57A5" w:rsidR="009941AF" w:rsidRPr="0029398F" w:rsidRDefault="0B757A8C"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Harper</w:t>
            </w:r>
          </w:p>
        </w:tc>
        <w:tc>
          <w:tcPr>
            <w:tcW w:w="2445" w:type="dxa"/>
            <w:tcBorders>
              <w:top w:val="nil"/>
              <w:left w:val="nil"/>
              <w:bottom w:val="nil"/>
              <w:right w:val="nil"/>
            </w:tcBorders>
            <w:hideMark/>
          </w:tcPr>
          <w:p w14:paraId="5162C7BF" w14:textId="3B389ABA" w:rsidR="009941AF" w:rsidRPr="0029398F" w:rsidRDefault="262950BB"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5595CC2B" w14:textId="164F340E" w:rsidR="009941AF" w:rsidRPr="0029398F" w:rsidRDefault="3FE90ABC"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p>
        </w:tc>
        <w:tc>
          <w:tcPr>
            <w:tcW w:w="3120" w:type="dxa"/>
            <w:tcBorders>
              <w:top w:val="nil"/>
              <w:left w:val="nil"/>
              <w:bottom w:val="nil"/>
              <w:right w:val="nil"/>
            </w:tcBorders>
          </w:tcPr>
          <w:p w14:paraId="19E2E47E" w14:textId="53710220" w:rsidR="5482ECB3"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Iowa–</w:t>
            </w:r>
            <w:r w:rsidR="7BAC7F30" w:rsidRPr="0029398F">
              <w:rPr>
                <w:rFonts w:ascii="Times New Roman" w:eastAsia="Times New Roman" w:hAnsi="Times New Roman" w:cs="Times New Roman"/>
              </w:rPr>
              <w:t>High</w:t>
            </w:r>
          </w:p>
        </w:tc>
      </w:tr>
      <w:tr w:rsidR="009941AF" w:rsidRPr="0029398F" w14:paraId="3CD6FF8B" w14:textId="77777777" w:rsidTr="008B3938">
        <w:trPr>
          <w:trHeight w:val="300"/>
        </w:trPr>
        <w:tc>
          <w:tcPr>
            <w:tcW w:w="1335" w:type="dxa"/>
            <w:tcBorders>
              <w:top w:val="nil"/>
              <w:left w:val="nil"/>
              <w:bottom w:val="nil"/>
              <w:right w:val="nil"/>
            </w:tcBorders>
            <w:hideMark/>
          </w:tcPr>
          <w:p w14:paraId="1468E509" w14:textId="7FE7C66A" w:rsidR="009941AF" w:rsidRPr="0029398F" w:rsidRDefault="28BDD198"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Callie</w:t>
            </w:r>
          </w:p>
        </w:tc>
        <w:tc>
          <w:tcPr>
            <w:tcW w:w="2445" w:type="dxa"/>
            <w:tcBorders>
              <w:top w:val="nil"/>
              <w:left w:val="nil"/>
              <w:bottom w:val="nil"/>
              <w:right w:val="nil"/>
            </w:tcBorders>
            <w:hideMark/>
          </w:tcPr>
          <w:p w14:paraId="172754AD" w14:textId="4F067FFF" w:rsidR="009941AF" w:rsidRPr="0029398F" w:rsidRDefault="3CBBF1DF"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5AE8327C" w14:textId="600186A7" w:rsidR="009941AF" w:rsidRPr="0029398F" w:rsidRDefault="1EB56F04" w:rsidP="0029398F">
            <w:pPr>
              <w:spacing w:after="0" w:line="240" w:lineRule="auto"/>
              <w:jc w:val="center"/>
              <w:rPr>
                <w:rFonts w:ascii="Times New Roman" w:eastAsia="Times New Roman" w:hAnsi="Times New Roman" w:cs="Times New Roman"/>
              </w:rPr>
            </w:pPr>
            <w:proofErr w:type="spellStart"/>
            <w:r w:rsidRPr="0029398F">
              <w:rPr>
                <w:rFonts w:ascii="Times New Roman" w:eastAsia="Times New Roman" w:hAnsi="Times New Roman" w:cs="Times New Roman"/>
              </w:rPr>
              <w:t>AgX</w:t>
            </w:r>
            <w:proofErr w:type="spellEnd"/>
            <w:r w:rsidRPr="0029398F">
              <w:rPr>
                <w:rFonts w:ascii="Times New Roman" w:eastAsia="Times New Roman" w:hAnsi="Times New Roman" w:cs="Times New Roman"/>
              </w:rPr>
              <w:t xml:space="preserve"> </w:t>
            </w:r>
          </w:p>
        </w:tc>
        <w:tc>
          <w:tcPr>
            <w:tcW w:w="3120" w:type="dxa"/>
            <w:tcBorders>
              <w:top w:val="nil"/>
              <w:left w:val="nil"/>
              <w:bottom w:val="nil"/>
              <w:right w:val="nil"/>
            </w:tcBorders>
          </w:tcPr>
          <w:p w14:paraId="204979EF" w14:textId="1BEF7BEA" w:rsidR="22F94CA6"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Iowa–</w:t>
            </w:r>
            <w:r w:rsidRPr="0029398F">
              <w:rPr>
                <w:rFonts w:ascii="Times New Roman" w:eastAsia="Times New Roman" w:hAnsi="Times New Roman" w:cs="Times New Roman"/>
              </w:rPr>
              <w:t>High</w:t>
            </w:r>
          </w:p>
        </w:tc>
      </w:tr>
      <w:tr w:rsidR="009941AF" w:rsidRPr="0029398F" w14:paraId="29204F0F" w14:textId="77777777" w:rsidTr="008B3938">
        <w:trPr>
          <w:trHeight w:val="300"/>
        </w:trPr>
        <w:tc>
          <w:tcPr>
            <w:tcW w:w="1335" w:type="dxa"/>
            <w:tcBorders>
              <w:top w:val="nil"/>
              <w:left w:val="nil"/>
              <w:bottom w:val="nil"/>
              <w:right w:val="nil"/>
            </w:tcBorders>
            <w:hideMark/>
          </w:tcPr>
          <w:p w14:paraId="1F165C34" w14:textId="4958C94B" w:rsidR="009941AF" w:rsidRPr="0029398F" w:rsidRDefault="421DE539"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Nolan</w:t>
            </w:r>
          </w:p>
        </w:tc>
        <w:tc>
          <w:tcPr>
            <w:tcW w:w="2445" w:type="dxa"/>
            <w:tcBorders>
              <w:top w:val="nil"/>
              <w:left w:val="nil"/>
              <w:bottom w:val="nil"/>
              <w:right w:val="nil"/>
            </w:tcBorders>
            <w:hideMark/>
          </w:tcPr>
          <w:p w14:paraId="37DBEF2A" w14:textId="7567D3B4" w:rsidR="009941AF" w:rsidRPr="0029398F" w:rsidRDefault="1A088E34" w:rsidP="0029398F">
            <w:pPr>
              <w:spacing w:after="0" w:line="240" w:lineRule="auto"/>
              <w:jc w:val="center"/>
              <w:rPr>
                <w:rFonts w:ascii="Times New Roman" w:hAnsi="Times New Roman" w:cs="Times New Roman"/>
              </w:rPr>
            </w:pPr>
            <w:r w:rsidRPr="0029398F">
              <w:rPr>
                <w:rFonts w:ascii="Times New Roman" w:eastAsia="Times New Roman" w:hAnsi="Times New Roman" w:cs="Times New Roman"/>
              </w:rPr>
              <w:t>May 2026</w:t>
            </w:r>
          </w:p>
        </w:tc>
        <w:tc>
          <w:tcPr>
            <w:tcW w:w="2610" w:type="dxa"/>
            <w:tcBorders>
              <w:top w:val="nil"/>
              <w:left w:val="nil"/>
              <w:bottom w:val="nil"/>
              <w:right w:val="nil"/>
            </w:tcBorders>
            <w:hideMark/>
          </w:tcPr>
          <w:p w14:paraId="0B72E18C" w14:textId="7AC27216" w:rsidR="009941AF" w:rsidRPr="0029398F" w:rsidRDefault="551AC7AF" w:rsidP="0029398F">
            <w:pPr>
              <w:spacing w:after="0" w:line="240" w:lineRule="auto"/>
              <w:jc w:val="center"/>
              <w:rPr>
                <w:rFonts w:ascii="Times New Roman" w:eastAsia="Times New Roman" w:hAnsi="Times New Roman" w:cs="Times New Roman"/>
              </w:rPr>
            </w:pPr>
            <w:r w:rsidRPr="0029398F">
              <w:rPr>
                <w:rFonts w:ascii="Times New Roman" w:eastAsia="Times New Roman" w:hAnsi="Times New Roman" w:cs="Times New Roman"/>
              </w:rPr>
              <w:t>N/A</w:t>
            </w:r>
          </w:p>
        </w:tc>
        <w:tc>
          <w:tcPr>
            <w:tcW w:w="3120" w:type="dxa"/>
            <w:tcBorders>
              <w:top w:val="nil"/>
              <w:left w:val="nil"/>
              <w:bottom w:val="nil"/>
              <w:right w:val="nil"/>
            </w:tcBorders>
          </w:tcPr>
          <w:p w14:paraId="1AD03060" w14:textId="167BF5CC" w:rsidR="2B0DAC03"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Iowa–</w:t>
            </w:r>
            <w:r w:rsidRPr="0029398F">
              <w:rPr>
                <w:rFonts w:ascii="Times New Roman" w:eastAsia="Times New Roman" w:hAnsi="Times New Roman" w:cs="Times New Roman"/>
              </w:rPr>
              <w:t>High</w:t>
            </w:r>
          </w:p>
        </w:tc>
      </w:tr>
      <w:tr w:rsidR="009941AF" w:rsidRPr="0029398F" w14:paraId="2BF3E5C9" w14:textId="77777777" w:rsidTr="008B3938">
        <w:trPr>
          <w:trHeight w:val="300"/>
        </w:trPr>
        <w:tc>
          <w:tcPr>
            <w:tcW w:w="1335" w:type="dxa"/>
            <w:tcBorders>
              <w:top w:val="nil"/>
              <w:left w:val="nil"/>
              <w:bottom w:val="single" w:sz="6" w:space="0" w:color="auto"/>
              <w:right w:val="nil"/>
            </w:tcBorders>
            <w:hideMark/>
          </w:tcPr>
          <w:p w14:paraId="5785B00A" w14:textId="5C12AED5" w:rsidR="009941AF" w:rsidRPr="0029398F" w:rsidRDefault="7F179B6D" w:rsidP="0029398F">
            <w:pPr>
              <w:spacing w:after="0" w:line="240" w:lineRule="auto"/>
              <w:jc w:val="both"/>
              <w:rPr>
                <w:rFonts w:ascii="Times New Roman" w:hAnsi="Times New Roman" w:cs="Times New Roman"/>
              </w:rPr>
            </w:pPr>
            <w:r w:rsidRPr="0029398F">
              <w:rPr>
                <w:rFonts w:ascii="Times New Roman" w:eastAsia="Times New Roman" w:hAnsi="Times New Roman" w:cs="Times New Roman"/>
                <w:color w:val="000000" w:themeColor="text1"/>
              </w:rPr>
              <w:t>Delanie</w:t>
            </w:r>
          </w:p>
        </w:tc>
        <w:tc>
          <w:tcPr>
            <w:tcW w:w="2445" w:type="dxa"/>
            <w:tcBorders>
              <w:top w:val="nil"/>
              <w:left w:val="nil"/>
              <w:bottom w:val="single" w:sz="6" w:space="0" w:color="auto"/>
              <w:right w:val="nil"/>
            </w:tcBorders>
            <w:hideMark/>
          </w:tcPr>
          <w:p w14:paraId="3EBF5550" w14:textId="508D12EA" w:rsidR="009941AF" w:rsidRPr="0029398F" w:rsidRDefault="0A30406E" w:rsidP="0029398F">
            <w:pPr>
              <w:spacing w:after="0" w:line="240" w:lineRule="auto"/>
              <w:jc w:val="center"/>
              <w:textAlignment w:val="baseline"/>
              <w:rPr>
                <w:rFonts w:ascii="Times New Roman" w:eastAsia="Times New Roman" w:hAnsi="Times New Roman" w:cs="Times New Roman"/>
              </w:rPr>
            </w:pPr>
            <w:r w:rsidRPr="0029398F">
              <w:rPr>
                <w:rFonts w:ascii="Times New Roman" w:eastAsia="Times New Roman" w:hAnsi="Times New Roman" w:cs="Times New Roman"/>
              </w:rPr>
              <w:t>December 2026</w:t>
            </w:r>
          </w:p>
        </w:tc>
        <w:tc>
          <w:tcPr>
            <w:tcW w:w="2610" w:type="dxa"/>
            <w:tcBorders>
              <w:top w:val="nil"/>
              <w:left w:val="nil"/>
              <w:bottom w:val="single" w:sz="6" w:space="0" w:color="auto"/>
              <w:right w:val="nil"/>
            </w:tcBorders>
            <w:hideMark/>
          </w:tcPr>
          <w:p w14:paraId="4D38A432" w14:textId="22E61C81" w:rsidR="009941AF" w:rsidRPr="0029398F" w:rsidRDefault="0284B82E" w:rsidP="0029398F">
            <w:pPr>
              <w:spacing w:after="0" w:line="240" w:lineRule="auto"/>
              <w:jc w:val="center"/>
              <w:rPr>
                <w:rFonts w:ascii="Times New Roman" w:eastAsia="Times New Roman" w:hAnsi="Times New Roman" w:cs="Times New Roman"/>
              </w:rPr>
            </w:pPr>
            <w:r w:rsidRPr="0029398F">
              <w:rPr>
                <w:rFonts w:ascii="Times New Roman" w:eastAsia="Times New Roman" w:hAnsi="Times New Roman" w:cs="Times New Roman"/>
              </w:rPr>
              <w:t>N/A</w:t>
            </w:r>
          </w:p>
        </w:tc>
        <w:tc>
          <w:tcPr>
            <w:tcW w:w="3120" w:type="dxa"/>
            <w:tcBorders>
              <w:top w:val="nil"/>
              <w:left w:val="nil"/>
              <w:bottom w:val="single" w:sz="6" w:space="0" w:color="auto"/>
              <w:right w:val="nil"/>
            </w:tcBorders>
          </w:tcPr>
          <w:p w14:paraId="74F2608F" w14:textId="5CF75288" w:rsidR="415ED4C9" w:rsidRPr="0029398F" w:rsidRDefault="00133E2E" w:rsidP="0029398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Iowa–</w:t>
            </w:r>
            <w:r w:rsidRPr="0029398F">
              <w:rPr>
                <w:rFonts w:ascii="Times New Roman" w:eastAsia="Times New Roman" w:hAnsi="Times New Roman" w:cs="Times New Roman"/>
              </w:rPr>
              <w:t>High</w:t>
            </w:r>
          </w:p>
        </w:tc>
      </w:tr>
    </w:tbl>
    <w:p w14:paraId="1835392B" w14:textId="70F0BD7D" w:rsidR="0029398F" w:rsidRDefault="00606F4B" w:rsidP="00AF4CFC">
      <w:pPr>
        <w:spacing w:line="240" w:lineRule="auto"/>
        <w:rPr>
          <w:rFonts w:ascii="Times New Roman" w:eastAsia="Times New Roman" w:hAnsi="Times New Roman" w:cs="Times New Roman"/>
          <w:kern w:val="0"/>
          <w14:ligatures w14:val="none"/>
        </w:rPr>
      </w:pPr>
      <w:r w:rsidRPr="009E1655">
        <w:rPr>
          <w:rFonts w:ascii="Times New Roman" w:eastAsia="Times New Roman" w:hAnsi="Times New Roman" w:cs="Times New Roman"/>
          <w:i/>
          <w:iCs/>
          <w:kern w:val="0"/>
          <w14:ligatures w14:val="none"/>
        </w:rPr>
        <w:t>Note.</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AgX</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AgXplore</w:t>
      </w:r>
      <w:proofErr w:type="spellEnd"/>
      <w:r w:rsidR="009E1655">
        <w:rPr>
          <w:rFonts w:ascii="Times New Roman" w:eastAsia="Times New Roman" w:hAnsi="Times New Roman" w:cs="Times New Roman"/>
          <w:kern w:val="0"/>
          <w14:ligatures w14:val="none"/>
        </w:rPr>
        <w:t xml:space="preserve"> Middle School</w:t>
      </w:r>
      <w:r>
        <w:rPr>
          <w:rFonts w:ascii="Times New Roman" w:eastAsia="Times New Roman" w:hAnsi="Times New Roman" w:cs="Times New Roman"/>
          <w:kern w:val="0"/>
          <w14:ligatures w14:val="none"/>
        </w:rPr>
        <w:t xml:space="preserve"> and AHVS= Animal Health and Veterinary Sciences</w:t>
      </w:r>
    </w:p>
    <w:p w14:paraId="3407BAEB" w14:textId="18C18DAE" w:rsidR="00600BFF" w:rsidRPr="00BE1DC2" w:rsidRDefault="00600BFF" w:rsidP="00AF4CFC">
      <w:pPr>
        <w:spacing w:line="240" w:lineRule="auto"/>
        <w:ind w:firstLine="720"/>
        <w:rPr>
          <w:rFonts w:ascii="Times New Roman" w:eastAsia="Times New Roman" w:hAnsi="Times New Roman" w:cs="Times New Roman"/>
          <w:kern w:val="0"/>
          <w14:ligatures w14:val="none"/>
        </w:rPr>
      </w:pPr>
      <w:r w:rsidRPr="0029398F">
        <w:rPr>
          <w:rFonts w:ascii="Times New Roman" w:eastAsia="Times New Roman" w:hAnsi="Times New Roman" w:cs="Times New Roman"/>
          <w:kern w:val="0"/>
          <w14:ligatures w14:val="none"/>
        </w:rPr>
        <w:t>Focus groups were selected as the primary data collection method to facilitate interaction, shared meaning</w:t>
      </w:r>
      <w:r>
        <w:rPr>
          <w:rFonts w:ascii="Times New Roman" w:eastAsia="Times New Roman" w:hAnsi="Times New Roman" w:cs="Times New Roman"/>
          <w:kern w:val="0"/>
          <w14:ligatures w14:val="none"/>
        </w:rPr>
        <w:t>-</w:t>
      </w:r>
      <w:r w:rsidRPr="0029398F">
        <w:rPr>
          <w:rFonts w:ascii="Times New Roman" w:eastAsia="Times New Roman" w:hAnsi="Times New Roman" w:cs="Times New Roman"/>
          <w:kern w:val="0"/>
          <w14:ligatures w14:val="none"/>
        </w:rPr>
        <w:t xml:space="preserve">making, and discussion among participants regarding their experiences with CASE, </w:t>
      </w:r>
      <w:r>
        <w:rPr>
          <w:rFonts w:ascii="Times New Roman" w:eastAsia="Times New Roman" w:hAnsi="Times New Roman" w:cs="Times New Roman"/>
          <w:kern w:val="0"/>
          <w14:ligatures w14:val="none"/>
        </w:rPr>
        <w:t>their</w:t>
      </w:r>
      <w:r w:rsidRPr="0029398F">
        <w:rPr>
          <w:rFonts w:ascii="Times New Roman" w:eastAsia="Times New Roman" w:hAnsi="Times New Roman" w:cs="Times New Roman"/>
          <w:kern w:val="0"/>
          <w14:ligatures w14:val="none"/>
        </w:rPr>
        <w:t xml:space="preserve"> use</w:t>
      </w:r>
      <w:r>
        <w:rPr>
          <w:rFonts w:ascii="Times New Roman" w:eastAsia="Times New Roman" w:hAnsi="Times New Roman" w:cs="Times New Roman"/>
          <w:kern w:val="0"/>
          <w14:ligatures w14:val="none"/>
        </w:rPr>
        <w:t xml:space="preserve"> of the curriculum</w:t>
      </w:r>
      <w:r w:rsidRPr="0029398F">
        <w:rPr>
          <w:rFonts w:ascii="Times New Roman" w:eastAsia="Times New Roman" w:hAnsi="Times New Roman" w:cs="Times New Roman"/>
          <w:kern w:val="0"/>
          <w14:ligatures w14:val="none"/>
        </w:rPr>
        <w:t xml:space="preserve">, and </w:t>
      </w:r>
      <w:r>
        <w:rPr>
          <w:rFonts w:ascii="Times New Roman" w:eastAsia="Times New Roman" w:hAnsi="Times New Roman" w:cs="Times New Roman"/>
          <w:kern w:val="0"/>
          <w14:ligatures w14:val="none"/>
        </w:rPr>
        <w:t xml:space="preserve">their </w:t>
      </w:r>
      <w:r w:rsidRPr="0029398F">
        <w:rPr>
          <w:rFonts w:ascii="Times New Roman" w:eastAsia="Times New Roman" w:hAnsi="Times New Roman" w:cs="Times New Roman"/>
          <w:kern w:val="0"/>
          <w14:ligatures w14:val="none"/>
        </w:rPr>
        <w:t xml:space="preserve">perceptions of adoption and implementation. </w:t>
      </w:r>
      <w:r>
        <w:rPr>
          <w:rFonts w:ascii="Times New Roman" w:eastAsia="Times New Roman" w:hAnsi="Times New Roman" w:cs="Times New Roman"/>
          <w:kern w:val="0"/>
          <w14:ligatures w14:val="none"/>
        </w:rPr>
        <w:t xml:space="preserve">Two of the participants opted out of getting a CASE certification offered through a pre-service integrated institute. This did not inhibit their ability to share thoughts and participate in discussion within the focus groups. </w:t>
      </w:r>
      <w:r w:rsidRPr="0029398F">
        <w:rPr>
          <w:rFonts w:ascii="Times New Roman" w:eastAsia="Times New Roman" w:hAnsi="Times New Roman" w:cs="Times New Roman"/>
          <w:kern w:val="0"/>
          <w14:ligatures w14:val="none"/>
        </w:rPr>
        <w:t xml:space="preserve">All focus groups were audio recorded and transcribed verbatim to ensure accuracy of participant responses. </w:t>
      </w:r>
    </w:p>
    <w:p w14:paraId="1FA35D40" w14:textId="1C9EA146" w:rsidR="0029398F" w:rsidRPr="0029398F" w:rsidRDefault="00600BFF" w:rsidP="00AF4CFC">
      <w:pPr>
        <w:spacing w:line="24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Data were analyzed using thematic analysis which </w:t>
      </w:r>
      <w:r w:rsidR="00BE1DC2" w:rsidRPr="00BE1DC2">
        <w:rPr>
          <w:rFonts w:ascii="Times New Roman" w:eastAsia="Times New Roman" w:hAnsi="Times New Roman" w:cs="Times New Roman"/>
          <w:kern w:val="0"/>
          <w14:ligatures w14:val="none"/>
        </w:rPr>
        <w:t xml:space="preserve">occurred across multiple cycles. First, transcripts were read in full to support familiarization with the data. </w:t>
      </w:r>
      <w:r w:rsidR="00133E2E">
        <w:rPr>
          <w:rFonts w:ascii="Times New Roman" w:eastAsia="Times New Roman" w:hAnsi="Times New Roman" w:cs="Times New Roman"/>
          <w:kern w:val="0"/>
          <w14:ligatures w14:val="none"/>
        </w:rPr>
        <w:t xml:space="preserve">Initial open coding was used to identify participant meanings within each case, followed by focused coding to refine categories and develop themes. Themes were then compared across cases to identify convergences and divergences. Theoretical constructs from Diffusion of Innovation and IBL served as sensitizing concepts during interpretation rather than predetermined coding bins. </w:t>
      </w:r>
      <w:r>
        <w:rPr>
          <w:rFonts w:ascii="Times New Roman" w:eastAsia="Times New Roman" w:hAnsi="Times New Roman" w:cs="Times New Roman"/>
          <w:kern w:val="0"/>
          <w14:ligatures w14:val="none"/>
        </w:rPr>
        <w:t>This</w:t>
      </w:r>
      <w:r w:rsidRPr="00BE1DC2">
        <w:rPr>
          <w:rFonts w:ascii="Times New Roman" w:eastAsia="Times New Roman" w:hAnsi="Times New Roman" w:cs="Times New Roman"/>
          <w:kern w:val="0"/>
          <w14:ligatures w14:val="none"/>
        </w:rPr>
        <w:t xml:space="preserve"> allowed themes and patterns to emerge naturally from the data, while also attending to sensitizing concepts drawn from the study’s theoretical and conceptual framework.</w:t>
      </w:r>
    </w:p>
    <w:p w14:paraId="6E777947" w14:textId="77777777" w:rsidR="00AF4CFC" w:rsidRPr="0029398F" w:rsidRDefault="00600BFF" w:rsidP="00AF4CFC">
      <w:pPr>
        <w:spacing w:line="240" w:lineRule="auto"/>
        <w:ind w:firstLine="720"/>
        <w:rPr>
          <w:rFonts w:ascii="Times New Roman" w:eastAsia="Times New Roman" w:hAnsi="Times New Roman" w:cs="Times New Roman"/>
          <w:kern w:val="0"/>
          <w14:ligatures w14:val="none"/>
        </w:rPr>
      </w:pPr>
      <w:r w:rsidRPr="00600BFF">
        <w:rPr>
          <w:rFonts w:ascii="Times New Roman" w:eastAsia="Times New Roman" w:hAnsi="Times New Roman" w:cs="Times New Roman"/>
          <w:kern w:val="0"/>
          <w14:ligatures w14:val="none"/>
        </w:rPr>
        <w:t xml:space="preserve">Trustworthiness and rigor were established in alignment with Lincoln and Guba’s (1985) criteria of credibility, dependability, confirmability, and transferability. Credibility was supported through prolonged engagement with the data, iterative inductive and deductive thematic analysis, and peer debriefing to test emerging interpretations. Dependability and confirmability were enhanced through systematic analytic procedures, including constant comparative analysis across high- and low-adoption cases and the use of analytic memos to document coding decisions and interpretive shifts. Transferability was addressed through thick description and verbatim participant quotes, enabling readers to determine relevance to similar contexts. </w:t>
      </w:r>
      <w:r w:rsidR="00AF4CFC" w:rsidRPr="00AF4CFC">
        <w:rPr>
          <w:rFonts w:ascii="Times New Roman" w:eastAsia="Times New Roman" w:hAnsi="Times New Roman" w:cs="Times New Roman"/>
          <w:kern w:val="0"/>
          <w14:ligatures w14:val="none"/>
        </w:rPr>
        <w:t>This study should be considered considering several limitations</w:t>
      </w:r>
      <w:r w:rsidR="00AF4CFC">
        <w:rPr>
          <w:rFonts w:ascii="Times New Roman" w:eastAsia="Times New Roman" w:hAnsi="Times New Roman" w:cs="Times New Roman"/>
          <w:kern w:val="0"/>
          <w14:ligatures w14:val="none"/>
        </w:rPr>
        <w:t xml:space="preserve"> including self-selection bias and variation in CASE exposure</w:t>
      </w:r>
      <w:r w:rsidR="00AF4CFC" w:rsidRPr="00AF4CFC">
        <w:rPr>
          <w:rFonts w:ascii="Times New Roman" w:eastAsia="Times New Roman" w:hAnsi="Times New Roman" w:cs="Times New Roman"/>
          <w:kern w:val="0"/>
          <w14:ligatures w14:val="none"/>
        </w:rPr>
        <w:t>. Finally, as with all qualitative research, findings are context-specific and intended to provide depth of understanding rather than generalizability.</w:t>
      </w:r>
    </w:p>
    <w:p w14:paraId="1BF8E0E5" w14:textId="78748C2E" w:rsidR="0029398F" w:rsidRDefault="00600BFF" w:rsidP="003F5EA0">
      <w:pPr>
        <w:spacing w:line="240" w:lineRule="auto"/>
        <w:ind w:firstLine="720"/>
        <w:rPr>
          <w:rFonts w:ascii="Times New Roman" w:eastAsia="Times New Roman" w:hAnsi="Times New Roman" w:cs="Times New Roman"/>
          <w:kern w:val="0"/>
          <w14:ligatures w14:val="none"/>
        </w:rPr>
      </w:pPr>
      <w:r w:rsidRPr="00600BFF">
        <w:rPr>
          <w:rFonts w:ascii="Times New Roman" w:eastAsia="Times New Roman" w:hAnsi="Times New Roman" w:cs="Times New Roman"/>
          <w:kern w:val="0"/>
          <w14:ligatures w14:val="none"/>
        </w:rPr>
        <w:t xml:space="preserve">The study was guided by a constructivist epistemology, recognizing that participants’ understandings of inquiry-based </w:t>
      </w:r>
      <w:r w:rsidR="003F5EA0">
        <w:rPr>
          <w:rFonts w:ascii="Times New Roman" w:eastAsia="Times New Roman" w:hAnsi="Times New Roman" w:cs="Times New Roman"/>
          <w:kern w:val="0"/>
          <w14:ligatures w14:val="none"/>
        </w:rPr>
        <w:t>science instruction</w:t>
      </w:r>
      <w:r w:rsidRPr="00600BFF">
        <w:rPr>
          <w:rFonts w:ascii="Times New Roman" w:eastAsia="Times New Roman" w:hAnsi="Times New Roman" w:cs="Times New Roman"/>
          <w:kern w:val="0"/>
          <w14:ligatures w14:val="none"/>
        </w:rPr>
        <w:t xml:space="preserve"> were socially constructed through their experiences in SBAE and CASE-related settings. The researchers’ positionality as agricultural education scholars with CASE experience </w:t>
      </w:r>
      <w:r w:rsidR="003F5EA0" w:rsidRPr="00600BFF">
        <w:rPr>
          <w:rFonts w:ascii="Times New Roman" w:eastAsia="Times New Roman" w:hAnsi="Times New Roman" w:cs="Times New Roman"/>
          <w:kern w:val="0"/>
          <w14:ligatures w14:val="none"/>
        </w:rPr>
        <w:t>were</w:t>
      </w:r>
      <w:r w:rsidRPr="00600BFF">
        <w:rPr>
          <w:rFonts w:ascii="Times New Roman" w:eastAsia="Times New Roman" w:hAnsi="Times New Roman" w:cs="Times New Roman"/>
          <w:kern w:val="0"/>
          <w14:ligatures w14:val="none"/>
        </w:rPr>
        <w:t xml:space="preserve"> acknowledged and reflexively examined to mitigate bias and strengthen analytic transparency.</w:t>
      </w:r>
    </w:p>
    <w:p w14:paraId="49AC0504" w14:textId="04C68B9E" w:rsidR="0029398F" w:rsidRPr="0029398F" w:rsidRDefault="009941AF" w:rsidP="00EE43D4">
      <w:pPr>
        <w:spacing w:after="0" w:line="240" w:lineRule="auto"/>
        <w:jc w:val="center"/>
        <w:rPr>
          <w:rFonts w:ascii="Times New Roman" w:eastAsia="Times New Roman" w:hAnsi="Times New Roman" w:cs="Times New Roman"/>
          <w:b/>
          <w:bCs/>
          <w:kern w:val="0"/>
          <w14:ligatures w14:val="none"/>
        </w:rPr>
      </w:pPr>
      <w:r w:rsidRPr="0029398F">
        <w:rPr>
          <w:rFonts w:ascii="Times New Roman" w:eastAsia="Times New Roman" w:hAnsi="Times New Roman" w:cs="Times New Roman"/>
          <w:b/>
          <w:bCs/>
          <w:kern w:val="0"/>
          <w14:ligatures w14:val="none"/>
        </w:rPr>
        <w:lastRenderedPageBreak/>
        <w:t>Findings</w:t>
      </w:r>
    </w:p>
    <w:p w14:paraId="70C818C7" w14:textId="5549B6D5" w:rsidR="75902F99" w:rsidRPr="0029398F" w:rsidRDefault="75902F99" w:rsidP="0029398F">
      <w:pPr>
        <w:spacing w:after="0" w:line="240" w:lineRule="auto"/>
        <w:rPr>
          <w:rFonts w:ascii="Times New Roman" w:eastAsia="Times New Roman" w:hAnsi="Times New Roman" w:cs="Times New Roman"/>
          <w:b/>
          <w:bCs/>
        </w:rPr>
      </w:pPr>
      <w:r w:rsidRPr="0029398F">
        <w:rPr>
          <w:rFonts w:ascii="Times New Roman" w:eastAsia="Times New Roman" w:hAnsi="Times New Roman" w:cs="Times New Roman"/>
          <w:b/>
          <w:bCs/>
        </w:rPr>
        <w:t>Context and Previous Experiences Influenced Attitudes Towards CASE</w:t>
      </w:r>
    </w:p>
    <w:p w14:paraId="02C7AC29" w14:textId="0C031450" w:rsidR="0029398F" w:rsidRPr="00AF4CFC" w:rsidRDefault="0DD2BEC0"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Pre-service teachers’ perceptions of CASE were strongly shaped by their prior exposure to the curriculum and the educational contexts in which that exposure occurred. Participants’ attitudes toward CASE developed well before formal teaching practice and were influenced by when, where, and how they encountered CASE as students or pre-service teachers. Differences between high- and low-CASE adoption contexts played a critical role in shaping how participants formed, reinforced, and negotiated their perceptions of CASE, inquiry-based learning, and science integration within </w:t>
      </w:r>
      <w:r w:rsidR="00E41868">
        <w:rPr>
          <w:rFonts w:ascii="Times New Roman" w:eastAsia="Times New Roman" w:hAnsi="Times New Roman" w:cs="Times New Roman"/>
        </w:rPr>
        <w:t>SBAE</w:t>
      </w:r>
      <w:r w:rsidRPr="0029398F">
        <w:rPr>
          <w:rFonts w:ascii="Times New Roman" w:eastAsia="Times New Roman" w:hAnsi="Times New Roman" w:cs="Times New Roman"/>
        </w:rPr>
        <w:t>.</w:t>
      </w:r>
    </w:p>
    <w:p w14:paraId="2A3E4CC2" w14:textId="048C7F83" w:rsidR="0029398F" w:rsidRPr="0029398F" w:rsidRDefault="0DD2BEC0"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Participants from </w:t>
      </w:r>
      <w:r w:rsidR="00133E2E">
        <w:rPr>
          <w:rFonts w:ascii="Times New Roman" w:eastAsia="Times New Roman" w:hAnsi="Times New Roman" w:cs="Times New Roman"/>
        </w:rPr>
        <w:t>Iowa</w:t>
      </w:r>
      <w:r w:rsidRPr="0029398F">
        <w:rPr>
          <w:rFonts w:ascii="Times New Roman" w:eastAsia="Times New Roman" w:hAnsi="Times New Roman" w:cs="Times New Roman"/>
        </w:rPr>
        <w:t xml:space="preserve"> reported little to no prior awareness of CASE before participating in teacher preparation coursework or certification experiences. As a result, these pre-service teachers often formed initial perceptions of CASE independently, without substantial influence from in-service teachers or classroom observations. Elise reflected on this limited exposure, noting, “I think that we did our CASE certification really before we got out to classrooms a whole bunch.</w:t>
      </w:r>
      <w:r w:rsidR="2C9CB1C7" w:rsidRPr="0029398F">
        <w:rPr>
          <w:rFonts w:ascii="Times New Roman" w:eastAsia="Times New Roman" w:hAnsi="Times New Roman" w:cs="Times New Roman"/>
        </w:rPr>
        <w:t xml:space="preserve"> </w:t>
      </w:r>
      <w:r w:rsidR="1BD4BA17" w:rsidRPr="0029398F">
        <w:rPr>
          <w:rFonts w:ascii="Times New Roman" w:eastAsia="Times New Roman" w:hAnsi="Times New Roman" w:cs="Times New Roman"/>
        </w:rPr>
        <w:t>S</w:t>
      </w:r>
      <w:r w:rsidRPr="0029398F">
        <w:rPr>
          <w:rFonts w:ascii="Times New Roman" w:eastAsia="Times New Roman" w:hAnsi="Times New Roman" w:cs="Times New Roman"/>
        </w:rPr>
        <w:t xml:space="preserve">peaking for myself, but I made my own opinion about CASE before I ever talked to any other teachers about it.” Similarly, Emerson explained that their lack of familiarity allowed them to approach CASE without preconceived expectations: </w:t>
      </w:r>
      <w:r w:rsidRPr="0029398F">
        <w:rPr>
          <w:rFonts w:ascii="Times New Roman" w:eastAsia="Times New Roman" w:hAnsi="Times New Roman" w:cs="Times New Roman"/>
          <w:i/>
          <w:iCs/>
        </w:rPr>
        <w:t>“</w:t>
      </w:r>
      <w:r w:rsidRPr="0029398F">
        <w:rPr>
          <w:rFonts w:ascii="Times New Roman" w:eastAsia="Times New Roman" w:hAnsi="Times New Roman" w:cs="Times New Roman"/>
        </w:rPr>
        <w:t xml:space="preserve">I had no idea what CASE was prior and being able to make </w:t>
      </w:r>
      <w:r w:rsidR="0A317495" w:rsidRPr="0029398F">
        <w:rPr>
          <w:rFonts w:ascii="Times New Roman" w:eastAsia="Times New Roman" w:hAnsi="Times New Roman" w:cs="Times New Roman"/>
        </w:rPr>
        <w:t xml:space="preserve">my own opinion </w:t>
      </w:r>
      <w:r w:rsidRPr="0029398F">
        <w:rPr>
          <w:rFonts w:ascii="Times New Roman" w:eastAsia="Times New Roman" w:hAnsi="Times New Roman" w:cs="Times New Roman"/>
        </w:rPr>
        <w:t>on that rather than going into it like</w:t>
      </w:r>
      <w:r w:rsidR="160E8A85" w:rsidRPr="0029398F">
        <w:rPr>
          <w:rFonts w:ascii="Times New Roman" w:eastAsia="Times New Roman" w:hAnsi="Times New Roman" w:cs="Times New Roman"/>
        </w:rPr>
        <w:t xml:space="preserve"> ‘</w:t>
      </w:r>
      <w:r w:rsidRPr="0029398F">
        <w:rPr>
          <w:rFonts w:ascii="Times New Roman" w:eastAsia="Times New Roman" w:hAnsi="Times New Roman" w:cs="Times New Roman"/>
        </w:rPr>
        <w:t>oh, this is going to be amazing</w:t>
      </w:r>
      <w:r w:rsidR="4329E55E" w:rsidRPr="0029398F">
        <w:rPr>
          <w:rFonts w:ascii="Times New Roman" w:eastAsia="Times New Roman" w:hAnsi="Times New Roman" w:cs="Times New Roman"/>
        </w:rPr>
        <w:t>’ ...</w:t>
      </w:r>
      <w:r w:rsidRPr="0029398F">
        <w:rPr>
          <w:rFonts w:ascii="Times New Roman" w:eastAsia="Times New Roman" w:hAnsi="Times New Roman" w:cs="Times New Roman"/>
        </w:rPr>
        <w:t xml:space="preserve"> or </w:t>
      </w:r>
      <w:r w:rsidR="7E291F87" w:rsidRPr="0029398F">
        <w:rPr>
          <w:rFonts w:ascii="Times New Roman" w:eastAsia="Times New Roman" w:hAnsi="Times New Roman" w:cs="Times New Roman"/>
        </w:rPr>
        <w:t>‘</w:t>
      </w:r>
      <w:r w:rsidRPr="0029398F">
        <w:rPr>
          <w:rFonts w:ascii="Times New Roman" w:eastAsia="Times New Roman" w:hAnsi="Times New Roman" w:cs="Times New Roman"/>
        </w:rPr>
        <w:t>man, this is going to suck</w:t>
      </w:r>
      <w:r w:rsidR="20C8DD26" w:rsidRPr="0029398F">
        <w:rPr>
          <w:rFonts w:ascii="Times New Roman" w:eastAsia="Times New Roman" w:hAnsi="Times New Roman" w:cs="Times New Roman"/>
        </w:rPr>
        <w:t>’</w:t>
      </w:r>
      <w:r w:rsidRPr="0029398F">
        <w:rPr>
          <w:rFonts w:ascii="Times New Roman" w:eastAsia="Times New Roman" w:hAnsi="Times New Roman" w:cs="Times New Roman"/>
        </w:rPr>
        <w:t>”</w:t>
      </w:r>
    </w:p>
    <w:p w14:paraId="0A11BA46" w14:textId="1E5674FB" w:rsidR="0029398F" w:rsidRPr="00AF4CFC" w:rsidRDefault="26F5B4E2"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In contrast, participants from </w:t>
      </w:r>
      <w:r w:rsidR="00133E2E">
        <w:rPr>
          <w:rFonts w:ascii="Times New Roman" w:eastAsia="Times New Roman" w:hAnsi="Times New Roman" w:cs="Times New Roman"/>
        </w:rPr>
        <w:t xml:space="preserve">Georgia </w:t>
      </w:r>
      <w:r w:rsidRPr="0029398F">
        <w:rPr>
          <w:rFonts w:ascii="Times New Roman" w:eastAsia="Times New Roman" w:hAnsi="Times New Roman" w:cs="Times New Roman"/>
        </w:rPr>
        <w:t>described earlier and more frequent exposure to CASE, often beginning in high school or during early field experiences. Nolan recalled his first conscious encounter with CASE during an observation placement</w:t>
      </w:r>
      <w:r w:rsidR="64549C87" w:rsidRPr="0029398F">
        <w:rPr>
          <w:rFonts w:ascii="Times New Roman" w:eastAsia="Times New Roman" w:hAnsi="Times New Roman" w:cs="Times New Roman"/>
        </w:rPr>
        <w:t xml:space="preserve"> in his second year of college</w:t>
      </w:r>
      <w:r w:rsidRPr="0029398F">
        <w:rPr>
          <w:rFonts w:ascii="Times New Roman" w:eastAsia="Times New Roman" w:hAnsi="Times New Roman" w:cs="Times New Roman"/>
        </w:rPr>
        <w:t xml:space="preserve">, stating, </w:t>
      </w:r>
      <w:r w:rsidRPr="0029398F">
        <w:rPr>
          <w:rFonts w:ascii="Times New Roman" w:eastAsia="Times New Roman" w:hAnsi="Times New Roman" w:cs="Times New Roman"/>
          <w:i/>
          <w:iCs/>
        </w:rPr>
        <w:t>“</w:t>
      </w:r>
      <w:r w:rsidRPr="0029398F">
        <w:rPr>
          <w:rFonts w:ascii="Times New Roman" w:eastAsia="Times New Roman" w:hAnsi="Times New Roman" w:cs="Times New Roman"/>
        </w:rPr>
        <w:t>I did an observation at a high school</w:t>
      </w:r>
      <w:r w:rsidR="68AA1C63" w:rsidRPr="0029398F">
        <w:rPr>
          <w:rFonts w:ascii="Times New Roman" w:eastAsia="Times New Roman" w:hAnsi="Times New Roman" w:cs="Times New Roman"/>
        </w:rPr>
        <w:t>...</w:t>
      </w:r>
      <w:r w:rsidRPr="0029398F">
        <w:rPr>
          <w:rFonts w:ascii="Times New Roman" w:eastAsia="Times New Roman" w:hAnsi="Times New Roman" w:cs="Times New Roman"/>
        </w:rPr>
        <w:t xml:space="preserve"> </w:t>
      </w:r>
      <w:r w:rsidR="6B0AEE5D" w:rsidRPr="0029398F">
        <w:rPr>
          <w:rFonts w:ascii="Times New Roman" w:eastAsia="Times New Roman" w:hAnsi="Times New Roman" w:cs="Times New Roman"/>
        </w:rPr>
        <w:t>T</w:t>
      </w:r>
      <w:r w:rsidRPr="0029398F">
        <w:rPr>
          <w:rFonts w:ascii="Times New Roman" w:eastAsia="Times New Roman" w:hAnsi="Times New Roman" w:cs="Times New Roman"/>
        </w:rPr>
        <w:t>hat was my first exposure to CASE</w:t>
      </w:r>
      <w:r w:rsidR="70C712DE" w:rsidRPr="0029398F">
        <w:rPr>
          <w:rFonts w:ascii="Times New Roman" w:eastAsia="Times New Roman" w:hAnsi="Times New Roman" w:cs="Times New Roman"/>
        </w:rPr>
        <w:t>...</w:t>
      </w:r>
      <w:r w:rsidRPr="0029398F">
        <w:rPr>
          <w:rFonts w:ascii="Times New Roman" w:eastAsia="Times New Roman" w:hAnsi="Times New Roman" w:cs="Times New Roman"/>
        </w:rPr>
        <w:t xml:space="preserve"> I guess I might have seen it like before, but was like actually cognizant, like knew what it was.</w:t>
      </w:r>
      <w:r w:rsidRPr="0029398F">
        <w:rPr>
          <w:rFonts w:ascii="Times New Roman" w:eastAsia="Times New Roman" w:hAnsi="Times New Roman" w:cs="Times New Roman"/>
          <w:i/>
          <w:iCs/>
        </w:rPr>
        <w:t>”</w:t>
      </w:r>
      <w:r w:rsidRPr="0029398F">
        <w:rPr>
          <w:rFonts w:ascii="Times New Roman" w:eastAsia="Times New Roman" w:hAnsi="Times New Roman" w:cs="Times New Roman"/>
        </w:rPr>
        <w:t xml:space="preserve"> For </w:t>
      </w:r>
      <w:r w:rsidR="452DEC10" w:rsidRPr="0029398F">
        <w:rPr>
          <w:rFonts w:ascii="Times New Roman" w:eastAsia="Times New Roman" w:hAnsi="Times New Roman" w:cs="Times New Roman"/>
        </w:rPr>
        <w:t>two</w:t>
      </w:r>
      <w:r w:rsidRPr="0029398F">
        <w:rPr>
          <w:rFonts w:ascii="Times New Roman" w:eastAsia="Times New Roman" w:hAnsi="Times New Roman" w:cs="Times New Roman"/>
        </w:rPr>
        <w:t xml:space="preserve"> participants, CASE was the dominant or exclusive instructional framework in their secondary experiences. Delanie shared, </w:t>
      </w:r>
      <w:r w:rsidRPr="0029398F">
        <w:rPr>
          <w:rFonts w:ascii="Times New Roman" w:eastAsia="Times New Roman" w:hAnsi="Times New Roman" w:cs="Times New Roman"/>
          <w:i/>
          <w:iCs/>
        </w:rPr>
        <w:t>“</w:t>
      </w:r>
      <w:r w:rsidRPr="0029398F">
        <w:rPr>
          <w:rFonts w:ascii="Times New Roman" w:eastAsia="Times New Roman" w:hAnsi="Times New Roman" w:cs="Times New Roman"/>
        </w:rPr>
        <w:t xml:space="preserve">we did use CASE and exclusively CASE. </w:t>
      </w:r>
      <w:r w:rsidR="00D8632E" w:rsidRPr="0029398F">
        <w:rPr>
          <w:rFonts w:ascii="Times New Roman" w:eastAsia="Times New Roman" w:hAnsi="Times New Roman" w:cs="Times New Roman"/>
        </w:rPr>
        <w:t>So,</w:t>
      </w:r>
      <w:r w:rsidRPr="0029398F">
        <w:rPr>
          <w:rFonts w:ascii="Times New Roman" w:eastAsia="Times New Roman" w:hAnsi="Times New Roman" w:cs="Times New Roman"/>
        </w:rPr>
        <w:t xml:space="preserve"> when I served as a state officer</w:t>
      </w:r>
      <w:r w:rsidR="00133E2E">
        <w:rPr>
          <w:rFonts w:ascii="Times New Roman" w:eastAsia="Times New Roman" w:hAnsi="Times New Roman" w:cs="Times New Roman"/>
        </w:rPr>
        <w:t>…</w:t>
      </w:r>
      <w:r w:rsidRPr="0029398F">
        <w:rPr>
          <w:rFonts w:ascii="Times New Roman" w:eastAsia="Times New Roman" w:hAnsi="Times New Roman" w:cs="Times New Roman"/>
        </w:rPr>
        <w:t>I started to go to other schools and realized that there's more than CASE. That was really eye opening for me.”</w:t>
      </w:r>
    </w:p>
    <w:p w14:paraId="2B6AA84E" w14:textId="2DDC397C" w:rsidR="269C5903" w:rsidRPr="0029398F" w:rsidRDefault="269C5903" w:rsidP="0029398F">
      <w:pPr>
        <w:spacing w:after="0" w:line="240" w:lineRule="auto"/>
        <w:rPr>
          <w:rFonts w:ascii="Times New Roman" w:eastAsia="Times New Roman" w:hAnsi="Times New Roman" w:cs="Times New Roman"/>
          <w:b/>
          <w:bCs/>
          <w:i/>
          <w:iCs/>
        </w:rPr>
      </w:pPr>
      <w:r w:rsidRPr="0029398F">
        <w:rPr>
          <w:rFonts w:ascii="Times New Roman" w:eastAsia="Times New Roman" w:hAnsi="Times New Roman" w:cs="Times New Roman"/>
          <w:b/>
          <w:bCs/>
          <w:i/>
          <w:iCs/>
        </w:rPr>
        <w:t xml:space="preserve">Positive and Negative </w:t>
      </w:r>
      <w:r w:rsidR="75902F99" w:rsidRPr="0029398F">
        <w:rPr>
          <w:rFonts w:ascii="Times New Roman" w:eastAsia="Times New Roman" w:hAnsi="Times New Roman" w:cs="Times New Roman"/>
          <w:b/>
          <w:bCs/>
          <w:i/>
          <w:iCs/>
        </w:rPr>
        <w:t>Perceptions</w:t>
      </w:r>
    </w:p>
    <w:p w14:paraId="2EA7071D" w14:textId="187391F9" w:rsidR="00D8632E" w:rsidRPr="00D8632E" w:rsidRDefault="130CC321"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Participants from </w:t>
      </w:r>
      <w:r w:rsidR="00133E2E">
        <w:rPr>
          <w:rFonts w:ascii="Times New Roman" w:eastAsia="Times New Roman" w:hAnsi="Times New Roman" w:cs="Times New Roman"/>
        </w:rPr>
        <w:t>Georgia</w:t>
      </w:r>
      <w:r w:rsidRPr="0029398F">
        <w:rPr>
          <w:rFonts w:ascii="Times New Roman" w:eastAsia="Times New Roman" w:hAnsi="Times New Roman" w:cs="Times New Roman"/>
        </w:rPr>
        <w:t xml:space="preserve"> articulated mostly positive perceptions of CASE related to its hands-on nature, inquiry-oriented structure, and usefulness as a resource for supporting STEM integration. </w:t>
      </w:r>
      <w:r w:rsidR="4FCD087A" w:rsidRPr="0029398F">
        <w:rPr>
          <w:rFonts w:ascii="Times New Roman" w:eastAsia="Times New Roman" w:hAnsi="Times New Roman" w:cs="Times New Roman"/>
        </w:rPr>
        <w:t>Camille described how CASE lessons intentionally foster student curiosity, explaining, “I think CASE is really creative with like naming their lessons and like the little purpose of the lesson to like get the kids like inspire their curiosity and stuff.” Reese emphasized the engaging nature of the curriculum, stating, “I loved CASE. I thought it was wonderful. I thought it was everything was super hands on, super engaging.” Others highlighted CASE as a support tool, particularly in content areas where teachers felt less confident. Sadie noted, “</w:t>
      </w:r>
      <w:r w:rsidR="35B3FB4C" w:rsidRPr="0029398F">
        <w:rPr>
          <w:rFonts w:ascii="Times New Roman" w:eastAsia="Times New Roman" w:hAnsi="Times New Roman" w:cs="Times New Roman"/>
        </w:rPr>
        <w:t>[CASE]</w:t>
      </w:r>
      <w:r w:rsidR="4FCD087A" w:rsidRPr="0029398F">
        <w:rPr>
          <w:rFonts w:ascii="Times New Roman" w:eastAsia="Times New Roman" w:hAnsi="Times New Roman" w:cs="Times New Roman"/>
        </w:rPr>
        <w:t xml:space="preserve"> also helps you like if I'm stuck on a </w:t>
      </w:r>
      <w:proofErr w:type="gramStart"/>
      <w:r w:rsidR="4FCD087A" w:rsidRPr="0029398F">
        <w:rPr>
          <w:rFonts w:ascii="Times New Roman" w:eastAsia="Times New Roman" w:hAnsi="Times New Roman" w:cs="Times New Roman"/>
        </w:rPr>
        <w:t>lesson</w:t>
      </w:r>
      <w:proofErr w:type="gramEnd"/>
      <w:r w:rsidR="4FCD087A" w:rsidRPr="0029398F">
        <w:rPr>
          <w:rFonts w:ascii="Times New Roman" w:eastAsia="Times New Roman" w:hAnsi="Times New Roman" w:cs="Times New Roman"/>
        </w:rPr>
        <w:t xml:space="preserve"> I don't know a lot about or have some question areas, I can kind of look at those and be like, </w:t>
      </w:r>
      <w:r w:rsidR="788FC2F1" w:rsidRPr="0029398F">
        <w:rPr>
          <w:rFonts w:ascii="Times New Roman" w:eastAsia="Times New Roman" w:hAnsi="Times New Roman" w:cs="Times New Roman"/>
        </w:rPr>
        <w:t>‘</w:t>
      </w:r>
      <w:r w:rsidR="4FCD087A" w:rsidRPr="0029398F">
        <w:rPr>
          <w:rFonts w:ascii="Times New Roman" w:eastAsia="Times New Roman" w:hAnsi="Times New Roman" w:cs="Times New Roman"/>
        </w:rPr>
        <w:t>well, these are some activities I could do.</w:t>
      </w:r>
      <w:r w:rsidR="35E51358" w:rsidRPr="0029398F">
        <w:rPr>
          <w:rFonts w:ascii="Times New Roman" w:eastAsia="Times New Roman" w:hAnsi="Times New Roman" w:cs="Times New Roman"/>
        </w:rPr>
        <w:t>’</w:t>
      </w:r>
      <w:r w:rsidR="4FCD087A" w:rsidRPr="0029398F">
        <w:rPr>
          <w:rFonts w:ascii="Times New Roman" w:eastAsia="Times New Roman" w:hAnsi="Times New Roman" w:cs="Times New Roman"/>
        </w:rPr>
        <w:t xml:space="preserve">” </w:t>
      </w:r>
      <w:r w:rsidR="6F6C4230" w:rsidRPr="0029398F">
        <w:rPr>
          <w:rFonts w:ascii="Times New Roman" w:eastAsia="Times New Roman" w:hAnsi="Times New Roman" w:cs="Times New Roman"/>
        </w:rPr>
        <w:t xml:space="preserve">Although not as prominent in the focus group discussion, a few positive sentiments were shared about CASE from participants </w:t>
      </w:r>
      <w:r w:rsidR="00133E2E">
        <w:rPr>
          <w:rFonts w:ascii="Times New Roman" w:eastAsia="Times New Roman" w:hAnsi="Times New Roman" w:cs="Times New Roman"/>
        </w:rPr>
        <w:t>Georgia</w:t>
      </w:r>
      <w:r w:rsidR="38C07A89" w:rsidRPr="0029398F">
        <w:rPr>
          <w:rFonts w:ascii="Times New Roman" w:eastAsia="Times New Roman" w:hAnsi="Times New Roman" w:cs="Times New Roman"/>
        </w:rPr>
        <w:t xml:space="preserve"> Callie appreciated CASE’s structure, especially for advanced projects, sharing, </w:t>
      </w:r>
      <w:r w:rsidR="4A9D52D7" w:rsidRPr="0029398F">
        <w:rPr>
          <w:rFonts w:ascii="Times New Roman" w:eastAsia="Times New Roman" w:hAnsi="Times New Roman" w:cs="Times New Roman"/>
        </w:rPr>
        <w:t xml:space="preserve">“I really appreciate like the multiple day labs to get a sense of like l what I could do for advanced </w:t>
      </w:r>
      <w:r w:rsidR="000E4539">
        <w:rPr>
          <w:rFonts w:ascii="Times New Roman" w:eastAsia="Times New Roman" w:hAnsi="Times New Roman" w:cs="Times New Roman"/>
        </w:rPr>
        <w:t>p</w:t>
      </w:r>
      <w:r w:rsidR="4A9D52D7" w:rsidRPr="0029398F">
        <w:rPr>
          <w:rFonts w:ascii="Times New Roman" w:eastAsia="Times New Roman" w:hAnsi="Times New Roman" w:cs="Times New Roman"/>
        </w:rPr>
        <w:t>rojects.”</w:t>
      </w:r>
    </w:p>
    <w:p w14:paraId="4B6CFB6D" w14:textId="6931F2A4" w:rsidR="0029398F" w:rsidRPr="0029398F" w:rsidRDefault="7C8A8CB5"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lastRenderedPageBreak/>
        <w:t>Despite these positive views, many participants, primarily within</w:t>
      </w:r>
      <w:r w:rsidR="003502DA">
        <w:rPr>
          <w:rFonts w:ascii="Times New Roman" w:eastAsia="Times New Roman" w:hAnsi="Times New Roman" w:cs="Times New Roman"/>
        </w:rPr>
        <w:t xml:space="preserve"> Iowa,</w:t>
      </w:r>
      <w:r w:rsidRPr="0029398F">
        <w:rPr>
          <w:rFonts w:ascii="Times New Roman" w:eastAsia="Times New Roman" w:hAnsi="Times New Roman" w:cs="Times New Roman"/>
        </w:rPr>
        <w:t xml:space="preserve"> expressed concerns about CASE when it was enacted in rigid or overly scripted ways. These negative perceptions were most often </w:t>
      </w:r>
      <w:r w:rsidR="008259D8">
        <w:rPr>
          <w:rFonts w:ascii="Times New Roman" w:eastAsia="Times New Roman" w:hAnsi="Times New Roman" w:cs="Times New Roman"/>
        </w:rPr>
        <w:t>associated with</w:t>
      </w:r>
      <w:r w:rsidRPr="0029398F">
        <w:rPr>
          <w:rFonts w:ascii="Times New Roman" w:eastAsia="Times New Roman" w:hAnsi="Times New Roman" w:cs="Times New Roman"/>
        </w:rPr>
        <w:t xml:space="preserve"> classroom experiences </w:t>
      </w:r>
      <w:r w:rsidR="008259D8">
        <w:rPr>
          <w:rFonts w:ascii="Times New Roman" w:eastAsia="Times New Roman" w:hAnsi="Times New Roman" w:cs="Times New Roman"/>
        </w:rPr>
        <w:t>in which</w:t>
      </w:r>
      <w:r w:rsidRPr="0029398F">
        <w:rPr>
          <w:rFonts w:ascii="Times New Roman" w:eastAsia="Times New Roman" w:hAnsi="Times New Roman" w:cs="Times New Roman"/>
        </w:rPr>
        <w:t xml:space="preserve"> CASE was perceived as limiting teacher</w:t>
      </w:r>
      <w:r w:rsidR="008259D8">
        <w:rPr>
          <w:rFonts w:ascii="Times New Roman" w:eastAsia="Times New Roman" w:hAnsi="Times New Roman" w:cs="Times New Roman"/>
        </w:rPr>
        <w:t>s’</w:t>
      </w:r>
      <w:r w:rsidRPr="0029398F">
        <w:rPr>
          <w:rFonts w:ascii="Times New Roman" w:eastAsia="Times New Roman" w:hAnsi="Times New Roman" w:cs="Times New Roman"/>
        </w:rPr>
        <w:t xml:space="preserve"> creativity or as a substitute for intentional instruction. Nolan described observing CASE being used verbatim, explaining, “And that teacher like used it just </w:t>
      </w:r>
      <w:r w:rsidR="1A9E5844" w:rsidRPr="0029398F">
        <w:rPr>
          <w:rFonts w:ascii="Times New Roman" w:eastAsia="Times New Roman" w:hAnsi="Times New Roman" w:cs="Times New Roman"/>
        </w:rPr>
        <w:t>kind of</w:t>
      </w:r>
      <w:r w:rsidRPr="0029398F">
        <w:rPr>
          <w:rFonts w:ascii="Times New Roman" w:eastAsia="Times New Roman" w:hAnsi="Times New Roman" w:cs="Times New Roman"/>
        </w:rPr>
        <w:t xml:space="preserve"> like reading a script almost and just having </w:t>
      </w:r>
      <w:r w:rsidR="345DEF83" w:rsidRPr="0029398F">
        <w:rPr>
          <w:rFonts w:ascii="Times New Roman" w:eastAsia="Times New Roman" w:hAnsi="Times New Roman" w:cs="Times New Roman"/>
        </w:rPr>
        <w:t>[students]</w:t>
      </w:r>
      <w:r w:rsidRPr="0029398F">
        <w:rPr>
          <w:rFonts w:ascii="Times New Roman" w:eastAsia="Times New Roman" w:hAnsi="Times New Roman" w:cs="Times New Roman"/>
        </w:rPr>
        <w:t xml:space="preserve"> like </w:t>
      </w:r>
      <w:r w:rsidR="17AE582B" w:rsidRPr="0029398F">
        <w:rPr>
          <w:rFonts w:ascii="Times New Roman" w:eastAsia="Times New Roman" w:hAnsi="Times New Roman" w:cs="Times New Roman"/>
        </w:rPr>
        <w:t>'OK now answer these questions</w:t>
      </w:r>
      <w:r w:rsidR="123664F2" w:rsidRPr="0029398F">
        <w:rPr>
          <w:rFonts w:ascii="Times New Roman" w:eastAsia="Times New Roman" w:hAnsi="Times New Roman" w:cs="Times New Roman"/>
        </w:rPr>
        <w:t>.</w:t>
      </w:r>
      <w:r w:rsidR="17AE582B" w:rsidRPr="0029398F">
        <w:rPr>
          <w:rFonts w:ascii="Times New Roman" w:eastAsia="Times New Roman" w:hAnsi="Times New Roman" w:cs="Times New Roman"/>
        </w:rPr>
        <w:t>’</w:t>
      </w:r>
      <w:r w:rsidRPr="0029398F">
        <w:rPr>
          <w:rFonts w:ascii="Times New Roman" w:eastAsia="Times New Roman" w:hAnsi="Times New Roman" w:cs="Times New Roman"/>
        </w:rPr>
        <w:t>” He later elaborated, “I personally can't imagine just like reading the script all day</w:t>
      </w:r>
      <w:r w:rsidR="002F4F1F">
        <w:rPr>
          <w:rFonts w:ascii="Times New Roman" w:eastAsia="Times New Roman" w:hAnsi="Times New Roman" w:cs="Times New Roman"/>
        </w:rPr>
        <w:t>,</w:t>
      </w:r>
      <w:r w:rsidRPr="0029398F">
        <w:rPr>
          <w:rFonts w:ascii="Times New Roman" w:eastAsia="Times New Roman" w:hAnsi="Times New Roman" w:cs="Times New Roman"/>
        </w:rPr>
        <w:t xml:space="preserve"> and I don't feel like</w:t>
      </w:r>
      <w:r w:rsidR="3E481A31" w:rsidRPr="0029398F">
        <w:rPr>
          <w:rFonts w:ascii="Times New Roman" w:eastAsia="Times New Roman" w:hAnsi="Times New Roman" w:cs="Times New Roman"/>
        </w:rPr>
        <w:t xml:space="preserve"> </w:t>
      </w:r>
      <w:r w:rsidRPr="0029398F">
        <w:rPr>
          <w:rFonts w:ascii="Times New Roman" w:eastAsia="Times New Roman" w:hAnsi="Times New Roman" w:cs="Times New Roman"/>
        </w:rPr>
        <w:t xml:space="preserve">losing the creativity side of like the lesson planning and stuff.” Delanie echoed these concerns based on her high school experience, stating, </w:t>
      </w:r>
      <w:r w:rsidR="008C6F24">
        <w:rPr>
          <w:rFonts w:ascii="Times New Roman" w:eastAsia="Times New Roman" w:hAnsi="Times New Roman" w:cs="Times New Roman"/>
        </w:rPr>
        <w:t>“</w:t>
      </w:r>
      <w:r w:rsidR="5D3DAD89" w:rsidRPr="0029398F">
        <w:rPr>
          <w:rFonts w:ascii="Times New Roman" w:eastAsia="Times New Roman" w:hAnsi="Times New Roman" w:cs="Times New Roman"/>
        </w:rPr>
        <w:t xml:space="preserve">[CASE] is </w:t>
      </w:r>
      <w:r w:rsidRPr="0029398F">
        <w:rPr>
          <w:rFonts w:ascii="Times New Roman" w:eastAsia="Times New Roman" w:hAnsi="Times New Roman" w:cs="Times New Roman"/>
        </w:rPr>
        <w:t xml:space="preserve">all my teacher </w:t>
      </w:r>
      <w:proofErr w:type="gramStart"/>
      <w:r w:rsidRPr="0029398F">
        <w:rPr>
          <w:rFonts w:ascii="Times New Roman" w:eastAsia="Times New Roman" w:hAnsi="Times New Roman" w:cs="Times New Roman"/>
        </w:rPr>
        <w:t>used</w:t>
      </w:r>
      <w:proofErr w:type="gramEnd"/>
      <w:r w:rsidRPr="0029398F">
        <w:rPr>
          <w:rFonts w:ascii="Times New Roman" w:eastAsia="Times New Roman" w:hAnsi="Times New Roman" w:cs="Times New Roman"/>
        </w:rPr>
        <w:t xml:space="preserve"> and she would just read it off every day</w:t>
      </w:r>
      <w:r w:rsidR="002F4F1F">
        <w:rPr>
          <w:rFonts w:ascii="Times New Roman" w:eastAsia="Times New Roman" w:hAnsi="Times New Roman" w:cs="Times New Roman"/>
        </w:rPr>
        <w:t>,</w:t>
      </w:r>
      <w:r w:rsidRPr="0029398F">
        <w:rPr>
          <w:rFonts w:ascii="Times New Roman" w:eastAsia="Times New Roman" w:hAnsi="Times New Roman" w:cs="Times New Roman"/>
        </w:rPr>
        <w:t xml:space="preserve"> or she'd like give us the packet and </w:t>
      </w:r>
      <w:proofErr w:type="gramStart"/>
      <w:r w:rsidRPr="0029398F">
        <w:rPr>
          <w:rFonts w:ascii="Times New Roman" w:eastAsia="Times New Roman" w:hAnsi="Times New Roman" w:cs="Times New Roman"/>
        </w:rPr>
        <w:t>say</w:t>
      </w:r>
      <w:proofErr w:type="gramEnd"/>
      <w:r w:rsidRPr="0029398F">
        <w:rPr>
          <w:rFonts w:ascii="Times New Roman" w:eastAsia="Times New Roman" w:hAnsi="Times New Roman" w:cs="Times New Roman"/>
        </w:rPr>
        <w:t xml:space="preserve"> </w:t>
      </w:r>
      <w:r w:rsidR="5821C960" w:rsidRPr="0029398F">
        <w:rPr>
          <w:rFonts w:ascii="Times New Roman" w:eastAsia="Times New Roman" w:hAnsi="Times New Roman" w:cs="Times New Roman"/>
        </w:rPr>
        <w:t>‘</w:t>
      </w:r>
      <w:r w:rsidRPr="0029398F">
        <w:rPr>
          <w:rFonts w:ascii="Times New Roman" w:eastAsia="Times New Roman" w:hAnsi="Times New Roman" w:cs="Times New Roman"/>
        </w:rPr>
        <w:t>this is what you're doing</w:t>
      </w:r>
      <w:r w:rsidR="2573EB40" w:rsidRPr="0029398F">
        <w:rPr>
          <w:rFonts w:ascii="Times New Roman" w:eastAsia="Times New Roman" w:hAnsi="Times New Roman" w:cs="Times New Roman"/>
        </w:rPr>
        <w:t>’</w:t>
      </w:r>
      <w:r w:rsidRPr="0029398F">
        <w:rPr>
          <w:rFonts w:ascii="Times New Roman" w:eastAsia="Times New Roman" w:hAnsi="Times New Roman" w:cs="Times New Roman"/>
        </w:rPr>
        <w:t xml:space="preserve"> and that's all we did.</w:t>
      </w:r>
      <w:r w:rsidR="1F052784" w:rsidRPr="0029398F">
        <w:rPr>
          <w:rFonts w:ascii="Times New Roman" w:eastAsia="Times New Roman" w:hAnsi="Times New Roman" w:cs="Times New Roman"/>
        </w:rPr>
        <w:t>..</w:t>
      </w:r>
      <w:r w:rsidRPr="0029398F">
        <w:rPr>
          <w:rFonts w:ascii="Times New Roman" w:eastAsia="Times New Roman" w:hAnsi="Times New Roman" w:cs="Times New Roman"/>
        </w:rPr>
        <w:t xml:space="preserve">I'd say it was </w:t>
      </w:r>
      <w:proofErr w:type="gramStart"/>
      <w:r w:rsidRPr="0029398F">
        <w:rPr>
          <w:rFonts w:ascii="Times New Roman" w:eastAsia="Times New Roman" w:hAnsi="Times New Roman" w:cs="Times New Roman"/>
        </w:rPr>
        <w:t>really boring</w:t>
      </w:r>
      <w:proofErr w:type="gramEnd"/>
      <w:r w:rsidRPr="0029398F">
        <w:rPr>
          <w:rFonts w:ascii="Times New Roman" w:eastAsia="Times New Roman" w:hAnsi="Times New Roman" w:cs="Times New Roman"/>
        </w:rPr>
        <w:t>.” Harper similarly associated negative CASE experiences with teacher burnout, noting, “</w:t>
      </w:r>
      <w:r w:rsidR="7216634F" w:rsidRPr="0029398F">
        <w:rPr>
          <w:rFonts w:ascii="Times New Roman" w:eastAsia="Times New Roman" w:hAnsi="Times New Roman" w:cs="Times New Roman"/>
        </w:rPr>
        <w:t>B</w:t>
      </w:r>
      <w:r w:rsidRPr="0029398F">
        <w:rPr>
          <w:rFonts w:ascii="Times New Roman" w:eastAsia="Times New Roman" w:hAnsi="Times New Roman" w:cs="Times New Roman"/>
        </w:rPr>
        <w:t xml:space="preserve">ecause I started to take so many classes, I was able to start to recognize when he was using </w:t>
      </w:r>
      <w:r w:rsidR="1A9D506D" w:rsidRPr="0029398F">
        <w:rPr>
          <w:rFonts w:ascii="Times New Roman" w:eastAsia="Times New Roman" w:hAnsi="Times New Roman" w:cs="Times New Roman"/>
        </w:rPr>
        <w:t>[CASE].</w:t>
      </w:r>
      <w:r w:rsidRPr="0029398F">
        <w:rPr>
          <w:rFonts w:ascii="Times New Roman" w:eastAsia="Times New Roman" w:hAnsi="Times New Roman" w:cs="Times New Roman"/>
        </w:rPr>
        <w:t xml:space="preserve"> Because he was overworked and just needed to give us something to do.</w:t>
      </w:r>
      <w:r w:rsidR="396E35D9" w:rsidRPr="0029398F">
        <w:rPr>
          <w:rFonts w:ascii="Times New Roman" w:eastAsia="Times New Roman" w:hAnsi="Times New Roman" w:cs="Times New Roman"/>
        </w:rPr>
        <w:t>..</w:t>
      </w:r>
      <w:r w:rsidRPr="0029398F">
        <w:rPr>
          <w:rFonts w:ascii="Times New Roman" w:eastAsia="Times New Roman" w:hAnsi="Times New Roman" w:cs="Times New Roman"/>
        </w:rPr>
        <w:t xml:space="preserve"> those days I did not enjoy CASE.”</w:t>
      </w:r>
    </w:p>
    <w:p w14:paraId="092F746C" w14:textId="4EACDB01" w:rsidR="29EDE984" w:rsidRPr="0029398F" w:rsidRDefault="29EDE984" w:rsidP="0029398F">
      <w:pPr>
        <w:spacing w:after="0" w:line="240" w:lineRule="auto"/>
        <w:rPr>
          <w:rFonts w:ascii="Times New Roman" w:eastAsia="Times New Roman" w:hAnsi="Times New Roman" w:cs="Times New Roman"/>
          <w:b/>
          <w:bCs/>
          <w:i/>
          <w:iCs/>
        </w:rPr>
      </w:pPr>
      <w:r w:rsidRPr="0029398F">
        <w:rPr>
          <w:rFonts w:ascii="Times New Roman" w:eastAsia="Times New Roman" w:hAnsi="Times New Roman" w:cs="Times New Roman"/>
          <w:b/>
          <w:bCs/>
          <w:i/>
          <w:iCs/>
        </w:rPr>
        <w:t>Development of Perceptions</w:t>
      </w:r>
    </w:p>
    <w:p w14:paraId="5B771608" w14:textId="021F7F23" w:rsidR="47EDEDDF" w:rsidRPr="0029398F" w:rsidRDefault="47EDEDDF" w:rsidP="0029398F">
      <w:pPr>
        <w:spacing w:after="0" w:line="240" w:lineRule="auto"/>
        <w:ind w:firstLine="720"/>
        <w:rPr>
          <w:rFonts w:ascii="Times New Roman" w:eastAsia="Aptos" w:hAnsi="Times New Roman" w:cs="Times New Roman"/>
          <w:i/>
          <w:iCs/>
        </w:rPr>
      </w:pPr>
      <w:r w:rsidRPr="0029398F">
        <w:rPr>
          <w:rFonts w:ascii="Times New Roman" w:eastAsia="Times New Roman" w:hAnsi="Times New Roman" w:cs="Times New Roman"/>
        </w:rPr>
        <w:t xml:space="preserve">Opportunities for conversation with in-service teachers further shaped participants’ perceptions, though these opportunities </w:t>
      </w:r>
      <w:r w:rsidR="001478AC">
        <w:rPr>
          <w:rFonts w:ascii="Times New Roman" w:eastAsia="Times New Roman" w:hAnsi="Times New Roman" w:cs="Times New Roman"/>
        </w:rPr>
        <w:t>vari</w:t>
      </w:r>
      <w:r w:rsidRPr="0029398F">
        <w:rPr>
          <w:rFonts w:ascii="Times New Roman" w:eastAsia="Times New Roman" w:hAnsi="Times New Roman" w:cs="Times New Roman"/>
        </w:rPr>
        <w:t xml:space="preserve">ed substantially </w:t>
      </w:r>
      <w:r w:rsidR="001478AC">
        <w:rPr>
          <w:rFonts w:ascii="Times New Roman" w:eastAsia="Times New Roman" w:hAnsi="Times New Roman" w:cs="Times New Roman"/>
        </w:rPr>
        <w:t>across</w:t>
      </w:r>
      <w:r w:rsidRPr="0029398F">
        <w:rPr>
          <w:rFonts w:ascii="Times New Roman" w:eastAsia="Times New Roman" w:hAnsi="Times New Roman" w:cs="Times New Roman"/>
        </w:rPr>
        <w:t xml:space="preserve"> context</w:t>
      </w:r>
      <w:r w:rsidR="001478AC">
        <w:rPr>
          <w:rFonts w:ascii="Times New Roman" w:eastAsia="Times New Roman" w:hAnsi="Times New Roman" w:cs="Times New Roman"/>
        </w:rPr>
        <w:t>s</w:t>
      </w:r>
      <w:r w:rsidRPr="0029398F">
        <w:rPr>
          <w:rFonts w:ascii="Times New Roman" w:eastAsia="Times New Roman" w:hAnsi="Times New Roman" w:cs="Times New Roman"/>
        </w:rPr>
        <w:t xml:space="preserve">. Participants in </w:t>
      </w:r>
      <w:r w:rsidR="00133E2E">
        <w:rPr>
          <w:rFonts w:ascii="Times New Roman" w:eastAsia="Times New Roman" w:hAnsi="Times New Roman" w:cs="Times New Roman"/>
        </w:rPr>
        <w:t xml:space="preserve">Georgia </w:t>
      </w:r>
      <w:r w:rsidRPr="0029398F">
        <w:rPr>
          <w:rFonts w:ascii="Times New Roman" w:eastAsia="Times New Roman" w:hAnsi="Times New Roman" w:cs="Times New Roman"/>
        </w:rPr>
        <w:t xml:space="preserve">reported limited access to CASE-certified teachers, which constrained their ability to learn about CASE through professional dialogue. Elise observed, “Some teachers in our area don't even know what it is, like they've never even heard of it.” Emerson attributed resistance to CASE to entrenched instructional norms, stating, “I feel like there are quite a few teachers and there's nothing wrong with this, but quite a few teachers who are kind of stuck in the traditional like old ways of doing things,” adding, “I feel like sometimes CASE can be a little bit new and scary for them and they're like, this is different, I don't want to do it.” Mara highlighted structural barriers, explaining, </w:t>
      </w:r>
    </w:p>
    <w:p w14:paraId="3ABA5592" w14:textId="0922AC4A" w:rsidR="0029398F" w:rsidRPr="00AF4CFC" w:rsidRDefault="47EDEDDF" w:rsidP="00AF4CFC">
      <w:pPr>
        <w:spacing w:line="240" w:lineRule="auto"/>
        <w:ind w:left="720"/>
        <w:rPr>
          <w:rFonts w:ascii="Times New Roman" w:eastAsia="Times New Roman" w:hAnsi="Times New Roman" w:cs="Times New Roman"/>
        </w:rPr>
      </w:pPr>
      <w:r w:rsidRPr="0029398F">
        <w:rPr>
          <w:rFonts w:ascii="Times New Roman" w:eastAsia="Times New Roman" w:hAnsi="Times New Roman" w:cs="Times New Roman"/>
        </w:rPr>
        <w:t>I've heard from teachers is that it can be a little difficult to like actually get the certification… even the teachers that want to do it are not able to and then some of the like CASE institutes or the briefcases are like expensive and a lot of the teachers cannot afford to do that even though they want to do the curriculum.</w:t>
      </w:r>
    </w:p>
    <w:p w14:paraId="74036DCA" w14:textId="03ECE05A" w:rsidR="6A6080E7" w:rsidRPr="0029398F" w:rsidRDefault="00133E2E" w:rsidP="0029398F">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In Iowa,</w:t>
      </w:r>
      <w:r w:rsidR="6A6080E7" w:rsidRPr="0029398F">
        <w:rPr>
          <w:rFonts w:ascii="Times New Roman" w:eastAsia="Times New Roman" w:hAnsi="Times New Roman" w:cs="Times New Roman"/>
        </w:rPr>
        <w:t xml:space="preserve"> participants described more frequent conversations with in-service teachers about CASE, though these discussions were often polarized. Delanie characterized this variability, stating, “I feel like it's like really hit or miss</w:t>
      </w:r>
      <w:r w:rsidR="00780F1C">
        <w:rPr>
          <w:rFonts w:ascii="Times New Roman" w:eastAsia="Times New Roman" w:hAnsi="Times New Roman" w:cs="Times New Roman"/>
        </w:rPr>
        <w:t>,</w:t>
      </w:r>
      <w:r w:rsidR="6A6080E7" w:rsidRPr="0029398F">
        <w:rPr>
          <w:rFonts w:ascii="Times New Roman" w:eastAsia="Times New Roman" w:hAnsi="Times New Roman" w:cs="Times New Roman"/>
        </w:rPr>
        <w:t xml:space="preserve"> like they either love it</w:t>
      </w:r>
      <w:r w:rsidR="001E5C87">
        <w:rPr>
          <w:rFonts w:ascii="Times New Roman" w:eastAsia="Times New Roman" w:hAnsi="Times New Roman" w:cs="Times New Roman"/>
        </w:rPr>
        <w:t xml:space="preserve"> or hate it</w:t>
      </w:r>
      <w:r w:rsidR="6A6080E7" w:rsidRPr="0029398F">
        <w:rPr>
          <w:rFonts w:ascii="Times New Roman" w:eastAsia="Times New Roman" w:hAnsi="Times New Roman" w:cs="Times New Roman"/>
        </w:rPr>
        <w:t xml:space="preserve">.” Harper expressed both anticipation and apprehension about future CASE use, noting, </w:t>
      </w:r>
    </w:p>
    <w:p w14:paraId="6B936DCC" w14:textId="6DA7766F" w:rsidR="6A6080E7" w:rsidRPr="0029398F" w:rsidRDefault="6A6080E7" w:rsidP="0029398F">
      <w:pPr>
        <w:spacing w:after="0" w:line="240" w:lineRule="auto"/>
        <w:ind w:left="720"/>
        <w:rPr>
          <w:rFonts w:ascii="Times New Roman" w:eastAsia="Times New Roman" w:hAnsi="Times New Roman" w:cs="Times New Roman"/>
        </w:rPr>
      </w:pPr>
      <w:r w:rsidRPr="0029398F">
        <w:rPr>
          <w:rFonts w:ascii="Times New Roman" w:eastAsia="Times New Roman" w:hAnsi="Times New Roman" w:cs="Times New Roman"/>
        </w:rPr>
        <w:t>I know the teacher where I'm going to be student teaching with</w:t>
      </w:r>
      <w:r w:rsidR="00780F1C">
        <w:rPr>
          <w:rFonts w:ascii="Times New Roman" w:eastAsia="Times New Roman" w:hAnsi="Times New Roman" w:cs="Times New Roman"/>
        </w:rPr>
        <w:t xml:space="preserve"> </w:t>
      </w:r>
      <w:r w:rsidRPr="0029398F">
        <w:rPr>
          <w:rFonts w:ascii="Times New Roman" w:eastAsia="Times New Roman" w:hAnsi="Times New Roman" w:cs="Times New Roman"/>
        </w:rPr>
        <w:t>...</w:t>
      </w:r>
      <w:r w:rsidR="00780F1C">
        <w:rPr>
          <w:rFonts w:ascii="Times New Roman" w:eastAsia="Times New Roman" w:hAnsi="Times New Roman" w:cs="Times New Roman"/>
        </w:rPr>
        <w:t xml:space="preserve"> </w:t>
      </w:r>
      <w:r w:rsidRPr="0029398F">
        <w:rPr>
          <w:rFonts w:ascii="Times New Roman" w:eastAsia="Times New Roman" w:hAnsi="Times New Roman" w:cs="Times New Roman"/>
        </w:rPr>
        <w:t>she is a very big fan of CASE and so I'm nervous and excited to see how she uses it in her classroom because I am really hoping that it's not just a read off the script, give the kids the worksheet kind of situation.</w:t>
      </w:r>
    </w:p>
    <w:p w14:paraId="34313289" w14:textId="2FEC04FC" w:rsidR="0029398F" w:rsidRPr="0029398F" w:rsidRDefault="6A6080E7" w:rsidP="00AF4CFC">
      <w:pPr>
        <w:spacing w:line="240" w:lineRule="auto"/>
        <w:rPr>
          <w:rFonts w:ascii="Times New Roman" w:eastAsia="Times New Roman" w:hAnsi="Times New Roman" w:cs="Times New Roman"/>
        </w:rPr>
      </w:pPr>
      <w:r w:rsidRPr="0029398F">
        <w:rPr>
          <w:rFonts w:ascii="Times New Roman" w:eastAsia="Times New Roman" w:hAnsi="Times New Roman" w:cs="Times New Roman"/>
        </w:rPr>
        <w:t>She later reflected on the absence of critical dialogue, explaining, “</w:t>
      </w:r>
      <w:r w:rsidR="007528F2">
        <w:rPr>
          <w:rFonts w:ascii="Times New Roman" w:eastAsia="Times New Roman" w:hAnsi="Times New Roman" w:cs="Times New Roman"/>
        </w:rPr>
        <w:t>O</w:t>
      </w:r>
      <w:r w:rsidRPr="0029398F">
        <w:rPr>
          <w:rFonts w:ascii="Times New Roman" w:eastAsia="Times New Roman" w:hAnsi="Times New Roman" w:cs="Times New Roman"/>
        </w:rPr>
        <w:t>ther than talking to teachers who really love it, I haven't talked to teachers who</w:t>
      </w:r>
      <w:r w:rsidR="00780F1C">
        <w:rPr>
          <w:rFonts w:ascii="Times New Roman" w:eastAsia="Times New Roman" w:hAnsi="Times New Roman" w:cs="Times New Roman"/>
        </w:rPr>
        <w:t>,</w:t>
      </w:r>
      <w:r w:rsidRPr="0029398F">
        <w:rPr>
          <w:rFonts w:ascii="Times New Roman" w:eastAsia="Times New Roman" w:hAnsi="Times New Roman" w:cs="Times New Roman"/>
        </w:rPr>
        <w:t xml:space="preserve"> like, totally hate it. They just decide to say no comment if I ask them if they like it.” Nolan similarly observed that negative views were often indirect, stating, “I haven't seen many that were like </w:t>
      </w:r>
      <w:proofErr w:type="gramStart"/>
      <w:r w:rsidRPr="0029398F">
        <w:rPr>
          <w:rFonts w:ascii="Times New Roman" w:eastAsia="Times New Roman" w:hAnsi="Times New Roman" w:cs="Times New Roman"/>
        </w:rPr>
        <w:t>absolutely not</w:t>
      </w:r>
      <w:proofErr w:type="gramEnd"/>
      <w:r w:rsidRPr="0029398F">
        <w:rPr>
          <w:rFonts w:ascii="Times New Roman" w:eastAsia="Times New Roman" w:hAnsi="Times New Roman" w:cs="Times New Roman"/>
        </w:rPr>
        <w:t xml:space="preserve"> like hating it, even though I've</w:t>
      </w:r>
      <w:r w:rsidR="03FB5F2F" w:rsidRPr="0029398F">
        <w:rPr>
          <w:rFonts w:ascii="Times New Roman" w:eastAsia="Times New Roman" w:hAnsi="Times New Roman" w:cs="Times New Roman"/>
        </w:rPr>
        <w:t>...</w:t>
      </w:r>
      <w:r w:rsidRPr="0029398F">
        <w:rPr>
          <w:rFonts w:ascii="Times New Roman" w:eastAsia="Times New Roman" w:hAnsi="Times New Roman" w:cs="Times New Roman"/>
        </w:rPr>
        <w:t xml:space="preserve"> heard of teachers from peers that are like that. But I haven't had that experience</w:t>
      </w:r>
      <w:r w:rsidR="007528F2">
        <w:rPr>
          <w:rFonts w:ascii="Times New Roman" w:eastAsia="Times New Roman" w:hAnsi="Times New Roman" w:cs="Times New Roman"/>
        </w:rPr>
        <w:t>,</w:t>
      </w:r>
      <w:r w:rsidRPr="0029398F">
        <w:rPr>
          <w:rFonts w:ascii="Times New Roman" w:eastAsia="Times New Roman" w:hAnsi="Times New Roman" w:cs="Times New Roman"/>
        </w:rPr>
        <w:t xml:space="preserve"> I guess.”</w:t>
      </w:r>
    </w:p>
    <w:p w14:paraId="0FCD458D" w14:textId="30B215F9" w:rsidR="07FB2CB2" w:rsidRPr="0029398F" w:rsidRDefault="07FB2CB2" w:rsidP="0029398F">
      <w:pPr>
        <w:spacing w:after="0" w:line="240" w:lineRule="auto"/>
        <w:rPr>
          <w:rFonts w:ascii="Times New Roman" w:eastAsia="Times New Roman" w:hAnsi="Times New Roman" w:cs="Times New Roman"/>
          <w:b/>
          <w:bCs/>
        </w:rPr>
      </w:pPr>
      <w:r w:rsidRPr="0029398F">
        <w:rPr>
          <w:rFonts w:ascii="Times New Roman" w:eastAsia="Times New Roman" w:hAnsi="Times New Roman" w:cs="Times New Roman"/>
          <w:b/>
          <w:bCs/>
        </w:rPr>
        <w:t>Future Use of CASE Limited to Piecemeal Approach</w:t>
      </w:r>
    </w:p>
    <w:p w14:paraId="0368C60A" w14:textId="46217334" w:rsidR="0029398F" w:rsidRPr="0029398F" w:rsidRDefault="6B5279BC"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Despite holding varied attitudes toward CASE, nearly all participants anticipated using CASE in some capacity in their future teaching. However, participants consistently described </w:t>
      </w:r>
      <w:r w:rsidRPr="0029398F">
        <w:rPr>
          <w:rFonts w:ascii="Times New Roman" w:eastAsia="Times New Roman" w:hAnsi="Times New Roman" w:cs="Times New Roman"/>
        </w:rPr>
        <w:lastRenderedPageBreak/>
        <w:t xml:space="preserve">this use as selective and supplemental rather than </w:t>
      </w:r>
      <w:r w:rsidR="002B7B54">
        <w:rPr>
          <w:rFonts w:ascii="Times New Roman" w:eastAsia="Times New Roman" w:hAnsi="Times New Roman" w:cs="Times New Roman"/>
        </w:rPr>
        <w:t>adopting</w:t>
      </w:r>
      <w:r w:rsidRPr="0029398F">
        <w:rPr>
          <w:rFonts w:ascii="Times New Roman" w:eastAsia="Times New Roman" w:hAnsi="Times New Roman" w:cs="Times New Roman"/>
        </w:rPr>
        <w:t xml:space="preserve"> CASE as a comprehensive, stand-alone curriculum. Instead, pre-service teachers envisioned drawing from individual lessons, activities, or labs to support inquiry-based science instruction while maintaining autonomy over curriculum sequencing, instructional emphasis, and alignment with local contexts.</w:t>
      </w:r>
    </w:p>
    <w:p w14:paraId="6FD6B692" w14:textId="2E45D2D4" w:rsidR="6B5279BC" w:rsidRPr="0029398F" w:rsidRDefault="6B5279BC" w:rsidP="0029398F">
      <w:pPr>
        <w:spacing w:after="0"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Participants across contexts emphasized they did not view CASE as an “end all be all” curriculum, but rather as a flexible resource to be adapted. Sadie explained that while she valued CASE activities, she would alter their structure and sequencing, noting, “I think the activities are great. I don't necessarily think I would go in the order they have them set up in, nor would I necessarily teach the background how they kind of have it set up to be.” Callie described selective certification as a strategy for building confidence in weaker content areas, </w:t>
      </w:r>
    </w:p>
    <w:p w14:paraId="4D3FB534" w14:textId="1B49F1BE" w:rsidR="0029398F" w:rsidRPr="0029398F" w:rsidRDefault="6B5279BC" w:rsidP="00AF4CFC">
      <w:pPr>
        <w:spacing w:line="240" w:lineRule="auto"/>
        <w:ind w:left="720"/>
        <w:rPr>
          <w:rFonts w:ascii="Times New Roman" w:eastAsia="Times New Roman" w:hAnsi="Times New Roman" w:cs="Times New Roman"/>
        </w:rPr>
      </w:pPr>
      <w:r w:rsidRPr="0029398F">
        <w:rPr>
          <w:rFonts w:ascii="Times New Roman" w:eastAsia="Times New Roman" w:hAnsi="Times New Roman" w:cs="Times New Roman"/>
        </w:rPr>
        <w:t>I guess for like a future like first year teacher, like I know personally I'm not the best at business topics</w:t>
      </w:r>
      <w:r w:rsidR="002B7B54">
        <w:rPr>
          <w:rFonts w:ascii="Times New Roman" w:eastAsia="Times New Roman" w:hAnsi="Times New Roman" w:cs="Times New Roman"/>
        </w:rPr>
        <w:t>,</w:t>
      </w:r>
      <w:r w:rsidRPr="0029398F">
        <w:rPr>
          <w:rFonts w:ascii="Times New Roman" w:eastAsia="Times New Roman" w:hAnsi="Times New Roman" w:cs="Times New Roman"/>
        </w:rPr>
        <w:t xml:space="preserve"> and so I'd probably like so I'd probably like get certified for that one just so I could like dabble my feet into what to expect for like business curriculums and then add on to that and advance it in my own way. I think </w:t>
      </w:r>
      <w:r w:rsidR="79533835" w:rsidRPr="0029398F">
        <w:rPr>
          <w:rFonts w:ascii="Times New Roman" w:eastAsia="Times New Roman" w:hAnsi="Times New Roman" w:cs="Times New Roman"/>
        </w:rPr>
        <w:t>it would be</w:t>
      </w:r>
      <w:r w:rsidRPr="0029398F">
        <w:rPr>
          <w:rFonts w:ascii="Times New Roman" w:eastAsia="Times New Roman" w:hAnsi="Times New Roman" w:cs="Times New Roman"/>
        </w:rPr>
        <w:t xml:space="preserve"> beneficial.</w:t>
      </w:r>
    </w:p>
    <w:p w14:paraId="3E7DF365" w14:textId="2656E591" w:rsidR="0029398F" w:rsidRPr="00AF4CFC" w:rsidRDefault="40CDFF67"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Although participants </w:t>
      </w:r>
      <w:r w:rsidR="00925A3D">
        <w:rPr>
          <w:rFonts w:ascii="Times New Roman" w:eastAsia="Times New Roman" w:hAnsi="Times New Roman" w:cs="Times New Roman"/>
        </w:rPr>
        <w:t>reached</w:t>
      </w:r>
      <w:r w:rsidRPr="0029398F">
        <w:rPr>
          <w:rFonts w:ascii="Times New Roman" w:eastAsia="Times New Roman" w:hAnsi="Times New Roman" w:cs="Times New Roman"/>
        </w:rPr>
        <w:t xml:space="preserve"> similar conclusions </w:t>
      </w:r>
      <w:r w:rsidR="00925A3D">
        <w:rPr>
          <w:rFonts w:ascii="Times New Roman" w:eastAsia="Times New Roman" w:hAnsi="Times New Roman" w:cs="Times New Roman"/>
        </w:rPr>
        <w:t>regarding</w:t>
      </w:r>
      <w:r w:rsidRPr="0029398F">
        <w:rPr>
          <w:rFonts w:ascii="Times New Roman" w:eastAsia="Times New Roman" w:hAnsi="Times New Roman" w:cs="Times New Roman"/>
        </w:rPr>
        <w:t xml:space="preserve"> </w:t>
      </w:r>
      <w:r w:rsidR="00925A3D">
        <w:rPr>
          <w:rFonts w:ascii="Times New Roman" w:eastAsia="Times New Roman" w:hAnsi="Times New Roman" w:cs="Times New Roman"/>
        </w:rPr>
        <w:t>the fragmentation of</w:t>
      </w:r>
      <w:r w:rsidRPr="0029398F">
        <w:rPr>
          <w:rFonts w:ascii="Times New Roman" w:eastAsia="Times New Roman" w:hAnsi="Times New Roman" w:cs="Times New Roman"/>
        </w:rPr>
        <w:t xml:space="preserve"> CASE use, the reasons underlying this approach </w:t>
      </w:r>
      <w:r w:rsidR="00925A3D">
        <w:rPr>
          <w:rFonts w:ascii="Times New Roman" w:eastAsia="Times New Roman" w:hAnsi="Times New Roman" w:cs="Times New Roman"/>
        </w:rPr>
        <w:t>vari</w:t>
      </w:r>
      <w:r w:rsidRPr="0029398F">
        <w:rPr>
          <w:rFonts w:ascii="Times New Roman" w:eastAsia="Times New Roman" w:hAnsi="Times New Roman" w:cs="Times New Roman"/>
        </w:rPr>
        <w:t xml:space="preserve">ed by context. Participants from high-CASE adoption contexts described CASE as relatively easy to integrate into existing curricula </w:t>
      </w:r>
      <w:r w:rsidR="00C6149E">
        <w:rPr>
          <w:rFonts w:ascii="Times New Roman" w:eastAsia="Times New Roman" w:hAnsi="Times New Roman" w:cs="Times New Roman"/>
        </w:rPr>
        <w:t>becaus</w:t>
      </w:r>
      <w:r w:rsidRPr="0029398F">
        <w:rPr>
          <w:rFonts w:ascii="Times New Roman" w:eastAsia="Times New Roman" w:hAnsi="Times New Roman" w:cs="Times New Roman"/>
        </w:rPr>
        <w:t xml:space="preserve">e </w:t>
      </w:r>
      <w:r w:rsidR="00C6149E">
        <w:rPr>
          <w:rFonts w:ascii="Times New Roman" w:eastAsia="Times New Roman" w:hAnsi="Times New Roman" w:cs="Times New Roman"/>
        </w:rPr>
        <w:t>of its</w:t>
      </w:r>
      <w:r w:rsidRPr="0029398F">
        <w:rPr>
          <w:rFonts w:ascii="Times New Roman" w:eastAsia="Times New Roman" w:hAnsi="Times New Roman" w:cs="Times New Roman"/>
        </w:rPr>
        <w:t xml:space="preserve"> alignment with state standards, even </w:t>
      </w:r>
      <w:r w:rsidR="00C6149E">
        <w:rPr>
          <w:rFonts w:ascii="Times New Roman" w:eastAsia="Times New Roman" w:hAnsi="Times New Roman" w:cs="Times New Roman"/>
        </w:rPr>
        <w:t>though</w:t>
      </w:r>
      <w:r w:rsidRPr="0029398F">
        <w:rPr>
          <w:rFonts w:ascii="Times New Roman" w:eastAsia="Times New Roman" w:hAnsi="Times New Roman" w:cs="Times New Roman"/>
        </w:rPr>
        <w:t xml:space="preserve"> they expressed mixed feelings about the curriculum itself. Nolan explained</w:t>
      </w:r>
      <w:r w:rsidR="00C6149E">
        <w:rPr>
          <w:rFonts w:ascii="Times New Roman" w:eastAsia="Times New Roman" w:hAnsi="Times New Roman" w:cs="Times New Roman"/>
        </w:rPr>
        <w:t xml:space="preserve"> that</w:t>
      </w:r>
      <w:r w:rsidR="007950A0">
        <w:rPr>
          <w:rFonts w:ascii="Times New Roman" w:eastAsia="Times New Roman" w:hAnsi="Times New Roman" w:cs="Times New Roman"/>
        </w:rPr>
        <w:t xml:space="preserve"> </w:t>
      </w:r>
      <w:r w:rsidRPr="0029398F">
        <w:rPr>
          <w:rFonts w:ascii="Times New Roman" w:eastAsia="Times New Roman" w:hAnsi="Times New Roman" w:cs="Times New Roman"/>
        </w:rPr>
        <w:t xml:space="preserve">he would remain open to using CASE as a supplemental engagement tool, stating, “I think like I would be open to it and like using it as like supplemental like activities and stuff like for students to get engaged with during National Convention week, like you can still like kind of learn the material.” Delanie attributed the ease of integration to standards alignment, noting, </w:t>
      </w:r>
      <w:r w:rsidR="00133E2E">
        <w:rPr>
          <w:rFonts w:ascii="Times New Roman" w:eastAsia="Times New Roman" w:hAnsi="Times New Roman" w:cs="Times New Roman"/>
        </w:rPr>
        <w:t>Iowa</w:t>
      </w:r>
      <w:r w:rsidRPr="0029398F">
        <w:rPr>
          <w:rFonts w:ascii="Times New Roman" w:eastAsia="Times New Roman" w:hAnsi="Times New Roman" w:cs="Times New Roman"/>
        </w:rPr>
        <w:t>’s Ag Ed standards are literally just the national standards</w:t>
      </w:r>
      <w:r w:rsidR="204F2B13" w:rsidRPr="0029398F">
        <w:rPr>
          <w:rFonts w:ascii="Times New Roman" w:eastAsia="Times New Roman" w:hAnsi="Times New Roman" w:cs="Times New Roman"/>
        </w:rPr>
        <w:t>..</w:t>
      </w:r>
      <w:r w:rsidRPr="0029398F">
        <w:rPr>
          <w:rFonts w:ascii="Times New Roman" w:eastAsia="Times New Roman" w:hAnsi="Times New Roman" w:cs="Times New Roman"/>
        </w:rPr>
        <w:t xml:space="preserve">. </w:t>
      </w:r>
      <w:r w:rsidR="00291EE5" w:rsidRPr="0029398F">
        <w:rPr>
          <w:rFonts w:ascii="Times New Roman" w:eastAsia="Times New Roman" w:hAnsi="Times New Roman" w:cs="Times New Roman"/>
        </w:rPr>
        <w:t>So,</w:t>
      </w:r>
      <w:r w:rsidRPr="0029398F">
        <w:rPr>
          <w:rFonts w:ascii="Times New Roman" w:eastAsia="Times New Roman" w:hAnsi="Times New Roman" w:cs="Times New Roman"/>
        </w:rPr>
        <w:t xml:space="preserve"> like in Iowa</w:t>
      </w:r>
      <w:r w:rsidR="3063AEBE" w:rsidRPr="0029398F">
        <w:rPr>
          <w:rFonts w:ascii="Times New Roman" w:eastAsia="Times New Roman" w:hAnsi="Times New Roman" w:cs="Times New Roman"/>
        </w:rPr>
        <w:t xml:space="preserve"> [CASE lessons]</w:t>
      </w:r>
      <w:r w:rsidRPr="0029398F">
        <w:rPr>
          <w:rFonts w:ascii="Times New Roman" w:eastAsia="Times New Roman" w:hAnsi="Times New Roman" w:cs="Times New Roman"/>
        </w:rPr>
        <w:t xml:space="preserve"> apply </w:t>
      </w:r>
      <w:proofErr w:type="gramStart"/>
      <w:r w:rsidRPr="0029398F">
        <w:rPr>
          <w:rFonts w:ascii="Times New Roman" w:eastAsia="Times New Roman" w:hAnsi="Times New Roman" w:cs="Times New Roman"/>
        </w:rPr>
        <w:t>really well</w:t>
      </w:r>
      <w:proofErr w:type="gramEnd"/>
      <w:r w:rsidRPr="0029398F">
        <w:rPr>
          <w:rFonts w:ascii="Times New Roman" w:eastAsia="Times New Roman" w:hAnsi="Times New Roman" w:cs="Times New Roman"/>
        </w:rPr>
        <w:t>.” Callie echoed the value of CASE as a flexible resource, stating, “and I like that it was like a supplement for like an additional idea and that we could like tweak it in our own way.”</w:t>
      </w:r>
    </w:p>
    <w:p w14:paraId="218D3881" w14:textId="444EF689" w:rsidR="67717D23" w:rsidRPr="0029398F" w:rsidRDefault="67717D23" w:rsidP="0029398F">
      <w:pPr>
        <w:spacing w:after="0" w:line="240" w:lineRule="auto"/>
        <w:ind w:firstLine="720"/>
        <w:rPr>
          <w:rFonts w:ascii="Times New Roman" w:hAnsi="Times New Roman" w:cs="Times New Roman"/>
        </w:rPr>
      </w:pPr>
      <w:r w:rsidRPr="0029398F">
        <w:rPr>
          <w:rFonts w:ascii="Times New Roman" w:eastAsia="Times New Roman" w:hAnsi="Times New Roman" w:cs="Times New Roman"/>
        </w:rPr>
        <w:t>In contrast, participants from low-CASE adoption contexts emphasized the need to adapt CASE more deliberately to ensure alignment with state standards and local instructional goals. While these participants often expressed positive views of CASE’s adaptability, they also voiced concern about applicability without modification. Reese highlighted CASE’s flexibility across grade levels and instructional settings, explaining, “I think every activity had levels to it where you could teach it at different grade levels or you could build off of it or maybe you build up to it</w:t>
      </w:r>
      <w:r w:rsidR="000C1DE0">
        <w:rPr>
          <w:rFonts w:ascii="Times New Roman" w:eastAsia="Times New Roman" w:hAnsi="Times New Roman" w:cs="Times New Roman"/>
        </w:rPr>
        <w:t xml:space="preserve"> </w:t>
      </w:r>
      <w:r w:rsidRPr="0029398F">
        <w:rPr>
          <w:rFonts w:ascii="Times New Roman" w:eastAsia="Times New Roman" w:hAnsi="Times New Roman" w:cs="Times New Roman"/>
        </w:rPr>
        <w:t>...</w:t>
      </w:r>
      <w:r w:rsidR="000C1DE0">
        <w:rPr>
          <w:rFonts w:ascii="Times New Roman" w:eastAsia="Times New Roman" w:hAnsi="Times New Roman" w:cs="Times New Roman"/>
        </w:rPr>
        <w:t xml:space="preserve"> </w:t>
      </w:r>
      <w:r w:rsidRPr="0029398F">
        <w:rPr>
          <w:rFonts w:ascii="Times New Roman" w:eastAsia="Times New Roman" w:hAnsi="Times New Roman" w:cs="Times New Roman"/>
        </w:rPr>
        <w:t xml:space="preserve">Everything was adaptable to what your classroom setting looked like.” Jordin further described how CASE could be integrated alongside experiential components common in SBAE programs, stating, </w:t>
      </w:r>
    </w:p>
    <w:p w14:paraId="7820B181" w14:textId="3CF67898" w:rsidR="0029398F" w:rsidRPr="0029398F" w:rsidRDefault="67717D23" w:rsidP="00B22ECA">
      <w:pPr>
        <w:spacing w:after="0" w:line="240" w:lineRule="auto"/>
        <w:ind w:left="720"/>
        <w:rPr>
          <w:rFonts w:ascii="Times New Roman" w:hAnsi="Times New Roman" w:cs="Times New Roman"/>
        </w:rPr>
      </w:pPr>
      <w:r w:rsidRPr="0029398F">
        <w:rPr>
          <w:rFonts w:ascii="Times New Roman" w:eastAsia="Times New Roman" w:hAnsi="Times New Roman" w:cs="Times New Roman"/>
        </w:rPr>
        <w:t>So</w:t>
      </w:r>
      <w:r w:rsidR="000C1DE0">
        <w:rPr>
          <w:rFonts w:ascii="Times New Roman" w:eastAsia="Times New Roman" w:hAnsi="Times New Roman" w:cs="Times New Roman"/>
        </w:rPr>
        <w:t>,</w:t>
      </w:r>
      <w:r w:rsidRPr="0029398F">
        <w:rPr>
          <w:rFonts w:ascii="Times New Roman" w:eastAsia="Times New Roman" w:hAnsi="Times New Roman" w:cs="Times New Roman"/>
        </w:rPr>
        <w:t xml:space="preserve"> like</w:t>
      </w:r>
      <w:r w:rsidR="000C1DE0">
        <w:rPr>
          <w:rFonts w:ascii="Times New Roman" w:eastAsia="Times New Roman" w:hAnsi="Times New Roman" w:cs="Times New Roman"/>
        </w:rPr>
        <w:t>,</w:t>
      </w:r>
      <w:r w:rsidRPr="0029398F">
        <w:rPr>
          <w:rFonts w:ascii="Times New Roman" w:eastAsia="Times New Roman" w:hAnsi="Times New Roman" w:cs="Times New Roman"/>
        </w:rPr>
        <w:t xml:space="preserve"> kind of what Sadie was kind of hitting at</w:t>
      </w:r>
      <w:r w:rsidR="000C1DE0">
        <w:rPr>
          <w:rFonts w:ascii="Times New Roman" w:eastAsia="Times New Roman" w:hAnsi="Times New Roman" w:cs="Times New Roman"/>
        </w:rPr>
        <w:t>,</w:t>
      </w:r>
      <w:r w:rsidRPr="0029398F">
        <w:rPr>
          <w:rFonts w:ascii="Times New Roman" w:eastAsia="Times New Roman" w:hAnsi="Times New Roman" w:cs="Times New Roman"/>
        </w:rPr>
        <w:t xml:space="preserve"> like you can make CASE fit to like whatever you have. So like if you're in more of like a rural area which we've seen with teachers in the state, they are using CASE to like teach the content and but then Like they'll take their students out to their greenhouse or out to their livestock and SAE barn and kind of like allowing them to use their like what they've learned and kind of like guide the lessons that they would use those learning labs for.</w:t>
      </w:r>
    </w:p>
    <w:p w14:paraId="5418B811" w14:textId="2AC2E20A" w:rsidR="478B93A0" w:rsidRPr="0029398F" w:rsidRDefault="478B93A0" w:rsidP="0029398F">
      <w:pPr>
        <w:spacing w:after="0" w:line="240" w:lineRule="auto"/>
        <w:ind w:firstLine="720"/>
        <w:rPr>
          <w:rFonts w:ascii="Times New Roman" w:hAnsi="Times New Roman" w:cs="Times New Roman"/>
        </w:rPr>
      </w:pPr>
      <w:r w:rsidRPr="0029398F">
        <w:rPr>
          <w:rFonts w:ascii="Times New Roman" w:eastAsia="Times New Roman" w:hAnsi="Times New Roman" w:cs="Times New Roman"/>
        </w:rPr>
        <w:t xml:space="preserve">Opportunities for structured reflection during teacher preparation further reinforced participants’ preference for a selective approach to CASE use. Jordin described a pre-service institute assignment that encouraged autonomy and critical reflection, explaining, </w:t>
      </w:r>
    </w:p>
    <w:p w14:paraId="43575F3F" w14:textId="62C43076" w:rsidR="0029398F" w:rsidRPr="00AF4CFC" w:rsidRDefault="478B93A0" w:rsidP="00AF4CFC">
      <w:pPr>
        <w:spacing w:line="240" w:lineRule="auto"/>
        <w:ind w:left="720"/>
        <w:rPr>
          <w:rFonts w:ascii="Times New Roman" w:eastAsia="Times New Roman" w:hAnsi="Times New Roman" w:cs="Times New Roman"/>
        </w:rPr>
      </w:pPr>
      <w:r w:rsidRPr="0029398F">
        <w:rPr>
          <w:rFonts w:ascii="Times New Roman" w:eastAsia="Times New Roman" w:hAnsi="Times New Roman" w:cs="Times New Roman"/>
        </w:rPr>
        <w:lastRenderedPageBreak/>
        <w:t xml:space="preserve">And </w:t>
      </w:r>
      <w:proofErr w:type="gramStart"/>
      <w:r w:rsidRPr="0029398F">
        <w:rPr>
          <w:rFonts w:ascii="Times New Roman" w:eastAsia="Times New Roman" w:hAnsi="Times New Roman" w:cs="Times New Roman"/>
        </w:rPr>
        <w:t>so</w:t>
      </w:r>
      <w:proofErr w:type="gramEnd"/>
      <w:r w:rsidRPr="0029398F">
        <w:rPr>
          <w:rFonts w:ascii="Times New Roman" w:eastAsia="Times New Roman" w:hAnsi="Times New Roman" w:cs="Times New Roman"/>
        </w:rPr>
        <w:t xml:space="preserve"> like those reflections, while extremely time consuming, I think that they were like </w:t>
      </w:r>
      <w:proofErr w:type="gramStart"/>
      <w:r w:rsidRPr="0029398F">
        <w:rPr>
          <w:rFonts w:ascii="Times New Roman" w:eastAsia="Times New Roman" w:hAnsi="Times New Roman" w:cs="Times New Roman"/>
        </w:rPr>
        <w:t>really good</w:t>
      </w:r>
      <w:proofErr w:type="gramEnd"/>
      <w:r w:rsidRPr="0029398F">
        <w:rPr>
          <w:rFonts w:ascii="Times New Roman" w:eastAsia="Times New Roman" w:hAnsi="Times New Roman" w:cs="Times New Roman"/>
        </w:rPr>
        <w:t xml:space="preserve"> for me to just like </w:t>
      </w:r>
      <w:proofErr w:type="gramStart"/>
      <w:r w:rsidRPr="0029398F">
        <w:rPr>
          <w:rFonts w:ascii="Times New Roman" w:eastAsia="Times New Roman" w:hAnsi="Times New Roman" w:cs="Times New Roman"/>
        </w:rPr>
        <w:t>actually like</w:t>
      </w:r>
      <w:proofErr w:type="gramEnd"/>
      <w:r w:rsidRPr="0029398F">
        <w:rPr>
          <w:rFonts w:ascii="Times New Roman" w:eastAsia="Times New Roman" w:hAnsi="Times New Roman" w:cs="Times New Roman"/>
        </w:rPr>
        <w:t xml:space="preserve"> take a step back</w:t>
      </w:r>
      <w:r w:rsidR="00CB7B52">
        <w:rPr>
          <w:rFonts w:ascii="Times New Roman" w:eastAsia="Times New Roman" w:hAnsi="Times New Roman" w:cs="Times New Roman"/>
        </w:rPr>
        <w:t>,</w:t>
      </w:r>
      <w:r w:rsidRPr="0029398F">
        <w:rPr>
          <w:rFonts w:ascii="Times New Roman" w:eastAsia="Times New Roman" w:hAnsi="Times New Roman" w:cs="Times New Roman"/>
        </w:rPr>
        <w:t xml:space="preserve"> I can like, think about it like, yeah, like I will be teaching and like, do I want to use this? Because like, nobody's saying I </w:t>
      </w:r>
      <w:proofErr w:type="gramStart"/>
      <w:r w:rsidRPr="0029398F">
        <w:rPr>
          <w:rFonts w:ascii="Times New Roman" w:eastAsia="Times New Roman" w:hAnsi="Times New Roman" w:cs="Times New Roman"/>
        </w:rPr>
        <w:t>have to</w:t>
      </w:r>
      <w:proofErr w:type="gramEnd"/>
      <w:r w:rsidRPr="0029398F">
        <w:rPr>
          <w:rFonts w:ascii="Times New Roman" w:eastAsia="Times New Roman" w:hAnsi="Times New Roman" w:cs="Times New Roman"/>
        </w:rPr>
        <w:t>, but like, they're giving me a tool and like, how do I feel about that tool?</w:t>
      </w:r>
    </w:p>
    <w:p w14:paraId="02E04B69" w14:textId="53E6685D" w:rsidR="0029398F" w:rsidRPr="0029398F" w:rsidRDefault="2D522BCA" w:rsidP="0029398F">
      <w:pPr>
        <w:spacing w:after="0" w:line="240" w:lineRule="auto"/>
        <w:rPr>
          <w:rFonts w:ascii="Times New Roman" w:eastAsia="Times New Roman" w:hAnsi="Times New Roman" w:cs="Times New Roman"/>
          <w:b/>
          <w:bCs/>
        </w:rPr>
      </w:pPr>
      <w:r w:rsidRPr="0029398F">
        <w:rPr>
          <w:rFonts w:ascii="Times New Roman" w:eastAsia="Times New Roman" w:hAnsi="Times New Roman" w:cs="Times New Roman"/>
          <w:b/>
          <w:bCs/>
        </w:rPr>
        <w:t xml:space="preserve">Student </w:t>
      </w:r>
      <w:r w:rsidR="00D41414">
        <w:rPr>
          <w:rFonts w:ascii="Times New Roman" w:eastAsia="Times New Roman" w:hAnsi="Times New Roman" w:cs="Times New Roman"/>
          <w:b/>
          <w:bCs/>
        </w:rPr>
        <w:t>D</w:t>
      </w:r>
      <w:r w:rsidRPr="0029398F">
        <w:rPr>
          <w:rFonts w:ascii="Times New Roman" w:eastAsia="Times New Roman" w:hAnsi="Times New Roman" w:cs="Times New Roman"/>
          <w:b/>
          <w:bCs/>
        </w:rPr>
        <w:t xml:space="preserve">eficits in </w:t>
      </w:r>
      <w:r w:rsidR="00D41414">
        <w:rPr>
          <w:rFonts w:ascii="Times New Roman" w:eastAsia="Times New Roman" w:hAnsi="Times New Roman" w:cs="Times New Roman"/>
          <w:b/>
          <w:bCs/>
        </w:rPr>
        <w:t>P</w:t>
      </w:r>
      <w:r w:rsidRPr="0029398F">
        <w:rPr>
          <w:rFonts w:ascii="Times New Roman" w:eastAsia="Times New Roman" w:hAnsi="Times New Roman" w:cs="Times New Roman"/>
          <w:b/>
          <w:bCs/>
        </w:rPr>
        <w:t xml:space="preserve">edagogical </w:t>
      </w:r>
      <w:r w:rsidR="00D41414">
        <w:rPr>
          <w:rFonts w:ascii="Times New Roman" w:eastAsia="Times New Roman" w:hAnsi="Times New Roman" w:cs="Times New Roman"/>
          <w:b/>
          <w:bCs/>
        </w:rPr>
        <w:t>K</w:t>
      </w:r>
      <w:r w:rsidRPr="0029398F">
        <w:rPr>
          <w:rFonts w:ascii="Times New Roman" w:eastAsia="Times New Roman" w:hAnsi="Times New Roman" w:cs="Times New Roman"/>
          <w:b/>
          <w:bCs/>
        </w:rPr>
        <w:t xml:space="preserve">nowledge and </w:t>
      </w:r>
      <w:r w:rsidR="00D41414">
        <w:rPr>
          <w:rFonts w:ascii="Times New Roman" w:eastAsia="Times New Roman" w:hAnsi="Times New Roman" w:cs="Times New Roman"/>
          <w:b/>
          <w:bCs/>
        </w:rPr>
        <w:t>C</w:t>
      </w:r>
      <w:r w:rsidRPr="0029398F">
        <w:rPr>
          <w:rFonts w:ascii="Times New Roman" w:eastAsia="Times New Roman" w:hAnsi="Times New Roman" w:cs="Times New Roman"/>
          <w:b/>
          <w:bCs/>
        </w:rPr>
        <w:t xml:space="preserve">ontent </w:t>
      </w:r>
      <w:r w:rsidR="00D41414">
        <w:rPr>
          <w:rFonts w:ascii="Times New Roman" w:eastAsia="Times New Roman" w:hAnsi="Times New Roman" w:cs="Times New Roman"/>
          <w:b/>
          <w:bCs/>
        </w:rPr>
        <w:t>K</w:t>
      </w:r>
      <w:r w:rsidRPr="0029398F">
        <w:rPr>
          <w:rFonts w:ascii="Times New Roman" w:eastAsia="Times New Roman" w:hAnsi="Times New Roman" w:cs="Times New Roman"/>
          <w:b/>
          <w:bCs/>
        </w:rPr>
        <w:t xml:space="preserve">nowledge </w:t>
      </w:r>
      <w:r w:rsidR="00D41414">
        <w:rPr>
          <w:rFonts w:ascii="Times New Roman" w:eastAsia="Times New Roman" w:hAnsi="Times New Roman" w:cs="Times New Roman"/>
          <w:b/>
          <w:bCs/>
        </w:rPr>
        <w:t>I</w:t>
      </w:r>
      <w:r w:rsidRPr="0029398F">
        <w:rPr>
          <w:rFonts w:ascii="Times New Roman" w:eastAsia="Times New Roman" w:hAnsi="Times New Roman" w:cs="Times New Roman"/>
          <w:b/>
          <w:bCs/>
        </w:rPr>
        <w:t xml:space="preserve">nhibit </w:t>
      </w:r>
      <w:r w:rsidR="00D41414">
        <w:rPr>
          <w:rFonts w:ascii="Times New Roman" w:eastAsia="Times New Roman" w:hAnsi="Times New Roman" w:cs="Times New Roman"/>
          <w:b/>
          <w:bCs/>
        </w:rPr>
        <w:t>U</w:t>
      </w:r>
      <w:r w:rsidRPr="0029398F">
        <w:rPr>
          <w:rFonts w:ascii="Times New Roman" w:eastAsia="Times New Roman" w:hAnsi="Times New Roman" w:cs="Times New Roman"/>
          <w:b/>
          <w:bCs/>
        </w:rPr>
        <w:t xml:space="preserve">nderstanding of CASE </w:t>
      </w:r>
      <w:r w:rsidR="00D41414">
        <w:rPr>
          <w:rFonts w:ascii="Times New Roman" w:eastAsia="Times New Roman" w:hAnsi="Times New Roman" w:cs="Times New Roman"/>
          <w:b/>
          <w:bCs/>
        </w:rPr>
        <w:t>C</w:t>
      </w:r>
      <w:r w:rsidRPr="0029398F">
        <w:rPr>
          <w:rFonts w:ascii="Times New Roman" w:eastAsia="Times New Roman" w:hAnsi="Times New Roman" w:cs="Times New Roman"/>
          <w:b/>
          <w:bCs/>
        </w:rPr>
        <w:t>urriculum</w:t>
      </w:r>
    </w:p>
    <w:p w14:paraId="011BE95B" w14:textId="25A74B7F" w:rsidR="2D522BCA" w:rsidRPr="0029398F" w:rsidRDefault="2D522BCA" w:rsidP="0029398F">
      <w:pPr>
        <w:spacing w:after="0" w:line="240" w:lineRule="auto"/>
        <w:rPr>
          <w:rFonts w:ascii="Times New Roman" w:eastAsia="Times New Roman" w:hAnsi="Times New Roman" w:cs="Times New Roman"/>
          <w:b/>
          <w:bCs/>
          <w:i/>
          <w:iCs/>
        </w:rPr>
      </w:pPr>
      <w:r w:rsidRPr="0029398F">
        <w:rPr>
          <w:rFonts w:ascii="Times New Roman" w:eastAsia="Times New Roman" w:hAnsi="Times New Roman" w:cs="Times New Roman"/>
          <w:b/>
          <w:bCs/>
          <w:i/>
          <w:iCs/>
        </w:rPr>
        <w:t xml:space="preserve">Struggle with Conceptualization of Inquiry-Based Learning as a Method when </w:t>
      </w:r>
      <w:r w:rsidR="00CF7451">
        <w:rPr>
          <w:rFonts w:ascii="Times New Roman" w:eastAsia="Times New Roman" w:hAnsi="Times New Roman" w:cs="Times New Roman"/>
          <w:b/>
          <w:bCs/>
          <w:i/>
          <w:iCs/>
        </w:rPr>
        <w:t>U</w:t>
      </w:r>
      <w:r w:rsidRPr="0029398F">
        <w:rPr>
          <w:rFonts w:ascii="Times New Roman" w:eastAsia="Times New Roman" w:hAnsi="Times New Roman" w:cs="Times New Roman"/>
          <w:b/>
          <w:bCs/>
          <w:i/>
          <w:iCs/>
        </w:rPr>
        <w:t xml:space="preserve">sing CASE </w:t>
      </w:r>
    </w:p>
    <w:p w14:paraId="7B2ABE68" w14:textId="41723D3B" w:rsidR="0029398F" w:rsidRPr="0029398F" w:rsidRDefault="7A7FA71C"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Across both high- and low-CASE adoption contexts, participants demonstrated uncertainty in their pedagogical understanding of </w:t>
      </w:r>
      <w:r w:rsidR="00133E2E">
        <w:rPr>
          <w:rFonts w:ascii="Times New Roman" w:eastAsia="Times New Roman" w:hAnsi="Times New Roman" w:cs="Times New Roman"/>
        </w:rPr>
        <w:t>IBL</w:t>
      </w:r>
      <w:r w:rsidRPr="0029398F">
        <w:rPr>
          <w:rFonts w:ascii="Times New Roman" w:eastAsia="Times New Roman" w:hAnsi="Times New Roman" w:cs="Times New Roman"/>
        </w:rPr>
        <w:t xml:space="preserve"> and their science content knowledge, which collectively constrained how they interpreted and made sense of the CASE curriculum. While pre-service teachers frequently described inquiry </w:t>
      </w:r>
      <w:r w:rsidR="00CB7B52">
        <w:rPr>
          <w:rFonts w:ascii="Times New Roman" w:eastAsia="Times New Roman" w:hAnsi="Times New Roman" w:cs="Times New Roman"/>
        </w:rPr>
        <w:t>in</w:t>
      </w:r>
      <w:r w:rsidRPr="0029398F">
        <w:rPr>
          <w:rFonts w:ascii="Times New Roman" w:eastAsia="Times New Roman" w:hAnsi="Times New Roman" w:cs="Times New Roman"/>
        </w:rPr>
        <w:t xml:space="preserve"> student-centered language, many struggled to articulate what inquiry-based instruction looks like in practice. This lack of clarity contributed to hesitation, frustration, and at times</w:t>
      </w:r>
      <w:r w:rsidR="007950A0">
        <w:rPr>
          <w:rFonts w:ascii="Times New Roman" w:eastAsia="Times New Roman" w:hAnsi="Times New Roman" w:cs="Times New Roman"/>
        </w:rPr>
        <w:t>,</w:t>
      </w:r>
      <w:r w:rsidRPr="0029398F">
        <w:rPr>
          <w:rFonts w:ascii="Times New Roman" w:eastAsia="Times New Roman" w:hAnsi="Times New Roman" w:cs="Times New Roman"/>
        </w:rPr>
        <w:t xml:space="preserve"> conflicting interpretations of whether and how CASE supports inquiry-based science integration.</w:t>
      </w:r>
    </w:p>
    <w:p w14:paraId="37DE206A" w14:textId="2242DCF8" w:rsidR="0029398F" w:rsidRPr="0029398F" w:rsidRDefault="7A7FA71C"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Participants commonly described inquiry-based learning as being driven by student questions and exploration; however, these descriptions often remained abstract and underspecified. Elise explained inquiry as a process of investigation and exploration, stating, “I think of investigation, and you can take a topic that could be challenging for those kids and allow them to kind of explore things on their own, come back to you with some of those questions and guide from there.” Similarly, Jordin described inquiry as student-centered questioning, noting, “I think that my inquiry base what comes to mind first is like questioning and student</w:t>
      </w:r>
      <w:r w:rsidR="009733FA">
        <w:rPr>
          <w:rFonts w:ascii="Times New Roman" w:eastAsia="Times New Roman" w:hAnsi="Times New Roman" w:cs="Times New Roman"/>
        </w:rPr>
        <w:t>-</w:t>
      </w:r>
      <w:r w:rsidRPr="0029398F">
        <w:rPr>
          <w:rFonts w:ascii="Times New Roman" w:eastAsia="Times New Roman" w:hAnsi="Times New Roman" w:cs="Times New Roman"/>
        </w:rPr>
        <w:t xml:space="preserve">centered instruction like </w:t>
      </w:r>
      <w:r w:rsidR="6E502787" w:rsidRPr="0029398F">
        <w:rPr>
          <w:rFonts w:ascii="Times New Roman" w:eastAsia="Times New Roman" w:hAnsi="Times New Roman" w:cs="Times New Roman"/>
        </w:rPr>
        <w:t>student's</w:t>
      </w:r>
      <w:r w:rsidRPr="0029398F">
        <w:rPr>
          <w:rFonts w:ascii="Times New Roman" w:eastAsia="Times New Roman" w:hAnsi="Times New Roman" w:cs="Times New Roman"/>
        </w:rPr>
        <w:t xml:space="preserve"> questions guide the teaching.” Harper extended this framing further, stating, “</w:t>
      </w:r>
      <w:r w:rsidR="3300B6E2" w:rsidRPr="0029398F">
        <w:rPr>
          <w:rFonts w:ascii="Times New Roman" w:eastAsia="Times New Roman" w:hAnsi="Times New Roman" w:cs="Times New Roman"/>
        </w:rPr>
        <w:t>It's</w:t>
      </w:r>
      <w:r w:rsidRPr="0029398F">
        <w:rPr>
          <w:rFonts w:ascii="Times New Roman" w:eastAsia="Times New Roman" w:hAnsi="Times New Roman" w:cs="Times New Roman"/>
        </w:rPr>
        <w:t xml:space="preserve"> a lot of </w:t>
      </w:r>
      <w:proofErr w:type="gramStart"/>
      <w:r w:rsidRPr="0029398F">
        <w:rPr>
          <w:rFonts w:ascii="Times New Roman" w:eastAsia="Times New Roman" w:hAnsi="Times New Roman" w:cs="Times New Roman"/>
        </w:rPr>
        <w:t>students</w:t>
      </w:r>
      <w:proofErr w:type="gramEnd"/>
      <w:r w:rsidRPr="0029398F">
        <w:rPr>
          <w:rFonts w:ascii="Times New Roman" w:eastAsia="Times New Roman" w:hAnsi="Times New Roman" w:cs="Times New Roman"/>
        </w:rPr>
        <w:t xml:space="preserve"> kind of getting to direct what way the learning goes. It’s a lot of question</w:t>
      </w:r>
      <w:r w:rsidR="00BD3022">
        <w:rPr>
          <w:rFonts w:ascii="Times New Roman" w:eastAsia="Times New Roman" w:hAnsi="Times New Roman" w:cs="Times New Roman"/>
        </w:rPr>
        <w:t>s</w:t>
      </w:r>
      <w:r w:rsidRPr="0029398F">
        <w:rPr>
          <w:rFonts w:ascii="Times New Roman" w:eastAsia="Times New Roman" w:hAnsi="Times New Roman" w:cs="Times New Roman"/>
        </w:rPr>
        <w:t xml:space="preserve"> and thought</w:t>
      </w:r>
      <w:r w:rsidR="00CB7B52">
        <w:rPr>
          <w:rFonts w:ascii="Times New Roman" w:eastAsia="Times New Roman" w:hAnsi="Times New Roman" w:cs="Times New Roman"/>
        </w:rPr>
        <w:t>-</w:t>
      </w:r>
      <w:r w:rsidRPr="0029398F">
        <w:rPr>
          <w:rFonts w:ascii="Times New Roman" w:eastAsia="Times New Roman" w:hAnsi="Times New Roman" w:cs="Times New Roman"/>
        </w:rPr>
        <w:t>based</w:t>
      </w:r>
      <w:r w:rsidR="009733FA">
        <w:rPr>
          <w:rFonts w:ascii="Times New Roman" w:eastAsia="Times New Roman" w:hAnsi="Times New Roman" w:cs="Times New Roman"/>
        </w:rPr>
        <w:t>.</w:t>
      </w:r>
      <w:r w:rsidRPr="0029398F">
        <w:rPr>
          <w:rFonts w:ascii="Times New Roman" w:eastAsia="Times New Roman" w:hAnsi="Times New Roman" w:cs="Times New Roman"/>
        </w:rPr>
        <w:t>” While these descriptions aligned with inquiry-oriented language, they also suggested an overgeneralization of inquiry as entirely student-directed, revealing uncertainty about instructional structure and teacher facilitation.</w:t>
      </w:r>
    </w:p>
    <w:p w14:paraId="6D62F782" w14:textId="0B485AEA" w:rsidR="3F63C0F1" w:rsidRPr="0029398F" w:rsidRDefault="3F63C0F1" w:rsidP="0029398F">
      <w:pPr>
        <w:spacing w:after="0"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This lack of clarity about inquiry as a pedagogical method contributed to apprehension about enacting </w:t>
      </w:r>
      <w:r w:rsidR="00133E2E">
        <w:rPr>
          <w:rFonts w:ascii="Times New Roman" w:eastAsia="Times New Roman" w:hAnsi="Times New Roman" w:cs="Times New Roman"/>
        </w:rPr>
        <w:t>IBL</w:t>
      </w:r>
      <w:r w:rsidRPr="0029398F">
        <w:rPr>
          <w:rFonts w:ascii="Times New Roman" w:eastAsia="Times New Roman" w:hAnsi="Times New Roman" w:cs="Times New Roman"/>
        </w:rPr>
        <w:t>, particularly when paired with concerns about content knowledge. Several participants expressed anxiety about facilitating student-driven questioning without having sufficient subject-matter expertise. Delanie shared, “I think my biggest like worry is that we'll do this whole like question</w:t>
      </w:r>
      <w:r w:rsidR="00CB7B52">
        <w:rPr>
          <w:rFonts w:ascii="Times New Roman" w:eastAsia="Times New Roman" w:hAnsi="Times New Roman" w:cs="Times New Roman"/>
        </w:rPr>
        <w:t>-</w:t>
      </w:r>
      <w:r w:rsidRPr="0029398F">
        <w:rPr>
          <w:rFonts w:ascii="Times New Roman" w:eastAsia="Times New Roman" w:hAnsi="Times New Roman" w:cs="Times New Roman"/>
        </w:rPr>
        <w:t>based thing. We'll come up with questions</w:t>
      </w:r>
      <w:r w:rsidR="00CB7B52">
        <w:rPr>
          <w:rFonts w:ascii="Times New Roman" w:eastAsia="Times New Roman" w:hAnsi="Times New Roman" w:cs="Times New Roman"/>
        </w:rPr>
        <w:t>,</w:t>
      </w:r>
      <w:r w:rsidRPr="0029398F">
        <w:rPr>
          <w:rFonts w:ascii="Times New Roman" w:eastAsia="Times New Roman" w:hAnsi="Times New Roman" w:cs="Times New Roman"/>
        </w:rPr>
        <w:t xml:space="preserve"> and then they like, won't take it seriously</w:t>
      </w:r>
      <w:r w:rsidR="00CB7B52">
        <w:rPr>
          <w:rFonts w:ascii="Times New Roman" w:eastAsia="Times New Roman" w:hAnsi="Times New Roman" w:cs="Times New Roman"/>
        </w:rPr>
        <w:t>,</w:t>
      </w:r>
      <w:r w:rsidRPr="0029398F">
        <w:rPr>
          <w:rFonts w:ascii="Times New Roman" w:eastAsia="Times New Roman" w:hAnsi="Times New Roman" w:cs="Times New Roman"/>
        </w:rPr>
        <w:t xml:space="preserve"> and like, they won't get anything out of it.” Emerson similarly described fear of losing credibility as a teacher, explaining, “And like, so it can be scary, especially as a new teacher</w:t>
      </w:r>
      <w:r w:rsidR="009753F6">
        <w:rPr>
          <w:rFonts w:ascii="Times New Roman" w:eastAsia="Times New Roman" w:hAnsi="Times New Roman" w:cs="Times New Roman"/>
        </w:rPr>
        <w:t>,</w:t>
      </w:r>
      <w:r w:rsidRPr="0029398F">
        <w:rPr>
          <w:rFonts w:ascii="Times New Roman" w:eastAsia="Times New Roman" w:hAnsi="Times New Roman" w:cs="Times New Roman"/>
        </w:rPr>
        <w:t xml:space="preserve"> you don't want students to lose faith in you because you don't know the answer.” She further described the difficulty of sustaining inquiry when students struggled to engage, stating, “And so then it's like these students, they're not asking questions, they're kind of just sitting there staring at you blankly. And then it can be hard to move on from there because it is very </w:t>
      </w:r>
      <w:proofErr w:type="gramStart"/>
      <w:r w:rsidRPr="0029398F">
        <w:rPr>
          <w:rFonts w:ascii="Times New Roman" w:eastAsia="Times New Roman" w:hAnsi="Times New Roman" w:cs="Times New Roman"/>
        </w:rPr>
        <w:t>student</w:t>
      </w:r>
      <w:r w:rsidR="00F41CB9">
        <w:rPr>
          <w:rFonts w:ascii="Times New Roman" w:eastAsia="Times New Roman" w:hAnsi="Times New Roman" w:cs="Times New Roman"/>
        </w:rPr>
        <w:t>-</w:t>
      </w:r>
      <w:r w:rsidRPr="0029398F">
        <w:rPr>
          <w:rFonts w:ascii="Times New Roman" w:eastAsia="Times New Roman" w:hAnsi="Times New Roman" w:cs="Times New Roman"/>
        </w:rPr>
        <w:t>driven</w:t>
      </w:r>
      <w:proofErr w:type="gramEnd"/>
      <w:r w:rsidRPr="0029398F">
        <w:rPr>
          <w:rFonts w:ascii="Times New Roman" w:eastAsia="Times New Roman" w:hAnsi="Times New Roman" w:cs="Times New Roman"/>
        </w:rPr>
        <w:t xml:space="preserve">.” Reese highlighted the challenge of balancing facilitation and control, noting, </w:t>
      </w:r>
    </w:p>
    <w:p w14:paraId="76F0ED27" w14:textId="33C29BB5" w:rsidR="0029398F" w:rsidRPr="0029398F" w:rsidRDefault="65962C2B" w:rsidP="00B27B6B">
      <w:pPr>
        <w:spacing w:after="0" w:line="240" w:lineRule="auto"/>
        <w:ind w:left="720"/>
        <w:rPr>
          <w:rFonts w:ascii="Times New Roman" w:eastAsia="Times New Roman" w:hAnsi="Times New Roman" w:cs="Times New Roman"/>
        </w:rPr>
      </w:pPr>
      <w:r w:rsidRPr="0029398F">
        <w:rPr>
          <w:rFonts w:ascii="Times New Roman" w:eastAsia="Times New Roman" w:hAnsi="Times New Roman" w:cs="Times New Roman"/>
        </w:rPr>
        <w:t>K</w:t>
      </w:r>
      <w:r w:rsidR="3F63C0F1" w:rsidRPr="0029398F">
        <w:rPr>
          <w:rFonts w:ascii="Times New Roman" w:eastAsia="Times New Roman" w:hAnsi="Times New Roman" w:cs="Times New Roman"/>
        </w:rPr>
        <w:t xml:space="preserve">ind of knowing as the teacher in the room, when do you step in or when are you letting the </w:t>
      </w:r>
      <w:proofErr w:type="gramStart"/>
      <w:r w:rsidR="3F63C0F1" w:rsidRPr="0029398F">
        <w:rPr>
          <w:rFonts w:ascii="Times New Roman" w:eastAsia="Times New Roman" w:hAnsi="Times New Roman" w:cs="Times New Roman"/>
        </w:rPr>
        <w:t>kids</w:t>
      </w:r>
      <w:proofErr w:type="gramEnd"/>
      <w:r w:rsidR="3F63C0F1" w:rsidRPr="0029398F">
        <w:rPr>
          <w:rFonts w:ascii="Times New Roman" w:eastAsia="Times New Roman" w:hAnsi="Times New Roman" w:cs="Times New Roman"/>
        </w:rPr>
        <w:t xml:space="preserve"> kind of lead the way because you don't want to be </w:t>
      </w:r>
      <w:r w:rsidR="6ADF6A08" w:rsidRPr="0029398F">
        <w:rPr>
          <w:rFonts w:ascii="Times New Roman" w:eastAsia="Times New Roman" w:hAnsi="Times New Roman" w:cs="Times New Roman"/>
        </w:rPr>
        <w:t>s</w:t>
      </w:r>
      <w:r w:rsidR="3F63C0F1" w:rsidRPr="0029398F">
        <w:rPr>
          <w:rFonts w:ascii="Times New Roman" w:eastAsia="Times New Roman" w:hAnsi="Times New Roman" w:cs="Times New Roman"/>
        </w:rPr>
        <w:t>o passive that they are taking over the class, but you still want them to able to lead their own education</w:t>
      </w:r>
      <w:r w:rsidR="7942BF82" w:rsidRPr="0029398F">
        <w:rPr>
          <w:rFonts w:ascii="Times New Roman" w:eastAsia="Times New Roman" w:hAnsi="Times New Roman" w:cs="Times New Roman"/>
        </w:rPr>
        <w:t>.</w:t>
      </w:r>
    </w:p>
    <w:p w14:paraId="22F378A3" w14:textId="083D4AE4" w:rsidR="60AF80B7" w:rsidRPr="0029398F" w:rsidRDefault="60AF80B7" w:rsidP="0029398F">
      <w:pPr>
        <w:spacing w:after="0"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Uncertainty about inquiry was further complicated by mixed perceptions of CASE itself. Some participants questioned whether CASE should be considered inquiry-based, particularly given its structured and scripted elements. Delanie asked directly, “Is CASE considered inquiry-based?” and later added, “But sometimes</w:t>
      </w:r>
      <w:r w:rsidR="00F41CB9">
        <w:rPr>
          <w:rFonts w:ascii="Times New Roman" w:eastAsia="Times New Roman" w:hAnsi="Times New Roman" w:cs="Times New Roman"/>
        </w:rPr>
        <w:t>,</w:t>
      </w:r>
      <w:r w:rsidRPr="0029398F">
        <w:rPr>
          <w:rFonts w:ascii="Times New Roman" w:eastAsia="Times New Roman" w:hAnsi="Times New Roman" w:cs="Times New Roman"/>
        </w:rPr>
        <w:t xml:space="preserve"> like the style of how CASE teaches it</w:t>
      </w:r>
      <w:r w:rsidR="00F41CB9">
        <w:rPr>
          <w:rFonts w:ascii="Times New Roman" w:eastAsia="Times New Roman" w:hAnsi="Times New Roman" w:cs="Times New Roman"/>
        </w:rPr>
        <w:t>,</w:t>
      </w:r>
      <w:r w:rsidRPr="0029398F">
        <w:rPr>
          <w:rFonts w:ascii="Times New Roman" w:eastAsia="Times New Roman" w:hAnsi="Times New Roman" w:cs="Times New Roman"/>
        </w:rPr>
        <w:t xml:space="preserve"> and like the </w:t>
      </w:r>
      <w:r w:rsidRPr="0029398F">
        <w:rPr>
          <w:rFonts w:ascii="Times New Roman" w:eastAsia="Times New Roman" w:hAnsi="Times New Roman" w:cs="Times New Roman"/>
        </w:rPr>
        <w:lastRenderedPageBreak/>
        <w:t>content is like mismatched almost.” Harper emphasized the role of the teacher in mediating inquiry, explaining, “I think it depends on how the teacher facilitates it</w:t>
      </w:r>
      <w:r w:rsidR="00633E65">
        <w:rPr>
          <w:rFonts w:ascii="Times New Roman" w:eastAsia="Times New Roman" w:hAnsi="Times New Roman" w:cs="Times New Roman"/>
        </w:rPr>
        <w:t>;</w:t>
      </w:r>
      <w:r w:rsidRPr="0029398F">
        <w:rPr>
          <w:rFonts w:ascii="Times New Roman" w:eastAsia="Times New Roman" w:hAnsi="Times New Roman" w:cs="Times New Roman"/>
        </w:rPr>
        <w:t xml:space="preserve"> it could really support inquiry-based because it’s the structure and foundation that some teachers appreciate to help build their lessons.” In one focus group exchange, Sadie argued, “CASE isn't very student-led. [Students are] not teaching the lesson to each other as much</w:t>
      </w:r>
      <w:r w:rsidR="00633E65">
        <w:rPr>
          <w:rFonts w:ascii="Times New Roman" w:eastAsia="Times New Roman" w:hAnsi="Times New Roman" w:cs="Times New Roman"/>
        </w:rPr>
        <w:t>,</w:t>
      </w:r>
      <w:r w:rsidRPr="0029398F">
        <w:rPr>
          <w:rFonts w:ascii="Times New Roman" w:eastAsia="Times New Roman" w:hAnsi="Times New Roman" w:cs="Times New Roman"/>
        </w:rPr>
        <w:t xml:space="preserve"> and they're not really asking questions. It's more so like I'm going to demonstrate how to do this and then you're going to do it.” Jordin countered this perspective, stating, “I kind of disagree. I think CASE is incredibly student-led,” and went on to explain how guided instruction supports safety and content acquisition before transitioning into inquiry-driven practice. </w:t>
      </w:r>
      <w:r w:rsidR="76BE87EE" w:rsidRPr="0029398F">
        <w:rPr>
          <w:rFonts w:ascii="Times New Roman" w:eastAsia="Times New Roman" w:hAnsi="Times New Roman" w:cs="Times New Roman"/>
        </w:rPr>
        <w:t>They</w:t>
      </w:r>
      <w:r w:rsidRPr="0029398F">
        <w:rPr>
          <w:rFonts w:ascii="Times New Roman" w:eastAsia="Times New Roman" w:hAnsi="Times New Roman" w:cs="Times New Roman"/>
        </w:rPr>
        <w:t xml:space="preserve"> described how videos and demonstrations could prompt curiosity, stating, “Like that is inquiry</w:t>
      </w:r>
      <w:r w:rsidR="00633E65">
        <w:rPr>
          <w:rFonts w:ascii="Times New Roman" w:eastAsia="Times New Roman" w:hAnsi="Times New Roman" w:cs="Times New Roman"/>
        </w:rPr>
        <w:t>,</w:t>
      </w:r>
      <w:r w:rsidRPr="0029398F">
        <w:rPr>
          <w:rFonts w:ascii="Times New Roman" w:eastAsia="Times New Roman" w:hAnsi="Times New Roman" w:cs="Times New Roman"/>
        </w:rPr>
        <w:t xml:space="preserve"> and like that is like thinking about what we're learning.” Camille echoed this view, noting, </w:t>
      </w:r>
    </w:p>
    <w:p w14:paraId="52C4B412" w14:textId="7F3FFB28" w:rsidR="0029398F" w:rsidRPr="0029398F" w:rsidRDefault="3EAD8D2B" w:rsidP="00AF4CFC">
      <w:pPr>
        <w:spacing w:line="240" w:lineRule="auto"/>
        <w:ind w:left="720"/>
        <w:rPr>
          <w:rFonts w:ascii="Times New Roman" w:eastAsia="Times New Roman" w:hAnsi="Times New Roman" w:cs="Times New Roman"/>
        </w:rPr>
      </w:pPr>
      <w:r w:rsidRPr="0029398F">
        <w:rPr>
          <w:rFonts w:ascii="Times New Roman" w:eastAsia="Times New Roman" w:hAnsi="Times New Roman" w:cs="Times New Roman"/>
        </w:rPr>
        <w:t>I</w:t>
      </w:r>
      <w:r w:rsidR="60AF80B7" w:rsidRPr="0029398F">
        <w:rPr>
          <w:rFonts w:ascii="Times New Roman" w:eastAsia="Times New Roman" w:hAnsi="Times New Roman" w:cs="Times New Roman"/>
        </w:rPr>
        <w:t xml:space="preserve"> think the more guided CASE lessons help to build the like problem solving skills and like walk the students through what like true inquiry based like learning looks like so that when you do present them and like just tell them like go explore something they know what like to do they don't just shut down because they've walked through the steps before with the more guided lessons.</w:t>
      </w:r>
    </w:p>
    <w:p w14:paraId="32E69E8F" w14:textId="77777777" w:rsidR="002B4B63" w:rsidRDefault="002B4B63" w:rsidP="002B4B63">
      <w:pPr>
        <w:spacing w:after="0" w:line="240" w:lineRule="auto"/>
        <w:rPr>
          <w:rFonts w:ascii="Times New Roman" w:eastAsia="Times New Roman" w:hAnsi="Times New Roman" w:cs="Times New Roman"/>
          <w:b/>
          <w:bCs/>
          <w:i/>
          <w:iCs/>
        </w:rPr>
      </w:pPr>
      <w:r w:rsidRPr="002B4B63">
        <w:rPr>
          <w:rFonts w:ascii="Times New Roman" w:eastAsia="Times New Roman" w:hAnsi="Times New Roman" w:cs="Times New Roman"/>
          <w:b/>
          <w:bCs/>
          <w:i/>
          <w:iCs/>
        </w:rPr>
        <w:t>Gaps in Science Content Knowledge Create Challenges for STEM Integration through CASE</w:t>
      </w:r>
    </w:p>
    <w:p w14:paraId="4054659C" w14:textId="7C3E7F27" w:rsidR="0029398F" w:rsidRPr="0029398F" w:rsidRDefault="65128344"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Concerns about inquiry were closely tied to participants’ perceptions of their own science content knowledge, though these concerns manifested differently across contexts. Participants from </w:t>
      </w:r>
      <w:r w:rsidR="00133E2E">
        <w:rPr>
          <w:rFonts w:ascii="Times New Roman" w:eastAsia="Times New Roman" w:hAnsi="Times New Roman" w:cs="Times New Roman"/>
        </w:rPr>
        <w:t>Iowa</w:t>
      </w:r>
      <w:r w:rsidRPr="0029398F">
        <w:rPr>
          <w:rFonts w:ascii="Times New Roman" w:eastAsia="Times New Roman" w:hAnsi="Times New Roman" w:cs="Times New Roman"/>
        </w:rPr>
        <w:t xml:space="preserve"> frequently described insufficient preparation in science-heavy content areas. Delanie stated, “I also don't feel like this is just an [University] problem. I don't think we get enough content background. I don’t feel confident in teaching agronomy or those concepts with like really science heavy stuff.” Callie similarly reflected on gaps in advanced coursework, noting, “I transferred from [community college last fall semester. I did a lot of like content classes over there. I thought I would get more like </w:t>
      </w:r>
      <w:r w:rsidR="003F700D">
        <w:rPr>
          <w:rFonts w:ascii="Times New Roman" w:eastAsia="Times New Roman" w:hAnsi="Times New Roman" w:cs="Times New Roman"/>
        </w:rPr>
        <w:t>a</w:t>
      </w:r>
      <w:r w:rsidRPr="0029398F">
        <w:rPr>
          <w:rFonts w:ascii="Times New Roman" w:eastAsia="Times New Roman" w:hAnsi="Times New Roman" w:cs="Times New Roman"/>
        </w:rPr>
        <w:t>dvanced ones</w:t>
      </w:r>
      <w:r w:rsidR="001077C0">
        <w:rPr>
          <w:rFonts w:ascii="Times New Roman" w:eastAsia="Times New Roman" w:hAnsi="Times New Roman" w:cs="Times New Roman"/>
        </w:rPr>
        <w:t xml:space="preserve"> [at </w:t>
      </w:r>
      <w:proofErr w:type="gramStart"/>
      <w:r w:rsidR="001077C0">
        <w:rPr>
          <w:rFonts w:ascii="Times New Roman" w:eastAsia="Times New Roman" w:hAnsi="Times New Roman" w:cs="Times New Roman"/>
        </w:rPr>
        <w:t>University</w:t>
      </w:r>
      <w:proofErr w:type="gramEnd"/>
      <w:r w:rsidR="001077C0">
        <w:rPr>
          <w:rFonts w:ascii="Times New Roman" w:eastAsia="Times New Roman" w:hAnsi="Times New Roman" w:cs="Times New Roman"/>
        </w:rPr>
        <w:t>]</w:t>
      </w:r>
      <w:r w:rsidRPr="0029398F">
        <w:rPr>
          <w:rFonts w:ascii="Times New Roman" w:eastAsia="Times New Roman" w:hAnsi="Times New Roman" w:cs="Times New Roman"/>
        </w:rPr>
        <w:t xml:space="preserve">, which I didn't.” Nolan expressed concern about connecting instruction to broader STEM goals, stating, “I'm </w:t>
      </w:r>
      <w:r w:rsidR="71E59653" w:rsidRPr="0029398F">
        <w:rPr>
          <w:rFonts w:ascii="Times New Roman" w:eastAsia="Times New Roman" w:hAnsi="Times New Roman" w:cs="Times New Roman"/>
        </w:rPr>
        <w:t>kind of</w:t>
      </w:r>
      <w:r w:rsidRPr="0029398F">
        <w:rPr>
          <w:rFonts w:ascii="Times New Roman" w:eastAsia="Times New Roman" w:hAnsi="Times New Roman" w:cs="Times New Roman"/>
        </w:rPr>
        <w:t xml:space="preserve"> worried I guess about like tying it back into like the </w:t>
      </w:r>
      <w:r w:rsidR="003F700D">
        <w:rPr>
          <w:rFonts w:ascii="Times New Roman" w:eastAsia="Times New Roman" w:hAnsi="Times New Roman" w:cs="Times New Roman"/>
        </w:rPr>
        <w:t>STEM</w:t>
      </w:r>
      <w:r w:rsidRPr="0029398F">
        <w:rPr>
          <w:rFonts w:ascii="Times New Roman" w:eastAsia="Times New Roman" w:hAnsi="Times New Roman" w:cs="Times New Roman"/>
        </w:rPr>
        <w:t xml:space="preserve"> of it all and like making sure that connects for students.” Harper described the need to revisit content regularly, explaining, “I know when I'm teaching, I know that certain topics within a</w:t>
      </w:r>
      <w:r w:rsidR="7C43F5BB" w:rsidRPr="0029398F">
        <w:rPr>
          <w:rFonts w:ascii="Times New Roman" w:eastAsia="Times New Roman" w:hAnsi="Times New Roman" w:cs="Times New Roman"/>
        </w:rPr>
        <w:t>n</w:t>
      </w:r>
      <w:r w:rsidRPr="0029398F">
        <w:rPr>
          <w:rFonts w:ascii="Times New Roman" w:eastAsia="Times New Roman" w:hAnsi="Times New Roman" w:cs="Times New Roman"/>
        </w:rPr>
        <w:t xml:space="preserve"> area exists, but I need to look those back up to really understand how to then reteach them to other people.”</w:t>
      </w:r>
    </w:p>
    <w:p w14:paraId="24AB008E" w14:textId="6A3104A4" w:rsidR="002B4B63" w:rsidRPr="00AF4CFC" w:rsidRDefault="65474357"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In contrast, participants from </w:t>
      </w:r>
      <w:r w:rsidR="00133E2E">
        <w:rPr>
          <w:rFonts w:ascii="Times New Roman" w:eastAsia="Times New Roman" w:hAnsi="Times New Roman" w:cs="Times New Roman"/>
        </w:rPr>
        <w:t>Georgia</w:t>
      </w:r>
      <w:r w:rsidRPr="0029398F">
        <w:rPr>
          <w:rFonts w:ascii="Times New Roman" w:eastAsia="Times New Roman" w:hAnsi="Times New Roman" w:cs="Times New Roman"/>
        </w:rPr>
        <w:t xml:space="preserve"> often expressed confidence in the value of STEM integration while acknowledging challenges with the depth of science content embedded in CASE. Jordin stated, “I feel super confident with STEM concepts,” emphasizing the importance of </w:t>
      </w:r>
      <w:r w:rsidR="00133E2E">
        <w:rPr>
          <w:rFonts w:ascii="Times New Roman" w:eastAsia="Times New Roman" w:hAnsi="Times New Roman" w:cs="Times New Roman"/>
        </w:rPr>
        <w:t>science</w:t>
      </w:r>
      <w:r w:rsidRPr="0029398F">
        <w:rPr>
          <w:rFonts w:ascii="Times New Roman" w:eastAsia="Times New Roman" w:hAnsi="Times New Roman" w:cs="Times New Roman"/>
        </w:rPr>
        <w:t xml:space="preserve"> for recruitment and relevance in agricultural education. Reese similarly described agriculture as inherently interdisciplinary, noting, “I don't think you can teach agriculture without teaching STEM, because AG is a science.” However, Carter highlighted variability in the level of science required by CASE, stating, “I feel like CASE</w:t>
      </w:r>
      <w:r w:rsidR="00B63FF3">
        <w:rPr>
          <w:rFonts w:ascii="Times New Roman" w:eastAsia="Times New Roman" w:hAnsi="Times New Roman" w:cs="Times New Roman"/>
        </w:rPr>
        <w:t>,</w:t>
      </w:r>
      <w:r w:rsidRPr="0029398F">
        <w:rPr>
          <w:rFonts w:ascii="Times New Roman" w:eastAsia="Times New Roman" w:hAnsi="Times New Roman" w:cs="Times New Roman"/>
        </w:rPr>
        <w:t xml:space="preserve"> the way they align their curriculum, it was either like </w:t>
      </w:r>
      <w:r w:rsidR="00B63FF3" w:rsidRPr="0029398F">
        <w:rPr>
          <w:rFonts w:ascii="Times New Roman" w:eastAsia="Times New Roman" w:hAnsi="Times New Roman" w:cs="Times New Roman"/>
        </w:rPr>
        <w:t>high</w:t>
      </w:r>
      <w:r w:rsidR="00B63FF3">
        <w:rPr>
          <w:rFonts w:ascii="Times New Roman" w:eastAsia="Times New Roman" w:hAnsi="Times New Roman" w:cs="Times New Roman"/>
        </w:rPr>
        <w:t>-</w:t>
      </w:r>
      <w:r w:rsidRPr="0029398F">
        <w:rPr>
          <w:rFonts w:ascii="Times New Roman" w:eastAsia="Times New Roman" w:hAnsi="Times New Roman" w:cs="Times New Roman"/>
        </w:rPr>
        <w:t>level high school</w:t>
      </w:r>
      <w:r w:rsidR="00B63FF3">
        <w:rPr>
          <w:rFonts w:ascii="Times New Roman" w:eastAsia="Times New Roman" w:hAnsi="Times New Roman" w:cs="Times New Roman"/>
        </w:rPr>
        <w:t>,</w:t>
      </w:r>
      <w:r w:rsidRPr="0029398F">
        <w:rPr>
          <w:rFonts w:ascii="Times New Roman" w:eastAsia="Times New Roman" w:hAnsi="Times New Roman" w:cs="Times New Roman"/>
        </w:rPr>
        <w:t xml:space="preserve"> like college prep </w:t>
      </w:r>
      <w:r w:rsidR="678998A7" w:rsidRPr="0029398F">
        <w:rPr>
          <w:rFonts w:ascii="Times New Roman" w:eastAsia="Times New Roman" w:hAnsi="Times New Roman" w:cs="Times New Roman"/>
        </w:rPr>
        <w:t>stuff,</w:t>
      </w:r>
      <w:r w:rsidRPr="0029398F">
        <w:rPr>
          <w:rFonts w:ascii="Times New Roman" w:eastAsia="Times New Roman" w:hAnsi="Times New Roman" w:cs="Times New Roman"/>
        </w:rPr>
        <w:t xml:space="preserve"> or it was like 6th grade</w:t>
      </w:r>
      <w:r w:rsidR="00B63FF3">
        <w:rPr>
          <w:rFonts w:ascii="Times New Roman" w:eastAsia="Times New Roman" w:hAnsi="Times New Roman" w:cs="Times New Roman"/>
        </w:rPr>
        <w:t>,</w:t>
      </w:r>
      <w:r w:rsidRPr="0029398F">
        <w:rPr>
          <w:rFonts w:ascii="Times New Roman" w:eastAsia="Times New Roman" w:hAnsi="Times New Roman" w:cs="Times New Roman"/>
        </w:rPr>
        <w:t xml:space="preserve"> and there was really </w:t>
      </w:r>
      <w:proofErr w:type="gramStart"/>
      <w:r w:rsidRPr="0029398F">
        <w:rPr>
          <w:rFonts w:ascii="Times New Roman" w:eastAsia="Times New Roman" w:hAnsi="Times New Roman" w:cs="Times New Roman"/>
        </w:rPr>
        <w:t>no</w:t>
      </w:r>
      <w:proofErr w:type="gramEnd"/>
      <w:r w:rsidRPr="0029398F">
        <w:rPr>
          <w:rFonts w:ascii="Times New Roman" w:eastAsia="Times New Roman" w:hAnsi="Times New Roman" w:cs="Times New Roman"/>
        </w:rPr>
        <w:t xml:space="preserve"> in between there.”</w:t>
      </w:r>
    </w:p>
    <w:p w14:paraId="431AAEEF" w14:textId="4F41057A" w:rsidR="00E11398" w:rsidRPr="0029398F" w:rsidRDefault="2D522BCA" w:rsidP="0029398F">
      <w:pPr>
        <w:spacing w:after="0" w:line="240" w:lineRule="auto"/>
        <w:rPr>
          <w:rFonts w:ascii="Times New Roman" w:eastAsia="Times New Roman" w:hAnsi="Times New Roman" w:cs="Times New Roman"/>
          <w:b/>
          <w:bCs/>
        </w:rPr>
      </w:pPr>
      <w:r w:rsidRPr="0029398F">
        <w:rPr>
          <w:rFonts w:ascii="Times New Roman" w:eastAsia="Times New Roman" w:hAnsi="Times New Roman" w:cs="Times New Roman"/>
          <w:b/>
          <w:bCs/>
        </w:rPr>
        <w:t xml:space="preserve">CASE </w:t>
      </w:r>
      <w:r w:rsidR="0014675E">
        <w:rPr>
          <w:rFonts w:ascii="Times New Roman" w:eastAsia="Times New Roman" w:hAnsi="Times New Roman" w:cs="Times New Roman"/>
          <w:b/>
          <w:bCs/>
        </w:rPr>
        <w:t>N</w:t>
      </w:r>
      <w:r w:rsidRPr="0029398F">
        <w:rPr>
          <w:rFonts w:ascii="Times New Roman" w:eastAsia="Times New Roman" w:hAnsi="Times New Roman" w:cs="Times New Roman"/>
          <w:b/>
          <w:bCs/>
        </w:rPr>
        <w:t xml:space="preserve">ot </w:t>
      </w:r>
      <w:r w:rsidR="0014675E">
        <w:rPr>
          <w:rFonts w:ascii="Times New Roman" w:eastAsia="Times New Roman" w:hAnsi="Times New Roman" w:cs="Times New Roman"/>
          <w:b/>
          <w:bCs/>
        </w:rPr>
        <w:t>F</w:t>
      </w:r>
      <w:r w:rsidRPr="0029398F">
        <w:rPr>
          <w:rFonts w:ascii="Times New Roman" w:eastAsia="Times New Roman" w:hAnsi="Times New Roman" w:cs="Times New Roman"/>
          <w:b/>
          <w:bCs/>
        </w:rPr>
        <w:t xml:space="preserve">acilitating the </w:t>
      </w:r>
      <w:r w:rsidR="0014675E">
        <w:rPr>
          <w:rFonts w:ascii="Times New Roman" w:eastAsia="Times New Roman" w:hAnsi="Times New Roman" w:cs="Times New Roman"/>
          <w:b/>
          <w:bCs/>
        </w:rPr>
        <w:t>L</w:t>
      </w:r>
      <w:r w:rsidRPr="0029398F">
        <w:rPr>
          <w:rFonts w:ascii="Times New Roman" w:eastAsia="Times New Roman" w:hAnsi="Times New Roman" w:cs="Times New Roman"/>
          <w:b/>
          <w:bCs/>
        </w:rPr>
        <w:t xml:space="preserve">earning of </w:t>
      </w:r>
      <w:r w:rsidR="0014675E">
        <w:rPr>
          <w:rFonts w:ascii="Times New Roman" w:eastAsia="Times New Roman" w:hAnsi="Times New Roman" w:cs="Times New Roman"/>
          <w:b/>
          <w:bCs/>
        </w:rPr>
        <w:t>I</w:t>
      </w:r>
      <w:r w:rsidRPr="0029398F">
        <w:rPr>
          <w:rFonts w:ascii="Times New Roman" w:eastAsia="Times New Roman" w:hAnsi="Times New Roman" w:cs="Times New Roman"/>
          <w:b/>
          <w:bCs/>
        </w:rPr>
        <w:t xml:space="preserve">nquiry </w:t>
      </w:r>
      <w:r w:rsidR="0014675E">
        <w:rPr>
          <w:rFonts w:ascii="Times New Roman" w:eastAsia="Times New Roman" w:hAnsi="Times New Roman" w:cs="Times New Roman"/>
          <w:b/>
          <w:bCs/>
        </w:rPr>
        <w:t>M</w:t>
      </w:r>
      <w:r w:rsidRPr="0029398F">
        <w:rPr>
          <w:rFonts w:ascii="Times New Roman" w:eastAsia="Times New Roman" w:hAnsi="Times New Roman" w:cs="Times New Roman"/>
          <w:b/>
          <w:bCs/>
        </w:rPr>
        <w:t xml:space="preserve">ethods and STEM </w:t>
      </w:r>
      <w:r w:rsidR="0014675E">
        <w:rPr>
          <w:rFonts w:ascii="Times New Roman" w:eastAsia="Times New Roman" w:hAnsi="Times New Roman" w:cs="Times New Roman"/>
          <w:b/>
          <w:bCs/>
        </w:rPr>
        <w:t>C</w:t>
      </w:r>
      <w:r w:rsidRPr="0029398F">
        <w:rPr>
          <w:rFonts w:ascii="Times New Roman" w:eastAsia="Times New Roman" w:hAnsi="Times New Roman" w:cs="Times New Roman"/>
          <w:b/>
          <w:bCs/>
        </w:rPr>
        <w:t>ontent through PD</w:t>
      </w:r>
    </w:p>
    <w:p w14:paraId="0A89E95A" w14:textId="3CBAD9D2" w:rsidR="1D0F1025" w:rsidRDefault="1D0F1025" w:rsidP="0029398F">
      <w:pPr>
        <w:spacing w:after="0"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Participants consistently described CASE-focused professional development as prioritizing </w:t>
      </w:r>
      <w:r w:rsidRPr="0029398F">
        <w:rPr>
          <w:rFonts w:ascii="Times New Roman" w:eastAsia="Times New Roman" w:hAnsi="Times New Roman" w:cs="Times New Roman"/>
          <w:i/>
          <w:iCs/>
        </w:rPr>
        <w:t>how</w:t>
      </w:r>
      <w:r w:rsidRPr="0029398F">
        <w:rPr>
          <w:rFonts w:ascii="Times New Roman" w:eastAsia="Times New Roman" w:hAnsi="Times New Roman" w:cs="Times New Roman"/>
        </w:rPr>
        <w:t xml:space="preserve"> to use the curriculum rather than </w:t>
      </w:r>
      <w:r w:rsidRPr="0029398F">
        <w:rPr>
          <w:rFonts w:ascii="Times New Roman" w:eastAsia="Times New Roman" w:hAnsi="Times New Roman" w:cs="Times New Roman"/>
          <w:i/>
          <w:iCs/>
        </w:rPr>
        <w:t>why</w:t>
      </w:r>
      <w:r w:rsidRPr="0029398F">
        <w:rPr>
          <w:rFonts w:ascii="Times New Roman" w:eastAsia="Times New Roman" w:hAnsi="Times New Roman" w:cs="Times New Roman"/>
        </w:rPr>
        <w:t xml:space="preserve"> CASE is designed to support inquiry-based learning and STEM integration. While pre-service teachers valued opportunities to explore lesson structure, sequencing, and adaptation, they noted a lack of explicit attention to the underlying pedagogical purposes of CASE, particularly its alignment with inquiry-based </w:t>
      </w:r>
      <w:r w:rsidRPr="0029398F">
        <w:rPr>
          <w:rFonts w:ascii="Times New Roman" w:eastAsia="Times New Roman" w:hAnsi="Times New Roman" w:cs="Times New Roman"/>
        </w:rPr>
        <w:lastRenderedPageBreak/>
        <w:t xml:space="preserve">instruction and science integration. As a result, participants often left CASE </w:t>
      </w:r>
      <w:r w:rsidR="00100C71">
        <w:rPr>
          <w:rFonts w:ascii="Times New Roman" w:eastAsia="Times New Roman" w:hAnsi="Times New Roman" w:cs="Times New Roman"/>
        </w:rPr>
        <w:t>PD</w:t>
      </w:r>
      <w:r w:rsidRPr="0029398F">
        <w:rPr>
          <w:rFonts w:ascii="Times New Roman" w:eastAsia="Times New Roman" w:hAnsi="Times New Roman" w:cs="Times New Roman"/>
        </w:rPr>
        <w:t xml:space="preserve"> with procedural familiarity but limited conceptual grounding in the instructional rationale driving the curriculum.</w:t>
      </w:r>
    </w:p>
    <w:p w14:paraId="649C7D77" w14:textId="77777777" w:rsidR="0029398F" w:rsidRPr="0029398F" w:rsidRDefault="0029398F" w:rsidP="0029398F">
      <w:pPr>
        <w:spacing w:after="0" w:line="240" w:lineRule="auto"/>
        <w:ind w:firstLine="720"/>
        <w:rPr>
          <w:rFonts w:ascii="Times New Roman" w:eastAsia="Times New Roman" w:hAnsi="Times New Roman" w:cs="Times New Roman"/>
        </w:rPr>
      </w:pPr>
    </w:p>
    <w:p w14:paraId="52E7FC10" w14:textId="50F57F7E" w:rsidR="0029398F" w:rsidRPr="0029398F" w:rsidRDefault="1D0F1025"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Several participants highlighted the role of faculty facilitators in helping them navigate CASE from a practical, teacher-oriented perspective. Callie described her experience working with the lead teacher in the pre-service institute</w:t>
      </w:r>
      <w:r w:rsidR="0013265C">
        <w:rPr>
          <w:rFonts w:ascii="Times New Roman" w:eastAsia="Times New Roman" w:hAnsi="Times New Roman" w:cs="Times New Roman"/>
        </w:rPr>
        <w:t>,</w:t>
      </w:r>
      <w:r w:rsidRPr="0029398F">
        <w:rPr>
          <w:rFonts w:ascii="Times New Roman" w:eastAsia="Times New Roman" w:hAnsi="Times New Roman" w:cs="Times New Roman"/>
        </w:rPr>
        <w:t xml:space="preserve"> who extended beyond the curriculum materials themselves, stating, </w:t>
      </w:r>
      <w:r w:rsidRPr="0029398F">
        <w:rPr>
          <w:rFonts w:ascii="Times New Roman" w:eastAsia="Times New Roman" w:hAnsi="Times New Roman" w:cs="Times New Roman"/>
          <w:i/>
          <w:iCs/>
        </w:rPr>
        <w:t>“</w:t>
      </w:r>
      <w:r w:rsidRPr="0029398F">
        <w:rPr>
          <w:rFonts w:ascii="Times New Roman" w:eastAsia="Times New Roman" w:hAnsi="Times New Roman" w:cs="Times New Roman"/>
        </w:rPr>
        <w:t>I guess like the professor that helped us throughout that, she added on to a lot of the stuff</w:t>
      </w:r>
      <w:r w:rsidR="0013265C">
        <w:rPr>
          <w:rFonts w:ascii="Times New Roman" w:eastAsia="Times New Roman" w:hAnsi="Times New Roman" w:cs="Times New Roman"/>
        </w:rPr>
        <w:t>,</w:t>
      </w:r>
      <w:r w:rsidRPr="0029398F">
        <w:rPr>
          <w:rFonts w:ascii="Times New Roman" w:eastAsia="Times New Roman" w:hAnsi="Times New Roman" w:cs="Times New Roman"/>
        </w:rPr>
        <w:t xml:space="preserve"> and like she was very open.” Harper similarly emphasized how instructional conversations focused on adapting CASE lessons to fit real classroom constraints, explaining, “She's like you can use this for this class</w:t>
      </w:r>
      <w:r w:rsidR="0040632A">
        <w:rPr>
          <w:rFonts w:ascii="Times New Roman" w:eastAsia="Times New Roman" w:hAnsi="Times New Roman" w:cs="Times New Roman"/>
        </w:rPr>
        <w:t>,</w:t>
      </w:r>
      <w:r w:rsidRPr="0029398F">
        <w:rPr>
          <w:rFonts w:ascii="Times New Roman" w:eastAsia="Times New Roman" w:hAnsi="Times New Roman" w:cs="Times New Roman"/>
        </w:rPr>
        <w:t xml:space="preserve"> and she would say</w:t>
      </w:r>
      <w:r w:rsidR="0040632A">
        <w:rPr>
          <w:rFonts w:ascii="Times New Roman" w:eastAsia="Times New Roman" w:hAnsi="Times New Roman" w:cs="Times New Roman"/>
        </w:rPr>
        <w:t>,</w:t>
      </w:r>
      <w:r w:rsidRPr="0029398F">
        <w:rPr>
          <w:rFonts w:ascii="Times New Roman" w:eastAsia="Times New Roman" w:hAnsi="Times New Roman" w:cs="Times New Roman"/>
        </w:rPr>
        <w:t xml:space="preserve"> </w:t>
      </w:r>
      <w:r w:rsidR="55255A87" w:rsidRPr="0029398F">
        <w:rPr>
          <w:rFonts w:ascii="Times New Roman" w:eastAsia="Times New Roman" w:hAnsi="Times New Roman" w:cs="Times New Roman"/>
        </w:rPr>
        <w:t>‘</w:t>
      </w:r>
      <w:r w:rsidR="0040632A">
        <w:rPr>
          <w:rFonts w:ascii="Times New Roman" w:eastAsia="Times New Roman" w:hAnsi="Times New Roman" w:cs="Times New Roman"/>
        </w:rPr>
        <w:t>W</w:t>
      </w:r>
      <w:r w:rsidR="0040632A" w:rsidRPr="0029398F">
        <w:rPr>
          <w:rFonts w:ascii="Times New Roman" w:eastAsia="Times New Roman" w:hAnsi="Times New Roman" w:cs="Times New Roman"/>
        </w:rPr>
        <w:t xml:space="preserve">hat </w:t>
      </w:r>
      <w:r w:rsidRPr="0029398F">
        <w:rPr>
          <w:rFonts w:ascii="Times New Roman" w:eastAsia="Times New Roman" w:hAnsi="Times New Roman" w:cs="Times New Roman"/>
        </w:rPr>
        <w:t>if you didn't get to this lesson</w:t>
      </w:r>
      <w:r w:rsidR="668326DB" w:rsidRPr="0029398F">
        <w:rPr>
          <w:rFonts w:ascii="Times New Roman" w:eastAsia="Times New Roman" w:hAnsi="Times New Roman" w:cs="Times New Roman"/>
        </w:rPr>
        <w:t>?</w:t>
      </w:r>
      <w:r w:rsidRPr="0029398F">
        <w:rPr>
          <w:rFonts w:ascii="Times New Roman" w:eastAsia="Times New Roman" w:hAnsi="Times New Roman" w:cs="Times New Roman"/>
        </w:rPr>
        <w:t xml:space="preserve"> How could you get around that without using all the lessons in order every day?</w:t>
      </w:r>
      <w:r w:rsidR="1F910215" w:rsidRPr="0029398F">
        <w:rPr>
          <w:rFonts w:ascii="Times New Roman" w:eastAsia="Times New Roman" w:hAnsi="Times New Roman" w:cs="Times New Roman"/>
        </w:rPr>
        <w:t>’</w:t>
      </w:r>
      <w:r w:rsidRPr="0029398F">
        <w:rPr>
          <w:rFonts w:ascii="Times New Roman" w:eastAsia="Times New Roman" w:hAnsi="Times New Roman" w:cs="Times New Roman"/>
        </w:rPr>
        <w:t>” These experiences helped participants view CASE as a flexible instructional tool rather than a rigid sequence of lessons.</w:t>
      </w:r>
    </w:p>
    <w:p w14:paraId="31B019D0" w14:textId="64AD063A" w:rsidR="0029398F" w:rsidRPr="0029398F" w:rsidRDefault="038D254B" w:rsidP="00AF4CFC">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 xml:space="preserve">Participants also described CASE learning experiences as valuable for understanding the curriculum from multiple perspectives. Callie reflected on the dual role she occupied during CASE-related coursework, noting, “Yeah, it was just beneficial to see like more of how CASE works, seeing it as like a teacher aspect and I could also put on my student hat too.” Elise similarly recalled conversations about adapting CASE lessons, stating, “I know there was a little bit of some like modifications we [talked about] as we were going through the curriculum.” These discussions reinforced participants’ sense of autonomy and agency in </w:t>
      </w:r>
      <w:r w:rsidR="0040632A">
        <w:rPr>
          <w:rFonts w:ascii="Times New Roman" w:eastAsia="Times New Roman" w:hAnsi="Times New Roman" w:cs="Times New Roman"/>
        </w:rPr>
        <w:t>their</w:t>
      </w:r>
      <w:r w:rsidRPr="0029398F">
        <w:rPr>
          <w:rFonts w:ascii="Times New Roman" w:eastAsia="Times New Roman" w:hAnsi="Times New Roman" w:cs="Times New Roman"/>
        </w:rPr>
        <w:t xml:space="preserve"> use</w:t>
      </w:r>
      <w:r w:rsidR="0040632A">
        <w:rPr>
          <w:rFonts w:ascii="Times New Roman" w:eastAsia="Times New Roman" w:hAnsi="Times New Roman" w:cs="Times New Roman"/>
        </w:rPr>
        <w:t xml:space="preserve"> of the curriculum</w:t>
      </w:r>
      <w:r w:rsidRPr="0029398F">
        <w:rPr>
          <w:rFonts w:ascii="Times New Roman" w:eastAsia="Times New Roman" w:hAnsi="Times New Roman" w:cs="Times New Roman"/>
        </w:rPr>
        <w:t>, even as they navigated prescribed materials.</w:t>
      </w:r>
    </w:p>
    <w:p w14:paraId="1154C432" w14:textId="4BCEFD5F" w:rsidR="0029398F" w:rsidRPr="0029398F" w:rsidRDefault="038D254B" w:rsidP="00133E2E">
      <w:pPr>
        <w:spacing w:line="240" w:lineRule="auto"/>
        <w:ind w:firstLine="720"/>
        <w:rPr>
          <w:rFonts w:ascii="Times New Roman" w:eastAsia="Times New Roman" w:hAnsi="Times New Roman" w:cs="Times New Roman"/>
        </w:rPr>
      </w:pPr>
      <w:r w:rsidRPr="0029398F">
        <w:rPr>
          <w:rFonts w:ascii="Times New Roman" w:eastAsia="Times New Roman" w:hAnsi="Times New Roman" w:cs="Times New Roman"/>
        </w:rPr>
        <w:t>However, participants noted that this emphasis on modification and implementation was not consistently accompanied by explicit discussion of inquiry-based pedagogy or STEM integration as the theoretical foundation of CASE. Jordin articulated this tension clearly, explaining, “Because like, nobody's saying I have to, but like, they're giving me a tool and like, how do I feel about that tool?” While this framing encouraged reflection and choice, participants suggested that understanding CASE as a tool would have been strengthened by deeper engagement with the pedagogical purposes underlying its design.</w:t>
      </w:r>
      <w:r w:rsidR="00467534">
        <w:rPr>
          <w:rFonts w:ascii="Times New Roman" w:eastAsia="Times New Roman" w:hAnsi="Times New Roman" w:cs="Times New Roman"/>
        </w:rPr>
        <w:t xml:space="preserve"> </w:t>
      </w:r>
      <w:r w:rsidRPr="0029398F">
        <w:rPr>
          <w:rFonts w:ascii="Times New Roman" w:eastAsia="Times New Roman" w:hAnsi="Times New Roman" w:cs="Times New Roman"/>
        </w:rPr>
        <w:t xml:space="preserve">Several participants expressed uncertainty about whether CASE lessons truly aligned with their conceptual understanding of inquiry-based instruction. Elise reflected on recurring lesson structures, noting, </w:t>
      </w:r>
      <w:r w:rsidR="00F254B8" w:rsidRPr="0029398F">
        <w:rPr>
          <w:rFonts w:ascii="Times New Roman" w:eastAsia="Times New Roman" w:hAnsi="Times New Roman" w:cs="Times New Roman"/>
        </w:rPr>
        <w:t>“</w:t>
      </w:r>
      <w:r w:rsidRPr="0029398F">
        <w:rPr>
          <w:rFonts w:ascii="Times New Roman" w:eastAsia="Times New Roman" w:hAnsi="Times New Roman" w:cs="Times New Roman"/>
        </w:rPr>
        <w:t xml:space="preserve">I notice it always started out with a beginning question and then you did an activity and then it ended with a question to </w:t>
      </w:r>
      <w:r w:rsidR="00F254B8" w:rsidRPr="0029398F">
        <w:rPr>
          <w:rFonts w:ascii="Times New Roman" w:eastAsia="Times New Roman" w:hAnsi="Times New Roman" w:cs="Times New Roman"/>
        </w:rPr>
        <w:t>g</w:t>
      </w:r>
      <w:r w:rsidRPr="0029398F">
        <w:rPr>
          <w:rFonts w:ascii="Times New Roman" w:eastAsia="Times New Roman" w:hAnsi="Times New Roman" w:cs="Times New Roman"/>
        </w:rPr>
        <w:t>uide what they were learning, but I'm not sure that i</w:t>
      </w:r>
      <w:r w:rsidR="00F254B8" w:rsidRPr="0029398F">
        <w:rPr>
          <w:rFonts w:ascii="Times New Roman" w:eastAsia="Times New Roman" w:hAnsi="Times New Roman" w:cs="Times New Roman"/>
        </w:rPr>
        <w:t xml:space="preserve">s </w:t>
      </w:r>
      <w:r w:rsidRPr="0029398F">
        <w:rPr>
          <w:rFonts w:ascii="Times New Roman" w:eastAsia="Times New Roman" w:hAnsi="Times New Roman" w:cs="Times New Roman"/>
        </w:rPr>
        <w:t xml:space="preserve">what </w:t>
      </w:r>
      <w:r w:rsidR="00F254B8" w:rsidRPr="0029398F">
        <w:rPr>
          <w:rFonts w:ascii="Times New Roman" w:eastAsia="Times New Roman" w:hAnsi="Times New Roman" w:cs="Times New Roman"/>
        </w:rPr>
        <w:t>I</w:t>
      </w:r>
      <w:r w:rsidRPr="0029398F">
        <w:rPr>
          <w:rFonts w:ascii="Times New Roman" w:eastAsia="Times New Roman" w:hAnsi="Times New Roman" w:cs="Times New Roman"/>
        </w:rPr>
        <w:t xml:space="preserve"> consider inquiry based</w:t>
      </w:r>
      <w:r w:rsidR="00F254B8" w:rsidRPr="0029398F">
        <w:rPr>
          <w:rFonts w:ascii="Times New Roman" w:eastAsia="Times New Roman" w:hAnsi="Times New Roman" w:cs="Times New Roman"/>
        </w:rPr>
        <w:t xml:space="preserve">” </w:t>
      </w:r>
      <w:r w:rsidRPr="0029398F">
        <w:rPr>
          <w:rFonts w:ascii="Times New Roman" w:eastAsia="Times New Roman" w:hAnsi="Times New Roman" w:cs="Times New Roman"/>
        </w:rPr>
        <w:t>This uncertainty suggests that without explicit framing of inquiry as a continuum or guided process, participants struggled to reconcile CASE’s structured design with their expectations of inquiry-based learning.</w:t>
      </w:r>
    </w:p>
    <w:p w14:paraId="1A9A564D" w14:textId="51EB695B" w:rsidR="002B4B63" w:rsidRPr="0029398F" w:rsidRDefault="009941AF" w:rsidP="00EE43D4">
      <w:pPr>
        <w:spacing w:after="0" w:line="240" w:lineRule="auto"/>
        <w:jc w:val="center"/>
        <w:rPr>
          <w:rFonts w:ascii="Times New Roman" w:eastAsia="Times New Roman" w:hAnsi="Times New Roman" w:cs="Times New Roman"/>
          <w:b/>
          <w:bCs/>
          <w:kern w:val="0"/>
          <w14:ligatures w14:val="none"/>
        </w:rPr>
      </w:pPr>
      <w:r w:rsidRPr="0029398F">
        <w:rPr>
          <w:rFonts w:ascii="Times New Roman" w:eastAsia="Times New Roman" w:hAnsi="Times New Roman" w:cs="Times New Roman"/>
          <w:b/>
          <w:bCs/>
          <w:kern w:val="0"/>
          <w14:ligatures w14:val="none"/>
        </w:rPr>
        <w:t>Conclusions, Discussions, and Recommendations</w:t>
      </w:r>
    </w:p>
    <w:p w14:paraId="4334D4B9" w14:textId="0A26DCDA" w:rsidR="0029398F" w:rsidRDefault="0029398F" w:rsidP="0029398F">
      <w:pPr>
        <w:pStyle w:val="NormalWeb"/>
        <w:spacing w:before="0" w:beforeAutospacing="0"/>
        <w:ind w:firstLine="720"/>
      </w:pPr>
      <w:r>
        <w:t>Collectively, the findings indicate that pre-service agricultural education teachers’ perceptions of inquiry-based STEM instruction are shaped less by the CASE curriculum itself and more by how CASE is introduced, modeled, and discussed within teacher preparation and regional contexts. Supporting prior research, participants across high- and low-adoption contexts expressed strong philosophical alignment with inquiry-based, experiential, and STEM-integrated instruction in SBAE (</w:t>
      </w:r>
      <w:r w:rsidR="00E91116">
        <w:t xml:space="preserve">McKim et al., 2025; </w:t>
      </w:r>
      <w:r>
        <w:t xml:space="preserve">Parr et al., 2006; Wells et al., 2015). However, consistent with previous findings, this alignment did not consistently translate into </w:t>
      </w:r>
      <w:r w:rsidR="007950A0">
        <w:t xml:space="preserve">a </w:t>
      </w:r>
      <w:r>
        <w:t>clear pedagogical understanding of inquiry as a method (Keselman, 2003; Nelson et al., 2022).</w:t>
      </w:r>
    </w:p>
    <w:p w14:paraId="5CD19E76" w14:textId="70E62FE0" w:rsidR="0029398F" w:rsidRDefault="0029398F" w:rsidP="0029398F">
      <w:pPr>
        <w:pStyle w:val="NormalWeb"/>
        <w:spacing w:before="0" w:beforeAutospacing="0"/>
        <w:ind w:firstLine="720"/>
      </w:pPr>
      <w:r>
        <w:lastRenderedPageBreak/>
        <w:t>Differences between high- and low-CASE adoption contexts further support p</w:t>
      </w:r>
      <w:r w:rsidR="0040632A">
        <w:t>rior</w:t>
      </w:r>
      <w:r>
        <w:t xml:space="preserve"> research demonstrating that exposure and implementation shape perceptions </w:t>
      </w:r>
      <w:r w:rsidR="0040632A">
        <w:t xml:space="preserve">of the curriculum </w:t>
      </w:r>
      <w:r>
        <w:t>(</w:t>
      </w:r>
      <w:r w:rsidR="00E91116">
        <w:t xml:space="preserve">Honeyman &amp; Eck, 2025; </w:t>
      </w:r>
      <w:r>
        <w:t>Nelson et al., 2022). In high-adoption contexts, early exposure to rigid or scripted CASE enactments contributed to negative perceptions of inquiry, while limited exposure in low-adoption contexts allowed pre</w:t>
      </w:r>
      <w:r w:rsidR="0039201B">
        <w:t>-</w:t>
      </w:r>
      <w:r>
        <w:t>service teachers to conceptualize CASE more flexibly. Through the lens of Rogers’ Diffusion of Innovation theory, these patterns suggest that observed implementation influenced perceptions of compatibility, complexity, and relative advantage (Rogers, 2003), often overshadowing CASE’s intended inquiry-based design.</w:t>
      </w:r>
    </w:p>
    <w:p w14:paraId="70B90C3A" w14:textId="4D8C0C77" w:rsidR="0029398F" w:rsidRDefault="0029398F" w:rsidP="0029398F">
      <w:pPr>
        <w:pStyle w:val="NormalWeb"/>
        <w:spacing w:before="0" w:beforeAutospacing="0"/>
        <w:ind w:firstLine="720"/>
      </w:pPr>
      <w:r>
        <w:t>Across contexts, participants overwhelmingly anticipated using CASE selectively rather than as a comprehensive curriculum. This finding supports prior research indicating that teachers adapt instructional resources to align with contextual constraints and personal beliefs (Rice &amp; Kitchel, 2017; 2018). When viewed through the conceptual model of inquiry-based instruction, pre</w:t>
      </w:r>
      <w:r w:rsidR="0039201B">
        <w:t>-</w:t>
      </w:r>
      <w:r>
        <w:t>service teachers’ piecemeal approach reflects the interaction of teacher characteristics, instructional context, and pedagogical confidence in shaping inquiry enactment (Thoron &amp; Myers, 2012). Rather than rejecting inquiry-based STEM integration, participants struggled to operationalize it, particularly in the absence of strong pedagogical content knowledge (</w:t>
      </w:r>
      <w:r w:rsidR="00163E65">
        <w:t xml:space="preserve">Rice &amp; Kitchel, 2015; </w:t>
      </w:r>
      <w:r>
        <w:t>Shulman, 1986).</w:t>
      </w:r>
    </w:p>
    <w:p w14:paraId="6F759E26" w14:textId="0C68B36D" w:rsidR="00CC36D6" w:rsidRDefault="0040632A" w:rsidP="00EE43D4">
      <w:pPr>
        <w:pStyle w:val="NormalWeb"/>
        <w:spacing w:before="0" w:beforeAutospacing="0" w:after="240" w:afterAutospacing="0"/>
        <w:ind w:firstLine="720"/>
      </w:pPr>
      <w:r>
        <w:t>Consistent with</w:t>
      </w:r>
      <w:r w:rsidR="0029398F">
        <w:t xml:space="preserve"> prior research, participants’ uncertainty about inquiry-based instruction and </w:t>
      </w:r>
      <w:r>
        <w:t xml:space="preserve">their </w:t>
      </w:r>
      <w:r w:rsidR="0029398F">
        <w:t xml:space="preserve">science content knowledge constrained their ability to interpret CASE as an inquiry-driven curriculum (Keselman, 2003; Nelson et al., 2022). These findings suggest that CASE professional development and teacher preparation experiences prioritized procedural understanding of curriculum use over explicit engagement with inquiry theory and STEM integration, reinforcing documented discrepancies between perceived and enacted inquiry (Nelson et al., 2022). </w:t>
      </w:r>
      <w:r w:rsidR="002B4B63">
        <w:t>Building on these findings, future research should examine how in-service CASE</w:t>
      </w:r>
      <w:r w:rsidR="00227CE6">
        <w:t xml:space="preserve"> </w:t>
      </w:r>
      <w:r w:rsidR="002B4B63">
        <w:t>professional development explicitly addresses inquiry pedagogy and STEM integration</w:t>
      </w:r>
      <w:r w:rsidR="00227CE6">
        <w:t>,</w:t>
      </w:r>
      <w:r w:rsidR="002B4B63">
        <w:t xml:space="preserve"> </w:t>
      </w:r>
      <w:r w:rsidR="00227CE6">
        <w:t>comparing</w:t>
      </w:r>
      <w:r w:rsidR="002B4B63">
        <w:t xml:space="preserve"> co</w:t>
      </w:r>
      <w:r w:rsidR="00227CE6">
        <w:t>ntexts</w:t>
      </w:r>
      <w:r w:rsidR="002B4B63">
        <w:t xml:space="preserve"> </w:t>
      </w:r>
      <w:r w:rsidR="00227CE6">
        <w:t>of</w:t>
      </w:r>
      <w:r w:rsidR="002B4B63">
        <w:t xml:space="preserve"> </w:t>
      </w:r>
      <w:r w:rsidR="00227CE6">
        <w:t>high</w:t>
      </w:r>
      <w:r w:rsidR="002B4B63">
        <w:t xml:space="preserve"> </w:t>
      </w:r>
      <w:r w:rsidR="00D6657F">
        <w:t>and</w:t>
      </w:r>
      <w:r w:rsidR="002B4B63">
        <w:t xml:space="preserve"> low </w:t>
      </w:r>
      <w:r w:rsidR="00227CE6">
        <w:t>adoption</w:t>
      </w:r>
      <w:r w:rsidR="002B4B63">
        <w:t xml:space="preserve">. Additionally, a longitudinal study following pre-service teachers into </w:t>
      </w:r>
      <w:r w:rsidR="00227CE6">
        <w:t>early-</w:t>
      </w:r>
      <w:r w:rsidR="002B4B63">
        <w:t xml:space="preserve">career professionals could provide insight </w:t>
      </w:r>
      <w:r w:rsidR="00227CE6">
        <w:t>into</w:t>
      </w:r>
      <w:r w:rsidR="002B4B63">
        <w:t xml:space="preserve"> the evolution of perspectives and knowledge </w:t>
      </w:r>
      <w:r w:rsidR="00227CE6">
        <w:t>regarding</w:t>
      </w:r>
      <w:r w:rsidR="002B4B63">
        <w:t xml:space="preserve"> CASE, inquiry-based learning, and STEM integration. From a practice perspective, CASE professional development and teacher preparation programs should more intentionally foreground inquiry and STEM as foundational frameworks, either as explicit components of CASE institutes or as precursor learning experiences prior to curriculum-specific training.</w:t>
      </w:r>
    </w:p>
    <w:p w14:paraId="280E2B61" w14:textId="2A5788D1" w:rsidR="00AF4CFC" w:rsidRDefault="00EE43D4" w:rsidP="00AF4CFC">
      <w:pPr>
        <w:pStyle w:val="NormalWeb"/>
        <w:spacing w:before="0" w:beforeAutospacing="0" w:after="240" w:afterAutospacing="0"/>
        <w:ind w:firstLine="720"/>
      </w:pPr>
      <w:r>
        <w:t>Taken together, these findings suggest that pre-service teachers’ understandings of inquiry-based science integration in SBAE are shaped less by curriculum exposure alone and more by how inquiry is modeled, scaffolded, and contextualized within teacher preparation. While CASE served as a common reference point, it did not independently produce coherent pedagogical understandings of inquiry. These results highlight the need for teacher education to more explicitly emphasize scientific practices and inquiry as instructional approaches, rather than relying on curriculum adoption to support science integration. Strengthening these pedagogical foundations may better support pre-service teachers in translating philosophical alignment with inquiry into meaningful classroom practice across SBAE contexts.</w:t>
      </w:r>
    </w:p>
    <w:p w14:paraId="7D422E94" w14:textId="77777777" w:rsidR="00AF4CFC" w:rsidRPr="00AF4CFC" w:rsidRDefault="00AF4CFC" w:rsidP="00AF4CFC">
      <w:pPr>
        <w:pStyle w:val="NormalWeb"/>
        <w:spacing w:before="0" w:beforeAutospacing="0" w:after="240" w:afterAutospacing="0"/>
        <w:ind w:firstLine="720"/>
      </w:pPr>
    </w:p>
    <w:p w14:paraId="3DDE732F" w14:textId="6A99C457" w:rsidR="00F27FFC" w:rsidRPr="0029398F" w:rsidRDefault="00F27FFC" w:rsidP="0029398F">
      <w:pPr>
        <w:spacing w:line="240" w:lineRule="auto"/>
        <w:jc w:val="center"/>
        <w:rPr>
          <w:rFonts w:ascii="Times New Roman" w:eastAsia="Times New Roman" w:hAnsi="Times New Roman" w:cs="Times New Roman"/>
          <w:b/>
          <w:bCs/>
          <w:kern w:val="0"/>
          <w14:ligatures w14:val="none"/>
        </w:rPr>
      </w:pPr>
      <w:r w:rsidRPr="0029398F">
        <w:rPr>
          <w:rFonts w:ascii="Times New Roman" w:eastAsia="Times New Roman" w:hAnsi="Times New Roman" w:cs="Times New Roman"/>
          <w:b/>
          <w:bCs/>
          <w:kern w:val="0"/>
          <w14:ligatures w14:val="none"/>
        </w:rPr>
        <w:lastRenderedPageBreak/>
        <w:t>References</w:t>
      </w:r>
    </w:p>
    <w:p w14:paraId="38024043" w14:textId="68E58BFF" w:rsidR="0FCCC80A" w:rsidRPr="0029398F" w:rsidRDefault="0FCCC80A"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Bird, T. D., &amp; Rice, A. H. (2021). The </w:t>
      </w:r>
      <w:r w:rsidR="00467534">
        <w:rPr>
          <w:rFonts w:ascii="Times New Roman" w:eastAsia="Times New Roman" w:hAnsi="Times New Roman" w:cs="Times New Roman"/>
          <w:color w:val="000000" w:themeColor="text1"/>
        </w:rPr>
        <w:t>i</w:t>
      </w:r>
      <w:r w:rsidRPr="0029398F">
        <w:rPr>
          <w:rFonts w:ascii="Times New Roman" w:eastAsia="Times New Roman" w:hAnsi="Times New Roman" w:cs="Times New Roman"/>
          <w:color w:val="000000" w:themeColor="text1"/>
        </w:rPr>
        <w:t xml:space="preserve">nfluence of CASE on </w:t>
      </w:r>
      <w:r w:rsidR="00467534">
        <w:rPr>
          <w:rFonts w:ascii="Times New Roman" w:eastAsia="Times New Roman" w:hAnsi="Times New Roman" w:cs="Times New Roman"/>
          <w:color w:val="000000" w:themeColor="text1"/>
        </w:rPr>
        <w:t>a</w:t>
      </w:r>
      <w:r w:rsidRPr="0029398F">
        <w:rPr>
          <w:rFonts w:ascii="Times New Roman" w:eastAsia="Times New Roman" w:hAnsi="Times New Roman" w:cs="Times New Roman"/>
          <w:color w:val="000000" w:themeColor="text1"/>
        </w:rPr>
        <w:t xml:space="preserve">griculture </w:t>
      </w:r>
      <w:r w:rsidR="00467534">
        <w:rPr>
          <w:rFonts w:ascii="Times New Roman" w:eastAsia="Times New Roman" w:hAnsi="Times New Roman" w:cs="Times New Roman"/>
          <w:color w:val="000000" w:themeColor="text1"/>
        </w:rPr>
        <w:t>t</w:t>
      </w:r>
      <w:r w:rsidRPr="0029398F">
        <w:rPr>
          <w:rFonts w:ascii="Times New Roman" w:eastAsia="Times New Roman" w:hAnsi="Times New Roman" w:cs="Times New Roman"/>
          <w:color w:val="000000" w:themeColor="text1"/>
        </w:rPr>
        <w:t xml:space="preserve">eachers’ </w:t>
      </w:r>
      <w:r w:rsidR="00467534">
        <w:rPr>
          <w:rFonts w:ascii="Times New Roman" w:eastAsia="Times New Roman" w:hAnsi="Times New Roman" w:cs="Times New Roman"/>
          <w:color w:val="000000" w:themeColor="text1"/>
        </w:rPr>
        <w:t>u</w:t>
      </w:r>
      <w:r w:rsidRPr="0029398F">
        <w:rPr>
          <w:rFonts w:ascii="Times New Roman" w:eastAsia="Times New Roman" w:hAnsi="Times New Roman" w:cs="Times New Roman"/>
          <w:color w:val="000000" w:themeColor="text1"/>
        </w:rPr>
        <w:t xml:space="preserve">se of </w:t>
      </w:r>
      <w:r w:rsidR="00467534">
        <w:rPr>
          <w:rFonts w:ascii="Times New Roman" w:eastAsia="Times New Roman" w:hAnsi="Times New Roman" w:cs="Times New Roman"/>
          <w:color w:val="000000" w:themeColor="text1"/>
        </w:rPr>
        <w:t>i</w:t>
      </w:r>
      <w:r w:rsidRPr="0029398F">
        <w:rPr>
          <w:rFonts w:ascii="Times New Roman" w:eastAsia="Times New Roman" w:hAnsi="Times New Roman" w:cs="Times New Roman"/>
          <w:color w:val="000000" w:themeColor="text1"/>
        </w:rPr>
        <w:t>nquiry-</w:t>
      </w:r>
      <w:r w:rsidR="00467534">
        <w:rPr>
          <w:rFonts w:ascii="Times New Roman" w:eastAsia="Times New Roman" w:hAnsi="Times New Roman" w:cs="Times New Roman"/>
          <w:color w:val="000000" w:themeColor="text1"/>
        </w:rPr>
        <w:t>b</w:t>
      </w:r>
      <w:r w:rsidRPr="0029398F">
        <w:rPr>
          <w:rFonts w:ascii="Times New Roman" w:eastAsia="Times New Roman" w:hAnsi="Times New Roman" w:cs="Times New Roman"/>
          <w:color w:val="000000" w:themeColor="text1"/>
        </w:rPr>
        <w:t xml:space="preserve">ased </w:t>
      </w:r>
      <w:r w:rsidR="00467534">
        <w:rPr>
          <w:rFonts w:ascii="Times New Roman" w:eastAsia="Times New Roman" w:hAnsi="Times New Roman" w:cs="Times New Roman"/>
          <w:color w:val="000000" w:themeColor="text1"/>
        </w:rPr>
        <w:t>m</w:t>
      </w:r>
      <w:r w:rsidRPr="0029398F">
        <w:rPr>
          <w:rFonts w:ascii="Times New Roman" w:eastAsia="Times New Roman" w:hAnsi="Times New Roman" w:cs="Times New Roman"/>
          <w:color w:val="000000" w:themeColor="text1"/>
        </w:rPr>
        <w:t xml:space="preserve">ethods.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62</w:t>
      </w:r>
      <w:r w:rsidRPr="0029398F">
        <w:rPr>
          <w:rFonts w:ascii="Times New Roman" w:eastAsia="Times New Roman" w:hAnsi="Times New Roman" w:cs="Times New Roman"/>
          <w:color w:val="000000" w:themeColor="text1"/>
        </w:rPr>
        <w:t xml:space="preserve">(1), 260–275. </w:t>
      </w:r>
      <w:hyperlink r:id="rId10">
        <w:r w:rsidRPr="0029398F">
          <w:rPr>
            <w:rStyle w:val="Hyperlink"/>
            <w:rFonts w:ascii="Times New Roman" w:eastAsia="Times New Roman" w:hAnsi="Times New Roman" w:cs="Times New Roman"/>
            <w:color w:val="000000" w:themeColor="text1"/>
            <w:u w:val="none"/>
          </w:rPr>
          <w:t>https://doi.org/10.5032/jae.2021.01260</w:t>
        </w:r>
      </w:hyperlink>
      <w:r w:rsidR="4D6856AA" w:rsidRPr="0029398F">
        <w:rPr>
          <w:rFonts w:ascii="Times New Roman" w:eastAsia="Times New Roman" w:hAnsi="Times New Roman" w:cs="Times New Roman"/>
          <w:color w:val="000000" w:themeColor="text1"/>
        </w:rPr>
        <w:t xml:space="preserve"> </w:t>
      </w:r>
    </w:p>
    <w:p w14:paraId="3A5ADAA5" w14:textId="4742CA39" w:rsidR="57676E68" w:rsidRPr="0029398F" w:rsidRDefault="57676E68" w:rsidP="009E1655">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CASE 4 Learning (</w:t>
      </w:r>
      <w:proofErr w:type="spellStart"/>
      <w:r w:rsidRPr="0029398F">
        <w:rPr>
          <w:rFonts w:ascii="Times New Roman" w:eastAsia="Times New Roman" w:hAnsi="Times New Roman" w:cs="Times New Roman"/>
          <w:color w:val="000000" w:themeColor="text1"/>
        </w:rPr>
        <w:t>n.d.a</w:t>
      </w:r>
      <w:proofErr w:type="spellEnd"/>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Mission, Vision and Values.</w:t>
      </w:r>
      <w:r w:rsidRPr="0029398F">
        <w:rPr>
          <w:rFonts w:ascii="Times New Roman" w:eastAsia="Times New Roman" w:hAnsi="Times New Roman" w:cs="Times New Roman"/>
          <w:color w:val="000000" w:themeColor="text1"/>
        </w:rPr>
        <w:t xml:space="preserve"> </w:t>
      </w:r>
      <w:hyperlink r:id="rId11">
        <w:r w:rsidRPr="002B4B63">
          <w:rPr>
            <w:rStyle w:val="Hyperlink"/>
            <w:rFonts w:ascii="Times New Roman" w:eastAsia="Times New Roman" w:hAnsi="Times New Roman" w:cs="Times New Roman"/>
            <w:color w:val="000000" w:themeColor="text1"/>
            <w:u w:val="none"/>
          </w:rPr>
          <w:t>https://www.case4learning.org/about-case/mission-vision-and-values/</w:t>
        </w:r>
      </w:hyperlink>
      <w:r w:rsidRPr="002B4B63">
        <w:rPr>
          <w:rFonts w:ascii="Times New Roman" w:eastAsia="Times New Roman" w:hAnsi="Times New Roman" w:cs="Times New Roman"/>
          <w:color w:val="000000" w:themeColor="text1"/>
        </w:rPr>
        <w:t xml:space="preserve"> </w:t>
      </w:r>
    </w:p>
    <w:p w14:paraId="04FC6BEE" w14:textId="6039EF16" w:rsidR="34334EB5" w:rsidRPr="0029398F" w:rsidRDefault="34334EB5"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CASE 4 Learning (</w:t>
      </w:r>
      <w:proofErr w:type="spellStart"/>
      <w:r w:rsidRPr="0029398F">
        <w:rPr>
          <w:rFonts w:ascii="Times New Roman" w:eastAsia="Times New Roman" w:hAnsi="Times New Roman" w:cs="Times New Roman"/>
          <w:color w:val="000000" w:themeColor="text1"/>
        </w:rPr>
        <w:t>n.d.</w:t>
      </w:r>
      <w:r w:rsidR="3487EFE5" w:rsidRPr="0029398F">
        <w:rPr>
          <w:rFonts w:ascii="Times New Roman" w:eastAsia="Times New Roman" w:hAnsi="Times New Roman" w:cs="Times New Roman"/>
          <w:color w:val="000000" w:themeColor="text1"/>
        </w:rPr>
        <w:t>b</w:t>
      </w:r>
      <w:proofErr w:type="spellEnd"/>
      <w:r w:rsidRPr="0029398F">
        <w:rPr>
          <w:rFonts w:ascii="Times New Roman" w:eastAsia="Times New Roman" w:hAnsi="Times New Roman" w:cs="Times New Roman"/>
          <w:color w:val="000000" w:themeColor="text1"/>
        </w:rPr>
        <w:t>).</w:t>
      </w:r>
      <w:r w:rsidRPr="0029398F">
        <w:rPr>
          <w:rFonts w:ascii="Times New Roman" w:eastAsia="Times New Roman" w:hAnsi="Times New Roman" w:cs="Times New Roman"/>
          <w:i/>
          <w:iCs/>
          <w:color w:val="000000" w:themeColor="text1"/>
        </w:rPr>
        <w:t xml:space="preserve"> CASE 4 Learning Model.</w:t>
      </w:r>
      <w:r w:rsidRPr="0029398F">
        <w:rPr>
          <w:rFonts w:ascii="Times New Roman" w:eastAsia="Times New Roman" w:hAnsi="Times New Roman" w:cs="Times New Roman"/>
          <w:color w:val="000000" w:themeColor="text1"/>
        </w:rPr>
        <w:t xml:space="preserve"> </w:t>
      </w:r>
      <w:hyperlink r:id="rId12">
        <w:r w:rsidRPr="0029398F">
          <w:rPr>
            <w:rStyle w:val="Hyperlink"/>
            <w:rFonts w:ascii="Times New Roman" w:eastAsia="Times New Roman" w:hAnsi="Times New Roman" w:cs="Times New Roman"/>
            <w:color w:val="000000" w:themeColor="text1"/>
            <w:u w:val="none"/>
          </w:rPr>
          <w:t>https://www.case4learning.org/case/document-server/?cfp=case/assets/file/public/about/case4learningmodel.pdf</w:t>
        </w:r>
      </w:hyperlink>
    </w:p>
    <w:p w14:paraId="5B0489B8" w14:textId="258DDC8F" w:rsidR="789FF462" w:rsidRPr="0029398F" w:rsidRDefault="789FF462" w:rsidP="0029398F">
      <w:pPr>
        <w:spacing w:line="240" w:lineRule="auto"/>
        <w:ind w:left="720" w:hanging="720"/>
        <w:rPr>
          <w:rFonts w:ascii="Times New Roman" w:eastAsia="Times New Roman" w:hAnsi="Times New Roman" w:cs="Times New Roman"/>
          <w:color w:val="000000" w:themeColor="text1"/>
        </w:rPr>
      </w:pPr>
      <w:proofErr w:type="spellStart"/>
      <w:r w:rsidRPr="0029398F">
        <w:rPr>
          <w:rFonts w:ascii="Times New Roman" w:eastAsia="Times New Roman" w:hAnsi="Times New Roman" w:cs="Times New Roman"/>
          <w:color w:val="000000" w:themeColor="text1"/>
        </w:rPr>
        <w:t>Charoenmuang</w:t>
      </w:r>
      <w:proofErr w:type="spellEnd"/>
      <w:r w:rsidRPr="0029398F">
        <w:rPr>
          <w:rFonts w:ascii="Times New Roman" w:eastAsia="Times New Roman" w:hAnsi="Times New Roman" w:cs="Times New Roman"/>
          <w:color w:val="000000" w:themeColor="text1"/>
        </w:rPr>
        <w:t xml:space="preserve">, M., Knobloch, N., &amp; Wang, H.-H. (2024). Localized land-grant partnership for STEM integration through AFNR: High school teachers’ experiences.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65</w:t>
      </w:r>
      <w:r w:rsidRPr="0029398F">
        <w:rPr>
          <w:rFonts w:ascii="Times New Roman" w:eastAsia="Times New Roman" w:hAnsi="Times New Roman" w:cs="Times New Roman"/>
          <w:color w:val="000000" w:themeColor="text1"/>
        </w:rPr>
        <w:t xml:space="preserve">(3), 35–51. </w:t>
      </w:r>
      <w:hyperlink r:id="rId13">
        <w:r w:rsidRPr="0029398F">
          <w:rPr>
            <w:rStyle w:val="Hyperlink"/>
            <w:rFonts w:ascii="Times New Roman" w:eastAsia="Times New Roman" w:hAnsi="Times New Roman" w:cs="Times New Roman"/>
            <w:color w:val="000000" w:themeColor="text1"/>
            <w:u w:val="none"/>
          </w:rPr>
          <w:t>https://doi.org/10.5032/jae.v65i3.2462</w:t>
        </w:r>
      </w:hyperlink>
      <w:r w:rsidRPr="0029398F">
        <w:rPr>
          <w:rFonts w:ascii="Times New Roman" w:eastAsia="Times New Roman" w:hAnsi="Times New Roman" w:cs="Times New Roman"/>
          <w:color w:val="000000" w:themeColor="text1"/>
        </w:rPr>
        <w:t xml:space="preserve"> </w:t>
      </w:r>
    </w:p>
    <w:p w14:paraId="4BC00374" w14:textId="0238C308" w:rsidR="23F11965" w:rsidRPr="0029398F" w:rsidRDefault="23F11965" w:rsidP="0029398F">
      <w:pPr>
        <w:spacing w:line="240" w:lineRule="auto"/>
        <w:ind w:left="720" w:hanging="720"/>
        <w:rPr>
          <w:rFonts w:ascii="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Cone, N. (2009). Community-based service-learning as a source of personal self-efficacy: Preparing preservice elementary teachers to teach science for diversity. </w:t>
      </w:r>
      <w:r w:rsidRPr="0029398F">
        <w:rPr>
          <w:rFonts w:ascii="Times New Roman" w:eastAsia="Times New Roman" w:hAnsi="Times New Roman" w:cs="Times New Roman"/>
          <w:i/>
          <w:iCs/>
          <w:color w:val="000000" w:themeColor="text1"/>
        </w:rPr>
        <w:t>School Science and Mathematics, 109</w:t>
      </w:r>
      <w:r w:rsidRPr="0029398F">
        <w:rPr>
          <w:rFonts w:ascii="Times New Roman" w:eastAsia="Times New Roman" w:hAnsi="Times New Roman" w:cs="Times New Roman"/>
          <w:color w:val="000000" w:themeColor="text1"/>
        </w:rPr>
        <w:t>(1), 20–30.</w:t>
      </w:r>
      <w:r w:rsidR="1B465368" w:rsidRPr="0029398F">
        <w:rPr>
          <w:rFonts w:ascii="Times New Roman" w:eastAsia="Times New Roman" w:hAnsi="Times New Roman" w:cs="Times New Roman"/>
          <w:color w:val="000000" w:themeColor="text1"/>
        </w:rPr>
        <w:t xml:space="preserve"> </w:t>
      </w:r>
      <w:hyperlink r:id="rId14">
        <w:r w:rsidRPr="0029398F">
          <w:rPr>
            <w:rStyle w:val="Hyperlink"/>
            <w:rFonts w:ascii="Times New Roman" w:eastAsia="Times New Roman" w:hAnsi="Times New Roman" w:cs="Times New Roman"/>
            <w:color w:val="000000" w:themeColor="text1"/>
            <w:u w:val="none"/>
          </w:rPr>
          <w:t>https://doi.org/10.1111/j.1949-8594.2009.tb17861.x</w:t>
        </w:r>
      </w:hyperlink>
      <w:r w:rsidRPr="0029398F">
        <w:rPr>
          <w:rFonts w:ascii="Times New Roman" w:eastAsia="Times New Roman" w:hAnsi="Times New Roman" w:cs="Times New Roman"/>
          <w:color w:val="000000" w:themeColor="text1"/>
        </w:rPr>
        <w:t xml:space="preserve"> </w:t>
      </w:r>
    </w:p>
    <w:p w14:paraId="29C57DF9" w14:textId="68C33F60" w:rsidR="10DCDC91" w:rsidRPr="0029398F" w:rsidRDefault="10DCDC91"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Honeyman, K., &amp; Eck, C. J. (2025). Beyond </w:t>
      </w:r>
      <w:r w:rsidR="00467534">
        <w:rPr>
          <w:rFonts w:ascii="Times New Roman" w:eastAsia="Times New Roman" w:hAnsi="Times New Roman" w:cs="Times New Roman"/>
          <w:color w:val="000000" w:themeColor="text1"/>
        </w:rPr>
        <w:t>c</w:t>
      </w:r>
      <w:r w:rsidRPr="0029398F">
        <w:rPr>
          <w:rFonts w:ascii="Times New Roman" w:eastAsia="Times New Roman" w:hAnsi="Times New Roman" w:cs="Times New Roman"/>
          <w:color w:val="000000" w:themeColor="text1"/>
        </w:rPr>
        <w:t xml:space="preserve">ontent </w:t>
      </w:r>
      <w:r w:rsidR="00467534">
        <w:rPr>
          <w:rFonts w:ascii="Times New Roman" w:eastAsia="Times New Roman" w:hAnsi="Times New Roman" w:cs="Times New Roman"/>
          <w:color w:val="000000" w:themeColor="text1"/>
        </w:rPr>
        <w:t>k</w:t>
      </w:r>
      <w:r w:rsidRPr="0029398F">
        <w:rPr>
          <w:rFonts w:ascii="Times New Roman" w:eastAsia="Times New Roman" w:hAnsi="Times New Roman" w:cs="Times New Roman"/>
          <w:color w:val="000000" w:themeColor="text1"/>
        </w:rPr>
        <w:t>nowledge: Inquiry-</w:t>
      </w:r>
      <w:r w:rsidR="00467534">
        <w:rPr>
          <w:rFonts w:ascii="Times New Roman" w:eastAsia="Times New Roman" w:hAnsi="Times New Roman" w:cs="Times New Roman"/>
          <w:color w:val="000000" w:themeColor="text1"/>
        </w:rPr>
        <w:t>ba</w:t>
      </w:r>
      <w:r w:rsidRPr="0029398F">
        <w:rPr>
          <w:rFonts w:ascii="Times New Roman" w:eastAsia="Times New Roman" w:hAnsi="Times New Roman" w:cs="Times New Roman"/>
          <w:color w:val="000000" w:themeColor="text1"/>
        </w:rPr>
        <w:t xml:space="preserve">sed </w:t>
      </w:r>
      <w:r w:rsidR="00467534">
        <w:rPr>
          <w:rFonts w:ascii="Times New Roman" w:eastAsia="Times New Roman" w:hAnsi="Times New Roman" w:cs="Times New Roman"/>
          <w:color w:val="000000" w:themeColor="text1"/>
        </w:rPr>
        <w:t>l</w:t>
      </w:r>
      <w:r w:rsidRPr="0029398F">
        <w:rPr>
          <w:rFonts w:ascii="Times New Roman" w:eastAsia="Times New Roman" w:hAnsi="Times New Roman" w:cs="Times New Roman"/>
          <w:color w:val="000000" w:themeColor="text1"/>
        </w:rPr>
        <w:t xml:space="preserve">earning and </w:t>
      </w:r>
      <w:r w:rsidR="00467534">
        <w:rPr>
          <w:rFonts w:ascii="Times New Roman" w:eastAsia="Times New Roman" w:hAnsi="Times New Roman" w:cs="Times New Roman"/>
          <w:color w:val="000000" w:themeColor="text1"/>
        </w:rPr>
        <w:t>p</w:t>
      </w:r>
      <w:r w:rsidRPr="0029398F">
        <w:rPr>
          <w:rFonts w:ascii="Times New Roman" w:eastAsia="Times New Roman" w:hAnsi="Times New Roman" w:cs="Times New Roman"/>
          <w:color w:val="000000" w:themeColor="text1"/>
        </w:rPr>
        <w:t xml:space="preserve">reservice </w:t>
      </w:r>
      <w:proofErr w:type="gramStart"/>
      <w:r w:rsidR="00467534">
        <w:rPr>
          <w:rFonts w:ascii="Times New Roman" w:eastAsia="Times New Roman" w:hAnsi="Times New Roman" w:cs="Times New Roman"/>
          <w:color w:val="000000" w:themeColor="text1"/>
        </w:rPr>
        <w:t>t</w:t>
      </w:r>
      <w:r w:rsidRPr="0029398F">
        <w:rPr>
          <w:rFonts w:ascii="Times New Roman" w:eastAsia="Times New Roman" w:hAnsi="Times New Roman" w:cs="Times New Roman"/>
          <w:color w:val="000000" w:themeColor="text1"/>
        </w:rPr>
        <w:t>eachers’</w:t>
      </w:r>
      <w:proofErr w:type="gramEnd"/>
      <w:r w:rsidRPr="0029398F">
        <w:rPr>
          <w:rFonts w:ascii="Times New Roman" w:eastAsia="Times New Roman" w:hAnsi="Times New Roman" w:cs="Times New Roman"/>
          <w:color w:val="000000" w:themeColor="text1"/>
        </w:rPr>
        <w:t xml:space="preserve"> </w:t>
      </w:r>
      <w:r w:rsidR="00467534">
        <w:rPr>
          <w:rFonts w:ascii="Times New Roman" w:eastAsia="Times New Roman" w:hAnsi="Times New Roman" w:cs="Times New Roman"/>
          <w:color w:val="000000" w:themeColor="text1"/>
        </w:rPr>
        <w:t>p</w:t>
      </w:r>
      <w:r w:rsidRPr="0029398F">
        <w:rPr>
          <w:rFonts w:ascii="Times New Roman" w:eastAsia="Times New Roman" w:hAnsi="Times New Roman" w:cs="Times New Roman"/>
          <w:color w:val="000000" w:themeColor="text1"/>
        </w:rPr>
        <w:t xml:space="preserve">erceived </w:t>
      </w:r>
      <w:r w:rsidR="00467534">
        <w:rPr>
          <w:rFonts w:ascii="Times New Roman" w:eastAsia="Times New Roman" w:hAnsi="Times New Roman" w:cs="Times New Roman"/>
          <w:color w:val="000000" w:themeColor="text1"/>
        </w:rPr>
        <w:t>a</w:t>
      </w:r>
      <w:r w:rsidRPr="0029398F">
        <w:rPr>
          <w:rFonts w:ascii="Times New Roman" w:eastAsia="Times New Roman" w:hAnsi="Times New Roman" w:cs="Times New Roman"/>
          <w:color w:val="000000" w:themeColor="text1"/>
        </w:rPr>
        <w:t xml:space="preserve">bility to </w:t>
      </w:r>
      <w:r w:rsidR="00467534">
        <w:rPr>
          <w:rFonts w:ascii="Times New Roman" w:eastAsia="Times New Roman" w:hAnsi="Times New Roman" w:cs="Times New Roman"/>
          <w:color w:val="000000" w:themeColor="text1"/>
        </w:rPr>
        <w:t>in</w:t>
      </w:r>
      <w:r w:rsidRPr="0029398F">
        <w:rPr>
          <w:rFonts w:ascii="Times New Roman" w:eastAsia="Times New Roman" w:hAnsi="Times New Roman" w:cs="Times New Roman"/>
          <w:color w:val="000000" w:themeColor="text1"/>
        </w:rPr>
        <w:t xml:space="preserve">corporate STEM and AFNR </w:t>
      </w:r>
      <w:r w:rsidR="00467534">
        <w:rPr>
          <w:rFonts w:ascii="Times New Roman" w:eastAsia="Times New Roman" w:hAnsi="Times New Roman" w:cs="Times New Roman"/>
          <w:color w:val="000000" w:themeColor="text1"/>
        </w:rPr>
        <w:t>c</w:t>
      </w:r>
      <w:r w:rsidRPr="0029398F">
        <w:rPr>
          <w:rFonts w:ascii="Times New Roman" w:eastAsia="Times New Roman" w:hAnsi="Times New Roman" w:cs="Times New Roman"/>
          <w:color w:val="000000" w:themeColor="text1"/>
        </w:rPr>
        <w:t xml:space="preserve">oncepts.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66</w:t>
      </w:r>
      <w:r w:rsidRPr="0029398F">
        <w:rPr>
          <w:rFonts w:ascii="Times New Roman" w:eastAsia="Times New Roman" w:hAnsi="Times New Roman" w:cs="Times New Roman"/>
          <w:color w:val="000000" w:themeColor="text1"/>
        </w:rPr>
        <w:t xml:space="preserve">(3), Article 19. </w:t>
      </w:r>
      <w:hyperlink r:id="rId15">
        <w:r w:rsidRPr="0029398F">
          <w:rPr>
            <w:rStyle w:val="Hyperlink"/>
            <w:rFonts w:ascii="Times New Roman" w:eastAsia="Times New Roman" w:hAnsi="Times New Roman" w:cs="Times New Roman"/>
            <w:color w:val="000000" w:themeColor="text1"/>
            <w:u w:val="none"/>
          </w:rPr>
          <w:t>https://doi.org/10.5032/jae.v66i3.3232</w:t>
        </w:r>
      </w:hyperlink>
      <w:r w:rsidRPr="0029398F">
        <w:rPr>
          <w:rFonts w:ascii="Times New Roman" w:eastAsia="Times New Roman" w:hAnsi="Times New Roman" w:cs="Times New Roman"/>
          <w:color w:val="000000" w:themeColor="text1"/>
        </w:rPr>
        <w:t xml:space="preserve"> </w:t>
      </w:r>
    </w:p>
    <w:p w14:paraId="0C328730" w14:textId="3A8A2017" w:rsidR="1AC4C7DD" w:rsidRPr="0029398F" w:rsidRDefault="1AC4C7DD"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Keselman, A. (2003). Supporting inquiry learning by promoting normative understanding of multivariable causality. </w:t>
      </w:r>
      <w:r w:rsidRPr="0029398F">
        <w:rPr>
          <w:rFonts w:ascii="Times New Roman" w:eastAsia="Times New Roman" w:hAnsi="Times New Roman" w:cs="Times New Roman"/>
          <w:i/>
          <w:iCs/>
          <w:color w:val="000000" w:themeColor="text1"/>
        </w:rPr>
        <w:t>Journal of Research in Science Teaching, 40</w:t>
      </w:r>
      <w:r w:rsidRPr="0029398F">
        <w:rPr>
          <w:rFonts w:ascii="Times New Roman" w:eastAsia="Times New Roman" w:hAnsi="Times New Roman" w:cs="Times New Roman"/>
          <w:color w:val="000000" w:themeColor="text1"/>
        </w:rPr>
        <w:t>(9), 898–921.</w:t>
      </w:r>
      <w:r w:rsidRPr="0029398F">
        <w:rPr>
          <w:rFonts w:ascii="Times New Roman" w:hAnsi="Times New Roman" w:cs="Times New Roman"/>
          <w:color w:val="000000" w:themeColor="text1"/>
        </w:rPr>
        <w:br/>
      </w:r>
      <w:r w:rsidRPr="0029398F">
        <w:rPr>
          <w:rFonts w:ascii="Times New Roman" w:eastAsia="Times New Roman" w:hAnsi="Times New Roman" w:cs="Times New Roman"/>
          <w:color w:val="000000" w:themeColor="text1"/>
        </w:rPr>
        <w:t xml:space="preserve"> </w:t>
      </w:r>
      <w:hyperlink r:id="rId16">
        <w:r w:rsidRPr="0029398F">
          <w:rPr>
            <w:rStyle w:val="Hyperlink"/>
            <w:rFonts w:ascii="Times New Roman" w:eastAsia="Times New Roman" w:hAnsi="Times New Roman" w:cs="Times New Roman"/>
            <w:color w:val="000000" w:themeColor="text1"/>
            <w:u w:val="none"/>
          </w:rPr>
          <w:t>https://doi.org/10.1002/tea.10115</w:t>
        </w:r>
      </w:hyperlink>
      <w:r w:rsidRPr="0029398F">
        <w:rPr>
          <w:rFonts w:ascii="Times New Roman" w:eastAsia="Times New Roman" w:hAnsi="Times New Roman" w:cs="Times New Roman"/>
          <w:color w:val="000000" w:themeColor="text1"/>
        </w:rPr>
        <w:t xml:space="preserve"> </w:t>
      </w:r>
    </w:p>
    <w:p w14:paraId="04C30752" w14:textId="5A4A95E8" w:rsidR="00E84FCA" w:rsidRPr="0029398F" w:rsidRDefault="00E84FCA" w:rsidP="0029398F">
      <w:pPr>
        <w:spacing w:line="240" w:lineRule="auto"/>
        <w:ind w:left="720" w:hanging="720"/>
        <w:rPr>
          <w:rFonts w:ascii="Times New Roman" w:eastAsia="Times New Roman" w:hAnsi="Times New Roman" w:cs="Times New Roman"/>
          <w:color w:val="000000" w:themeColor="text1"/>
        </w:rPr>
      </w:pPr>
      <w:r w:rsidRPr="003E788A">
        <w:rPr>
          <w:rFonts w:ascii="Times New Roman" w:eastAsia="Times New Roman" w:hAnsi="Times New Roman" w:cs="Times New Roman"/>
          <w:color w:val="000000" w:themeColor="text1"/>
          <w:lang w:val="es-ES"/>
        </w:rPr>
        <w:t xml:space="preserve">Lincoln, Y. S., &amp; Guba, E. G. (1985). </w:t>
      </w:r>
      <w:r w:rsidRPr="0029398F">
        <w:rPr>
          <w:rFonts w:ascii="Times New Roman" w:eastAsia="Times New Roman" w:hAnsi="Times New Roman" w:cs="Times New Roman"/>
          <w:i/>
          <w:iCs/>
          <w:color w:val="000000" w:themeColor="text1"/>
        </w:rPr>
        <w:t>Naturalistic inquiry</w:t>
      </w:r>
      <w:r w:rsidRPr="0029398F">
        <w:rPr>
          <w:rFonts w:ascii="Times New Roman" w:eastAsia="Times New Roman" w:hAnsi="Times New Roman" w:cs="Times New Roman"/>
          <w:color w:val="000000" w:themeColor="text1"/>
        </w:rPr>
        <w:t>. Sage Publications.</w:t>
      </w:r>
    </w:p>
    <w:p w14:paraId="1015CFAA" w14:textId="7FEE8CD2" w:rsidR="7207FB2C" w:rsidRPr="0029398F" w:rsidRDefault="7207FB2C"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McKim, A. J., Sorensen, T., Goodwin, C., &amp; Ware Wilkinson, S. (2025). Exploring </w:t>
      </w:r>
      <w:r w:rsidR="00467534">
        <w:rPr>
          <w:rFonts w:ascii="Times New Roman" w:eastAsia="Times New Roman" w:hAnsi="Times New Roman" w:cs="Times New Roman"/>
          <w:color w:val="000000" w:themeColor="text1"/>
        </w:rPr>
        <w:t>e</w:t>
      </w:r>
      <w:r w:rsidRPr="0029398F">
        <w:rPr>
          <w:rFonts w:ascii="Times New Roman" w:eastAsia="Times New Roman" w:hAnsi="Times New Roman" w:cs="Times New Roman"/>
          <w:color w:val="000000" w:themeColor="text1"/>
        </w:rPr>
        <w:t xml:space="preserve">xemplary STEM </w:t>
      </w:r>
      <w:r w:rsidR="00467534">
        <w:rPr>
          <w:rFonts w:ascii="Times New Roman" w:eastAsia="Times New Roman" w:hAnsi="Times New Roman" w:cs="Times New Roman"/>
          <w:color w:val="000000" w:themeColor="text1"/>
        </w:rPr>
        <w:t>l</w:t>
      </w:r>
      <w:r w:rsidRPr="0029398F">
        <w:rPr>
          <w:rFonts w:ascii="Times New Roman" w:eastAsia="Times New Roman" w:hAnsi="Times New Roman" w:cs="Times New Roman"/>
          <w:color w:val="000000" w:themeColor="text1"/>
        </w:rPr>
        <w:t xml:space="preserve">essons in </w:t>
      </w:r>
      <w:r w:rsidR="00467534">
        <w:rPr>
          <w:rFonts w:ascii="Times New Roman" w:eastAsia="Times New Roman" w:hAnsi="Times New Roman" w:cs="Times New Roman"/>
          <w:color w:val="000000" w:themeColor="text1"/>
        </w:rPr>
        <w:t>a</w:t>
      </w:r>
      <w:r w:rsidRPr="0029398F">
        <w:rPr>
          <w:rFonts w:ascii="Times New Roman" w:eastAsia="Times New Roman" w:hAnsi="Times New Roman" w:cs="Times New Roman"/>
          <w:color w:val="000000" w:themeColor="text1"/>
        </w:rPr>
        <w:t xml:space="preserve">gricultural </w:t>
      </w:r>
      <w:r w:rsidR="00467534">
        <w:rPr>
          <w:rFonts w:ascii="Times New Roman" w:eastAsia="Times New Roman" w:hAnsi="Times New Roman" w:cs="Times New Roman"/>
          <w:color w:val="000000" w:themeColor="text1"/>
        </w:rPr>
        <w:t>e</w:t>
      </w:r>
      <w:r w:rsidRPr="0029398F">
        <w:rPr>
          <w:rFonts w:ascii="Times New Roman" w:eastAsia="Times New Roman" w:hAnsi="Times New Roman" w:cs="Times New Roman"/>
          <w:color w:val="000000" w:themeColor="text1"/>
        </w:rPr>
        <w:t xml:space="preserve">ducation.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66</w:t>
      </w:r>
      <w:r w:rsidRPr="0029398F">
        <w:rPr>
          <w:rFonts w:ascii="Times New Roman" w:eastAsia="Times New Roman" w:hAnsi="Times New Roman" w:cs="Times New Roman"/>
          <w:color w:val="000000" w:themeColor="text1"/>
        </w:rPr>
        <w:t xml:space="preserve">(2), Article 4. </w:t>
      </w:r>
      <w:hyperlink r:id="rId17">
        <w:r w:rsidRPr="0029398F">
          <w:rPr>
            <w:rStyle w:val="Hyperlink"/>
            <w:rFonts w:ascii="Times New Roman" w:eastAsia="Times New Roman" w:hAnsi="Times New Roman" w:cs="Times New Roman"/>
            <w:color w:val="000000" w:themeColor="text1"/>
            <w:u w:val="none"/>
          </w:rPr>
          <w:t>https://doi.org/10.5032/jae.v66i2.2906</w:t>
        </w:r>
      </w:hyperlink>
      <w:r w:rsidRPr="0029398F">
        <w:rPr>
          <w:rFonts w:ascii="Times New Roman" w:eastAsia="Times New Roman" w:hAnsi="Times New Roman" w:cs="Times New Roman"/>
          <w:color w:val="000000" w:themeColor="text1"/>
        </w:rPr>
        <w:t xml:space="preserve"> </w:t>
      </w:r>
    </w:p>
    <w:p w14:paraId="49CCF544" w14:textId="464E9F2D" w:rsidR="22CC9973" w:rsidRPr="0029398F" w:rsidRDefault="22CC9973"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National Research Council. (1988). </w:t>
      </w:r>
      <w:r w:rsidRPr="0029398F">
        <w:rPr>
          <w:rFonts w:ascii="Times New Roman" w:eastAsia="Times New Roman" w:hAnsi="Times New Roman" w:cs="Times New Roman"/>
          <w:i/>
          <w:iCs/>
          <w:color w:val="000000" w:themeColor="text1"/>
        </w:rPr>
        <w:t>Understanding agriculture: New directions for education</w:t>
      </w:r>
      <w:r w:rsidRPr="0029398F">
        <w:rPr>
          <w:rFonts w:ascii="Times New Roman" w:eastAsia="Times New Roman" w:hAnsi="Times New Roman" w:cs="Times New Roman"/>
          <w:color w:val="000000" w:themeColor="text1"/>
        </w:rPr>
        <w:t xml:space="preserve">. National Academies Press. </w:t>
      </w:r>
      <w:hyperlink r:id="rId18">
        <w:r w:rsidRPr="0029398F">
          <w:rPr>
            <w:rStyle w:val="Hyperlink"/>
            <w:rFonts w:ascii="Times New Roman" w:eastAsia="Times New Roman" w:hAnsi="Times New Roman" w:cs="Times New Roman"/>
            <w:color w:val="000000" w:themeColor="text1"/>
            <w:u w:val="none"/>
          </w:rPr>
          <w:t>https://doi.org/10.17226/766</w:t>
        </w:r>
      </w:hyperlink>
      <w:r w:rsidRPr="0029398F">
        <w:rPr>
          <w:rFonts w:ascii="Times New Roman" w:eastAsia="Times New Roman" w:hAnsi="Times New Roman" w:cs="Times New Roman"/>
          <w:color w:val="000000" w:themeColor="text1"/>
        </w:rPr>
        <w:t xml:space="preserve"> </w:t>
      </w:r>
    </w:p>
    <w:p w14:paraId="577B586E" w14:textId="11FD8460" w:rsidR="35E5C6AE" w:rsidRPr="0029398F" w:rsidRDefault="35E5C6AE"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Nelson, B., Wang, H.-H., &amp; Tucker, M. (2022). Teachers’ </w:t>
      </w:r>
      <w:r w:rsidR="00467534">
        <w:rPr>
          <w:rFonts w:ascii="Times New Roman" w:eastAsia="Times New Roman" w:hAnsi="Times New Roman" w:cs="Times New Roman"/>
          <w:color w:val="000000" w:themeColor="text1"/>
        </w:rPr>
        <w:t>p</w:t>
      </w:r>
      <w:r w:rsidRPr="0029398F">
        <w:rPr>
          <w:rFonts w:ascii="Times New Roman" w:eastAsia="Times New Roman" w:hAnsi="Times New Roman" w:cs="Times New Roman"/>
          <w:color w:val="000000" w:themeColor="text1"/>
        </w:rPr>
        <w:t xml:space="preserve">erceptions and </w:t>
      </w:r>
      <w:r w:rsidR="00467534">
        <w:rPr>
          <w:rFonts w:ascii="Times New Roman" w:eastAsia="Times New Roman" w:hAnsi="Times New Roman" w:cs="Times New Roman"/>
          <w:color w:val="000000" w:themeColor="text1"/>
        </w:rPr>
        <w:t>p</w:t>
      </w:r>
      <w:r w:rsidRPr="0029398F">
        <w:rPr>
          <w:rFonts w:ascii="Times New Roman" w:eastAsia="Times New Roman" w:hAnsi="Times New Roman" w:cs="Times New Roman"/>
          <w:color w:val="000000" w:themeColor="text1"/>
        </w:rPr>
        <w:t xml:space="preserve">ractices of </w:t>
      </w:r>
      <w:r w:rsidR="00467534">
        <w:rPr>
          <w:rFonts w:ascii="Times New Roman" w:eastAsia="Times New Roman" w:hAnsi="Times New Roman" w:cs="Times New Roman"/>
          <w:color w:val="000000" w:themeColor="text1"/>
        </w:rPr>
        <w:t>i</w:t>
      </w:r>
      <w:r w:rsidRPr="0029398F">
        <w:rPr>
          <w:rFonts w:ascii="Times New Roman" w:eastAsia="Times New Roman" w:hAnsi="Times New Roman" w:cs="Times New Roman"/>
          <w:color w:val="000000" w:themeColor="text1"/>
        </w:rPr>
        <w:t>nquiry-</w:t>
      </w:r>
      <w:r w:rsidR="00467534">
        <w:rPr>
          <w:rFonts w:ascii="Times New Roman" w:eastAsia="Times New Roman" w:hAnsi="Times New Roman" w:cs="Times New Roman"/>
          <w:color w:val="000000" w:themeColor="text1"/>
        </w:rPr>
        <w:t>b</w:t>
      </w:r>
      <w:r w:rsidRPr="0029398F">
        <w:rPr>
          <w:rFonts w:ascii="Times New Roman" w:eastAsia="Times New Roman" w:hAnsi="Times New Roman" w:cs="Times New Roman"/>
          <w:color w:val="000000" w:themeColor="text1"/>
        </w:rPr>
        <w:t xml:space="preserve">ased </w:t>
      </w:r>
      <w:r w:rsidR="00467534">
        <w:rPr>
          <w:rFonts w:ascii="Times New Roman" w:eastAsia="Times New Roman" w:hAnsi="Times New Roman" w:cs="Times New Roman"/>
          <w:color w:val="000000" w:themeColor="text1"/>
        </w:rPr>
        <w:t>t</w:t>
      </w:r>
      <w:r w:rsidRPr="0029398F">
        <w:rPr>
          <w:rFonts w:ascii="Times New Roman" w:eastAsia="Times New Roman" w:hAnsi="Times New Roman" w:cs="Times New Roman"/>
          <w:color w:val="000000" w:themeColor="text1"/>
        </w:rPr>
        <w:t xml:space="preserve">eaching and </w:t>
      </w:r>
      <w:r w:rsidR="00467534">
        <w:rPr>
          <w:rFonts w:ascii="Times New Roman" w:eastAsia="Times New Roman" w:hAnsi="Times New Roman" w:cs="Times New Roman"/>
          <w:color w:val="000000" w:themeColor="text1"/>
        </w:rPr>
        <w:t>l</w:t>
      </w:r>
      <w:r w:rsidRPr="0029398F">
        <w:rPr>
          <w:rFonts w:ascii="Times New Roman" w:eastAsia="Times New Roman" w:hAnsi="Times New Roman" w:cs="Times New Roman"/>
          <w:color w:val="000000" w:themeColor="text1"/>
        </w:rPr>
        <w:t xml:space="preserve">earning </w:t>
      </w:r>
      <w:r w:rsidR="00467534">
        <w:rPr>
          <w:rFonts w:ascii="Times New Roman" w:eastAsia="Times New Roman" w:hAnsi="Times New Roman" w:cs="Times New Roman"/>
          <w:color w:val="000000" w:themeColor="text1"/>
        </w:rPr>
        <w:t>u</w:t>
      </w:r>
      <w:r w:rsidRPr="0029398F">
        <w:rPr>
          <w:rFonts w:ascii="Times New Roman" w:eastAsia="Times New Roman" w:hAnsi="Times New Roman" w:cs="Times New Roman"/>
          <w:color w:val="000000" w:themeColor="text1"/>
        </w:rPr>
        <w:t xml:space="preserve">sing CASE </w:t>
      </w:r>
      <w:r w:rsidR="00467534">
        <w:rPr>
          <w:rFonts w:ascii="Times New Roman" w:eastAsia="Times New Roman" w:hAnsi="Times New Roman" w:cs="Times New Roman"/>
          <w:color w:val="000000" w:themeColor="text1"/>
        </w:rPr>
        <w:t>c</w:t>
      </w:r>
      <w:r w:rsidRPr="0029398F">
        <w:rPr>
          <w:rFonts w:ascii="Times New Roman" w:eastAsia="Times New Roman" w:hAnsi="Times New Roman" w:cs="Times New Roman"/>
          <w:color w:val="000000" w:themeColor="text1"/>
        </w:rPr>
        <w:t xml:space="preserve">urriculum.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63</w:t>
      </w:r>
      <w:r w:rsidRPr="0029398F">
        <w:rPr>
          <w:rFonts w:ascii="Times New Roman" w:eastAsia="Times New Roman" w:hAnsi="Times New Roman" w:cs="Times New Roman"/>
          <w:color w:val="000000" w:themeColor="text1"/>
        </w:rPr>
        <w:t xml:space="preserve">(3), 117–134. </w:t>
      </w:r>
      <w:hyperlink r:id="rId19">
        <w:r w:rsidRPr="0029398F">
          <w:rPr>
            <w:rStyle w:val="Hyperlink"/>
            <w:rFonts w:ascii="Times New Roman" w:eastAsia="Times New Roman" w:hAnsi="Times New Roman" w:cs="Times New Roman"/>
            <w:color w:val="000000" w:themeColor="text1"/>
            <w:u w:val="none"/>
          </w:rPr>
          <w:t>https://doi.org/10.5032/jae.2022.03117</w:t>
        </w:r>
      </w:hyperlink>
      <w:r w:rsidRPr="0029398F">
        <w:rPr>
          <w:rFonts w:ascii="Times New Roman" w:eastAsia="Times New Roman" w:hAnsi="Times New Roman" w:cs="Times New Roman"/>
          <w:color w:val="000000" w:themeColor="text1"/>
        </w:rPr>
        <w:t xml:space="preserve"> </w:t>
      </w:r>
    </w:p>
    <w:p w14:paraId="19BE68D2" w14:textId="4E13E2EF" w:rsidR="1AEC8C15" w:rsidRPr="0029398F" w:rsidRDefault="1AEC8C15" w:rsidP="0029398F">
      <w:pPr>
        <w:spacing w:line="240" w:lineRule="auto"/>
        <w:ind w:left="720" w:hanging="720"/>
        <w:rPr>
          <w:rFonts w:ascii="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Parr, B. A., Edwards, M. C., &amp; Leising, J. G. (2006). Effects of inquiry-based instruction on student achievement in secondary agricultural education. </w:t>
      </w:r>
      <w:r w:rsidRPr="0029398F">
        <w:rPr>
          <w:rFonts w:ascii="Times New Roman" w:eastAsia="Times New Roman" w:hAnsi="Times New Roman" w:cs="Times New Roman"/>
          <w:i/>
          <w:iCs/>
          <w:color w:val="000000" w:themeColor="text1"/>
        </w:rPr>
        <w:t>Journal of Agricultural Education, 47</w:t>
      </w:r>
      <w:r w:rsidRPr="0029398F">
        <w:rPr>
          <w:rFonts w:ascii="Times New Roman" w:eastAsia="Times New Roman" w:hAnsi="Times New Roman" w:cs="Times New Roman"/>
          <w:color w:val="000000" w:themeColor="text1"/>
        </w:rPr>
        <w:t xml:space="preserve">(4), 1–12. </w:t>
      </w:r>
      <w:hyperlink r:id="rId20">
        <w:r w:rsidRPr="0029398F">
          <w:rPr>
            <w:rStyle w:val="Hyperlink"/>
            <w:rFonts w:ascii="Times New Roman" w:eastAsia="Times New Roman" w:hAnsi="Times New Roman" w:cs="Times New Roman"/>
            <w:color w:val="000000" w:themeColor="text1"/>
            <w:u w:val="none"/>
          </w:rPr>
          <w:t>https://doi.org/10.5032/jae.2006.04001</w:t>
        </w:r>
      </w:hyperlink>
      <w:r w:rsidRPr="0029398F">
        <w:rPr>
          <w:rFonts w:ascii="Times New Roman" w:eastAsia="Times New Roman" w:hAnsi="Times New Roman" w:cs="Times New Roman"/>
          <w:color w:val="000000" w:themeColor="text1"/>
        </w:rPr>
        <w:t xml:space="preserve"> </w:t>
      </w:r>
    </w:p>
    <w:p w14:paraId="365C8754" w14:textId="1C42968D" w:rsidR="73F0A249" w:rsidRPr="0029398F" w:rsidRDefault="73F0A249" w:rsidP="0029398F">
      <w:pPr>
        <w:spacing w:line="240" w:lineRule="auto"/>
        <w:ind w:left="720" w:hanging="720"/>
        <w:rPr>
          <w:rFonts w:ascii="Times New Roman" w:eastAsia="Times New Roman" w:hAnsi="Times New Roman" w:cs="Times New Roman"/>
          <w:color w:val="000000" w:themeColor="text1"/>
        </w:rPr>
      </w:pPr>
      <w:proofErr w:type="spellStart"/>
      <w:r w:rsidRPr="0029398F">
        <w:rPr>
          <w:rFonts w:ascii="Times New Roman" w:eastAsia="Times New Roman" w:hAnsi="Times New Roman" w:cs="Times New Roman"/>
          <w:color w:val="000000" w:themeColor="text1"/>
        </w:rPr>
        <w:t>Pedaste</w:t>
      </w:r>
      <w:proofErr w:type="spellEnd"/>
      <w:r w:rsidRPr="0029398F">
        <w:rPr>
          <w:rFonts w:ascii="Times New Roman" w:eastAsia="Times New Roman" w:hAnsi="Times New Roman" w:cs="Times New Roman"/>
          <w:color w:val="000000" w:themeColor="text1"/>
        </w:rPr>
        <w:t xml:space="preserve">, M., Mäeots, M., </w:t>
      </w:r>
      <w:proofErr w:type="spellStart"/>
      <w:r w:rsidRPr="0029398F">
        <w:rPr>
          <w:rFonts w:ascii="Times New Roman" w:eastAsia="Times New Roman" w:hAnsi="Times New Roman" w:cs="Times New Roman"/>
          <w:color w:val="000000" w:themeColor="text1"/>
        </w:rPr>
        <w:t>Siiman</w:t>
      </w:r>
      <w:proofErr w:type="spellEnd"/>
      <w:r w:rsidRPr="0029398F">
        <w:rPr>
          <w:rFonts w:ascii="Times New Roman" w:eastAsia="Times New Roman" w:hAnsi="Times New Roman" w:cs="Times New Roman"/>
          <w:color w:val="000000" w:themeColor="text1"/>
        </w:rPr>
        <w:t xml:space="preserve">, L. A., de Jong, T., van Riesen, S. A. N., Kamp, E. T., Manoli, C. C., Zacharia, Z. C., &amp; </w:t>
      </w:r>
      <w:proofErr w:type="spellStart"/>
      <w:r w:rsidRPr="0029398F">
        <w:rPr>
          <w:rFonts w:ascii="Times New Roman" w:eastAsia="Times New Roman" w:hAnsi="Times New Roman" w:cs="Times New Roman"/>
          <w:color w:val="000000" w:themeColor="text1"/>
        </w:rPr>
        <w:t>Tsourlidaki</w:t>
      </w:r>
      <w:proofErr w:type="spellEnd"/>
      <w:r w:rsidRPr="0029398F">
        <w:rPr>
          <w:rFonts w:ascii="Times New Roman" w:eastAsia="Times New Roman" w:hAnsi="Times New Roman" w:cs="Times New Roman"/>
          <w:color w:val="000000" w:themeColor="text1"/>
        </w:rPr>
        <w:t xml:space="preserve">, E. (2012). Phases of inquiry-based learning: Definitions and the inquiry cycle. </w:t>
      </w:r>
      <w:r w:rsidRPr="0029398F">
        <w:rPr>
          <w:rFonts w:ascii="Times New Roman" w:eastAsia="Times New Roman" w:hAnsi="Times New Roman" w:cs="Times New Roman"/>
          <w:i/>
          <w:iCs/>
          <w:color w:val="000000" w:themeColor="text1"/>
        </w:rPr>
        <w:t>Educational Research Review, 7</w:t>
      </w:r>
      <w:r w:rsidRPr="0029398F">
        <w:rPr>
          <w:rFonts w:ascii="Times New Roman" w:eastAsia="Times New Roman" w:hAnsi="Times New Roman" w:cs="Times New Roman"/>
          <w:color w:val="000000" w:themeColor="text1"/>
        </w:rPr>
        <w:t xml:space="preserve">(1), 47–61. </w:t>
      </w:r>
      <w:hyperlink r:id="rId21">
        <w:r w:rsidRPr="0029398F">
          <w:rPr>
            <w:rStyle w:val="Hyperlink"/>
            <w:rFonts w:ascii="Times New Roman" w:eastAsia="Times New Roman" w:hAnsi="Times New Roman" w:cs="Times New Roman"/>
            <w:color w:val="000000" w:themeColor="text1"/>
            <w:u w:val="none"/>
          </w:rPr>
          <w:t>https://doi.org/10.1016/j.edurev.2011.10.003</w:t>
        </w:r>
      </w:hyperlink>
      <w:r w:rsidRPr="0029398F">
        <w:rPr>
          <w:rFonts w:ascii="Times New Roman" w:eastAsia="Times New Roman" w:hAnsi="Times New Roman" w:cs="Times New Roman"/>
          <w:color w:val="000000" w:themeColor="text1"/>
        </w:rPr>
        <w:t xml:space="preserve"> </w:t>
      </w:r>
    </w:p>
    <w:p w14:paraId="2762D8DB" w14:textId="3D7F9A7E" w:rsidR="4B487A8A" w:rsidRPr="0029398F" w:rsidRDefault="4B487A8A"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lastRenderedPageBreak/>
        <w:t xml:space="preserve">Rice, A. H., &amp; Kitchel, T. (2018). Agriculture </w:t>
      </w:r>
      <w:r w:rsidR="00467534">
        <w:rPr>
          <w:rFonts w:ascii="Times New Roman" w:eastAsia="Times New Roman" w:hAnsi="Times New Roman" w:cs="Times New Roman"/>
          <w:color w:val="000000" w:themeColor="text1"/>
        </w:rPr>
        <w:t>t</w:t>
      </w:r>
      <w:r w:rsidRPr="0029398F">
        <w:rPr>
          <w:rFonts w:ascii="Times New Roman" w:eastAsia="Times New Roman" w:hAnsi="Times New Roman" w:cs="Times New Roman"/>
          <w:color w:val="000000" w:themeColor="text1"/>
        </w:rPr>
        <w:t xml:space="preserve">eachers’ </w:t>
      </w:r>
      <w:r w:rsidR="00467534">
        <w:rPr>
          <w:rFonts w:ascii="Times New Roman" w:eastAsia="Times New Roman" w:hAnsi="Times New Roman" w:cs="Times New Roman"/>
          <w:color w:val="000000" w:themeColor="text1"/>
        </w:rPr>
        <w:t>i</w:t>
      </w:r>
      <w:r w:rsidRPr="0029398F">
        <w:rPr>
          <w:rFonts w:ascii="Times New Roman" w:eastAsia="Times New Roman" w:hAnsi="Times New Roman" w:cs="Times New Roman"/>
          <w:color w:val="000000" w:themeColor="text1"/>
        </w:rPr>
        <w:t xml:space="preserve">ntegrated </w:t>
      </w:r>
      <w:r w:rsidR="00467534">
        <w:rPr>
          <w:rFonts w:ascii="Times New Roman" w:eastAsia="Times New Roman" w:hAnsi="Times New Roman" w:cs="Times New Roman"/>
          <w:color w:val="000000" w:themeColor="text1"/>
        </w:rPr>
        <w:t>b</w:t>
      </w:r>
      <w:r w:rsidRPr="0029398F">
        <w:rPr>
          <w:rFonts w:ascii="Times New Roman" w:eastAsia="Times New Roman" w:hAnsi="Times New Roman" w:cs="Times New Roman"/>
          <w:color w:val="000000" w:themeColor="text1"/>
        </w:rPr>
        <w:t xml:space="preserve">elief </w:t>
      </w:r>
      <w:r w:rsidR="00467534">
        <w:rPr>
          <w:rFonts w:ascii="Times New Roman" w:eastAsia="Times New Roman" w:hAnsi="Times New Roman" w:cs="Times New Roman"/>
          <w:color w:val="000000" w:themeColor="text1"/>
        </w:rPr>
        <w:t>s</w:t>
      </w:r>
      <w:r w:rsidRPr="0029398F">
        <w:rPr>
          <w:rFonts w:ascii="Times New Roman" w:eastAsia="Times New Roman" w:hAnsi="Times New Roman" w:cs="Times New Roman"/>
          <w:color w:val="000000" w:themeColor="text1"/>
        </w:rPr>
        <w:t xml:space="preserve">ystems and its </w:t>
      </w:r>
      <w:r w:rsidR="00467534">
        <w:rPr>
          <w:rFonts w:ascii="Times New Roman" w:eastAsia="Times New Roman" w:hAnsi="Times New Roman" w:cs="Times New Roman"/>
          <w:color w:val="000000" w:themeColor="text1"/>
        </w:rPr>
        <w:t>i</w:t>
      </w:r>
      <w:r w:rsidRPr="0029398F">
        <w:rPr>
          <w:rFonts w:ascii="Times New Roman" w:eastAsia="Times New Roman" w:hAnsi="Times New Roman" w:cs="Times New Roman"/>
          <w:color w:val="000000" w:themeColor="text1"/>
        </w:rPr>
        <w:t xml:space="preserve">nfluence on their </w:t>
      </w:r>
      <w:r w:rsidR="00467534">
        <w:rPr>
          <w:rFonts w:ascii="Times New Roman" w:eastAsia="Times New Roman" w:hAnsi="Times New Roman" w:cs="Times New Roman"/>
          <w:color w:val="000000" w:themeColor="text1"/>
        </w:rPr>
        <w:t>p</w:t>
      </w:r>
      <w:r w:rsidRPr="0029398F">
        <w:rPr>
          <w:rFonts w:ascii="Times New Roman" w:eastAsia="Times New Roman" w:hAnsi="Times New Roman" w:cs="Times New Roman"/>
          <w:color w:val="000000" w:themeColor="text1"/>
        </w:rPr>
        <w:t xml:space="preserve">edagogical </w:t>
      </w:r>
      <w:r w:rsidR="00467534">
        <w:rPr>
          <w:rFonts w:ascii="Times New Roman" w:eastAsia="Times New Roman" w:hAnsi="Times New Roman" w:cs="Times New Roman"/>
          <w:color w:val="000000" w:themeColor="text1"/>
        </w:rPr>
        <w:t>c</w:t>
      </w:r>
      <w:r w:rsidRPr="0029398F">
        <w:rPr>
          <w:rFonts w:ascii="Times New Roman" w:eastAsia="Times New Roman" w:hAnsi="Times New Roman" w:cs="Times New Roman"/>
          <w:color w:val="000000" w:themeColor="text1"/>
        </w:rPr>
        <w:t xml:space="preserve">ontent </w:t>
      </w:r>
      <w:r w:rsidR="00467534">
        <w:rPr>
          <w:rFonts w:ascii="Times New Roman" w:eastAsia="Times New Roman" w:hAnsi="Times New Roman" w:cs="Times New Roman"/>
          <w:color w:val="000000" w:themeColor="text1"/>
        </w:rPr>
        <w:t>k</w:t>
      </w:r>
      <w:r w:rsidRPr="0029398F">
        <w:rPr>
          <w:rFonts w:ascii="Times New Roman" w:eastAsia="Times New Roman" w:hAnsi="Times New Roman" w:cs="Times New Roman"/>
          <w:color w:val="000000" w:themeColor="text1"/>
        </w:rPr>
        <w:t xml:space="preserve">nowledge.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59</w:t>
      </w:r>
      <w:r w:rsidRPr="0029398F">
        <w:rPr>
          <w:rFonts w:ascii="Times New Roman" w:eastAsia="Times New Roman" w:hAnsi="Times New Roman" w:cs="Times New Roman"/>
          <w:color w:val="000000" w:themeColor="text1"/>
        </w:rPr>
        <w:t xml:space="preserve">(1), 51–69. </w:t>
      </w:r>
      <w:hyperlink r:id="rId22">
        <w:r w:rsidRPr="0029398F">
          <w:rPr>
            <w:rStyle w:val="Hyperlink"/>
            <w:rFonts w:ascii="Times New Roman" w:eastAsia="Times New Roman" w:hAnsi="Times New Roman" w:cs="Times New Roman"/>
            <w:color w:val="000000" w:themeColor="text1"/>
            <w:u w:val="none"/>
          </w:rPr>
          <w:t>https://doi.org/10.5032/jae.2018.01059</w:t>
        </w:r>
      </w:hyperlink>
      <w:r w:rsidRPr="0029398F">
        <w:rPr>
          <w:rFonts w:ascii="Times New Roman" w:eastAsia="Times New Roman" w:hAnsi="Times New Roman" w:cs="Times New Roman"/>
          <w:color w:val="000000" w:themeColor="text1"/>
        </w:rPr>
        <w:t xml:space="preserve"> </w:t>
      </w:r>
    </w:p>
    <w:p w14:paraId="0C0484AE" w14:textId="02E09A1A" w:rsidR="376AF881" w:rsidRPr="0029398F" w:rsidRDefault="376AF881"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Rice, A. H., &amp; Kitchel, T. (2017). Shaping </w:t>
      </w:r>
      <w:r w:rsidR="00467534">
        <w:rPr>
          <w:rFonts w:ascii="Times New Roman" w:eastAsia="Times New Roman" w:hAnsi="Times New Roman" w:cs="Times New Roman"/>
          <w:color w:val="000000" w:themeColor="text1"/>
        </w:rPr>
        <w:t>p</w:t>
      </w:r>
      <w:r w:rsidRPr="0029398F">
        <w:rPr>
          <w:rFonts w:ascii="Times New Roman" w:eastAsia="Times New Roman" w:hAnsi="Times New Roman" w:cs="Times New Roman"/>
          <w:color w:val="000000" w:themeColor="text1"/>
        </w:rPr>
        <w:t xml:space="preserve">edagogical </w:t>
      </w:r>
      <w:r w:rsidR="00467534">
        <w:rPr>
          <w:rFonts w:ascii="Times New Roman" w:eastAsia="Times New Roman" w:hAnsi="Times New Roman" w:cs="Times New Roman"/>
          <w:color w:val="000000" w:themeColor="text1"/>
        </w:rPr>
        <w:t>c</w:t>
      </w:r>
      <w:r w:rsidRPr="0029398F">
        <w:rPr>
          <w:rFonts w:ascii="Times New Roman" w:eastAsia="Times New Roman" w:hAnsi="Times New Roman" w:cs="Times New Roman"/>
          <w:color w:val="000000" w:themeColor="text1"/>
        </w:rPr>
        <w:t xml:space="preserve">ontent </w:t>
      </w:r>
      <w:r w:rsidR="00467534">
        <w:rPr>
          <w:rFonts w:ascii="Times New Roman" w:eastAsia="Times New Roman" w:hAnsi="Times New Roman" w:cs="Times New Roman"/>
          <w:color w:val="000000" w:themeColor="text1"/>
        </w:rPr>
        <w:t>k</w:t>
      </w:r>
      <w:r w:rsidRPr="0029398F">
        <w:rPr>
          <w:rFonts w:ascii="Times New Roman" w:eastAsia="Times New Roman" w:hAnsi="Times New Roman" w:cs="Times New Roman"/>
          <w:color w:val="000000" w:themeColor="text1"/>
        </w:rPr>
        <w:t xml:space="preserve">nowledge for </w:t>
      </w:r>
      <w:r w:rsidR="00467534">
        <w:rPr>
          <w:rFonts w:ascii="Times New Roman" w:eastAsia="Times New Roman" w:hAnsi="Times New Roman" w:cs="Times New Roman"/>
          <w:color w:val="000000" w:themeColor="text1"/>
        </w:rPr>
        <w:t>e</w:t>
      </w:r>
      <w:r w:rsidRPr="0029398F">
        <w:rPr>
          <w:rFonts w:ascii="Times New Roman" w:eastAsia="Times New Roman" w:hAnsi="Times New Roman" w:cs="Times New Roman"/>
          <w:color w:val="000000" w:themeColor="text1"/>
        </w:rPr>
        <w:t xml:space="preserve">xperienced </w:t>
      </w:r>
      <w:r w:rsidR="00467534">
        <w:rPr>
          <w:rFonts w:ascii="Times New Roman" w:eastAsia="Times New Roman" w:hAnsi="Times New Roman" w:cs="Times New Roman"/>
          <w:color w:val="000000" w:themeColor="text1"/>
        </w:rPr>
        <w:t>a</w:t>
      </w:r>
      <w:r w:rsidRPr="0029398F">
        <w:rPr>
          <w:rFonts w:ascii="Times New Roman" w:eastAsia="Times New Roman" w:hAnsi="Times New Roman" w:cs="Times New Roman"/>
          <w:color w:val="000000" w:themeColor="text1"/>
        </w:rPr>
        <w:t xml:space="preserve">griculture </w:t>
      </w:r>
      <w:r w:rsidR="00467534">
        <w:rPr>
          <w:rFonts w:ascii="Times New Roman" w:eastAsia="Times New Roman" w:hAnsi="Times New Roman" w:cs="Times New Roman"/>
          <w:color w:val="000000" w:themeColor="text1"/>
        </w:rPr>
        <w:t>t</w:t>
      </w:r>
      <w:r w:rsidRPr="0029398F">
        <w:rPr>
          <w:rFonts w:ascii="Times New Roman" w:eastAsia="Times New Roman" w:hAnsi="Times New Roman" w:cs="Times New Roman"/>
          <w:color w:val="000000" w:themeColor="text1"/>
        </w:rPr>
        <w:t xml:space="preserve">eachers in the </w:t>
      </w:r>
      <w:r w:rsidR="00467534">
        <w:rPr>
          <w:rFonts w:ascii="Times New Roman" w:eastAsia="Times New Roman" w:hAnsi="Times New Roman" w:cs="Times New Roman"/>
          <w:color w:val="000000" w:themeColor="text1"/>
        </w:rPr>
        <w:t>p</w:t>
      </w:r>
      <w:r w:rsidRPr="0029398F">
        <w:rPr>
          <w:rFonts w:ascii="Times New Roman" w:eastAsia="Times New Roman" w:hAnsi="Times New Roman" w:cs="Times New Roman"/>
          <w:color w:val="000000" w:themeColor="text1"/>
        </w:rPr>
        <w:t xml:space="preserve">lant </w:t>
      </w:r>
      <w:r w:rsidR="00467534">
        <w:rPr>
          <w:rFonts w:ascii="Times New Roman" w:eastAsia="Times New Roman" w:hAnsi="Times New Roman" w:cs="Times New Roman"/>
          <w:color w:val="000000" w:themeColor="text1"/>
        </w:rPr>
        <w:t>s</w:t>
      </w:r>
      <w:r w:rsidRPr="0029398F">
        <w:rPr>
          <w:rFonts w:ascii="Times New Roman" w:eastAsia="Times New Roman" w:hAnsi="Times New Roman" w:cs="Times New Roman"/>
          <w:color w:val="000000" w:themeColor="text1"/>
        </w:rPr>
        <w:t xml:space="preserve">ciences: A </w:t>
      </w:r>
      <w:r w:rsidR="00467534">
        <w:rPr>
          <w:rFonts w:ascii="Times New Roman" w:eastAsia="Times New Roman" w:hAnsi="Times New Roman" w:cs="Times New Roman"/>
          <w:color w:val="000000" w:themeColor="text1"/>
        </w:rPr>
        <w:t>g</w:t>
      </w:r>
      <w:r w:rsidRPr="0029398F">
        <w:rPr>
          <w:rFonts w:ascii="Times New Roman" w:eastAsia="Times New Roman" w:hAnsi="Times New Roman" w:cs="Times New Roman"/>
          <w:color w:val="000000" w:themeColor="text1"/>
        </w:rPr>
        <w:t xml:space="preserve">rounded </w:t>
      </w:r>
      <w:r w:rsidR="00467534">
        <w:rPr>
          <w:rFonts w:ascii="Times New Roman" w:eastAsia="Times New Roman" w:hAnsi="Times New Roman" w:cs="Times New Roman"/>
          <w:color w:val="000000" w:themeColor="text1"/>
        </w:rPr>
        <w:t>t</w:t>
      </w:r>
      <w:r w:rsidRPr="0029398F">
        <w:rPr>
          <w:rFonts w:ascii="Times New Roman" w:eastAsia="Times New Roman" w:hAnsi="Times New Roman" w:cs="Times New Roman"/>
          <w:color w:val="000000" w:themeColor="text1"/>
        </w:rPr>
        <w:t xml:space="preserve">heory.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58</w:t>
      </w:r>
      <w:r w:rsidRPr="0029398F">
        <w:rPr>
          <w:rFonts w:ascii="Times New Roman" w:eastAsia="Times New Roman" w:hAnsi="Times New Roman" w:cs="Times New Roman"/>
          <w:color w:val="000000" w:themeColor="text1"/>
        </w:rPr>
        <w:t xml:space="preserve">(4), 50–64. </w:t>
      </w:r>
      <w:hyperlink r:id="rId23">
        <w:r w:rsidRPr="0029398F">
          <w:rPr>
            <w:rStyle w:val="Hyperlink"/>
            <w:rFonts w:ascii="Times New Roman" w:eastAsia="Times New Roman" w:hAnsi="Times New Roman" w:cs="Times New Roman"/>
            <w:color w:val="000000" w:themeColor="text1"/>
            <w:u w:val="none"/>
          </w:rPr>
          <w:t>https://doi.org/10.5032/jae.2017.04050</w:t>
        </w:r>
      </w:hyperlink>
      <w:r w:rsidRPr="0029398F">
        <w:rPr>
          <w:rFonts w:ascii="Times New Roman" w:eastAsia="Times New Roman" w:hAnsi="Times New Roman" w:cs="Times New Roman"/>
          <w:color w:val="000000" w:themeColor="text1"/>
        </w:rPr>
        <w:t xml:space="preserve"> </w:t>
      </w:r>
    </w:p>
    <w:p w14:paraId="286B39A6" w14:textId="7E034160" w:rsidR="36A42DD4" w:rsidRPr="0029398F" w:rsidRDefault="36A42DD4"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Rice, A. H., &amp; Kitchel, T. (2015). The </w:t>
      </w:r>
      <w:r w:rsidR="00467534">
        <w:rPr>
          <w:rFonts w:ascii="Times New Roman" w:eastAsia="Times New Roman" w:hAnsi="Times New Roman" w:cs="Times New Roman"/>
          <w:color w:val="000000" w:themeColor="text1"/>
        </w:rPr>
        <w:t>r</w:t>
      </w:r>
      <w:r w:rsidRPr="0029398F">
        <w:rPr>
          <w:rFonts w:ascii="Times New Roman" w:eastAsia="Times New Roman" w:hAnsi="Times New Roman" w:cs="Times New Roman"/>
          <w:color w:val="000000" w:themeColor="text1"/>
        </w:rPr>
        <w:t xml:space="preserve">elationships between </w:t>
      </w:r>
      <w:r w:rsidR="00467534">
        <w:rPr>
          <w:rFonts w:ascii="Times New Roman" w:eastAsia="Times New Roman" w:hAnsi="Times New Roman" w:cs="Times New Roman"/>
          <w:color w:val="000000" w:themeColor="text1"/>
        </w:rPr>
        <w:t>a</w:t>
      </w:r>
      <w:r w:rsidRPr="0029398F">
        <w:rPr>
          <w:rFonts w:ascii="Times New Roman" w:eastAsia="Times New Roman" w:hAnsi="Times New Roman" w:cs="Times New Roman"/>
          <w:color w:val="000000" w:themeColor="text1"/>
        </w:rPr>
        <w:t xml:space="preserve">griculture </w:t>
      </w:r>
      <w:r w:rsidR="00467534">
        <w:rPr>
          <w:rFonts w:ascii="Times New Roman" w:eastAsia="Times New Roman" w:hAnsi="Times New Roman" w:cs="Times New Roman"/>
          <w:color w:val="000000" w:themeColor="text1"/>
        </w:rPr>
        <w:t>k</w:t>
      </w:r>
      <w:r w:rsidRPr="0029398F">
        <w:rPr>
          <w:rFonts w:ascii="Times New Roman" w:eastAsia="Times New Roman" w:hAnsi="Times New Roman" w:cs="Times New Roman"/>
          <w:color w:val="000000" w:themeColor="text1"/>
        </w:rPr>
        <w:t xml:space="preserve">nowledge </w:t>
      </w:r>
      <w:r w:rsidR="00467534">
        <w:rPr>
          <w:rFonts w:ascii="Times New Roman" w:eastAsia="Times New Roman" w:hAnsi="Times New Roman" w:cs="Times New Roman"/>
          <w:color w:val="000000" w:themeColor="text1"/>
        </w:rPr>
        <w:t>b</w:t>
      </w:r>
      <w:r w:rsidRPr="0029398F">
        <w:rPr>
          <w:rFonts w:ascii="Times New Roman" w:eastAsia="Times New Roman" w:hAnsi="Times New Roman" w:cs="Times New Roman"/>
          <w:color w:val="000000" w:themeColor="text1"/>
        </w:rPr>
        <w:t xml:space="preserve">ases for </w:t>
      </w:r>
      <w:r w:rsidR="00467534">
        <w:rPr>
          <w:rFonts w:ascii="Times New Roman" w:eastAsia="Times New Roman" w:hAnsi="Times New Roman" w:cs="Times New Roman"/>
          <w:color w:val="000000" w:themeColor="text1"/>
        </w:rPr>
        <w:t>t</w:t>
      </w:r>
      <w:r w:rsidRPr="0029398F">
        <w:rPr>
          <w:rFonts w:ascii="Times New Roman" w:eastAsia="Times New Roman" w:hAnsi="Times New Roman" w:cs="Times New Roman"/>
          <w:color w:val="000000" w:themeColor="text1"/>
        </w:rPr>
        <w:t xml:space="preserve">eaching and </w:t>
      </w:r>
      <w:r w:rsidR="00467534">
        <w:rPr>
          <w:rFonts w:ascii="Times New Roman" w:eastAsia="Times New Roman" w:hAnsi="Times New Roman" w:cs="Times New Roman"/>
          <w:color w:val="000000" w:themeColor="text1"/>
        </w:rPr>
        <w:t>s</w:t>
      </w:r>
      <w:r w:rsidRPr="0029398F">
        <w:rPr>
          <w:rFonts w:ascii="Times New Roman" w:eastAsia="Times New Roman" w:hAnsi="Times New Roman" w:cs="Times New Roman"/>
          <w:color w:val="000000" w:themeColor="text1"/>
        </w:rPr>
        <w:t xml:space="preserve">ources of </w:t>
      </w:r>
      <w:r w:rsidR="00467534">
        <w:rPr>
          <w:rFonts w:ascii="Times New Roman" w:eastAsia="Times New Roman" w:hAnsi="Times New Roman" w:cs="Times New Roman"/>
          <w:color w:val="000000" w:themeColor="text1"/>
        </w:rPr>
        <w:t>k</w:t>
      </w:r>
      <w:r w:rsidRPr="0029398F">
        <w:rPr>
          <w:rFonts w:ascii="Times New Roman" w:eastAsia="Times New Roman" w:hAnsi="Times New Roman" w:cs="Times New Roman"/>
          <w:color w:val="000000" w:themeColor="text1"/>
        </w:rPr>
        <w:t xml:space="preserve">nowledge.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56</w:t>
      </w:r>
      <w:r w:rsidRPr="0029398F">
        <w:rPr>
          <w:rFonts w:ascii="Times New Roman" w:eastAsia="Times New Roman" w:hAnsi="Times New Roman" w:cs="Times New Roman"/>
          <w:color w:val="000000" w:themeColor="text1"/>
        </w:rPr>
        <w:t xml:space="preserve">(4), 153–168. </w:t>
      </w:r>
      <w:hyperlink r:id="rId24">
        <w:r w:rsidRPr="0029398F">
          <w:rPr>
            <w:rStyle w:val="Hyperlink"/>
            <w:rFonts w:ascii="Times New Roman" w:eastAsia="Times New Roman" w:hAnsi="Times New Roman" w:cs="Times New Roman"/>
            <w:color w:val="000000" w:themeColor="text1"/>
            <w:u w:val="none"/>
          </w:rPr>
          <w:t>https://doi.org/10.5032/jae.2015.04153</w:t>
        </w:r>
      </w:hyperlink>
      <w:r w:rsidRPr="0029398F">
        <w:rPr>
          <w:rFonts w:ascii="Times New Roman" w:eastAsia="Times New Roman" w:hAnsi="Times New Roman" w:cs="Times New Roman"/>
          <w:color w:val="000000" w:themeColor="text1"/>
        </w:rPr>
        <w:t xml:space="preserve"> </w:t>
      </w:r>
    </w:p>
    <w:p w14:paraId="3CC2D96C" w14:textId="441FFDEB" w:rsidR="5B6128E6" w:rsidRPr="0029398F" w:rsidRDefault="5B6128E6"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Roberts, R., English, C. W., &amp; Alston, A. J. (2020). </w:t>
      </w:r>
      <w:r w:rsidR="00467534">
        <w:rPr>
          <w:rFonts w:ascii="Times New Roman" w:eastAsia="Times New Roman" w:hAnsi="Times New Roman" w:cs="Times New Roman"/>
          <w:color w:val="000000" w:themeColor="text1"/>
        </w:rPr>
        <w:t>F</w:t>
      </w:r>
      <w:r w:rsidR="00467534" w:rsidRPr="0029398F">
        <w:rPr>
          <w:rFonts w:ascii="Times New Roman" w:eastAsia="Times New Roman" w:hAnsi="Times New Roman" w:cs="Times New Roman"/>
          <w:color w:val="000000" w:themeColor="text1"/>
        </w:rPr>
        <w:t xml:space="preserve">ostering identity development in teacher preparation: </w:t>
      </w:r>
      <w:r w:rsidR="00467534">
        <w:rPr>
          <w:rFonts w:ascii="Times New Roman" w:eastAsia="Times New Roman" w:hAnsi="Times New Roman" w:cs="Times New Roman"/>
          <w:color w:val="000000" w:themeColor="text1"/>
        </w:rPr>
        <w:t>S</w:t>
      </w:r>
      <w:r w:rsidR="00467534" w:rsidRPr="0029398F">
        <w:rPr>
          <w:rFonts w:ascii="Times New Roman" w:eastAsia="Times New Roman" w:hAnsi="Times New Roman" w:cs="Times New Roman"/>
          <w:color w:val="000000" w:themeColor="text1"/>
        </w:rPr>
        <w:t>ervice-learning’s role in empowering agricultural education majors to teach stem concepts.</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61</w:t>
      </w:r>
      <w:r w:rsidRPr="0029398F">
        <w:rPr>
          <w:rFonts w:ascii="Times New Roman" w:eastAsia="Times New Roman" w:hAnsi="Times New Roman" w:cs="Times New Roman"/>
          <w:color w:val="000000" w:themeColor="text1"/>
        </w:rPr>
        <w:t xml:space="preserve">(3), 214–232. </w:t>
      </w:r>
      <w:hyperlink r:id="rId25">
        <w:r w:rsidRPr="0029398F">
          <w:rPr>
            <w:rStyle w:val="Hyperlink"/>
            <w:rFonts w:ascii="Times New Roman" w:eastAsia="Times New Roman" w:hAnsi="Times New Roman" w:cs="Times New Roman"/>
            <w:color w:val="000000" w:themeColor="text1"/>
            <w:u w:val="none"/>
          </w:rPr>
          <w:t>https://doi.org/10.5032/jae.2020.03214</w:t>
        </w:r>
      </w:hyperlink>
      <w:r w:rsidRPr="0029398F">
        <w:rPr>
          <w:rFonts w:ascii="Times New Roman" w:eastAsia="Times New Roman" w:hAnsi="Times New Roman" w:cs="Times New Roman"/>
          <w:color w:val="000000" w:themeColor="text1"/>
        </w:rPr>
        <w:t xml:space="preserve"> </w:t>
      </w:r>
    </w:p>
    <w:p w14:paraId="39D7475C" w14:textId="5073C670" w:rsidR="58AA4D96" w:rsidRPr="003E788A" w:rsidRDefault="58AA4D96" w:rsidP="0029398F">
      <w:pPr>
        <w:spacing w:line="240" w:lineRule="auto"/>
        <w:ind w:left="720" w:hanging="720"/>
        <w:rPr>
          <w:rFonts w:ascii="Times New Roman" w:eastAsia="Times New Roman" w:hAnsi="Times New Roman" w:cs="Times New Roman"/>
          <w:color w:val="000000" w:themeColor="text1"/>
          <w:lang w:val="es-ES"/>
        </w:rPr>
      </w:pPr>
      <w:r w:rsidRPr="0029398F">
        <w:rPr>
          <w:rFonts w:ascii="Times New Roman" w:eastAsia="Times New Roman" w:hAnsi="Times New Roman" w:cs="Times New Roman"/>
          <w:color w:val="000000" w:themeColor="text1"/>
        </w:rPr>
        <w:t xml:space="preserve">Roberts, T. G., Harder, A., &amp; Brashears, M. T. (2016). </w:t>
      </w:r>
      <w:r w:rsidRPr="0029398F">
        <w:rPr>
          <w:rFonts w:ascii="Times New Roman" w:eastAsia="Times New Roman" w:hAnsi="Times New Roman" w:cs="Times New Roman"/>
          <w:i/>
          <w:iCs/>
          <w:color w:val="000000" w:themeColor="text1"/>
        </w:rPr>
        <w:t>American Association for Agricultural Education national research agenda: 2016–2020</w:t>
      </w:r>
      <w:r w:rsidRPr="0029398F">
        <w:rPr>
          <w:rFonts w:ascii="Times New Roman" w:eastAsia="Times New Roman" w:hAnsi="Times New Roman" w:cs="Times New Roman"/>
          <w:color w:val="000000" w:themeColor="text1"/>
        </w:rPr>
        <w:t xml:space="preserve">. </w:t>
      </w:r>
      <w:r w:rsidRPr="003E788A">
        <w:rPr>
          <w:rFonts w:ascii="Times New Roman" w:eastAsia="Times New Roman" w:hAnsi="Times New Roman" w:cs="Times New Roman"/>
          <w:color w:val="000000" w:themeColor="text1"/>
          <w:lang w:val="es-ES"/>
        </w:rPr>
        <w:t>AAAE.</w:t>
      </w:r>
      <w:r w:rsidRPr="003E788A">
        <w:rPr>
          <w:rFonts w:ascii="Times New Roman" w:hAnsi="Times New Roman" w:cs="Times New Roman"/>
          <w:color w:val="000000" w:themeColor="text1"/>
          <w:lang w:val="es-ES"/>
        </w:rPr>
        <w:br/>
      </w:r>
      <w:r w:rsidRPr="003E788A">
        <w:rPr>
          <w:rFonts w:ascii="Times New Roman" w:eastAsia="Times New Roman" w:hAnsi="Times New Roman" w:cs="Times New Roman"/>
          <w:color w:val="000000" w:themeColor="text1"/>
          <w:lang w:val="es-ES"/>
        </w:rPr>
        <w:t xml:space="preserve"> </w:t>
      </w:r>
      <w:hyperlink r:id="rId26">
        <w:r w:rsidRPr="003E788A">
          <w:rPr>
            <w:rStyle w:val="Hyperlink"/>
            <w:rFonts w:ascii="Times New Roman" w:eastAsia="Times New Roman" w:hAnsi="Times New Roman" w:cs="Times New Roman"/>
            <w:color w:val="000000" w:themeColor="text1"/>
            <w:u w:val="none"/>
            <w:lang w:val="es-ES"/>
          </w:rPr>
          <w:t>https://aaaeonline.org/resources/Documents/AAAE_National_Research_Agenda_2016-2020.pdf</w:t>
        </w:r>
      </w:hyperlink>
    </w:p>
    <w:p w14:paraId="38D74B87" w14:textId="30FEB72D" w:rsidR="58AA4D96" w:rsidRPr="0029398F" w:rsidRDefault="58AA4D96" w:rsidP="0029398F">
      <w:pPr>
        <w:spacing w:line="240" w:lineRule="auto"/>
        <w:ind w:left="720" w:hanging="720"/>
        <w:rPr>
          <w:rFonts w:ascii="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Roberts, T. G. (2006). A philosophical examination of experiential learning theory for agricultural educators. </w:t>
      </w:r>
      <w:r w:rsidRPr="0029398F">
        <w:rPr>
          <w:rFonts w:ascii="Times New Roman" w:eastAsia="Times New Roman" w:hAnsi="Times New Roman" w:cs="Times New Roman"/>
          <w:i/>
          <w:iCs/>
          <w:color w:val="000000" w:themeColor="text1"/>
        </w:rPr>
        <w:t>Journal of Agricultural Education, 47</w:t>
      </w:r>
      <w:r w:rsidRPr="0029398F">
        <w:rPr>
          <w:rFonts w:ascii="Times New Roman" w:eastAsia="Times New Roman" w:hAnsi="Times New Roman" w:cs="Times New Roman"/>
          <w:color w:val="000000" w:themeColor="text1"/>
        </w:rPr>
        <w:t>(1), 17–29.</w:t>
      </w:r>
      <w:r w:rsidRPr="0029398F">
        <w:rPr>
          <w:rFonts w:ascii="Times New Roman" w:hAnsi="Times New Roman" w:cs="Times New Roman"/>
          <w:color w:val="000000" w:themeColor="text1"/>
        </w:rPr>
        <w:br/>
      </w:r>
      <w:hyperlink r:id="rId27">
        <w:r w:rsidRPr="0029398F">
          <w:rPr>
            <w:rStyle w:val="Hyperlink"/>
            <w:rFonts w:ascii="Times New Roman" w:eastAsia="Times New Roman" w:hAnsi="Times New Roman" w:cs="Times New Roman"/>
            <w:color w:val="000000" w:themeColor="text1"/>
            <w:u w:val="none"/>
          </w:rPr>
          <w:t>https://doi.org/10.5032/jae.2006.01017</w:t>
        </w:r>
      </w:hyperlink>
      <w:r w:rsidRPr="0029398F">
        <w:rPr>
          <w:rFonts w:ascii="Times New Roman" w:eastAsia="Times New Roman" w:hAnsi="Times New Roman" w:cs="Times New Roman"/>
          <w:color w:val="000000" w:themeColor="text1"/>
        </w:rPr>
        <w:t xml:space="preserve">  </w:t>
      </w:r>
    </w:p>
    <w:p w14:paraId="22891316" w14:textId="7F667BBF" w:rsidR="00E84FCA" w:rsidRPr="0029398F" w:rsidRDefault="00E84FCA"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Rogers, E. M. (2003). </w:t>
      </w:r>
      <w:r w:rsidRPr="0029398F">
        <w:rPr>
          <w:rFonts w:ascii="Times New Roman" w:eastAsia="Times New Roman" w:hAnsi="Times New Roman" w:cs="Times New Roman"/>
          <w:i/>
          <w:iCs/>
          <w:color w:val="000000" w:themeColor="text1"/>
        </w:rPr>
        <w:t>Diffusion of innovations</w:t>
      </w:r>
      <w:r w:rsidRPr="0029398F">
        <w:rPr>
          <w:rFonts w:ascii="Times New Roman" w:eastAsia="Times New Roman" w:hAnsi="Times New Roman" w:cs="Times New Roman"/>
          <w:color w:val="000000" w:themeColor="text1"/>
        </w:rPr>
        <w:t xml:space="preserve"> (5th ed.). Free Press.</w:t>
      </w:r>
    </w:p>
    <w:p w14:paraId="0C54CDB9" w14:textId="4B01E3B2" w:rsidR="58AA4D96" w:rsidRPr="0029398F" w:rsidRDefault="58AA4D96" w:rsidP="0029398F">
      <w:pPr>
        <w:spacing w:line="240" w:lineRule="auto"/>
        <w:ind w:left="720" w:hanging="720"/>
        <w:rPr>
          <w:rFonts w:ascii="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Shulman, L. S. (1986). Those who understand: Knowledge growth in teaching. </w:t>
      </w:r>
      <w:r w:rsidRPr="0029398F">
        <w:rPr>
          <w:rFonts w:ascii="Times New Roman" w:eastAsia="Times New Roman" w:hAnsi="Times New Roman" w:cs="Times New Roman"/>
          <w:i/>
          <w:iCs/>
          <w:color w:val="000000" w:themeColor="text1"/>
        </w:rPr>
        <w:t>Educational Researcher, 15</w:t>
      </w:r>
      <w:r w:rsidRPr="0029398F">
        <w:rPr>
          <w:rFonts w:ascii="Times New Roman" w:eastAsia="Times New Roman" w:hAnsi="Times New Roman" w:cs="Times New Roman"/>
          <w:color w:val="000000" w:themeColor="text1"/>
        </w:rPr>
        <w:t xml:space="preserve">(2), 4–14. </w:t>
      </w:r>
      <w:hyperlink r:id="rId28">
        <w:r w:rsidRPr="0029398F">
          <w:rPr>
            <w:rStyle w:val="Hyperlink"/>
            <w:rFonts w:ascii="Times New Roman" w:eastAsia="Times New Roman" w:hAnsi="Times New Roman" w:cs="Times New Roman"/>
            <w:color w:val="000000" w:themeColor="text1"/>
            <w:u w:val="none"/>
          </w:rPr>
          <w:t>https://doi.org/10.3102/0013189X015002004</w:t>
        </w:r>
      </w:hyperlink>
    </w:p>
    <w:p w14:paraId="6000129C" w14:textId="0BD81D14" w:rsidR="0C2D4796" w:rsidRPr="0029398F" w:rsidRDefault="0C2D4796" w:rsidP="0029398F">
      <w:pPr>
        <w:spacing w:line="240" w:lineRule="auto"/>
        <w:ind w:left="720" w:hanging="720"/>
        <w:rPr>
          <w:rFonts w:ascii="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Talbert, B. A., Vaughn, R., &amp; Croom, D. B. (2005). </w:t>
      </w:r>
      <w:r w:rsidRPr="0029398F">
        <w:rPr>
          <w:rFonts w:ascii="Times New Roman" w:eastAsia="Times New Roman" w:hAnsi="Times New Roman" w:cs="Times New Roman"/>
          <w:i/>
          <w:iCs/>
          <w:color w:val="000000" w:themeColor="text1"/>
        </w:rPr>
        <w:t>Foundations of agricultural education</w:t>
      </w:r>
      <w:r w:rsidRPr="0029398F">
        <w:rPr>
          <w:rFonts w:ascii="Times New Roman" w:eastAsia="Times New Roman" w:hAnsi="Times New Roman" w:cs="Times New Roman"/>
          <w:color w:val="000000" w:themeColor="text1"/>
        </w:rPr>
        <w:t xml:space="preserve"> (2nd ed.). Pearson Education.</w:t>
      </w:r>
    </w:p>
    <w:p w14:paraId="05FB6D37" w14:textId="2A4FC5B7" w:rsidR="00E84FCA" w:rsidRPr="0029398F" w:rsidRDefault="00E84FCA" w:rsidP="0029398F">
      <w:pPr>
        <w:spacing w:line="240" w:lineRule="auto"/>
        <w:ind w:left="720" w:hanging="720"/>
        <w:rPr>
          <w:rFonts w:ascii="Times New Roman" w:eastAsia="Times New Roman" w:hAnsi="Times New Roman" w:cs="Times New Roman"/>
          <w:color w:val="000000" w:themeColor="text1"/>
        </w:rPr>
      </w:pPr>
      <w:r w:rsidRPr="00E84FCA">
        <w:rPr>
          <w:rFonts w:ascii="Times New Roman" w:eastAsia="Times New Roman" w:hAnsi="Times New Roman" w:cs="Times New Roman"/>
          <w:color w:val="000000" w:themeColor="text1"/>
        </w:rPr>
        <w:t xml:space="preserve">Thoron, A. C., &amp; Myers, B. E. (2012). </w:t>
      </w:r>
      <w:r w:rsidR="00467534">
        <w:rPr>
          <w:rFonts w:ascii="Times New Roman" w:eastAsia="Times New Roman" w:hAnsi="Times New Roman" w:cs="Times New Roman"/>
          <w:color w:val="000000" w:themeColor="text1"/>
        </w:rPr>
        <w:t>E</w:t>
      </w:r>
      <w:r w:rsidR="00467534" w:rsidRPr="00E84FCA">
        <w:rPr>
          <w:rFonts w:ascii="Times New Roman" w:eastAsia="Times New Roman" w:hAnsi="Times New Roman" w:cs="Times New Roman"/>
          <w:color w:val="000000" w:themeColor="text1"/>
        </w:rPr>
        <w:t>ffects of inquiry–based agriscience instruction and subject matter–based instruction on student argumentation skills</w:t>
      </w:r>
      <w:r w:rsidRPr="00E84FCA">
        <w:rPr>
          <w:rFonts w:ascii="Times New Roman" w:eastAsia="Times New Roman" w:hAnsi="Times New Roman" w:cs="Times New Roman"/>
          <w:color w:val="000000" w:themeColor="text1"/>
        </w:rPr>
        <w:t>. </w:t>
      </w:r>
      <w:r w:rsidRPr="00E84FCA">
        <w:rPr>
          <w:rFonts w:ascii="Times New Roman" w:eastAsia="Times New Roman" w:hAnsi="Times New Roman" w:cs="Times New Roman"/>
          <w:i/>
          <w:iCs/>
          <w:color w:val="000000" w:themeColor="text1"/>
        </w:rPr>
        <w:t>Journal of Agricultural Education</w:t>
      </w:r>
      <w:r w:rsidRPr="00E84FCA">
        <w:rPr>
          <w:rFonts w:ascii="Times New Roman" w:eastAsia="Times New Roman" w:hAnsi="Times New Roman" w:cs="Times New Roman"/>
          <w:color w:val="000000" w:themeColor="text1"/>
        </w:rPr>
        <w:t>, </w:t>
      </w:r>
      <w:r w:rsidRPr="00E84FCA">
        <w:rPr>
          <w:rFonts w:ascii="Times New Roman" w:eastAsia="Times New Roman" w:hAnsi="Times New Roman" w:cs="Times New Roman"/>
          <w:i/>
          <w:iCs/>
          <w:color w:val="000000" w:themeColor="text1"/>
        </w:rPr>
        <w:t>53</w:t>
      </w:r>
      <w:r w:rsidRPr="00E84FCA">
        <w:rPr>
          <w:rFonts w:ascii="Times New Roman" w:eastAsia="Times New Roman" w:hAnsi="Times New Roman" w:cs="Times New Roman"/>
          <w:color w:val="000000" w:themeColor="text1"/>
        </w:rPr>
        <w:t xml:space="preserve">(2), 58–69. </w:t>
      </w:r>
      <w:hyperlink r:id="rId29" w:history="1">
        <w:r w:rsidRPr="00E84FCA">
          <w:rPr>
            <w:rStyle w:val="Hyperlink"/>
            <w:rFonts w:ascii="Times New Roman" w:eastAsia="Times New Roman" w:hAnsi="Times New Roman" w:cs="Times New Roman"/>
            <w:color w:val="000000" w:themeColor="text1"/>
            <w:u w:val="none"/>
          </w:rPr>
          <w:t>https://doi.org/10.5032/jae.2012.02058</w:t>
        </w:r>
      </w:hyperlink>
      <w:r w:rsidRPr="0029398F">
        <w:rPr>
          <w:rFonts w:ascii="Times New Roman" w:eastAsia="Times New Roman" w:hAnsi="Times New Roman" w:cs="Times New Roman"/>
          <w:color w:val="000000" w:themeColor="text1"/>
        </w:rPr>
        <w:t xml:space="preserve"> </w:t>
      </w:r>
    </w:p>
    <w:p w14:paraId="6D8638FE" w14:textId="7D5742AC" w:rsidR="459DAD41" w:rsidRPr="0029398F" w:rsidRDefault="459DAD41"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Wang, H.-H., &amp; Knobloch, N. A. (2020). </w:t>
      </w:r>
      <w:r w:rsidR="00467534">
        <w:rPr>
          <w:rFonts w:ascii="Times New Roman" w:eastAsia="Times New Roman" w:hAnsi="Times New Roman" w:cs="Times New Roman"/>
          <w:color w:val="000000" w:themeColor="text1"/>
        </w:rPr>
        <w:t>P</w:t>
      </w:r>
      <w:r w:rsidR="00467534" w:rsidRPr="0029398F">
        <w:rPr>
          <w:rFonts w:ascii="Times New Roman" w:eastAsia="Times New Roman" w:hAnsi="Times New Roman" w:cs="Times New Roman"/>
          <w:color w:val="000000" w:themeColor="text1"/>
        </w:rPr>
        <w:t xml:space="preserve">reservice educators’ beliefs and practices of teaching </w:t>
      </w:r>
      <w:r w:rsidR="00467534">
        <w:rPr>
          <w:rFonts w:ascii="Times New Roman" w:eastAsia="Times New Roman" w:hAnsi="Times New Roman" w:cs="Times New Roman"/>
          <w:color w:val="000000" w:themeColor="text1"/>
        </w:rPr>
        <w:t>STEM</w:t>
      </w:r>
      <w:r w:rsidR="00467534" w:rsidRPr="0029398F">
        <w:rPr>
          <w:rFonts w:ascii="Times New Roman" w:eastAsia="Times New Roman" w:hAnsi="Times New Roman" w:cs="Times New Roman"/>
          <w:color w:val="000000" w:themeColor="text1"/>
        </w:rPr>
        <w:t xml:space="preserve"> through agriculture, food, and natural resources. </w:t>
      </w:r>
      <w:r w:rsidRPr="0029398F">
        <w:rPr>
          <w:rFonts w:ascii="Times New Roman" w:eastAsia="Times New Roman" w:hAnsi="Times New Roman" w:cs="Times New Roman"/>
          <w:i/>
          <w:iCs/>
          <w:color w:val="000000" w:themeColor="text1"/>
        </w:rPr>
        <w:t>Journal of Agricultural Education</w:t>
      </w:r>
      <w:r w:rsidRPr="0029398F">
        <w:rPr>
          <w:rFonts w:ascii="Times New Roman" w:eastAsia="Times New Roman" w:hAnsi="Times New Roman" w:cs="Times New Roman"/>
          <w:color w:val="000000" w:themeColor="text1"/>
        </w:rPr>
        <w:t xml:space="preserve">, </w:t>
      </w:r>
      <w:r w:rsidRPr="0029398F">
        <w:rPr>
          <w:rFonts w:ascii="Times New Roman" w:eastAsia="Times New Roman" w:hAnsi="Times New Roman" w:cs="Times New Roman"/>
          <w:i/>
          <w:iCs/>
          <w:color w:val="000000" w:themeColor="text1"/>
        </w:rPr>
        <w:t>61</w:t>
      </w:r>
      <w:r w:rsidRPr="0029398F">
        <w:rPr>
          <w:rFonts w:ascii="Times New Roman" w:eastAsia="Times New Roman" w:hAnsi="Times New Roman" w:cs="Times New Roman"/>
          <w:color w:val="000000" w:themeColor="text1"/>
        </w:rPr>
        <w:t xml:space="preserve">(2), 57–76. </w:t>
      </w:r>
      <w:hyperlink r:id="rId30">
        <w:r w:rsidRPr="0029398F">
          <w:rPr>
            <w:rStyle w:val="Hyperlink"/>
            <w:rFonts w:ascii="Times New Roman" w:eastAsia="Times New Roman" w:hAnsi="Times New Roman" w:cs="Times New Roman"/>
            <w:color w:val="000000" w:themeColor="text1"/>
            <w:u w:val="none"/>
          </w:rPr>
          <w:t>https://doi.org/10.5032/jae.2020.02057</w:t>
        </w:r>
      </w:hyperlink>
    </w:p>
    <w:p w14:paraId="302240F2" w14:textId="6602BBC9" w:rsidR="4FD34E0B" w:rsidRPr="0029398F" w:rsidRDefault="4FD34E0B" w:rsidP="0029398F">
      <w:pPr>
        <w:spacing w:line="240" w:lineRule="auto"/>
        <w:ind w:left="720" w:hanging="720"/>
        <w:rPr>
          <w:rFonts w:ascii="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Wells, T., Matthews, J., Caudle, L., Lunceford, C., Clement, B., &amp; Anderson, R. (2015). The infusion of science into agricultural education: A review of literature. </w:t>
      </w:r>
      <w:r w:rsidRPr="0029398F">
        <w:rPr>
          <w:rFonts w:ascii="Times New Roman" w:eastAsia="Times New Roman" w:hAnsi="Times New Roman" w:cs="Times New Roman"/>
          <w:i/>
          <w:iCs/>
          <w:color w:val="000000" w:themeColor="text1"/>
        </w:rPr>
        <w:t>Journal of Agricultural Education, 56</w:t>
      </w:r>
      <w:r w:rsidRPr="0029398F">
        <w:rPr>
          <w:rFonts w:ascii="Times New Roman" w:eastAsia="Times New Roman" w:hAnsi="Times New Roman" w:cs="Times New Roman"/>
          <w:color w:val="000000" w:themeColor="text1"/>
        </w:rPr>
        <w:t xml:space="preserve">(4), 1–15. </w:t>
      </w:r>
      <w:hyperlink r:id="rId31">
        <w:r w:rsidRPr="0029398F">
          <w:rPr>
            <w:rStyle w:val="Hyperlink"/>
            <w:rFonts w:ascii="Times New Roman" w:eastAsia="Times New Roman" w:hAnsi="Times New Roman" w:cs="Times New Roman"/>
            <w:color w:val="000000" w:themeColor="text1"/>
            <w:u w:val="none"/>
          </w:rPr>
          <w:t>https://doi.org/10.5032/jae.2015.04001</w:t>
        </w:r>
      </w:hyperlink>
      <w:r w:rsidRPr="0029398F">
        <w:rPr>
          <w:rFonts w:ascii="Times New Roman" w:eastAsia="Times New Roman" w:hAnsi="Times New Roman" w:cs="Times New Roman"/>
          <w:color w:val="000000" w:themeColor="text1"/>
        </w:rPr>
        <w:t xml:space="preserve"> </w:t>
      </w:r>
    </w:p>
    <w:p w14:paraId="1BB538DD" w14:textId="21BCAF68" w:rsidR="00BE1DC2" w:rsidRPr="0029398F" w:rsidRDefault="00BE1DC2" w:rsidP="0029398F">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Yin, R. K. (2017). </w:t>
      </w:r>
      <w:r w:rsidRPr="0029398F">
        <w:rPr>
          <w:rFonts w:ascii="Times New Roman" w:eastAsia="Times New Roman" w:hAnsi="Times New Roman" w:cs="Times New Roman"/>
          <w:i/>
          <w:iCs/>
          <w:color w:val="000000" w:themeColor="text1"/>
        </w:rPr>
        <w:t xml:space="preserve">Case study research and applications: Design and methods </w:t>
      </w:r>
      <w:r w:rsidRPr="0029398F">
        <w:rPr>
          <w:rFonts w:ascii="Times New Roman" w:eastAsia="Times New Roman" w:hAnsi="Times New Roman" w:cs="Times New Roman"/>
          <w:color w:val="000000" w:themeColor="text1"/>
        </w:rPr>
        <w:t>(6</w:t>
      </w:r>
      <w:r w:rsidRPr="0029398F">
        <w:rPr>
          <w:rFonts w:ascii="Times New Roman" w:eastAsia="Times New Roman" w:hAnsi="Times New Roman" w:cs="Times New Roman"/>
          <w:color w:val="000000" w:themeColor="text1"/>
          <w:vertAlign w:val="superscript"/>
        </w:rPr>
        <w:t>th</w:t>
      </w:r>
      <w:r w:rsidRPr="0029398F">
        <w:rPr>
          <w:rFonts w:ascii="Times New Roman" w:eastAsia="Times New Roman" w:hAnsi="Times New Roman" w:cs="Times New Roman"/>
          <w:color w:val="000000" w:themeColor="text1"/>
        </w:rPr>
        <w:t xml:space="preserve"> ed.). SAGE Publications.</w:t>
      </w:r>
    </w:p>
    <w:p w14:paraId="1D8779E5" w14:textId="662A6DF0" w:rsidR="3011E18F" w:rsidRPr="0029398F" w:rsidRDefault="4FD34E0B" w:rsidP="002148A4">
      <w:pPr>
        <w:spacing w:line="240" w:lineRule="auto"/>
        <w:ind w:left="720" w:hanging="720"/>
        <w:rPr>
          <w:rFonts w:ascii="Times New Roman" w:eastAsia="Times New Roman" w:hAnsi="Times New Roman" w:cs="Times New Roman"/>
          <w:color w:val="000000" w:themeColor="text1"/>
        </w:rPr>
      </w:pPr>
      <w:r w:rsidRPr="0029398F">
        <w:rPr>
          <w:rFonts w:ascii="Times New Roman" w:eastAsia="Times New Roman" w:hAnsi="Times New Roman" w:cs="Times New Roman"/>
          <w:color w:val="000000" w:themeColor="text1"/>
        </w:rPr>
        <w:t xml:space="preserve">Young, R. B., Edwards, M. C., &amp; Leising, J. G. (2009). Scientific literacy in agricultural education: A review of literature. </w:t>
      </w:r>
      <w:r w:rsidRPr="0029398F">
        <w:rPr>
          <w:rFonts w:ascii="Times New Roman" w:eastAsia="Times New Roman" w:hAnsi="Times New Roman" w:cs="Times New Roman"/>
          <w:i/>
          <w:iCs/>
          <w:color w:val="000000" w:themeColor="text1"/>
        </w:rPr>
        <w:t>Journal of Agricultural Education, 50</w:t>
      </w:r>
      <w:r w:rsidRPr="0029398F">
        <w:rPr>
          <w:rFonts w:ascii="Times New Roman" w:eastAsia="Times New Roman" w:hAnsi="Times New Roman" w:cs="Times New Roman"/>
          <w:color w:val="000000" w:themeColor="text1"/>
        </w:rPr>
        <w:t>(4), 1–13.</w:t>
      </w:r>
      <w:r w:rsidRPr="0029398F">
        <w:rPr>
          <w:rFonts w:ascii="Times New Roman" w:hAnsi="Times New Roman" w:cs="Times New Roman"/>
          <w:color w:val="000000" w:themeColor="text1"/>
        </w:rPr>
        <w:br/>
      </w:r>
      <w:hyperlink r:id="rId32">
        <w:r w:rsidRPr="0029398F">
          <w:rPr>
            <w:rStyle w:val="Hyperlink"/>
            <w:rFonts w:ascii="Times New Roman" w:eastAsia="Times New Roman" w:hAnsi="Times New Roman" w:cs="Times New Roman"/>
            <w:color w:val="000000" w:themeColor="text1"/>
            <w:u w:val="none"/>
          </w:rPr>
          <w:t>https://doi.org/10.5032/jae.2009.04001</w:t>
        </w:r>
      </w:hyperlink>
    </w:p>
    <w:sectPr w:rsidR="3011E18F" w:rsidRPr="0029398F" w:rsidSect="00F27FFC">
      <w:footerReference w:type="even"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A602F" w14:textId="77777777" w:rsidR="00300372" w:rsidRDefault="00300372" w:rsidP="00603878">
      <w:pPr>
        <w:spacing w:after="0" w:line="240" w:lineRule="auto"/>
      </w:pPr>
      <w:r>
        <w:separator/>
      </w:r>
    </w:p>
  </w:endnote>
  <w:endnote w:type="continuationSeparator" w:id="0">
    <w:p w14:paraId="02CD2138" w14:textId="77777777" w:rsidR="00300372" w:rsidRDefault="00300372" w:rsidP="00603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2036345"/>
      <w:docPartObj>
        <w:docPartGallery w:val="Page Numbers (Bottom of Page)"/>
        <w:docPartUnique/>
      </w:docPartObj>
    </w:sdtPr>
    <w:sdtEndPr>
      <w:rPr>
        <w:rStyle w:val="PageNumber"/>
      </w:rPr>
    </w:sdtEndPr>
    <w:sdtContent>
      <w:p w14:paraId="2D8E6084" w14:textId="4AE0B09B" w:rsidR="00A46170" w:rsidRDefault="00A461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77C7B2D" w14:textId="77777777" w:rsidR="00A46170" w:rsidRDefault="00A46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1731066682"/>
      <w:docPartObj>
        <w:docPartGallery w:val="Page Numbers (Bottom of Page)"/>
        <w:docPartUnique/>
      </w:docPartObj>
    </w:sdtPr>
    <w:sdtEndPr>
      <w:rPr>
        <w:rStyle w:val="PageNumber"/>
      </w:rPr>
    </w:sdtEndPr>
    <w:sdtContent>
      <w:p w14:paraId="6146245A" w14:textId="3172CD7F" w:rsidR="00A46170" w:rsidRPr="009E1655" w:rsidRDefault="00A46170">
        <w:pPr>
          <w:pStyle w:val="Footer"/>
          <w:framePr w:wrap="none" w:vAnchor="text" w:hAnchor="margin" w:xAlign="center" w:y="1"/>
          <w:rPr>
            <w:rStyle w:val="PageNumber"/>
            <w:rFonts w:ascii="Times New Roman" w:hAnsi="Times New Roman" w:cs="Times New Roman"/>
          </w:rPr>
        </w:pPr>
        <w:r w:rsidRPr="009E1655">
          <w:rPr>
            <w:rStyle w:val="PageNumber"/>
            <w:rFonts w:ascii="Times New Roman" w:hAnsi="Times New Roman" w:cs="Times New Roman"/>
          </w:rPr>
          <w:fldChar w:fldCharType="begin"/>
        </w:r>
        <w:r w:rsidRPr="009E1655">
          <w:rPr>
            <w:rStyle w:val="PageNumber"/>
            <w:rFonts w:ascii="Times New Roman" w:hAnsi="Times New Roman" w:cs="Times New Roman"/>
          </w:rPr>
          <w:instrText xml:space="preserve"> PAGE </w:instrText>
        </w:r>
        <w:r w:rsidRPr="009E1655">
          <w:rPr>
            <w:rStyle w:val="PageNumber"/>
            <w:rFonts w:ascii="Times New Roman" w:hAnsi="Times New Roman" w:cs="Times New Roman"/>
          </w:rPr>
          <w:fldChar w:fldCharType="separate"/>
        </w:r>
        <w:r w:rsidRPr="009E1655">
          <w:rPr>
            <w:rStyle w:val="PageNumber"/>
            <w:rFonts w:ascii="Times New Roman" w:hAnsi="Times New Roman" w:cs="Times New Roman"/>
            <w:noProof/>
          </w:rPr>
          <w:t>5</w:t>
        </w:r>
        <w:r w:rsidRPr="009E1655">
          <w:rPr>
            <w:rStyle w:val="PageNumber"/>
            <w:rFonts w:ascii="Times New Roman" w:hAnsi="Times New Roman" w:cs="Times New Roman"/>
          </w:rPr>
          <w:fldChar w:fldCharType="end"/>
        </w:r>
      </w:p>
    </w:sdtContent>
  </w:sdt>
  <w:p w14:paraId="75E4B023" w14:textId="77777777" w:rsidR="00A46170" w:rsidRDefault="00A46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168C2" w14:textId="77777777" w:rsidR="00300372" w:rsidRDefault="00300372" w:rsidP="00603878">
      <w:pPr>
        <w:spacing w:after="0" w:line="240" w:lineRule="auto"/>
      </w:pPr>
      <w:r>
        <w:separator/>
      </w:r>
    </w:p>
  </w:footnote>
  <w:footnote w:type="continuationSeparator" w:id="0">
    <w:p w14:paraId="48692023" w14:textId="77777777" w:rsidR="00300372" w:rsidRDefault="00300372" w:rsidP="0060387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F930A"/>
    <w:multiLevelType w:val="hybridMultilevel"/>
    <w:tmpl w:val="0D64F2FE"/>
    <w:lvl w:ilvl="0" w:tplc="C054D842">
      <w:start w:val="1"/>
      <w:numFmt w:val="bullet"/>
      <w:lvlText w:val="-"/>
      <w:lvlJc w:val="left"/>
      <w:pPr>
        <w:ind w:left="720" w:hanging="360"/>
      </w:pPr>
      <w:rPr>
        <w:rFonts w:ascii="Aptos" w:hAnsi="Aptos" w:hint="default"/>
      </w:rPr>
    </w:lvl>
    <w:lvl w:ilvl="1" w:tplc="EFCE54B2">
      <w:start w:val="1"/>
      <w:numFmt w:val="bullet"/>
      <w:lvlText w:val="o"/>
      <w:lvlJc w:val="left"/>
      <w:pPr>
        <w:ind w:left="1440" w:hanging="360"/>
      </w:pPr>
      <w:rPr>
        <w:rFonts w:ascii="Courier New" w:hAnsi="Courier New" w:hint="default"/>
      </w:rPr>
    </w:lvl>
    <w:lvl w:ilvl="2" w:tplc="B56EC0C0">
      <w:start w:val="1"/>
      <w:numFmt w:val="bullet"/>
      <w:lvlText w:val=""/>
      <w:lvlJc w:val="left"/>
      <w:pPr>
        <w:ind w:left="2160" w:hanging="360"/>
      </w:pPr>
      <w:rPr>
        <w:rFonts w:ascii="Wingdings" w:hAnsi="Wingdings" w:hint="default"/>
      </w:rPr>
    </w:lvl>
    <w:lvl w:ilvl="3" w:tplc="0DD03542">
      <w:start w:val="1"/>
      <w:numFmt w:val="bullet"/>
      <w:lvlText w:val=""/>
      <w:lvlJc w:val="left"/>
      <w:pPr>
        <w:ind w:left="2880" w:hanging="360"/>
      </w:pPr>
      <w:rPr>
        <w:rFonts w:ascii="Symbol" w:hAnsi="Symbol" w:hint="default"/>
      </w:rPr>
    </w:lvl>
    <w:lvl w:ilvl="4" w:tplc="88EE8F02">
      <w:start w:val="1"/>
      <w:numFmt w:val="bullet"/>
      <w:lvlText w:val="o"/>
      <w:lvlJc w:val="left"/>
      <w:pPr>
        <w:ind w:left="3600" w:hanging="360"/>
      </w:pPr>
      <w:rPr>
        <w:rFonts w:ascii="Courier New" w:hAnsi="Courier New" w:hint="default"/>
      </w:rPr>
    </w:lvl>
    <w:lvl w:ilvl="5" w:tplc="BBC28D1C">
      <w:start w:val="1"/>
      <w:numFmt w:val="bullet"/>
      <w:lvlText w:val=""/>
      <w:lvlJc w:val="left"/>
      <w:pPr>
        <w:ind w:left="4320" w:hanging="360"/>
      </w:pPr>
      <w:rPr>
        <w:rFonts w:ascii="Wingdings" w:hAnsi="Wingdings" w:hint="default"/>
      </w:rPr>
    </w:lvl>
    <w:lvl w:ilvl="6" w:tplc="DF009184">
      <w:start w:val="1"/>
      <w:numFmt w:val="bullet"/>
      <w:lvlText w:val=""/>
      <w:lvlJc w:val="left"/>
      <w:pPr>
        <w:ind w:left="5040" w:hanging="360"/>
      </w:pPr>
      <w:rPr>
        <w:rFonts w:ascii="Symbol" w:hAnsi="Symbol" w:hint="default"/>
      </w:rPr>
    </w:lvl>
    <w:lvl w:ilvl="7" w:tplc="E744A1EA">
      <w:start w:val="1"/>
      <w:numFmt w:val="bullet"/>
      <w:lvlText w:val="o"/>
      <w:lvlJc w:val="left"/>
      <w:pPr>
        <w:ind w:left="5760" w:hanging="360"/>
      </w:pPr>
      <w:rPr>
        <w:rFonts w:ascii="Courier New" w:hAnsi="Courier New" w:hint="default"/>
      </w:rPr>
    </w:lvl>
    <w:lvl w:ilvl="8" w:tplc="3C260E8C">
      <w:start w:val="1"/>
      <w:numFmt w:val="bullet"/>
      <w:lvlText w:val=""/>
      <w:lvlJc w:val="left"/>
      <w:pPr>
        <w:ind w:left="6480" w:hanging="360"/>
      </w:pPr>
      <w:rPr>
        <w:rFonts w:ascii="Wingdings" w:hAnsi="Wingdings" w:hint="default"/>
      </w:rPr>
    </w:lvl>
  </w:abstractNum>
  <w:abstractNum w:abstractNumId="1" w15:restartNumberingAfterBreak="0">
    <w:nsid w:val="16F63223"/>
    <w:multiLevelType w:val="hybridMultilevel"/>
    <w:tmpl w:val="9D66FC66"/>
    <w:lvl w:ilvl="0" w:tplc="65C488AC">
      <w:start w:val="1"/>
      <w:numFmt w:val="bullet"/>
      <w:lvlText w:val="-"/>
      <w:lvlJc w:val="left"/>
      <w:pPr>
        <w:ind w:left="720" w:hanging="360"/>
      </w:pPr>
      <w:rPr>
        <w:rFonts w:ascii="Aptos" w:hAnsi="Aptos" w:hint="default"/>
      </w:rPr>
    </w:lvl>
    <w:lvl w:ilvl="1" w:tplc="D9AE9CC6">
      <w:start w:val="1"/>
      <w:numFmt w:val="bullet"/>
      <w:lvlText w:val="o"/>
      <w:lvlJc w:val="left"/>
      <w:pPr>
        <w:ind w:left="1440" w:hanging="360"/>
      </w:pPr>
      <w:rPr>
        <w:rFonts w:ascii="Courier New" w:hAnsi="Courier New" w:hint="default"/>
      </w:rPr>
    </w:lvl>
    <w:lvl w:ilvl="2" w:tplc="E82EE14E">
      <w:start w:val="1"/>
      <w:numFmt w:val="bullet"/>
      <w:lvlText w:val=""/>
      <w:lvlJc w:val="left"/>
      <w:pPr>
        <w:ind w:left="2160" w:hanging="360"/>
      </w:pPr>
      <w:rPr>
        <w:rFonts w:ascii="Wingdings" w:hAnsi="Wingdings" w:hint="default"/>
      </w:rPr>
    </w:lvl>
    <w:lvl w:ilvl="3" w:tplc="2A4051B6">
      <w:start w:val="1"/>
      <w:numFmt w:val="bullet"/>
      <w:lvlText w:val=""/>
      <w:lvlJc w:val="left"/>
      <w:pPr>
        <w:ind w:left="2880" w:hanging="360"/>
      </w:pPr>
      <w:rPr>
        <w:rFonts w:ascii="Symbol" w:hAnsi="Symbol" w:hint="default"/>
      </w:rPr>
    </w:lvl>
    <w:lvl w:ilvl="4" w:tplc="03B23FCE">
      <w:start w:val="1"/>
      <w:numFmt w:val="bullet"/>
      <w:lvlText w:val="o"/>
      <w:lvlJc w:val="left"/>
      <w:pPr>
        <w:ind w:left="3600" w:hanging="360"/>
      </w:pPr>
      <w:rPr>
        <w:rFonts w:ascii="Courier New" w:hAnsi="Courier New" w:hint="default"/>
      </w:rPr>
    </w:lvl>
    <w:lvl w:ilvl="5" w:tplc="328EF41A">
      <w:start w:val="1"/>
      <w:numFmt w:val="bullet"/>
      <w:lvlText w:val=""/>
      <w:lvlJc w:val="left"/>
      <w:pPr>
        <w:ind w:left="4320" w:hanging="360"/>
      </w:pPr>
      <w:rPr>
        <w:rFonts w:ascii="Wingdings" w:hAnsi="Wingdings" w:hint="default"/>
      </w:rPr>
    </w:lvl>
    <w:lvl w:ilvl="6" w:tplc="432E8A16">
      <w:start w:val="1"/>
      <w:numFmt w:val="bullet"/>
      <w:lvlText w:val=""/>
      <w:lvlJc w:val="left"/>
      <w:pPr>
        <w:ind w:left="5040" w:hanging="360"/>
      </w:pPr>
      <w:rPr>
        <w:rFonts w:ascii="Symbol" w:hAnsi="Symbol" w:hint="default"/>
      </w:rPr>
    </w:lvl>
    <w:lvl w:ilvl="7" w:tplc="18DAC4EE">
      <w:start w:val="1"/>
      <w:numFmt w:val="bullet"/>
      <w:lvlText w:val="o"/>
      <w:lvlJc w:val="left"/>
      <w:pPr>
        <w:ind w:left="5760" w:hanging="360"/>
      </w:pPr>
      <w:rPr>
        <w:rFonts w:ascii="Courier New" w:hAnsi="Courier New" w:hint="default"/>
      </w:rPr>
    </w:lvl>
    <w:lvl w:ilvl="8" w:tplc="881C3648">
      <w:start w:val="1"/>
      <w:numFmt w:val="bullet"/>
      <w:lvlText w:val=""/>
      <w:lvlJc w:val="left"/>
      <w:pPr>
        <w:ind w:left="6480" w:hanging="360"/>
      </w:pPr>
      <w:rPr>
        <w:rFonts w:ascii="Wingdings" w:hAnsi="Wingdings" w:hint="default"/>
      </w:rPr>
    </w:lvl>
  </w:abstractNum>
  <w:abstractNum w:abstractNumId="2" w15:restartNumberingAfterBreak="0">
    <w:nsid w:val="1CF3A7B6"/>
    <w:multiLevelType w:val="hybridMultilevel"/>
    <w:tmpl w:val="E0FCA69E"/>
    <w:lvl w:ilvl="0" w:tplc="AA283188">
      <w:start w:val="1"/>
      <w:numFmt w:val="bullet"/>
      <w:lvlText w:val="-"/>
      <w:lvlJc w:val="left"/>
      <w:pPr>
        <w:ind w:left="720" w:hanging="360"/>
      </w:pPr>
      <w:rPr>
        <w:rFonts w:ascii="Aptos" w:hAnsi="Aptos" w:hint="default"/>
      </w:rPr>
    </w:lvl>
    <w:lvl w:ilvl="1" w:tplc="8C1C6FDE">
      <w:start w:val="1"/>
      <w:numFmt w:val="bullet"/>
      <w:lvlText w:val="o"/>
      <w:lvlJc w:val="left"/>
      <w:pPr>
        <w:ind w:left="1440" w:hanging="360"/>
      </w:pPr>
      <w:rPr>
        <w:rFonts w:ascii="Courier New" w:hAnsi="Courier New" w:hint="default"/>
      </w:rPr>
    </w:lvl>
    <w:lvl w:ilvl="2" w:tplc="0C081440">
      <w:start w:val="1"/>
      <w:numFmt w:val="bullet"/>
      <w:lvlText w:val=""/>
      <w:lvlJc w:val="left"/>
      <w:pPr>
        <w:ind w:left="2160" w:hanging="360"/>
      </w:pPr>
      <w:rPr>
        <w:rFonts w:ascii="Wingdings" w:hAnsi="Wingdings" w:hint="default"/>
      </w:rPr>
    </w:lvl>
    <w:lvl w:ilvl="3" w:tplc="205CA978">
      <w:start w:val="1"/>
      <w:numFmt w:val="bullet"/>
      <w:lvlText w:val=""/>
      <w:lvlJc w:val="left"/>
      <w:pPr>
        <w:ind w:left="2880" w:hanging="360"/>
      </w:pPr>
      <w:rPr>
        <w:rFonts w:ascii="Symbol" w:hAnsi="Symbol" w:hint="default"/>
      </w:rPr>
    </w:lvl>
    <w:lvl w:ilvl="4" w:tplc="09EE352E">
      <w:start w:val="1"/>
      <w:numFmt w:val="bullet"/>
      <w:lvlText w:val="o"/>
      <w:lvlJc w:val="left"/>
      <w:pPr>
        <w:ind w:left="3600" w:hanging="360"/>
      </w:pPr>
      <w:rPr>
        <w:rFonts w:ascii="Courier New" w:hAnsi="Courier New" w:hint="default"/>
      </w:rPr>
    </w:lvl>
    <w:lvl w:ilvl="5" w:tplc="752C9456">
      <w:start w:val="1"/>
      <w:numFmt w:val="bullet"/>
      <w:lvlText w:val=""/>
      <w:lvlJc w:val="left"/>
      <w:pPr>
        <w:ind w:left="4320" w:hanging="360"/>
      </w:pPr>
      <w:rPr>
        <w:rFonts w:ascii="Wingdings" w:hAnsi="Wingdings" w:hint="default"/>
      </w:rPr>
    </w:lvl>
    <w:lvl w:ilvl="6" w:tplc="14E63F92">
      <w:start w:val="1"/>
      <w:numFmt w:val="bullet"/>
      <w:lvlText w:val=""/>
      <w:lvlJc w:val="left"/>
      <w:pPr>
        <w:ind w:left="5040" w:hanging="360"/>
      </w:pPr>
      <w:rPr>
        <w:rFonts w:ascii="Symbol" w:hAnsi="Symbol" w:hint="default"/>
      </w:rPr>
    </w:lvl>
    <w:lvl w:ilvl="7" w:tplc="11BA5DFA">
      <w:start w:val="1"/>
      <w:numFmt w:val="bullet"/>
      <w:lvlText w:val="o"/>
      <w:lvlJc w:val="left"/>
      <w:pPr>
        <w:ind w:left="5760" w:hanging="360"/>
      </w:pPr>
      <w:rPr>
        <w:rFonts w:ascii="Courier New" w:hAnsi="Courier New" w:hint="default"/>
      </w:rPr>
    </w:lvl>
    <w:lvl w:ilvl="8" w:tplc="C03C3DBC">
      <w:start w:val="1"/>
      <w:numFmt w:val="bullet"/>
      <w:lvlText w:val=""/>
      <w:lvlJc w:val="left"/>
      <w:pPr>
        <w:ind w:left="6480" w:hanging="360"/>
      </w:pPr>
      <w:rPr>
        <w:rFonts w:ascii="Wingdings" w:hAnsi="Wingdings" w:hint="default"/>
      </w:rPr>
    </w:lvl>
  </w:abstractNum>
  <w:abstractNum w:abstractNumId="3" w15:restartNumberingAfterBreak="0">
    <w:nsid w:val="21DBD8F9"/>
    <w:multiLevelType w:val="hybridMultilevel"/>
    <w:tmpl w:val="BD1C562A"/>
    <w:lvl w:ilvl="0" w:tplc="F036E260">
      <w:start w:val="1"/>
      <w:numFmt w:val="bullet"/>
      <w:lvlText w:val="-"/>
      <w:lvlJc w:val="left"/>
      <w:pPr>
        <w:ind w:left="720" w:hanging="360"/>
      </w:pPr>
      <w:rPr>
        <w:rFonts w:ascii="Aptos" w:hAnsi="Aptos" w:hint="default"/>
      </w:rPr>
    </w:lvl>
    <w:lvl w:ilvl="1" w:tplc="223248BE">
      <w:start w:val="1"/>
      <w:numFmt w:val="bullet"/>
      <w:lvlText w:val="o"/>
      <w:lvlJc w:val="left"/>
      <w:pPr>
        <w:ind w:left="1440" w:hanging="360"/>
      </w:pPr>
      <w:rPr>
        <w:rFonts w:ascii="Courier New" w:hAnsi="Courier New" w:hint="default"/>
      </w:rPr>
    </w:lvl>
    <w:lvl w:ilvl="2" w:tplc="FFA6362A">
      <w:start w:val="1"/>
      <w:numFmt w:val="bullet"/>
      <w:lvlText w:val=""/>
      <w:lvlJc w:val="left"/>
      <w:pPr>
        <w:ind w:left="2160" w:hanging="360"/>
      </w:pPr>
      <w:rPr>
        <w:rFonts w:ascii="Wingdings" w:hAnsi="Wingdings" w:hint="default"/>
      </w:rPr>
    </w:lvl>
    <w:lvl w:ilvl="3" w:tplc="5492D46E">
      <w:start w:val="1"/>
      <w:numFmt w:val="bullet"/>
      <w:lvlText w:val=""/>
      <w:lvlJc w:val="left"/>
      <w:pPr>
        <w:ind w:left="2880" w:hanging="360"/>
      </w:pPr>
      <w:rPr>
        <w:rFonts w:ascii="Symbol" w:hAnsi="Symbol" w:hint="default"/>
      </w:rPr>
    </w:lvl>
    <w:lvl w:ilvl="4" w:tplc="41AE1624">
      <w:start w:val="1"/>
      <w:numFmt w:val="bullet"/>
      <w:lvlText w:val="o"/>
      <w:lvlJc w:val="left"/>
      <w:pPr>
        <w:ind w:left="3600" w:hanging="360"/>
      </w:pPr>
      <w:rPr>
        <w:rFonts w:ascii="Courier New" w:hAnsi="Courier New" w:hint="default"/>
      </w:rPr>
    </w:lvl>
    <w:lvl w:ilvl="5" w:tplc="AE3E1444">
      <w:start w:val="1"/>
      <w:numFmt w:val="bullet"/>
      <w:lvlText w:val=""/>
      <w:lvlJc w:val="left"/>
      <w:pPr>
        <w:ind w:left="4320" w:hanging="360"/>
      </w:pPr>
      <w:rPr>
        <w:rFonts w:ascii="Wingdings" w:hAnsi="Wingdings" w:hint="default"/>
      </w:rPr>
    </w:lvl>
    <w:lvl w:ilvl="6" w:tplc="F5707516">
      <w:start w:val="1"/>
      <w:numFmt w:val="bullet"/>
      <w:lvlText w:val=""/>
      <w:lvlJc w:val="left"/>
      <w:pPr>
        <w:ind w:left="5040" w:hanging="360"/>
      </w:pPr>
      <w:rPr>
        <w:rFonts w:ascii="Symbol" w:hAnsi="Symbol" w:hint="default"/>
      </w:rPr>
    </w:lvl>
    <w:lvl w:ilvl="7" w:tplc="52F2850E">
      <w:start w:val="1"/>
      <w:numFmt w:val="bullet"/>
      <w:lvlText w:val="o"/>
      <w:lvlJc w:val="left"/>
      <w:pPr>
        <w:ind w:left="5760" w:hanging="360"/>
      </w:pPr>
      <w:rPr>
        <w:rFonts w:ascii="Courier New" w:hAnsi="Courier New" w:hint="default"/>
      </w:rPr>
    </w:lvl>
    <w:lvl w:ilvl="8" w:tplc="ED04765C">
      <w:start w:val="1"/>
      <w:numFmt w:val="bullet"/>
      <w:lvlText w:val=""/>
      <w:lvlJc w:val="left"/>
      <w:pPr>
        <w:ind w:left="6480" w:hanging="360"/>
      </w:pPr>
      <w:rPr>
        <w:rFonts w:ascii="Wingdings" w:hAnsi="Wingdings" w:hint="default"/>
      </w:rPr>
    </w:lvl>
  </w:abstractNum>
  <w:abstractNum w:abstractNumId="4" w15:restartNumberingAfterBreak="0">
    <w:nsid w:val="2BF607DB"/>
    <w:multiLevelType w:val="hybridMultilevel"/>
    <w:tmpl w:val="09F6786E"/>
    <w:lvl w:ilvl="0" w:tplc="B15E0BB8">
      <w:start w:val="1"/>
      <w:numFmt w:val="bullet"/>
      <w:lvlText w:val="-"/>
      <w:lvlJc w:val="left"/>
      <w:pPr>
        <w:ind w:left="720" w:hanging="360"/>
      </w:pPr>
      <w:rPr>
        <w:rFonts w:ascii="Aptos" w:hAnsi="Aptos" w:hint="default"/>
      </w:rPr>
    </w:lvl>
    <w:lvl w:ilvl="1" w:tplc="CDD4CFF2">
      <w:start w:val="1"/>
      <w:numFmt w:val="bullet"/>
      <w:lvlText w:val="o"/>
      <w:lvlJc w:val="left"/>
      <w:pPr>
        <w:ind w:left="1440" w:hanging="360"/>
      </w:pPr>
      <w:rPr>
        <w:rFonts w:ascii="Courier New" w:hAnsi="Courier New" w:hint="default"/>
      </w:rPr>
    </w:lvl>
    <w:lvl w:ilvl="2" w:tplc="1FE85E52">
      <w:start w:val="1"/>
      <w:numFmt w:val="bullet"/>
      <w:lvlText w:val=""/>
      <w:lvlJc w:val="left"/>
      <w:pPr>
        <w:ind w:left="2160" w:hanging="360"/>
      </w:pPr>
      <w:rPr>
        <w:rFonts w:ascii="Wingdings" w:hAnsi="Wingdings" w:hint="default"/>
      </w:rPr>
    </w:lvl>
    <w:lvl w:ilvl="3" w:tplc="E02C7B38">
      <w:start w:val="1"/>
      <w:numFmt w:val="bullet"/>
      <w:lvlText w:val=""/>
      <w:lvlJc w:val="left"/>
      <w:pPr>
        <w:ind w:left="2880" w:hanging="360"/>
      </w:pPr>
      <w:rPr>
        <w:rFonts w:ascii="Symbol" w:hAnsi="Symbol" w:hint="default"/>
      </w:rPr>
    </w:lvl>
    <w:lvl w:ilvl="4" w:tplc="9C1C744C">
      <w:start w:val="1"/>
      <w:numFmt w:val="bullet"/>
      <w:lvlText w:val="o"/>
      <w:lvlJc w:val="left"/>
      <w:pPr>
        <w:ind w:left="3600" w:hanging="360"/>
      </w:pPr>
      <w:rPr>
        <w:rFonts w:ascii="Courier New" w:hAnsi="Courier New" w:hint="default"/>
      </w:rPr>
    </w:lvl>
    <w:lvl w:ilvl="5" w:tplc="2CAAC19A">
      <w:start w:val="1"/>
      <w:numFmt w:val="bullet"/>
      <w:lvlText w:val=""/>
      <w:lvlJc w:val="left"/>
      <w:pPr>
        <w:ind w:left="4320" w:hanging="360"/>
      </w:pPr>
      <w:rPr>
        <w:rFonts w:ascii="Wingdings" w:hAnsi="Wingdings" w:hint="default"/>
      </w:rPr>
    </w:lvl>
    <w:lvl w:ilvl="6" w:tplc="B6B02736">
      <w:start w:val="1"/>
      <w:numFmt w:val="bullet"/>
      <w:lvlText w:val=""/>
      <w:lvlJc w:val="left"/>
      <w:pPr>
        <w:ind w:left="5040" w:hanging="360"/>
      </w:pPr>
      <w:rPr>
        <w:rFonts w:ascii="Symbol" w:hAnsi="Symbol" w:hint="default"/>
      </w:rPr>
    </w:lvl>
    <w:lvl w:ilvl="7" w:tplc="9D36A6CE">
      <w:start w:val="1"/>
      <w:numFmt w:val="bullet"/>
      <w:lvlText w:val="o"/>
      <w:lvlJc w:val="left"/>
      <w:pPr>
        <w:ind w:left="5760" w:hanging="360"/>
      </w:pPr>
      <w:rPr>
        <w:rFonts w:ascii="Courier New" w:hAnsi="Courier New" w:hint="default"/>
      </w:rPr>
    </w:lvl>
    <w:lvl w:ilvl="8" w:tplc="97A63476">
      <w:start w:val="1"/>
      <w:numFmt w:val="bullet"/>
      <w:lvlText w:val=""/>
      <w:lvlJc w:val="left"/>
      <w:pPr>
        <w:ind w:left="6480" w:hanging="360"/>
      </w:pPr>
      <w:rPr>
        <w:rFonts w:ascii="Wingdings" w:hAnsi="Wingdings" w:hint="default"/>
      </w:rPr>
    </w:lvl>
  </w:abstractNum>
  <w:abstractNum w:abstractNumId="5" w15:restartNumberingAfterBreak="0">
    <w:nsid w:val="2E6D9824"/>
    <w:multiLevelType w:val="hybridMultilevel"/>
    <w:tmpl w:val="991EB7D6"/>
    <w:lvl w:ilvl="0" w:tplc="1A406F90">
      <w:start w:val="1"/>
      <w:numFmt w:val="bullet"/>
      <w:lvlText w:val="-"/>
      <w:lvlJc w:val="left"/>
      <w:pPr>
        <w:ind w:left="720" w:hanging="360"/>
      </w:pPr>
      <w:rPr>
        <w:rFonts w:ascii="Aptos" w:hAnsi="Aptos" w:hint="default"/>
      </w:rPr>
    </w:lvl>
    <w:lvl w:ilvl="1" w:tplc="414A452C">
      <w:start w:val="1"/>
      <w:numFmt w:val="bullet"/>
      <w:lvlText w:val="o"/>
      <w:lvlJc w:val="left"/>
      <w:pPr>
        <w:ind w:left="1440" w:hanging="360"/>
      </w:pPr>
      <w:rPr>
        <w:rFonts w:ascii="Courier New" w:hAnsi="Courier New" w:hint="default"/>
      </w:rPr>
    </w:lvl>
    <w:lvl w:ilvl="2" w:tplc="255C942A">
      <w:start w:val="1"/>
      <w:numFmt w:val="bullet"/>
      <w:lvlText w:val=""/>
      <w:lvlJc w:val="left"/>
      <w:pPr>
        <w:ind w:left="2160" w:hanging="360"/>
      </w:pPr>
      <w:rPr>
        <w:rFonts w:ascii="Wingdings" w:hAnsi="Wingdings" w:hint="default"/>
      </w:rPr>
    </w:lvl>
    <w:lvl w:ilvl="3" w:tplc="AD8C6C08">
      <w:start w:val="1"/>
      <w:numFmt w:val="bullet"/>
      <w:lvlText w:val=""/>
      <w:lvlJc w:val="left"/>
      <w:pPr>
        <w:ind w:left="2880" w:hanging="360"/>
      </w:pPr>
      <w:rPr>
        <w:rFonts w:ascii="Symbol" w:hAnsi="Symbol" w:hint="default"/>
      </w:rPr>
    </w:lvl>
    <w:lvl w:ilvl="4" w:tplc="FDD812CC">
      <w:start w:val="1"/>
      <w:numFmt w:val="bullet"/>
      <w:lvlText w:val="o"/>
      <w:lvlJc w:val="left"/>
      <w:pPr>
        <w:ind w:left="3600" w:hanging="360"/>
      </w:pPr>
      <w:rPr>
        <w:rFonts w:ascii="Courier New" w:hAnsi="Courier New" w:hint="default"/>
      </w:rPr>
    </w:lvl>
    <w:lvl w:ilvl="5" w:tplc="6C26871A">
      <w:start w:val="1"/>
      <w:numFmt w:val="bullet"/>
      <w:lvlText w:val=""/>
      <w:lvlJc w:val="left"/>
      <w:pPr>
        <w:ind w:left="4320" w:hanging="360"/>
      </w:pPr>
      <w:rPr>
        <w:rFonts w:ascii="Wingdings" w:hAnsi="Wingdings" w:hint="default"/>
      </w:rPr>
    </w:lvl>
    <w:lvl w:ilvl="6" w:tplc="79289654">
      <w:start w:val="1"/>
      <w:numFmt w:val="bullet"/>
      <w:lvlText w:val=""/>
      <w:lvlJc w:val="left"/>
      <w:pPr>
        <w:ind w:left="5040" w:hanging="360"/>
      </w:pPr>
      <w:rPr>
        <w:rFonts w:ascii="Symbol" w:hAnsi="Symbol" w:hint="default"/>
      </w:rPr>
    </w:lvl>
    <w:lvl w:ilvl="7" w:tplc="A9FCB0B4">
      <w:start w:val="1"/>
      <w:numFmt w:val="bullet"/>
      <w:lvlText w:val="o"/>
      <w:lvlJc w:val="left"/>
      <w:pPr>
        <w:ind w:left="5760" w:hanging="360"/>
      </w:pPr>
      <w:rPr>
        <w:rFonts w:ascii="Courier New" w:hAnsi="Courier New" w:hint="default"/>
      </w:rPr>
    </w:lvl>
    <w:lvl w:ilvl="8" w:tplc="6F708FF8">
      <w:start w:val="1"/>
      <w:numFmt w:val="bullet"/>
      <w:lvlText w:val=""/>
      <w:lvlJc w:val="left"/>
      <w:pPr>
        <w:ind w:left="6480" w:hanging="360"/>
      </w:pPr>
      <w:rPr>
        <w:rFonts w:ascii="Wingdings" w:hAnsi="Wingdings" w:hint="default"/>
      </w:rPr>
    </w:lvl>
  </w:abstractNum>
  <w:abstractNum w:abstractNumId="6" w15:restartNumberingAfterBreak="0">
    <w:nsid w:val="3557CDDD"/>
    <w:multiLevelType w:val="hybridMultilevel"/>
    <w:tmpl w:val="B24465C8"/>
    <w:lvl w:ilvl="0" w:tplc="4094E994">
      <w:start w:val="1"/>
      <w:numFmt w:val="bullet"/>
      <w:lvlText w:val="-"/>
      <w:lvlJc w:val="left"/>
      <w:pPr>
        <w:ind w:left="720" w:hanging="360"/>
      </w:pPr>
      <w:rPr>
        <w:rFonts w:ascii="Aptos" w:hAnsi="Aptos" w:hint="default"/>
      </w:rPr>
    </w:lvl>
    <w:lvl w:ilvl="1" w:tplc="583EAA2E">
      <w:start w:val="1"/>
      <w:numFmt w:val="bullet"/>
      <w:lvlText w:val="o"/>
      <w:lvlJc w:val="left"/>
      <w:pPr>
        <w:ind w:left="1440" w:hanging="360"/>
      </w:pPr>
      <w:rPr>
        <w:rFonts w:ascii="Courier New" w:hAnsi="Courier New" w:hint="default"/>
      </w:rPr>
    </w:lvl>
    <w:lvl w:ilvl="2" w:tplc="472251AC">
      <w:start w:val="1"/>
      <w:numFmt w:val="bullet"/>
      <w:lvlText w:val=""/>
      <w:lvlJc w:val="left"/>
      <w:pPr>
        <w:ind w:left="2160" w:hanging="360"/>
      </w:pPr>
      <w:rPr>
        <w:rFonts w:ascii="Wingdings" w:hAnsi="Wingdings" w:hint="default"/>
      </w:rPr>
    </w:lvl>
    <w:lvl w:ilvl="3" w:tplc="887EC552">
      <w:start w:val="1"/>
      <w:numFmt w:val="bullet"/>
      <w:lvlText w:val=""/>
      <w:lvlJc w:val="left"/>
      <w:pPr>
        <w:ind w:left="2880" w:hanging="360"/>
      </w:pPr>
      <w:rPr>
        <w:rFonts w:ascii="Symbol" w:hAnsi="Symbol" w:hint="default"/>
      </w:rPr>
    </w:lvl>
    <w:lvl w:ilvl="4" w:tplc="55063394">
      <w:start w:val="1"/>
      <w:numFmt w:val="bullet"/>
      <w:lvlText w:val="o"/>
      <w:lvlJc w:val="left"/>
      <w:pPr>
        <w:ind w:left="3600" w:hanging="360"/>
      </w:pPr>
      <w:rPr>
        <w:rFonts w:ascii="Courier New" w:hAnsi="Courier New" w:hint="default"/>
      </w:rPr>
    </w:lvl>
    <w:lvl w:ilvl="5" w:tplc="19C28EB6">
      <w:start w:val="1"/>
      <w:numFmt w:val="bullet"/>
      <w:lvlText w:val=""/>
      <w:lvlJc w:val="left"/>
      <w:pPr>
        <w:ind w:left="4320" w:hanging="360"/>
      </w:pPr>
      <w:rPr>
        <w:rFonts w:ascii="Wingdings" w:hAnsi="Wingdings" w:hint="default"/>
      </w:rPr>
    </w:lvl>
    <w:lvl w:ilvl="6" w:tplc="821E2D38">
      <w:start w:val="1"/>
      <w:numFmt w:val="bullet"/>
      <w:lvlText w:val=""/>
      <w:lvlJc w:val="left"/>
      <w:pPr>
        <w:ind w:left="5040" w:hanging="360"/>
      </w:pPr>
      <w:rPr>
        <w:rFonts w:ascii="Symbol" w:hAnsi="Symbol" w:hint="default"/>
      </w:rPr>
    </w:lvl>
    <w:lvl w:ilvl="7" w:tplc="390CDB8A">
      <w:start w:val="1"/>
      <w:numFmt w:val="bullet"/>
      <w:lvlText w:val="o"/>
      <w:lvlJc w:val="left"/>
      <w:pPr>
        <w:ind w:left="5760" w:hanging="360"/>
      </w:pPr>
      <w:rPr>
        <w:rFonts w:ascii="Courier New" w:hAnsi="Courier New" w:hint="default"/>
      </w:rPr>
    </w:lvl>
    <w:lvl w:ilvl="8" w:tplc="FC145236">
      <w:start w:val="1"/>
      <w:numFmt w:val="bullet"/>
      <w:lvlText w:val=""/>
      <w:lvlJc w:val="left"/>
      <w:pPr>
        <w:ind w:left="6480" w:hanging="360"/>
      </w:pPr>
      <w:rPr>
        <w:rFonts w:ascii="Wingdings" w:hAnsi="Wingdings" w:hint="default"/>
      </w:rPr>
    </w:lvl>
  </w:abstractNum>
  <w:abstractNum w:abstractNumId="7" w15:restartNumberingAfterBreak="0">
    <w:nsid w:val="37BD8DE4"/>
    <w:multiLevelType w:val="hybridMultilevel"/>
    <w:tmpl w:val="9FBC7588"/>
    <w:lvl w:ilvl="0" w:tplc="6CB02CF6">
      <w:start w:val="1"/>
      <w:numFmt w:val="bullet"/>
      <w:lvlText w:val="-"/>
      <w:lvlJc w:val="left"/>
      <w:pPr>
        <w:ind w:left="720" w:hanging="360"/>
      </w:pPr>
      <w:rPr>
        <w:rFonts w:ascii="Aptos" w:hAnsi="Aptos" w:hint="default"/>
      </w:rPr>
    </w:lvl>
    <w:lvl w:ilvl="1" w:tplc="3CF4EF44">
      <w:start w:val="1"/>
      <w:numFmt w:val="bullet"/>
      <w:lvlText w:val="o"/>
      <w:lvlJc w:val="left"/>
      <w:pPr>
        <w:ind w:left="1440" w:hanging="360"/>
      </w:pPr>
      <w:rPr>
        <w:rFonts w:ascii="Courier New" w:hAnsi="Courier New" w:hint="default"/>
      </w:rPr>
    </w:lvl>
    <w:lvl w:ilvl="2" w:tplc="92ECF5B6">
      <w:start w:val="1"/>
      <w:numFmt w:val="bullet"/>
      <w:lvlText w:val=""/>
      <w:lvlJc w:val="left"/>
      <w:pPr>
        <w:ind w:left="2160" w:hanging="360"/>
      </w:pPr>
      <w:rPr>
        <w:rFonts w:ascii="Wingdings" w:hAnsi="Wingdings" w:hint="default"/>
      </w:rPr>
    </w:lvl>
    <w:lvl w:ilvl="3" w:tplc="E36EA15C">
      <w:start w:val="1"/>
      <w:numFmt w:val="bullet"/>
      <w:lvlText w:val=""/>
      <w:lvlJc w:val="left"/>
      <w:pPr>
        <w:ind w:left="2880" w:hanging="360"/>
      </w:pPr>
      <w:rPr>
        <w:rFonts w:ascii="Symbol" w:hAnsi="Symbol" w:hint="default"/>
      </w:rPr>
    </w:lvl>
    <w:lvl w:ilvl="4" w:tplc="F61C1326">
      <w:start w:val="1"/>
      <w:numFmt w:val="bullet"/>
      <w:lvlText w:val="o"/>
      <w:lvlJc w:val="left"/>
      <w:pPr>
        <w:ind w:left="3600" w:hanging="360"/>
      </w:pPr>
      <w:rPr>
        <w:rFonts w:ascii="Courier New" w:hAnsi="Courier New" w:hint="default"/>
      </w:rPr>
    </w:lvl>
    <w:lvl w:ilvl="5" w:tplc="06043394">
      <w:start w:val="1"/>
      <w:numFmt w:val="bullet"/>
      <w:lvlText w:val=""/>
      <w:lvlJc w:val="left"/>
      <w:pPr>
        <w:ind w:left="4320" w:hanging="360"/>
      </w:pPr>
      <w:rPr>
        <w:rFonts w:ascii="Wingdings" w:hAnsi="Wingdings" w:hint="default"/>
      </w:rPr>
    </w:lvl>
    <w:lvl w:ilvl="6" w:tplc="0F6E4458">
      <w:start w:val="1"/>
      <w:numFmt w:val="bullet"/>
      <w:lvlText w:val=""/>
      <w:lvlJc w:val="left"/>
      <w:pPr>
        <w:ind w:left="5040" w:hanging="360"/>
      </w:pPr>
      <w:rPr>
        <w:rFonts w:ascii="Symbol" w:hAnsi="Symbol" w:hint="default"/>
      </w:rPr>
    </w:lvl>
    <w:lvl w:ilvl="7" w:tplc="343AE906">
      <w:start w:val="1"/>
      <w:numFmt w:val="bullet"/>
      <w:lvlText w:val="o"/>
      <w:lvlJc w:val="left"/>
      <w:pPr>
        <w:ind w:left="5760" w:hanging="360"/>
      </w:pPr>
      <w:rPr>
        <w:rFonts w:ascii="Courier New" w:hAnsi="Courier New" w:hint="default"/>
      </w:rPr>
    </w:lvl>
    <w:lvl w:ilvl="8" w:tplc="1C1CBDD0">
      <w:start w:val="1"/>
      <w:numFmt w:val="bullet"/>
      <w:lvlText w:val=""/>
      <w:lvlJc w:val="left"/>
      <w:pPr>
        <w:ind w:left="6480" w:hanging="360"/>
      </w:pPr>
      <w:rPr>
        <w:rFonts w:ascii="Wingdings" w:hAnsi="Wingdings" w:hint="default"/>
      </w:rPr>
    </w:lvl>
  </w:abstractNum>
  <w:abstractNum w:abstractNumId="8" w15:restartNumberingAfterBreak="0">
    <w:nsid w:val="3CB3FE60"/>
    <w:multiLevelType w:val="hybridMultilevel"/>
    <w:tmpl w:val="D9A2C5B4"/>
    <w:lvl w:ilvl="0" w:tplc="188ACEE8">
      <w:start w:val="1"/>
      <w:numFmt w:val="bullet"/>
      <w:lvlText w:val="-"/>
      <w:lvlJc w:val="left"/>
      <w:pPr>
        <w:ind w:left="720" w:hanging="360"/>
      </w:pPr>
      <w:rPr>
        <w:rFonts w:ascii="Aptos" w:hAnsi="Aptos" w:hint="default"/>
      </w:rPr>
    </w:lvl>
    <w:lvl w:ilvl="1" w:tplc="1D8A7C50">
      <w:start w:val="1"/>
      <w:numFmt w:val="bullet"/>
      <w:lvlText w:val="o"/>
      <w:lvlJc w:val="left"/>
      <w:pPr>
        <w:ind w:left="1440" w:hanging="360"/>
      </w:pPr>
      <w:rPr>
        <w:rFonts w:ascii="Courier New" w:hAnsi="Courier New" w:hint="default"/>
      </w:rPr>
    </w:lvl>
    <w:lvl w:ilvl="2" w:tplc="6CB86810">
      <w:start w:val="1"/>
      <w:numFmt w:val="bullet"/>
      <w:lvlText w:val=""/>
      <w:lvlJc w:val="left"/>
      <w:pPr>
        <w:ind w:left="2160" w:hanging="360"/>
      </w:pPr>
      <w:rPr>
        <w:rFonts w:ascii="Wingdings" w:hAnsi="Wingdings" w:hint="default"/>
      </w:rPr>
    </w:lvl>
    <w:lvl w:ilvl="3" w:tplc="B8A2D1F4">
      <w:start w:val="1"/>
      <w:numFmt w:val="bullet"/>
      <w:lvlText w:val=""/>
      <w:lvlJc w:val="left"/>
      <w:pPr>
        <w:ind w:left="2880" w:hanging="360"/>
      </w:pPr>
      <w:rPr>
        <w:rFonts w:ascii="Symbol" w:hAnsi="Symbol" w:hint="default"/>
      </w:rPr>
    </w:lvl>
    <w:lvl w:ilvl="4" w:tplc="F58811EE">
      <w:start w:val="1"/>
      <w:numFmt w:val="bullet"/>
      <w:lvlText w:val="o"/>
      <w:lvlJc w:val="left"/>
      <w:pPr>
        <w:ind w:left="3600" w:hanging="360"/>
      </w:pPr>
      <w:rPr>
        <w:rFonts w:ascii="Courier New" w:hAnsi="Courier New" w:hint="default"/>
      </w:rPr>
    </w:lvl>
    <w:lvl w:ilvl="5" w:tplc="49000666">
      <w:start w:val="1"/>
      <w:numFmt w:val="bullet"/>
      <w:lvlText w:val=""/>
      <w:lvlJc w:val="left"/>
      <w:pPr>
        <w:ind w:left="4320" w:hanging="360"/>
      </w:pPr>
      <w:rPr>
        <w:rFonts w:ascii="Wingdings" w:hAnsi="Wingdings" w:hint="default"/>
      </w:rPr>
    </w:lvl>
    <w:lvl w:ilvl="6" w:tplc="EA44B33C">
      <w:start w:val="1"/>
      <w:numFmt w:val="bullet"/>
      <w:lvlText w:val=""/>
      <w:lvlJc w:val="left"/>
      <w:pPr>
        <w:ind w:left="5040" w:hanging="360"/>
      </w:pPr>
      <w:rPr>
        <w:rFonts w:ascii="Symbol" w:hAnsi="Symbol" w:hint="default"/>
      </w:rPr>
    </w:lvl>
    <w:lvl w:ilvl="7" w:tplc="9732C47C">
      <w:start w:val="1"/>
      <w:numFmt w:val="bullet"/>
      <w:lvlText w:val="o"/>
      <w:lvlJc w:val="left"/>
      <w:pPr>
        <w:ind w:left="5760" w:hanging="360"/>
      </w:pPr>
      <w:rPr>
        <w:rFonts w:ascii="Courier New" w:hAnsi="Courier New" w:hint="default"/>
      </w:rPr>
    </w:lvl>
    <w:lvl w:ilvl="8" w:tplc="4C66430C">
      <w:start w:val="1"/>
      <w:numFmt w:val="bullet"/>
      <w:lvlText w:val=""/>
      <w:lvlJc w:val="left"/>
      <w:pPr>
        <w:ind w:left="6480" w:hanging="360"/>
      </w:pPr>
      <w:rPr>
        <w:rFonts w:ascii="Wingdings" w:hAnsi="Wingdings" w:hint="default"/>
      </w:rPr>
    </w:lvl>
  </w:abstractNum>
  <w:abstractNum w:abstractNumId="9" w15:restartNumberingAfterBreak="0">
    <w:nsid w:val="57253528"/>
    <w:multiLevelType w:val="hybridMultilevel"/>
    <w:tmpl w:val="D0A61BCC"/>
    <w:lvl w:ilvl="0" w:tplc="D16EF52C">
      <w:start w:val="1"/>
      <w:numFmt w:val="bullet"/>
      <w:lvlText w:val="-"/>
      <w:lvlJc w:val="left"/>
      <w:pPr>
        <w:ind w:left="720" w:hanging="360"/>
      </w:pPr>
      <w:rPr>
        <w:rFonts w:ascii="Aptos" w:hAnsi="Aptos" w:hint="default"/>
      </w:rPr>
    </w:lvl>
    <w:lvl w:ilvl="1" w:tplc="337A437E">
      <w:start w:val="1"/>
      <w:numFmt w:val="bullet"/>
      <w:lvlText w:val="o"/>
      <w:lvlJc w:val="left"/>
      <w:pPr>
        <w:ind w:left="1440" w:hanging="360"/>
      </w:pPr>
      <w:rPr>
        <w:rFonts w:ascii="Courier New" w:hAnsi="Courier New" w:hint="default"/>
      </w:rPr>
    </w:lvl>
    <w:lvl w:ilvl="2" w:tplc="A2CE5B3E">
      <w:start w:val="1"/>
      <w:numFmt w:val="bullet"/>
      <w:lvlText w:val=""/>
      <w:lvlJc w:val="left"/>
      <w:pPr>
        <w:ind w:left="2160" w:hanging="360"/>
      </w:pPr>
      <w:rPr>
        <w:rFonts w:ascii="Wingdings" w:hAnsi="Wingdings" w:hint="default"/>
      </w:rPr>
    </w:lvl>
    <w:lvl w:ilvl="3" w:tplc="E4D2CD0C">
      <w:start w:val="1"/>
      <w:numFmt w:val="bullet"/>
      <w:lvlText w:val=""/>
      <w:lvlJc w:val="left"/>
      <w:pPr>
        <w:ind w:left="2880" w:hanging="360"/>
      </w:pPr>
      <w:rPr>
        <w:rFonts w:ascii="Symbol" w:hAnsi="Symbol" w:hint="default"/>
      </w:rPr>
    </w:lvl>
    <w:lvl w:ilvl="4" w:tplc="E1726528">
      <w:start w:val="1"/>
      <w:numFmt w:val="bullet"/>
      <w:lvlText w:val="o"/>
      <w:lvlJc w:val="left"/>
      <w:pPr>
        <w:ind w:left="3600" w:hanging="360"/>
      </w:pPr>
      <w:rPr>
        <w:rFonts w:ascii="Courier New" w:hAnsi="Courier New" w:hint="default"/>
      </w:rPr>
    </w:lvl>
    <w:lvl w:ilvl="5" w:tplc="4FF4C5F6">
      <w:start w:val="1"/>
      <w:numFmt w:val="bullet"/>
      <w:lvlText w:val=""/>
      <w:lvlJc w:val="left"/>
      <w:pPr>
        <w:ind w:left="4320" w:hanging="360"/>
      </w:pPr>
      <w:rPr>
        <w:rFonts w:ascii="Wingdings" w:hAnsi="Wingdings" w:hint="default"/>
      </w:rPr>
    </w:lvl>
    <w:lvl w:ilvl="6" w:tplc="1D86F6A2">
      <w:start w:val="1"/>
      <w:numFmt w:val="bullet"/>
      <w:lvlText w:val=""/>
      <w:lvlJc w:val="left"/>
      <w:pPr>
        <w:ind w:left="5040" w:hanging="360"/>
      </w:pPr>
      <w:rPr>
        <w:rFonts w:ascii="Symbol" w:hAnsi="Symbol" w:hint="default"/>
      </w:rPr>
    </w:lvl>
    <w:lvl w:ilvl="7" w:tplc="2A148DD2">
      <w:start w:val="1"/>
      <w:numFmt w:val="bullet"/>
      <w:lvlText w:val="o"/>
      <w:lvlJc w:val="left"/>
      <w:pPr>
        <w:ind w:left="5760" w:hanging="360"/>
      </w:pPr>
      <w:rPr>
        <w:rFonts w:ascii="Courier New" w:hAnsi="Courier New" w:hint="default"/>
      </w:rPr>
    </w:lvl>
    <w:lvl w:ilvl="8" w:tplc="58BA719C">
      <w:start w:val="1"/>
      <w:numFmt w:val="bullet"/>
      <w:lvlText w:val=""/>
      <w:lvlJc w:val="left"/>
      <w:pPr>
        <w:ind w:left="6480" w:hanging="360"/>
      </w:pPr>
      <w:rPr>
        <w:rFonts w:ascii="Wingdings" w:hAnsi="Wingdings" w:hint="default"/>
      </w:rPr>
    </w:lvl>
  </w:abstractNum>
  <w:abstractNum w:abstractNumId="10" w15:restartNumberingAfterBreak="0">
    <w:nsid w:val="57C6F7EA"/>
    <w:multiLevelType w:val="hybridMultilevel"/>
    <w:tmpl w:val="CAC20A44"/>
    <w:lvl w:ilvl="0" w:tplc="25104F00">
      <w:start w:val="1"/>
      <w:numFmt w:val="bullet"/>
      <w:lvlText w:val="-"/>
      <w:lvlJc w:val="left"/>
      <w:pPr>
        <w:ind w:left="720" w:hanging="360"/>
      </w:pPr>
      <w:rPr>
        <w:rFonts w:ascii="Aptos" w:hAnsi="Aptos" w:hint="default"/>
      </w:rPr>
    </w:lvl>
    <w:lvl w:ilvl="1" w:tplc="453EDC16">
      <w:start w:val="1"/>
      <w:numFmt w:val="bullet"/>
      <w:lvlText w:val="o"/>
      <w:lvlJc w:val="left"/>
      <w:pPr>
        <w:ind w:left="1440" w:hanging="360"/>
      </w:pPr>
      <w:rPr>
        <w:rFonts w:ascii="Courier New" w:hAnsi="Courier New" w:hint="default"/>
      </w:rPr>
    </w:lvl>
    <w:lvl w:ilvl="2" w:tplc="D1BEFEAE">
      <w:start w:val="1"/>
      <w:numFmt w:val="bullet"/>
      <w:lvlText w:val=""/>
      <w:lvlJc w:val="left"/>
      <w:pPr>
        <w:ind w:left="2160" w:hanging="360"/>
      </w:pPr>
      <w:rPr>
        <w:rFonts w:ascii="Wingdings" w:hAnsi="Wingdings" w:hint="default"/>
      </w:rPr>
    </w:lvl>
    <w:lvl w:ilvl="3" w:tplc="1B60B714">
      <w:start w:val="1"/>
      <w:numFmt w:val="bullet"/>
      <w:lvlText w:val=""/>
      <w:lvlJc w:val="left"/>
      <w:pPr>
        <w:ind w:left="2880" w:hanging="360"/>
      </w:pPr>
      <w:rPr>
        <w:rFonts w:ascii="Symbol" w:hAnsi="Symbol" w:hint="default"/>
      </w:rPr>
    </w:lvl>
    <w:lvl w:ilvl="4" w:tplc="EED61E1E">
      <w:start w:val="1"/>
      <w:numFmt w:val="bullet"/>
      <w:lvlText w:val="o"/>
      <w:lvlJc w:val="left"/>
      <w:pPr>
        <w:ind w:left="3600" w:hanging="360"/>
      </w:pPr>
      <w:rPr>
        <w:rFonts w:ascii="Courier New" w:hAnsi="Courier New" w:hint="default"/>
      </w:rPr>
    </w:lvl>
    <w:lvl w:ilvl="5" w:tplc="D592E01A">
      <w:start w:val="1"/>
      <w:numFmt w:val="bullet"/>
      <w:lvlText w:val=""/>
      <w:lvlJc w:val="left"/>
      <w:pPr>
        <w:ind w:left="4320" w:hanging="360"/>
      </w:pPr>
      <w:rPr>
        <w:rFonts w:ascii="Wingdings" w:hAnsi="Wingdings" w:hint="default"/>
      </w:rPr>
    </w:lvl>
    <w:lvl w:ilvl="6" w:tplc="EDA22402">
      <w:start w:val="1"/>
      <w:numFmt w:val="bullet"/>
      <w:lvlText w:val=""/>
      <w:lvlJc w:val="left"/>
      <w:pPr>
        <w:ind w:left="5040" w:hanging="360"/>
      </w:pPr>
      <w:rPr>
        <w:rFonts w:ascii="Symbol" w:hAnsi="Symbol" w:hint="default"/>
      </w:rPr>
    </w:lvl>
    <w:lvl w:ilvl="7" w:tplc="B9F45F7A">
      <w:start w:val="1"/>
      <w:numFmt w:val="bullet"/>
      <w:lvlText w:val="o"/>
      <w:lvlJc w:val="left"/>
      <w:pPr>
        <w:ind w:left="5760" w:hanging="360"/>
      </w:pPr>
      <w:rPr>
        <w:rFonts w:ascii="Courier New" w:hAnsi="Courier New" w:hint="default"/>
      </w:rPr>
    </w:lvl>
    <w:lvl w:ilvl="8" w:tplc="51885B28">
      <w:start w:val="1"/>
      <w:numFmt w:val="bullet"/>
      <w:lvlText w:val=""/>
      <w:lvlJc w:val="left"/>
      <w:pPr>
        <w:ind w:left="6480" w:hanging="360"/>
      </w:pPr>
      <w:rPr>
        <w:rFonts w:ascii="Wingdings" w:hAnsi="Wingdings" w:hint="default"/>
      </w:rPr>
    </w:lvl>
  </w:abstractNum>
  <w:abstractNum w:abstractNumId="11" w15:restartNumberingAfterBreak="0">
    <w:nsid w:val="73842FFE"/>
    <w:multiLevelType w:val="hybridMultilevel"/>
    <w:tmpl w:val="BE2C531A"/>
    <w:lvl w:ilvl="0" w:tplc="5E4E334C">
      <w:start w:val="1"/>
      <w:numFmt w:val="bullet"/>
      <w:lvlText w:val="-"/>
      <w:lvlJc w:val="left"/>
      <w:pPr>
        <w:ind w:left="720" w:hanging="360"/>
      </w:pPr>
      <w:rPr>
        <w:rFonts w:ascii="Aptos" w:hAnsi="Aptos" w:hint="default"/>
      </w:rPr>
    </w:lvl>
    <w:lvl w:ilvl="1" w:tplc="52C009DC">
      <w:start w:val="1"/>
      <w:numFmt w:val="bullet"/>
      <w:lvlText w:val="o"/>
      <w:lvlJc w:val="left"/>
      <w:pPr>
        <w:ind w:left="1440" w:hanging="360"/>
      </w:pPr>
      <w:rPr>
        <w:rFonts w:ascii="Courier New" w:hAnsi="Courier New" w:hint="default"/>
      </w:rPr>
    </w:lvl>
    <w:lvl w:ilvl="2" w:tplc="82FA1DC0">
      <w:start w:val="1"/>
      <w:numFmt w:val="bullet"/>
      <w:lvlText w:val=""/>
      <w:lvlJc w:val="left"/>
      <w:pPr>
        <w:ind w:left="2160" w:hanging="360"/>
      </w:pPr>
      <w:rPr>
        <w:rFonts w:ascii="Wingdings" w:hAnsi="Wingdings" w:hint="default"/>
      </w:rPr>
    </w:lvl>
    <w:lvl w:ilvl="3" w:tplc="C0120832">
      <w:start w:val="1"/>
      <w:numFmt w:val="bullet"/>
      <w:lvlText w:val=""/>
      <w:lvlJc w:val="left"/>
      <w:pPr>
        <w:ind w:left="2880" w:hanging="360"/>
      </w:pPr>
      <w:rPr>
        <w:rFonts w:ascii="Symbol" w:hAnsi="Symbol" w:hint="default"/>
      </w:rPr>
    </w:lvl>
    <w:lvl w:ilvl="4" w:tplc="9FA02436">
      <w:start w:val="1"/>
      <w:numFmt w:val="bullet"/>
      <w:lvlText w:val="o"/>
      <w:lvlJc w:val="left"/>
      <w:pPr>
        <w:ind w:left="3600" w:hanging="360"/>
      </w:pPr>
      <w:rPr>
        <w:rFonts w:ascii="Courier New" w:hAnsi="Courier New" w:hint="default"/>
      </w:rPr>
    </w:lvl>
    <w:lvl w:ilvl="5" w:tplc="9806995E">
      <w:start w:val="1"/>
      <w:numFmt w:val="bullet"/>
      <w:lvlText w:val=""/>
      <w:lvlJc w:val="left"/>
      <w:pPr>
        <w:ind w:left="4320" w:hanging="360"/>
      </w:pPr>
      <w:rPr>
        <w:rFonts w:ascii="Wingdings" w:hAnsi="Wingdings" w:hint="default"/>
      </w:rPr>
    </w:lvl>
    <w:lvl w:ilvl="6" w:tplc="1DE0788E">
      <w:start w:val="1"/>
      <w:numFmt w:val="bullet"/>
      <w:lvlText w:val=""/>
      <w:lvlJc w:val="left"/>
      <w:pPr>
        <w:ind w:left="5040" w:hanging="360"/>
      </w:pPr>
      <w:rPr>
        <w:rFonts w:ascii="Symbol" w:hAnsi="Symbol" w:hint="default"/>
      </w:rPr>
    </w:lvl>
    <w:lvl w:ilvl="7" w:tplc="57DC03F6">
      <w:start w:val="1"/>
      <w:numFmt w:val="bullet"/>
      <w:lvlText w:val="o"/>
      <w:lvlJc w:val="left"/>
      <w:pPr>
        <w:ind w:left="5760" w:hanging="360"/>
      </w:pPr>
      <w:rPr>
        <w:rFonts w:ascii="Courier New" w:hAnsi="Courier New" w:hint="default"/>
      </w:rPr>
    </w:lvl>
    <w:lvl w:ilvl="8" w:tplc="6298F2BA">
      <w:start w:val="1"/>
      <w:numFmt w:val="bullet"/>
      <w:lvlText w:val=""/>
      <w:lvlJc w:val="left"/>
      <w:pPr>
        <w:ind w:left="6480" w:hanging="360"/>
      </w:pPr>
      <w:rPr>
        <w:rFonts w:ascii="Wingdings" w:hAnsi="Wingdings" w:hint="default"/>
      </w:rPr>
    </w:lvl>
  </w:abstractNum>
  <w:abstractNum w:abstractNumId="12" w15:restartNumberingAfterBreak="0">
    <w:nsid w:val="7CC6CC2C"/>
    <w:multiLevelType w:val="hybridMultilevel"/>
    <w:tmpl w:val="E4844776"/>
    <w:lvl w:ilvl="0" w:tplc="FE7C64B6">
      <w:start w:val="1"/>
      <w:numFmt w:val="decimal"/>
      <w:lvlText w:val="%1."/>
      <w:lvlJc w:val="left"/>
      <w:pPr>
        <w:ind w:left="720" w:hanging="360"/>
      </w:pPr>
    </w:lvl>
    <w:lvl w:ilvl="1" w:tplc="F50C5CB6">
      <w:start w:val="1"/>
      <w:numFmt w:val="lowerLetter"/>
      <w:lvlText w:val="%2."/>
      <w:lvlJc w:val="left"/>
      <w:pPr>
        <w:ind w:left="1440" w:hanging="360"/>
      </w:pPr>
    </w:lvl>
    <w:lvl w:ilvl="2" w:tplc="35F2DEFA">
      <w:start w:val="1"/>
      <w:numFmt w:val="lowerRoman"/>
      <w:lvlText w:val="%3."/>
      <w:lvlJc w:val="right"/>
      <w:pPr>
        <w:ind w:left="2160" w:hanging="180"/>
      </w:pPr>
    </w:lvl>
    <w:lvl w:ilvl="3" w:tplc="BC82788A">
      <w:start w:val="1"/>
      <w:numFmt w:val="decimal"/>
      <w:lvlText w:val="%4."/>
      <w:lvlJc w:val="left"/>
      <w:pPr>
        <w:ind w:left="2880" w:hanging="360"/>
      </w:pPr>
    </w:lvl>
    <w:lvl w:ilvl="4" w:tplc="DD408A0E">
      <w:start w:val="1"/>
      <w:numFmt w:val="lowerLetter"/>
      <w:lvlText w:val="%5."/>
      <w:lvlJc w:val="left"/>
      <w:pPr>
        <w:ind w:left="3600" w:hanging="360"/>
      </w:pPr>
    </w:lvl>
    <w:lvl w:ilvl="5" w:tplc="BBFEA3D2">
      <w:start w:val="1"/>
      <w:numFmt w:val="lowerRoman"/>
      <w:lvlText w:val="%6."/>
      <w:lvlJc w:val="right"/>
      <w:pPr>
        <w:ind w:left="4320" w:hanging="180"/>
      </w:pPr>
    </w:lvl>
    <w:lvl w:ilvl="6" w:tplc="1CDED452">
      <w:start w:val="1"/>
      <w:numFmt w:val="decimal"/>
      <w:lvlText w:val="%7."/>
      <w:lvlJc w:val="left"/>
      <w:pPr>
        <w:ind w:left="5040" w:hanging="360"/>
      </w:pPr>
    </w:lvl>
    <w:lvl w:ilvl="7" w:tplc="D40C7600">
      <w:start w:val="1"/>
      <w:numFmt w:val="lowerLetter"/>
      <w:lvlText w:val="%8."/>
      <w:lvlJc w:val="left"/>
      <w:pPr>
        <w:ind w:left="5760" w:hanging="360"/>
      </w:pPr>
    </w:lvl>
    <w:lvl w:ilvl="8" w:tplc="5882029E">
      <w:start w:val="1"/>
      <w:numFmt w:val="lowerRoman"/>
      <w:lvlText w:val="%9."/>
      <w:lvlJc w:val="right"/>
      <w:pPr>
        <w:ind w:left="6480" w:hanging="180"/>
      </w:pPr>
    </w:lvl>
  </w:abstractNum>
  <w:abstractNum w:abstractNumId="13" w15:restartNumberingAfterBreak="0">
    <w:nsid w:val="7D9274C0"/>
    <w:multiLevelType w:val="hybridMultilevel"/>
    <w:tmpl w:val="D744F01C"/>
    <w:lvl w:ilvl="0" w:tplc="24CAC8F0">
      <w:start w:val="1"/>
      <w:numFmt w:val="bullet"/>
      <w:lvlText w:val="-"/>
      <w:lvlJc w:val="left"/>
      <w:pPr>
        <w:ind w:left="720" w:hanging="360"/>
      </w:pPr>
      <w:rPr>
        <w:rFonts w:ascii="Aptos" w:hAnsi="Aptos" w:hint="default"/>
      </w:rPr>
    </w:lvl>
    <w:lvl w:ilvl="1" w:tplc="3A78730A">
      <w:start w:val="1"/>
      <w:numFmt w:val="bullet"/>
      <w:lvlText w:val="o"/>
      <w:lvlJc w:val="left"/>
      <w:pPr>
        <w:ind w:left="1440" w:hanging="360"/>
      </w:pPr>
      <w:rPr>
        <w:rFonts w:ascii="Courier New" w:hAnsi="Courier New" w:hint="default"/>
      </w:rPr>
    </w:lvl>
    <w:lvl w:ilvl="2" w:tplc="CDDABAAE">
      <w:start w:val="1"/>
      <w:numFmt w:val="bullet"/>
      <w:lvlText w:val=""/>
      <w:lvlJc w:val="left"/>
      <w:pPr>
        <w:ind w:left="2160" w:hanging="360"/>
      </w:pPr>
      <w:rPr>
        <w:rFonts w:ascii="Wingdings" w:hAnsi="Wingdings" w:hint="default"/>
      </w:rPr>
    </w:lvl>
    <w:lvl w:ilvl="3" w:tplc="2CA659AA">
      <w:start w:val="1"/>
      <w:numFmt w:val="bullet"/>
      <w:lvlText w:val=""/>
      <w:lvlJc w:val="left"/>
      <w:pPr>
        <w:ind w:left="2880" w:hanging="360"/>
      </w:pPr>
      <w:rPr>
        <w:rFonts w:ascii="Symbol" w:hAnsi="Symbol" w:hint="default"/>
      </w:rPr>
    </w:lvl>
    <w:lvl w:ilvl="4" w:tplc="553AEEA6">
      <w:start w:val="1"/>
      <w:numFmt w:val="bullet"/>
      <w:lvlText w:val="o"/>
      <w:lvlJc w:val="left"/>
      <w:pPr>
        <w:ind w:left="3600" w:hanging="360"/>
      </w:pPr>
      <w:rPr>
        <w:rFonts w:ascii="Courier New" w:hAnsi="Courier New" w:hint="default"/>
      </w:rPr>
    </w:lvl>
    <w:lvl w:ilvl="5" w:tplc="03F65C10">
      <w:start w:val="1"/>
      <w:numFmt w:val="bullet"/>
      <w:lvlText w:val=""/>
      <w:lvlJc w:val="left"/>
      <w:pPr>
        <w:ind w:left="4320" w:hanging="360"/>
      </w:pPr>
      <w:rPr>
        <w:rFonts w:ascii="Wingdings" w:hAnsi="Wingdings" w:hint="default"/>
      </w:rPr>
    </w:lvl>
    <w:lvl w:ilvl="6" w:tplc="2BA810C0">
      <w:start w:val="1"/>
      <w:numFmt w:val="bullet"/>
      <w:lvlText w:val=""/>
      <w:lvlJc w:val="left"/>
      <w:pPr>
        <w:ind w:left="5040" w:hanging="360"/>
      </w:pPr>
      <w:rPr>
        <w:rFonts w:ascii="Symbol" w:hAnsi="Symbol" w:hint="default"/>
      </w:rPr>
    </w:lvl>
    <w:lvl w:ilvl="7" w:tplc="F798382C">
      <w:start w:val="1"/>
      <w:numFmt w:val="bullet"/>
      <w:lvlText w:val="o"/>
      <w:lvlJc w:val="left"/>
      <w:pPr>
        <w:ind w:left="5760" w:hanging="360"/>
      </w:pPr>
      <w:rPr>
        <w:rFonts w:ascii="Courier New" w:hAnsi="Courier New" w:hint="default"/>
      </w:rPr>
    </w:lvl>
    <w:lvl w:ilvl="8" w:tplc="43EC4350">
      <w:start w:val="1"/>
      <w:numFmt w:val="bullet"/>
      <w:lvlText w:val=""/>
      <w:lvlJc w:val="left"/>
      <w:pPr>
        <w:ind w:left="6480" w:hanging="360"/>
      </w:pPr>
      <w:rPr>
        <w:rFonts w:ascii="Wingdings" w:hAnsi="Wingdings" w:hint="default"/>
      </w:rPr>
    </w:lvl>
  </w:abstractNum>
  <w:abstractNum w:abstractNumId="14" w15:restartNumberingAfterBreak="0">
    <w:nsid w:val="7ECE6AC5"/>
    <w:multiLevelType w:val="hybridMultilevel"/>
    <w:tmpl w:val="494AF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9734564">
    <w:abstractNumId w:val="9"/>
  </w:num>
  <w:num w:numId="2" w16cid:durableId="1991254303">
    <w:abstractNumId w:val="1"/>
  </w:num>
  <w:num w:numId="3" w16cid:durableId="740907149">
    <w:abstractNumId w:val="5"/>
  </w:num>
  <w:num w:numId="4" w16cid:durableId="1304507138">
    <w:abstractNumId w:val="2"/>
  </w:num>
  <w:num w:numId="5" w16cid:durableId="663437050">
    <w:abstractNumId w:val="3"/>
  </w:num>
  <w:num w:numId="6" w16cid:durableId="1854414564">
    <w:abstractNumId w:val="6"/>
  </w:num>
  <w:num w:numId="7" w16cid:durableId="1135177993">
    <w:abstractNumId w:val="13"/>
  </w:num>
  <w:num w:numId="8" w16cid:durableId="911543808">
    <w:abstractNumId w:val="8"/>
  </w:num>
  <w:num w:numId="9" w16cid:durableId="145056332">
    <w:abstractNumId w:val="0"/>
  </w:num>
  <w:num w:numId="10" w16cid:durableId="1942714772">
    <w:abstractNumId w:val="11"/>
  </w:num>
  <w:num w:numId="11" w16cid:durableId="2108453414">
    <w:abstractNumId w:val="7"/>
  </w:num>
  <w:num w:numId="12" w16cid:durableId="2106682849">
    <w:abstractNumId w:val="4"/>
  </w:num>
  <w:num w:numId="13" w16cid:durableId="142702991">
    <w:abstractNumId w:val="10"/>
  </w:num>
  <w:num w:numId="14" w16cid:durableId="638918190">
    <w:abstractNumId w:val="12"/>
  </w:num>
  <w:num w:numId="15" w16cid:durableId="9007508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FFC"/>
    <w:rsid w:val="00000265"/>
    <w:rsid w:val="000161D9"/>
    <w:rsid w:val="00024C27"/>
    <w:rsid w:val="00030E27"/>
    <w:rsid w:val="00036E23"/>
    <w:rsid w:val="00042B53"/>
    <w:rsid w:val="00050AF3"/>
    <w:rsid w:val="00056C40"/>
    <w:rsid w:val="00066A96"/>
    <w:rsid w:val="00076853"/>
    <w:rsid w:val="00080F29"/>
    <w:rsid w:val="00081F68"/>
    <w:rsid w:val="000839B9"/>
    <w:rsid w:val="00085D63"/>
    <w:rsid w:val="00091A3E"/>
    <w:rsid w:val="000922D7"/>
    <w:rsid w:val="000A7B0A"/>
    <w:rsid w:val="000B2FE2"/>
    <w:rsid w:val="000C124D"/>
    <w:rsid w:val="000C1DE0"/>
    <w:rsid w:val="000C244C"/>
    <w:rsid w:val="000C34E9"/>
    <w:rsid w:val="000D6F0F"/>
    <w:rsid w:val="000E2B02"/>
    <w:rsid w:val="000E4539"/>
    <w:rsid w:val="000F0A62"/>
    <w:rsid w:val="000F6D90"/>
    <w:rsid w:val="00100C71"/>
    <w:rsid w:val="00106725"/>
    <w:rsid w:val="001071BA"/>
    <w:rsid w:val="001077C0"/>
    <w:rsid w:val="00113D49"/>
    <w:rsid w:val="00114D8A"/>
    <w:rsid w:val="00115856"/>
    <w:rsid w:val="00127135"/>
    <w:rsid w:val="0013265C"/>
    <w:rsid w:val="00133E2E"/>
    <w:rsid w:val="0014575A"/>
    <w:rsid w:val="0014675E"/>
    <w:rsid w:val="001478AC"/>
    <w:rsid w:val="00163E65"/>
    <w:rsid w:val="00170A0F"/>
    <w:rsid w:val="00170E55"/>
    <w:rsid w:val="001B4CCF"/>
    <w:rsid w:val="001D55EF"/>
    <w:rsid w:val="001E5C87"/>
    <w:rsid w:val="001F5362"/>
    <w:rsid w:val="0021071D"/>
    <w:rsid w:val="002148A4"/>
    <w:rsid w:val="002177C6"/>
    <w:rsid w:val="002223D6"/>
    <w:rsid w:val="00223F8D"/>
    <w:rsid w:val="00227CE6"/>
    <w:rsid w:val="00236EE7"/>
    <w:rsid w:val="00251124"/>
    <w:rsid w:val="00291940"/>
    <w:rsid w:val="00291EE5"/>
    <w:rsid w:val="0029398F"/>
    <w:rsid w:val="002A70FC"/>
    <w:rsid w:val="002B4B63"/>
    <w:rsid w:val="002B7B54"/>
    <w:rsid w:val="002C68D2"/>
    <w:rsid w:val="002D4EA3"/>
    <w:rsid w:val="002D6FDB"/>
    <w:rsid w:val="002F4F1F"/>
    <w:rsid w:val="002F65A3"/>
    <w:rsid w:val="002F7E94"/>
    <w:rsid w:val="00300372"/>
    <w:rsid w:val="00313A48"/>
    <w:rsid w:val="00315421"/>
    <w:rsid w:val="0031752B"/>
    <w:rsid w:val="003232A0"/>
    <w:rsid w:val="00331C89"/>
    <w:rsid w:val="00334BF6"/>
    <w:rsid w:val="00340180"/>
    <w:rsid w:val="00345007"/>
    <w:rsid w:val="003502DA"/>
    <w:rsid w:val="00354D7D"/>
    <w:rsid w:val="003805C0"/>
    <w:rsid w:val="0039201B"/>
    <w:rsid w:val="003936CD"/>
    <w:rsid w:val="003A3479"/>
    <w:rsid w:val="003C7AFC"/>
    <w:rsid w:val="003D1B6B"/>
    <w:rsid w:val="003D4C5D"/>
    <w:rsid w:val="003D688C"/>
    <w:rsid w:val="003E4F39"/>
    <w:rsid w:val="003E5BF5"/>
    <w:rsid w:val="003E788A"/>
    <w:rsid w:val="003F4C99"/>
    <w:rsid w:val="003F5EA0"/>
    <w:rsid w:val="003F700D"/>
    <w:rsid w:val="00401954"/>
    <w:rsid w:val="0040632A"/>
    <w:rsid w:val="00423E44"/>
    <w:rsid w:val="004262D1"/>
    <w:rsid w:val="00436669"/>
    <w:rsid w:val="00467534"/>
    <w:rsid w:val="00480A28"/>
    <w:rsid w:val="00484969"/>
    <w:rsid w:val="0048791F"/>
    <w:rsid w:val="004A4260"/>
    <w:rsid w:val="004B6DE3"/>
    <w:rsid w:val="004C2256"/>
    <w:rsid w:val="004D2B88"/>
    <w:rsid w:val="004D35E3"/>
    <w:rsid w:val="004D6873"/>
    <w:rsid w:val="004E1E59"/>
    <w:rsid w:val="004F5CBA"/>
    <w:rsid w:val="00507F5D"/>
    <w:rsid w:val="005137B3"/>
    <w:rsid w:val="0052343F"/>
    <w:rsid w:val="00555DB3"/>
    <w:rsid w:val="00590EB4"/>
    <w:rsid w:val="005936BD"/>
    <w:rsid w:val="005E385B"/>
    <w:rsid w:val="005E5270"/>
    <w:rsid w:val="005F139E"/>
    <w:rsid w:val="005F1886"/>
    <w:rsid w:val="005F1A48"/>
    <w:rsid w:val="005F5A7D"/>
    <w:rsid w:val="00600BFF"/>
    <w:rsid w:val="00603878"/>
    <w:rsid w:val="00606F4B"/>
    <w:rsid w:val="00631362"/>
    <w:rsid w:val="00633E65"/>
    <w:rsid w:val="0063422A"/>
    <w:rsid w:val="00635C40"/>
    <w:rsid w:val="006612D4"/>
    <w:rsid w:val="00683E7F"/>
    <w:rsid w:val="00683F64"/>
    <w:rsid w:val="006973E2"/>
    <w:rsid w:val="006977BA"/>
    <w:rsid w:val="006C1FF0"/>
    <w:rsid w:val="006DEF9F"/>
    <w:rsid w:val="006E0887"/>
    <w:rsid w:val="00710C35"/>
    <w:rsid w:val="0071228A"/>
    <w:rsid w:val="00721D77"/>
    <w:rsid w:val="00726B0D"/>
    <w:rsid w:val="0072CB8F"/>
    <w:rsid w:val="007346ED"/>
    <w:rsid w:val="00735E07"/>
    <w:rsid w:val="00740D37"/>
    <w:rsid w:val="00741F6E"/>
    <w:rsid w:val="007425AB"/>
    <w:rsid w:val="007468BB"/>
    <w:rsid w:val="007528F2"/>
    <w:rsid w:val="0075544A"/>
    <w:rsid w:val="00780F1C"/>
    <w:rsid w:val="007950A0"/>
    <w:rsid w:val="007A5609"/>
    <w:rsid w:val="007C2A8D"/>
    <w:rsid w:val="007C6BB0"/>
    <w:rsid w:val="007D1D56"/>
    <w:rsid w:val="007D6867"/>
    <w:rsid w:val="007F612B"/>
    <w:rsid w:val="00803751"/>
    <w:rsid w:val="008240A4"/>
    <w:rsid w:val="008259D8"/>
    <w:rsid w:val="008A4AE7"/>
    <w:rsid w:val="008A736E"/>
    <w:rsid w:val="008B3938"/>
    <w:rsid w:val="008C6F24"/>
    <w:rsid w:val="008C850A"/>
    <w:rsid w:val="008E1006"/>
    <w:rsid w:val="00907C6F"/>
    <w:rsid w:val="00912C3A"/>
    <w:rsid w:val="00924972"/>
    <w:rsid w:val="00925A3D"/>
    <w:rsid w:val="00925EA2"/>
    <w:rsid w:val="009345B1"/>
    <w:rsid w:val="009629CE"/>
    <w:rsid w:val="009674F7"/>
    <w:rsid w:val="009733FA"/>
    <w:rsid w:val="009753F6"/>
    <w:rsid w:val="00986024"/>
    <w:rsid w:val="00991BDE"/>
    <w:rsid w:val="009941AF"/>
    <w:rsid w:val="009A028E"/>
    <w:rsid w:val="009C3D91"/>
    <w:rsid w:val="009D25DA"/>
    <w:rsid w:val="009D26AA"/>
    <w:rsid w:val="009E0269"/>
    <w:rsid w:val="009E1655"/>
    <w:rsid w:val="009E168A"/>
    <w:rsid w:val="00A177FA"/>
    <w:rsid w:val="00A46170"/>
    <w:rsid w:val="00A96A71"/>
    <w:rsid w:val="00AB7ACD"/>
    <w:rsid w:val="00AD21E5"/>
    <w:rsid w:val="00AD2732"/>
    <w:rsid w:val="00AD456E"/>
    <w:rsid w:val="00AD486E"/>
    <w:rsid w:val="00AD6552"/>
    <w:rsid w:val="00AF04FF"/>
    <w:rsid w:val="00AF4CFC"/>
    <w:rsid w:val="00B111D8"/>
    <w:rsid w:val="00B22ECA"/>
    <w:rsid w:val="00B25E83"/>
    <w:rsid w:val="00B260C4"/>
    <w:rsid w:val="00B26870"/>
    <w:rsid w:val="00B27B6B"/>
    <w:rsid w:val="00B27F57"/>
    <w:rsid w:val="00B31811"/>
    <w:rsid w:val="00B32A4A"/>
    <w:rsid w:val="00B4112F"/>
    <w:rsid w:val="00B44A05"/>
    <w:rsid w:val="00B63FF3"/>
    <w:rsid w:val="00BA021E"/>
    <w:rsid w:val="00BA4FF0"/>
    <w:rsid w:val="00BC64E1"/>
    <w:rsid w:val="00BD3022"/>
    <w:rsid w:val="00BE1AA8"/>
    <w:rsid w:val="00BE1DC2"/>
    <w:rsid w:val="00BF6462"/>
    <w:rsid w:val="00C0449C"/>
    <w:rsid w:val="00C04FCA"/>
    <w:rsid w:val="00C06498"/>
    <w:rsid w:val="00C12715"/>
    <w:rsid w:val="00C15D4E"/>
    <w:rsid w:val="00C32030"/>
    <w:rsid w:val="00C50984"/>
    <w:rsid w:val="00C53DEA"/>
    <w:rsid w:val="00C6149E"/>
    <w:rsid w:val="00C654ED"/>
    <w:rsid w:val="00C666D8"/>
    <w:rsid w:val="00C832A9"/>
    <w:rsid w:val="00C85943"/>
    <w:rsid w:val="00C9692B"/>
    <w:rsid w:val="00C9737F"/>
    <w:rsid w:val="00CB3374"/>
    <w:rsid w:val="00CB7B52"/>
    <w:rsid w:val="00CC099D"/>
    <w:rsid w:val="00CC36D6"/>
    <w:rsid w:val="00CC4DB0"/>
    <w:rsid w:val="00CD34DB"/>
    <w:rsid w:val="00CE7AC6"/>
    <w:rsid w:val="00CF042C"/>
    <w:rsid w:val="00CF5206"/>
    <w:rsid w:val="00CF6942"/>
    <w:rsid w:val="00CF7451"/>
    <w:rsid w:val="00D02C99"/>
    <w:rsid w:val="00D10C8B"/>
    <w:rsid w:val="00D20A06"/>
    <w:rsid w:val="00D41414"/>
    <w:rsid w:val="00D501D7"/>
    <w:rsid w:val="00D51702"/>
    <w:rsid w:val="00D52464"/>
    <w:rsid w:val="00D5691E"/>
    <w:rsid w:val="00D57C16"/>
    <w:rsid w:val="00D6657F"/>
    <w:rsid w:val="00D75B89"/>
    <w:rsid w:val="00D76210"/>
    <w:rsid w:val="00D853A6"/>
    <w:rsid w:val="00D8632E"/>
    <w:rsid w:val="00D94B09"/>
    <w:rsid w:val="00DA52F9"/>
    <w:rsid w:val="00DD4609"/>
    <w:rsid w:val="00E02845"/>
    <w:rsid w:val="00E03F0C"/>
    <w:rsid w:val="00E10D2F"/>
    <w:rsid w:val="00E11174"/>
    <w:rsid w:val="00E11398"/>
    <w:rsid w:val="00E11DB5"/>
    <w:rsid w:val="00E178D4"/>
    <w:rsid w:val="00E35270"/>
    <w:rsid w:val="00E3B1E1"/>
    <w:rsid w:val="00E41868"/>
    <w:rsid w:val="00E46666"/>
    <w:rsid w:val="00E72986"/>
    <w:rsid w:val="00E833DD"/>
    <w:rsid w:val="00E841D4"/>
    <w:rsid w:val="00E84FCA"/>
    <w:rsid w:val="00E9072A"/>
    <w:rsid w:val="00E91116"/>
    <w:rsid w:val="00E95316"/>
    <w:rsid w:val="00E96BE9"/>
    <w:rsid w:val="00EA1068"/>
    <w:rsid w:val="00EA356F"/>
    <w:rsid w:val="00EB4482"/>
    <w:rsid w:val="00EC3AC4"/>
    <w:rsid w:val="00EC4B10"/>
    <w:rsid w:val="00ED14AF"/>
    <w:rsid w:val="00EE43D4"/>
    <w:rsid w:val="00EF165C"/>
    <w:rsid w:val="00F02083"/>
    <w:rsid w:val="00F254B8"/>
    <w:rsid w:val="00F27FFC"/>
    <w:rsid w:val="00F33C2B"/>
    <w:rsid w:val="00F37245"/>
    <w:rsid w:val="00F41CB9"/>
    <w:rsid w:val="00F47503"/>
    <w:rsid w:val="00F53B6E"/>
    <w:rsid w:val="00F71CD3"/>
    <w:rsid w:val="00F73562"/>
    <w:rsid w:val="00F820B1"/>
    <w:rsid w:val="00F92476"/>
    <w:rsid w:val="00FC2467"/>
    <w:rsid w:val="00FD2566"/>
    <w:rsid w:val="00FD50A9"/>
    <w:rsid w:val="0119FF0B"/>
    <w:rsid w:val="013809B0"/>
    <w:rsid w:val="01E0F6E8"/>
    <w:rsid w:val="020B8B24"/>
    <w:rsid w:val="023CEE63"/>
    <w:rsid w:val="02525AB3"/>
    <w:rsid w:val="0284B82E"/>
    <w:rsid w:val="02AB8DE9"/>
    <w:rsid w:val="031EC526"/>
    <w:rsid w:val="03379EE9"/>
    <w:rsid w:val="0339A062"/>
    <w:rsid w:val="03570D37"/>
    <w:rsid w:val="038D254B"/>
    <w:rsid w:val="03D0DDBC"/>
    <w:rsid w:val="03F3923E"/>
    <w:rsid w:val="03FB5F2F"/>
    <w:rsid w:val="04028C6C"/>
    <w:rsid w:val="0475ACA0"/>
    <w:rsid w:val="04813DFE"/>
    <w:rsid w:val="05237F99"/>
    <w:rsid w:val="05E8E846"/>
    <w:rsid w:val="065A8B75"/>
    <w:rsid w:val="066489BB"/>
    <w:rsid w:val="066C1632"/>
    <w:rsid w:val="0791DA0F"/>
    <w:rsid w:val="0793EB57"/>
    <w:rsid w:val="07EBDD25"/>
    <w:rsid w:val="07FB2CB2"/>
    <w:rsid w:val="0808948E"/>
    <w:rsid w:val="080B9B38"/>
    <w:rsid w:val="08E47F15"/>
    <w:rsid w:val="0944C03E"/>
    <w:rsid w:val="09FB0FD0"/>
    <w:rsid w:val="0A30406E"/>
    <w:rsid w:val="0A317495"/>
    <w:rsid w:val="0A567203"/>
    <w:rsid w:val="0A665461"/>
    <w:rsid w:val="0A81682D"/>
    <w:rsid w:val="0AC7636A"/>
    <w:rsid w:val="0B250A92"/>
    <w:rsid w:val="0B757A8C"/>
    <w:rsid w:val="0B9647A9"/>
    <w:rsid w:val="0BA27458"/>
    <w:rsid w:val="0BFFE2CF"/>
    <w:rsid w:val="0C2D4796"/>
    <w:rsid w:val="0C67CA00"/>
    <w:rsid w:val="0D09048C"/>
    <w:rsid w:val="0DBDE2AA"/>
    <w:rsid w:val="0DC70BAD"/>
    <w:rsid w:val="0DD2BEC0"/>
    <w:rsid w:val="0E0E3FFC"/>
    <w:rsid w:val="0E321D46"/>
    <w:rsid w:val="0E51EE00"/>
    <w:rsid w:val="0E7D563F"/>
    <w:rsid w:val="0E83D498"/>
    <w:rsid w:val="0F3B4BF8"/>
    <w:rsid w:val="0F5F22A1"/>
    <w:rsid w:val="0FAC866C"/>
    <w:rsid w:val="0FCCC80A"/>
    <w:rsid w:val="0FF76541"/>
    <w:rsid w:val="0FFD7AE9"/>
    <w:rsid w:val="105048EA"/>
    <w:rsid w:val="1059DB0A"/>
    <w:rsid w:val="10DCDC91"/>
    <w:rsid w:val="115AFAAE"/>
    <w:rsid w:val="11DA6701"/>
    <w:rsid w:val="11F59C36"/>
    <w:rsid w:val="120B3C3E"/>
    <w:rsid w:val="123664F2"/>
    <w:rsid w:val="130CC321"/>
    <w:rsid w:val="13125E68"/>
    <w:rsid w:val="13284FB5"/>
    <w:rsid w:val="132DDB21"/>
    <w:rsid w:val="13A5509E"/>
    <w:rsid w:val="13A5A731"/>
    <w:rsid w:val="13DD7629"/>
    <w:rsid w:val="1406E6BA"/>
    <w:rsid w:val="14697C53"/>
    <w:rsid w:val="14A78BB5"/>
    <w:rsid w:val="14BAA3BB"/>
    <w:rsid w:val="1509FB16"/>
    <w:rsid w:val="15415CE2"/>
    <w:rsid w:val="160E8A85"/>
    <w:rsid w:val="16344963"/>
    <w:rsid w:val="1651FEE5"/>
    <w:rsid w:val="1704EC06"/>
    <w:rsid w:val="1714B838"/>
    <w:rsid w:val="171BBFDC"/>
    <w:rsid w:val="1731B2EB"/>
    <w:rsid w:val="1738FF9F"/>
    <w:rsid w:val="176603C7"/>
    <w:rsid w:val="17AE582B"/>
    <w:rsid w:val="17FAA216"/>
    <w:rsid w:val="180A111E"/>
    <w:rsid w:val="182EE336"/>
    <w:rsid w:val="18623F1D"/>
    <w:rsid w:val="1863D53A"/>
    <w:rsid w:val="187B77A8"/>
    <w:rsid w:val="188AFE82"/>
    <w:rsid w:val="18A16821"/>
    <w:rsid w:val="18A8175B"/>
    <w:rsid w:val="19BE06BD"/>
    <w:rsid w:val="19CB9FE9"/>
    <w:rsid w:val="1A088E34"/>
    <w:rsid w:val="1A4C785E"/>
    <w:rsid w:val="1A577531"/>
    <w:rsid w:val="1A9D506D"/>
    <w:rsid w:val="1A9E5844"/>
    <w:rsid w:val="1ABBB168"/>
    <w:rsid w:val="1AC4C7DD"/>
    <w:rsid w:val="1AEC8C15"/>
    <w:rsid w:val="1B156FFB"/>
    <w:rsid w:val="1B465368"/>
    <w:rsid w:val="1BD4BA17"/>
    <w:rsid w:val="1BD8B78C"/>
    <w:rsid w:val="1CECFC0A"/>
    <w:rsid w:val="1D0F1025"/>
    <w:rsid w:val="1D2D3F53"/>
    <w:rsid w:val="1DF55FB6"/>
    <w:rsid w:val="1E8B4C85"/>
    <w:rsid w:val="1E9E6AC1"/>
    <w:rsid w:val="1EB56F04"/>
    <w:rsid w:val="1F052784"/>
    <w:rsid w:val="1F21C84D"/>
    <w:rsid w:val="1F319F9C"/>
    <w:rsid w:val="1F888A2E"/>
    <w:rsid w:val="1F910215"/>
    <w:rsid w:val="1F958621"/>
    <w:rsid w:val="1FABE8F4"/>
    <w:rsid w:val="1FCEC362"/>
    <w:rsid w:val="1FE4BEE4"/>
    <w:rsid w:val="201DBE7C"/>
    <w:rsid w:val="204F2B13"/>
    <w:rsid w:val="206E36AF"/>
    <w:rsid w:val="20A04349"/>
    <w:rsid w:val="20AA910A"/>
    <w:rsid w:val="20C0D57F"/>
    <w:rsid w:val="20C8DD26"/>
    <w:rsid w:val="21A37D44"/>
    <w:rsid w:val="21E7FBC2"/>
    <w:rsid w:val="221C7A6C"/>
    <w:rsid w:val="228F9036"/>
    <w:rsid w:val="22CC9973"/>
    <w:rsid w:val="22F94CA6"/>
    <w:rsid w:val="230A3192"/>
    <w:rsid w:val="238E8A88"/>
    <w:rsid w:val="2395820E"/>
    <w:rsid w:val="23F11965"/>
    <w:rsid w:val="242C12F3"/>
    <w:rsid w:val="24504F5F"/>
    <w:rsid w:val="2459E259"/>
    <w:rsid w:val="24738535"/>
    <w:rsid w:val="2510A56C"/>
    <w:rsid w:val="256C115F"/>
    <w:rsid w:val="25716B5C"/>
    <w:rsid w:val="2573EB40"/>
    <w:rsid w:val="2586DAA9"/>
    <w:rsid w:val="25CE379C"/>
    <w:rsid w:val="262950BB"/>
    <w:rsid w:val="2663C501"/>
    <w:rsid w:val="26731ECE"/>
    <w:rsid w:val="2688D358"/>
    <w:rsid w:val="269C5903"/>
    <w:rsid w:val="26E2585A"/>
    <w:rsid w:val="26E5D54D"/>
    <w:rsid w:val="26E9A5D1"/>
    <w:rsid w:val="26F5B4E2"/>
    <w:rsid w:val="2754D626"/>
    <w:rsid w:val="276ADFDB"/>
    <w:rsid w:val="27B5AECE"/>
    <w:rsid w:val="28495506"/>
    <w:rsid w:val="28589315"/>
    <w:rsid w:val="28AAC0F7"/>
    <w:rsid w:val="28BDD198"/>
    <w:rsid w:val="28CE0E75"/>
    <w:rsid w:val="292003F4"/>
    <w:rsid w:val="2930781E"/>
    <w:rsid w:val="298D54A7"/>
    <w:rsid w:val="299305AB"/>
    <w:rsid w:val="2998E26B"/>
    <w:rsid w:val="29C15259"/>
    <w:rsid w:val="29EDE984"/>
    <w:rsid w:val="2A55DC4E"/>
    <w:rsid w:val="2A5B4D63"/>
    <w:rsid w:val="2A777B7C"/>
    <w:rsid w:val="2A77A1B0"/>
    <w:rsid w:val="2B0B2F87"/>
    <w:rsid w:val="2B0DAC03"/>
    <w:rsid w:val="2B1B386B"/>
    <w:rsid w:val="2B5E07CC"/>
    <w:rsid w:val="2BE81BFB"/>
    <w:rsid w:val="2C029186"/>
    <w:rsid w:val="2C65E1DE"/>
    <w:rsid w:val="2C9CB1C7"/>
    <w:rsid w:val="2CF79155"/>
    <w:rsid w:val="2D065AFD"/>
    <w:rsid w:val="2D522BCA"/>
    <w:rsid w:val="2D63EFAC"/>
    <w:rsid w:val="2DB19923"/>
    <w:rsid w:val="2DDBC154"/>
    <w:rsid w:val="2E003BC4"/>
    <w:rsid w:val="2E107B88"/>
    <w:rsid w:val="2F4442CD"/>
    <w:rsid w:val="2F9B7702"/>
    <w:rsid w:val="3011E18F"/>
    <w:rsid w:val="3018B173"/>
    <w:rsid w:val="3063AEBE"/>
    <w:rsid w:val="308A83DC"/>
    <w:rsid w:val="30F3E082"/>
    <w:rsid w:val="317DEA6C"/>
    <w:rsid w:val="31877EC3"/>
    <w:rsid w:val="321444B0"/>
    <w:rsid w:val="322593A6"/>
    <w:rsid w:val="3280B346"/>
    <w:rsid w:val="32C987F7"/>
    <w:rsid w:val="32E0097F"/>
    <w:rsid w:val="3300B6E2"/>
    <w:rsid w:val="333A675B"/>
    <w:rsid w:val="33409192"/>
    <w:rsid w:val="33831A30"/>
    <w:rsid w:val="340603D8"/>
    <w:rsid w:val="34334EB5"/>
    <w:rsid w:val="3446327A"/>
    <w:rsid w:val="3448DA85"/>
    <w:rsid w:val="345DEF83"/>
    <w:rsid w:val="3487EFE5"/>
    <w:rsid w:val="34D09490"/>
    <w:rsid w:val="354E3FFB"/>
    <w:rsid w:val="357F0B0C"/>
    <w:rsid w:val="35B3FB4C"/>
    <w:rsid w:val="35BA6467"/>
    <w:rsid w:val="35CBECC6"/>
    <w:rsid w:val="35E51358"/>
    <w:rsid w:val="35E5C6AE"/>
    <w:rsid w:val="362DD6BD"/>
    <w:rsid w:val="3675B3EC"/>
    <w:rsid w:val="368759ED"/>
    <w:rsid w:val="36A42DD4"/>
    <w:rsid w:val="36BEDC0E"/>
    <w:rsid w:val="376AF881"/>
    <w:rsid w:val="379FB93F"/>
    <w:rsid w:val="37CC1DF4"/>
    <w:rsid w:val="37E54A05"/>
    <w:rsid w:val="37FE34C9"/>
    <w:rsid w:val="380C1445"/>
    <w:rsid w:val="383D9B3B"/>
    <w:rsid w:val="386EAAC4"/>
    <w:rsid w:val="387B2A5E"/>
    <w:rsid w:val="38C07A89"/>
    <w:rsid w:val="38D0CAD5"/>
    <w:rsid w:val="38FD8908"/>
    <w:rsid w:val="391E49E9"/>
    <w:rsid w:val="396044F7"/>
    <w:rsid w:val="396D9255"/>
    <w:rsid w:val="396E35D9"/>
    <w:rsid w:val="39A0472C"/>
    <w:rsid w:val="39A33678"/>
    <w:rsid w:val="39C384D9"/>
    <w:rsid w:val="3A10E58B"/>
    <w:rsid w:val="3A387B8D"/>
    <w:rsid w:val="3A497834"/>
    <w:rsid w:val="3ADD1D97"/>
    <w:rsid w:val="3AEEC6F6"/>
    <w:rsid w:val="3B19245F"/>
    <w:rsid w:val="3B6ABC9F"/>
    <w:rsid w:val="3C178622"/>
    <w:rsid w:val="3C8C1E33"/>
    <w:rsid w:val="3CBBF1DF"/>
    <w:rsid w:val="3D050723"/>
    <w:rsid w:val="3D083855"/>
    <w:rsid w:val="3D40EDCA"/>
    <w:rsid w:val="3D544323"/>
    <w:rsid w:val="3DBF7535"/>
    <w:rsid w:val="3E04AF9E"/>
    <w:rsid w:val="3E0772E8"/>
    <w:rsid w:val="3E0AF327"/>
    <w:rsid w:val="3E105D50"/>
    <w:rsid w:val="3E1F30D1"/>
    <w:rsid w:val="3E2D029A"/>
    <w:rsid w:val="3E481A31"/>
    <w:rsid w:val="3E6C5E72"/>
    <w:rsid w:val="3E9C4D5F"/>
    <w:rsid w:val="3EAD8D2B"/>
    <w:rsid w:val="3F50194D"/>
    <w:rsid w:val="3F5AD3A4"/>
    <w:rsid w:val="3F63C0F1"/>
    <w:rsid w:val="3F7C526C"/>
    <w:rsid w:val="3F7F3584"/>
    <w:rsid w:val="3FDD65B6"/>
    <w:rsid w:val="3FE90ABC"/>
    <w:rsid w:val="407D8F98"/>
    <w:rsid w:val="40C50D63"/>
    <w:rsid w:val="40CDFF67"/>
    <w:rsid w:val="415ED4C9"/>
    <w:rsid w:val="4172F036"/>
    <w:rsid w:val="41A9E975"/>
    <w:rsid w:val="41E566C0"/>
    <w:rsid w:val="4213FE72"/>
    <w:rsid w:val="42195714"/>
    <w:rsid w:val="421DE539"/>
    <w:rsid w:val="42478A3B"/>
    <w:rsid w:val="4276FD77"/>
    <w:rsid w:val="428C925F"/>
    <w:rsid w:val="42B54C6A"/>
    <w:rsid w:val="4307E744"/>
    <w:rsid w:val="4310C2C5"/>
    <w:rsid w:val="4329E55E"/>
    <w:rsid w:val="4363E5DA"/>
    <w:rsid w:val="43716767"/>
    <w:rsid w:val="43E1B9A0"/>
    <w:rsid w:val="4468E6A6"/>
    <w:rsid w:val="452DEC10"/>
    <w:rsid w:val="456CA4A8"/>
    <w:rsid w:val="459DAD41"/>
    <w:rsid w:val="45E9590F"/>
    <w:rsid w:val="45FBC2D2"/>
    <w:rsid w:val="4626683B"/>
    <w:rsid w:val="46864B67"/>
    <w:rsid w:val="46AF8509"/>
    <w:rsid w:val="46F4B833"/>
    <w:rsid w:val="478B93A0"/>
    <w:rsid w:val="47B2CF8D"/>
    <w:rsid w:val="47B31430"/>
    <w:rsid w:val="47D7FA4E"/>
    <w:rsid w:val="47EDEDDF"/>
    <w:rsid w:val="48075F9F"/>
    <w:rsid w:val="480AAD85"/>
    <w:rsid w:val="480D4E5D"/>
    <w:rsid w:val="48E0A71A"/>
    <w:rsid w:val="49217959"/>
    <w:rsid w:val="49828584"/>
    <w:rsid w:val="499394D0"/>
    <w:rsid w:val="4A127226"/>
    <w:rsid w:val="4A91027F"/>
    <w:rsid w:val="4A9D52D7"/>
    <w:rsid w:val="4B16751D"/>
    <w:rsid w:val="4B2270BD"/>
    <w:rsid w:val="4B3412AA"/>
    <w:rsid w:val="4B487A8A"/>
    <w:rsid w:val="4B8E500A"/>
    <w:rsid w:val="4C46B824"/>
    <w:rsid w:val="4CEAA3B6"/>
    <w:rsid w:val="4D0E891B"/>
    <w:rsid w:val="4D3D5414"/>
    <w:rsid w:val="4D6856AA"/>
    <w:rsid w:val="4D74A9F0"/>
    <w:rsid w:val="4D80909C"/>
    <w:rsid w:val="4E0916AA"/>
    <w:rsid w:val="4E89365C"/>
    <w:rsid w:val="4EF20C3E"/>
    <w:rsid w:val="4FB0A54A"/>
    <w:rsid w:val="4FB5EE07"/>
    <w:rsid w:val="4FCD087A"/>
    <w:rsid w:val="4FCD5A18"/>
    <w:rsid w:val="4FD34E0B"/>
    <w:rsid w:val="50306D83"/>
    <w:rsid w:val="50E8D1A6"/>
    <w:rsid w:val="511BE831"/>
    <w:rsid w:val="5251448C"/>
    <w:rsid w:val="52794CFB"/>
    <w:rsid w:val="52A86ED4"/>
    <w:rsid w:val="52AAE91D"/>
    <w:rsid w:val="52D6D22F"/>
    <w:rsid w:val="530AFC05"/>
    <w:rsid w:val="53243425"/>
    <w:rsid w:val="53297C1F"/>
    <w:rsid w:val="5364E740"/>
    <w:rsid w:val="53ACB33C"/>
    <w:rsid w:val="53D2EEB3"/>
    <w:rsid w:val="5439B8F9"/>
    <w:rsid w:val="5482ECB3"/>
    <w:rsid w:val="54A3A969"/>
    <w:rsid w:val="54A9FE20"/>
    <w:rsid w:val="54C7437D"/>
    <w:rsid w:val="54D21152"/>
    <w:rsid w:val="54F14CA6"/>
    <w:rsid w:val="551AC7AF"/>
    <w:rsid w:val="55255A87"/>
    <w:rsid w:val="5534EA7C"/>
    <w:rsid w:val="55588667"/>
    <w:rsid w:val="555CC249"/>
    <w:rsid w:val="556C90B9"/>
    <w:rsid w:val="568AB3D5"/>
    <w:rsid w:val="56B3B892"/>
    <w:rsid w:val="56CD1B73"/>
    <w:rsid w:val="56D2D460"/>
    <w:rsid w:val="56E52FAE"/>
    <w:rsid w:val="56E90D52"/>
    <w:rsid w:val="57504EA2"/>
    <w:rsid w:val="57660773"/>
    <w:rsid w:val="57676E68"/>
    <w:rsid w:val="57976ACA"/>
    <w:rsid w:val="5821C960"/>
    <w:rsid w:val="58AA4D96"/>
    <w:rsid w:val="58B91C79"/>
    <w:rsid w:val="594CFCA4"/>
    <w:rsid w:val="5988C2EB"/>
    <w:rsid w:val="5999FBEC"/>
    <w:rsid w:val="59F68BD9"/>
    <w:rsid w:val="5A7417FC"/>
    <w:rsid w:val="5AA39224"/>
    <w:rsid w:val="5AE06E57"/>
    <w:rsid w:val="5B4A5940"/>
    <w:rsid w:val="5B6128E6"/>
    <w:rsid w:val="5B6311FA"/>
    <w:rsid w:val="5B8592CD"/>
    <w:rsid w:val="5BF0D361"/>
    <w:rsid w:val="5C422442"/>
    <w:rsid w:val="5C9CD745"/>
    <w:rsid w:val="5CF05DD4"/>
    <w:rsid w:val="5CF4AD66"/>
    <w:rsid w:val="5CFD7FD3"/>
    <w:rsid w:val="5D3DAD89"/>
    <w:rsid w:val="5E7EE854"/>
    <w:rsid w:val="5E9614A7"/>
    <w:rsid w:val="5F098C79"/>
    <w:rsid w:val="5F0C1C4E"/>
    <w:rsid w:val="5F61DC60"/>
    <w:rsid w:val="5FAE8A7C"/>
    <w:rsid w:val="5FEFB276"/>
    <w:rsid w:val="5FFB3242"/>
    <w:rsid w:val="6035737F"/>
    <w:rsid w:val="609640C4"/>
    <w:rsid w:val="60AF80B7"/>
    <w:rsid w:val="60DE8C53"/>
    <w:rsid w:val="61F49ABD"/>
    <w:rsid w:val="62828567"/>
    <w:rsid w:val="62C3C3B7"/>
    <w:rsid w:val="62CDDAA3"/>
    <w:rsid w:val="635D1874"/>
    <w:rsid w:val="63B34DC8"/>
    <w:rsid w:val="63EA0FC7"/>
    <w:rsid w:val="6412D58F"/>
    <w:rsid w:val="64549C87"/>
    <w:rsid w:val="6497AEFE"/>
    <w:rsid w:val="6498B414"/>
    <w:rsid w:val="64F7D00F"/>
    <w:rsid w:val="65128344"/>
    <w:rsid w:val="65405D67"/>
    <w:rsid w:val="65474357"/>
    <w:rsid w:val="657081DF"/>
    <w:rsid w:val="6580EE4F"/>
    <w:rsid w:val="65962C2B"/>
    <w:rsid w:val="667A8D0B"/>
    <w:rsid w:val="668326DB"/>
    <w:rsid w:val="66A209E2"/>
    <w:rsid w:val="66B23274"/>
    <w:rsid w:val="66B2703C"/>
    <w:rsid w:val="672673CD"/>
    <w:rsid w:val="67717D23"/>
    <w:rsid w:val="6776AA1E"/>
    <w:rsid w:val="678998A7"/>
    <w:rsid w:val="678B56BA"/>
    <w:rsid w:val="67CD180D"/>
    <w:rsid w:val="68072A0B"/>
    <w:rsid w:val="68738B4C"/>
    <w:rsid w:val="68940FAE"/>
    <w:rsid w:val="68AA1C63"/>
    <w:rsid w:val="68ED2D62"/>
    <w:rsid w:val="68FD0028"/>
    <w:rsid w:val="6964A489"/>
    <w:rsid w:val="6A6080E7"/>
    <w:rsid w:val="6ADF6A08"/>
    <w:rsid w:val="6B0AEE5D"/>
    <w:rsid w:val="6B0E4225"/>
    <w:rsid w:val="6B5279BC"/>
    <w:rsid w:val="6B6786E2"/>
    <w:rsid w:val="6BCE246B"/>
    <w:rsid w:val="6C25B4A1"/>
    <w:rsid w:val="6C28049B"/>
    <w:rsid w:val="6D36F08A"/>
    <w:rsid w:val="6D983C0C"/>
    <w:rsid w:val="6DD63903"/>
    <w:rsid w:val="6DE57F12"/>
    <w:rsid w:val="6DF29A1F"/>
    <w:rsid w:val="6E502787"/>
    <w:rsid w:val="6E7ACE0B"/>
    <w:rsid w:val="6EC477E6"/>
    <w:rsid w:val="6EF4E23E"/>
    <w:rsid w:val="6F122694"/>
    <w:rsid w:val="6F6C4230"/>
    <w:rsid w:val="6FBB7640"/>
    <w:rsid w:val="6FBE85DC"/>
    <w:rsid w:val="6FDD329B"/>
    <w:rsid w:val="6FE77179"/>
    <w:rsid w:val="701560DE"/>
    <w:rsid w:val="70554415"/>
    <w:rsid w:val="70B5733B"/>
    <w:rsid w:val="70C712DE"/>
    <w:rsid w:val="70E5DE5B"/>
    <w:rsid w:val="71147C1A"/>
    <w:rsid w:val="716B3FE7"/>
    <w:rsid w:val="71A97349"/>
    <w:rsid w:val="71BA9C3C"/>
    <w:rsid w:val="71E59653"/>
    <w:rsid w:val="7207FB2C"/>
    <w:rsid w:val="72104317"/>
    <w:rsid w:val="7216634F"/>
    <w:rsid w:val="721DD2B7"/>
    <w:rsid w:val="725FA06E"/>
    <w:rsid w:val="727CC212"/>
    <w:rsid w:val="72B97524"/>
    <w:rsid w:val="73343047"/>
    <w:rsid w:val="7339F3CD"/>
    <w:rsid w:val="737439E1"/>
    <w:rsid w:val="73A9734C"/>
    <w:rsid w:val="73E89D3B"/>
    <w:rsid w:val="73EAAC68"/>
    <w:rsid w:val="73F0A249"/>
    <w:rsid w:val="744178BE"/>
    <w:rsid w:val="7443F0B8"/>
    <w:rsid w:val="74F49B7D"/>
    <w:rsid w:val="7505EDE4"/>
    <w:rsid w:val="75528CEE"/>
    <w:rsid w:val="7555CFF4"/>
    <w:rsid w:val="75902F99"/>
    <w:rsid w:val="75C44FA9"/>
    <w:rsid w:val="75DD11F3"/>
    <w:rsid w:val="760776A1"/>
    <w:rsid w:val="7627DF4F"/>
    <w:rsid w:val="76456E9E"/>
    <w:rsid w:val="766264D7"/>
    <w:rsid w:val="76ADB884"/>
    <w:rsid w:val="76BE87EE"/>
    <w:rsid w:val="76C262B8"/>
    <w:rsid w:val="76C9B007"/>
    <w:rsid w:val="76E7821A"/>
    <w:rsid w:val="76FCB820"/>
    <w:rsid w:val="770C7192"/>
    <w:rsid w:val="7772E422"/>
    <w:rsid w:val="777EFC09"/>
    <w:rsid w:val="779B7A84"/>
    <w:rsid w:val="78398705"/>
    <w:rsid w:val="78518AC6"/>
    <w:rsid w:val="788FC2F1"/>
    <w:rsid w:val="789FF462"/>
    <w:rsid w:val="78C437ED"/>
    <w:rsid w:val="791C8BDB"/>
    <w:rsid w:val="7942BF82"/>
    <w:rsid w:val="79533835"/>
    <w:rsid w:val="7A25CB61"/>
    <w:rsid w:val="7A7FA71C"/>
    <w:rsid w:val="7AB36D0E"/>
    <w:rsid w:val="7AEB4E06"/>
    <w:rsid w:val="7B404B3E"/>
    <w:rsid w:val="7B8C54EC"/>
    <w:rsid w:val="7BAC7F30"/>
    <w:rsid w:val="7BCD2DA6"/>
    <w:rsid w:val="7BDD0A2F"/>
    <w:rsid w:val="7C3A88AC"/>
    <w:rsid w:val="7C43F5BB"/>
    <w:rsid w:val="7C53213C"/>
    <w:rsid w:val="7C8A8CB5"/>
    <w:rsid w:val="7D299DDD"/>
    <w:rsid w:val="7D5E75F0"/>
    <w:rsid w:val="7D982413"/>
    <w:rsid w:val="7DD1C144"/>
    <w:rsid w:val="7E291F87"/>
    <w:rsid w:val="7E3094C8"/>
    <w:rsid w:val="7ED6FE2A"/>
    <w:rsid w:val="7EF6C31F"/>
    <w:rsid w:val="7F179B6D"/>
    <w:rsid w:val="7F832233"/>
    <w:rsid w:val="7FA4C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4BF51"/>
  <w15:chartTrackingRefBased/>
  <w15:docId w15:val="{761B7C9F-23DD-42E3-92EA-DF60643C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FFC"/>
    <w:rPr>
      <w:rFonts w:eastAsiaTheme="majorEastAsia" w:cstheme="majorBidi"/>
      <w:color w:val="272727" w:themeColor="text1" w:themeTint="D8"/>
    </w:rPr>
  </w:style>
  <w:style w:type="paragraph" w:styleId="Title">
    <w:name w:val="Title"/>
    <w:basedOn w:val="Normal"/>
    <w:next w:val="Normal"/>
    <w:link w:val="TitleChar"/>
    <w:uiPriority w:val="10"/>
    <w:qFormat/>
    <w:rsid w:val="00F27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FFC"/>
    <w:pPr>
      <w:spacing w:before="160"/>
      <w:jc w:val="center"/>
    </w:pPr>
    <w:rPr>
      <w:i/>
      <w:iCs/>
      <w:color w:val="404040" w:themeColor="text1" w:themeTint="BF"/>
    </w:rPr>
  </w:style>
  <w:style w:type="character" w:customStyle="1" w:styleId="QuoteChar">
    <w:name w:val="Quote Char"/>
    <w:basedOn w:val="DefaultParagraphFont"/>
    <w:link w:val="Quote"/>
    <w:uiPriority w:val="29"/>
    <w:rsid w:val="00F27FFC"/>
    <w:rPr>
      <w:i/>
      <w:iCs/>
      <w:color w:val="404040" w:themeColor="text1" w:themeTint="BF"/>
    </w:rPr>
  </w:style>
  <w:style w:type="paragraph" w:styleId="ListParagraph">
    <w:name w:val="List Paragraph"/>
    <w:basedOn w:val="Normal"/>
    <w:uiPriority w:val="34"/>
    <w:qFormat/>
    <w:rsid w:val="00F27FFC"/>
    <w:pPr>
      <w:ind w:left="720"/>
      <w:contextualSpacing/>
    </w:pPr>
  </w:style>
  <w:style w:type="character" w:styleId="IntenseEmphasis">
    <w:name w:val="Intense Emphasis"/>
    <w:basedOn w:val="DefaultParagraphFont"/>
    <w:uiPriority w:val="21"/>
    <w:qFormat/>
    <w:rsid w:val="00F27FFC"/>
    <w:rPr>
      <w:i/>
      <w:iCs/>
      <w:color w:val="0F4761" w:themeColor="accent1" w:themeShade="BF"/>
    </w:rPr>
  </w:style>
  <w:style w:type="paragraph" w:styleId="IntenseQuote">
    <w:name w:val="Intense Quote"/>
    <w:basedOn w:val="Normal"/>
    <w:next w:val="Normal"/>
    <w:link w:val="IntenseQuoteChar"/>
    <w:uiPriority w:val="30"/>
    <w:qFormat/>
    <w:rsid w:val="00F27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FFC"/>
    <w:rPr>
      <w:i/>
      <w:iCs/>
      <w:color w:val="0F4761" w:themeColor="accent1" w:themeShade="BF"/>
    </w:rPr>
  </w:style>
  <w:style w:type="character" w:styleId="IntenseReference">
    <w:name w:val="Intense Reference"/>
    <w:basedOn w:val="DefaultParagraphFont"/>
    <w:uiPriority w:val="32"/>
    <w:qFormat/>
    <w:rsid w:val="00F27FFC"/>
    <w:rPr>
      <w:b/>
      <w:bCs/>
      <w:smallCaps/>
      <w:color w:val="0F4761" w:themeColor="accent1" w:themeShade="BF"/>
      <w:spacing w:val="5"/>
    </w:rPr>
  </w:style>
  <w:style w:type="paragraph" w:styleId="Header">
    <w:name w:val="header"/>
    <w:basedOn w:val="Normal"/>
    <w:link w:val="HeaderChar"/>
    <w:uiPriority w:val="99"/>
    <w:unhideWhenUsed/>
    <w:rsid w:val="006038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878"/>
  </w:style>
  <w:style w:type="paragraph" w:styleId="Footer">
    <w:name w:val="footer"/>
    <w:basedOn w:val="Normal"/>
    <w:link w:val="FooterChar"/>
    <w:uiPriority w:val="99"/>
    <w:unhideWhenUsed/>
    <w:rsid w:val="006038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878"/>
  </w:style>
  <w:style w:type="character" w:styleId="PageNumber">
    <w:name w:val="page number"/>
    <w:basedOn w:val="DefaultParagraphFont"/>
    <w:uiPriority w:val="99"/>
    <w:semiHidden/>
    <w:unhideWhenUsed/>
    <w:rsid w:val="00A46170"/>
  </w:style>
  <w:style w:type="paragraph" w:styleId="NormalWeb">
    <w:name w:val="Normal (Web)"/>
    <w:basedOn w:val="Normal"/>
    <w:uiPriority w:val="99"/>
    <w:unhideWhenUsed/>
    <w:rsid w:val="00170A0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03751"/>
    <w:rPr>
      <w:b/>
      <w:bCs/>
    </w:rPr>
  </w:style>
  <w:style w:type="paragraph" w:styleId="Revision">
    <w:name w:val="Revision"/>
    <w:hidden/>
    <w:uiPriority w:val="99"/>
    <w:semiHidden/>
    <w:rsid w:val="00313A48"/>
    <w:pPr>
      <w:spacing w:after="0" w:line="240" w:lineRule="auto"/>
    </w:pPr>
  </w:style>
  <w:style w:type="paragraph" w:customStyle="1" w:styleId="paragraph">
    <w:name w:val="paragraph"/>
    <w:basedOn w:val="Normal"/>
    <w:rsid w:val="009941A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9941AF"/>
  </w:style>
  <w:style w:type="character" w:customStyle="1" w:styleId="eop">
    <w:name w:val="eop"/>
    <w:basedOn w:val="DefaultParagraphFont"/>
    <w:rsid w:val="009941AF"/>
  </w:style>
  <w:style w:type="character" w:styleId="Hyperlink">
    <w:name w:val="Hyperlink"/>
    <w:basedOn w:val="DefaultParagraphFont"/>
    <w:uiPriority w:val="99"/>
    <w:unhideWhenUsed/>
    <w:rsid w:val="3011E18F"/>
    <w:rPr>
      <w:color w:val="467886"/>
      <w:u w:val="single"/>
    </w:rPr>
  </w:style>
  <w:style w:type="character" w:customStyle="1" w:styleId="relative">
    <w:name w:val="relative"/>
    <w:basedOn w:val="DefaultParagraphFont"/>
    <w:rsid w:val="005137B3"/>
  </w:style>
  <w:style w:type="paragraph" w:customStyle="1" w:styleId="not-prose">
    <w:name w:val="not-prose"/>
    <w:basedOn w:val="Normal"/>
    <w:rsid w:val="005137B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E84FCA"/>
    <w:rPr>
      <w:color w:val="605E5C"/>
      <w:shd w:val="clear" w:color="auto" w:fill="E1DFDD"/>
    </w:rPr>
  </w:style>
  <w:style w:type="character" w:styleId="CommentReference">
    <w:name w:val="annotation reference"/>
    <w:basedOn w:val="DefaultParagraphFont"/>
    <w:uiPriority w:val="99"/>
    <w:semiHidden/>
    <w:unhideWhenUsed/>
    <w:rsid w:val="00924972"/>
    <w:rPr>
      <w:sz w:val="16"/>
      <w:szCs w:val="16"/>
    </w:rPr>
  </w:style>
  <w:style w:type="paragraph" w:styleId="CommentText">
    <w:name w:val="annotation text"/>
    <w:basedOn w:val="Normal"/>
    <w:link w:val="CommentTextChar"/>
    <w:uiPriority w:val="99"/>
    <w:unhideWhenUsed/>
    <w:rsid w:val="00924972"/>
    <w:pPr>
      <w:spacing w:line="240" w:lineRule="auto"/>
    </w:pPr>
    <w:rPr>
      <w:sz w:val="20"/>
      <w:szCs w:val="20"/>
    </w:rPr>
  </w:style>
  <w:style w:type="character" w:customStyle="1" w:styleId="CommentTextChar">
    <w:name w:val="Comment Text Char"/>
    <w:basedOn w:val="DefaultParagraphFont"/>
    <w:link w:val="CommentText"/>
    <w:uiPriority w:val="99"/>
    <w:rsid w:val="00924972"/>
    <w:rPr>
      <w:sz w:val="20"/>
      <w:szCs w:val="20"/>
    </w:rPr>
  </w:style>
  <w:style w:type="paragraph" w:styleId="CommentSubject">
    <w:name w:val="annotation subject"/>
    <w:basedOn w:val="CommentText"/>
    <w:next w:val="CommentText"/>
    <w:link w:val="CommentSubjectChar"/>
    <w:uiPriority w:val="99"/>
    <w:semiHidden/>
    <w:unhideWhenUsed/>
    <w:rsid w:val="00924972"/>
    <w:rPr>
      <w:b/>
      <w:bCs/>
    </w:rPr>
  </w:style>
  <w:style w:type="character" w:customStyle="1" w:styleId="CommentSubjectChar">
    <w:name w:val="Comment Subject Char"/>
    <w:basedOn w:val="CommentTextChar"/>
    <w:link w:val="CommentSubject"/>
    <w:uiPriority w:val="99"/>
    <w:semiHidden/>
    <w:rsid w:val="009249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032/jae.v65i3.2462" TargetMode="External"/><Relationship Id="rId18" Type="http://schemas.openxmlformats.org/officeDocument/2006/relationships/hyperlink" Target="https://doi.org/10.17226/766" TargetMode="External"/><Relationship Id="rId26" Type="http://schemas.openxmlformats.org/officeDocument/2006/relationships/hyperlink" Target="https://aaaeonline.org/resources/Documents/AAAE_National_Research_Agenda_2016-2020.pdf" TargetMode="External"/><Relationship Id="rId21" Type="http://schemas.openxmlformats.org/officeDocument/2006/relationships/hyperlink" Target="https://doi.org/10.1016/j.edurev.2011.10.003"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case4learning.org/case/document-server/?cfp=case/assets/file/public/about/case4learningmodel.pdf" TargetMode="External"/><Relationship Id="rId17" Type="http://schemas.openxmlformats.org/officeDocument/2006/relationships/hyperlink" Target="https://doi.org/10.5032/jae.v66i2.2906" TargetMode="External"/><Relationship Id="rId25" Type="http://schemas.openxmlformats.org/officeDocument/2006/relationships/hyperlink" Target="https://doi.org/10.5032/jae.2020.03214"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02/tea.10115" TargetMode="External"/><Relationship Id="rId20" Type="http://schemas.openxmlformats.org/officeDocument/2006/relationships/hyperlink" Target="https://doi.org/10.5032/jae.2006.04001" TargetMode="External"/><Relationship Id="rId29" Type="http://schemas.openxmlformats.org/officeDocument/2006/relationships/hyperlink" Target="https://doi.org/10.5032/jae.2012.0205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se4learning.org/about-case/mission-vision-and-values/" TargetMode="External"/><Relationship Id="rId24" Type="http://schemas.openxmlformats.org/officeDocument/2006/relationships/hyperlink" Target="https://doi.org/10.5032/jae.2015.04153" TargetMode="External"/><Relationship Id="rId32" Type="http://schemas.openxmlformats.org/officeDocument/2006/relationships/hyperlink" Target="https://doi.org/10.5032/jae.2009.04001" TargetMode="External"/><Relationship Id="rId37"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doi.org/10.5032/jae.v66i3.3232" TargetMode="External"/><Relationship Id="rId23" Type="http://schemas.openxmlformats.org/officeDocument/2006/relationships/hyperlink" Target="https://doi.org/10.5032/jae.2017.04050" TargetMode="External"/><Relationship Id="rId28" Type="http://schemas.openxmlformats.org/officeDocument/2006/relationships/hyperlink" Target="https://doi.org/10.3102/0013189X015002004" TargetMode="External"/><Relationship Id="rId36" Type="http://schemas.openxmlformats.org/officeDocument/2006/relationships/theme" Target="theme/theme1.xml"/><Relationship Id="rId10" Type="http://schemas.openxmlformats.org/officeDocument/2006/relationships/hyperlink" Target="https://doi.org/10.5032/jae.2021.01260" TargetMode="External"/><Relationship Id="rId19" Type="http://schemas.openxmlformats.org/officeDocument/2006/relationships/hyperlink" Target="https://doi.org/10.5032/jae.2022.03117" TargetMode="External"/><Relationship Id="rId31" Type="http://schemas.openxmlformats.org/officeDocument/2006/relationships/hyperlink" Target="https://doi.org/10.5032/jae.2015.0400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11/j.1949-8594.2009.tb17861.x" TargetMode="External"/><Relationship Id="rId22" Type="http://schemas.openxmlformats.org/officeDocument/2006/relationships/hyperlink" Target="https://doi.org/10.5032/jae.2018.01059" TargetMode="External"/><Relationship Id="rId27" Type="http://schemas.openxmlformats.org/officeDocument/2006/relationships/hyperlink" Target="https://doi.org/10.5032/jae.2006.01017" TargetMode="External"/><Relationship Id="rId30" Type="http://schemas.openxmlformats.org/officeDocument/2006/relationships/hyperlink" Target="https://doi.org/10.5032/jae.2020.02057"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FEFF94F95AE342B7ECCB459239722C" ma:contentTypeVersion="3" ma:contentTypeDescription="Create a new document." ma:contentTypeScope="" ma:versionID="489c356f17b70d80febfe899d0064319">
  <xsd:schema xmlns:xsd="http://www.w3.org/2001/XMLSchema" xmlns:xs="http://www.w3.org/2001/XMLSchema" xmlns:p="http://schemas.microsoft.com/office/2006/metadata/properties" xmlns:ns2="f1f6cb2f-9cae-4c52-8bd9-c3a83421149e" targetNamespace="http://schemas.microsoft.com/office/2006/metadata/properties" ma:root="true" ma:fieldsID="99d9f26d9099eb82a02c7fde7fd4deb6" ns2:_="">
    <xsd:import namespace="f1f6cb2f-9cae-4c52-8bd9-c3a83421149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6cb2f-9cae-4c52-8bd9-c3a8342114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7486F-174D-4711-94EF-9B121EB7C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6cb2f-9cae-4c52-8bd9-c3a8342114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EDB1B1-983A-492F-A75F-F6A917960FA7}">
  <ds:schemaRefs>
    <ds:schemaRef ds:uri="http://schemas.microsoft.com/sharepoint/v3/contenttype/forms"/>
  </ds:schemaRefs>
</ds:datastoreItem>
</file>

<file path=customXml/itemProps3.xml><?xml version="1.0" encoding="utf-8"?>
<ds:datastoreItem xmlns:ds="http://schemas.openxmlformats.org/officeDocument/2006/customXml" ds:itemID="{762BFBD9-B7B7-4AD6-9CF5-4BE7D42120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14</Pages>
  <Words>7925</Words>
  <Characters>43749</Characters>
  <Application>Microsoft Office Word</Application>
  <DocSecurity>0</DocSecurity>
  <Lines>892</Lines>
  <Paragraphs>645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Bird</dc:creator>
  <cp:keywords/>
  <dc:description/>
  <cp:lastModifiedBy>Taylor Bird</cp:lastModifiedBy>
  <cp:revision>11</cp:revision>
  <dcterms:created xsi:type="dcterms:W3CDTF">2026-01-14T14:26:00Z</dcterms:created>
  <dcterms:modified xsi:type="dcterms:W3CDTF">2026-03-19T22:06:00Z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0x010100A4FEFF94F95AE342B7ECCB459239722C</vt:lpwstr>
  </property>
  <property fmtid="{D5CDD505-2E9C-101B-9397-08002B2CF9AE}" pid="3" name="Order">
    <vt:r8>781500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GrammarlyDocumentId">
    <vt:lpwstr>8a8890af-745e-4051-9c0d-dce17c9d0195</vt:lpwstr>
  </property>
</Properties>
</file>