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36974" w14:textId="77777777" w:rsidR="008A7C86"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Identifying the Characteristics of Effective Agricultural Education Professional Development: A National Delphi Study</w:t>
      </w:r>
    </w:p>
    <w:p w14:paraId="22E1780F" w14:textId="77777777" w:rsidR="008A7C86" w:rsidRDefault="008A7C86">
      <w:pPr>
        <w:spacing w:line="240" w:lineRule="auto"/>
        <w:jc w:val="center"/>
        <w:rPr>
          <w:rFonts w:ascii="Times New Roman" w:eastAsia="Times New Roman" w:hAnsi="Times New Roman" w:cs="Times New Roman"/>
          <w:sz w:val="12"/>
          <w:szCs w:val="12"/>
        </w:rPr>
      </w:pPr>
    </w:p>
    <w:p w14:paraId="3EC7A706"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Joe Ramstad, Iowa State University</w:t>
      </w:r>
    </w:p>
    <w:p w14:paraId="0C5F674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Scott Smalley, Iowa State University</w:t>
      </w:r>
    </w:p>
    <w:p w14:paraId="4309B6F4" w14:textId="77777777" w:rsidR="008A7C86" w:rsidRDefault="008A7C86">
      <w:pPr>
        <w:spacing w:line="240" w:lineRule="auto"/>
        <w:jc w:val="center"/>
        <w:rPr>
          <w:rFonts w:ascii="Times New Roman" w:eastAsia="Times New Roman" w:hAnsi="Times New Roman" w:cs="Times New Roman"/>
          <w:sz w:val="12"/>
          <w:szCs w:val="12"/>
        </w:rPr>
      </w:pPr>
    </w:p>
    <w:p w14:paraId="66BC9644" w14:textId="77777777" w:rsidR="008A7C86"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6BDD908F" w14:textId="77777777" w:rsidR="008A7C86" w:rsidRDefault="008A7C86">
      <w:pPr>
        <w:spacing w:line="240" w:lineRule="auto"/>
        <w:rPr>
          <w:rFonts w:ascii="Times New Roman" w:eastAsia="Times New Roman" w:hAnsi="Times New Roman" w:cs="Times New Roman"/>
          <w:i/>
          <w:iCs/>
          <w:sz w:val="24"/>
          <w:szCs w:val="24"/>
        </w:rPr>
      </w:pPr>
    </w:p>
    <w:p w14:paraId="2DFFA055" w14:textId="77777777" w:rsidR="008A7C86"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Despite the positive implications professional development has on teachers and students alike, an important question remains: What is effective professional development? The purpose of this study was to identify the characteristics of effective professional development in agricultural education as indicated by a panel of agricultural education experts using a Delphi methodology. Thirty-five experts representing three key stakeholder groups were nominated and participated in three rounds of the study. A total of 503 characteristics were initially submitted by the experts; after applying inductive coding and removing duplicate themes, 98 unique characteristics remained. After three rounds of participation, 46 characteristics emerged among four themes, some of which included professional development experiences relevant to participants, opportunities for participants to discuss and interact with their peers, a positive atmosphere, and the facilitator demonstrating an engaging and innovative approach. Recommendations for future research include the development and validation of an instrument to evaluate the effectiveness of professional development in agricultural education. For professional practice, professional development facilitators and stakeholder groups, such as the National Association of Agricultural Educators and the National FFA Organization, are encouraged to review the findings and ensure their professional development offerings align with these characteristics.</w:t>
      </w:r>
    </w:p>
    <w:p w14:paraId="42B6A363" w14:textId="77777777" w:rsidR="008A7C86" w:rsidRDefault="008A7C86">
      <w:pPr>
        <w:spacing w:line="240" w:lineRule="auto"/>
        <w:rPr>
          <w:rFonts w:ascii="Times New Roman" w:eastAsia="Times New Roman" w:hAnsi="Times New Roman" w:cs="Times New Roman"/>
          <w:i/>
          <w:iCs/>
          <w:sz w:val="24"/>
          <w:szCs w:val="24"/>
        </w:rPr>
      </w:pPr>
    </w:p>
    <w:p w14:paraId="73A6E3E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Introduction and Literature Review</w:t>
      </w:r>
    </w:p>
    <w:p w14:paraId="6481238D" w14:textId="77777777" w:rsidR="008A7C86" w:rsidRDefault="008A7C86">
      <w:pPr>
        <w:spacing w:line="240" w:lineRule="auto"/>
        <w:rPr>
          <w:rFonts w:ascii="Times New Roman" w:eastAsia="Times New Roman" w:hAnsi="Times New Roman" w:cs="Times New Roman"/>
          <w:sz w:val="24"/>
          <w:szCs w:val="24"/>
        </w:rPr>
      </w:pPr>
    </w:p>
    <w:p w14:paraId="493DB8F4" w14:textId="7A0969CD"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Professional development has been cited as a tool to aid in increasing teacher knowledge (Bowser et al., 2025; Hainline &amp; Wells, 2019; Rice &amp; Kitchel, 2016; Wood et al., 2024b), increasing margin and teacher retention (Hainline &amp; Smalley, 2023; McKim &amp; McKim, 2023; Rice &amp; Kitchel, 2015, 2016; Smalley &amp; Smith, 2017; Smith &amp; Smalley, 2018; Wood et al., 2024a), and has direct, positive implications for maximizing student learning and achievement (Ferand et al., 2022). Despite the positive implications professional development has on teachers and students alike (Garet et al., 2001), an important question remains: What is effective professional development? What does it look like, both from a practitioner perspective and from a participant perspective? While prior research has identified core features of effective professional development in general contexts (Garet et al., 2021; Darling-Hammond et al., 2017), limited research has established discipline-specific, consensus-driven characteristics within agricultural education. If professional development providers wish to serve agricultural educators to the greatest extent possible and make the time and resources invested by participants worthwhile, asking this critical question can </w:t>
      </w:r>
      <w:proofErr w:type="gramStart"/>
      <w:r>
        <w:rPr>
          <w:rFonts w:ascii="Times New Roman" w:eastAsia="Times New Roman" w:hAnsi="Times New Roman" w:cs="Times New Roman"/>
          <w:sz w:val="24"/>
          <w:szCs w:val="24"/>
        </w:rPr>
        <w:t>open up</w:t>
      </w:r>
      <w:proofErr w:type="gramEnd"/>
      <w:r>
        <w:rPr>
          <w:rFonts w:ascii="Times New Roman" w:eastAsia="Times New Roman" w:hAnsi="Times New Roman" w:cs="Times New Roman"/>
          <w:sz w:val="24"/>
          <w:szCs w:val="24"/>
        </w:rPr>
        <w:t xml:space="preserve"> opportunities and lead to a change in the conversation.</w:t>
      </w:r>
      <w:r w:rsidR="009B7C0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work calls into question the quality of those experiences, ensuring professional development experiences are effective in meeting the core needs of teachers.</w:t>
      </w:r>
    </w:p>
    <w:p w14:paraId="5FED5596" w14:textId="77777777" w:rsidR="008A7C86" w:rsidRDefault="008A7C86">
      <w:pPr>
        <w:spacing w:line="240" w:lineRule="auto"/>
        <w:rPr>
          <w:rFonts w:ascii="Times New Roman" w:eastAsia="Times New Roman" w:hAnsi="Times New Roman" w:cs="Times New Roman"/>
          <w:sz w:val="24"/>
          <w:szCs w:val="24"/>
        </w:rPr>
      </w:pPr>
    </w:p>
    <w:p w14:paraId="2EF93961"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Review of Common Professional Development Experiences in Agricultural Education</w:t>
      </w:r>
    </w:p>
    <w:p w14:paraId="2A1B0892"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MDR Education (2024), there are 7.7 million educators representing 265,000 institutions across the United States. Among these educators, only 15,005 are agricultural </w:t>
      </w:r>
      <w:r>
        <w:rPr>
          <w:rFonts w:ascii="Times New Roman" w:eastAsia="Times New Roman" w:hAnsi="Times New Roman" w:cs="Times New Roman"/>
          <w:sz w:val="24"/>
          <w:szCs w:val="24"/>
        </w:rPr>
        <w:lastRenderedPageBreak/>
        <w:t xml:space="preserve">educators, who teach at 9,202 programs (Smith et al., 2025). This suggests on average, a school with an agricultural education program will have 1.6 teachers responsible for providing instruction across nine agricultural education pathways (The National Council for Agricultural Education, 2023b). Schools can offer professional development and resources to teachers within their district, typically in the form of peer learning communities, keynote speakers, teaching resources, and observations. While helpful, these resources are rarely content- or context-specific; </w:t>
      </w:r>
      <w:proofErr w:type="gramStart"/>
      <w:r>
        <w:rPr>
          <w:rFonts w:ascii="Times New Roman" w:eastAsia="Times New Roman" w:hAnsi="Times New Roman" w:cs="Times New Roman"/>
          <w:sz w:val="24"/>
          <w:szCs w:val="24"/>
        </w:rPr>
        <w:t>yet,</w:t>
      </w:r>
      <w:proofErr w:type="gramEnd"/>
      <w:r>
        <w:rPr>
          <w:rFonts w:ascii="Times New Roman" w:eastAsia="Times New Roman" w:hAnsi="Times New Roman" w:cs="Times New Roman"/>
          <w:sz w:val="24"/>
          <w:szCs w:val="24"/>
        </w:rPr>
        <w:t xml:space="preserve"> this is an important need and has implications for teacher self-efficacy and retention (Booth et al., 2021). Given the limited resources faced by schools (Parry &amp; Metzger, 2023; Zhang, 2023), and the highly specialized topics addressed in the agricultural education curriculum (Roberts &amp; Ball, 2009; The National Council for Agricultural Education, 2023b), this results in teachers pursuing an increased amount of professional development outside of their school district. Agricultural educators </w:t>
      </w:r>
      <w:proofErr w:type="gramStart"/>
      <w:r>
        <w:rPr>
          <w:rFonts w:ascii="Times New Roman" w:eastAsia="Times New Roman" w:hAnsi="Times New Roman" w:cs="Times New Roman"/>
          <w:sz w:val="24"/>
          <w:szCs w:val="24"/>
        </w:rPr>
        <w:t>have the opportunity to</w:t>
      </w:r>
      <w:proofErr w:type="gramEnd"/>
      <w:r>
        <w:rPr>
          <w:rFonts w:ascii="Times New Roman" w:eastAsia="Times New Roman" w:hAnsi="Times New Roman" w:cs="Times New Roman"/>
          <w:sz w:val="24"/>
          <w:szCs w:val="24"/>
        </w:rPr>
        <w:t xml:space="preserve"> engage in a variety of professional development experiences, including those offered by the National Association of Agricultural Educators (NAAE) and its state-level associations, the Curriculum for Agricultural Science Education (CASE), virtual collaborative spaces, and industry-specific trainings or workshops.</w:t>
      </w:r>
    </w:p>
    <w:p w14:paraId="6A2483B5" w14:textId="77777777" w:rsidR="008A7C86" w:rsidRDefault="008A7C86">
      <w:pPr>
        <w:spacing w:line="240" w:lineRule="auto"/>
        <w:rPr>
          <w:rFonts w:ascii="Times New Roman" w:eastAsia="Times New Roman" w:hAnsi="Times New Roman" w:cs="Times New Roman"/>
          <w:sz w:val="24"/>
          <w:szCs w:val="24"/>
        </w:rPr>
      </w:pPr>
    </w:p>
    <w:p w14:paraId="15DD9936"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Dues-paying members of NAAE can take advantage of specialized professional development experiences while expanding their professional network. NAAE offers a range of professional development opportunities at the local, state, regional, and national levels. These experiences include workshops offered at state or national conferences, professional development cohorts such as Teacher Turn the Key and XLR8 (eXcellence in Leadership for Retention), virtual book clubs, and much more (National Association of Agricultural Educators, 2025). These experiences offer agricultural educators a specialized opportunity to interact with other teachers within their discipline, along with receiving content- or context-specific training that schools might not otherwise be able to provide (Booth et al., 2021). Presentation topics can connect to areas such as work-life balance as an agricultural educator, facilitating a quality FFA chapter officer retreat, navigating program approval within the state, or content-specific training in areas like animal science or agricultural mechanics. Needs assessments can guide the development of workshops, enabling individual NAAE members or stakeholder groups to present topics that meet the needs of the entire membership (Hainline &amp; Smalley, 2023; Smalley &amp; Smith, 2017). Given the opportunity for professional development to occur locally or nationally, teachers can engage in experiences without having to travel far each time they wish to participate (Smalley et al., 2023).</w:t>
      </w:r>
    </w:p>
    <w:p w14:paraId="714B7A04" w14:textId="77777777" w:rsidR="008A7C86" w:rsidRDefault="008A7C86">
      <w:pPr>
        <w:spacing w:line="240" w:lineRule="auto"/>
        <w:rPr>
          <w:rFonts w:ascii="Times New Roman" w:eastAsia="Times New Roman" w:hAnsi="Times New Roman" w:cs="Times New Roman"/>
          <w:sz w:val="24"/>
          <w:szCs w:val="24"/>
        </w:rPr>
      </w:pPr>
    </w:p>
    <w:p w14:paraId="7794DDA4"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NAAE, CASE provides an opportunity for agricultural educators to gain access to an interdisciplinary, transformative professional development experience and a curriculum aligned with state and national standards. Agricultural educators can attend one of up to 14 institutes, hosted either virtually or face-to-face; the training is led by experienced educators who have taught the curriculum (Curriculum for Agricultural Science Education, 2025). The training provides agricultural educators with the opportunity to learn how to effectively deliver the curriculum, enabling them to implement it when they return to their programs and do so in a way that maximizes inquiry-based learning for their students (Nelson et al., 2022). The literature has suggested the impact CASE curriculum has on students and teachers alike through building teachers’ content knowledge and ability to facilitate interdisciplinary connections across other content areas outside of agricultural education, including math, science, and language arts (McKim et al., 2017; Park &amp; Osborne, 2006a; Park &amp; Osborne, 2006b; Warner &amp; Myers, 2011), addressing this common concern among educators (Bloom et al., 2025; Tummons et al., 2020).</w:t>
      </w:r>
    </w:p>
    <w:p w14:paraId="2507D5E4"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Finally, some organizations or industries offer specialized training or professional development experiences for teachers to gain experience with content-specific topics or technologies. For example, knowing agricultural mechanics is an area of deficit among many agricultural educators (Hainline &amp; Wells, 2024; Wells &amp; Hainline, 2021; Wells et al., 2021), Briggs and Stratton has previously hosted teacher trainings, where teachers gain hands-on experiences disassembling and reassembling engines, and are then given a classroom set of engines to use in their programs (Briggs &amp; Stratton, 2025). Further, organizations such as Bayer have provided teachers with biotechnology training (Bayer, 2025). These industry-specific trainings can provide agricultural educators with hands-on resources and curriculum to reinforce their content knowledge and ability to facilitate quality, industry-aligned experiences for their students.</w:t>
      </w:r>
    </w:p>
    <w:p w14:paraId="38A5424D" w14:textId="77777777" w:rsidR="008A7C86" w:rsidRDefault="008A7C86">
      <w:pPr>
        <w:spacing w:line="240" w:lineRule="auto"/>
        <w:rPr>
          <w:rFonts w:ascii="Times New Roman" w:eastAsia="Times New Roman" w:hAnsi="Times New Roman" w:cs="Times New Roman"/>
          <w:sz w:val="24"/>
          <w:szCs w:val="24"/>
        </w:rPr>
      </w:pPr>
    </w:p>
    <w:p w14:paraId="36ED5FD6"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Role of Professional Development in Teaching and Learning</w:t>
      </w:r>
    </w:p>
    <w:p w14:paraId="4B8262BE"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development has been recognized as having the potential to make a profound impact on both teaching and learning (Booth et al., 2021; Guskey, 2002; Pedota, 2015; Shuls &amp; Flores, 2020). Garet et al. (2001) posited that the core features of professional development must be achieved for this impact to occur, and in general education settings, these generally consist of having the learning be guided by relevant content, the use of appropriate learning approaches, and having a sense of unity and coherence within the learning. However, we recognize that the content of a professional development experience, as well as the individual facilitating it, drives the learning that occurs. To explore this, Booth et al. (2021) found that content knowledge-specific professional development is instrumental to developing strong learning experiences for students; these specific experiences are content-specific and provide in-service educators with the tools needed to feel confident and prepared to facilitate quality learning experiences for youth (Pedota, 2015; Shuls &amp; Flores, 2020). However, since the discussed opportunities are among the most popular professional development experiences found in agricultural education, the prior engagement respondents might have had with these professional development experiences likely influences their perceptions of professional development.</w:t>
      </w:r>
    </w:p>
    <w:p w14:paraId="6412F03B" w14:textId="77777777" w:rsidR="008A7C86" w:rsidRDefault="008A7C86">
      <w:pPr>
        <w:spacing w:line="240" w:lineRule="auto"/>
        <w:rPr>
          <w:rFonts w:ascii="Times New Roman" w:eastAsia="Times New Roman" w:hAnsi="Times New Roman" w:cs="Times New Roman"/>
          <w:sz w:val="24"/>
          <w:szCs w:val="24"/>
        </w:rPr>
      </w:pPr>
    </w:p>
    <w:p w14:paraId="45970623"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Rich professional development has direct implications for teacher practice. Research suggests that professional development increases teachers’ content knowledge (Buczynski &amp; Hansen, 2010), their ability to implement instructional methods (Buczynski &amp; Hansen, 2010; Rice &amp; Kitchel, 2015), and student learning outcomes (Buczynski &amp; Hansen, 2010; Earley &amp; Porritt, 2013). Buczynski and Hansen (2010) found that after implementing learning from professional development, proficiency on a standardized exam increased anywhere from 3-10%. These findings were supported by a study conducted by Randel et al. (2016), which demonstrated a statistically significant impact on student learning for teachers who successfully implemented the classroom assessment for student learning framework within their classrooms. While teachers must be provided with the resources to implement what they learn (Bird &amp; Rice, 2021), if the experience is optimized for student learning (Buczynski &amp; Hansen, 2010; Earley &amp; Porritt, 2013), and it is implemented as intended by teachers (Smalley et al., 2025), there can be positive implications for student performance and teacher self-efficacy (Booth et al., 2021).</w:t>
      </w:r>
    </w:p>
    <w:p w14:paraId="4DD34C79" w14:textId="77777777" w:rsidR="008A7C86" w:rsidRDefault="008A7C86">
      <w:pPr>
        <w:spacing w:line="240" w:lineRule="auto"/>
        <w:rPr>
          <w:rFonts w:ascii="Times New Roman" w:eastAsia="Times New Roman" w:hAnsi="Times New Roman" w:cs="Times New Roman"/>
          <w:sz w:val="24"/>
          <w:szCs w:val="24"/>
        </w:rPr>
      </w:pPr>
    </w:p>
    <w:p w14:paraId="3E299D0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Conceptual Framework</w:t>
      </w:r>
    </w:p>
    <w:p w14:paraId="5D7A75BA" w14:textId="77777777" w:rsidR="008A7C86" w:rsidRDefault="008A7C86">
      <w:pPr>
        <w:spacing w:line="240" w:lineRule="auto"/>
        <w:rPr>
          <w:rFonts w:ascii="Times New Roman" w:eastAsia="Times New Roman" w:hAnsi="Times New Roman" w:cs="Times New Roman"/>
          <w:sz w:val="24"/>
          <w:szCs w:val="24"/>
        </w:rPr>
      </w:pPr>
    </w:p>
    <w:p w14:paraId="3E034C64"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Guskey’s (2002) model for teacher change serves as the conceptual framework for this work. According to his model, teacher change is elicited as a result of professional development </w:t>
      </w:r>
      <w:r>
        <w:rPr>
          <w:rFonts w:ascii="Times New Roman" w:eastAsia="Times New Roman" w:hAnsi="Times New Roman" w:cs="Times New Roman"/>
          <w:sz w:val="24"/>
          <w:szCs w:val="24"/>
        </w:rPr>
        <w:lastRenderedPageBreak/>
        <w:t>experiences, and is achieved in a progression of four areas: (a) participating in the professional development experiences, (b) undergoing a change in teachers’ classroom practices—including curriculum and instructional practices, (c) experiencing a change in student learning outcomes, and (d) experiencing a change in teachers’ beliefs and attitudes (Guskey, 2002; Figure 1).</w:t>
      </w:r>
    </w:p>
    <w:p w14:paraId="1F9680C8" w14:textId="77777777" w:rsidR="008A7C86" w:rsidRDefault="008A7C86">
      <w:pPr>
        <w:spacing w:line="240" w:lineRule="auto"/>
        <w:rPr>
          <w:rFonts w:ascii="Times New Roman" w:eastAsia="Times New Roman" w:hAnsi="Times New Roman" w:cs="Times New Roman"/>
          <w:sz w:val="24"/>
          <w:szCs w:val="24"/>
        </w:rPr>
      </w:pPr>
    </w:p>
    <w:p w14:paraId="6BD73412"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Figure 1</w:t>
      </w:r>
    </w:p>
    <w:p w14:paraId="39F59851" w14:textId="77777777" w:rsidR="008A7C86"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 Model for Teacher Change (Guskey, 2002)</w:t>
      </w:r>
    </w:p>
    <w:p w14:paraId="1DE125FB"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3340FD3" wp14:editId="2F500FAF">
            <wp:extent cx="2547938" cy="107963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547938" cy="1079635"/>
                    </a:xfrm>
                    <a:prstGeom prst="rect">
                      <a:avLst/>
                    </a:prstGeom>
                    <a:ln/>
                  </pic:spPr>
                </pic:pic>
              </a:graphicData>
            </a:graphic>
          </wp:inline>
        </w:drawing>
      </w:r>
    </w:p>
    <w:p w14:paraId="617ADDC1"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Teachers can engage in a variety of professional development experiences which equip them with the skills and knowledge necessary for success in various settings. Professional development can be content-focused, methods-focused, or a combination of both, and can take various forms, including traditional workshops, collaborative learning groups, classroom observations, and more (Easterly &amp; Myers, 2019; Guskey, 2002; Thornton et al., 2020). In addition to creating an impact and change within their own classroom, research indicates professional development can lead to greater levels of overall job satisfaction (Easterly &amp; Myers, 2019). According to Easterly and Myers (2019), professional development specific to agricultural education is perceived as the most valuable and implementable for educators, surpassing professional development targeted toward teachers in general. However, informal conversations among agricultural educators can also lead to the acquisition of professional skills.</w:t>
      </w:r>
    </w:p>
    <w:p w14:paraId="419A3192" w14:textId="77777777" w:rsidR="008A7C86" w:rsidRDefault="008A7C86">
      <w:pPr>
        <w:spacing w:line="240" w:lineRule="auto"/>
        <w:rPr>
          <w:rFonts w:ascii="Times New Roman" w:eastAsia="Times New Roman" w:hAnsi="Times New Roman" w:cs="Times New Roman"/>
          <w:sz w:val="24"/>
          <w:szCs w:val="24"/>
        </w:rPr>
      </w:pPr>
    </w:p>
    <w:p w14:paraId="536C7C90"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engaging in formal or informal professional development experiences, teachers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fulfill the first goal of professional development, eliciting a change in their classroom practices. Teachers then have the choice to apply what they have learned within their classroom. Not all teachers will implement everything they gain from every workshop or professional development experience they attend within their classroom. However, they may be able to implement a new concept, a new teaching method, a new technology, or a different classroom management strategy (Guskey, 2002). Once the modified instruction occurs, another outcome of professional development can be attained: a shift in student learning outcomes.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this shift to happen, teachers must be observant and intentional about ensuring their instruction is, in fact, modified, either in terms of content or delivery technique (Guskey, 2002). Changing the content being taught or the way it is delivered can have a direct impact on what and how students learn. After witnessing the change in student learning, a teacher’s beliefs and attitudes about the new content or teaching strategy are likely to be influenced, and this is the third main goal of professional development experiences. At this time, a reflective teacher can use this as an opportunity to reflect on what went well in their implementation and identify areas for improvement. Teachers are more likely to engage in future professional development practices once they have successfully seen positive changes within their curriculum and have a shift in their own thinking and approaches as teachers (Crandall, 1983; Guskey, 2002). Through understanding the qualities of effective professional development as part of this Delphi study, we can more readily design quality experiences to assist agricultural educators in learning more and feeling empowered to create positive change within themselves and within their programs.</w:t>
      </w:r>
    </w:p>
    <w:p w14:paraId="03F387F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Purpose and Objectives</w:t>
      </w:r>
    </w:p>
    <w:p w14:paraId="30B2E40C" w14:textId="77777777" w:rsidR="008A7C86" w:rsidRDefault="008A7C86">
      <w:pPr>
        <w:spacing w:line="240" w:lineRule="auto"/>
        <w:rPr>
          <w:rFonts w:ascii="Times New Roman" w:eastAsia="Times New Roman" w:hAnsi="Times New Roman" w:cs="Times New Roman"/>
          <w:sz w:val="24"/>
          <w:szCs w:val="24"/>
        </w:rPr>
      </w:pPr>
    </w:p>
    <w:p w14:paraId="59E35C60"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study was to identify the characteristics of effective professional development in agricultural education as indicated by a panel of agricultural education experts. This purpose was guided by three objectives: (a) To identify the characteristics of effective professional development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content, (b)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delivery and environment, and (c)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facilitator qualities.</w:t>
      </w:r>
    </w:p>
    <w:p w14:paraId="025BBBAD" w14:textId="77777777" w:rsidR="008A7C86" w:rsidRDefault="008A7C86">
      <w:pPr>
        <w:spacing w:line="240" w:lineRule="auto"/>
        <w:rPr>
          <w:rFonts w:ascii="Times New Roman" w:eastAsia="Times New Roman" w:hAnsi="Times New Roman" w:cs="Times New Roman"/>
          <w:sz w:val="24"/>
          <w:szCs w:val="24"/>
        </w:rPr>
      </w:pPr>
    </w:p>
    <w:p w14:paraId="143B857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Methods</w:t>
      </w:r>
    </w:p>
    <w:p w14:paraId="4A7AC5E6" w14:textId="77777777" w:rsidR="008A7C86" w:rsidRDefault="008A7C86">
      <w:pPr>
        <w:spacing w:line="240" w:lineRule="auto"/>
        <w:rPr>
          <w:rFonts w:ascii="Times New Roman" w:eastAsia="Times New Roman" w:hAnsi="Times New Roman" w:cs="Times New Roman"/>
          <w:sz w:val="24"/>
          <w:szCs w:val="24"/>
        </w:rPr>
      </w:pPr>
    </w:p>
    <w:p w14:paraId="6306D97A"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IRB-approved study followed a Delphi methodology. This technique was developed by the RAND Corporation in the 1940s </w:t>
      </w:r>
      <w:proofErr w:type="gramStart"/>
      <w:r>
        <w:rPr>
          <w:rFonts w:ascii="Times New Roman" w:eastAsia="Times New Roman" w:hAnsi="Times New Roman" w:cs="Times New Roman"/>
          <w:sz w:val="24"/>
          <w:szCs w:val="24"/>
        </w:rPr>
        <w:t>as a way to</w:t>
      </w:r>
      <w:proofErr w:type="gramEnd"/>
      <w:r>
        <w:rPr>
          <w:rFonts w:ascii="Times New Roman" w:eastAsia="Times New Roman" w:hAnsi="Times New Roman" w:cs="Times New Roman"/>
          <w:sz w:val="24"/>
          <w:szCs w:val="24"/>
        </w:rPr>
        <w:t xml:space="preserve"> obtain the opinions of experts within the field. The Delphi approach is cited as an efficient and organized method for systematizing opinions with the goal of reaching consensus, and it has had wide applications in the agricultural education discipline (Martin &amp; Frick, 1998; Sackman, 1974). Since a primary goal of the study was to gather the opinions of experts in agricultural education, the Delphi approach was selected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solicit these ideas and prioritize their importance within the context of agricultural education professional development.</w:t>
      </w:r>
    </w:p>
    <w:p w14:paraId="18D1FDC1" w14:textId="77777777" w:rsidR="008A7C86" w:rsidRDefault="008A7C86">
      <w:pPr>
        <w:spacing w:line="240" w:lineRule="auto"/>
        <w:rPr>
          <w:rFonts w:ascii="Times New Roman" w:eastAsia="Times New Roman" w:hAnsi="Times New Roman" w:cs="Times New Roman"/>
          <w:sz w:val="24"/>
          <w:szCs w:val="24"/>
        </w:rPr>
      </w:pPr>
    </w:p>
    <w:p w14:paraId="4B00A62F"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Respondents</w:t>
      </w:r>
    </w:p>
    <w:p w14:paraId="72F44771" w14:textId="552116B5"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September 2025, 63 experts were nominated by teacher educators and state staff members to participate. We specifically requested teacher educators and state staff to identify experts from three key groups: (a) in-service school-based agricultural educators who consistently engage in professional development, (b) professional development providers or stakeholders, and (c) agricultural education faculty members who offer a recent research focus in professional development. Ultimately, 54 experts (i.e., 18 from each group) were invited to participate</w:t>
      </w:r>
      <w:r w:rsidR="00A460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37 nominees elected to participate in the study, achieving a response rate of 68.5%. However, two experts did not participate in the study after Round 1, despite being invited to participate three times based on the recommendations of Dillman et al. (2014</w:t>
      </w:r>
      <w:r w:rsidR="00A46094">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were removed from future rounds of the study. With 35 of the 37 respondents engaging in each of the three rounds of the study, we achieved a total retention rate of 94.6%. With over 13 respondents engaging in each round of the study, this study is considered reliable (Dalkey et al., 1972). The 35 experts represented 20 states and offered an average of 13.4 years of professional experience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6.9).</w:t>
      </w:r>
    </w:p>
    <w:p w14:paraId="2065A93F" w14:textId="77777777" w:rsidR="008A7C86" w:rsidRDefault="008A7C86">
      <w:pPr>
        <w:spacing w:line="240" w:lineRule="auto"/>
        <w:rPr>
          <w:rFonts w:ascii="Times New Roman" w:eastAsia="Times New Roman" w:hAnsi="Times New Roman" w:cs="Times New Roman"/>
          <w:sz w:val="24"/>
          <w:szCs w:val="24"/>
        </w:rPr>
      </w:pPr>
    </w:p>
    <w:p w14:paraId="771A9EA4"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Collection</w:t>
      </w:r>
    </w:p>
    <w:p w14:paraId="5344E1BA"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Delphi study was designed with guidance offered by Dalkey et al. (1972), Helmer (1966), Sackman (1974), and Skulmoski et al. (2007). Round 1 of the study invited respondents to identify the characteristics of effective professional development in agricultural education contexts using an open-ended text box on a Qualtrics form. To ensure respondents had a clear understanding of what agricultural education was and what professional development was, we provided definitions of these terms. We used the definition of school-based agricultural education as developed by the National Council for Agricultural Education (2023a, para. 1):</w:t>
      </w:r>
    </w:p>
    <w:p w14:paraId="149488FF" w14:textId="77777777" w:rsidR="008A7C86" w:rsidRDefault="008A7C86">
      <w:pPr>
        <w:spacing w:line="240" w:lineRule="auto"/>
        <w:ind w:firstLine="720"/>
        <w:rPr>
          <w:rFonts w:ascii="Times New Roman" w:eastAsia="Times New Roman" w:hAnsi="Times New Roman" w:cs="Times New Roman"/>
          <w:sz w:val="12"/>
          <w:szCs w:val="12"/>
        </w:rPr>
      </w:pPr>
    </w:p>
    <w:p w14:paraId="21584BBF" w14:textId="77777777" w:rsidR="008A7C86"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systematic program of instruction available to students desiring to learn about the science, business, and technology of plant and animal production and about the environmental and natural resources systems. Students are provided opportunities for leadership development, personal growth, and career success. Agricultural education </w:t>
      </w:r>
      <w:r>
        <w:rPr>
          <w:rFonts w:ascii="Times New Roman" w:eastAsia="Times New Roman" w:hAnsi="Times New Roman" w:cs="Times New Roman"/>
          <w:sz w:val="24"/>
          <w:szCs w:val="24"/>
        </w:rPr>
        <w:lastRenderedPageBreak/>
        <w:t>instruction is delivered through three major components: classroom/laboratory instruction, SAE programs, and student leadership organizations.</w:t>
      </w:r>
    </w:p>
    <w:p w14:paraId="535E9F33" w14:textId="77777777" w:rsidR="008A7C86" w:rsidRDefault="008A7C86">
      <w:pPr>
        <w:spacing w:line="240" w:lineRule="auto"/>
        <w:ind w:left="720"/>
        <w:rPr>
          <w:rFonts w:ascii="Times New Roman" w:eastAsia="Times New Roman" w:hAnsi="Times New Roman" w:cs="Times New Roman"/>
          <w:sz w:val="12"/>
          <w:szCs w:val="12"/>
        </w:rPr>
      </w:pPr>
    </w:p>
    <w:p w14:paraId="700E45EF"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we defined professional development as, “Structured professional learning that results in changes in teacher practices and improvements in student outcomes” (Darling-Hammond et al., 2017, p. 2). These definitions were provided at the start of the Round 1 </w:t>
      </w:r>
      <w:proofErr w:type="gramStart"/>
      <w:r>
        <w:rPr>
          <w:rFonts w:ascii="Times New Roman" w:eastAsia="Times New Roman" w:hAnsi="Times New Roman" w:cs="Times New Roman"/>
          <w:sz w:val="24"/>
          <w:szCs w:val="24"/>
        </w:rPr>
        <w:t>instrument, and</w:t>
      </w:r>
      <w:proofErr w:type="gramEnd"/>
      <w:r>
        <w:rPr>
          <w:rFonts w:ascii="Times New Roman" w:eastAsia="Times New Roman" w:hAnsi="Times New Roman" w:cs="Times New Roman"/>
          <w:sz w:val="24"/>
          <w:szCs w:val="24"/>
        </w:rPr>
        <w:t xml:space="preserve"> reappeared on subsequent rounds of the study to serve as a reminder for respondents. Respondents were encouraged to provide a list of at least 15 characteristics of effective professional development in agricultural education. A total of 503 characteristics were submitted by the experts; their responses were coded and analyzed in preparation for Round 2 of the study. Characteristics were coded inductively (Thomas, 2006) and fell into seven themes. Redundant characteristics were removed during the coding process, yielding an overall total of 98 characteristics, each of which appeared on the Round 2 instrument.</w:t>
      </w:r>
    </w:p>
    <w:p w14:paraId="6E9DDCEE" w14:textId="77777777" w:rsidR="008A7C86" w:rsidRDefault="008A7C86">
      <w:pPr>
        <w:spacing w:line="240" w:lineRule="auto"/>
        <w:rPr>
          <w:rFonts w:ascii="Times New Roman" w:eastAsia="Times New Roman" w:hAnsi="Times New Roman" w:cs="Times New Roman"/>
          <w:sz w:val="24"/>
          <w:szCs w:val="24"/>
        </w:rPr>
      </w:pPr>
    </w:p>
    <w:p w14:paraId="39318116"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all respondents submitted their characteristics of effective professional development in agricultural education, </w:t>
      </w:r>
      <w:proofErr w:type="gramStart"/>
      <w:r>
        <w:rPr>
          <w:rFonts w:ascii="Times New Roman" w:eastAsia="Times New Roman" w:hAnsi="Times New Roman" w:cs="Times New Roman"/>
          <w:sz w:val="24"/>
          <w:szCs w:val="24"/>
        </w:rPr>
        <w:t>Round</w:t>
      </w:r>
      <w:proofErr w:type="gramEnd"/>
      <w:r>
        <w:rPr>
          <w:rFonts w:ascii="Times New Roman" w:eastAsia="Times New Roman" w:hAnsi="Times New Roman" w:cs="Times New Roman"/>
          <w:sz w:val="24"/>
          <w:szCs w:val="24"/>
        </w:rPr>
        <w:t xml:space="preserve"> 2 was emailed to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Round 1 respondents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37). The instrument was reviewed by a panel of experts not involved in the study to ensure content and face validity (Bryant, 2025; Thyer, 2010). Respondents were asked to evaluate the importance of each of the characteristics using a scale from 1 (i.e., strongly disagree) to 6 (i.e., strongly agree). Respondents also had an opportunity to share any points of clarification in a text box at the end of the instrument. Further, to maximize response rates, respondents were reminded to participate following the recommendations of Dillman et al. (2014). Following Round 2 analysis, 38 terms were accepted, and 46 terms were rejected; 14 characteristics that met two of the three criteria for inclusion and were retained to be evaluated once again by respondents via the Round 3 instrument (Sackman, 1974). Round 3 was distributed in the same manner as Round 2. Following Round 3 analysis, 8 terms were accepted, and 6 terms were rejected by the experts, and it was determined that no additional rounds were needed. Finally, the 35 experts were asked to confirm a draft of the finalized list of accepted terms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46). The approach to data collection follows the recommendations set forth by experts within the Delphi methodology (Dalkey et al., 1972; Helmer, 1966; Sackman, 1974; Skulmoski et al., 2007), allowing us to be confident in the rigor and transparency of the findings. Further, with representation from three key stakeholder groups and having achieved over 13 respondents throughout the study, we were able to achieve a reliability coefficient of 0.9 (Dalkey et al., 1972).</w:t>
      </w:r>
    </w:p>
    <w:p w14:paraId="3B31EEC0" w14:textId="77777777" w:rsidR="008A7C86" w:rsidRDefault="008A7C86">
      <w:pPr>
        <w:spacing w:line="240" w:lineRule="auto"/>
        <w:rPr>
          <w:rFonts w:ascii="Times New Roman" w:eastAsia="Times New Roman" w:hAnsi="Times New Roman" w:cs="Times New Roman"/>
          <w:sz w:val="24"/>
          <w:szCs w:val="24"/>
        </w:rPr>
      </w:pPr>
    </w:p>
    <w:p w14:paraId="05A119B7"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Analysis</w:t>
      </w:r>
    </w:p>
    <w:p w14:paraId="10642C6B"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Delphi methodology requires the application of both qualitative and quantitative techniques. Data analysis for preparing Round 1 was qualitative in nature. An inductive approach to coding occurred (Thomas, 2006), whereby the characteristics emerged organically from the responses shared by the experts. A codebook was developed to help organize the codes (characteristics) into themes. Further, member checking (Merriam &amp; Tisdell, 2016) occurred throughout the rounds of the study, as experts had the opportunity to clarify or ask questions using the provided text box at the end of each Qualtrics form, and provide feedback at the end of the study to confirm their approval of the 46 accepted characteristics. Further, data analysis for preparing Rounds 2 and 3 relied heavily on quantitative methods. In order to be accepted as a characteristic, it must have met three criteria established </w:t>
      </w:r>
      <w:r>
        <w:rPr>
          <w:rFonts w:ascii="Times New Roman" w:eastAsia="Times New Roman" w:hAnsi="Times New Roman" w:cs="Times New Roman"/>
          <w:i/>
          <w:iCs/>
          <w:sz w:val="24"/>
          <w:szCs w:val="24"/>
        </w:rPr>
        <w:t>a priori</w:t>
      </w:r>
      <w:r>
        <w:rPr>
          <w:rFonts w:ascii="Times New Roman" w:eastAsia="Times New Roman" w:hAnsi="Times New Roman" w:cs="Times New Roman"/>
          <w:sz w:val="24"/>
          <w:szCs w:val="24"/>
        </w:rPr>
        <w:t xml:space="preserve">: (a) the characteristic needed a mean score of at least 4.8 (Sackman, 1974), (b) the characteristic’s standard deviation needed to be less than 1.0 (Sackman, 1974; Shinn, 1998; Trexler et al., 2006), and (c) at least 75% of </w:t>
      </w:r>
      <w:r>
        <w:rPr>
          <w:rFonts w:ascii="Times New Roman" w:eastAsia="Times New Roman" w:hAnsi="Times New Roman" w:cs="Times New Roman"/>
          <w:sz w:val="24"/>
          <w:szCs w:val="24"/>
        </w:rPr>
        <w:lastRenderedPageBreak/>
        <w:t>experts needed to score the characteristic as a 5 or 6 using the provided scale (Barrios et al., 2014; Buriak &amp; Shinn, 1989; Diamond et al., 2014; Foth et al., 2016). Characteristics that met these three criteria were accepted after Round 2, characteristics that met two of these criteria were retained for use in Round 3, and characteristics that met fewer than two of these criteria were removed from the study (Sackman, 1974). After Round 3, only characteristics that met each of the three criteria were accepted; the remaining characteristics were rejected.</w:t>
      </w:r>
    </w:p>
    <w:p w14:paraId="6E08BB6B" w14:textId="77777777" w:rsidR="008A7C86" w:rsidRDefault="008A7C86">
      <w:pPr>
        <w:spacing w:line="240" w:lineRule="auto"/>
        <w:rPr>
          <w:rFonts w:ascii="Times New Roman" w:eastAsia="Times New Roman" w:hAnsi="Times New Roman" w:cs="Times New Roman"/>
          <w:sz w:val="24"/>
          <w:szCs w:val="24"/>
        </w:rPr>
      </w:pPr>
    </w:p>
    <w:p w14:paraId="600ADAB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Results</w:t>
      </w:r>
    </w:p>
    <w:p w14:paraId="1B74F559" w14:textId="77777777" w:rsidR="008A7C86" w:rsidRDefault="008A7C86">
      <w:pPr>
        <w:spacing w:line="240" w:lineRule="auto"/>
        <w:rPr>
          <w:rFonts w:ascii="Times New Roman" w:eastAsia="Times New Roman" w:hAnsi="Times New Roman" w:cs="Times New Roman"/>
          <w:sz w:val="24"/>
          <w:szCs w:val="24"/>
        </w:rPr>
      </w:pPr>
    </w:p>
    <w:p w14:paraId="70F51585"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three rounds of the study, 46 characteristics across four themes were ultimately accepted as the characteristics of effective professional development in agricultural education. These characteristics, along with their corresponding mean ratings, standard deviations, and percent agreement among the experts, can be reviewed in Tables 1 through 4.</w:t>
      </w:r>
    </w:p>
    <w:p w14:paraId="05478662" w14:textId="77777777" w:rsidR="008A7C86" w:rsidRDefault="008A7C86">
      <w:pPr>
        <w:spacing w:line="240" w:lineRule="auto"/>
        <w:rPr>
          <w:rFonts w:ascii="Times New Roman" w:eastAsia="Times New Roman" w:hAnsi="Times New Roman" w:cs="Times New Roman"/>
          <w:sz w:val="24"/>
          <w:szCs w:val="24"/>
        </w:rPr>
      </w:pPr>
    </w:p>
    <w:p w14:paraId="23FB02D8"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1: Characteristics of Professional Development (Content)</w:t>
      </w:r>
    </w:p>
    <w:p w14:paraId="6FA8D682"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theme concerning content-based characteristics of professional development, 11 characteristics achieved consensus. Content-based characteristics are concerned with the specific topics and information being delivered within the professional development. While we acknowledge that no two professional development experiences are identical, the characteristics included within this theme are broadly defined and can be used to evaluate nearly any professional development experience related to agricultural education. Among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characteristics accepted in the study, professional development relevant to participants emerged as the characteristic with the greatest mean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5.71), the lowest standard deviation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0.52), and the highest percent agreement (</w:t>
      </w:r>
      <w:r>
        <w:rPr>
          <w:rFonts w:ascii="Times New Roman" w:eastAsia="Times New Roman" w:hAnsi="Times New Roman" w:cs="Times New Roman"/>
          <w:i/>
          <w:iCs/>
          <w:sz w:val="24"/>
          <w:szCs w:val="24"/>
        </w:rPr>
        <w:t>f</w:t>
      </w:r>
      <w:r>
        <w:rPr>
          <w:rFonts w:ascii="Times New Roman" w:eastAsia="Times New Roman" w:hAnsi="Times New Roman" w:cs="Times New Roman"/>
          <w:sz w:val="24"/>
          <w:szCs w:val="24"/>
        </w:rPr>
        <w:t xml:space="preserve"> = 97.14%). Further, the content being feasible to implement in programs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0.78), and the content addressing a key challenge or need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5.46;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0.74) emerged as other high-scoring characteristics within this theme (see Table 1).</w:t>
      </w:r>
    </w:p>
    <w:p w14:paraId="3B3A225A" w14:textId="77777777" w:rsidR="008A7C86" w:rsidRDefault="008A7C86">
      <w:pPr>
        <w:spacing w:line="240" w:lineRule="auto"/>
        <w:rPr>
          <w:rFonts w:ascii="Times New Roman" w:eastAsia="Times New Roman" w:hAnsi="Times New Roman" w:cs="Times New Roman"/>
          <w:sz w:val="24"/>
          <w:szCs w:val="24"/>
        </w:rPr>
      </w:pPr>
    </w:p>
    <w:p w14:paraId="4044AA8A"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w:t>
      </w:r>
    </w:p>
    <w:p w14:paraId="254F53CA" w14:textId="77777777" w:rsidR="008A7C86"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content-based characteristics (n = 35)</w:t>
      </w:r>
    </w:p>
    <w:tbl>
      <w:tblPr>
        <w:tblStyle w:val="a"/>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8A7C86" w14:paraId="2EA88945" w14:textId="77777777" w:rsidTr="00A46094">
        <w:trPr>
          <w:trHeight w:val="274"/>
        </w:trPr>
        <w:tc>
          <w:tcPr>
            <w:tcW w:w="6840" w:type="dxa"/>
            <w:tcBorders>
              <w:top w:val="single" w:sz="6" w:space="0" w:color="000000"/>
              <w:bottom w:val="single" w:sz="8" w:space="0" w:color="000000"/>
            </w:tcBorders>
            <w:tcMar>
              <w:top w:w="0" w:type="dxa"/>
              <w:bottom w:w="0" w:type="dxa"/>
            </w:tcMar>
            <w:vAlign w:val="center"/>
          </w:tcPr>
          <w:p w14:paraId="6F4E362F"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2681A60E" w14:textId="77777777" w:rsidR="008A7C86"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56CC4006" w14:textId="77777777" w:rsidR="008A7C86"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74C1175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8A7C86" w14:paraId="6E1F6023"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12A6E5E0"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Relevant to participants</w:t>
            </w:r>
          </w:p>
        </w:tc>
        <w:tc>
          <w:tcPr>
            <w:tcW w:w="648" w:type="dxa"/>
            <w:tcBorders>
              <w:top w:val="nil"/>
              <w:left w:val="nil"/>
              <w:bottom w:val="nil"/>
              <w:right w:val="nil"/>
            </w:tcBorders>
            <w:tcMar>
              <w:top w:w="0" w:type="dxa"/>
              <w:left w:w="0" w:type="dxa"/>
              <w:bottom w:w="0" w:type="dxa"/>
              <w:right w:w="0" w:type="dxa"/>
            </w:tcMar>
            <w:vAlign w:val="bottom"/>
          </w:tcPr>
          <w:p w14:paraId="27CD72A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5.71</w:t>
            </w:r>
          </w:p>
        </w:tc>
        <w:tc>
          <w:tcPr>
            <w:tcW w:w="648" w:type="dxa"/>
            <w:tcBorders>
              <w:top w:val="nil"/>
              <w:left w:val="nil"/>
              <w:bottom w:val="nil"/>
              <w:right w:val="nil"/>
            </w:tcBorders>
            <w:tcMar>
              <w:top w:w="0" w:type="dxa"/>
              <w:left w:w="0" w:type="dxa"/>
              <w:bottom w:w="0" w:type="dxa"/>
              <w:right w:w="0" w:type="dxa"/>
            </w:tcMar>
            <w:vAlign w:val="bottom"/>
          </w:tcPr>
          <w:p w14:paraId="0FB3636E"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0.52</w:t>
            </w:r>
          </w:p>
        </w:tc>
        <w:tc>
          <w:tcPr>
            <w:tcW w:w="1296" w:type="dxa"/>
            <w:tcBorders>
              <w:top w:val="nil"/>
              <w:left w:val="nil"/>
              <w:bottom w:val="nil"/>
              <w:right w:val="nil"/>
            </w:tcBorders>
            <w:tcMar>
              <w:top w:w="0" w:type="dxa"/>
              <w:left w:w="0" w:type="dxa"/>
              <w:bottom w:w="0" w:type="dxa"/>
              <w:right w:w="0" w:type="dxa"/>
            </w:tcMar>
            <w:vAlign w:val="bottom"/>
          </w:tcPr>
          <w:p w14:paraId="6FFA3DBD"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97.14%</w:t>
            </w:r>
          </w:p>
        </w:tc>
      </w:tr>
      <w:tr w:rsidR="008A7C86" w14:paraId="22CE60CB"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44B80EE2"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Feasible to implement in agricultural education programs</w:t>
            </w:r>
          </w:p>
        </w:tc>
        <w:tc>
          <w:tcPr>
            <w:tcW w:w="648" w:type="dxa"/>
            <w:tcBorders>
              <w:top w:val="nil"/>
              <w:left w:val="nil"/>
              <w:bottom w:val="nil"/>
              <w:right w:val="nil"/>
            </w:tcBorders>
            <w:tcMar>
              <w:top w:w="0" w:type="dxa"/>
              <w:left w:w="0" w:type="dxa"/>
              <w:bottom w:w="0" w:type="dxa"/>
              <w:right w:w="0" w:type="dxa"/>
            </w:tcMar>
            <w:vAlign w:val="bottom"/>
          </w:tcPr>
          <w:p w14:paraId="641FCAC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5.54</w:t>
            </w:r>
          </w:p>
        </w:tc>
        <w:tc>
          <w:tcPr>
            <w:tcW w:w="648" w:type="dxa"/>
            <w:tcBorders>
              <w:top w:val="nil"/>
              <w:left w:val="nil"/>
              <w:bottom w:val="nil"/>
              <w:right w:val="nil"/>
            </w:tcBorders>
            <w:tcMar>
              <w:top w:w="0" w:type="dxa"/>
              <w:left w:w="0" w:type="dxa"/>
              <w:bottom w:w="0" w:type="dxa"/>
              <w:right w:w="0" w:type="dxa"/>
            </w:tcMar>
            <w:vAlign w:val="bottom"/>
          </w:tcPr>
          <w:p w14:paraId="32B3ADA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w:t>
            </w:r>
          </w:p>
        </w:tc>
        <w:tc>
          <w:tcPr>
            <w:tcW w:w="1296" w:type="dxa"/>
            <w:tcBorders>
              <w:top w:val="nil"/>
              <w:left w:val="nil"/>
              <w:bottom w:val="nil"/>
              <w:right w:val="nil"/>
            </w:tcBorders>
            <w:tcMar>
              <w:top w:w="0" w:type="dxa"/>
              <w:left w:w="0" w:type="dxa"/>
              <w:bottom w:w="0" w:type="dxa"/>
              <w:right w:w="0" w:type="dxa"/>
            </w:tcMar>
            <w:vAlign w:val="bottom"/>
          </w:tcPr>
          <w:p w14:paraId="3219CCB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88.57%</w:t>
            </w:r>
          </w:p>
        </w:tc>
      </w:tr>
      <w:tr w:rsidR="008A7C86" w14:paraId="0459ED7C"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626411F4"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Addresses a key challenge or need expressed by participants</w:t>
            </w:r>
          </w:p>
        </w:tc>
        <w:tc>
          <w:tcPr>
            <w:tcW w:w="648" w:type="dxa"/>
            <w:tcBorders>
              <w:top w:val="nil"/>
              <w:left w:val="nil"/>
              <w:bottom w:val="nil"/>
              <w:right w:val="nil"/>
            </w:tcBorders>
            <w:tcMar>
              <w:top w:w="0" w:type="dxa"/>
              <w:left w:w="0" w:type="dxa"/>
              <w:bottom w:w="0" w:type="dxa"/>
              <w:right w:w="0" w:type="dxa"/>
            </w:tcMar>
            <w:vAlign w:val="bottom"/>
          </w:tcPr>
          <w:p w14:paraId="34119F0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5.46</w:t>
            </w:r>
          </w:p>
        </w:tc>
        <w:tc>
          <w:tcPr>
            <w:tcW w:w="648" w:type="dxa"/>
            <w:tcBorders>
              <w:top w:val="nil"/>
              <w:left w:val="nil"/>
              <w:bottom w:val="nil"/>
              <w:right w:val="nil"/>
            </w:tcBorders>
            <w:tcMar>
              <w:top w:w="0" w:type="dxa"/>
              <w:left w:w="0" w:type="dxa"/>
              <w:bottom w:w="0" w:type="dxa"/>
              <w:right w:w="0" w:type="dxa"/>
            </w:tcMar>
            <w:vAlign w:val="bottom"/>
          </w:tcPr>
          <w:p w14:paraId="230F6E4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0.74</w:t>
            </w:r>
          </w:p>
        </w:tc>
        <w:tc>
          <w:tcPr>
            <w:tcW w:w="1296" w:type="dxa"/>
            <w:tcBorders>
              <w:top w:val="nil"/>
              <w:left w:val="nil"/>
              <w:bottom w:val="nil"/>
              <w:right w:val="nil"/>
            </w:tcBorders>
            <w:tcMar>
              <w:top w:w="0" w:type="dxa"/>
              <w:left w:w="0" w:type="dxa"/>
              <w:bottom w:w="0" w:type="dxa"/>
              <w:right w:w="0" w:type="dxa"/>
            </w:tcMar>
            <w:vAlign w:val="bottom"/>
          </w:tcPr>
          <w:p w14:paraId="2207126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91.43%</w:t>
            </w:r>
          </w:p>
        </w:tc>
      </w:tr>
      <w:tr w:rsidR="008A7C86" w14:paraId="30547A5D" w14:textId="77777777">
        <w:tc>
          <w:tcPr>
            <w:tcW w:w="6840" w:type="dxa"/>
            <w:tcBorders>
              <w:top w:val="nil"/>
              <w:left w:val="nil"/>
              <w:bottom w:val="nil"/>
              <w:right w:val="nil"/>
            </w:tcBorders>
            <w:tcMar>
              <w:top w:w="0" w:type="dxa"/>
              <w:left w:w="100" w:type="dxa"/>
              <w:bottom w:w="0" w:type="dxa"/>
              <w:right w:w="100" w:type="dxa"/>
            </w:tcMar>
            <w:vAlign w:val="center"/>
          </w:tcPr>
          <w:p w14:paraId="08F86F63"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Focused on participant growth</w:t>
            </w:r>
          </w:p>
        </w:tc>
        <w:tc>
          <w:tcPr>
            <w:tcW w:w="648" w:type="dxa"/>
            <w:tcBorders>
              <w:top w:val="nil"/>
              <w:left w:val="nil"/>
              <w:bottom w:val="nil"/>
              <w:right w:val="nil"/>
            </w:tcBorders>
            <w:tcMar>
              <w:top w:w="0" w:type="dxa"/>
              <w:left w:w="0" w:type="dxa"/>
              <w:bottom w:w="0" w:type="dxa"/>
              <w:right w:w="0" w:type="dxa"/>
            </w:tcMar>
            <w:vAlign w:val="bottom"/>
          </w:tcPr>
          <w:p w14:paraId="3DD5EB6D"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5.31</w:t>
            </w:r>
          </w:p>
        </w:tc>
        <w:tc>
          <w:tcPr>
            <w:tcW w:w="648" w:type="dxa"/>
            <w:tcBorders>
              <w:top w:val="nil"/>
              <w:left w:val="nil"/>
              <w:bottom w:val="nil"/>
              <w:right w:val="nil"/>
            </w:tcBorders>
            <w:tcMar>
              <w:top w:w="0" w:type="dxa"/>
              <w:left w:w="0" w:type="dxa"/>
              <w:bottom w:w="0" w:type="dxa"/>
              <w:right w:w="0" w:type="dxa"/>
            </w:tcMar>
            <w:vAlign w:val="bottom"/>
          </w:tcPr>
          <w:p w14:paraId="52B592D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0.63</w:t>
            </w:r>
          </w:p>
        </w:tc>
        <w:tc>
          <w:tcPr>
            <w:tcW w:w="1296" w:type="dxa"/>
            <w:tcBorders>
              <w:top w:val="nil"/>
              <w:left w:val="nil"/>
              <w:bottom w:val="nil"/>
              <w:right w:val="nil"/>
            </w:tcBorders>
            <w:tcMar>
              <w:top w:w="0" w:type="dxa"/>
              <w:left w:w="0" w:type="dxa"/>
              <w:bottom w:w="0" w:type="dxa"/>
              <w:right w:w="0" w:type="dxa"/>
            </w:tcMar>
            <w:vAlign w:val="bottom"/>
          </w:tcPr>
          <w:p w14:paraId="1ACFC8B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91.43%</w:t>
            </w:r>
          </w:p>
        </w:tc>
      </w:tr>
      <w:tr w:rsidR="008A7C86" w14:paraId="1E66470F" w14:textId="77777777">
        <w:tc>
          <w:tcPr>
            <w:tcW w:w="6840" w:type="dxa"/>
            <w:tcBorders>
              <w:top w:val="nil"/>
              <w:left w:val="nil"/>
              <w:bottom w:val="nil"/>
              <w:right w:val="nil"/>
            </w:tcBorders>
            <w:tcMar>
              <w:top w:w="0" w:type="dxa"/>
              <w:left w:w="100" w:type="dxa"/>
              <w:bottom w:w="0" w:type="dxa"/>
              <w:right w:w="100" w:type="dxa"/>
            </w:tcMar>
            <w:vAlign w:val="center"/>
          </w:tcPr>
          <w:p w14:paraId="33E6FFC0"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Appropriate level of rigor</w:t>
            </w:r>
          </w:p>
        </w:tc>
        <w:tc>
          <w:tcPr>
            <w:tcW w:w="648" w:type="dxa"/>
            <w:tcBorders>
              <w:top w:val="nil"/>
              <w:left w:val="nil"/>
              <w:bottom w:val="nil"/>
              <w:right w:val="nil"/>
            </w:tcBorders>
            <w:tcMar>
              <w:top w:w="0" w:type="dxa"/>
              <w:left w:w="0" w:type="dxa"/>
              <w:bottom w:w="0" w:type="dxa"/>
              <w:right w:w="0" w:type="dxa"/>
            </w:tcMar>
            <w:vAlign w:val="bottom"/>
          </w:tcPr>
          <w:p w14:paraId="3FEE4AE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5.31</w:t>
            </w:r>
          </w:p>
        </w:tc>
        <w:tc>
          <w:tcPr>
            <w:tcW w:w="648" w:type="dxa"/>
            <w:tcBorders>
              <w:top w:val="nil"/>
              <w:left w:val="nil"/>
              <w:bottom w:val="nil"/>
              <w:right w:val="nil"/>
            </w:tcBorders>
            <w:tcMar>
              <w:top w:w="0" w:type="dxa"/>
              <w:left w:w="0" w:type="dxa"/>
              <w:bottom w:w="0" w:type="dxa"/>
              <w:right w:w="0" w:type="dxa"/>
            </w:tcMar>
            <w:vAlign w:val="bottom"/>
          </w:tcPr>
          <w:p w14:paraId="33BC7E2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0.87</w:t>
            </w:r>
          </w:p>
        </w:tc>
        <w:tc>
          <w:tcPr>
            <w:tcW w:w="1296" w:type="dxa"/>
            <w:tcBorders>
              <w:top w:val="nil"/>
              <w:left w:val="nil"/>
              <w:bottom w:val="nil"/>
              <w:right w:val="nil"/>
            </w:tcBorders>
            <w:tcMar>
              <w:top w:w="0" w:type="dxa"/>
              <w:left w:w="0" w:type="dxa"/>
              <w:bottom w:w="0" w:type="dxa"/>
              <w:right w:w="0" w:type="dxa"/>
            </w:tcMar>
            <w:vAlign w:val="bottom"/>
          </w:tcPr>
          <w:p w14:paraId="61413A4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8A7C86" w14:paraId="2AD8B0F3" w14:textId="77777777">
        <w:tc>
          <w:tcPr>
            <w:tcW w:w="6840" w:type="dxa"/>
            <w:tcBorders>
              <w:top w:val="nil"/>
              <w:left w:val="nil"/>
              <w:bottom w:val="nil"/>
              <w:right w:val="nil"/>
            </w:tcBorders>
            <w:tcMar>
              <w:top w:w="0" w:type="dxa"/>
              <w:left w:w="100" w:type="dxa"/>
              <w:bottom w:w="0" w:type="dxa"/>
              <w:right w:w="100" w:type="dxa"/>
            </w:tcMar>
            <w:vAlign w:val="center"/>
          </w:tcPr>
          <w:p w14:paraId="54C0CEEF"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Aligned with best practices in teaching and learning</w:t>
            </w:r>
          </w:p>
        </w:tc>
        <w:tc>
          <w:tcPr>
            <w:tcW w:w="648" w:type="dxa"/>
            <w:tcBorders>
              <w:top w:val="nil"/>
              <w:left w:val="nil"/>
              <w:bottom w:val="nil"/>
              <w:right w:val="nil"/>
            </w:tcBorders>
            <w:tcMar>
              <w:top w:w="0" w:type="dxa"/>
              <w:left w:w="0" w:type="dxa"/>
              <w:bottom w:w="0" w:type="dxa"/>
              <w:right w:w="0" w:type="dxa"/>
            </w:tcMar>
            <w:vAlign w:val="bottom"/>
          </w:tcPr>
          <w:p w14:paraId="03CF816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5.20</w:t>
            </w:r>
          </w:p>
        </w:tc>
        <w:tc>
          <w:tcPr>
            <w:tcW w:w="648" w:type="dxa"/>
            <w:tcBorders>
              <w:top w:val="nil"/>
              <w:left w:val="nil"/>
              <w:bottom w:val="nil"/>
              <w:right w:val="nil"/>
            </w:tcBorders>
            <w:tcMar>
              <w:top w:w="0" w:type="dxa"/>
              <w:left w:w="0" w:type="dxa"/>
              <w:bottom w:w="0" w:type="dxa"/>
              <w:right w:w="0" w:type="dxa"/>
            </w:tcMar>
            <w:vAlign w:val="bottom"/>
          </w:tcPr>
          <w:p w14:paraId="4AA48A2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0.87</w:t>
            </w:r>
          </w:p>
        </w:tc>
        <w:tc>
          <w:tcPr>
            <w:tcW w:w="1296" w:type="dxa"/>
            <w:tcBorders>
              <w:top w:val="nil"/>
              <w:left w:val="nil"/>
              <w:bottom w:val="nil"/>
              <w:right w:val="nil"/>
            </w:tcBorders>
            <w:tcMar>
              <w:top w:w="0" w:type="dxa"/>
              <w:left w:w="0" w:type="dxa"/>
              <w:bottom w:w="0" w:type="dxa"/>
              <w:right w:w="0" w:type="dxa"/>
            </w:tcMar>
            <w:vAlign w:val="bottom"/>
          </w:tcPr>
          <w:p w14:paraId="2554374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82.86%</w:t>
            </w:r>
          </w:p>
        </w:tc>
      </w:tr>
      <w:tr w:rsidR="008A7C86" w14:paraId="2CD51951" w14:textId="77777777">
        <w:tc>
          <w:tcPr>
            <w:tcW w:w="6840" w:type="dxa"/>
            <w:tcBorders>
              <w:top w:val="nil"/>
              <w:left w:val="nil"/>
              <w:bottom w:val="nil"/>
              <w:right w:val="nil"/>
            </w:tcBorders>
            <w:tcMar>
              <w:top w:w="0" w:type="dxa"/>
              <w:left w:w="100" w:type="dxa"/>
              <w:bottom w:w="0" w:type="dxa"/>
              <w:right w:w="100" w:type="dxa"/>
            </w:tcMar>
            <w:vAlign w:val="center"/>
          </w:tcPr>
          <w:p w14:paraId="5609292D"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Classroom- or program-tested and proven to work</w:t>
            </w:r>
          </w:p>
        </w:tc>
        <w:tc>
          <w:tcPr>
            <w:tcW w:w="648" w:type="dxa"/>
            <w:tcBorders>
              <w:top w:val="nil"/>
              <w:left w:val="nil"/>
              <w:bottom w:val="nil"/>
              <w:right w:val="nil"/>
            </w:tcBorders>
            <w:tcMar>
              <w:top w:w="0" w:type="dxa"/>
              <w:left w:w="0" w:type="dxa"/>
              <w:bottom w:w="0" w:type="dxa"/>
              <w:right w:w="0" w:type="dxa"/>
            </w:tcMar>
            <w:vAlign w:val="bottom"/>
          </w:tcPr>
          <w:p w14:paraId="387D8774"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5.17</w:t>
            </w:r>
          </w:p>
        </w:tc>
        <w:tc>
          <w:tcPr>
            <w:tcW w:w="648" w:type="dxa"/>
            <w:tcBorders>
              <w:top w:val="nil"/>
              <w:left w:val="nil"/>
              <w:bottom w:val="nil"/>
              <w:right w:val="nil"/>
            </w:tcBorders>
            <w:tcMar>
              <w:top w:w="0" w:type="dxa"/>
              <w:left w:w="0" w:type="dxa"/>
              <w:bottom w:w="0" w:type="dxa"/>
              <w:right w:w="0" w:type="dxa"/>
            </w:tcMar>
            <w:vAlign w:val="bottom"/>
          </w:tcPr>
          <w:p w14:paraId="42C23A64"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top w:val="nil"/>
              <w:left w:val="nil"/>
              <w:bottom w:val="nil"/>
              <w:right w:val="nil"/>
            </w:tcBorders>
            <w:tcMar>
              <w:top w:w="0" w:type="dxa"/>
              <w:left w:w="0" w:type="dxa"/>
              <w:bottom w:w="0" w:type="dxa"/>
              <w:right w:w="0" w:type="dxa"/>
            </w:tcMar>
            <w:vAlign w:val="bottom"/>
          </w:tcPr>
          <w:p w14:paraId="3046F295"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82.86%</w:t>
            </w:r>
          </w:p>
        </w:tc>
      </w:tr>
      <w:tr w:rsidR="008A7C86" w14:paraId="35FDF9EA" w14:textId="77777777">
        <w:tc>
          <w:tcPr>
            <w:tcW w:w="6840" w:type="dxa"/>
            <w:tcBorders>
              <w:top w:val="nil"/>
              <w:left w:val="nil"/>
              <w:bottom w:val="nil"/>
              <w:right w:val="nil"/>
            </w:tcBorders>
            <w:tcMar>
              <w:top w:w="0" w:type="dxa"/>
              <w:left w:w="100" w:type="dxa"/>
              <w:bottom w:w="0" w:type="dxa"/>
              <w:right w:w="100" w:type="dxa"/>
            </w:tcMar>
            <w:vAlign w:val="center"/>
          </w:tcPr>
          <w:p w14:paraId="06391471"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Timely</w:t>
            </w:r>
          </w:p>
        </w:tc>
        <w:tc>
          <w:tcPr>
            <w:tcW w:w="648" w:type="dxa"/>
            <w:tcBorders>
              <w:top w:val="nil"/>
              <w:left w:val="nil"/>
              <w:bottom w:val="nil"/>
              <w:right w:val="nil"/>
            </w:tcBorders>
            <w:tcMar>
              <w:top w:w="0" w:type="dxa"/>
              <w:left w:w="0" w:type="dxa"/>
              <w:bottom w:w="0" w:type="dxa"/>
              <w:right w:w="0" w:type="dxa"/>
            </w:tcMar>
            <w:vAlign w:val="bottom"/>
          </w:tcPr>
          <w:p w14:paraId="56D1E8A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5.14</w:t>
            </w:r>
          </w:p>
        </w:tc>
        <w:tc>
          <w:tcPr>
            <w:tcW w:w="648" w:type="dxa"/>
            <w:tcBorders>
              <w:top w:val="nil"/>
              <w:left w:val="nil"/>
              <w:bottom w:val="nil"/>
              <w:right w:val="nil"/>
            </w:tcBorders>
            <w:tcMar>
              <w:top w:w="0" w:type="dxa"/>
              <w:left w:w="0" w:type="dxa"/>
              <w:bottom w:w="0" w:type="dxa"/>
              <w:right w:w="0" w:type="dxa"/>
            </w:tcMar>
            <w:vAlign w:val="bottom"/>
          </w:tcPr>
          <w:p w14:paraId="4DD6171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0.88</w:t>
            </w:r>
          </w:p>
        </w:tc>
        <w:tc>
          <w:tcPr>
            <w:tcW w:w="1296" w:type="dxa"/>
            <w:tcBorders>
              <w:top w:val="nil"/>
              <w:left w:val="nil"/>
              <w:bottom w:val="nil"/>
              <w:right w:val="nil"/>
            </w:tcBorders>
            <w:tcMar>
              <w:top w:w="0" w:type="dxa"/>
              <w:left w:w="0" w:type="dxa"/>
              <w:bottom w:w="0" w:type="dxa"/>
              <w:right w:w="0" w:type="dxa"/>
            </w:tcMar>
            <w:vAlign w:val="bottom"/>
          </w:tcPr>
          <w:p w14:paraId="2940CCCF"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8A7C86" w14:paraId="27339D73" w14:textId="77777777">
        <w:tc>
          <w:tcPr>
            <w:tcW w:w="6840" w:type="dxa"/>
            <w:tcBorders>
              <w:top w:val="nil"/>
              <w:left w:val="nil"/>
              <w:bottom w:val="nil"/>
              <w:right w:val="nil"/>
            </w:tcBorders>
            <w:tcMar>
              <w:top w:w="0" w:type="dxa"/>
              <w:left w:w="100" w:type="dxa"/>
              <w:bottom w:w="0" w:type="dxa"/>
              <w:right w:w="100" w:type="dxa"/>
            </w:tcMar>
            <w:vAlign w:val="center"/>
          </w:tcPr>
          <w:p w14:paraId="6B69623E"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Focused on improving student outcomes</w:t>
            </w:r>
          </w:p>
        </w:tc>
        <w:tc>
          <w:tcPr>
            <w:tcW w:w="648" w:type="dxa"/>
            <w:tcBorders>
              <w:top w:val="nil"/>
              <w:left w:val="nil"/>
              <w:bottom w:val="nil"/>
              <w:right w:val="nil"/>
            </w:tcBorders>
            <w:tcMar>
              <w:top w:w="0" w:type="dxa"/>
              <w:left w:w="0" w:type="dxa"/>
              <w:bottom w:w="0" w:type="dxa"/>
              <w:right w:w="0" w:type="dxa"/>
            </w:tcMar>
            <w:vAlign w:val="bottom"/>
          </w:tcPr>
          <w:p w14:paraId="44EAD55E"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5.06</w:t>
            </w:r>
          </w:p>
        </w:tc>
        <w:tc>
          <w:tcPr>
            <w:tcW w:w="648" w:type="dxa"/>
            <w:tcBorders>
              <w:top w:val="nil"/>
              <w:left w:val="nil"/>
              <w:bottom w:val="nil"/>
              <w:right w:val="nil"/>
            </w:tcBorders>
            <w:tcMar>
              <w:top w:w="0" w:type="dxa"/>
              <w:left w:w="0" w:type="dxa"/>
              <w:bottom w:w="0" w:type="dxa"/>
              <w:right w:w="0" w:type="dxa"/>
            </w:tcMar>
            <w:vAlign w:val="bottom"/>
          </w:tcPr>
          <w:p w14:paraId="00083FE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0.91</w:t>
            </w:r>
          </w:p>
        </w:tc>
        <w:tc>
          <w:tcPr>
            <w:tcW w:w="1296" w:type="dxa"/>
            <w:tcBorders>
              <w:top w:val="nil"/>
              <w:left w:val="nil"/>
              <w:bottom w:val="nil"/>
              <w:right w:val="nil"/>
            </w:tcBorders>
            <w:tcMar>
              <w:top w:w="0" w:type="dxa"/>
              <w:left w:w="0" w:type="dxa"/>
              <w:bottom w:w="0" w:type="dxa"/>
              <w:right w:w="0" w:type="dxa"/>
            </w:tcMar>
            <w:vAlign w:val="bottom"/>
          </w:tcPr>
          <w:p w14:paraId="5788691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8A7C86" w14:paraId="4EF55804" w14:textId="77777777">
        <w:tc>
          <w:tcPr>
            <w:tcW w:w="6840" w:type="dxa"/>
            <w:tcBorders>
              <w:top w:val="nil"/>
              <w:left w:val="nil"/>
              <w:bottom w:val="nil"/>
              <w:right w:val="nil"/>
            </w:tcBorders>
            <w:tcMar>
              <w:top w:w="0" w:type="dxa"/>
              <w:left w:w="100" w:type="dxa"/>
              <w:bottom w:w="0" w:type="dxa"/>
              <w:right w:w="100" w:type="dxa"/>
            </w:tcMar>
            <w:vAlign w:val="center"/>
          </w:tcPr>
          <w:p w14:paraId="022C17F4"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Aligned with agricultural education content or management</w:t>
            </w:r>
          </w:p>
        </w:tc>
        <w:tc>
          <w:tcPr>
            <w:tcW w:w="648" w:type="dxa"/>
            <w:tcBorders>
              <w:top w:val="nil"/>
              <w:left w:val="nil"/>
              <w:bottom w:val="nil"/>
              <w:right w:val="nil"/>
            </w:tcBorders>
            <w:tcMar>
              <w:top w:w="0" w:type="dxa"/>
              <w:left w:w="0" w:type="dxa"/>
              <w:bottom w:w="0" w:type="dxa"/>
              <w:right w:w="0" w:type="dxa"/>
            </w:tcMar>
            <w:vAlign w:val="bottom"/>
          </w:tcPr>
          <w:p w14:paraId="709F9094"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5.03</w:t>
            </w:r>
          </w:p>
        </w:tc>
        <w:tc>
          <w:tcPr>
            <w:tcW w:w="648" w:type="dxa"/>
            <w:tcBorders>
              <w:top w:val="nil"/>
              <w:left w:val="nil"/>
              <w:bottom w:val="nil"/>
              <w:right w:val="nil"/>
            </w:tcBorders>
            <w:tcMar>
              <w:top w:w="0" w:type="dxa"/>
              <w:left w:w="0" w:type="dxa"/>
              <w:bottom w:w="0" w:type="dxa"/>
              <w:right w:w="0" w:type="dxa"/>
            </w:tcMar>
            <w:vAlign w:val="bottom"/>
          </w:tcPr>
          <w:p w14:paraId="347A6CAA"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0.75</w:t>
            </w:r>
          </w:p>
        </w:tc>
        <w:tc>
          <w:tcPr>
            <w:tcW w:w="1296" w:type="dxa"/>
            <w:tcBorders>
              <w:top w:val="nil"/>
              <w:left w:val="nil"/>
              <w:bottom w:val="nil"/>
              <w:right w:val="nil"/>
            </w:tcBorders>
            <w:tcMar>
              <w:top w:w="0" w:type="dxa"/>
              <w:left w:w="0" w:type="dxa"/>
              <w:bottom w:w="0" w:type="dxa"/>
              <w:right w:w="0" w:type="dxa"/>
            </w:tcMar>
            <w:vAlign w:val="bottom"/>
          </w:tcPr>
          <w:p w14:paraId="57A779B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8A7C86" w14:paraId="02AE3117" w14:textId="77777777">
        <w:tc>
          <w:tcPr>
            <w:tcW w:w="6840" w:type="dxa"/>
            <w:tcBorders>
              <w:left w:val="nil"/>
              <w:bottom w:val="single" w:sz="6" w:space="0" w:color="000000"/>
              <w:right w:val="nil"/>
            </w:tcBorders>
            <w:tcMar>
              <w:top w:w="0" w:type="dxa"/>
              <w:left w:w="100" w:type="dxa"/>
              <w:bottom w:w="0" w:type="dxa"/>
              <w:right w:w="100" w:type="dxa"/>
            </w:tcMar>
            <w:vAlign w:val="center"/>
          </w:tcPr>
          <w:p w14:paraId="353E78EE"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Aligned with the needs of the local agricultural industry</w:t>
            </w:r>
          </w:p>
        </w:tc>
        <w:tc>
          <w:tcPr>
            <w:tcW w:w="648" w:type="dxa"/>
            <w:tcBorders>
              <w:top w:val="nil"/>
              <w:left w:val="nil"/>
              <w:bottom w:val="single" w:sz="6" w:space="0" w:color="000000"/>
              <w:right w:val="nil"/>
            </w:tcBorders>
            <w:tcMar>
              <w:top w:w="0" w:type="dxa"/>
              <w:left w:w="0" w:type="dxa"/>
              <w:bottom w:w="0" w:type="dxa"/>
              <w:right w:w="0" w:type="dxa"/>
            </w:tcMar>
            <w:vAlign w:val="bottom"/>
          </w:tcPr>
          <w:p w14:paraId="38B2166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4.86</w:t>
            </w:r>
          </w:p>
        </w:tc>
        <w:tc>
          <w:tcPr>
            <w:tcW w:w="648" w:type="dxa"/>
            <w:tcBorders>
              <w:top w:val="nil"/>
              <w:left w:val="nil"/>
              <w:bottom w:val="single" w:sz="6" w:space="0" w:color="000000"/>
              <w:right w:val="nil"/>
            </w:tcBorders>
            <w:tcMar>
              <w:top w:w="0" w:type="dxa"/>
              <w:left w:w="0" w:type="dxa"/>
              <w:bottom w:w="0" w:type="dxa"/>
              <w:right w:w="0" w:type="dxa"/>
            </w:tcMar>
            <w:vAlign w:val="bottom"/>
          </w:tcPr>
          <w:p w14:paraId="231171DD"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0.73</w:t>
            </w:r>
          </w:p>
        </w:tc>
        <w:tc>
          <w:tcPr>
            <w:tcW w:w="1296" w:type="dxa"/>
            <w:tcBorders>
              <w:top w:val="nil"/>
              <w:left w:val="nil"/>
              <w:bottom w:val="single" w:sz="6" w:space="0" w:color="000000"/>
              <w:right w:val="nil"/>
            </w:tcBorders>
            <w:tcMar>
              <w:top w:w="0" w:type="dxa"/>
              <w:left w:w="0" w:type="dxa"/>
              <w:bottom w:w="0" w:type="dxa"/>
              <w:right w:w="0" w:type="dxa"/>
            </w:tcMar>
            <w:vAlign w:val="bottom"/>
          </w:tcPr>
          <w:p w14:paraId="6F49F0F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bl>
    <w:p w14:paraId="6F9DEE7C" w14:textId="77777777" w:rsidR="008A7C86" w:rsidRDefault="008A7C86">
      <w:pPr>
        <w:spacing w:line="240" w:lineRule="auto"/>
        <w:rPr>
          <w:rFonts w:ascii="Times New Roman" w:eastAsia="Times New Roman" w:hAnsi="Times New Roman" w:cs="Times New Roman"/>
          <w:i/>
          <w:iCs/>
          <w:sz w:val="24"/>
          <w:szCs w:val="24"/>
        </w:rPr>
      </w:pPr>
    </w:p>
    <w:p w14:paraId="18D2EE8F"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2: Characteristics of Professional Development (Delivery and Environment)</w:t>
      </w:r>
    </w:p>
    <w:p w14:paraId="6F169087"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 2 identified the characteristics of effective professional development based on its delivery and environment. A total of 18 delivery-based characteristics were accepted by experts; these characteristics concern the facilitation of professional development, the resources provided, </w:t>
      </w:r>
      <w:r>
        <w:rPr>
          <w:rFonts w:ascii="Times New Roman" w:eastAsia="Times New Roman" w:hAnsi="Times New Roman" w:cs="Times New Roman"/>
          <w:sz w:val="24"/>
          <w:szCs w:val="24"/>
        </w:rPr>
        <w:lastRenderedPageBreak/>
        <w:t>and the outcomes of the delivery. On average, opportunities to discuss content with peers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5.51;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0.61), the use of a hands-on approach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5.37;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0.77), and the ability to implement their learning into their programs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5.31;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0.80) achieved the highest ratings (see Table 2).</w:t>
      </w:r>
    </w:p>
    <w:p w14:paraId="4FB38E2B" w14:textId="77777777" w:rsidR="008A7C86" w:rsidRDefault="008A7C86">
      <w:pPr>
        <w:spacing w:line="240" w:lineRule="auto"/>
        <w:rPr>
          <w:rFonts w:ascii="Times New Roman" w:eastAsia="Times New Roman" w:hAnsi="Times New Roman" w:cs="Times New Roman"/>
          <w:sz w:val="24"/>
          <w:szCs w:val="24"/>
        </w:rPr>
      </w:pPr>
    </w:p>
    <w:p w14:paraId="3661DCAA"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w:t>
      </w:r>
    </w:p>
    <w:p w14:paraId="635B45D0" w14:textId="77777777" w:rsidR="008A7C86"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delivery-based characteristics (n = 35)</w:t>
      </w:r>
    </w:p>
    <w:tbl>
      <w:tblPr>
        <w:tblStyle w:val="a0"/>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8A7C86" w14:paraId="67AFE2E2" w14:textId="77777777">
        <w:trPr>
          <w:trHeight w:val="275"/>
        </w:trPr>
        <w:tc>
          <w:tcPr>
            <w:tcW w:w="6840" w:type="dxa"/>
            <w:tcBorders>
              <w:top w:val="single" w:sz="6" w:space="0" w:color="000000"/>
              <w:bottom w:val="single" w:sz="8" w:space="0" w:color="000000"/>
            </w:tcBorders>
            <w:tcMar>
              <w:top w:w="0" w:type="dxa"/>
              <w:bottom w:w="0" w:type="dxa"/>
            </w:tcMar>
            <w:vAlign w:val="center"/>
          </w:tcPr>
          <w:p w14:paraId="3F923785"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768C5ED" w14:textId="77777777" w:rsidR="008A7C86"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97E026B" w14:textId="77777777" w:rsidR="008A7C86"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22F9D3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8A7C86" w14:paraId="11EC772E" w14:textId="77777777">
        <w:trPr>
          <w:trHeight w:hRule="exact" w:val="15"/>
        </w:trPr>
        <w:tc>
          <w:tcPr>
            <w:tcW w:w="6840" w:type="dxa"/>
            <w:tcBorders>
              <w:top w:val="nil"/>
              <w:left w:val="nil"/>
              <w:bottom w:val="nil"/>
              <w:right w:val="nil"/>
            </w:tcBorders>
            <w:tcMar>
              <w:top w:w="0" w:type="dxa"/>
              <w:left w:w="100" w:type="dxa"/>
              <w:bottom w:w="0" w:type="dxa"/>
              <w:right w:w="100" w:type="dxa"/>
            </w:tcMar>
            <w:vAlign w:val="center"/>
          </w:tcPr>
          <w:p w14:paraId="619FDB01" w14:textId="77777777" w:rsidR="008A7C86" w:rsidRDefault="00000000">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to discuss with peers</w:t>
            </w:r>
          </w:p>
        </w:tc>
        <w:tc>
          <w:tcPr>
            <w:tcW w:w="648" w:type="dxa"/>
            <w:tcBorders>
              <w:top w:val="nil"/>
              <w:left w:val="nil"/>
              <w:bottom w:val="nil"/>
              <w:right w:val="nil"/>
            </w:tcBorders>
            <w:tcMar>
              <w:top w:w="0" w:type="dxa"/>
              <w:left w:w="0" w:type="dxa"/>
              <w:bottom w:w="0" w:type="dxa"/>
              <w:right w:w="0" w:type="dxa"/>
            </w:tcMar>
            <w:vAlign w:val="center"/>
          </w:tcPr>
          <w:p w14:paraId="4CA1AC9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5.51</w:t>
            </w:r>
          </w:p>
        </w:tc>
        <w:tc>
          <w:tcPr>
            <w:tcW w:w="648" w:type="dxa"/>
            <w:tcBorders>
              <w:top w:val="nil"/>
              <w:left w:val="nil"/>
              <w:bottom w:val="nil"/>
              <w:right w:val="nil"/>
            </w:tcBorders>
            <w:tcMar>
              <w:top w:w="0" w:type="dxa"/>
              <w:left w:w="0" w:type="dxa"/>
              <w:bottom w:w="0" w:type="dxa"/>
              <w:right w:w="0" w:type="dxa"/>
            </w:tcMar>
            <w:vAlign w:val="center"/>
          </w:tcPr>
          <w:p w14:paraId="71665CDD"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0.61</w:t>
            </w:r>
          </w:p>
        </w:tc>
        <w:tc>
          <w:tcPr>
            <w:tcW w:w="1296" w:type="dxa"/>
            <w:tcBorders>
              <w:top w:val="nil"/>
              <w:left w:val="nil"/>
              <w:bottom w:val="nil"/>
              <w:right w:val="nil"/>
            </w:tcBorders>
            <w:tcMar>
              <w:top w:w="0" w:type="dxa"/>
              <w:left w:w="0" w:type="dxa"/>
              <w:bottom w:w="0" w:type="dxa"/>
              <w:right w:w="0" w:type="dxa"/>
            </w:tcMar>
            <w:vAlign w:val="center"/>
          </w:tcPr>
          <w:p w14:paraId="7F0585D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94.29%</w:t>
            </w:r>
          </w:p>
        </w:tc>
      </w:tr>
      <w:tr w:rsidR="008A7C86" w14:paraId="22D4AF27"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37A4CCBE"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Hands-on approach</w:t>
            </w:r>
          </w:p>
        </w:tc>
        <w:tc>
          <w:tcPr>
            <w:tcW w:w="648" w:type="dxa"/>
            <w:tcBorders>
              <w:top w:val="nil"/>
              <w:left w:val="nil"/>
              <w:bottom w:val="nil"/>
              <w:right w:val="nil"/>
            </w:tcBorders>
            <w:tcMar>
              <w:top w:w="0" w:type="dxa"/>
              <w:left w:w="0" w:type="dxa"/>
              <w:bottom w:w="0" w:type="dxa"/>
              <w:right w:w="0" w:type="dxa"/>
            </w:tcMar>
            <w:vAlign w:val="center"/>
          </w:tcPr>
          <w:p w14:paraId="484F753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5.37</w:t>
            </w:r>
          </w:p>
        </w:tc>
        <w:tc>
          <w:tcPr>
            <w:tcW w:w="648" w:type="dxa"/>
            <w:tcBorders>
              <w:top w:val="nil"/>
              <w:left w:val="nil"/>
              <w:bottom w:val="nil"/>
              <w:right w:val="nil"/>
            </w:tcBorders>
            <w:tcMar>
              <w:top w:w="0" w:type="dxa"/>
              <w:left w:w="0" w:type="dxa"/>
              <w:bottom w:w="0" w:type="dxa"/>
              <w:right w:w="0" w:type="dxa"/>
            </w:tcMar>
            <w:vAlign w:val="center"/>
          </w:tcPr>
          <w:p w14:paraId="2B513AF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0.77</w:t>
            </w:r>
          </w:p>
        </w:tc>
        <w:tc>
          <w:tcPr>
            <w:tcW w:w="1296" w:type="dxa"/>
            <w:tcBorders>
              <w:top w:val="nil"/>
              <w:left w:val="nil"/>
              <w:bottom w:val="nil"/>
              <w:right w:val="nil"/>
            </w:tcBorders>
            <w:tcMar>
              <w:top w:w="0" w:type="dxa"/>
              <w:left w:w="0" w:type="dxa"/>
              <w:bottom w:w="0" w:type="dxa"/>
              <w:right w:w="0" w:type="dxa"/>
            </w:tcMar>
            <w:vAlign w:val="center"/>
          </w:tcPr>
          <w:p w14:paraId="664FEA19"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88.57%</w:t>
            </w:r>
          </w:p>
        </w:tc>
      </w:tr>
      <w:tr w:rsidR="008A7C86" w14:paraId="5237423A"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54503E7D"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can be implemented into program</w:t>
            </w:r>
          </w:p>
        </w:tc>
        <w:tc>
          <w:tcPr>
            <w:tcW w:w="648" w:type="dxa"/>
            <w:tcBorders>
              <w:top w:val="nil"/>
              <w:left w:val="nil"/>
              <w:bottom w:val="nil"/>
              <w:right w:val="nil"/>
            </w:tcBorders>
            <w:tcMar>
              <w:top w:w="0" w:type="dxa"/>
              <w:left w:w="0" w:type="dxa"/>
              <w:bottom w:w="0" w:type="dxa"/>
              <w:right w:w="0" w:type="dxa"/>
            </w:tcMar>
            <w:vAlign w:val="center"/>
          </w:tcPr>
          <w:p w14:paraId="257A1AA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5.31</w:t>
            </w:r>
          </w:p>
        </w:tc>
        <w:tc>
          <w:tcPr>
            <w:tcW w:w="648" w:type="dxa"/>
            <w:tcBorders>
              <w:top w:val="nil"/>
              <w:left w:val="nil"/>
              <w:bottom w:val="nil"/>
              <w:right w:val="nil"/>
            </w:tcBorders>
            <w:tcMar>
              <w:top w:w="0" w:type="dxa"/>
              <w:left w:w="0" w:type="dxa"/>
              <w:bottom w:w="0" w:type="dxa"/>
              <w:right w:w="0" w:type="dxa"/>
            </w:tcMar>
            <w:vAlign w:val="center"/>
          </w:tcPr>
          <w:p w14:paraId="585D38F5"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0.80</w:t>
            </w:r>
          </w:p>
        </w:tc>
        <w:tc>
          <w:tcPr>
            <w:tcW w:w="1296" w:type="dxa"/>
            <w:tcBorders>
              <w:top w:val="nil"/>
              <w:left w:val="nil"/>
              <w:bottom w:val="nil"/>
              <w:right w:val="nil"/>
            </w:tcBorders>
            <w:tcMar>
              <w:top w:w="0" w:type="dxa"/>
              <w:left w:w="0" w:type="dxa"/>
              <w:bottom w:w="0" w:type="dxa"/>
              <w:right w:w="0" w:type="dxa"/>
            </w:tcMar>
            <w:vAlign w:val="center"/>
          </w:tcPr>
          <w:p w14:paraId="0B5EE30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8A7C86" w14:paraId="7D2CB94A"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2CF492FF"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Time to practice and work with materials</w:t>
            </w:r>
          </w:p>
        </w:tc>
        <w:tc>
          <w:tcPr>
            <w:tcW w:w="648" w:type="dxa"/>
            <w:tcBorders>
              <w:top w:val="nil"/>
              <w:left w:val="nil"/>
              <w:bottom w:val="nil"/>
              <w:right w:val="nil"/>
            </w:tcBorders>
            <w:tcMar>
              <w:top w:w="0" w:type="dxa"/>
              <w:left w:w="0" w:type="dxa"/>
              <w:bottom w:w="0" w:type="dxa"/>
              <w:right w:w="0" w:type="dxa"/>
            </w:tcMar>
            <w:vAlign w:val="center"/>
          </w:tcPr>
          <w:p w14:paraId="3DB8180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5.20</w:t>
            </w:r>
          </w:p>
        </w:tc>
        <w:tc>
          <w:tcPr>
            <w:tcW w:w="648" w:type="dxa"/>
            <w:tcBorders>
              <w:top w:val="nil"/>
              <w:left w:val="nil"/>
              <w:bottom w:val="nil"/>
              <w:right w:val="nil"/>
            </w:tcBorders>
            <w:tcMar>
              <w:top w:w="0" w:type="dxa"/>
              <w:left w:w="0" w:type="dxa"/>
              <w:bottom w:w="0" w:type="dxa"/>
              <w:right w:w="0" w:type="dxa"/>
            </w:tcMar>
            <w:vAlign w:val="center"/>
          </w:tcPr>
          <w:p w14:paraId="5A7DB04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1296" w:type="dxa"/>
            <w:tcBorders>
              <w:top w:val="nil"/>
              <w:left w:val="nil"/>
              <w:bottom w:val="nil"/>
              <w:right w:val="nil"/>
            </w:tcBorders>
            <w:tcMar>
              <w:top w:w="0" w:type="dxa"/>
              <w:left w:w="0" w:type="dxa"/>
              <w:bottom w:w="0" w:type="dxa"/>
              <w:right w:w="0" w:type="dxa"/>
            </w:tcMar>
            <w:vAlign w:val="center"/>
          </w:tcPr>
          <w:p w14:paraId="22DFC246"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85.71%</w:t>
            </w:r>
          </w:p>
        </w:tc>
      </w:tr>
      <w:tr w:rsidR="008A7C86" w14:paraId="72335C3A"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37CD3F20"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 provided are adaptable</w:t>
            </w:r>
          </w:p>
        </w:tc>
        <w:tc>
          <w:tcPr>
            <w:tcW w:w="648" w:type="dxa"/>
            <w:tcBorders>
              <w:top w:val="nil"/>
              <w:left w:val="nil"/>
              <w:bottom w:val="nil"/>
              <w:right w:val="nil"/>
            </w:tcBorders>
            <w:tcMar>
              <w:top w:w="0" w:type="dxa"/>
              <w:left w:w="0" w:type="dxa"/>
              <w:bottom w:w="0" w:type="dxa"/>
              <w:right w:w="0" w:type="dxa"/>
            </w:tcMar>
            <w:vAlign w:val="center"/>
          </w:tcPr>
          <w:p w14:paraId="57FB703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5.20</w:t>
            </w:r>
          </w:p>
        </w:tc>
        <w:tc>
          <w:tcPr>
            <w:tcW w:w="648" w:type="dxa"/>
            <w:tcBorders>
              <w:top w:val="nil"/>
              <w:left w:val="nil"/>
              <w:bottom w:val="nil"/>
              <w:right w:val="nil"/>
            </w:tcBorders>
            <w:tcMar>
              <w:top w:w="0" w:type="dxa"/>
              <w:left w:w="0" w:type="dxa"/>
              <w:bottom w:w="0" w:type="dxa"/>
              <w:right w:w="0" w:type="dxa"/>
            </w:tcMar>
            <w:vAlign w:val="center"/>
          </w:tcPr>
          <w:p w14:paraId="640BB8CD"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0.80</w:t>
            </w:r>
          </w:p>
        </w:tc>
        <w:tc>
          <w:tcPr>
            <w:tcW w:w="1296" w:type="dxa"/>
            <w:tcBorders>
              <w:top w:val="nil"/>
              <w:left w:val="nil"/>
              <w:bottom w:val="nil"/>
              <w:right w:val="nil"/>
            </w:tcBorders>
            <w:tcMar>
              <w:top w:w="0" w:type="dxa"/>
              <w:left w:w="0" w:type="dxa"/>
              <w:bottom w:w="0" w:type="dxa"/>
              <w:right w:w="0" w:type="dxa"/>
            </w:tcMar>
            <w:vAlign w:val="center"/>
          </w:tcPr>
          <w:p w14:paraId="30BD88B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067878F9"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3766054C"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Active instructional methods</w:t>
            </w:r>
          </w:p>
        </w:tc>
        <w:tc>
          <w:tcPr>
            <w:tcW w:w="648" w:type="dxa"/>
            <w:tcBorders>
              <w:top w:val="nil"/>
              <w:left w:val="nil"/>
              <w:bottom w:val="nil"/>
              <w:right w:val="nil"/>
            </w:tcBorders>
            <w:tcMar>
              <w:top w:w="0" w:type="dxa"/>
              <w:left w:w="0" w:type="dxa"/>
              <w:bottom w:w="0" w:type="dxa"/>
              <w:right w:w="0" w:type="dxa"/>
            </w:tcMar>
            <w:vAlign w:val="center"/>
          </w:tcPr>
          <w:p w14:paraId="5FE6018F"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5.19</w:t>
            </w:r>
          </w:p>
        </w:tc>
        <w:tc>
          <w:tcPr>
            <w:tcW w:w="648" w:type="dxa"/>
            <w:tcBorders>
              <w:top w:val="nil"/>
              <w:left w:val="nil"/>
              <w:bottom w:val="nil"/>
              <w:right w:val="nil"/>
            </w:tcBorders>
            <w:tcMar>
              <w:top w:w="0" w:type="dxa"/>
              <w:left w:w="0" w:type="dxa"/>
              <w:bottom w:w="0" w:type="dxa"/>
              <w:right w:w="0" w:type="dxa"/>
            </w:tcMar>
            <w:vAlign w:val="center"/>
          </w:tcPr>
          <w:p w14:paraId="15D6B9B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0.62</w:t>
            </w:r>
          </w:p>
        </w:tc>
        <w:tc>
          <w:tcPr>
            <w:tcW w:w="1296" w:type="dxa"/>
            <w:tcBorders>
              <w:top w:val="nil"/>
              <w:left w:val="nil"/>
              <w:bottom w:val="nil"/>
              <w:right w:val="nil"/>
            </w:tcBorders>
            <w:tcMar>
              <w:top w:w="0" w:type="dxa"/>
              <w:left w:w="0" w:type="dxa"/>
              <w:bottom w:w="0" w:type="dxa"/>
              <w:right w:w="0" w:type="dxa"/>
            </w:tcMar>
            <w:vAlign w:val="center"/>
          </w:tcPr>
          <w:p w14:paraId="699EA6F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88.57%</w:t>
            </w:r>
          </w:p>
        </w:tc>
      </w:tr>
      <w:tr w:rsidR="008A7C86" w14:paraId="6E7E5D64"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56C5AC1E"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 provided are modeled within the PD</w:t>
            </w:r>
          </w:p>
        </w:tc>
        <w:tc>
          <w:tcPr>
            <w:tcW w:w="648" w:type="dxa"/>
            <w:tcBorders>
              <w:top w:val="nil"/>
              <w:left w:val="nil"/>
              <w:bottom w:val="nil"/>
              <w:right w:val="nil"/>
            </w:tcBorders>
            <w:tcMar>
              <w:top w:w="0" w:type="dxa"/>
              <w:left w:w="0" w:type="dxa"/>
              <w:bottom w:w="0" w:type="dxa"/>
              <w:right w:w="0" w:type="dxa"/>
            </w:tcMar>
            <w:vAlign w:val="center"/>
          </w:tcPr>
          <w:p w14:paraId="7868D58F"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5.14</w:t>
            </w:r>
          </w:p>
        </w:tc>
        <w:tc>
          <w:tcPr>
            <w:tcW w:w="648" w:type="dxa"/>
            <w:tcBorders>
              <w:top w:val="nil"/>
              <w:left w:val="nil"/>
              <w:bottom w:val="nil"/>
              <w:right w:val="nil"/>
            </w:tcBorders>
            <w:tcMar>
              <w:top w:w="0" w:type="dxa"/>
              <w:left w:w="0" w:type="dxa"/>
              <w:bottom w:w="0" w:type="dxa"/>
              <w:right w:w="0" w:type="dxa"/>
            </w:tcMar>
            <w:vAlign w:val="center"/>
          </w:tcPr>
          <w:p w14:paraId="68D5C6E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0.81</w:t>
            </w:r>
          </w:p>
        </w:tc>
        <w:tc>
          <w:tcPr>
            <w:tcW w:w="1296" w:type="dxa"/>
            <w:tcBorders>
              <w:top w:val="nil"/>
              <w:left w:val="nil"/>
              <w:bottom w:val="nil"/>
              <w:right w:val="nil"/>
            </w:tcBorders>
            <w:tcMar>
              <w:top w:w="0" w:type="dxa"/>
              <w:left w:w="0" w:type="dxa"/>
              <w:bottom w:w="0" w:type="dxa"/>
              <w:right w:w="0" w:type="dxa"/>
            </w:tcMar>
            <w:vAlign w:val="center"/>
          </w:tcPr>
          <w:p w14:paraId="6C3CAB2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8A7C86" w14:paraId="00453393"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00D1B2F4"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Mix of individual, peer, and group activities</w:t>
            </w:r>
          </w:p>
        </w:tc>
        <w:tc>
          <w:tcPr>
            <w:tcW w:w="648" w:type="dxa"/>
            <w:tcBorders>
              <w:top w:val="nil"/>
              <w:left w:val="nil"/>
              <w:bottom w:val="nil"/>
              <w:right w:val="nil"/>
            </w:tcBorders>
            <w:tcMar>
              <w:top w:w="0" w:type="dxa"/>
              <w:left w:w="0" w:type="dxa"/>
              <w:bottom w:w="0" w:type="dxa"/>
              <w:right w:w="0" w:type="dxa"/>
            </w:tcMar>
            <w:vAlign w:val="center"/>
          </w:tcPr>
          <w:p w14:paraId="07CAE43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5.14</w:t>
            </w:r>
          </w:p>
        </w:tc>
        <w:tc>
          <w:tcPr>
            <w:tcW w:w="648" w:type="dxa"/>
            <w:tcBorders>
              <w:top w:val="nil"/>
              <w:left w:val="nil"/>
              <w:bottom w:val="nil"/>
              <w:right w:val="nil"/>
            </w:tcBorders>
            <w:tcMar>
              <w:top w:w="0" w:type="dxa"/>
              <w:left w:w="0" w:type="dxa"/>
              <w:bottom w:w="0" w:type="dxa"/>
              <w:right w:w="0" w:type="dxa"/>
            </w:tcMar>
            <w:vAlign w:val="center"/>
          </w:tcPr>
          <w:p w14:paraId="0DA257A5"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0.85</w:t>
            </w:r>
          </w:p>
        </w:tc>
        <w:tc>
          <w:tcPr>
            <w:tcW w:w="1296" w:type="dxa"/>
            <w:tcBorders>
              <w:top w:val="nil"/>
              <w:left w:val="nil"/>
              <w:bottom w:val="nil"/>
              <w:right w:val="nil"/>
            </w:tcBorders>
            <w:tcMar>
              <w:top w:w="0" w:type="dxa"/>
              <w:left w:w="0" w:type="dxa"/>
              <w:bottom w:w="0" w:type="dxa"/>
              <w:right w:w="0" w:type="dxa"/>
            </w:tcMar>
            <w:vAlign w:val="center"/>
          </w:tcPr>
          <w:p w14:paraId="28091A5D"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21020F96"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79D838B2"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Ongoing access to curriculum or resources beyond the PD</w:t>
            </w:r>
          </w:p>
        </w:tc>
        <w:tc>
          <w:tcPr>
            <w:tcW w:w="648" w:type="dxa"/>
            <w:tcBorders>
              <w:top w:val="nil"/>
              <w:left w:val="nil"/>
              <w:bottom w:val="nil"/>
              <w:right w:val="nil"/>
            </w:tcBorders>
            <w:tcMar>
              <w:top w:w="0" w:type="dxa"/>
              <w:left w:w="0" w:type="dxa"/>
              <w:bottom w:w="0" w:type="dxa"/>
              <w:right w:w="0" w:type="dxa"/>
            </w:tcMar>
            <w:vAlign w:val="center"/>
          </w:tcPr>
          <w:p w14:paraId="7704064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5.14</w:t>
            </w:r>
          </w:p>
        </w:tc>
        <w:tc>
          <w:tcPr>
            <w:tcW w:w="648" w:type="dxa"/>
            <w:tcBorders>
              <w:top w:val="nil"/>
              <w:left w:val="nil"/>
              <w:bottom w:val="nil"/>
              <w:right w:val="nil"/>
            </w:tcBorders>
            <w:tcMar>
              <w:top w:w="0" w:type="dxa"/>
              <w:left w:w="0" w:type="dxa"/>
              <w:bottom w:w="0" w:type="dxa"/>
              <w:right w:w="0" w:type="dxa"/>
            </w:tcMar>
            <w:vAlign w:val="center"/>
          </w:tcPr>
          <w:p w14:paraId="7070C659"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0.97</w:t>
            </w:r>
          </w:p>
        </w:tc>
        <w:tc>
          <w:tcPr>
            <w:tcW w:w="1296" w:type="dxa"/>
            <w:tcBorders>
              <w:top w:val="nil"/>
              <w:left w:val="nil"/>
              <w:bottom w:val="nil"/>
              <w:right w:val="nil"/>
            </w:tcBorders>
            <w:tcMar>
              <w:top w:w="0" w:type="dxa"/>
              <w:left w:w="0" w:type="dxa"/>
              <w:bottom w:w="0" w:type="dxa"/>
              <w:right w:w="0" w:type="dxa"/>
            </w:tcMar>
            <w:vAlign w:val="center"/>
          </w:tcPr>
          <w:p w14:paraId="31764356"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76564A0E"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671CC30F"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to reflect</w:t>
            </w:r>
          </w:p>
        </w:tc>
        <w:tc>
          <w:tcPr>
            <w:tcW w:w="648" w:type="dxa"/>
            <w:tcBorders>
              <w:top w:val="nil"/>
              <w:left w:val="nil"/>
              <w:bottom w:val="nil"/>
              <w:right w:val="nil"/>
            </w:tcBorders>
            <w:tcMar>
              <w:top w:w="0" w:type="dxa"/>
              <w:left w:w="0" w:type="dxa"/>
              <w:bottom w:w="0" w:type="dxa"/>
              <w:right w:w="0" w:type="dxa"/>
            </w:tcMar>
            <w:vAlign w:val="center"/>
          </w:tcPr>
          <w:p w14:paraId="557400E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5.06</w:t>
            </w:r>
          </w:p>
        </w:tc>
        <w:tc>
          <w:tcPr>
            <w:tcW w:w="648" w:type="dxa"/>
            <w:tcBorders>
              <w:top w:val="nil"/>
              <w:left w:val="nil"/>
              <w:bottom w:val="nil"/>
              <w:right w:val="nil"/>
            </w:tcBorders>
            <w:tcMar>
              <w:top w:w="0" w:type="dxa"/>
              <w:left w:w="0" w:type="dxa"/>
              <w:bottom w:w="0" w:type="dxa"/>
              <w:right w:w="0" w:type="dxa"/>
            </w:tcMar>
            <w:vAlign w:val="center"/>
          </w:tcPr>
          <w:p w14:paraId="5E543BD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0.87</w:t>
            </w:r>
          </w:p>
        </w:tc>
        <w:tc>
          <w:tcPr>
            <w:tcW w:w="1296" w:type="dxa"/>
            <w:tcBorders>
              <w:top w:val="nil"/>
              <w:left w:val="nil"/>
              <w:bottom w:val="nil"/>
              <w:right w:val="nil"/>
            </w:tcBorders>
            <w:tcMar>
              <w:top w:w="0" w:type="dxa"/>
              <w:left w:w="0" w:type="dxa"/>
              <w:bottom w:w="0" w:type="dxa"/>
              <w:right w:w="0" w:type="dxa"/>
            </w:tcMar>
            <w:vAlign w:val="center"/>
          </w:tcPr>
          <w:p w14:paraId="6088ACB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2249014A"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67640507"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Guided by clear objectives or goals</w:t>
            </w:r>
          </w:p>
        </w:tc>
        <w:tc>
          <w:tcPr>
            <w:tcW w:w="648" w:type="dxa"/>
            <w:tcBorders>
              <w:top w:val="nil"/>
              <w:left w:val="nil"/>
              <w:bottom w:val="nil"/>
              <w:right w:val="nil"/>
            </w:tcBorders>
            <w:tcMar>
              <w:top w:w="0" w:type="dxa"/>
              <w:left w:w="0" w:type="dxa"/>
              <w:bottom w:w="0" w:type="dxa"/>
              <w:right w:w="0" w:type="dxa"/>
            </w:tcMar>
            <w:vAlign w:val="center"/>
          </w:tcPr>
          <w:p w14:paraId="0321C6D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5.06</w:t>
            </w:r>
          </w:p>
        </w:tc>
        <w:tc>
          <w:tcPr>
            <w:tcW w:w="648" w:type="dxa"/>
            <w:tcBorders>
              <w:top w:val="nil"/>
              <w:left w:val="nil"/>
              <w:bottom w:val="nil"/>
              <w:right w:val="nil"/>
            </w:tcBorders>
            <w:tcMar>
              <w:top w:w="0" w:type="dxa"/>
              <w:left w:w="0" w:type="dxa"/>
              <w:bottom w:w="0" w:type="dxa"/>
              <w:right w:w="0" w:type="dxa"/>
            </w:tcMar>
            <w:vAlign w:val="center"/>
          </w:tcPr>
          <w:p w14:paraId="41D521A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0.89</w:t>
            </w:r>
          </w:p>
        </w:tc>
        <w:tc>
          <w:tcPr>
            <w:tcW w:w="1296" w:type="dxa"/>
            <w:tcBorders>
              <w:top w:val="nil"/>
              <w:left w:val="nil"/>
              <w:bottom w:val="nil"/>
              <w:right w:val="nil"/>
            </w:tcBorders>
            <w:tcMar>
              <w:top w:w="0" w:type="dxa"/>
              <w:left w:w="0" w:type="dxa"/>
              <w:bottom w:w="0" w:type="dxa"/>
              <w:right w:w="0" w:type="dxa"/>
            </w:tcMar>
            <w:vAlign w:val="center"/>
          </w:tcPr>
          <w:p w14:paraId="2878184D"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656EEFAF"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65C33A04"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Modeling of effective and proven instructional practices</w:t>
            </w:r>
          </w:p>
        </w:tc>
        <w:tc>
          <w:tcPr>
            <w:tcW w:w="648" w:type="dxa"/>
            <w:tcBorders>
              <w:top w:val="nil"/>
              <w:left w:val="nil"/>
              <w:bottom w:val="nil"/>
              <w:right w:val="nil"/>
            </w:tcBorders>
            <w:tcMar>
              <w:top w:w="0" w:type="dxa"/>
              <w:left w:w="0" w:type="dxa"/>
              <w:bottom w:w="0" w:type="dxa"/>
              <w:right w:w="0" w:type="dxa"/>
            </w:tcMar>
            <w:vAlign w:val="center"/>
          </w:tcPr>
          <w:p w14:paraId="0D9585E5"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5.03</w:t>
            </w:r>
          </w:p>
        </w:tc>
        <w:tc>
          <w:tcPr>
            <w:tcW w:w="648" w:type="dxa"/>
            <w:tcBorders>
              <w:top w:val="nil"/>
              <w:left w:val="nil"/>
              <w:bottom w:val="nil"/>
              <w:right w:val="nil"/>
            </w:tcBorders>
            <w:tcMar>
              <w:top w:w="0" w:type="dxa"/>
              <w:left w:w="0" w:type="dxa"/>
              <w:bottom w:w="0" w:type="dxa"/>
              <w:right w:w="0" w:type="dxa"/>
            </w:tcMar>
            <w:vAlign w:val="center"/>
          </w:tcPr>
          <w:p w14:paraId="3C3E5EE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top w:val="nil"/>
              <w:left w:val="nil"/>
              <w:bottom w:val="nil"/>
              <w:right w:val="nil"/>
            </w:tcBorders>
            <w:tcMar>
              <w:top w:w="0" w:type="dxa"/>
              <w:left w:w="0" w:type="dxa"/>
              <w:bottom w:w="0" w:type="dxa"/>
              <w:right w:w="0" w:type="dxa"/>
            </w:tcMar>
            <w:vAlign w:val="center"/>
          </w:tcPr>
          <w:p w14:paraId="3FCAE2E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82.86%</w:t>
            </w:r>
          </w:p>
        </w:tc>
      </w:tr>
      <w:tr w:rsidR="008A7C86" w14:paraId="2D11E2C2"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6BEE08E1"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supplementary materials to take back to program</w:t>
            </w:r>
          </w:p>
        </w:tc>
        <w:tc>
          <w:tcPr>
            <w:tcW w:w="648" w:type="dxa"/>
            <w:tcBorders>
              <w:top w:val="nil"/>
              <w:left w:val="nil"/>
              <w:bottom w:val="nil"/>
              <w:right w:val="nil"/>
            </w:tcBorders>
            <w:tcMar>
              <w:top w:w="0" w:type="dxa"/>
              <w:left w:w="0" w:type="dxa"/>
              <w:bottom w:w="0" w:type="dxa"/>
              <w:right w:w="0" w:type="dxa"/>
            </w:tcMar>
            <w:vAlign w:val="center"/>
          </w:tcPr>
          <w:p w14:paraId="25D786B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5.03</w:t>
            </w:r>
          </w:p>
        </w:tc>
        <w:tc>
          <w:tcPr>
            <w:tcW w:w="648" w:type="dxa"/>
            <w:tcBorders>
              <w:top w:val="nil"/>
              <w:left w:val="nil"/>
              <w:bottom w:val="nil"/>
              <w:right w:val="nil"/>
            </w:tcBorders>
            <w:tcMar>
              <w:top w:w="0" w:type="dxa"/>
              <w:left w:w="0" w:type="dxa"/>
              <w:bottom w:w="0" w:type="dxa"/>
              <w:right w:w="0" w:type="dxa"/>
            </w:tcMar>
            <w:vAlign w:val="center"/>
          </w:tcPr>
          <w:p w14:paraId="5856FDF4"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0.92</w:t>
            </w:r>
          </w:p>
        </w:tc>
        <w:tc>
          <w:tcPr>
            <w:tcW w:w="1296" w:type="dxa"/>
            <w:tcBorders>
              <w:top w:val="nil"/>
              <w:left w:val="nil"/>
              <w:bottom w:val="nil"/>
              <w:right w:val="nil"/>
            </w:tcBorders>
            <w:tcMar>
              <w:top w:w="0" w:type="dxa"/>
              <w:left w:w="0" w:type="dxa"/>
              <w:bottom w:w="0" w:type="dxa"/>
              <w:right w:w="0" w:type="dxa"/>
            </w:tcMar>
            <w:vAlign w:val="center"/>
          </w:tcPr>
          <w:p w14:paraId="1C5968B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77378AF7"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2234F682"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can be sustained and implemented over time</w:t>
            </w:r>
          </w:p>
        </w:tc>
        <w:tc>
          <w:tcPr>
            <w:tcW w:w="648" w:type="dxa"/>
            <w:tcBorders>
              <w:top w:val="nil"/>
              <w:left w:val="nil"/>
              <w:bottom w:val="nil"/>
              <w:right w:val="nil"/>
            </w:tcBorders>
            <w:tcMar>
              <w:top w:w="0" w:type="dxa"/>
              <w:left w:w="0" w:type="dxa"/>
              <w:bottom w:w="0" w:type="dxa"/>
              <w:right w:w="0" w:type="dxa"/>
            </w:tcMar>
            <w:vAlign w:val="center"/>
          </w:tcPr>
          <w:p w14:paraId="64E19E6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648" w:type="dxa"/>
            <w:tcBorders>
              <w:top w:val="nil"/>
              <w:left w:val="nil"/>
              <w:bottom w:val="nil"/>
              <w:right w:val="nil"/>
            </w:tcBorders>
            <w:tcMar>
              <w:top w:w="0" w:type="dxa"/>
              <w:left w:w="0" w:type="dxa"/>
              <w:bottom w:w="0" w:type="dxa"/>
              <w:right w:w="0" w:type="dxa"/>
            </w:tcMar>
            <w:vAlign w:val="center"/>
          </w:tcPr>
          <w:p w14:paraId="3E86088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0.79</w:t>
            </w:r>
          </w:p>
        </w:tc>
        <w:tc>
          <w:tcPr>
            <w:tcW w:w="1296" w:type="dxa"/>
            <w:tcBorders>
              <w:top w:val="nil"/>
              <w:left w:val="nil"/>
              <w:bottom w:val="nil"/>
              <w:right w:val="nil"/>
            </w:tcBorders>
            <w:tcMar>
              <w:top w:w="0" w:type="dxa"/>
              <w:left w:w="0" w:type="dxa"/>
              <w:bottom w:w="0" w:type="dxa"/>
              <w:right w:w="0" w:type="dxa"/>
            </w:tcMar>
            <w:vAlign w:val="center"/>
          </w:tcPr>
          <w:p w14:paraId="37028866"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8A7C86" w14:paraId="5E2609DC"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28DB24BC"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Measurable impact on participants</w:t>
            </w:r>
          </w:p>
        </w:tc>
        <w:tc>
          <w:tcPr>
            <w:tcW w:w="648" w:type="dxa"/>
            <w:tcBorders>
              <w:top w:val="nil"/>
              <w:left w:val="nil"/>
              <w:bottom w:val="nil"/>
              <w:right w:val="nil"/>
            </w:tcBorders>
            <w:tcMar>
              <w:top w:w="0" w:type="dxa"/>
              <w:left w:w="0" w:type="dxa"/>
              <w:bottom w:w="0" w:type="dxa"/>
              <w:right w:w="0" w:type="dxa"/>
            </w:tcMar>
            <w:vAlign w:val="center"/>
          </w:tcPr>
          <w:p w14:paraId="7A1D15A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648" w:type="dxa"/>
            <w:tcBorders>
              <w:top w:val="nil"/>
              <w:left w:val="nil"/>
              <w:bottom w:val="nil"/>
              <w:right w:val="nil"/>
            </w:tcBorders>
            <w:tcMar>
              <w:top w:w="0" w:type="dxa"/>
              <w:left w:w="0" w:type="dxa"/>
              <w:bottom w:w="0" w:type="dxa"/>
              <w:right w:w="0" w:type="dxa"/>
            </w:tcMar>
            <w:vAlign w:val="center"/>
          </w:tcPr>
          <w:p w14:paraId="48D40A25"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0.79</w:t>
            </w:r>
          </w:p>
        </w:tc>
        <w:tc>
          <w:tcPr>
            <w:tcW w:w="1296" w:type="dxa"/>
            <w:tcBorders>
              <w:top w:val="nil"/>
              <w:left w:val="nil"/>
              <w:bottom w:val="nil"/>
              <w:right w:val="nil"/>
            </w:tcBorders>
            <w:tcMar>
              <w:top w:w="0" w:type="dxa"/>
              <w:left w:w="0" w:type="dxa"/>
              <w:bottom w:w="0" w:type="dxa"/>
              <w:right w:w="0" w:type="dxa"/>
            </w:tcMar>
            <w:vAlign w:val="center"/>
          </w:tcPr>
          <w:p w14:paraId="0996181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5BF740BF"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745513E9"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can be applied in multiple ways or in multiple courses taught by the participant</w:t>
            </w:r>
          </w:p>
        </w:tc>
        <w:tc>
          <w:tcPr>
            <w:tcW w:w="648" w:type="dxa"/>
            <w:tcBorders>
              <w:top w:val="nil"/>
              <w:left w:val="nil"/>
              <w:bottom w:val="nil"/>
              <w:right w:val="nil"/>
            </w:tcBorders>
            <w:tcMar>
              <w:top w:w="0" w:type="dxa"/>
              <w:left w:w="0" w:type="dxa"/>
              <w:bottom w:w="0" w:type="dxa"/>
              <w:right w:w="0" w:type="dxa"/>
            </w:tcMar>
            <w:vAlign w:val="center"/>
          </w:tcPr>
          <w:p w14:paraId="7EE9CD6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648" w:type="dxa"/>
            <w:tcBorders>
              <w:top w:val="nil"/>
              <w:left w:val="nil"/>
              <w:bottom w:val="nil"/>
              <w:right w:val="nil"/>
            </w:tcBorders>
            <w:tcMar>
              <w:top w:w="0" w:type="dxa"/>
              <w:left w:w="0" w:type="dxa"/>
              <w:bottom w:w="0" w:type="dxa"/>
              <w:right w:w="0" w:type="dxa"/>
            </w:tcMar>
            <w:vAlign w:val="center"/>
          </w:tcPr>
          <w:p w14:paraId="6A7AAB2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top w:val="nil"/>
              <w:left w:val="nil"/>
              <w:bottom w:val="nil"/>
              <w:right w:val="nil"/>
            </w:tcBorders>
            <w:tcMar>
              <w:top w:w="0" w:type="dxa"/>
              <w:left w:w="0" w:type="dxa"/>
              <w:bottom w:w="0" w:type="dxa"/>
              <w:right w:w="0" w:type="dxa"/>
            </w:tcMar>
            <w:vAlign w:val="center"/>
          </w:tcPr>
          <w:p w14:paraId="7F041DC6"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2E854EB9"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377BB721"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Modeling how content can be altered or implemented</w:t>
            </w:r>
          </w:p>
        </w:tc>
        <w:tc>
          <w:tcPr>
            <w:tcW w:w="648" w:type="dxa"/>
            <w:tcBorders>
              <w:top w:val="nil"/>
              <w:left w:val="nil"/>
              <w:bottom w:val="nil"/>
              <w:right w:val="nil"/>
            </w:tcBorders>
            <w:tcMar>
              <w:top w:w="0" w:type="dxa"/>
              <w:left w:w="0" w:type="dxa"/>
              <w:bottom w:w="0" w:type="dxa"/>
              <w:right w:w="0" w:type="dxa"/>
            </w:tcMar>
            <w:vAlign w:val="center"/>
          </w:tcPr>
          <w:p w14:paraId="202D3B5E"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648" w:type="dxa"/>
            <w:tcBorders>
              <w:top w:val="nil"/>
              <w:left w:val="nil"/>
              <w:bottom w:val="nil"/>
              <w:right w:val="nil"/>
            </w:tcBorders>
            <w:tcMar>
              <w:top w:w="0" w:type="dxa"/>
              <w:left w:w="0" w:type="dxa"/>
              <w:bottom w:w="0" w:type="dxa"/>
              <w:right w:w="0" w:type="dxa"/>
            </w:tcMar>
            <w:vAlign w:val="center"/>
          </w:tcPr>
          <w:p w14:paraId="024B387A"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top w:val="nil"/>
              <w:left w:val="nil"/>
              <w:bottom w:val="nil"/>
              <w:right w:val="nil"/>
            </w:tcBorders>
            <w:tcMar>
              <w:top w:w="0" w:type="dxa"/>
              <w:left w:w="0" w:type="dxa"/>
              <w:bottom w:w="0" w:type="dxa"/>
              <w:right w:w="0" w:type="dxa"/>
            </w:tcMar>
            <w:vAlign w:val="center"/>
          </w:tcPr>
          <w:p w14:paraId="1AC2640F"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0D581EF8" w14:textId="77777777" w:rsidTr="00A46094">
        <w:trPr>
          <w:trHeight w:val="274"/>
        </w:trPr>
        <w:tc>
          <w:tcPr>
            <w:tcW w:w="6840" w:type="dxa"/>
            <w:tcBorders>
              <w:left w:val="nil"/>
              <w:bottom w:val="single" w:sz="6" w:space="0" w:color="000000"/>
              <w:right w:val="nil"/>
            </w:tcBorders>
            <w:tcMar>
              <w:top w:w="0" w:type="dxa"/>
              <w:left w:w="100" w:type="dxa"/>
              <w:bottom w:w="0" w:type="dxa"/>
              <w:right w:w="100" w:type="dxa"/>
            </w:tcMar>
            <w:vAlign w:val="center"/>
          </w:tcPr>
          <w:p w14:paraId="4B29CD52" w14:textId="77777777" w:rsidR="008A7C86" w:rsidRDefault="00000000" w:rsidP="00A46094">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Increases the margin of participants (i.e., reduces their load and/or increases their power)</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1DB6B2E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04F957C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0.94</w:t>
            </w:r>
          </w:p>
        </w:tc>
        <w:tc>
          <w:tcPr>
            <w:tcW w:w="1296" w:type="dxa"/>
            <w:tcBorders>
              <w:top w:val="nil"/>
              <w:left w:val="nil"/>
              <w:bottom w:val="single" w:sz="6" w:space="0" w:color="000000"/>
              <w:right w:val="nil"/>
            </w:tcBorders>
            <w:tcMar>
              <w:top w:w="0" w:type="dxa"/>
              <w:left w:w="0" w:type="dxa"/>
              <w:bottom w:w="0" w:type="dxa"/>
              <w:right w:w="0" w:type="dxa"/>
            </w:tcMar>
            <w:vAlign w:val="center"/>
          </w:tcPr>
          <w:p w14:paraId="6CA83DCF"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bl>
    <w:p w14:paraId="08A8D1CF" w14:textId="77777777" w:rsidR="008A7C86" w:rsidRDefault="008A7C86">
      <w:pPr>
        <w:spacing w:line="240" w:lineRule="auto"/>
        <w:rPr>
          <w:rFonts w:ascii="Times New Roman" w:eastAsia="Times New Roman" w:hAnsi="Times New Roman" w:cs="Times New Roman"/>
          <w:b/>
          <w:bCs/>
          <w:sz w:val="24"/>
          <w:szCs w:val="24"/>
        </w:rPr>
      </w:pPr>
    </w:p>
    <w:p w14:paraId="4F85B123"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eight environment-based characteristics were accepted by experts. Environment-based characteristics encompass items related to the physical space where professional development is hosted, as well as the overall atmosphere of the experience. Experts perceived the environment as being an authentic representation of the classroom setting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0.70), positive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0.73), and of an appropriate duration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5.29;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0.86) as the most important characteristics, as these achieved the highest mean scores (see Table 3).</w:t>
      </w:r>
    </w:p>
    <w:p w14:paraId="56E97BBB" w14:textId="77777777" w:rsidR="008A7C86" w:rsidRDefault="008A7C86">
      <w:pPr>
        <w:spacing w:line="240" w:lineRule="auto"/>
        <w:rPr>
          <w:rFonts w:ascii="Times New Roman" w:eastAsia="Times New Roman" w:hAnsi="Times New Roman" w:cs="Times New Roman"/>
          <w:sz w:val="24"/>
          <w:szCs w:val="24"/>
        </w:rPr>
      </w:pPr>
    </w:p>
    <w:p w14:paraId="563CA3FA"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3</w:t>
      </w:r>
    </w:p>
    <w:p w14:paraId="6F6B8F00" w14:textId="77777777" w:rsidR="008A7C86"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environment-based characteristics (n = 35)</w:t>
      </w:r>
    </w:p>
    <w:tbl>
      <w:tblPr>
        <w:tblStyle w:val="a1"/>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8A7C86" w14:paraId="50920509" w14:textId="77777777">
        <w:trPr>
          <w:trHeight w:val="275"/>
        </w:trPr>
        <w:tc>
          <w:tcPr>
            <w:tcW w:w="6840" w:type="dxa"/>
            <w:tcBorders>
              <w:top w:val="single" w:sz="6" w:space="0" w:color="000000"/>
              <w:bottom w:val="single" w:sz="8" w:space="0" w:color="000000"/>
            </w:tcBorders>
            <w:tcMar>
              <w:top w:w="0" w:type="dxa"/>
              <w:bottom w:w="0" w:type="dxa"/>
            </w:tcMar>
            <w:vAlign w:val="center"/>
          </w:tcPr>
          <w:p w14:paraId="0C59E365"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F755ED9" w14:textId="77777777" w:rsidR="008A7C86"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4C49DC7" w14:textId="77777777" w:rsidR="008A7C86"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5E580F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8A7C86" w14:paraId="74ACED10"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0CD7FAAC"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Authentic and genuine representation of program setting</w:t>
            </w:r>
          </w:p>
        </w:tc>
        <w:tc>
          <w:tcPr>
            <w:tcW w:w="648" w:type="dxa"/>
            <w:tcBorders>
              <w:top w:val="nil"/>
              <w:left w:val="nil"/>
              <w:bottom w:val="nil"/>
              <w:right w:val="nil"/>
            </w:tcBorders>
            <w:tcMar>
              <w:top w:w="0" w:type="dxa"/>
              <w:left w:w="0" w:type="dxa"/>
              <w:bottom w:w="0" w:type="dxa"/>
              <w:right w:w="0" w:type="dxa"/>
            </w:tcMar>
            <w:vAlign w:val="center"/>
          </w:tcPr>
          <w:p w14:paraId="54B8482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5.54</w:t>
            </w:r>
          </w:p>
        </w:tc>
        <w:tc>
          <w:tcPr>
            <w:tcW w:w="648" w:type="dxa"/>
            <w:tcBorders>
              <w:top w:val="nil"/>
              <w:left w:val="nil"/>
              <w:bottom w:val="nil"/>
              <w:right w:val="nil"/>
            </w:tcBorders>
            <w:tcMar>
              <w:top w:w="0" w:type="dxa"/>
              <w:left w:w="0" w:type="dxa"/>
              <w:bottom w:w="0" w:type="dxa"/>
              <w:right w:w="0" w:type="dxa"/>
            </w:tcMar>
            <w:vAlign w:val="center"/>
          </w:tcPr>
          <w:p w14:paraId="3CB454A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0.70</w:t>
            </w:r>
          </w:p>
        </w:tc>
        <w:tc>
          <w:tcPr>
            <w:tcW w:w="1296" w:type="dxa"/>
            <w:tcBorders>
              <w:top w:val="nil"/>
              <w:left w:val="nil"/>
              <w:bottom w:val="nil"/>
              <w:right w:val="nil"/>
            </w:tcBorders>
            <w:tcMar>
              <w:top w:w="0" w:type="dxa"/>
              <w:left w:w="0" w:type="dxa"/>
              <w:bottom w:w="0" w:type="dxa"/>
              <w:right w:w="0" w:type="dxa"/>
            </w:tcMar>
            <w:vAlign w:val="center"/>
          </w:tcPr>
          <w:p w14:paraId="6D1FB699"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88.57%</w:t>
            </w:r>
          </w:p>
        </w:tc>
      </w:tr>
      <w:tr w:rsidR="008A7C86" w14:paraId="17FB7A05"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290F64CB"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Positive atmosphere</w:t>
            </w:r>
          </w:p>
        </w:tc>
        <w:tc>
          <w:tcPr>
            <w:tcW w:w="648" w:type="dxa"/>
            <w:tcBorders>
              <w:top w:val="nil"/>
              <w:left w:val="nil"/>
              <w:bottom w:val="nil"/>
              <w:right w:val="nil"/>
            </w:tcBorders>
            <w:tcMar>
              <w:top w:w="0" w:type="dxa"/>
              <w:left w:w="0" w:type="dxa"/>
              <w:bottom w:w="0" w:type="dxa"/>
              <w:right w:w="0" w:type="dxa"/>
            </w:tcMar>
            <w:vAlign w:val="center"/>
          </w:tcPr>
          <w:p w14:paraId="4E9A7B7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5.34</w:t>
            </w:r>
          </w:p>
        </w:tc>
        <w:tc>
          <w:tcPr>
            <w:tcW w:w="648" w:type="dxa"/>
            <w:tcBorders>
              <w:top w:val="nil"/>
              <w:left w:val="nil"/>
              <w:bottom w:val="nil"/>
              <w:right w:val="nil"/>
            </w:tcBorders>
            <w:tcMar>
              <w:top w:w="0" w:type="dxa"/>
              <w:left w:w="0" w:type="dxa"/>
              <w:bottom w:w="0" w:type="dxa"/>
              <w:right w:w="0" w:type="dxa"/>
            </w:tcMar>
            <w:vAlign w:val="center"/>
          </w:tcPr>
          <w:p w14:paraId="177F552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0.73</w:t>
            </w:r>
          </w:p>
        </w:tc>
        <w:tc>
          <w:tcPr>
            <w:tcW w:w="1296" w:type="dxa"/>
            <w:tcBorders>
              <w:top w:val="nil"/>
              <w:left w:val="nil"/>
              <w:bottom w:val="nil"/>
              <w:right w:val="nil"/>
            </w:tcBorders>
            <w:tcMar>
              <w:top w:w="0" w:type="dxa"/>
              <w:left w:w="0" w:type="dxa"/>
              <w:bottom w:w="0" w:type="dxa"/>
              <w:right w:w="0" w:type="dxa"/>
            </w:tcMar>
            <w:vAlign w:val="center"/>
          </w:tcPr>
          <w:p w14:paraId="0AF2999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91.43%</w:t>
            </w:r>
          </w:p>
        </w:tc>
      </w:tr>
      <w:tr w:rsidR="008A7C86" w14:paraId="1C23F0E9"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2584D9D3"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Appropriate duration</w:t>
            </w:r>
          </w:p>
        </w:tc>
        <w:tc>
          <w:tcPr>
            <w:tcW w:w="648" w:type="dxa"/>
            <w:tcBorders>
              <w:top w:val="nil"/>
              <w:left w:val="nil"/>
              <w:bottom w:val="nil"/>
              <w:right w:val="nil"/>
            </w:tcBorders>
            <w:tcMar>
              <w:top w:w="0" w:type="dxa"/>
              <w:left w:w="0" w:type="dxa"/>
              <w:bottom w:w="0" w:type="dxa"/>
              <w:right w:w="0" w:type="dxa"/>
            </w:tcMar>
            <w:vAlign w:val="center"/>
          </w:tcPr>
          <w:p w14:paraId="74A53C7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5.29</w:t>
            </w:r>
          </w:p>
        </w:tc>
        <w:tc>
          <w:tcPr>
            <w:tcW w:w="648" w:type="dxa"/>
            <w:tcBorders>
              <w:top w:val="nil"/>
              <w:left w:val="nil"/>
              <w:bottom w:val="nil"/>
              <w:right w:val="nil"/>
            </w:tcBorders>
            <w:tcMar>
              <w:top w:w="0" w:type="dxa"/>
              <w:left w:w="0" w:type="dxa"/>
              <w:bottom w:w="0" w:type="dxa"/>
              <w:right w:w="0" w:type="dxa"/>
            </w:tcMar>
            <w:vAlign w:val="center"/>
          </w:tcPr>
          <w:p w14:paraId="020E29CE"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top w:val="nil"/>
              <w:left w:val="nil"/>
              <w:bottom w:val="nil"/>
              <w:right w:val="nil"/>
            </w:tcBorders>
            <w:tcMar>
              <w:top w:w="0" w:type="dxa"/>
              <w:left w:w="0" w:type="dxa"/>
              <w:bottom w:w="0" w:type="dxa"/>
              <w:right w:w="0" w:type="dxa"/>
            </w:tcMar>
            <w:vAlign w:val="center"/>
          </w:tcPr>
          <w:p w14:paraId="746685B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88.57%</w:t>
            </w:r>
          </w:p>
        </w:tc>
      </w:tr>
      <w:tr w:rsidR="008A7C86" w14:paraId="5068EA5D"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29DDCCC6" w14:textId="4A547ECD" w:rsidR="008A7C86" w:rsidRDefault="00A46094"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Appropriate time of year (i.e., summer during break periods, etc.)</w:t>
            </w:r>
          </w:p>
        </w:tc>
        <w:tc>
          <w:tcPr>
            <w:tcW w:w="648" w:type="dxa"/>
            <w:tcBorders>
              <w:top w:val="nil"/>
              <w:left w:val="nil"/>
              <w:bottom w:val="nil"/>
              <w:right w:val="nil"/>
            </w:tcBorders>
            <w:tcMar>
              <w:top w:w="0" w:type="dxa"/>
              <w:left w:w="0" w:type="dxa"/>
              <w:bottom w:w="0" w:type="dxa"/>
              <w:right w:w="0" w:type="dxa"/>
            </w:tcMar>
            <w:vAlign w:val="center"/>
          </w:tcPr>
          <w:p w14:paraId="3D058F4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5.29</w:t>
            </w:r>
          </w:p>
        </w:tc>
        <w:tc>
          <w:tcPr>
            <w:tcW w:w="648" w:type="dxa"/>
            <w:tcBorders>
              <w:top w:val="nil"/>
              <w:left w:val="nil"/>
              <w:bottom w:val="nil"/>
              <w:right w:val="nil"/>
            </w:tcBorders>
            <w:tcMar>
              <w:top w:w="0" w:type="dxa"/>
              <w:left w:w="0" w:type="dxa"/>
              <w:bottom w:w="0" w:type="dxa"/>
              <w:right w:w="0" w:type="dxa"/>
            </w:tcMar>
            <w:vAlign w:val="center"/>
          </w:tcPr>
          <w:p w14:paraId="1955D42F"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0.96</w:t>
            </w:r>
          </w:p>
        </w:tc>
        <w:tc>
          <w:tcPr>
            <w:tcW w:w="1296" w:type="dxa"/>
            <w:tcBorders>
              <w:top w:val="nil"/>
              <w:left w:val="nil"/>
              <w:bottom w:val="nil"/>
              <w:right w:val="nil"/>
            </w:tcBorders>
            <w:tcMar>
              <w:top w:w="0" w:type="dxa"/>
              <w:left w:w="0" w:type="dxa"/>
              <w:bottom w:w="0" w:type="dxa"/>
              <w:right w:w="0" w:type="dxa"/>
            </w:tcMar>
            <w:vAlign w:val="center"/>
          </w:tcPr>
          <w:p w14:paraId="0CB9D68F"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85.71%</w:t>
            </w:r>
          </w:p>
        </w:tc>
      </w:tr>
      <w:tr w:rsidR="008A7C86" w14:paraId="25EF0155"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63F3D763" w14:textId="7751C605" w:rsidR="008A7C86" w:rsidRDefault="00A46094"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Encouraging</w:t>
            </w:r>
          </w:p>
        </w:tc>
        <w:tc>
          <w:tcPr>
            <w:tcW w:w="648" w:type="dxa"/>
            <w:tcBorders>
              <w:top w:val="nil"/>
              <w:left w:val="nil"/>
              <w:bottom w:val="nil"/>
              <w:right w:val="nil"/>
            </w:tcBorders>
            <w:tcMar>
              <w:top w:w="0" w:type="dxa"/>
              <w:left w:w="0" w:type="dxa"/>
              <w:bottom w:w="0" w:type="dxa"/>
              <w:right w:w="0" w:type="dxa"/>
            </w:tcMar>
            <w:vAlign w:val="center"/>
          </w:tcPr>
          <w:p w14:paraId="1C9AD67F"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5.17</w:t>
            </w:r>
          </w:p>
        </w:tc>
        <w:tc>
          <w:tcPr>
            <w:tcW w:w="648" w:type="dxa"/>
            <w:tcBorders>
              <w:top w:val="nil"/>
              <w:left w:val="nil"/>
              <w:bottom w:val="nil"/>
              <w:right w:val="nil"/>
            </w:tcBorders>
            <w:tcMar>
              <w:top w:w="0" w:type="dxa"/>
              <w:left w:w="0" w:type="dxa"/>
              <w:bottom w:w="0" w:type="dxa"/>
              <w:right w:w="0" w:type="dxa"/>
            </w:tcMar>
            <w:vAlign w:val="center"/>
          </w:tcPr>
          <w:p w14:paraId="7B237E54"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1296" w:type="dxa"/>
            <w:tcBorders>
              <w:top w:val="nil"/>
              <w:left w:val="nil"/>
              <w:bottom w:val="nil"/>
              <w:right w:val="nil"/>
            </w:tcBorders>
            <w:tcMar>
              <w:top w:w="0" w:type="dxa"/>
              <w:left w:w="0" w:type="dxa"/>
              <w:bottom w:w="0" w:type="dxa"/>
              <w:right w:w="0" w:type="dxa"/>
            </w:tcMar>
            <w:vAlign w:val="center"/>
          </w:tcPr>
          <w:p w14:paraId="1BB2659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82.86%</w:t>
            </w:r>
          </w:p>
        </w:tc>
      </w:tr>
      <w:tr w:rsidR="008A7C86" w14:paraId="1B226B59"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5D12E04F"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Collaborative</w:t>
            </w:r>
          </w:p>
        </w:tc>
        <w:tc>
          <w:tcPr>
            <w:tcW w:w="648" w:type="dxa"/>
            <w:tcBorders>
              <w:top w:val="nil"/>
              <w:left w:val="nil"/>
              <w:bottom w:val="nil"/>
              <w:right w:val="nil"/>
            </w:tcBorders>
            <w:tcMar>
              <w:top w:w="0" w:type="dxa"/>
              <w:left w:w="0" w:type="dxa"/>
              <w:bottom w:w="0" w:type="dxa"/>
              <w:right w:w="0" w:type="dxa"/>
            </w:tcMar>
            <w:vAlign w:val="center"/>
          </w:tcPr>
          <w:p w14:paraId="38342D0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5.17</w:t>
            </w:r>
          </w:p>
        </w:tc>
        <w:tc>
          <w:tcPr>
            <w:tcW w:w="648" w:type="dxa"/>
            <w:tcBorders>
              <w:top w:val="nil"/>
              <w:left w:val="nil"/>
              <w:bottom w:val="nil"/>
              <w:right w:val="nil"/>
            </w:tcBorders>
            <w:tcMar>
              <w:top w:w="0" w:type="dxa"/>
              <w:left w:w="0" w:type="dxa"/>
              <w:bottom w:w="0" w:type="dxa"/>
              <w:right w:w="0" w:type="dxa"/>
            </w:tcMar>
            <w:vAlign w:val="center"/>
          </w:tcPr>
          <w:p w14:paraId="44AF9EA9"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0.79</w:t>
            </w:r>
          </w:p>
        </w:tc>
        <w:tc>
          <w:tcPr>
            <w:tcW w:w="1296" w:type="dxa"/>
            <w:tcBorders>
              <w:top w:val="nil"/>
              <w:left w:val="nil"/>
              <w:bottom w:val="nil"/>
              <w:right w:val="nil"/>
            </w:tcBorders>
            <w:tcMar>
              <w:top w:w="0" w:type="dxa"/>
              <w:left w:w="0" w:type="dxa"/>
              <w:bottom w:w="0" w:type="dxa"/>
              <w:right w:w="0" w:type="dxa"/>
            </w:tcMar>
            <w:vAlign w:val="center"/>
          </w:tcPr>
          <w:p w14:paraId="206699AE"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82.86%</w:t>
            </w:r>
          </w:p>
        </w:tc>
      </w:tr>
      <w:tr w:rsidR="008A7C86" w14:paraId="549CB663"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127D0595"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Facilitated in a comfortable setting</w:t>
            </w:r>
          </w:p>
        </w:tc>
        <w:tc>
          <w:tcPr>
            <w:tcW w:w="648" w:type="dxa"/>
            <w:tcBorders>
              <w:top w:val="nil"/>
              <w:left w:val="nil"/>
              <w:bottom w:val="nil"/>
              <w:right w:val="nil"/>
            </w:tcBorders>
            <w:tcMar>
              <w:top w:w="0" w:type="dxa"/>
              <w:left w:w="0" w:type="dxa"/>
              <w:bottom w:w="0" w:type="dxa"/>
              <w:right w:w="0" w:type="dxa"/>
            </w:tcMar>
            <w:vAlign w:val="center"/>
          </w:tcPr>
          <w:p w14:paraId="614BED35"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5.17</w:t>
            </w:r>
          </w:p>
        </w:tc>
        <w:tc>
          <w:tcPr>
            <w:tcW w:w="648" w:type="dxa"/>
            <w:tcBorders>
              <w:top w:val="nil"/>
              <w:left w:val="nil"/>
              <w:bottom w:val="nil"/>
              <w:right w:val="nil"/>
            </w:tcBorders>
            <w:tcMar>
              <w:top w:w="0" w:type="dxa"/>
              <w:left w:w="0" w:type="dxa"/>
              <w:bottom w:w="0" w:type="dxa"/>
              <w:right w:w="0" w:type="dxa"/>
            </w:tcMar>
            <w:vAlign w:val="center"/>
          </w:tcPr>
          <w:p w14:paraId="38D8006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0.92</w:t>
            </w:r>
          </w:p>
        </w:tc>
        <w:tc>
          <w:tcPr>
            <w:tcW w:w="1296" w:type="dxa"/>
            <w:tcBorders>
              <w:top w:val="nil"/>
              <w:left w:val="nil"/>
              <w:bottom w:val="nil"/>
              <w:right w:val="nil"/>
            </w:tcBorders>
            <w:tcMar>
              <w:top w:w="0" w:type="dxa"/>
              <w:left w:w="0" w:type="dxa"/>
              <w:bottom w:w="0" w:type="dxa"/>
              <w:right w:w="0" w:type="dxa"/>
            </w:tcMar>
            <w:vAlign w:val="center"/>
          </w:tcPr>
          <w:p w14:paraId="5194CD8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r w:rsidR="008A7C86" w14:paraId="5C2EA04E" w14:textId="77777777" w:rsidTr="00A46094">
        <w:trPr>
          <w:trHeight w:val="274"/>
        </w:trPr>
        <w:tc>
          <w:tcPr>
            <w:tcW w:w="6840" w:type="dxa"/>
            <w:tcBorders>
              <w:left w:val="nil"/>
              <w:bottom w:val="single" w:sz="6" w:space="0" w:color="000000"/>
              <w:right w:val="nil"/>
            </w:tcBorders>
            <w:tcMar>
              <w:top w:w="0" w:type="dxa"/>
              <w:left w:w="100" w:type="dxa"/>
              <w:bottom w:w="0" w:type="dxa"/>
              <w:right w:w="100" w:type="dxa"/>
            </w:tcMar>
            <w:vAlign w:val="center"/>
          </w:tcPr>
          <w:p w14:paraId="1B0DDCB8"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Content begins at an appropriate knowledge level</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7DD92FC5"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4.94</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100A89D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0.94</w:t>
            </w:r>
          </w:p>
        </w:tc>
        <w:tc>
          <w:tcPr>
            <w:tcW w:w="1296" w:type="dxa"/>
            <w:tcBorders>
              <w:top w:val="nil"/>
              <w:left w:val="nil"/>
              <w:bottom w:val="single" w:sz="6" w:space="0" w:color="000000"/>
              <w:right w:val="nil"/>
            </w:tcBorders>
            <w:tcMar>
              <w:top w:w="0" w:type="dxa"/>
              <w:left w:w="0" w:type="dxa"/>
              <w:bottom w:w="0" w:type="dxa"/>
              <w:right w:w="0" w:type="dxa"/>
            </w:tcMar>
            <w:vAlign w:val="center"/>
          </w:tcPr>
          <w:p w14:paraId="7F5788F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77.14%</w:t>
            </w:r>
          </w:p>
        </w:tc>
      </w:tr>
    </w:tbl>
    <w:p w14:paraId="5F2B4BB9" w14:textId="77777777" w:rsidR="00A46094" w:rsidRDefault="00A46094">
      <w:pPr>
        <w:spacing w:line="240" w:lineRule="auto"/>
        <w:rPr>
          <w:rFonts w:ascii="Times New Roman" w:eastAsia="Times New Roman" w:hAnsi="Times New Roman" w:cs="Times New Roman"/>
          <w:b/>
          <w:bCs/>
          <w:sz w:val="24"/>
          <w:szCs w:val="24"/>
        </w:rPr>
      </w:pPr>
    </w:p>
    <w:p w14:paraId="03C8C740" w14:textId="1B04E215"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Objective 3: Characteristics of Professional Development (Facilitator)</w:t>
      </w:r>
    </w:p>
    <w:p w14:paraId="48909FD7"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Lastly, experts accepted nine facilitator-based characteristics. These facilitator-based characteristics refer to the skills and qualities of an individual who leads effective professional development in agricultural education settings. On average, experts perceived the facilitator having an engaging, innovative approach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0.66), demonstrating knowledge with the subject matter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0.74), and demonstrating a professional disposition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5.37;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0.73) as the most important characteristics within this theme (see Table 4).</w:t>
      </w:r>
    </w:p>
    <w:p w14:paraId="6F50E0C8" w14:textId="77777777" w:rsidR="008A7C86" w:rsidRDefault="008A7C86">
      <w:pPr>
        <w:spacing w:line="240" w:lineRule="auto"/>
        <w:rPr>
          <w:rFonts w:ascii="Times New Roman" w:eastAsia="Times New Roman" w:hAnsi="Times New Roman" w:cs="Times New Roman"/>
          <w:sz w:val="24"/>
          <w:szCs w:val="24"/>
        </w:rPr>
      </w:pPr>
    </w:p>
    <w:p w14:paraId="0CCC4528"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4</w:t>
      </w:r>
    </w:p>
    <w:p w14:paraId="1385C39C" w14:textId="77777777" w:rsidR="008A7C86"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facilitator-based characteristics (n = 35)</w:t>
      </w:r>
    </w:p>
    <w:tbl>
      <w:tblPr>
        <w:tblStyle w:val="a2"/>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8A7C86" w14:paraId="7BF50D1B" w14:textId="77777777">
        <w:tc>
          <w:tcPr>
            <w:tcW w:w="6840" w:type="dxa"/>
            <w:tcBorders>
              <w:top w:val="single" w:sz="6" w:space="0" w:color="000000"/>
              <w:bottom w:val="single" w:sz="8" w:space="0" w:color="000000"/>
            </w:tcBorders>
            <w:tcMar>
              <w:top w:w="0" w:type="dxa"/>
              <w:bottom w:w="0" w:type="dxa"/>
            </w:tcMar>
            <w:vAlign w:val="center"/>
          </w:tcPr>
          <w:p w14:paraId="0DADF45E"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5847291" w14:textId="77777777" w:rsidR="008A7C86"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252C1C43" w14:textId="77777777" w:rsidR="008A7C86"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28450C49"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8A7C86" w14:paraId="4E24BD35"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0304B4AE"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Engaging, innovative approach</w:t>
            </w:r>
          </w:p>
        </w:tc>
        <w:tc>
          <w:tcPr>
            <w:tcW w:w="648" w:type="dxa"/>
            <w:tcBorders>
              <w:top w:val="nil"/>
              <w:left w:val="nil"/>
              <w:bottom w:val="nil"/>
              <w:right w:val="nil"/>
            </w:tcBorders>
            <w:tcMar>
              <w:top w:w="0" w:type="dxa"/>
              <w:left w:w="0" w:type="dxa"/>
              <w:bottom w:w="0" w:type="dxa"/>
              <w:right w:w="0" w:type="dxa"/>
            </w:tcMar>
            <w:vAlign w:val="center"/>
          </w:tcPr>
          <w:p w14:paraId="6694320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5.54</w:t>
            </w:r>
          </w:p>
        </w:tc>
        <w:tc>
          <w:tcPr>
            <w:tcW w:w="648" w:type="dxa"/>
            <w:tcBorders>
              <w:top w:val="nil"/>
              <w:left w:val="nil"/>
              <w:bottom w:val="nil"/>
              <w:right w:val="nil"/>
            </w:tcBorders>
            <w:tcMar>
              <w:top w:w="0" w:type="dxa"/>
              <w:left w:w="0" w:type="dxa"/>
              <w:bottom w:w="0" w:type="dxa"/>
              <w:right w:w="0" w:type="dxa"/>
            </w:tcMar>
            <w:vAlign w:val="center"/>
          </w:tcPr>
          <w:p w14:paraId="5E5026F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0.66</w:t>
            </w:r>
          </w:p>
        </w:tc>
        <w:tc>
          <w:tcPr>
            <w:tcW w:w="1296" w:type="dxa"/>
            <w:tcBorders>
              <w:top w:val="nil"/>
              <w:left w:val="nil"/>
              <w:bottom w:val="nil"/>
              <w:right w:val="nil"/>
            </w:tcBorders>
            <w:tcMar>
              <w:top w:w="0" w:type="dxa"/>
              <w:left w:w="0" w:type="dxa"/>
              <w:bottom w:w="0" w:type="dxa"/>
              <w:right w:w="0" w:type="dxa"/>
            </w:tcMar>
            <w:vAlign w:val="center"/>
          </w:tcPr>
          <w:p w14:paraId="43F2A159"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91.43%</w:t>
            </w:r>
          </w:p>
        </w:tc>
      </w:tr>
      <w:tr w:rsidR="008A7C86" w14:paraId="7827059C"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727B66FA"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Knowledgeable with the subject matter</w:t>
            </w:r>
          </w:p>
        </w:tc>
        <w:tc>
          <w:tcPr>
            <w:tcW w:w="648" w:type="dxa"/>
            <w:tcBorders>
              <w:top w:val="nil"/>
              <w:left w:val="nil"/>
              <w:bottom w:val="nil"/>
              <w:right w:val="nil"/>
            </w:tcBorders>
            <w:tcMar>
              <w:top w:w="0" w:type="dxa"/>
              <w:left w:w="0" w:type="dxa"/>
              <w:bottom w:w="0" w:type="dxa"/>
              <w:right w:w="0" w:type="dxa"/>
            </w:tcMar>
            <w:vAlign w:val="center"/>
          </w:tcPr>
          <w:p w14:paraId="032A850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5.54</w:t>
            </w:r>
          </w:p>
        </w:tc>
        <w:tc>
          <w:tcPr>
            <w:tcW w:w="648" w:type="dxa"/>
            <w:tcBorders>
              <w:top w:val="nil"/>
              <w:left w:val="nil"/>
              <w:bottom w:val="nil"/>
              <w:right w:val="nil"/>
            </w:tcBorders>
            <w:tcMar>
              <w:top w:w="0" w:type="dxa"/>
              <w:left w:w="0" w:type="dxa"/>
              <w:bottom w:w="0" w:type="dxa"/>
              <w:right w:w="0" w:type="dxa"/>
            </w:tcMar>
            <w:vAlign w:val="center"/>
          </w:tcPr>
          <w:p w14:paraId="113E08EE"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0.74</w:t>
            </w:r>
          </w:p>
        </w:tc>
        <w:tc>
          <w:tcPr>
            <w:tcW w:w="1296" w:type="dxa"/>
            <w:tcBorders>
              <w:top w:val="nil"/>
              <w:left w:val="nil"/>
              <w:bottom w:val="nil"/>
              <w:right w:val="nil"/>
            </w:tcBorders>
            <w:tcMar>
              <w:top w:w="0" w:type="dxa"/>
              <w:left w:w="0" w:type="dxa"/>
              <w:bottom w:w="0" w:type="dxa"/>
              <w:right w:w="0" w:type="dxa"/>
            </w:tcMar>
            <w:vAlign w:val="center"/>
          </w:tcPr>
          <w:p w14:paraId="13E94C76"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91.43%</w:t>
            </w:r>
          </w:p>
        </w:tc>
      </w:tr>
      <w:tr w:rsidR="008A7C86" w14:paraId="6619B699"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0C0F1B19"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disposition</w:t>
            </w:r>
          </w:p>
        </w:tc>
        <w:tc>
          <w:tcPr>
            <w:tcW w:w="648" w:type="dxa"/>
            <w:tcBorders>
              <w:top w:val="nil"/>
              <w:left w:val="nil"/>
              <w:bottom w:val="nil"/>
              <w:right w:val="nil"/>
            </w:tcBorders>
            <w:tcMar>
              <w:top w:w="0" w:type="dxa"/>
              <w:left w:w="0" w:type="dxa"/>
              <w:bottom w:w="0" w:type="dxa"/>
              <w:right w:w="0" w:type="dxa"/>
            </w:tcMar>
            <w:vAlign w:val="center"/>
          </w:tcPr>
          <w:p w14:paraId="3A8F577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5.37</w:t>
            </w:r>
          </w:p>
        </w:tc>
        <w:tc>
          <w:tcPr>
            <w:tcW w:w="648" w:type="dxa"/>
            <w:tcBorders>
              <w:top w:val="nil"/>
              <w:left w:val="nil"/>
              <w:bottom w:val="nil"/>
              <w:right w:val="nil"/>
            </w:tcBorders>
            <w:tcMar>
              <w:top w:w="0" w:type="dxa"/>
              <w:left w:w="0" w:type="dxa"/>
              <w:bottom w:w="0" w:type="dxa"/>
              <w:right w:w="0" w:type="dxa"/>
            </w:tcMar>
            <w:vAlign w:val="center"/>
          </w:tcPr>
          <w:p w14:paraId="281A36DC"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0.73</w:t>
            </w:r>
          </w:p>
        </w:tc>
        <w:tc>
          <w:tcPr>
            <w:tcW w:w="1296" w:type="dxa"/>
            <w:tcBorders>
              <w:top w:val="nil"/>
              <w:left w:val="nil"/>
              <w:bottom w:val="nil"/>
              <w:right w:val="nil"/>
            </w:tcBorders>
            <w:tcMar>
              <w:top w:w="0" w:type="dxa"/>
              <w:left w:w="0" w:type="dxa"/>
              <w:bottom w:w="0" w:type="dxa"/>
              <w:right w:w="0" w:type="dxa"/>
            </w:tcMar>
            <w:vAlign w:val="center"/>
          </w:tcPr>
          <w:p w14:paraId="10B7613A"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91.43%</w:t>
            </w:r>
          </w:p>
        </w:tc>
      </w:tr>
      <w:tr w:rsidR="008A7C86" w14:paraId="0720C454"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037F0532"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Deepens participants’ knowledge of subject matter</w:t>
            </w:r>
          </w:p>
        </w:tc>
        <w:tc>
          <w:tcPr>
            <w:tcW w:w="648" w:type="dxa"/>
            <w:tcBorders>
              <w:top w:val="nil"/>
              <w:left w:val="nil"/>
              <w:bottom w:val="nil"/>
              <w:right w:val="nil"/>
            </w:tcBorders>
            <w:tcMar>
              <w:top w:w="0" w:type="dxa"/>
              <w:left w:w="0" w:type="dxa"/>
              <w:bottom w:w="0" w:type="dxa"/>
              <w:right w:w="0" w:type="dxa"/>
            </w:tcMar>
            <w:vAlign w:val="center"/>
          </w:tcPr>
          <w:p w14:paraId="3AF6FB1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5.34</w:t>
            </w:r>
          </w:p>
        </w:tc>
        <w:tc>
          <w:tcPr>
            <w:tcW w:w="648" w:type="dxa"/>
            <w:tcBorders>
              <w:top w:val="nil"/>
              <w:left w:val="nil"/>
              <w:bottom w:val="nil"/>
              <w:right w:val="nil"/>
            </w:tcBorders>
            <w:tcMar>
              <w:top w:w="0" w:type="dxa"/>
              <w:left w:w="0" w:type="dxa"/>
              <w:bottom w:w="0" w:type="dxa"/>
              <w:right w:w="0" w:type="dxa"/>
            </w:tcMar>
            <w:vAlign w:val="center"/>
          </w:tcPr>
          <w:p w14:paraId="300ACC5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1296" w:type="dxa"/>
            <w:tcBorders>
              <w:top w:val="nil"/>
              <w:left w:val="nil"/>
              <w:bottom w:val="nil"/>
              <w:right w:val="nil"/>
            </w:tcBorders>
            <w:tcMar>
              <w:top w:w="0" w:type="dxa"/>
              <w:left w:w="0" w:type="dxa"/>
              <w:bottom w:w="0" w:type="dxa"/>
              <w:right w:w="0" w:type="dxa"/>
            </w:tcMar>
            <w:vAlign w:val="center"/>
          </w:tcPr>
          <w:p w14:paraId="294CECAF"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88.57%</w:t>
            </w:r>
          </w:p>
        </w:tc>
      </w:tr>
      <w:tr w:rsidR="008A7C86" w14:paraId="17FB23FD"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0F187A53"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Positive disposition</w:t>
            </w:r>
          </w:p>
        </w:tc>
        <w:tc>
          <w:tcPr>
            <w:tcW w:w="648" w:type="dxa"/>
            <w:tcBorders>
              <w:top w:val="nil"/>
              <w:left w:val="nil"/>
              <w:bottom w:val="nil"/>
              <w:right w:val="nil"/>
            </w:tcBorders>
            <w:tcMar>
              <w:top w:w="0" w:type="dxa"/>
              <w:left w:w="0" w:type="dxa"/>
              <w:bottom w:w="0" w:type="dxa"/>
              <w:right w:w="0" w:type="dxa"/>
            </w:tcMar>
            <w:vAlign w:val="center"/>
          </w:tcPr>
          <w:p w14:paraId="39197148"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5.29</w:t>
            </w:r>
          </w:p>
        </w:tc>
        <w:tc>
          <w:tcPr>
            <w:tcW w:w="648" w:type="dxa"/>
            <w:tcBorders>
              <w:top w:val="nil"/>
              <w:left w:val="nil"/>
              <w:bottom w:val="nil"/>
              <w:right w:val="nil"/>
            </w:tcBorders>
            <w:tcMar>
              <w:top w:w="0" w:type="dxa"/>
              <w:left w:w="0" w:type="dxa"/>
              <w:bottom w:w="0" w:type="dxa"/>
              <w:right w:w="0" w:type="dxa"/>
            </w:tcMar>
            <w:vAlign w:val="center"/>
          </w:tcPr>
          <w:p w14:paraId="201BBAAA"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1296" w:type="dxa"/>
            <w:tcBorders>
              <w:top w:val="nil"/>
              <w:left w:val="nil"/>
              <w:bottom w:val="nil"/>
              <w:right w:val="nil"/>
            </w:tcBorders>
            <w:tcMar>
              <w:top w:w="0" w:type="dxa"/>
              <w:left w:w="0" w:type="dxa"/>
              <w:bottom w:w="0" w:type="dxa"/>
              <w:right w:w="0" w:type="dxa"/>
            </w:tcMar>
            <w:vAlign w:val="center"/>
          </w:tcPr>
          <w:p w14:paraId="62D4C7A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91.43%</w:t>
            </w:r>
          </w:p>
        </w:tc>
      </w:tr>
      <w:tr w:rsidR="008A7C86" w14:paraId="313A868E"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18A052BD"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Willingness to collaborate with participants</w:t>
            </w:r>
          </w:p>
        </w:tc>
        <w:tc>
          <w:tcPr>
            <w:tcW w:w="648" w:type="dxa"/>
            <w:tcBorders>
              <w:top w:val="nil"/>
              <w:left w:val="nil"/>
              <w:bottom w:val="nil"/>
              <w:right w:val="nil"/>
            </w:tcBorders>
            <w:tcMar>
              <w:top w:w="0" w:type="dxa"/>
              <w:left w:w="0" w:type="dxa"/>
              <w:bottom w:w="0" w:type="dxa"/>
              <w:right w:w="0" w:type="dxa"/>
            </w:tcMar>
            <w:vAlign w:val="center"/>
          </w:tcPr>
          <w:p w14:paraId="5992EE7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5.29</w:t>
            </w:r>
          </w:p>
        </w:tc>
        <w:tc>
          <w:tcPr>
            <w:tcW w:w="648" w:type="dxa"/>
            <w:tcBorders>
              <w:top w:val="nil"/>
              <w:left w:val="nil"/>
              <w:bottom w:val="nil"/>
              <w:right w:val="nil"/>
            </w:tcBorders>
            <w:tcMar>
              <w:top w:w="0" w:type="dxa"/>
              <w:left w:w="0" w:type="dxa"/>
              <w:bottom w:w="0" w:type="dxa"/>
              <w:right w:w="0" w:type="dxa"/>
            </w:tcMar>
            <w:vAlign w:val="center"/>
          </w:tcPr>
          <w:p w14:paraId="74D3CC0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0.79</w:t>
            </w:r>
          </w:p>
        </w:tc>
        <w:tc>
          <w:tcPr>
            <w:tcW w:w="1296" w:type="dxa"/>
            <w:tcBorders>
              <w:top w:val="nil"/>
              <w:left w:val="nil"/>
              <w:bottom w:val="nil"/>
              <w:right w:val="nil"/>
            </w:tcBorders>
            <w:tcMar>
              <w:top w:w="0" w:type="dxa"/>
              <w:left w:w="0" w:type="dxa"/>
              <w:bottom w:w="0" w:type="dxa"/>
              <w:right w:w="0" w:type="dxa"/>
            </w:tcMar>
            <w:vAlign w:val="center"/>
          </w:tcPr>
          <w:p w14:paraId="7C46551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91.43%</w:t>
            </w:r>
          </w:p>
        </w:tc>
      </w:tr>
      <w:tr w:rsidR="008A7C86" w14:paraId="5E8D1BBD"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2D48C888"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Demonstrates quality verbal instruction</w:t>
            </w:r>
          </w:p>
        </w:tc>
        <w:tc>
          <w:tcPr>
            <w:tcW w:w="648" w:type="dxa"/>
            <w:tcBorders>
              <w:top w:val="nil"/>
              <w:left w:val="nil"/>
              <w:bottom w:val="nil"/>
              <w:right w:val="nil"/>
            </w:tcBorders>
            <w:tcMar>
              <w:top w:w="0" w:type="dxa"/>
              <w:left w:w="0" w:type="dxa"/>
              <w:bottom w:w="0" w:type="dxa"/>
              <w:right w:w="0" w:type="dxa"/>
            </w:tcMar>
            <w:vAlign w:val="center"/>
          </w:tcPr>
          <w:p w14:paraId="5C41E62B"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5.14</w:t>
            </w:r>
          </w:p>
        </w:tc>
        <w:tc>
          <w:tcPr>
            <w:tcW w:w="648" w:type="dxa"/>
            <w:tcBorders>
              <w:top w:val="nil"/>
              <w:left w:val="nil"/>
              <w:bottom w:val="nil"/>
              <w:right w:val="nil"/>
            </w:tcBorders>
            <w:tcMar>
              <w:top w:w="0" w:type="dxa"/>
              <w:left w:w="0" w:type="dxa"/>
              <w:bottom w:w="0" w:type="dxa"/>
              <w:right w:w="0" w:type="dxa"/>
            </w:tcMar>
            <w:vAlign w:val="center"/>
          </w:tcPr>
          <w:p w14:paraId="6727D483"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0.68</w:t>
            </w:r>
          </w:p>
        </w:tc>
        <w:tc>
          <w:tcPr>
            <w:tcW w:w="1296" w:type="dxa"/>
            <w:tcBorders>
              <w:top w:val="nil"/>
              <w:left w:val="nil"/>
              <w:bottom w:val="nil"/>
              <w:right w:val="nil"/>
            </w:tcBorders>
            <w:tcMar>
              <w:top w:w="0" w:type="dxa"/>
              <w:left w:w="0" w:type="dxa"/>
              <w:bottom w:w="0" w:type="dxa"/>
              <w:right w:w="0" w:type="dxa"/>
            </w:tcMar>
            <w:vAlign w:val="center"/>
          </w:tcPr>
          <w:p w14:paraId="7E109E1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82.86%</w:t>
            </w:r>
          </w:p>
        </w:tc>
      </w:tr>
      <w:tr w:rsidR="008A7C86" w14:paraId="69E6B087" w14:textId="77777777" w:rsidTr="00A46094">
        <w:trPr>
          <w:trHeight w:val="274"/>
        </w:trPr>
        <w:tc>
          <w:tcPr>
            <w:tcW w:w="6840" w:type="dxa"/>
            <w:tcBorders>
              <w:top w:val="nil"/>
              <w:left w:val="nil"/>
              <w:bottom w:val="nil"/>
              <w:right w:val="nil"/>
            </w:tcBorders>
            <w:tcMar>
              <w:top w:w="0" w:type="dxa"/>
              <w:left w:w="100" w:type="dxa"/>
              <w:bottom w:w="0" w:type="dxa"/>
              <w:right w:w="100" w:type="dxa"/>
            </w:tcMar>
            <w:vAlign w:val="center"/>
          </w:tcPr>
          <w:p w14:paraId="666DFD98"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Offers feedback to participants</w:t>
            </w:r>
          </w:p>
        </w:tc>
        <w:tc>
          <w:tcPr>
            <w:tcW w:w="648" w:type="dxa"/>
            <w:tcBorders>
              <w:top w:val="nil"/>
              <w:left w:val="nil"/>
              <w:bottom w:val="nil"/>
              <w:right w:val="nil"/>
            </w:tcBorders>
            <w:tcMar>
              <w:top w:w="0" w:type="dxa"/>
              <w:left w:w="0" w:type="dxa"/>
              <w:bottom w:w="0" w:type="dxa"/>
              <w:right w:w="0" w:type="dxa"/>
            </w:tcMar>
            <w:vAlign w:val="center"/>
          </w:tcPr>
          <w:p w14:paraId="24A6AB8D"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p>
        </w:tc>
        <w:tc>
          <w:tcPr>
            <w:tcW w:w="648" w:type="dxa"/>
            <w:tcBorders>
              <w:top w:val="nil"/>
              <w:left w:val="nil"/>
              <w:bottom w:val="nil"/>
              <w:right w:val="nil"/>
            </w:tcBorders>
            <w:tcMar>
              <w:top w:w="0" w:type="dxa"/>
              <w:left w:w="0" w:type="dxa"/>
              <w:bottom w:w="0" w:type="dxa"/>
              <w:right w:w="0" w:type="dxa"/>
            </w:tcMar>
            <w:vAlign w:val="center"/>
          </w:tcPr>
          <w:p w14:paraId="29101950"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0.93</w:t>
            </w:r>
          </w:p>
        </w:tc>
        <w:tc>
          <w:tcPr>
            <w:tcW w:w="1296" w:type="dxa"/>
            <w:tcBorders>
              <w:top w:val="nil"/>
              <w:left w:val="nil"/>
              <w:bottom w:val="nil"/>
              <w:right w:val="nil"/>
            </w:tcBorders>
            <w:tcMar>
              <w:top w:w="0" w:type="dxa"/>
              <w:left w:w="0" w:type="dxa"/>
              <w:bottom w:w="0" w:type="dxa"/>
              <w:right w:w="0" w:type="dxa"/>
            </w:tcMar>
            <w:vAlign w:val="center"/>
          </w:tcPr>
          <w:p w14:paraId="69A7EAC6"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82.86%</w:t>
            </w:r>
          </w:p>
        </w:tc>
      </w:tr>
      <w:tr w:rsidR="008A7C86" w14:paraId="59B07F7C" w14:textId="77777777" w:rsidTr="00A46094">
        <w:trPr>
          <w:trHeight w:val="274"/>
        </w:trPr>
        <w:tc>
          <w:tcPr>
            <w:tcW w:w="6840" w:type="dxa"/>
            <w:tcBorders>
              <w:left w:val="nil"/>
              <w:bottom w:val="single" w:sz="6" w:space="0" w:color="000000"/>
              <w:right w:val="nil"/>
            </w:tcBorders>
            <w:tcMar>
              <w:top w:w="0" w:type="dxa"/>
              <w:left w:w="100" w:type="dxa"/>
              <w:bottom w:w="0" w:type="dxa"/>
              <w:right w:w="100" w:type="dxa"/>
            </w:tcMar>
            <w:vAlign w:val="center"/>
          </w:tcPr>
          <w:p w14:paraId="520F1BE2" w14:textId="77777777" w:rsidR="008A7C86" w:rsidRDefault="00000000" w:rsidP="00A460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Supports participants in customizing ideas to fit their local contexts</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28AD9C12"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5.06</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274938C1"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0.83</w:t>
            </w:r>
          </w:p>
        </w:tc>
        <w:tc>
          <w:tcPr>
            <w:tcW w:w="1296" w:type="dxa"/>
            <w:tcBorders>
              <w:top w:val="nil"/>
              <w:left w:val="nil"/>
              <w:bottom w:val="single" w:sz="6" w:space="0" w:color="000000"/>
              <w:right w:val="nil"/>
            </w:tcBorders>
            <w:tcMar>
              <w:top w:w="0" w:type="dxa"/>
              <w:left w:w="0" w:type="dxa"/>
              <w:bottom w:w="0" w:type="dxa"/>
              <w:right w:w="0" w:type="dxa"/>
            </w:tcMar>
            <w:vAlign w:val="center"/>
          </w:tcPr>
          <w:p w14:paraId="3F131244"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82.86%</w:t>
            </w:r>
          </w:p>
        </w:tc>
      </w:tr>
    </w:tbl>
    <w:p w14:paraId="6317AE82" w14:textId="77777777" w:rsidR="008A7C86" w:rsidRDefault="008A7C86">
      <w:pPr>
        <w:spacing w:line="240" w:lineRule="auto"/>
        <w:rPr>
          <w:rFonts w:ascii="Times New Roman" w:eastAsia="Times New Roman" w:hAnsi="Times New Roman" w:cs="Times New Roman"/>
          <w:i/>
          <w:iCs/>
          <w:sz w:val="24"/>
          <w:szCs w:val="24"/>
        </w:rPr>
      </w:pPr>
    </w:p>
    <w:p w14:paraId="1E8E91BD"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Conclusions and Recommendations</w:t>
      </w:r>
    </w:p>
    <w:p w14:paraId="5E79B156" w14:textId="77777777" w:rsidR="008A7C86" w:rsidRDefault="008A7C86">
      <w:pPr>
        <w:spacing w:line="240" w:lineRule="auto"/>
        <w:rPr>
          <w:rFonts w:ascii="Times New Roman" w:eastAsia="Times New Roman" w:hAnsi="Times New Roman" w:cs="Times New Roman"/>
          <w:sz w:val="24"/>
          <w:szCs w:val="24"/>
        </w:rPr>
      </w:pPr>
    </w:p>
    <w:p w14:paraId="7D951A7D"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was to identify the characteristics of effective professional development in agricultural education as indicated by a panel of agricultural education experts. While a study of general professional development conducted by Garet et al. (2001) found the core features of professional development consist of the inclusion of relevant content, the selection of appropriate learning modalities, and establishing coherence within the activities and learning, our work expands on these findings through receiving validation from an expert panel and makes specific recommendations for professional development within agricultural education.</w:t>
      </w:r>
    </w:p>
    <w:p w14:paraId="5C261CFA" w14:textId="77777777" w:rsidR="008A7C86" w:rsidRDefault="008A7C86">
      <w:pPr>
        <w:spacing w:line="240" w:lineRule="auto"/>
        <w:rPr>
          <w:rFonts w:ascii="Times New Roman" w:eastAsia="Times New Roman" w:hAnsi="Times New Roman" w:cs="Times New Roman"/>
          <w:sz w:val="24"/>
          <w:szCs w:val="24"/>
        </w:rPr>
      </w:pPr>
    </w:p>
    <w:p w14:paraId="3D328E7E"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size and retention of our panel of experts enable us to have greater confidence in the reliability of our findings (Dalkey et al., 1972), we acknowledge that this study has limitations that are important to consider when evaluating the findings. First, we acknowledge while we had equal representation from our three key stakeholder groups, (a) in-service school-based agricultural educators who consistently engage in professional development, (b) professional development providers or stakeholders, and (c) agricultural education faculty members who conduct research in professional development, we recognize this is only a small sampling of the broader population of individuals within those three groups. Future work should aim to validate the findings of this study within these three stakeholder groups to confirm agreement with the characteristics. Additionally, the breadth of this study could also be considered another limitation. Several panelists highlighted the subjectivity of the terms, noting that while many of these terms are crucial in professional development, their significance may vary across different settings and situations. For example, depending on the topic or mode of delivery, having a hands-on approach at a professional development may not be an important characteristic or consideration, especially if it is an online experience. Given the diverse opinions gathered on </w:t>
      </w:r>
      <w:r>
        <w:rPr>
          <w:rFonts w:ascii="Times New Roman" w:eastAsia="Times New Roman" w:hAnsi="Times New Roman" w:cs="Times New Roman"/>
          <w:sz w:val="24"/>
          <w:szCs w:val="24"/>
        </w:rPr>
        <w:lastRenderedPageBreak/>
        <w:t>several of these items, they were unable to reach consensus and were therefore eliminated from the study. Future work should consider having a more focused research question—for example, identifying the characteristics of content-based professional development in agricultural education or identifying the characteristics of professional development in agricultural education offered in virtual settings—to maximize clarity for participants. However, the experts agreed that the 46 characteristics could be used to evaluate nearly any type of agricultural education professional development experience, serving as a good foundation and starting point for future research examining professional development in agricultural education.</w:t>
      </w:r>
    </w:p>
    <w:p w14:paraId="57915249" w14:textId="77777777" w:rsidR="008A7C86" w:rsidRDefault="008A7C86">
      <w:pPr>
        <w:spacing w:line="240" w:lineRule="auto"/>
        <w:rPr>
          <w:rFonts w:ascii="Times New Roman" w:eastAsia="Times New Roman" w:hAnsi="Times New Roman" w:cs="Times New Roman"/>
          <w:sz w:val="24"/>
          <w:szCs w:val="24"/>
        </w:rPr>
      </w:pPr>
    </w:p>
    <w:p w14:paraId="7D0EA48A"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1: Characteristics of Professional Development (Content)</w:t>
      </w:r>
    </w:p>
    <w:p w14:paraId="35CB4329"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key goal of professional development is to enhance teacher knowledge and skills within specific content areas (Bowser et al., 2025; Hainline &amp; Wells, 2019; Rice &amp; Kitchel, 2016; Wood et al., 2024b). The knowledge and skills of teachers are influenced by the content delivered during the professional development engagements they attend (Guskey, 2002). While agricultural education offers a variety of professional development experiences at the local, state, and national level across several topic areas, and the flexibility for many of these experiences to be offered virtually or in-person, the content being presented at these professional development experiences serves as a key driver for the learning which occurs, and the impact which the professional development has within a teacher’s program once they implement what they learned (Guskey, 2002). Experts reached consensus on 11 characteristics related to content; they agreed professional development should be relevant to participants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5.71;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0.52) and address key challenges or issues they are facing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5.46;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0.74). These experiences should be able to be implemented within school-based agricultural education programs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0.78) through providing resources or experiences that are timely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5.14;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0.88) and proven to work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5.17;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0.86). As indicated by Guskey’s (2002) model, these relevant and practical professional development experiences can lead to changes in teachers’ classroom practices.</w:t>
      </w:r>
    </w:p>
    <w:p w14:paraId="51DC4DA4" w14:textId="77777777" w:rsidR="008A7C86" w:rsidRDefault="008A7C86">
      <w:pPr>
        <w:spacing w:line="240" w:lineRule="auto"/>
        <w:rPr>
          <w:rFonts w:ascii="Times New Roman" w:eastAsia="Times New Roman" w:hAnsi="Times New Roman" w:cs="Times New Roman"/>
          <w:sz w:val="24"/>
          <w:szCs w:val="24"/>
        </w:rPr>
      </w:pPr>
    </w:p>
    <w:p w14:paraId="0B9B6CF0"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2: Characteristics of Professional Development (Delivery and Environment)</w:t>
      </w:r>
    </w:p>
    <w:p w14:paraId="64AEFD4A"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considering delivery, experts agreed that among the 18 consensus-achieving delivery characteristics, there should be emphasis placed on peer collaboration and discussion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5.51;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0.61) with a hands-on approach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5.37;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0.77), where participants have the opportunity to work directly with materials or resources offered within in the professional development experience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0.76). Once again, the value of relevance was also apparent in this area—experts agreed learning should be able to be implemented within program contexts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5.31;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0.80) while also increasing participant margin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5.00;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0.94). In a time when teacher burnout is continuing to increase (Smith &amp; Smalley, 2018), the effective delivery of professional development can have the potential to increase teachers’ likelihood of implementing their learning within their program, thereby increasing student learning, and ultimately, influencing teachers’ beliefs and attitudes (Easterly &amp; Myers, 2019; Guskey, 2002). As a result, experts agree that pragmatic experiences, where teachers work directly with the materials their students will use once they implement what they have learned during their professional development, are key features of effective professional development in agricultural education. Experiences offered in agricultural education, such as workshops hosted by CASE, NAAE, and industry stakeholders, have the potential to do this (Curriculum for Agricultural Science Education, 2025; McKim et al., 2017; National Association of Agricultural Educators, 2025; Park &amp; Osborne, 2006a; Park &amp; Osborne, 2006b; Warner &amp; Myers, 2011).</w:t>
      </w:r>
    </w:p>
    <w:p w14:paraId="2837F260"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Further, experts reached consensus on eight items connected to the physical environment of the professional development experience. Experts agreed professional development should strive to offer participants with a positive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0.73), authentic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0.70), collaborative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5.17;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0.79), and appropriately-timed experience, both in terms of length or duration of the experience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5.29;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0.86) and time of the year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5.29;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0.96). Teachers engaging in an environment that is conducive to their learning, and meets their basic social, physical, and psychological needs, will be able to provide them an opportunity to more readily be open to changing their classroom practices (Bowser et al., 2025; Garet et al., 2001; Guskey, 2002). These conducive learning environments can influence student learning and their beliefs and attitudes toward what they are gaining through their investment of time and resources into their professional development (Guskey, 2002).</w:t>
      </w:r>
    </w:p>
    <w:p w14:paraId="055A1556" w14:textId="77777777" w:rsidR="008A7C86" w:rsidRDefault="008A7C86">
      <w:pPr>
        <w:spacing w:line="240" w:lineRule="auto"/>
        <w:rPr>
          <w:rFonts w:ascii="Times New Roman" w:eastAsia="Times New Roman" w:hAnsi="Times New Roman" w:cs="Times New Roman"/>
          <w:sz w:val="24"/>
          <w:szCs w:val="24"/>
        </w:rPr>
      </w:pPr>
    </w:p>
    <w:p w14:paraId="6BF12A27"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3: Characteristics of Professional Development (Facilitator)</w:t>
      </w:r>
    </w:p>
    <w:p w14:paraId="1DEB16ED"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 nine facilitator-based characteristics accepted by the experts, they agreed the facilitator should be knowledgeable with the subject matter at hand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0.74), offer an engaging and innovative approach to the experience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0.66), and maintain a disposition that is both professional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5.37;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0.73) and positive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5.29;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0.71). The ability for the facilitator to not only deepen participants’ knowledge of the subject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5.34;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0.98), but also, to offer them feedback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5.11;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0.93), is important for them to develop their own understanding, and can lead to more impactful change in teachers’ classroom practices (Guskey, 2002). While agricultural education offers a wide range of professional development experiences, regardless of the content area, topic, mode of delivery, or audience, these experiences are driven by the skills and expertise of the person guiding them in their learning—their facilitators. Experts within this study recognize that a professional development facilitator simply knowing or stating information is not enough to make a professional development experience truly effective—this happens when teachers are able to be pushed and guided to a new level (Guskey, 2002). Teachers’ recognition of a shift in their own knowledge, and the ability to reflect on positive changes they notice within their students’ learning, can greatly influence their approach to teaching and learning, and a change in their perceptions on the value of future professional development experiences (Crandall, 1983; Guskey, 2002).</w:t>
      </w:r>
    </w:p>
    <w:p w14:paraId="5EDB4635" w14:textId="77777777" w:rsidR="008A7C86" w:rsidRDefault="008A7C86">
      <w:pPr>
        <w:spacing w:line="240" w:lineRule="auto"/>
        <w:ind w:firstLine="720"/>
        <w:rPr>
          <w:rFonts w:ascii="Times New Roman" w:eastAsia="Times New Roman" w:hAnsi="Times New Roman" w:cs="Times New Roman"/>
          <w:sz w:val="24"/>
          <w:szCs w:val="24"/>
        </w:rPr>
      </w:pPr>
    </w:p>
    <w:p w14:paraId="1D213D5E" w14:textId="77777777" w:rsidR="008A7C86"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Recommendations for Future Research</w:t>
      </w:r>
    </w:p>
    <w:p w14:paraId="1F3BF805"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Objectives 1 and 2, we recommend extending this work by conducting focus groups or interviews to gain a deeper understanding of teacher and facilitator perceptions of effective professional development. This qualitative approach should be conducted before, during, and after a professional development experience, and will help in understanding how participants make sense of and apply their learning from professional development. Questions should seek to understand what participants and facilitators are expecting or valuing from the professional development experience, what might be missing, and how they can see themselves applying their learning in their professional contexts, and exploring how the expert-endorsed content-, delivery- environment-, and facilitator-based characteristics influence their overall experience. Additionally, these qualitative findings may provide an alternative perspective on how these 46 characteristics are experienced and lead to changes in a teacher’s perception of professional development, as well as a shift in their professional practice (Guskey, 2002).</w:t>
      </w:r>
    </w:p>
    <w:p w14:paraId="5AA6AC7C" w14:textId="77777777" w:rsidR="008A7C86" w:rsidRDefault="008A7C86">
      <w:pPr>
        <w:spacing w:line="240" w:lineRule="auto"/>
        <w:rPr>
          <w:rFonts w:ascii="Times New Roman" w:eastAsia="Times New Roman" w:hAnsi="Times New Roman" w:cs="Times New Roman"/>
          <w:sz w:val="24"/>
          <w:szCs w:val="24"/>
        </w:rPr>
      </w:pPr>
    </w:p>
    <w:p w14:paraId="4733F4A0"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Regarding Objective 3, we recommend examining how professional development facilitators perceive their role in facilitating professional development. Specifically, a mixed-methods approach using an instrument that allows facilitators to evaluate their perceived effectiveness, coupled with feedback provided by participants, and a follow-up reflection interview, can reveal key strategies and practices that facilitators perceive as effective within specific professional development settings. Further, this may have implications for future professional development and training needed to help facilitators become more effective. Through effective facilitation of learning offered by a well-equipped facilitator, teachers are better able to implement their learning and create change for themselves and their students (Guskey, 2002).</w:t>
      </w:r>
    </w:p>
    <w:p w14:paraId="2F3C8753" w14:textId="77777777" w:rsidR="008A7C86" w:rsidRDefault="008A7C86">
      <w:pPr>
        <w:spacing w:line="240" w:lineRule="auto"/>
        <w:rPr>
          <w:rFonts w:ascii="Times New Roman" w:eastAsia="Times New Roman" w:hAnsi="Times New Roman" w:cs="Times New Roman"/>
          <w:sz w:val="24"/>
          <w:szCs w:val="24"/>
        </w:rPr>
      </w:pPr>
    </w:p>
    <w:p w14:paraId="402055E4"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Recommendations for Professional Practice</w:t>
      </w:r>
    </w:p>
    <w:p w14:paraId="338BE465"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Objective 1, it is recommended that professional development experiences continue to be offered and expanded in each of the agricultural education content areas, as well as in program or classroom management. Professional development in a variety of content areas will ultimately equip agricultural educators with the necessary content and skills to be successful practitioners. Content should be relevant and aligned with the challenges faced by educators, enabling them to make positive changes for their students and programs (Guskey, 2002).</w:t>
      </w:r>
    </w:p>
    <w:p w14:paraId="18C5C4FF" w14:textId="77777777" w:rsidR="008A7C86" w:rsidRDefault="008A7C86">
      <w:pPr>
        <w:spacing w:line="240" w:lineRule="auto"/>
        <w:rPr>
          <w:rFonts w:ascii="Times New Roman" w:eastAsia="Times New Roman" w:hAnsi="Times New Roman" w:cs="Times New Roman"/>
          <w:sz w:val="24"/>
          <w:szCs w:val="24"/>
        </w:rPr>
      </w:pPr>
    </w:p>
    <w:p w14:paraId="762316FE" w14:textId="77777777" w:rsidR="008A7C8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 for Objective 2, it is recommended that professional development providers continue to offer flexible delivery modalities and growth-centered learning environments for individuals seeking professional development. While several professional development experiences are offered both in-person and online, even more flexibility and asynchronous options can reduce travel barriers (Smalley et al., 2023). This flexibility also ensures that participants can engage in professional development experiences in a way that is conducive to their personal lives and schedules, allowing more teachers to take advantage of these growth opportunities and potentially leading to positive changes in their practice (Guskey, 2002). Findings suggest that, regardless of the modality and content of the topics being presented, experts emphasize the importance of having relevant and engaging experiences with opportunities for peer-to-peer collaboration and growth. To achieve this, facilitators should offer opportunities for both small and large group discussions, teacher resource sharing, and the chance to engage with a variety of ready-to-use supplemental resources provided by the facilitator.</w:t>
      </w:r>
    </w:p>
    <w:p w14:paraId="3B35FC7E" w14:textId="77777777" w:rsidR="008A7C86" w:rsidRDefault="008A7C86">
      <w:pPr>
        <w:spacing w:line="240" w:lineRule="auto"/>
        <w:rPr>
          <w:rFonts w:ascii="Times New Roman" w:eastAsia="Times New Roman" w:hAnsi="Times New Roman" w:cs="Times New Roman"/>
          <w:sz w:val="24"/>
          <w:szCs w:val="24"/>
        </w:rPr>
      </w:pPr>
    </w:p>
    <w:p w14:paraId="21244F1C" w14:textId="1A7927FF" w:rsidR="008A7C86" w:rsidRPr="00A46094"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for Objective 3, it is recommended that professional development providers offer additional training and support for their </w:t>
      </w:r>
      <w:proofErr w:type="gramStart"/>
      <w:r>
        <w:rPr>
          <w:rFonts w:ascii="Times New Roman" w:eastAsia="Times New Roman" w:hAnsi="Times New Roman" w:cs="Times New Roman"/>
          <w:sz w:val="24"/>
          <w:szCs w:val="24"/>
        </w:rPr>
        <w:t>facilitators</w:t>
      </w:r>
      <w:proofErr w:type="gramEnd"/>
      <w:r>
        <w:rPr>
          <w:rFonts w:ascii="Times New Roman" w:eastAsia="Times New Roman" w:hAnsi="Times New Roman" w:cs="Times New Roman"/>
          <w:sz w:val="24"/>
          <w:szCs w:val="24"/>
        </w:rPr>
        <w:t xml:space="preserve"> so they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be the most effective and engaging facilitators possible. Experts identified nine characteristics of professional development that relate to being an effective facilitator. However, for change to occur within teachers’ professional practice, they must first have a positive professional development experience led by a well-equipped facilitator (Guskey, 2002). While we recognize that the content of professional development will vary from one workshop or conference to the next, state agricultural educator associations, NAAE, CASE, and other professional development providers should collaborate with one another to offer resource guides, asynchronous modules, or review and application activity ideas. These resources can be applied to any context and help facilitators feel more equipped to teach their peers. Further, professional development providers should ensure their experiences and trainings reflect the needs of teachers to the greatest extent possible.</w:t>
      </w:r>
      <w:r>
        <w:br w:type="page"/>
      </w:r>
    </w:p>
    <w:p w14:paraId="08FB96C7" w14:textId="77777777" w:rsidR="008A7C86"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References</w:t>
      </w:r>
    </w:p>
    <w:p w14:paraId="36D40D36" w14:textId="77777777" w:rsidR="008A7C86" w:rsidRDefault="008A7C86">
      <w:pPr>
        <w:spacing w:line="240" w:lineRule="auto"/>
        <w:ind w:left="720"/>
        <w:rPr>
          <w:rFonts w:ascii="Times New Roman" w:eastAsia="Times New Roman" w:hAnsi="Times New Roman" w:cs="Times New Roman"/>
          <w:sz w:val="24"/>
          <w:szCs w:val="24"/>
        </w:rPr>
      </w:pPr>
    </w:p>
    <w:p w14:paraId="0E5AC707"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Barrios, M., Guilera, G., Nuño, L., &amp; Gómez-Benito, J. (2021). Consensus in the Delphi method: What </w:t>
      </w:r>
      <w:proofErr w:type="gramStart"/>
      <w:r>
        <w:rPr>
          <w:rFonts w:ascii="Times New Roman" w:eastAsia="Times New Roman" w:hAnsi="Times New Roman" w:cs="Times New Roman"/>
          <w:sz w:val="24"/>
          <w:szCs w:val="24"/>
        </w:rPr>
        <w:t>makes a decision</w:t>
      </w:r>
      <w:proofErr w:type="gramEnd"/>
      <w:r>
        <w:rPr>
          <w:rFonts w:ascii="Times New Roman" w:eastAsia="Times New Roman" w:hAnsi="Times New Roman" w:cs="Times New Roman"/>
          <w:sz w:val="24"/>
          <w:szCs w:val="24"/>
        </w:rPr>
        <w:t xml:space="preserve"> change? </w:t>
      </w:r>
      <w:r>
        <w:rPr>
          <w:rFonts w:ascii="Times New Roman" w:eastAsia="Times New Roman" w:hAnsi="Times New Roman" w:cs="Times New Roman"/>
          <w:i/>
          <w:iCs/>
          <w:sz w:val="24"/>
          <w:szCs w:val="24"/>
        </w:rPr>
        <w:t>Technological Forecasting &amp; Social Change, 163</w:t>
      </w:r>
      <w:r>
        <w:rPr>
          <w:rFonts w:ascii="Times New Roman" w:eastAsia="Times New Roman" w:hAnsi="Times New Roman" w:cs="Times New Roman"/>
          <w:sz w:val="24"/>
          <w:szCs w:val="24"/>
        </w:rPr>
        <w:t>, 1–10. https://doi.org/10.1016/j.techfore.2020.120484</w:t>
      </w:r>
    </w:p>
    <w:p w14:paraId="4B920A32"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C9DF1E9"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Bayer (2025). </w:t>
      </w:r>
      <w:r>
        <w:rPr>
          <w:rFonts w:ascii="Times New Roman" w:eastAsia="Times New Roman" w:hAnsi="Times New Roman" w:cs="Times New Roman"/>
          <w:i/>
          <w:iCs/>
          <w:sz w:val="24"/>
          <w:szCs w:val="24"/>
        </w:rPr>
        <w:t>Cultivating tomorrow’s leaders: The critical role of agricultural educators</w:t>
      </w:r>
      <w:r>
        <w:rPr>
          <w:rFonts w:ascii="Times New Roman" w:eastAsia="Times New Roman" w:hAnsi="Times New Roman" w:cs="Times New Roman"/>
          <w:sz w:val="24"/>
          <w:szCs w:val="24"/>
        </w:rPr>
        <w:t>. https://www.bayer.com/en/us/news-stories/agricultural-educators</w:t>
      </w:r>
    </w:p>
    <w:p w14:paraId="12565801"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157AE878"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Bird, T. D., &amp; Rice, A. H. (2021). The Influence of CASE on agriculture teachers’ use of inquiry-based methods. </w:t>
      </w:r>
      <w:r>
        <w:rPr>
          <w:rFonts w:ascii="Times New Roman" w:eastAsia="Times New Roman" w:hAnsi="Times New Roman" w:cs="Times New Roman"/>
          <w:i/>
          <w:iCs/>
          <w:sz w:val="24"/>
          <w:szCs w:val="24"/>
        </w:rPr>
        <w:t>Journal of Agricultural Education, 62</w:t>
      </w:r>
      <w:r>
        <w:rPr>
          <w:rFonts w:ascii="Times New Roman" w:eastAsia="Times New Roman" w:hAnsi="Times New Roman" w:cs="Times New Roman"/>
          <w:sz w:val="24"/>
          <w:szCs w:val="24"/>
        </w:rPr>
        <w:t>(1), 260–275. https://doi.org/10.5032/jae.2021.01260</w:t>
      </w:r>
    </w:p>
    <w:p w14:paraId="27350FB9"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9A8F4AA"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Bloom, M., Tummons, J., Smalley, S., &amp; Ramstad, J. (2025). Early career agricultural education instructor expectations for professional development yields. </w:t>
      </w:r>
      <w:r>
        <w:rPr>
          <w:rFonts w:ascii="Times New Roman" w:eastAsia="Times New Roman" w:hAnsi="Times New Roman" w:cs="Times New Roman"/>
          <w:i/>
          <w:iCs/>
          <w:sz w:val="24"/>
          <w:szCs w:val="24"/>
        </w:rPr>
        <w:t>Journal of Agricultural Education, 66</w:t>
      </w:r>
      <w:r>
        <w:rPr>
          <w:rFonts w:ascii="Times New Roman" w:eastAsia="Times New Roman" w:hAnsi="Times New Roman" w:cs="Times New Roman"/>
          <w:sz w:val="24"/>
          <w:szCs w:val="24"/>
        </w:rPr>
        <w:t>(1), Article 38. https://doi.org/10.5032/jae.v66i1.2894</w:t>
      </w:r>
    </w:p>
    <w:p w14:paraId="21BEEA09"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42531AA"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Booth, J., Coldwell, M., Müller, L.-M., Perry, E., &amp; Zuccollo, J. (2021). Mid-career teachers: A mixed methods scoping study of professional development, career progression and retention. </w:t>
      </w:r>
      <w:r>
        <w:rPr>
          <w:rFonts w:ascii="Times New Roman" w:eastAsia="Times New Roman" w:hAnsi="Times New Roman" w:cs="Times New Roman"/>
          <w:i/>
          <w:iCs/>
          <w:sz w:val="24"/>
          <w:szCs w:val="24"/>
        </w:rPr>
        <w:t>Education Sciences, 11</w:t>
      </w:r>
      <w:r>
        <w:rPr>
          <w:rFonts w:ascii="Times New Roman" w:eastAsia="Times New Roman" w:hAnsi="Times New Roman" w:cs="Times New Roman"/>
          <w:sz w:val="24"/>
          <w:szCs w:val="24"/>
        </w:rPr>
        <w:t>(6), 299. https://doi.org/10.3390/educsci11060299</w:t>
      </w:r>
    </w:p>
    <w:p w14:paraId="11EF0ACC"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1A7DE4E4"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Bowser, A., Smalley, S., &amp; Ramstad, J. (2025). Determining the effectiveness of CASE professional development for CASE-certified agricultural education teachers. </w:t>
      </w:r>
      <w:r>
        <w:rPr>
          <w:rFonts w:ascii="Times New Roman" w:eastAsia="Times New Roman" w:hAnsi="Times New Roman" w:cs="Times New Roman"/>
          <w:i/>
          <w:iCs/>
          <w:sz w:val="24"/>
          <w:szCs w:val="24"/>
        </w:rPr>
        <w:t>Journal of Agricultural Education, 66</w:t>
      </w:r>
      <w:r>
        <w:rPr>
          <w:rFonts w:ascii="Times New Roman" w:eastAsia="Times New Roman" w:hAnsi="Times New Roman" w:cs="Times New Roman"/>
          <w:sz w:val="24"/>
          <w:szCs w:val="24"/>
        </w:rPr>
        <w:t>(2), Article 17. https://doi.org/10.5032/jae.v66i2.92</w:t>
      </w:r>
    </w:p>
    <w:p w14:paraId="6AC2BBD1"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4BAC3B95"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Briggs &amp; Stratton (2025). </w:t>
      </w:r>
      <w:r>
        <w:rPr>
          <w:rFonts w:ascii="Times New Roman" w:eastAsia="Times New Roman" w:hAnsi="Times New Roman" w:cs="Times New Roman"/>
          <w:i/>
          <w:iCs/>
          <w:sz w:val="24"/>
          <w:szCs w:val="24"/>
        </w:rPr>
        <w:t>Vocational education</w:t>
      </w:r>
      <w:r>
        <w:rPr>
          <w:rFonts w:ascii="Times New Roman" w:eastAsia="Times New Roman" w:hAnsi="Times New Roman" w:cs="Times New Roman"/>
          <w:sz w:val="24"/>
          <w:szCs w:val="24"/>
        </w:rPr>
        <w:t>. https://www.briggsandstratton.com/na/en_us/support/vocational-education.html</w:t>
      </w:r>
    </w:p>
    <w:p w14:paraId="2976AA3B"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486D70E0"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Bryant, J. (2025). Expert panel review and field testing of qualitative instruments. In Thorne, R. (Ed.) </w:t>
      </w:r>
      <w:r>
        <w:rPr>
          <w:rFonts w:ascii="Times New Roman" w:eastAsia="Times New Roman" w:hAnsi="Times New Roman" w:cs="Times New Roman"/>
          <w:i/>
          <w:iCs/>
          <w:sz w:val="24"/>
          <w:szCs w:val="24"/>
        </w:rPr>
        <w:t>Qualitative research methods for dissertation research</w:t>
      </w:r>
      <w:r>
        <w:rPr>
          <w:rFonts w:ascii="Times New Roman" w:eastAsia="Times New Roman" w:hAnsi="Times New Roman" w:cs="Times New Roman"/>
          <w:sz w:val="24"/>
          <w:szCs w:val="24"/>
        </w:rPr>
        <w:t xml:space="preserve"> (pp. 221–250). IGI Global Scientific Publishing. https://doi.org/10.4018/979-8-3693-3069-2</w:t>
      </w:r>
    </w:p>
    <w:p w14:paraId="29901A3E"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184B8056"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Buczynski, S., &amp; Hansen, C. B. (2010). Impact of professional development on teacher practice: Uncovering connections. </w:t>
      </w:r>
      <w:r>
        <w:rPr>
          <w:rFonts w:ascii="Times New Roman" w:eastAsia="Times New Roman" w:hAnsi="Times New Roman" w:cs="Times New Roman"/>
          <w:i/>
          <w:iCs/>
          <w:sz w:val="24"/>
          <w:szCs w:val="24"/>
        </w:rPr>
        <w:t>Teaching and Teacher Education, 26</w:t>
      </w:r>
      <w:r>
        <w:rPr>
          <w:rFonts w:ascii="Times New Roman" w:eastAsia="Times New Roman" w:hAnsi="Times New Roman" w:cs="Times New Roman"/>
          <w:sz w:val="24"/>
          <w:szCs w:val="24"/>
        </w:rPr>
        <w:t>(3), 599–607. https://doi.org/10.1016/j.tate.2009.09.006</w:t>
      </w:r>
    </w:p>
    <w:p w14:paraId="2387257B"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12B5A90B"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Buriak, P., &amp; Shinn, G. C. (1989). Mission, initiatives, and obstacles to research in agricultural education: A national Delphi using external decision makers. </w:t>
      </w:r>
      <w:r>
        <w:rPr>
          <w:rFonts w:ascii="Times New Roman" w:eastAsia="Times New Roman" w:hAnsi="Times New Roman" w:cs="Times New Roman"/>
          <w:i/>
          <w:iCs/>
          <w:sz w:val="24"/>
          <w:szCs w:val="24"/>
        </w:rPr>
        <w:t>Journal of Agricultural Education, 30</w:t>
      </w:r>
      <w:r>
        <w:rPr>
          <w:rFonts w:ascii="Times New Roman" w:eastAsia="Times New Roman" w:hAnsi="Times New Roman" w:cs="Times New Roman"/>
          <w:sz w:val="24"/>
          <w:szCs w:val="24"/>
        </w:rPr>
        <w:t>(4), 14–23. https://doi.org/10.5032/jae.1989.04014</w:t>
      </w:r>
    </w:p>
    <w:p w14:paraId="5E22B7CD"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74F22523"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Crandall, D. P. (1983). The teacher’s role in school improvement. </w:t>
      </w:r>
      <w:r>
        <w:rPr>
          <w:rFonts w:ascii="Times New Roman" w:eastAsia="Times New Roman" w:hAnsi="Times New Roman" w:cs="Times New Roman"/>
          <w:i/>
          <w:iCs/>
          <w:sz w:val="24"/>
          <w:szCs w:val="24"/>
        </w:rPr>
        <w:t>Educational Leadership</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41</w:t>
      </w:r>
      <w:r>
        <w:rPr>
          <w:rFonts w:ascii="Times New Roman" w:eastAsia="Times New Roman" w:hAnsi="Times New Roman" w:cs="Times New Roman"/>
          <w:sz w:val="24"/>
          <w:szCs w:val="24"/>
        </w:rPr>
        <w:t>(3), 6–9. https://eric.ed.gov/?id=EJ289711</w:t>
      </w:r>
    </w:p>
    <w:p w14:paraId="08879E9D"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55DC99EB"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Curriculum for Agricultural Science Education (2025). </w:t>
      </w:r>
      <w:r>
        <w:rPr>
          <w:rFonts w:ascii="Times New Roman" w:eastAsia="Times New Roman" w:hAnsi="Times New Roman" w:cs="Times New Roman"/>
          <w:i/>
          <w:iCs/>
          <w:sz w:val="24"/>
          <w:szCs w:val="24"/>
        </w:rPr>
        <w:t>Mission, vision, and values</w:t>
      </w:r>
      <w:r>
        <w:rPr>
          <w:rFonts w:ascii="Times New Roman" w:eastAsia="Times New Roman" w:hAnsi="Times New Roman" w:cs="Times New Roman"/>
          <w:sz w:val="24"/>
          <w:szCs w:val="24"/>
        </w:rPr>
        <w:t>. https://www.case4learning.org/about-case/mission-vision-and-values/</w:t>
      </w:r>
    </w:p>
    <w:p w14:paraId="0B099EA5"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0B17E45B"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Dalkey, N. C., Rourke, D. L., Lewis, R., &amp; Snyder, D. (1972). </w:t>
      </w:r>
      <w:r>
        <w:rPr>
          <w:rFonts w:ascii="Times New Roman" w:eastAsia="Times New Roman" w:hAnsi="Times New Roman" w:cs="Times New Roman"/>
          <w:i/>
          <w:iCs/>
          <w:sz w:val="24"/>
          <w:szCs w:val="24"/>
        </w:rPr>
        <w:t>Studies in the quality of life</w:t>
      </w:r>
      <w:r>
        <w:rPr>
          <w:rFonts w:ascii="Times New Roman" w:eastAsia="Times New Roman" w:hAnsi="Times New Roman" w:cs="Times New Roman"/>
          <w:sz w:val="24"/>
          <w:szCs w:val="24"/>
        </w:rPr>
        <w:t>. Lexington Books.</w:t>
      </w:r>
    </w:p>
    <w:p w14:paraId="2EA02451"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509E062D"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Darling-Hammond, L., Hyler, M. E., &amp; Gardner, M. (2017). </w:t>
      </w:r>
      <w:r>
        <w:rPr>
          <w:rFonts w:ascii="Times New Roman" w:eastAsia="Times New Roman" w:hAnsi="Times New Roman" w:cs="Times New Roman"/>
          <w:i/>
          <w:iCs/>
          <w:sz w:val="24"/>
          <w:szCs w:val="24"/>
        </w:rPr>
        <w:t>Effective teacher professional development.</w:t>
      </w:r>
      <w:r>
        <w:rPr>
          <w:rFonts w:ascii="Times New Roman" w:eastAsia="Times New Roman" w:hAnsi="Times New Roman" w:cs="Times New Roman"/>
          <w:sz w:val="24"/>
          <w:szCs w:val="24"/>
        </w:rPr>
        <w:t xml:space="preserve"> Learning Policy Institute. https://learningpolicyinstitute.org/sites/default/files/product-files/Effective_Teacher_Professional_Development_REPORT.pdf</w:t>
      </w:r>
    </w:p>
    <w:p w14:paraId="595FC284"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49B61772"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Diamond, I. R., Grant, R. C., Feldman, B. M., Pencharz, P. B., Ling, S. C., Moore, A. M., &amp; Wales, P. W. (2014). Defining consensus: A systematic review recommends methodologic criteria for reporting of Delphi studies. </w:t>
      </w:r>
      <w:r>
        <w:rPr>
          <w:rFonts w:ascii="Times New Roman" w:eastAsia="Times New Roman" w:hAnsi="Times New Roman" w:cs="Times New Roman"/>
          <w:i/>
          <w:iCs/>
          <w:sz w:val="24"/>
          <w:szCs w:val="24"/>
        </w:rPr>
        <w:t>Journal of Clinical Epidemiology, 67</w:t>
      </w:r>
      <w:r>
        <w:rPr>
          <w:rFonts w:ascii="Times New Roman" w:eastAsia="Times New Roman" w:hAnsi="Times New Roman" w:cs="Times New Roman"/>
          <w:sz w:val="24"/>
          <w:szCs w:val="24"/>
        </w:rPr>
        <w:t>(4), 401–409. https://doi.org/10.1016/j.jclinepi.2013.12.002</w:t>
      </w:r>
    </w:p>
    <w:p w14:paraId="69AE53EB"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5FD6409A"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Dillman, D. A., Smyth, J. D., &amp; Christian, L. M. (2014). </w:t>
      </w:r>
      <w:r>
        <w:rPr>
          <w:rFonts w:ascii="Times New Roman" w:eastAsia="Times New Roman" w:hAnsi="Times New Roman" w:cs="Times New Roman"/>
          <w:i/>
          <w:iCs/>
          <w:sz w:val="24"/>
          <w:szCs w:val="24"/>
        </w:rPr>
        <w:t>Internet, phone, mail, and mixed mode surveys: The tailored design method</w:t>
      </w:r>
      <w:r>
        <w:rPr>
          <w:rFonts w:ascii="Times New Roman" w:eastAsia="Times New Roman" w:hAnsi="Times New Roman" w:cs="Times New Roman"/>
          <w:sz w:val="24"/>
          <w:szCs w:val="24"/>
        </w:rPr>
        <w:t xml:space="preserve"> (4th ed.). John Wiley &amp; Sons Inc.</w:t>
      </w:r>
    </w:p>
    <w:p w14:paraId="397932CE"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799EE106"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Earley, P., &amp; Porritt, V. (2013). Evaluating the impact of professional development: The need for a student-focused approach. </w:t>
      </w:r>
      <w:r>
        <w:rPr>
          <w:rFonts w:ascii="Times New Roman" w:eastAsia="Times New Roman" w:hAnsi="Times New Roman" w:cs="Times New Roman"/>
          <w:i/>
          <w:iCs/>
          <w:sz w:val="24"/>
          <w:szCs w:val="24"/>
        </w:rPr>
        <w:t>Professional Development in Education, 40</w:t>
      </w:r>
      <w:r>
        <w:rPr>
          <w:rFonts w:ascii="Times New Roman" w:eastAsia="Times New Roman" w:hAnsi="Times New Roman" w:cs="Times New Roman"/>
          <w:sz w:val="24"/>
          <w:szCs w:val="24"/>
        </w:rPr>
        <w:t>(1), 112–129. https://doi.org/10.1080/19415257.2013.798741</w:t>
      </w:r>
    </w:p>
    <w:p w14:paraId="5F2B9B5D"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6F4261D"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Easterly, R. G., &amp; Myers, B. E. (2019). Professional development engagement and career satisfaction of agriscience teachers.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60</w:t>
      </w:r>
      <w:r>
        <w:rPr>
          <w:rFonts w:ascii="Times New Roman" w:eastAsia="Times New Roman" w:hAnsi="Times New Roman" w:cs="Times New Roman"/>
          <w:sz w:val="24"/>
          <w:szCs w:val="24"/>
        </w:rPr>
        <w:t>(2), 69–84. https://doi.org/10.5032/jae.2019.02069</w:t>
      </w:r>
    </w:p>
    <w:p w14:paraId="7F66EC84"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A8C76D2"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Ferand, N. K., DiBenedetto, C. A., Myers, B. E., &amp; Barry, D. M. (2022). Implications of science illumination on student content knowledge of technical floriculture and core scientific ideas. </w:t>
      </w:r>
      <w:r>
        <w:rPr>
          <w:rFonts w:ascii="Times New Roman" w:eastAsia="Times New Roman" w:hAnsi="Times New Roman" w:cs="Times New Roman"/>
          <w:i/>
          <w:iCs/>
          <w:sz w:val="24"/>
          <w:szCs w:val="24"/>
        </w:rPr>
        <w:t>Journal of Agricultural Education, 63</w:t>
      </w:r>
      <w:r>
        <w:rPr>
          <w:rFonts w:ascii="Times New Roman" w:eastAsia="Times New Roman" w:hAnsi="Times New Roman" w:cs="Times New Roman"/>
          <w:sz w:val="24"/>
          <w:szCs w:val="24"/>
        </w:rPr>
        <w:t>(2), 169–185. https://doi.org/10.5032/jae.2022.02169</w:t>
      </w:r>
    </w:p>
    <w:p w14:paraId="69B71B4C"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09F179D"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Foth, T., Efstathiou, N., Vanderspank-Wright, B., Ufholz, L.-A., Dütthorn, N., Zimansky, M., &amp; Humphrey-Murto, S. (2016). The use of Delphi and nominal group technique in nursing education: A review. </w:t>
      </w:r>
      <w:r>
        <w:rPr>
          <w:rFonts w:ascii="Times New Roman" w:eastAsia="Times New Roman" w:hAnsi="Times New Roman" w:cs="Times New Roman"/>
          <w:i/>
          <w:iCs/>
          <w:sz w:val="24"/>
          <w:szCs w:val="24"/>
        </w:rPr>
        <w:t>International Journal of Nursing Studies, 60</w:t>
      </w:r>
      <w:r>
        <w:rPr>
          <w:rFonts w:ascii="Times New Roman" w:eastAsia="Times New Roman" w:hAnsi="Times New Roman" w:cs="Times New Roman"/>
          <w:sz w:val="24"/>
          <w:szCs w:val="24"/>
        </w:rPr>
        <w:t>, 112–120. https://doi.org/10.1016/j.ijnurstu.2016.04.015</w:t>
      </w:r>
    </w:p>
    <w:p w14:paraId="6259B62E"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6AEDBE1"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Garet, M., Porter, A., Desimone, L., Birman, B., Yoon, K. (2001). What makes professional development effective? Results from a national sample of teachers. </w:t>
      </w:r>
      <w:r>
        <w:rPr>
          <w:rFonts w:ascii="Times New Roman" w:eastAsia="Times New Roman" w:hAnsi="Times New Roman" w:cs="Times New Roman"/>
          <w:i/>
          <w:iCs/>
          <w:sz w:val="24"/>
          <w:szCs w:val="24"/>
        </w:rPr>
        <w:t>American Education Research Journal, 38</w:t>
      </w:r>
      <w:r>
        <w:rPr>
          <w:rFonts w:ascii="Times New Roman" w:eastAsia="Times New Roman" w:hAnsi="Times New Roman" w:cs="Times New Roman"/>
          <w:sz w:val="24"/>
          <w:szCs w:val="24"/>
        </w:rPr>
        <w:t>(4), 915–945. https://doi.org/10.3102/00028312038004915</w:t>
      </w:r>
    </w:p>
    <w:p w14:paraId="1D360010"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BAD1791"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Guskey, T. (2002). Professional development and teacher change. </w:t>
      </w:r>
      <w:r>
        <w:rPr>
          <w:rFonts w:ascii="Times New Roman" w:eastAsia="Times New Roman" w:hAnsi="Times New Roman" w:cs="Times New Roman"/>
          <w:i/>
          <w:iCs/>
          <w:sz w:val="24"/>
          <w:szCs w:val="24"/>
        </w:rPr>
        <w:t>Teachers and Teaching Theory and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(3/4), 381–391. https://doi.org/10.1080/135406002100000512</w:t>
      </w:r>
    </w:p>
    <w:p w14:paraId="7A6DE087"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644B867D"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Hainline, M., &amp; Smalley, S. (2023). Determining the professional development needs of Iowa School-based agricultural education teachers related to program design, leadership, and SAE Development. </w:t>
      </w:r>
      <w:r>
        <w:rPr>
          <w:rFonts w:ascii="Times New Roman" w:eastAsia="Times New Roman" w:hAnsi="Times New Roman" w:cs="Times New Roman"/>
          <w:i/>
          <w:iCs/>
          <w:sz w:val="24"/>
          <w:szCs w:val="24"/>
        </w:rPr>
        <w:t>Journal of Agricultural Education, 64</w:t>
      </w:r>
      <w:r>
        <w:rPr>
          <w:rFonts w:ascii="Times New Roman" w:eastAsia="Times New Roman" w:hAnsi="Times New Roman" w:cs="Times New Roman"/>
          <w:sz w:val="24"/>
          <w:szCs w:val="24"/>
        </w:rPr>
        <w:t>(1), 1–10. https://doi.org/10.5032/jae.v64i1.26</w:t>
      </w:r>
    </w:p>
    <w:p w14:paraId="40735562"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39F60A1"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Hainline, M., &amp; Wells, T. (2019). Identifying the agricultural mechanics knowledge and skills needed by Iowa school-based agricultural education teachers. </w:t>
      </w:r>
      <w:r>
        <w:rPr>
          <w:rFonts w:ascii="Times New Roman" w:eastAsia="Times New Roman" w:hAnsi="Times New Roman" w:cs="Times New Roman"/>
          <w:i/>
          <w:iCs/>
          <w:sz w:val="24"/>
          <w:szCs w:val="24"/>
        </w:rPr>
        <w:t>Journal of Agricultural Education, 60</w:t>
      </w:r>
      <w:r>
        <w:rPr>
          <w:rFonts w:ascii="Times New Roman" w:eastAsia="Times New Roman" w:hAnsi="Times New Roman" w:cs="Times New Roman"/>
          <w:sz w:val="24"/>
          <w:szCs w:val="24"/>
        </w:rPr>
        <w:t>(1), 59–79. https://doi.org/10.5032/jae.2019.01059</w:t>
      </w:r>
    </w:p>
    <w:p w14:paraId="344AB3AA"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0DB5CEC"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Hainline, M., &amp; Wells, T. (2024). Examining differences in teachers’ agricultural mechanics professional development needs: A national study. </w:t>
      </w:r>
      <w:r>
        <w:rPr>
          <w:rFonts w:ascii="Times New Roman" w:eastAsia="Times New Roman" w:hAnsi="Times New Roman" w:cs="Times New Roman"/>
          <w:i/>
          <w:iCs/>
          <w:sz w:val="24"/>
          <w:szCs w:val="24"/>
        </w:rPr>
        <w:t>Journal of Agricultural Education, 65</w:t>
      </w:r>
      <w:r>
        <w:rPr>
          <w:rFonts w:ascii="Times New Roman" w:eastAsia="Times New Roman" w:hAnsi="Times New Roman" w:cs="Times New Roman"/>
          <w:sz w:val="24"/>
          <w:szCs w:val="24"/>
        </w:rPr>
        <w:t>(1), 245–264. https://doi.org/10.5032/jae.v65i1.2473</w:t>
      </w:r>
    </w:p>
    <w:p w14:paraId="6A888D3E"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139F769E"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Helmer, O. (1966). </w:t>
      </w:r>
      <w:r>
        <w:rPr>
          <w:rFonts w:ascii="Times New Roman" w:eastAsia="Times New Roman" w:hAnsi="Times New Roman" w:cs="Times New Roman"/>
          <w:i/>
          <w:iCs/>
          <w:sz w:val="24"/>
          <w:szCs w:val="24"/>
        </w:rPr>
        <w:t>The use of the Delphi technique in problems of educational innovations</w:t>
      </w:r>
      <w:r>
        <w:rPr>
          <w:rFonts w:ascii="Times New Roman" w:eastAsia="Times New Roman" w:hAnsi="Times New Roman" w:cs="Times New Roman"/>
          <w:sz w:val="24"/>
          <w:szCs w:val="24"/>
        </w:rPr>
        <w:t>. The RAND Corporation. https://www.rand.org/pubs/papers/P3499.html</w:t>
      </w:r>
    </w:p>
    <w:p w14:paraId="67963EDF"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09F6E90D"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Martin, A. G., &amp; Frick, M. J. (1998). The Delphi technique: An informal history of its use in agricultural education research since 1984. </w:t>
      </w:r>
      <w:r>
        <w:rPr>
          <w:rFonts w:ascii="Times New Roman" w:eastAsia="Times New Roman" w:hAnsi="Times New Roman" w:cs="Times New Roman"/>
          <w:i/>
          <w:iCs/>
          <w:sz w:val="24"/>
          <w:szCs w:val="24"/>
        </w:rPr>
        <w:t>Journal of Agricultural Education, 39</w:t>
      </w:r>
      <w:r>
        <w:rPr>
          <w:rFonts w:ascii="Times New Roman" w:eastAsia="Times New Roman" w:hAnsi="Times New Roman" w:cs="Times New Roman"/>
          <w:sz w:val="24"/>
          <w:szCs w:val="24"/>
        </w:rPr>
        <w:t>(1), 73–79. https://doi.org/10.5032/jae.1998.01073</w:t>
      </w:r>
    </w:p>
    <w:p w14:paraId="60574ABF"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0FDB75FA"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McKim, A. J., &amp; McKim, L. K. (2023). Enhancing professional development by increasing agriculture teacher margin. </w:t>
      </w:r>
      <w:r>
        <w:rPr>
          <w:rFonts w:ascii="Times New Roman" w:eastAsia="Times New Roman" w:hAnsi="Times New Roman" w:cs="Times New Roman"/>
          <w:i/>
          <w:iCs/>
          <w:sz w:val="24"/>
          <w:szCs w:val="24"/>
        </w:rPr>
        <w:t>Journal of Agricultural Education, 64</w:t>
      </w:r>
      <w:r>
        <w:rPr>
          <w:rFonts w:ascii="Times New Roman" w:eastAsia="Times New Roman" w:hAnsi="Times New Roman" w:cs="Times New Roman"/>
          <w:sz w:val="24"/>
          <w:szCs w:val="24"/>
        </w:rPr>
        <w:t>(3), 16–25. https://doi.org/10.5032/jae.v64i3.48</w:t>
      </w:r>
    </w:p>
    <w:p w14:paraId="7149C392"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5E0AA61"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McKim, A. J., Velez, J. J., Everett, M. W., &amp; Sorenson, T. J. (2017). The role of teachers in facilitating mathematics learning opportunities in agriculture, food, and natural resources. </w:t>
      </w:r>
      <w:r>
        <w:rPr>
          <w:rFonts w:ascii="Times New Roman" w:eastAsia="Times New Roman" w:hAnsi="Times New Roman" w:cs="Times New Roman"/>
          <w:i/>
          <w:iCs/>
          <w:sz w:val="24"/>
          <w:szCs w:val="24"/>
        </w:rPr>
        <w:t>Journal of Agricultural Education, 58</w:t>
      </w:r>
      <w:r>
        <w:rPr>
          <w:rFonts w:ascii="Times New Roman" w:eastAsia="Times New Roman" w:hAnsi="Times New Roman" w:cs="Times New Roman"/>
          <w:sz w:val="24"/>
          <w:szCs w:val="24"/>
        </w:rPr>
        <w:t>(3), 203–218. https://doi.org/10.5032/jae.2017.03203</w:t>
      </w:r>
    </w:p>
    <w:p w14:paraId="06F52C20"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06AA75C9"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MDR Education (2025). </w:t>
      </w:r>
      <w:r>
        <w:rPr>
          <w:rFonts w:ascii="Times New Roman" w:eastAsia="Times New Roman" w:hAnsi="Times New Roman" w:cs="Times New Roman"/>
          <w:i/>
          <w:iCs/>
          <w:sz w:val="24"/>
          <w:szCs w:val="24"/>
        </w:rPr>
        <w:t>Home</w:t>
      </w:r>
      <w:r>
        <w:rPr>
          <w:rFonts w:ascii="Times New Roman" w:eastAsia="Times New Roman" w:hAnsi="Times New Roman" w:cs="Times New Roman"/>
          <w:sz w:val="24"/>
          <w:szCs w:val="24"/>
        </w:rPr>
        <w:t>. https://mdreducation.com/</w:t>
      </w:r>
    </w:p>
    <w:p w14:paraId="54754F4C"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370080D"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Merriam, S. B., &amp; Tisdell, E. J. (2016). </w:t>
      </w:r>
      <w:r>
        <w:rPr>
          <w:rFonts w:ascii="Times New Roman" w:eastAsia="Times New Roman" w:hAnsi="Times New Roman" w:cs="Times New Roman"/>
          <w:i/>
          <w:iCs/>
          <w:sz w:val="24"/>
          <w:szCs w:val="24"/>
        </w:rPr>
        <w:t>Qualitative research: A guide to design and implementation</w:t>
      </w:r>
      <w:r>
        <w:rPr>
          <w:rFonts w:ascii="Times New Roman" w:eastAsia="Times New Roman" w:hAnsi="Times New Roman" w:cs="Times New Roman"/>
          <w:sz w:val="24"/>
          <w:szCs w:val="24"/>
        </w:rPr>
        <w:t>. Wiley.</w:t>
      </w:r>
    </w:p>
    <w:p w14:paraId="6BF1B4B6"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2AE89BA"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Association of Agricultural Educators (2025). </w:t>
      </w:r>
      <w:r>
        <w:rPr>
          <w:rFonts w:ascii="Times New Roman" w:eastAsia="Times New Roman" w:hAnsi="Times New Roman" w:cs="Times New Roman"/>
          <w:i/>
          <w:iCs/>
          <w:sz w:val="24"/>
          <w:szCs w:val="24"/>
        </w:rPr>
        <w:t xml:space="preserve">Professional development. </w:t>
      </w:r>
      <w:r>
        <w:rPr>
          <w:rFonts w:ascii="Times New Roman" w:eastAsia="Times New Roman" w:hAnsi="Times New Roman" w:cs="Times New Roman"/>
          <w:sz w:val="24"/>
          <w:szCs w:val="24"/>
        </w:rPr>
        <w:t>https://www.naae.org/main-navigation-tree/professional-development/</w:t>
      </w:r>
    </w:p>
    <w:p w14:paraId="6CE675B7"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603EE2D1"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Nelson, B., Wang, H.-H., &amp; Tucker, M. (2022). Teachers’ perceptions and practices of inquiry-based teaching and learning using CASE curriculum. </w:t>
      </w:r>
      <w:r>
        <w:rPr>
          <w:rFonts w:ascii="Times New Roman" w:eastAsia="Times New Roman" w:hAnsi="Times New Roman" w:cs="Times New Roman"/>
          <w:i/>
          <w:iCs/>
          <w:sz w:val="24"/>
          <w:szCs w:val="24"/>
        </w:rPr>
        <w:t>Journal of Agricultural Education, 63</w:t>
      </w:r>
      <w:r>
        <w:rPr>
          <w:rFonts w:ascii="Times New Roman" w:eastAsia="Times New Roman" w:hAnsi="Times New Roman" w:cs="Times New Roman"/>
          <w:sz w:val="24"/>
          <w:szCs w:val="24"/>
        </w:rPr>
        <w:t>(3), 117–134. https://doi.org/10.5032/jae.2022.03117</w:t>
      </w:r>
    </w:p>
    <w:p w14:paraId="679056FF"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7666422"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Park, T. D., &amp; Osborne, E. (2006a). Agriscience teachers’ attitudes toward implementation of content area reading strategies. </w:t>
      </w:r>
      <w:r>
        <w:rPr>
          <w:rFonts w:ascii="Times New Roman" w:eastAsia="Times New Roman" w:hAnsi="Times New Roman" w:cs="Times New Roman"/>
          <w:i/>
          <w:iCs/>
          <w:sz w:val="24"/>
          <w:szCs w:val="24"/>
        </w:rPr>
        <w:t>Journal of Agricultural Education, 47</w:t>
      </w:r>
      <w:r>
        <w:rPr>
          <w:rFonts w:ascii="Times New Roman" w:eastAsia="Times New Roman" w:hAnsi="Times New Roman" w:cs="Times New Roman"/>
          <w:sz w:val="24"/>
          <w:szCs w:val="24"/>
        </w:rPr>
        <w:t>(4), 39–51. https://doi.org/10.5032/jae.2006.04039</w:t>
      </w:r>
    </w:p>
    <w:p w14:paraId="1E1C2A9F"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99BC711"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Park, T. D., &amp; Osborne, E. (2006b). Content area reading strategies and textbook use in agricultural education. </w:t>
      </w:r>
      <w:r>
        <w:rPr>
          <w:rFonts w:ascii="Times New Roman" w:eastAsia="Times New Roman" w:hAnsi="Times New Roman" w:cs="Times New Roman"/>
          <w:i/>
          <w:iCs/>
          <w:sz w:val="24"/>
          <w:szCs w:val="24"/>
        </w:rPr>
        <w:t>Journal of Agricultural Education, 47</w:t>
      </w:r>
      <w:r>
        <w:rPr>
          <w:rFonts w:ascii="Times New Roman" w:eastAsia="Times New Roman" w:hAnsi="Times New Roman" w:cs="Times New Roman"/>
          <w:sz w:val="24"/>
          <w:szCs w:val="24"/>
        </w:rPr>
        <w:t>(4), 1–14. https://doi.org/10.5032/jae.2006.04001</w:t>
      </w:r>
    </w:p>
    <w:p w14:paraId="28309E96"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6C4097F0"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Parry, S., &amp; Metzger, E. (2023). Barriers to learning for sustainability: A teacher perspective. </w:t>
      </w:r>
      <w:r>
        <w:rPr>
          <w:rFonts w:ascii="Times New Roman" w:eastAsia="Times New Roman" w:hAnsi="Times New Roman" w:cs="Times New Roman"/>
          <w:i/>
          <w:iCs/>
          <w:sz w:val="24"/>
          <w:szCs w:val="24"/>
        </w:rPr>
        <w:t xml:space="preserve">Sustainable Earth Reviews 6, </w:t>
      </w:r>
      <w:r>
        <w:rPr>
          <w:rFonts w:ascii="Times New Roman" w:eastAsia="Times New Roman" w:hAnsi="Times New Roman" w:cs="Times New Roman"/>
          <w:sz w:val="24"/>
          <w:szCs w:val="24"/>
        </w:rPr>
        <w:t>2. https://doi.org/10.1186/s42055-022-00050-3</w:t>
      </w:r>
    </w:p>
    <w:p w14:paraId="0511BBEA"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Pedota, P. J. (2015). How can student success support teacher self-efficacy and retention? </w:t>
      </w:r>
      <w:r>
        <w:rPr>
          <w:rFonts w:ascii="Times New Roman" w:eastAsia="Times New Roman" w:hAnsi="Times New Roman" w:cs="Times New Roman"/>
          <w:i/>
          <w:iCs/>
          <w:sz w:val="24"/>
          <w:szCs w:val="24"/>
        </w:rPr>
        <w:t>The Clearing House: A Journal of Educational Strategies, Issues and Ideas, 88</w:t>
      </w:r>
      <w:r>
        <w:rPr>
          <w:rFonts w:ascii="Times New Roman" w:eastAsia="Times New Roman" w:hAnsi="Times New Roman" w:cs="Times New Roman"/>
          <w:sz w:val="24"/>
          <w:szCs w:val="24"/>
        </w:rPr>
        <w:t>(2), 54–61. https://doi.org/10.1080/00098655.2014.998600</w:t>
      </w:r>
    </w:p>
    <w:p w14:paraId="1462BEE0"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B415A10"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Randel, B., Apthorp, H., Beesley, A. D., Clark, T. F., &amp; Wang, X. (2016). Impacts of professional development in classroom assessment on teacher and student outcomes. </w:t>
      </w:r>
      <w:r>
        <w:rPr>
          <w:rFonts w:ascii="Times New Roman" w:eastAsia="Times New Roman" w:hAnsi="Times New Roman" w:cs="Times New Roman"/>
          <w:i/>
          <w:iCs/>
          <w:sz w:val="24"/>
          <w:szCs w:val="24"/>
        </w:rPr>
        <w:t>The Journal of Educational Research, 109</w:t>
      </w:r>
      <w:r>
        <w:rPr>
          <w:rFonts w:ascii="Times New Roman" w:eastAsia="Times New Roman" w:hAnsi="Times New Roman" w:cs="Times New Roman"/>
          <w:sz w:val="24"/>
          <w:szCs w:val="24"/>
        </w:rPr>
        <w:t>(5), 491–502. https://doi.org/10.1080/00220671.2014.992581</w:t>
      </w:r>
    </w:p>
    <w:p w14:paraId="0528E49E"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0CD73BD9"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Rice, A. H., &amp; Kitchel, T. (2015). The relationships between agriculture knowledge bases for teaching and sources of knowledge. </w:t>
      </w:r>
      <w:r>
        <w:rPr>
          <w:rFonts w:ascii="Times New Roman" w:eastAsia="Times New Roman" w:hAnsi="Times New Roman" w:cs="Times New Roman"/>
          <w:i/>
          <w:iCs/>
          <w:sz w:val="24"/>
          <w:szCs w:val="24"/>
        </w:rPr>
        <w:t>Journal of Agricultural Education, 56</w:t>
      </w:r>
      <w:r>
        <w:rPr>
          <w:rFonts w:ascii="Times New Roman" w:eastAsia="Times New Roman" w:hAnsi="Times New Roman" w:cs="Times New Roman"/>
          <w:sz w:val="24"/>
          <w:szCs w:val="24"/>
        </w:rPr>
        <w:t>(4), 153–168. https://doi.org/10.5032/jae.2015.04153</w:t>
      </w:r>
    </w:p>
    <w:p w14:paraId="381F9B05"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F8AE895"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Rice, A. H., &amp; Kitchel, T. (2016). Deconstructing Content knowledge: Coping strategies and their underlying influencers for beginning agriculture teachers. </w:t>
      </w:r>
      <w:r>
        <w:rPr>
          <w:rFonts w:ascii="Times New Roman" w:eastAsia="Times New Roman" w:hAnsi="Times New Roman" w:cs="Times New Roman"/>
          <w:i/>
          <w:iCs/>
          <w:sz w:val="24"/>
          <w:szCs w:val="24"/>
        </w:rPr>
        <w:t>Journal of Agricultural Education, 57</w:t>
      </w:r>
      <w:r>
        <w:rPr>
          <w:rFonts w:ascii="Times New Roman" w:eastAsia="Times New Roman" w:hAnsi="Times New Roman" w:cs="Times New Roman"/>
          <w:sz w:val="24"/>
          <w:szCs w:val="24"/>
        </w:rPr>
        <w:t>(3), 208–222. https://doi.org/10.5032/jae.2016.03208</w:t>
      </w:r>
    </w:p>
    <w:p w14:paraId="7F0966D4"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6BAD6E4"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T. G., &amp; Ball, A. L. (2009). Secondary agricultural science as content and context for teaching. </w:t>
      </w:r>
      <w:r>
        <w:rPr>
          <w:rFonts w:ascii="Times New Roman" w:eastAsia="Times New Roman" w:hAnsi="Times New Roman" w:cs="Times New Roman"/>
          <w:i/>
          <w:iCs/>
          <w:sz w:val="24"/>
          <w:szCs w:val="24"/>
        </w:rPr>
        <w:t>Journal of Agricultural Education, 50</w:t>
      </w:r>
      <w:r>
        <w:rPr>
          <w:rFonts w:ascii="Times New Roman" w:eastAsia="Times New Roman" w:hAnsi="Times New Roman" w:cs="Times New Roman"/>
          <w:sz w:val="24"/>
          <w:szCs w:val="24"/>
        </w:rPr>
        <w:t>(1), 81–91. https://doi.org/10.5032/jae.2009.01081</w:t>
      </w:r>
    </w:p>
    <w:p w14:paraId="68D2B6AD"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76B7007B"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Sackman, H. (1974). </w:t>
      </w:r>
      <w:r>
        <w:rPr>
          <w:rFonts w:ascii="Times New Roman" w:eastAsia="Times New Roman" w:hAnsi="Times New Roman" w:cs="Times New Roman"/>
          <w:i/>
          <w:iCs/>
          <w:sz w:val="24"/>
          <w:szCs w:val="24"/>
        </w:rPr>
        <w:t>Delphi assessment: Expert opinion, forecasting, and group process</w:t>
      </w:r>
      <w:r>
        <w:rPr>
          <w:rFonts w:ascii="Times New Roman" w:eastAsia="Times New Roman" w:hAnsi="Times New Roman" w:cs="Times New Roman"/>
          <w:sz w:val="24"/>
          <w:szCs w:val="24"/>
        </w:rPr>
        <w:t>. The RAND Corporation. https://www.rand.org/content/dam/rand/pubs/reports/2006/R1283.pdf</w:t>
      </w:r>
    </w:p>
    <w:p w14:paraId="659A75A1"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719F8092"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Shinn, C. G. (1998). </w:t>
      </w:r>
      <w:r>
        <w:rPr>
          <w:rFonts w:ascii="Times New Roman" w:eastAsia="Times New Roman" w:hAnsi="Times New Roman" w:cs="Times New Roman"/>
          <w:i/>
          <w:iCs/>
          <w:sz w:val="24"/>
          <w:szCs w:val="24"/>
        </w:rPr>
        <w:t>Transforming agricultural mechanics curriculum through expert opinion to model technologies in foods environmental and natural resource systems</w:t>
      </w:r>
      <w:r>
        <w:rPr>
          <w:rFonts w:ascii="Times New Roman" w:eastAsia="Times New Roman" w:hAnsi="Times New Roman" w:cs="Times New Roman"/>
          <w:sz w:val="24"/>
          <w:szCs w:val="24"/>
        </w:rPr>
        <w:t xml:space="preserve"> [Paper presentation]. 25th Annual National Agricultural Education Research Meeting, New Orleans, LA, 25, 270–282. https://files.eric.ed.gov/fulltext/ED428177.pdf</w:t>
      </w:r>
    </w:p>
    <w:p w14:paraId="0F144E23"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19065A2D"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Shuls, J. V., &amp; Flores, J. M. (2020). Improving teacher retention through support and development. </w:t>
      </w:r>
      <w:r>
        <w:rPr>
          <w:rFonts w:ascii="Times New Roman" w:eastAsia="Times New Roman" w:hAnsi="Times New Roman" w:cs="Times New Roman"/>
          <w:i/>
          <w:iCs/>
          <w:sz w:val="24"/>
          <w:szCs w:val="24"/>
        </w:rPr>
        <w:t>Journal of Educational Leadership and Policy Studies, 4</w:t>
      </w:r>
      <w:r>
        <w:rPr>
          <w:rFonts w:ascii="Times New Roman" w:eastAsia="Times New Roman" w:hAnsi="Times New Roman" w:cs="Times New Roman"/>
          <w:sz w:val="24"/>
          <w:szCs w:val="24"/>
        </w:rPr>
        <w:t>(1). https://eric.ed.gov/?id=EJ1282763</w:t>
      </w:r>
    </w:p>
    <w:p w14:paraId="23BE3270"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52A1AE1B"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Skulmoski, G. J., Hartman, F. T., &amp; Krahn, J. (2007). The Delphi method for graduate research. </w:t>
      </w:r>
      <w:r>
        <w:rPr>
          <w:rFonts w:ascii="Times New Roman" w:eastAsia="Times New Roman" w:hAnsi="Times New Roman" w:cs="Times New Roman"/>
          <w:i/>
          <w:iCs/>
          <w:sz w:val="24"/>
          <w:szCs w:val="24"/>
        </w:rPr>
        <w:t>Journal of Information Technology Education: Research, 6</w:t>
      </w:r>
      <w:r>
        <w:rPr>
          <w:rFonts w:ascii="Times New Roman" w:eastAsia="Times New Roman" w:hAnsi="Times New Roman" w:cs="Times New Roman"/>
          <w:sz w:val="24"/>
          <w:szCs w:val="24"/>
        </w:rPr>
        <w:t>, 1–21. https://doi.org/10.28945/199</w:t>
      </w:r>
    </w:p>
    <w:p w14:paraId="1FA11D39"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02EADE44"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Smalley, S., Hainline, M. S., &amp; Ramstad, J. (2025). Defining fidelity in the curriculum for agricultural science education (CASE). </w:t>
      </w:r>
      <w:r>
        <w:rPr>
          <w:rFonts w:ascii="Times New Roman" w:eastAsia="Times New Roman" w:hAnsi="Times New Roman" w:cs="Times New Roman"/>
          <w:i/>
          <w:iCs/>
          <w:sz w:val="24"/>
          <w:szCs w:val="24"/>
        </w:rPr>
        <w:t>Journal of Agricultural Education, 66</w:t>
      </w:r>
      <w:r>
        <w:rPr>
          <w:rFonts w:ascii="Times New Roman" w:eastAsia="Times New Roman" w:hAnsi="Times New Roman" w:cs="Times New Roman"/>
          <w:sz w:val="24"/>
          <w:szCs w:val="24"/>
        </w:rPr>
        <w:t>(2), Article 5. https://doi.org/10.5032/jae.v66i2.93</w:t>
      </w:r>
    </w:p>
    <w:p w14:paraId="075D7FEB"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9010A1B"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Smalley, S., Rice, A., &amp; Hasselquist, L. (2023). The effectiveness of virtual CASE institute professional development: A participant perspective. </w:t>
      </w:r>
      <w:r>
        <w:rPr>
          <w:rFonts w:ascii="Times New Roman" w:eastAsia="Times New Roman" w:hAnsi="Times New Roman" w:cs="Times New Roman"/>
          <w:i/>
          <w:iCs/>
          <w:sz w:val="24"/>
          <w:szCs w:val="24"/>
        </w:rPr>
        <w:t>Journal of Agricultural Education, 64</w:t>
      </w:r>
      <w:r>
        <w:rPr>
          <w:rFonts w:ascii="Times New Roman" w:eastAsia="Times New Roman" w:hAnsi="Times New Roman" w:cs="Times New Roman"/>
          <w:sz w:val="24"/>
          <w:szCs w:val="24"/>
        </w:rPr>
        <w:t>(2), 85–98. https://doi.org/10.5032/jae.v64i2.89</w:t>
      </w:r>
    </w:p>
    <w:p w14:paraId="27ED6CF7"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5A7A0F0A"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Smalley, S., &amp; Smith, A. R. (2017). Professional development needs of mid-career agriculture teachers. </w:t>
      </w:r>
      <w:r>
        <w:rPr>
          <w:rFonts w:ascii="Times New Roman" w:eastAsia="Times New Roman" w:hAnsi="Times New Roman" w:cs="Times New Roman"/>
          <w:i/>
          <w:iCs/>
          <w:sz w:val="24"/>
          <w:szCs w:val="24"/>
        </w:rPr>
        <w:t>Journal of Agricultural Education, 58</w:t>
      </w:r>
      <w:r>
        <w:rPr>
          <w:rFonts w:ascii="Times New Roman" w:eastAsia="Times New Roman" w:hAnsi="Times New Roman" w:cs="Times New Roman"/>
          <w:sz w:val="24"/>
          <w:szCs w:val="24"/>
        </w:rPr>
        <w:t>(4), 282–290. https://doi.org/10.5032/jae.2017.04283</w:t>
      </w:r>
    </w:p>
    <w:p w14:paraId="179FE9E2"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6CDC4CE7"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A. R., &amp; Smalley, S. (2018). Job stress, burnout, and professional development needs of Mid-career agricultural education teachers. </w:t>
      </w:r>
      <w:r>
        <w:rPr>
          <w:rFonts w:ascii="Times New Roman" w:eastAsia="Times New Roman" w:hAnsi="Times New Roman" w:cs="Times New Roman"/>
          <w:i/>
          <w:iCs/>
          <w:sz w:val="24"/>
          <w:szCs w:val="24"/>
        </w:rPr>
        <w:t>Journal of Agricultural Education, 59</w:t>
      </w:r>
      <w:r>
        <w:rPr>
          <w:rFonts w:ascii="Times New Roman" w:eastAsia="Times New Roman" w:hAnsi="Times New Roman" w:cs="Times New Roman"/>
          <w:sz w:val="24"/>
          <w:szCs w:val="24"/>
        </w:rPr>
        <w:t>(2), 305–320. https://doi.org/10.5032/jae.2018.02305</w:t>
      </w:r>
    </w:p>
    <w:p w14:paraId="5A7F36E6"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5D69EE7E"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A. R., Spiess, M., Foster, D. D., &amp; Lawver, R. G. (2025). </w:t>
      </w:r>
      <w:r>
        <w:rPr>
          <w:rFonts w:ascii="Times New Roman" w:eastAsia="Times New Roman" w:hAnsi="Times New Roman" w:cs="Times New Roman"/>
          <w:i/>
          <w:iCs/>
          <w:sz w:val="24"/>
          <w:szCs w:val="24"/>
        </w:rPr>
        <w:t>National agricultural education supply and demand study, 2024 executive summary</w:t>
      </w:r>
      <w:r>
        <w:rPr>
          <w:rFonts w:ascii="Times New Roman" w:eastAsia="Times New Roman" w:hAnsi="Times New Roman" w:cs="Times New Roman"/>
          <w:sz w:val="24"/>
          <w:szCs w:val="24"/>
        </w:rPr>
        <w:t>. https://nsd.aaaeonline.org</w:t>
      </w:r>
    </w:p>
    <w:p w14:paraId="43EF48EA"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4DCD1D7C"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Council for Agricultural Education (2023a). </w:t>
      </w:r>
      <w:r>
        <w:rPr>
          <w:rFonts w:ascii="Times New Roman" w:eastAsia="Times New Roman" w:hAnsi="Times New Roman" w:cs="Times New Roman"/>
          <w:i/>
          <w:iCs/>
          <w:sz w:val="24"/>
          <w:szCs w:val="24"/>
        </w:rPr>
        <w:t>About us</w:t>
      </w:r>
      <w:r>
        <w:rPr>
          <w:rFonts w:ascii="Times New Roman" w:eastAsia="Times New Roman" w:hAnsi="Times New Roman" w:cs="Times New Roman"/>
          <w:sz w:val="24"/>
          <w:szCs w:val="24"/>
        </w:rPr>
        <w:t>. https://thecouncil.ffa.org/ageducation/</w:t>
      </w:r>
    </w:p>
    <w:p w14:paraId="50F10E24"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4AB84ABA"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Council for Agricultural Education (2023b). </w:t>
      </w:r>
      <w:r>
        <w:rPr>
          <w:rFonts w:ascii="Times New Roman" w:eastAsia="Times New Roman" w:hAnsi="Times New Roman" w:cs="Times New Roman"/>
          <w:i/>
          <w:iCs/>
          <w:sz w:val="24"/>
          <w:szCs w:val="24"/>
        </w:rPr>
        <w:t>AFNR standards</w:t>
      </w:r>
      <w:r>
        <w:rPr>
          <w:rFonts w:ascii="Times New Roman" w:eastAsia="Times New Roman" w:hAnsi="Times New Roman" w:cs="Times New Roman"/>
          <w:sz w:val="24"/>
          <w:szCs w:val="24"/>
        </w:rPr>
        <w:t>. https://thecouncil.ffa.org/afnr/</w:t>
      </w:r>
    </w:p>
    <w:p w14:paraId="1B179EA2"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742D7741"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D. R. (2006). A general inductive approach for analyzing qualitative evaluation data. </w:t>
      </w:r>
      <w:r>
        <w:rPr>
          <w:rFonts w:ascii="Times New Roman" w:eastAsia="Times New Roman" w:hAnsi="Times New Roman" w:cs="Times New Roman"/>
          <w:i/>
          <w:iCs/>
          <w:sz w:val="24"/>
          <w:szCs w:val="24"/>
        </w:rPr>
        <w:t>American Journal of Evaluation, 27</w:t>
      </w:r>
      <w:r>
        <w:rPr>
          <w:rFonts w:ascii="Times New Roman" w:eastAsia="Times New Roman" w:hAnsi="Times New Roman" w:cs="Times New Roman"/>
          <w:sz w:val="24"/>
          <w:szCs w:val="24"/>
        </w:rPr>
        <w:t>(2), 237–246. https://doi.org/10.1177/1098214005283748</w:t>
      </w:r>
    </w:p>
    <w:p w14:paraId="0F44E09E"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6069C55E"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Thornton, K. M., Coleman, B. M., Bunch, J., &amp; Roberts, T. G. (2020). Professional life phases: Identifying professional development needs for Florida agriscience teachers.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61</w:t>
      </w:r>
      <w:r>
        <w:rPr>
          <w:rFonts w:ascii="Times New Roman" w:eastAsia="Times New Roman" w:hAnsi="Times New Roman" w:cs="Times New Roman"/>
          <w:sz w:val="24"/>
          <w:szCs w:val="24"/>
        </w:rPr>
        <w:t>(4), 283–295. https://doi.org/10.5032/jae.2020.04283</w:t>
      </w:r>
    </w:p>
    <w:p w14:paraId="54C59B49"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3BE32E30"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Thyer, B. A. (2010). </w:t>
      </w:r>
      <w:r>
        <w:rPr>
          <w:rFonts w:ascii="Times New Roman" w:eastAsia="Times New Roman" w:hAnsi="Times New Roman" w:cs="Times New Roman"/>
          <w:i/>
          <w:iCs/>
          <w:sz w:val="24"/>
          <w:szCs w:val="24"/>
        </w:rPr>
        <w:t>The handbook of social work research methods</w:t>
      </w:r>
      <w:r>
        <w:rPr>
          <w:rFonts w:ascii="Times New Roman" w:eastAsia="Times New Roman" w:hAnsi="Times New Roman" w:cs="Times New Roman"/>
          <w:sz w:val="24"/>
          <w:szCs w:val="24"/>
        </w:rPr>
        <w:t xml:space="preserve"> (2nd ed.). SAGE Publications.</w:t>
      </w:r>
    </w:p>
    <w:p w14:paraId="156FCC25"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7CF75FB6"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Trexler, C. J., Parr, D. M., &amp; Khanna, N. (2006). A Delphi study of agricultural practitioners’ opinions: Necessary experiences for inclusion in an undergraduate sustainable agricultural major. </w:t>
      </w:r>
      <w:r>
        <w:rPr>
          <w:rFonts w:ascii="Times New Roman" w:eastAsia="Times New Roman" w:hAnsi="Times New Roman" w:cs="Times New Roman"/>
          <w:i/>
          <w:iCs/>
          <w:sz w:val="24"/>
          <w:szCs w:val="24"/>
        </w:rPr>
        <w:t>Journal of Agricultural Education, 47</w:t>
      </w:r>
      <w:r>
        <w:rPr>
          <w:rFonts w:ascii="Times New Roman" w:eastAsia="Times New Roman" w:hAnsi="Times New Roman" w:cs="Times New Roman"/>
          <w:sz w:val="24"/>
          <w:szCs w:val="24"/>
        </w:rPr>
        <w:t>(4), 15–25. https://doi.org/10.5032/jae.2006.04015</w:t>
      </w:r>
    </w:p>
    <w:p w14:paraId="391FB2C4"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1019E764"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Tummons, J. D., Hasselquist, L., &amp; Smalley, S. (2020). Exploring content, pedagogy, and literacy strategies among preservice teachers in CASE institutes. </w:t>
      </w:r>
      <w:r>
        <w:rPr>
          <w:rFonts w:ascii="Times New Roman" w:eastAsia="Times New Roman" w:hAnsi="Times New Roman" w:cs="Times New Roman"/>
          <w:i/>
          <w:iCs/>
          <w:sz w:val="24"/>
          <w:szCs w:val="24"/>
        </w:rPr>
        <w:t>Journal of Agricultural Education, 61</w:t>
      </w:r>
      <w:r>
        <w:rPr>
          <w:rFonts w:ascii="Times New Roman" w:eastAsia="Times New Roman" w:hAnsi="Times New Roman" w:cs="Times New Roman"/>
          <w:sz w:val="24"/>
          <w:szCs w:val="24"/>
        </w:rPr>
        <w:t>(2), 289–306. https://doi.org/10.5032/jae.2020.02289</w:t>
      </w:r>
    </w:p>
    <w:p w14:paraId="4CCEA72B"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EEFED2C"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Warner, A. J., &amp; Myers, B. E. (2011). Agriscience teachers’ concern profiles for content area reading strategies. </w:t>
      </w:r>
      <w:r>
        <w:rPr>
          <w:rFonts w:ascii="Times New Roman" w:eastAsia="Times New Roman" w:hAnsi="Times New Roman" w:cs="Times New Roman"/>
          <w:i/>
          <w:iCs/>
          <w:sz w:val="24"/>
          <w:szCs w:val="24"/>
        </w:rPr>
        <w:t>Journal of Agricultural Education, 52</w:t>
      </w:r>
      <w:r>
        <w:rPr>
          <w:rFonts w:ascii="Times New Roman" w:eastAsia="Times New Roman" w:hAnsi="Times New Roman" w:cs="Times New Roman"/>
          <w:sz w:val="24"/>
          <w:szCs w:val="24"/>
        </w:rPr>
        <w:t>(4), 109–122. https://doi.org/10.5032/jae.2011.04109</w:t>
      </w:r>
    </w:p>
    <w:p w14:paraId="456A6E93"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1F20E315"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Wells, T., &amp; Hainline, M. S. (2021). Examining teachers’ agricultural mechanics professional development needs: A national study. </w:t>
      </w:r>
      <w:r>
        <w:rPr>
          <w:rFonts w:ascii="Times New Roman" w:eastAsia="Times New Roman" w:hAnsi="Times New Roman" w:cs="Times New Roman"/>
          <w:i/>
          <w:iCs/>
          <w:sz w:val="24"/>
          <w:szCs w:val="24"/>
        </w:rPr>
        <w:t>Journal of Agricultural Education, 62</w:t>
      </w:r>
      <w:r>
        <w:rPr>
          <w:rFonts w:ascii="Times New Roman" w:eastAsia="Times New Roman" w:hAnsi="Times New Roman" w:cs="Times New Roman"/>
          <w:sz w:val="24"/>
          <w:szCs w:val="24"/>
        </w:rPr>
        <w:t>(2), 217–238. https://doi.org/10.5032/jae.2021.02217</w:t>
      </w:r>
    </w:p>
    <w:p w14:paraId="4BB462C3"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623DAD47"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Wells, T., Hainline, M. S., Rank, B. D., Sanders, K. W., &amp; Chumbley, S. (2021). A regional study of the agricultural mechanics knowledge and skills needed by school-based agricultural education teachers. </w:t>
      </w:r>
      <w:r>
        <w:rPr>
          <w:rFonts w:ascii="Times New Roman" w:eastAsia="Times New Roman" w:hAnsi="Times New Roman" w:cs="Times New Roman"/>
          <w:i/>
          <w:iCs/>
          <w:sz w:val="24"/>
          <w:szCs w:val="24"/>
        </w:rPr>
        <w:t>Journal of Agricultural Education, 62</w:t>
      </w:r>
      <w:r>
        <w:rPr>
          <w:rFonts w:ascii="Times New Roman" w:eastAsia="Times New Roman" w:hAnsi="Times New Roman" w:cs="Times New Roman"/>
          <w:sz w:val="24"/>
          <w:szCs w:val="24"/>
        </w:rPr>
        <w:t>(2), 148–166. https://doi.org/10.5032/jae.2021.02148</w:t>
      </w:r>
    </w:p>
    <w:p w14:paraId="732D5FD8"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2EC2E69E"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Wood, M., Sorensen, T., Burrows, M., Judd-Murray, R., &amp; Boschetto, L. (2024a). Sowing success: The impact of pedagogical content knowledge and professional development on the turnover intentions of SBAE teachers. </w:t>
      </w:r>
      <w:r>
        <w:rPr>
          <w:rFonts w:ascii="Times New Roman" w:eastAsia="Times New Roman" w:hAnsi="Times New Roman" w:cs="Times New Roman"/>
          <w:i/>
          <w:iCs/>
          <w:sz w:val="24"/>
          <w:szCs w:val="24"/>
        </w:rPr>
        <w:t>Journal of Agricultural Education, 65</w:t>
      </w:r>
      <w:r>
        <w:rPr>
          <w:rFonts w:ascii="Times New Roman" w:eastAsia="Times New Roman" w:hAnsi="Times New Roman" w:cs="Times New Roman"/>
          <w:sz w:val="24"/>
          <w:szCs w:val="24"/>
        </w:rPr>
        <w:t>(4), 161–175. https://doi.org/10.5032/jae.v65i4.2789</w:t>
      </w:r>
    </w:p>
    <w:p w14:paraId="06160CB3"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16F1E594" w14:textId="77777777" w:rsidR="009B7C03"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Wood, M., Sorensen, T., &amp; Rubenstein, E. (2024b). Assessing the pedagogical content knowledge of school-based agricultural education teachers and determining their individualized need for professional development by licensure type. </w:t>
      </w:r>
      <w:r>
        <w:rPr>
          <w:rFonts w:ascii="Times New Roman" w:eastAsia="Times New Roman" w:hAnsi="Times New Roman" w:cs="Times New Roman"/>
          <w:i/>
          <w:iCs/>
          <w:sz w:val="24"/>
          <w:szCs w:val="24"/>
        </w:rPr>
        <w:t>Journal of Agricultural Education, 65</w:t>
      </w:r>
      <w:r>
        <w:rPr>
          <w:rFonts w:ascii="Times New Roman" w:eastAsia="Times New Roman" w:hAnsi="Times New Roman" w:cs="Times New Roman"/>
          <w:sz w:val="24"/>
          <w:szCs w:val="24"/>
        </w:rPr>
        <w:t>(2), 54–70. https://doi.org/10.5032/jae.v65i2.119</w:t>
      </w:r>
    </w:p>
    <w:p w14:paraId="59011B3B" w14:textId="77777777" w:rsidR="009B7C03" w:rsidRDefault="009B7C03" w:rsidP="009B7C03">
      <w:pPr>
        <w:spacing w:line="240" w:lineRule="auto"/>
        <w:ind w:left="720" w:hanging="720"/>
        <w:rPr>
          <w:rFonts w:ascii="Times New Roman" w:eastAsia="Times New Roman" w:hAnsi="Times New Roman" w:cs="Times New Roman"/>
          <w:sz w:val="24"/>
          <w:szCs w:val="24"/>
        </w:rPr>
      </w:pPr>
    </w:p>
    <w:p w14:paraId="68A57585" w14:textId="5AB8E954" w:rsidR="008A7C86" w:rsidRDefault="009B7C03" w:rsidP="009B7C0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Zhang, X. (2023). Teachers’ self-directed professional development in under-resourced contexts: How do open educational resources matter? </w:t>
      </w:r>
      <w:r>
        <w:rPr>
          <w:rFonts w:ascii="Times New Roman" w:eastAsia="Times New Roman" w:hAnsi="Times New Roman" w:cs="Times New Roman"/>
          <w:i/>
          <w:iCs/>
          <w:sz w:val="24"/>
          <w:szCs w:val="24"/>
        </w:rPr>
        <w:t>Education and Information Technologies, 28</w:t>
      </w:r>
      <w:r>
        <w:rPr>
          <w:rFonts w:ascii="Times New Roman" w:eastAsia="Times New Roman" w:hAnsi="Times New Roman" w:cs="Times New Roman"/>
          <w:sz w:val="24"/>
          <w:szCs w:val="24"/>
        </w:rPr>
        <w:t>, 1849–1863. https://doi.org/10.1007/s10639-022-11238-7</w:t>
      </w:r>
    </w:p>
    <w:p w14:paraId="2E9A5ED0" w14:textId="77777777" w:rsidR="008A7C86" w:rsidRDefault="008A7C86">
      <w:pPr>
        <w:spacing w:line="240" w:lineRule="auto"/>
        <w:ind w:left="720"/>
        <w:rPr>
          <w:rFonts w:ascii="Times New Roman" w:eastAsia="Times New Roman" w:hAnsi="Times New Roman" w:cs="Times New Roman"/>
          <w:sz w:val="24"/>
          <w:szCs w:val="24"/>
        </w:rPr>
      </w:pPr>
    </w:p>
    <w:sectPr w:rsidR="008A7C86">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472FF" w14:textId="77777777" w:rsidR="002758E7" w:rsidRDefault="002758E7">
      <w:pPr>
        <w:spacing w:line="240" w:lineRule="auto"/>
      </w:pPr>
      <w:r>
        <w:separator/>
      </w:r>
    </w:p>
  </w:endnote>
  <w:endnote w:type="continuationSeparator" w:id="0">
    <w:p w14:paraId="553BA408" w14:textId="77777777" w:rsidR="002758E7" w:rsidRDefault="002758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124C07F0-7BF5-EB4F-B7F5-1E7A88EA49B8}"/>
    <w:embedItalic r:id="rId2" w:fontKey="{228F8640-131C-4742-888C-F218AC930222}"/>
  </w:font>
  <w:font w:name="Times New Roman">
    <w:panose1 w:val="02020603050405020304"/>
    <w:charset w:val="00"/>
    <w:family w:val="roman"/>
    <w:pitch w:val="variable"/>
    <w:sig w:usb0="E0002EFF" w:usb1="C000785B" w:usb2="00000009" w:usb3="00000000" w:csb0="000001FF" w:csb1="00000000"/>
    <w:embedRegular r:id="rId3" w:fontKey="{9E449767-AE51-B54F-A54A-5D3929439CCA}"/>
    <w:embedBold r:id="rId4" w:fontKey="{1D52BE24-F2B5-A14E-BEAC-132D22339A4D}"/>
    <w:embedItalic r:id="rId5" w:fontKey="{ED12AE03-23D8-9D45-8630-33474CAF9E0B}"/>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E747EB4C-C3CB-0043-94CA-34BDCDB0B2B9}"/>
  </w:font>
  <w:font w:name="Cambria">
    <w:panose1 w:val="02040503050406030204"/>
    <w:charset w:val="00"/>
    <w:family w:val="roman"/>
    <w:pitch w:val="variable"/>
    <w:sig w:usb0="E00006FF" w:usb1="420024FF" w:usb2="02000000" w:usb3="00000000" w:csb0="0000019F" w:csb1="00000000"/>
    <w:embedRegular r:id="rId7" w:fontKey="{DF689BD8-0017-6C41-8352-D1D68CDCC8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9BD6A" w14:textId="77777777" w:rsidR="008A7C86"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A46094">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131E2" w14:textId="77777777" w:rsidR="002758E7" w:rsidRDefault="002758E7">
      <w:pPr>
        <w:spacing w:line="240" w:lineRule="auto"/>
      </w:pPr>
      <w:r>
        <w:separator/>
      </w:r>
    </w:p>
  </w:footnote>
  <w:footnote w:type="continuationSeparator" w:id="0">
    <w:p w14:paraId="0F6EBEF5" w14:textId="77777777" w:rsidR="002758E7" w:rsidRDefault="002758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CD9CD" w14:textId="77777777" w:rsidR="008A7C86" w:rsidRDefault="008A7C8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C86"/>
    <w:rsid w:val="000E5F75"/>
    <w:rsid w:val="002758E7"/>
    <w:rsid w:val="006A2642"/>
    <w:rsid w:val="008A7C86"/>
    <w:rsid w:val="009616B2"/>
    <w:rsid w:val="009B7C03"/>
    <w:rsid w:val="00A460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19695"/>
  <w15:docId w15:val="{E596B734-80DE-4F3B-9001-C2A5F15E4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18</Pages>
  <Words>7762</Words>
  <Characters>48592</Characters>
  <Application>Microsoft Office Word</Application>
  <DocSecurity>0</DocSecurity>
  <Lines>952</Lines>
  <Paragraphs>383</Paragraphs>
  <ScaleCrop>false</ScaleCrop>
  <Company/>
  <LinksUpToDate>false</LinksUpToDate>
  <CharactersWithSpaces>55971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Ramstad, Joseph E</cp:lastModifiedBy>
  <cp:revision>3</cp:revision>
  <dcterms:created xsi:type="dcterms:W3CDTF">2026-03-31T15:42:00Z</dcterms:created>
  <dcterms:modified xsi:type="dcterms:W3CDTF">2026-04-05T04:31:00Z</dcterms:modified>
</cp:coreProperties>
</file>