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BE4B4" w14:textId="7A329510" w:rsidR="00EE73F4" w:rsidRDefault="00106785" w:rsidP="00C23E59">
      <w:pPr>
        <w:spacing w:after="240"/>
        <w:jc w:val="center"/>
        <w:rPr>
          <w:rFonts w:ascii="Times New Roman" w:hAnsi="Times New Roman" w:cs="Times New Roman"/>
          <w:b/>
          <w:bCs/>
        </w:rPr>
      </w:pPr>
      <w:r w:rsidRPr="00986F89">
        <w:rPr>
          <w:rFonts w:ascii="Times New Roman" w:hAnsi="Times New Roman" w:cs="Times New Roman"/>
          <w:b/>
          <w:bCs/>
        </w:rPr>
        <w:t xml:space="preserve">Reflection as a Developmental Practice in Preservice Agricultural Education: </w:t>
      </w:r>
      <w:r w:rsidR="00DB5A75" w:rsidRPr="00986F89">
        <w:rPr>
          <w:rFonts w:ascii="Times New Roman" w:hAnsi="Times New Roman" w:cs="Times New Roman"/>
          <w:b/>
          <w:bCs/>
        </w:rPr>
        <w:t>Metacognition, Motivation, and Learning Transfer Through Reflective Journaling</w:t>
      </w:r>
    </w:p>
    <w:p w14:paraId="795EB34C" w14:textId="77777777" w:rsidR="00C23E59" w:rsidRDefault="00253F65" w:rsidP="00C23E59">
      <w:pPr>
        <w:jc w:val="center"/>
        <w:rPr>
          <w:rFonts w:ascii="Times New Roman" w:hAnsi="Times New Roman" w:cs="Times New Roman"/>
        </w:rPr>
      </w:pPr>
      <w:r w:rsidRPr="00253F65">
        <w:rPr>
          <w:rFonts w:ascii="Times New Roman" w:hAnsi="Times New Roman" w:cs="Times New Roman"/>
        </w:rPr>
        <w:t xml:space="preserve">Dr. Amanda M. Bowling, Kenny Saephan, </w:t>
      </w:r>
      <w:r w:rsidR="00C23E59">
        <w:rPr>
          <w:rFonts w:ascii="Times New Roman" w:hAnsi="Times New Roman" w:cs="Times New Roman"/>
        </w:rPr>
        <w:t>Ashley Thompson, &amp; Dr. Kellie Claflin</w:t>
      </w:r>
    </w:p>
    <w:p w14:paraId="6E1C596D" w14:textId="52E28ED4" w:rsidR="00253F65" w:rsidRDefault="00AD5B89" w:rsidP="00C23E59">
      <w:pPr>
        <w:jc w:val="center"/>
        <w:rPr>
          <w:rFonts w:ascii="Times New Roman" w:hAnsi="Times New Roman" w:cs="Times New Roman"/>
        </w:rPr>
      </w:pPr>
      <w:r w:rsidRPr="00253F65">
        <w:rPr>
          <w:rFonts w:ascii="Times New Roman" w:hAnsi="Times New Roman" w:cs="Times New Roman"/>
        </w:rPr>
        <w:t>The Ohio State University</w:t>
      </w:r>
    </w:p>
    <w:p w14:paraId="29C658F3" w14:textId="77777777" w:rsidR="00C23E59" w:rsidRPr="00253F65" w:rsidRDefault="00C23E59" w:rsidP="00C23E59">
      <w:pPr>
        <w:jc w:val="center"/>
        <w:rPr>
          <w:rFonts w:ascii="Times New Roman" w:hAnsi="Times New Roman" w:cs="Times New Roman"/>
        </w:rPr>
      </w:pPr>
    </w:p>
    <w:p w14:paraId="0F75DFEC" w14:textId="50BADD92" w:rsidR="00776EDD" w:rsidRPr="00986F89" w:rsidRDefault="00ED3632" w:rsidP="00C23E59">
      <w:pPr>
        <w:spacing w:after="240"/>
        <w:rPr>
          <w:rFonts w:ascii="Times New Roman" w:hAnsi="Times New Roman" w:cs="Times New Roman"/>
          <w:i/>
          <w:iCs/>
        </w:rPr>
      </w:pPr>
      <w:r w:rsidRPr="00ED3632">
        <w:rPr>
          <w:rFonts w:ascii="Times New Roman" w:hAnsi="Times New Roman" w:cs="Times New Roman"/>
          <w:i/>
          <w:iCs/>
        </w:rPr>
        <w:t xml:space="preserve">This qualitative interpretive study examined how preservice </w:t>
      </w:r>
      <w:r w:rsidR="00EC384F">
        <w:rPr>
          <w:rFonts w:ascii="Times New Roman" w:hAnsi="Times New Roman" w:cs="Times New Roman"/>
          <w:i/>
          <w:iCs/>
        </w:rPr>
        <w:t xml:space="preserve">school-based agricultural education </w:t>
      </w:r>
      <w:r w:rsidRPr="00ED3632">
        <w:rPr>
          <w:rFonts w:ascii="Times New Roman" w:hAnsi="Times New Roman" w:cs="Times New Roman"/>
          <w:i/>
          <w:iCs/>
        </w:rPr>
        <w:t>teachers made sense of metacognition, learning transfer, and motivation through sustained reflective journaling. Reflective journals were collected as end-of-semester artifacts and analyzed using hybrid thematic analysis that combined sensitizing constructs with inductive coding. Journal prompts were sequenced across the semester and informed by Johns</w:t>
      </w:r>
      <w:proofErr w:type="gramStart"/>
      <w:r w:rsidRPr="00ED3632">
        <w:rPr>
          <w:rFonts w:ascii="Times New Roman" w:hAnsi="Times New Roman" w:cs="Times New Roman"/>
          <w:i/>
          <w:iCs/>
        </w:rPr>
        <w:t xml:space="preserve">’ </w:t>
      </w:r>
      <w:r w:rsidR="00EC384F">
        <w:rPr>
          <w:rFonts w:ascii="Times New Roman" w:hAnsi="Times New Roman" w:cs="Times New Roman"/>
          <w:i/>
          <w:iCs/>
        </w:rPr>
        <w:t xml:space="preserve"> m</w:t>
      </w:r>
      <w:r w:rsidRPr="00ED3632">
        <w:rPr>
          <w:rFonts w:ascii="Times New Roman" w:hAnsi="Times New Roman" w:cs="Times New Roman"/>
          <w:i/>
          <w:iCs/>
        </w:rPr>
        <w:t>odel</w:t>
      </w:r>
      <w:proofErr w:type="gramEnd"/>
      <w:r w:rsidRPr="00ED3632">
        <w:rPr>
          <w:rFonts w:ascii="Times New Roman" w:hAnsi="Times New Roman" w:cs="Times New Roman"/>
          <w:i/>
          <w:iCs/>
        </w:rPr>
        <w:t xml:space="preserve"> of </w:t>
      </w:r>
      <w:r w:rsidR="00EC384F">
        <w:rPr>
          <w:rFonts w:ascii="Times New Roman" w:hAnsi="Times New Roman" w:cs="Times New Roman"/>
          <w:i/>
          <w:iCs/>
        </w:rPr>
        <w:t>r</w:t>
      </w:r>
      <w:r w:rsidRPr="00ED3632">
        <w:rPr>
          <w:rFonts w:ascii="Times New Roman" w:hAnsi="Times New Roman" w:cs="Times New Roman"/>
          <w:i/>
          <w:iCs/>
        </w:rPr>
        <w:t>eflection to guide attention to experience, emotion, contextual influence, and alternative actions.</w:t>
      </w:r>
      <w:r>
        <w:rPr>
          <w:rFonts w:ascii="Times New Roman" w:hAnsi="Times New Roman" w:cs="Times New Roman"/>
          <w:i/>
          <w:iCs/>
        </w:rPr>
        <w:t xml:space="preserve"> </w:t>
      </w:r>
      <w:r w:rsidRPr="00ED3632">
        <w:rPr>
          <w:rFonts w:ascii="Times New Roman" w:hAnsi="Times New Roman" w:cs="Times New Roman"/>
          <w:i/>
          <w:iCs/>
        </w:rPr>
        <w:t>Two themes emerged. Milestones as Reflective Growth Events captured moments when participants moved beyond description to reinterpret instructional experiences through comparison across teaching cycles, layered reflection over time, and attention to emotionally salient events. Constructing a Professional Identity Through Reflection described variability in how participants positioned themselves as teachers, including partial and uneven movement from imitation toward intentional instructional decision-making. Across both themes, sustained journaling made shifts in confidence, assumptions, and instructional reasoning visible while also revealing plateaus and regressions in reflective depth.</w:t>
      </w:r>
      <w:r>
        <w:rPr>
          <w:rFonts w:ascii="Times New Roman" w:hAnsi="Times New Roman" w:cs="Times New Roman"/>
          <w:i/>
          <w:iCs/>
        </w:rPr>
        <w:t xml:space="preserve"> </w:t>
      </w:r>
      <w:r w:rsidRPr="00ED3632">
        <w:rPr>
          <w:rFonts w:ascii="Times New Roman" w:hAnsi="Times New Roman" w:cs="Times New Roman"/>
          <w:i/>
          <w:iCs/>
        </w:rPr>
        <w:t>These findings suggest that reflective journaling supports preservice teacher learning when designed as a scaffolded process revisiting instructional experiences over time. Reflection alone did not produce consistent growth, underscoring the need for structured supports that promote metacognitive awareness, instructional reasoning, and professional identity development in SBAE teacher preparation.</w:t>
      </w:r>
    </w:p>
    <w:p w14:paraId="70F1988B" w14:textId="77777777" w:rsidR="00EE73F4" w:rsidRPr="00986F89" w:rsidRDefault="00EE73F4" w:rsidP="00C23E59">
      <w:pPr>
        <w:spacing w:after="240"/>
        <w:jc w:val="center"/>
        <w:rPr>
          <w:rFonts w:ascii="Times New Roman" w:hAnsi="Times New Roman" w:cs="Times New Roman"/>
          <w:b/>
          <w:bCs/>
        </w:rPr>
      </w:pPr>
      <w:r w:rsidRPr="00986F89">
        <w:rPr>
          <w:rFonts w:ascii="Times New Roman" w:hAnsi="Times New Roman" w:cs="Times New Roman"/>
          <w:b/>
          <w:bCs/>
        </w:rPr>
        <w:t>Introduction</w:t>
      </w:r>
    </w:p>
    <w:p w14:paraId="3D0A7CE5" w14:textId="43B71D94" w:rsidR="00DE4C58" w:rsidRPr="00986F89" w:rsidRDefault="00DE4C58" w:rsidP="00C23E59">
      <w:pPr>
        <w:pStyle w:val="p1"/>
        <w:spacing w:after="240"/>
        <w:ind w:firstLine="720"/>
        <w:rPr>
          <w:color w:val="auto"/>
          <w:kern w:val="2"/>
          <w:sz w:val="24"/>
          <w:szCs w:val="24"/>
          <w14:ligatures w14:val="standardContextual"/>
        </w:rPr>
      </w:pPr>
      <w:r w:rsidRPr="00986F89">
        <w:rPr>
          <w:color w:val="auto"/>
          <w:kern w:val="2"/>
          <w:sz w:val="24"/>
          <w:szCs w:val="24"/>
          <w14:ligatures w14:val="standardContextual"/>
        </w:rPr>
        <w:t xml:space="preserve">Learning to teach requires more than content knowledge; it involves self-reflection, interactive decision-making, and navigating complex instructional environments </w:t>
      </w:r>
      <w:r w:rsidR="00986F89">
        <w:rPr>
          <w:color w:val="auto"/>
          <w:kern w:val="2"/>
          <w:sz w:val="24"/>
          <w:szCs w:val="24"/>
          <w14:ligatures w14:val="standardContextual"/>
        </w:rPr>
        <w:fldChar w:fldCharType="begin"/>
      </w:r>
      <w:r w:rsidR="00986F89">
        <w:rPr>
          <w:color w:val="auto"/>
          <w:kern w:val="2"/>
          <w:sz w:val="24"/>
          <w:szCs w:val="24"/>
          <w14:ligatures w14:val="standardContextual"/>
        </w:rPr>
        <w:instrText xml:space="preserve"> ADDIN ZOTERO_ITEM CSL_CITATION {"citationID":"GJ7L387S","properties":{"formattedCitation":"(Clark &amp; Lampert, 1986)","plainCitation":"(Clark &amp; Lampert, 1986)","noteIndex":0},"citationItems":[{"id":13035,"uris":["http://zotero.org/users/14842315/items/X5Z3QWYE"],"itemData":{"id":13035,"type":"article-journal","abstract":"Clark and Lampert describe how the research on teacher think ing has broadened and deepened the knowledge base of teach ing, particularly with respect to the complexity of teaching, our understanding of what teachers know, and our knowledge of methods of inquiry and reflection on teacher thinking. Such knowledge challenges the image of the teacher as technician and the conception of research as a source of empirically proven and generalizable prescriptions. The value of this research for teacher educators and prospective teachers is that it provides insights into the mental lives of teachers. Those insights can be used to challenge preservice teachers' thinking and to ex pand their view of the teaching act.","container-title":"Journal of Teacher Education","DOI":"10.1177/002248718603700506","ISSN":"0022-4871, 1552-7816","issue":"5","journalAbbreviation":"Journal of Teacher Education","language":"en","license":"https://journals.sagepub.com/page/policies/text-and-data-mining-license","page":"27-31","source":"DOI.org (Crossref)","title":"The Study of Teacher Thinking: Implications for Teacher Education","title-short":"The Study of Teacher Thinking","volume":"37","author":[{"family":"Clark","given":"Christopher"},{"family":"Lampert","given":"Magdalene"}],"issued":{"date-parts":[["1986",9]]}}}],"schema":"https://github.com/citation-style-language/schema/raw/master/csl-citation.json"} </w:instrText>
      </w:r>
      <w:r w:rsidR="00986F89">
        <w:rPr>
          <w:color w:val="auto"/>
          <w:kern w:val="2"/>
          <w:sz w:val="24"/>
          <w:szCs w:val="24"/>
          <w14:ligatures w14:val="standardContextual"/>
        </w:rPr>
        <w:fldChar w:fldCharType="separate"/>
      </w:r>
      <w:r w:rsidR="00986F89" w:rsidRPr="00986F89">
        <w:rPr>
          <w:sz w:val="24"/>
        </w:rPr>
        <w:t>(Clark &amp; Lampert, 1986)</w:t>
      </w:r>
      <w:r w:rsidR="00986F89">
        <w:rPr>
          <w:color w:val="auto"/>
          <w:kern w:val="2"/>
          <w:sz w:val="24"/>
          <w:szCs w:val="24"/>
          <w14:ligatures w14:val="standardContextual"/>
        </w:rPr>
        <w:fldChar w:fldCharType="end"/>
      </w:r>
      <w:r w:rsidRPr="00986F89">
        <w:rPr>
          <w:color w:val="auto"/>
          <w:kern w:val="2"/>
          <w:sz w:val="24"/>
          <w:szCs w:val="24"/>
          <w14:ligatures w14:val="standardContextual"/>
        </w:rPr>
        <w:t xml:space="preserve">. Teacher preparation programs play a central role in this process </w:t>
      </w:r>
      <w:r w:rsidR="00986F89">
        <w:rPr>
          <w:color w:val="auto"/>
          <w:kern w:val="2"/>
          <w:sz w:val="24"/>
          <w:szCs w:val="24"/>
          <w14:ligatures w14:val="standardContextual"/>
        </w:rPr>
        <w:fldChar w:fldCharType="begin"/>
      </w:r>
      <w:r w:rsidR="009A2D14">
        <w:rPr>
          <w:color w:val="auto"/>
          <w:kern w:val="2"/>
          <w:sz w:val="24"/>
          <w:szCs w:val="24"/>
          <w14:ligatures w14:val="standardContextual"/>
        </w:rPr>
        <w:instrText xml:space="preserve"> ADDIN ZOTERO_ITEM CSL_CITATION {"citationID":"Tt1ElGN5","properties":{"formattedCitation":"(National Research Council, 2010; Wideen et al., 1998)","plainCitation":"(National Research Council, 2010; Wideen et al., 1998)","noteIndex":0},"citationItems":[{"id":9376,"uris":["http://zotero.org/users/14842315/items/5CIUSPGH"],"itemData":{"id":9376,"type":"book","abstract":"\"Teachers make a difference. The success of any plan for improving educational outcomes depends on the teachers who carry it out and thus on the abilities of those attracted to the field and their preparation. Yet there are many questions about how teachers are being prepared and how they ought to be prepared. Yet, teacher preparation is often treated as an afterthought in discussions of improving the public education system. Preparing Teachers addresses the issue of teacher preparation with specific attention to reading, mathematics, and science. The book evaluates the characteristics of the candidates who enter teacher preparation programs, the sorts of instruction and experiences teacher candidates receive in preparation programs, and the extent that the required instruction and experiences are consistent with converging scientific evidence. Preparing Teachers also identifies a need for a data collection model to provide valid and reliable information about the content knowledge, pedagogical competence, and effectiveness of graduates from the various kinds of teacher preparation programs. Federal and state policy makers need reliable, outcomes-based information to make sound decisions, and teacher educators need to know how best to contribute to the development of effective teachers. Clearer understanding of the content and character of effective teacher preparation is critical to improving it and to ensuring that the same critiques and questions are not being repeated 10 years from now.\"--Publisher's description","call-number":"LB1715 .P732 2010","ISBN":"978-0-309-12805-6","language":"en","number-of-pages":"217","publisher":"National Academies Press","publisher-place":"Washington, DC","source":"Library of Congress ISBN","title":"Preparing teachers: building evidence for sound policy","title-short":"Preparing teachers","author":[{"literal":"National Research Council"}],"issued":{"date-parts":[["2010"]]}}},{"id":15043,"uris":["http://zotero.org/users/14842315/items/W5U9LN7Z"],"itemData":{"id":15043,"type":"article-journal","container-title":"Review of Educational Research","issue":"2","language":"en","page":"130-178","source":"Zotero","title":"A Critical Analysis of the Research on Learning to Teach: Making the Case for an Ecological Perspective on Inquiry","volume":"68","author":[{"family":"Wideen","given":"Marvin"},{"family":"Mayer-Smith","given":"Jolie"},{"family":"Moon","given":"Barbara"}],"issued":{"date-parts":[["1998"]],"season":"Summer"}}}],"schema":"https://github.com/citation-style-language/schema/raw/master/csl-citation.json"} </w:instrText>
      </w:r>
      <w:r w:rsidR="00986F89">
        <w:rPr>
          <w:color w:val="auto"/>
          <w:kern w:val="2"/>
          <w:sz w:val="24"/>
          <w:szCs w:val="24"/>
          <w14:ligatures w14:val="standardContextual"/>
        </w:rPr>
        <w:fldChar w:fldCharType="separate"/>
      </w:r>
      <w:r w:rsidR="00986F89" w:rsidRPr="00986F89">
        <w:rPr>
          <w:sz w:val="24"/>
        </w:rPr>
        <w:t>(National Research Council, 2010; Wideen et al., 1998)</w:t>
      </w:r>
      <w:r w:rsidR="00986F89">
        <w:rPr>
          <w:color w:val="auto"/>
          <w:kern w:val="2"/>
          <w:sz w:val="24"/>
          <w:szCs w:val="24"/>
          <w14:ligatures w14:val="standardContextual"/>
        </w:rPr>
        <w:fldChar w:fldCharType="end"/>
      </w:r>
      <w:r w:rsidR="00986F89">
        <w:rPr>
          <w:color w:val="auto"/>
          <w:kern w:val="2"/>
          <w:sz w:val="24"/>
          <w:szCs w:val="24"/>
          <w14:ligatures w14:val="standardContextual"/>
        </w:rPr>
        <w:t>,</w:t>
      </w:r>
      <w:r w:rsidR="00986F89" w:rsidRPr="00986F89">
        <w:rPr>
          <w:color w:val="auto"/>
          <w:kern w:val="2"/>
          <w:sz w:val="24"/>
          <w:szCs w:val="24"/>
          <w14:ligatures w14:val="standardContextual"/>
        </w:rPr>
        <w:t xml:space="preserve"> yet</w:t>
      </w:r>
      <w:r w:rsidRPr="00986F89">
        <w:rPr>
          <w:color w:val="auto"/>
          <w:kern w:val="2"/>
          <w:sz w:val="24"/>
          <w:szCs w:val="24"/>
          <w14:ligatures w14:val="standardContextual"/>
        </w:rPr>
        <w:t xml:space="preserve"> learning to teach is refined through practice over time as preservice teachers integrate theory with situated classroom experience </w:t>
      </w:r>
      <w:r w:rsidR="00986F89">
        <w:rPr>
          <w:color w:val="auto"/>
          <w:kern w:val="2"/>
          <w:sz w:val="24"/>
          <w:szCs w:val="24"/>
          <w14:ligatures w14:val="standardContextual"/>
        </w:rPr>
        <w:fldChar w:fldCharType="begin"/>
      </w:r>
      <w:r w:rsidR="00986F89">
        <w:rPr>
          <w:color w:val="auto"/>
          <w:kern w:val="2"/>
          <w:sz w:val="24"/>
          <w:szCs w:val="24"/>
          <w14:ligatures w14:val="standardContextual"/>
        </w:rPr>
        <w:instrText xml:space="preserve"> ADDIN ZOTERO_ITEM CSL_CITATION {"citationID":"Gv0ZtKwD","properties":{"formattedCitation":"(Darling-Hammond &amp; Sykes, 1999; Feiman-Nemser, 2001; Lampert, 2010)","plainCitation":"(Darling-Hammond &amp; Sykes, 1999; Feiman-Nemser, 2001; Lampert, 2010)","noteIndex":0},"citationItems":[{"id":13034,"uris":["http://zotero.org/users/14842315/items/5YELS3TJ"],"itemData":{"id":13034,"type":"book","collection-title":"Jossey-Bass Education Series","ISBN":"ISBN-0-7879-4341-X","publisher":"Jossey-Bass","title":"Teaching as the Learning Profession: Handbook of Policy and Practice","author":[{"family":"Darling-Hammond","given":"Linda"},{"family":"Sykes","given":"Gary"}],"issued":{"date-parts":[["1999"]]}}},{"id":13033,"uris":["http://zotero.org/users/14842315/items/56PXBUD3"],"itemData":{"id":13033,"type":"article-journal","abstract":"There is growing interest in the problem of teacher induction and widespread support for the idea of assigning experienced teachers to work with beginning teachers. Still, we know relatively little about what thoughtful mentor teachers do, how they think about their work, and what novices learn from their interactions with them. This article describes how one exemplary support teacher defines and enacts his role with beginning teachers. On the basis of 10 hours of interview data and 20 hours of observational data, the article illustrates specific principles and strategies that shape Pete Frazer’s mentoring practice and discusses how he learned to do this kind of work. As a close study of thoughtful practice, the article offers a vision of “educative” mentoring and some ideas about the conditions needed to sustain it.","container-title":"Journal of Teacher Education","DOI":"10.1177/0022487101052001003","ISSN":"0022-4871, 1552-7816","issue":"1","journalAbbreviation":"Journal of Teacher Education","language":"en","license":"https://journals.sagepub.com/page/policies/text-and-data-mining-license","page":"17-30","source":"DOI.org (Crossref)","title":"Helping Novices Learn to Teach: Lessons from an Exemplary Support Teacher","title-short":"Helping Novices Learn to Teach","volume":"52","author":[{"family":"Feiman-Nemser","given":"Sharon"}],"issued":{"date-parts":[["2001",1]]}}},{"id":14663,"uris":["http://zotero.org/users/14842315/items/GHHMDTT9"],"itemData":{"id":14663,"type":"article-journal","abstract":"In talk about teacher preparation and professional development, we often hear the word practice associated with what, how, or when the learning of teaching is supposed to happen. In this article, four different conceptions of practice are investigated, and their implications for how learning teaching might be organized are explored. Rather than a comprehensive review of the literature, what is presented here is a set of ideas that draw on both past and present efforts at reform. The purpose of this essay is to provoke clarification of what we mean when we talk about practice in relation to learning teaching. The author draws on her own research on the work of teaching from the perspective of practice to represent the nature of the work and to speculate from various perspectives on how that work might be learned.","container-title":"Journal of Teacher Education","DOI":"10.1177/0022487109347321","ISSN":"0022-4871, 1552-7816","issue":"1-2","journalAbbreviation":"Journal of Teacher Education","language":"en","license":"https://journals.sagepub.com/page/policies/text-and-data-mining-license","page":"21-34","source":"DOI.org (Crossref)","title":"Learning Teaching in, from, and for Practice: What Do We Mean?","title-short":"Learning Teaching in, from, and for Practice","volume":"61","author":[{"family":"Lampert","given":"Magdalene"}],"issued":{"date-parts":[["2010",1]]}}}],"schema":"https://github.com/citation-style-language/schema/raw/master/csl-citation.json"} </w:instrText>
      </w:r>
      <w:r w:rsidR="00986F89">
        <w:rPr>
          <w:color w:val="auto"/>
          <w:kern w:val="2"/>
          <w:sz w:val="24"/>
          <w:szCs w:val="24"/>
          <w14:ligatures w14:val="standardContextual"/>
        </w:rPr>
        <w:fldChar w:fldCharType="separate"/>
      </w:r>
      <w:r w:rsidR="00986F89" w:rsidRPr="00986F89">
        <w:rPr>
          <w:sz w:val="24"/>
        </w:rPr>
        <w:t>(Darling-Hammond &amp; Sykes, 1999; Feiman-Nemser, 2001; Lampert, 2010)</w:t>
      </w:r>
      <w:r w:rsidR="00986F89">
        <w:rPr>
          <w:color w:val="auto"/>
          <w:kern w:val="2"/>
          <w:sz w:val="24"/>
          <w:szCs w:val="24"/>
          <w14:ligatures w14:val="standardContextual"/>
        </w:rPr>
        <w:fldChar w:fldCharType="end"/>
      </w:r>
      <w:r w:rsidRPr="00986F89">
        <w:rPr>
          <w:color w:val="auto"/>
          <w:kern w:val="2"/>
          <w:sz w:val="24"/>
          <w:szCs w:val="24"/>
          <w14:ligatures w14:val="standardContextual"/>
        </w:rPr>
        <w:t>. Therefore, teacher preparation must cultivate the emotions, beliefs, and identities that shape how novices interpret experience and commit to the work</w:t>
      </w:r>
      <w:r w:rsidR="00836D38">
        <w:rPr>
          <w:color w:val="auto"/>
          <w:kern w:val="2"/>
          <w:sz w:val="24"/>
          <w:szCs w:val="24"/>
          <w14:ligatures w14:val="standardContextual"/>
        </w:rPr>
        <w:t xml:space="preserve"> of teaching</w:t>
      </w:r>
      <w:r w:rsidRPr="00986F89">
        <w:rPr>
          <w:color w:val="auto"/>
          <w:kern w:val="2"/>
          <w:sz w:val="24"/>
          <w:szCs w:val="24"/>
          <w14:ligatures w14:val="standardContextual"/>
        </w:rPr>
        <w:t xml:space="preserve"> </w:t>
      </w:r>
      <w:r w:rsidR="00986F89">
        <w:rPr>
          <w:color w:val="auto"/>
          <w:kern w:val="2"/>
          <w:sz w:val="24"/>
          <w:szCs w:val="24"/>
          <w14:ligatures w14:val="standardContextual"/>
        </w:rPr>
        <w:fldChar w:fldCharType="begin"/>
      </w:r>
      <w:r w:rsidR="00986F89">
        <w:rPr>
          <w:color w:val="auto"/>
          <w:kern w:val="2"/>
          <w:sz w:val="24"/>
          <w:szCs w:val="24"/>
          <w14:ligatures w14:val="standardContextual"/>
        </w:rPr>
        <w:instrText xml:space="preserve"> ADDIN ZOTERO_ITEM CSL_CITATION {"citationID":"J5nr5MqG","properties":{"formattedCitation":"(Day &amp; Leitch, 2001; Hammerness et al., 2005; Zembylas, 2004)","plainCitation":"(Day &amp; Leitch, 2001; Hammerness et al., 2005; Zembylas, 2004)","noteIndex":0},"citationItems":[{"id":14664,"uris":["http://zotero.org/users/14842315/items/GUY9XDYF"],"itemData":{"id":14664,"type":"article-journal","abstract":"This paper reports research which focuses on ways of enhancing understandings by teachers of the key role that emotions play in their personal professional growth. It combines the narrative, autobiographical accounts of teachers attending part-time masters degree programmes in England (Continuing Professional Development and School Improvement) and Northern Ireland (Personal and Social Development) with an interrogation of the underlying values which a!ect the practices of their tutors. It reveals the e!ects of powerful and often unacknowledged interaction between personal biography and professional and social contexts upon teachers in schools and higher education. 2001 Elsevier Science Ltd. All rights reserved.","container-title":"Teaching and Teacher Education","DOI":"10.1016/S0742-051X(01)00003-8","ISSN":"0742051X","issue":"4","journalAbbreviation":"Teaching and Teacher Education","language":"en","license":"https://www.elsevier.com/tdm/userlicense/1.0/","page":"403-415","source":"DOI.org (Crossref)","title":"Teachers’ and teacher educators’ lives: the role of emotion","title-short":"Teachers’ and teacher educators’ lives","volume":"17","author":[{"family":"Day","given":"Christopher"},{"family":"Leitch","given":"Ruth"}],"issued":{"date-parts":[["2001",5]]}}},{"id":12838,"uris":["http://zotero.org/users/14842315/items/3BMX2SLD"],"itemData":{"id":12838,"type":"chapter","container-title":"Preparing Teachers for a Changing World: What teachers should learn and be able to do","page":"358– 389","publisher":"Jossey-Bass, An Imprint of Wiley","title":"How Teachers Learn and Develop","author":[{"family":"Hammerness","given":"Karen"},{"family":"Darling-Hammond","given":"Linda"},{"family":"Bransford","given":"John"},{"family":"Berliner","given":"David"},{"family":"Cochran-Smith","given":"Marilyn"},{"family":"McDonald","given":"Morva"}],"editor":[{"family":"Darling-Hammond","given":"Linda"},{"family":"Zeichner","given":"Kenneth"},{"family":"Bransford","given":"John"}],"issued":{"date-parts":[["2005"]]}}},{"id":12864,"uris":["http://zotero.org/users/14842315/items/VTUQ5RZK"],"itemData":{"id":12864,"type":"article-journal","abstract":"Abstract\n            \n              An understanding of the importance of metaphors and beliefs in the development of teachers' practical knowledge has already been explored in science education research. However, the significance of\n              emotion metaphors\n              and the consequences of\n              emotional labor\n              as part of being a science teacher have been little addressed. This study describes the findings from a 3‐year ethnographic case study of an elementary‐school teacher who participated in a research project investigating the role of teacher emotion in science teaching and student learning. This research demonstrates how the performance of emotional labor is an important aspect of reality in science teaching. The teacher in this study is willing to do the emotional labor that involves some suffering because the emotional rewards are gratifying. A perspective on emotion in science education may focus, at least in part, on the functions of emotion in creating inspiring emotional cultures in science teaching and learning. Recognizing that teachers and students are agents in constructing such cultures, educators, teachers, and administrators are more likely to grasp the complexities and possibilities of emotional labor in the context of science education. © 2004 Wiley Periodicals, Inc.\n              Sci Ed\n              88:\n              301–324, 2004; Published online in Wiley InterScience (www.interscience.wiley.com). DOI 10.1002/.sce10116","container-title":"Science Education","DOI":"10.1002/sce.10116","ISSN":"0036-8326, 1098-237X","issue":"3","journalAbbreviation":"Science Education","language":"en","license":"http://onlinelibrary.wiley.com/termsAndConditions#vor","page":"301-324","source":"DOI.org (Crossref)","title":"Emotion metaphors and emotional labor in science teaching","volume":"88","author":[{"family":"Zembylas","given":"Michalinos"}],"issued":{"date-parts":[["2004",5]]}}}],"schema":"https://github.com/citation-style-language/schema/raw/master/csl-citation.json"} </w:instrText>
      </w:r>
      <w:r w:rsidR="00986F89">
        <w:rPr>
          <w:color w:val="auto"/>
          <w:kern w:val="2"/>
          <w:sz w:val="24"/>
          <w:szCs w:val="24"/>
          <w14:ligatures w14:val="standardContextual"/>
        </w:rPr>
        <w:fldChar w:fldCharType="separate"/>
      </w:r>
      <w:r w:rsidR="00986F89" w:rsidRPr="00986F89">
        <w:rPr>
          <w:sz w:val="24"/>
        </w:rPr>
        <w:t>(Day &amp; Leitch, 2001; Hammerness et al., 2005; Zembylas, 2004)</w:t>
      </w:r>
      <w:r w:rsidR="00986F89">
        <w:rPr>
          <w:color w:val="auto"/>
          <w:kern w:val="2"/>
          <w:sz w:val="24"/>
          <w:szCs w:val="24"/>
          <w14:ligatures w14:val="standardContextual"/>
        </w:rPr>
        <w:fldChar w:fldCharType="end"/>
      </w:r>
      <w:r w:rsidRPr="00986F89">
        <w:rPr>
          <w:color w:val="auto"/>
          <w:kern w:val="2"/>
          <w:sz w:val="24"/>
          <w:szCs w:val="24"/>
          <w14:ligatures w14:val="standardContextual"/>
        </w:rPr>
        <w:t>.</w:t>
      </w:r>
    </w:p>
    <w:p w14:paraId="3298505C" w14:textId="1110DB54" w:rsidR="00DE4C58" w:rsidRPr="00986F89" w:rsidRDefault="00DE4C58" w:rsidP="00EF1A03">
      <w:pPr>
        <w:pStyle w:val="p1"/>
        <w:spacing w:after="240"/>
        <w:ind w:firstLine="720"/>
        <w:rPr>
          <w:color w:val="auto"/>
          <w:kern w:val="2"/>
          <w:sz w:val="24"/>
          <w:szCs w:val="24"/>
          <w14:ligatures w14:val="standardContextual"/>
        </w:rPr>
      </w:pPr>
      <w:r w:rsidRPr="00986F89">
        <w:rPr>
          <w:color w:val="auto"/>
          <w:kern w:val="2"/>
          <w:sz w:val="24"/>
          <w:szCs w:val="24"/>
          <w14:ligatures w14:val="standardContextual"/>
        </w:rPr>
        <w:t xml:space="preserve">Two closely related concepts often used to understand teacher learning are teacher beliefs and teacher identity. Teacher beliefs reflect educators’ ideas about teaching and learning </w:t>
      </w:r>
      <w:r w:rsidR="00986F89">
        <w:rPr>
          <w:color w:val="auto"/>
          <w:kern w:val="2"/>
          <w:sz w:val="24"/>
          <w:szCs w:val="24"/>
          <w14:ligatures w14:val="standardContextual"/>
        </w:rPr>
        <w:fldChar w:fldCharType="begin"/>
      </w:r>
      <w:r w:rsidR="00986F89">
        <w:rPr>
          <w:color w:val="auto"/>
          <w:kern w:val="2"/>
          <w:sz w:val="24"/>
          <w:szCs w:val="24"/>
          <w14:ligatures w14:val="standardContextual"/>
        </w:rPr>
        <w:instrText xml:space="preserve"> ADDIN ZOTERO_ITEM CSL_CITATION {"citationID":"y8kQRZlE","properties":{"formattedCitation":"(Leung, 2021)","plainCitation":"(Leung, 2021)","noteIndex":0},"citationItems":[{"id":12846,"uris":["http://zotero.org/users/14842315/items/9XDRAFZJ"],"itemData":{"id":12846,"type":"article-journal","abstract":"The purpose of this study was to investigate how 22 preservice science teachers’ (PSTs’) beliefs about teaching socioscientific issues (SSI) changed after experiencing SSI instruction and reflection from both a learner’s perspective and a teacher’s perspective during a 12-week initial teacher education course. The study also explored the learning experiences associated with these changes. This study was conducted in Hong Kong, where the science, technology, society and environment (STSE) framework has been integrated into the secondary science curriculum but no SSI instruction is provided. Data were collected through learning tasks completed by the participants: (a) curriculum designs (pre-, mid- and post-course), (b) lesson plans (mid- and postcourse) and (c) weekly reflective journals. Six profiles characterising teaching beliefs about SSI emerged from the data analysis. Qualitative analysis showed that the teaching beliefs of the PSTs had shifted from the traditional view that SSI should not be covered in science education to embracing SSI teaching. Three illustrative cases were used to capture key learning experiences and explore how these had led to a change in beliefs over time. These cases explained how PSTs’ reflection on the why, what and how of teaching SSI to students can shape their beliefs about teaching SSI. The results have implications for the development of a closer alignment between PST beliefs and the SSI paradigm.","container-title":"International Journal of Science and Mathematics Education","DOI":"10.1007/s10763-021-10177-y","ISSN":"1571-0068, 1573-1774","issue":"4","journalAbbreviation":"Int J of Sci and Math Educ","language":"en","page":"659-682","source":"DOI.org (Crossref)","title":"Shifting the Teaching Beliefs of Preservice Science Teachers About Socioscientific Issues in a Teacher Education Course","volume":"20","author":[{"family":"Leung","given":"Jessica Shuk Ching"}],"issued":{"date-parts":[["2021",5]]}}}],"schema":"https://github.com/citation-style-language/schema/raw/master/csl-citation.json"} </w:instrText>
      </w:r>
      <w:r w:rsidR="00986F89">
        <w:rPr>
          <w:color w:val="auto"/>
          <w:kern w:val="2"/>
          <w:sz w:val="24"/>
          <w:szCs w:val="24"/>
          <w14:ligatures w14:val="standardContextual"/>
        </w:rPr>
        <w:fldChar w:fldCharType="separate"/>
      </w:r>
      <w:r w:rsidR="00986F89" w:rsidRPr="00986F89">
        <w:rPr>
          <w:sz w:val="24"/>
        </w:rPr>
        <w:t>(Leung, 2021)</w:t>
      </w:r>
      <w:r w:rsidR="00986F89">
        <w:rPr>
          <w:color w:val="auto"/>
          <w:kern w:val="2"/>
          <w:sz w:val="24"/>
          <w:szCs w:val="24"/>
          <w14:ligatures w14:val="standardContextual"/>
        </w:rPr>
        <w:fldChar w:fldCharType="end"/>
      </w:r>
      <w:r w:rsidRPr="00986F89">
        <w:rPr>
          <w:color w:val="auto"/>
          <w:kern w:val="2"/>
          <w:sz w:val="24"/>
          <w:szCs w:val="24"/>
          <w14:ligatures w14:val="standardContextual"/>
        </w:rPr>
        <w:t xml:space="preserve">, while teacher identity encompasses how teachers understand themselves and are recognized within the profession </w:t>
      </w:r>
      <w:r w:rsidR="00E71853">
        <w:rPr>
          <w:color w:val="auto"/>
          <w:kern w:val="2"/>
          <w:sz w:val="24"/>
          <w:szCs w:val="24"/>
          <w14:ligatures w14:val="standardContextual"/>
        </w:rPr>
        <w:fldChar w:fldCharType="begin"/>
      </w:r>
      <w:r w:rsidR="009A2D14">
        <w:rPr>
          <w:color w:val="auto"/>
          <w:kern w:val="2"/>
          <w:sz w:val="24"/>
          <w:szCs w:val="24"/>
          <w14:ligatures w14:val="standardContextual"/>
        </w:rPr>
        <w:instrText xml:space="preserve"> ADDIN ZOTERO_ITEM CSL_CITATION {"citationID":"Z98f5hPS","properties":{"formattedCitation":"(Gee, 2000; Sachs, 2005)","plainCitation":"(Gee, 2000; Sachs, 2005)","noteIndex":0},"citationItems":[{"id":16896,"uris":["http://zotero.org/users/14842315/items/FD7U67ET"],"itemData":{"id":16896,"type":"article-journal","container-title":"Review of Research in Education","DOI":"10.3102/0091732X025001099","ISSN":"0091-732X, 1935-1038","issue":"1","journalAbbreviation":"Review of Research in Education","language":"en","license":"https://journals.sagepub.com/page/policies/text-and-data-mining-license","page":"99-125","source":"DOI.org (Crossref)","title":"Chapter 3 : Identity as an Analytic Lens for Research in Education","title-short":"Chapter 3","volume":"25","author":[{"family":"Gee","given":"James Paul"}],"issued":{"date-parts":[["2000",1]]}}},{"id":13040,"uris":["http://zotero.org/users/14842315/items/2WMXPTXK"],"itemData":{"id":13040,"type":"chapter","container-title":"Connecting Policy and Practice","DOI":"10.4324/9780203012529-3","edition":"1","ISBN":"978-0-203-01252-9","language":"en","page":"5-21","publisher":"Routledge","publisher-place":"London","source":"DOI.org (Crossref)","title":"Teacher Education And The Development Of Professional Identity: Learning To Be A Teacher","title-short":"Teacher Education And The Development Of Professional Identity","URL":"https://www.taylorfrancis.com/books/9780203012529/chapters/10.4324/9780203012529-3","container-author":[{"family":"Denicolo","given":"Pam"},{"family":"Kompf","given":"Michael"}],"author":[{"family":"Sachs","given":"Judyth"}],"accessed":{"date-parts":[["2025",9,4]]},"issued":{"date-parts":[["2005",6,3]]}}}],"schema":"https://github.com/citation-style-language/schema/raw/master/csl-citation.json"} </w:instrText>
      </w:r>
      <w:r w:rsidR="00E71853">
        <w:rPr>
          <w:color w:val="auto"/>
          <w:kern w:val="2"/>
          <w:sz w:val="24"/>
          <w:szCs w:val="24"/>
          <w14:ligatures w14:val="standardContextual"/>
        </w:rPr>
        <w:fldChar w:fldCharType="separate"/>
      </w:r>
      <w:r w:rsidR="00E71853" w:rsidRPr="00E71853">
        <w:rPr>
          <w:sz w:val="24"/>
        </w:rPr>
        <w:t>(Gee, 2000; Sachs, 2005)</w:t>
      </w:r>
      <w:r w:rsidR="00E71853">
        <w:rPr>
          <w:color w:val="auto"/>
          <w:kern w:val="2"/>
          <w:sz w:val="24"/>
          <w:szCs w:val="24"/>
          <w14:ligatures w14:val="standardContextual"/>
        </w:rPr>
        <w:fldChar w:fldCharType="end"/>
      </w:r>
      <w:r w:rsidRPr="00986F89">
        <w:rPr>
          <w:color w:val="auto"/>
          <w:kern w:val="2"/>
          <w:sz w:val="24"/>
          <w:szCs w:val="24"/>
          <w14:ligatures w14:val="standardContextual"/>
        </w:rPr>
        <w:t xml:space="preserve">. Both are shaped by prior experiences and further influenced by school culture and power dynamics as preservice teacher identities develop within preparation programs </w:t>
      </w:r>
      <w:r w:rsidR="00E71853">
        <w:rPr>
          <w:color w:val="auto"/>
          <w:kern w:val="2"/>
          <w:sz w:val="24"/>
          <w:szCs w:val="24"/>
          <w14:ligatures w14:val="standardContextual"/>
        </w:rPr>
        <w:fldChar w:fldCharType="begin"/>
      </w:r>
      <w:r w:rsidR="009A2D14">
        <w:rPr>
          <w:color w:val="auto"/>
          <w:kern w:val="2"/>
          <w:sz w:val="24"/>
          <w:szCs w:val="24"/>
          <w14:ligatures w14:val="standardContextual"/>
        </w:rPr>
        <w:instrText xml:space="preserve"> ADDIN ZOTERO_ITEM CSL_CITATION {"citationID":"ntpIRJHo","properties":{"formattedCitation":"(Beijaard &amp; Meijer, 2019; Merseth et al., 2008)","plainCitation":"(Beijaard &amp; Meijer, 2019; Merseth et al., 2008)","noteIndex":0},"citationItems":[{"id":"9btP22sM/ebXUxpbj","uris":["http://zotero.org/users/14842315/items/U8435J4N"],"itemData":{"id":12815,"type":"chapter","container-title":"The SAGE Handbook of Research on Teacher Education","number-of-volumes":"2","page":"177-192","publisher":"SAGE Publications Ltd","title":"Developing the Personal and Professional in Making a Teacher Identity","volume":"2","author":[{"family":"Beijaard","given":"Douwe"},{"family":"Meijer","given":"Paulien C."}],"container-author":[{"family":"Clandinin","given":"D. Jean"},{"family":"Husu","given":"Jukka"},{"family":"Cherrington","given":"Sue"}],"issued":{"date-parts":[["2019"]]}}},{"id":12856,"uris":["http://zotero.org/users/14842315/items/V7GLTFPE"],"itemData":{"id":12856,"type":"article-journal","container-title":"Teacher Education Quarterly","language":"en","source":"Zotero","title":"Changes in Personal and Professional Identities of Pre-Service Urban Teachers","volume":"Summer","author":[{"family":"Merseth","given":"Katherine K"},{"family":"Sommer","given":"Julia"},{"family":"Dickstein","given":"Shari"}],"issued":{"date-parts":[["2008"]]}}}],"schema":"https://github.com/citation-style-language/schema/raw/master/csl-citation.json"} </w:instrText>
      </w:r>
      <w:r w:rsidR="00E71853">
        <w:rPr>
          <w:color w:val="auto"/>
          <w:kern w:val="2"/>
          <w:sz w:val="24"/>
          <w:szCs w:val="24"/>
          <w14:ligatures w14:val="standardContextual"/>
        </w:rPr>
        <w:fldChar w:fldCharType="separate"/>
      </w:r>
      <w:r w:rsidR="00203554" w:rsidRPr="00203554">
        <w:rPr>
          <w:sz w:val="24"/>
        </w:rPr>
        <w:t>(</w:t>
      </w:r>
      <w:proofErr w:type="spellStart"/>
      <w:r w:rsidR="00203554" w:rsidRPr="00203554">
        <w:rPr>
          <w:sz w:val="24"/>
        </w:rPr>
        <w:t>Beijaard</w:t>
      </w:r>
      <w:proofErr w:type="spellEnd"/>
      <w:r w:rsidR="00203554" w:rsidRPr="00203554">
        <w:rPr>
          <w:sz w:val="24"/>
        </w:rPr>
        <w:t xml:space="preserve"> &amp; Meijer, 2019; Merseth et al., 2008)</w:t>
      </w:r>
      <w:r w:rsidR="00E71853">
        <w:rPr>
          <w:color w:val="auto"/>
          <w:kern w:val="2"/>
          <w:sz w:val="24"/>
          <w:szCs w:val="24"/>
          <w14:ligatures w14:val="standardContextual"/>
        </w:rPr>
        <w:fldChar w:fldCharType="end"/>
      </w:r>
      <w:r w:rsidRPr="00986F89">
        <w:rPr>
          <w:color w:val="auto"/>
          <w:kern w:val="2"/>
          <w:sz w:val="24"/>
          <w:szCs w:val="24"/>
          <w14:ligatures w14:val="standardContextual"/>
        </w:rPr>
        <w:t xml:space="preserve">. Reflective journals can capture this positioning as preservice teachers narrate what counts as “good teaching” and who they are becoming. In </w:t>
      </w:r>
      <w:r w:rsidR="00EC384F">
        <w:rPr>
          <w:color w:val="auto"/>
          <w:kern w:val="2"/>
          <w:sz w:val="24"/>
          <w:szCs w:val="24"/>
          <w14:ligatures w14:val="standardContextual"/>
        </w:rPr>
        <w:t xml:space="preserve">school-based agricultural education </w:t>
      </w:r>
      <w:r w:rsidRPr="00986F89">
        <w:rPr>
          <w:color w:val="auto"/>
          <w:kern w:val="2"/>
          <w:sz w:val="24"/>
          <w:szCs w:val="24"/>
          <w14:ligatures w14:val="standardContextual"/>
        </w:rPr>
        <w:t xml:space="preserve">(SBAE), where novices must integrate academic instruction, laboratory teaching, and community-facing </w:t>
      </w:r>
      <w:r w:rsidRPr="00986F89">
        <w:rPr>
          <w:color w:val="auto"/>
          <w:kern w:val="2"/>
          <w:sz w:val="24"/>
          <w:szCs w:val="24"/>
          <w14:ligatures w14:val="standardContextual"/>
        </w:rPr>
        <w:lastRenderedPageBreak/>
        <w:t xml:space="preserve">expectations, structured reflection may be especially important for making instructional reasoning visible </w:t>
      </w:r>
      <w:r w:rsidR="00203554">
        <w:rPr>
          <w:color w:val="auto"/>
          <w:kern w:val="2"/>
          <w:sz w:val="24"/>
          <w:szCs w:val="24"/>
          <w14:ligatures w14:val="standardContextual"/>
        </w:rPr>
        <w:fldChar w:fldCharType="begin"/>
      </w:r>
      <w:r w:rsidR="00203554">
        <w:rPr>
          <w:color w:val="auto"/>
          <w:kern w:val="2"/>
          <w:sz w:val="24"/>
          <w:szCs w:val="24"/>
          <w14:ligatures w14:val="standardContextual"/>
        </w:rPr>
        <w:instrText xml:space="preserve"> ADDIN ZOTERO_ITEM CSL_CITATION {"citationID":"gszo1Aod","properties":{"formattedCitation":"(Eck &amp; Edwards, 2019)","plainCitation":"(Eck &amp; Edwards, 2019)","noteIndex":0},"citationItems":[{"id":658,"uris":["http://zotero.org/users/14842315/items/X4EM9XQG"],"itemData":{"id":658,"type":"article-journal","abstract":"Ongoing teacher shortages in SBAE have been a concern dating back to the Smith-Hughes Act of 1917 (Hillison, 1987). This historical inquiry identified the longitudinal trends revealed by data derived from the supply and demand studies of SBAE teachers over a 51-year period, and how the studies and their reporting procedures evolved. On average, between 50% and 60% of graduates prepared to teach SBAE nationwide did so during their first year after graduation. The studies’ research teams changed eight times, including 12 lead investigators from eight institutions and, in the case of two reports, the National FFA Organization assisted. Reporting cycles also changed over time. Perhaps the long-term graduates-to-entrants trend should be accepted as canon and stakeholders redouble efforts to recruit a larger pool of future teachers and improve the likelihood of graduates who enter the profession also choosing to remain.","container-title":"Journal of Agricultural Education","DOI":"10.5032/jae.2019.04223","ISSN":"1042-0541","issue":"4","journalAbbreviation":"JAE","language":"en","page":"223-239","source":"DOI.org (Crossref)","title":"Teacher shortage in school-based, agricultural education (SBAE): a historical review","title-short":"Teacher shortage in school-based, agricultural education (SBAE)","volume":"60","author":[{"family":"Eck","given":"Christopher J."},{"family":"Edwards","given":"M. Craig"}],"issued":{"date-parts":[["2019",12,31]]}}}],"schema":"https://github.com/citation-style-language/schema/raw/master/csl-citation.json"} </w:instrText>
      </w:r>
      <w:r w:rsidR="00203554">
        <w:rPr>
          <w:color w:val="auto"/>
          <w:kern w:val="2"/>
          <w:sz w:val="24"/>
          <w:szCs w:val="24"/>
          <w14:ligatures w14:val="standardContextual"/>
        </w:rPr>
        <w:fldChar w:fldCharType="separate"/>
      </w:r>
      <w:r w:rsidR="00203554" w:rsidRPr="00203554">
        <w:rPr>
          <w:sz w:val="24"/>
        </w:rPr>
        <w:t>(Eck &amp; Edwards, 2019)</w:t>
      </w:r>
      <w:r w:rsidR="00203554">
        <w:rPr>
          <w:color w:val="auto"/>
          <w:kern w:val="2"/>
          <w:sz w:val="24"/>
          <w:szCs w:val="24"/>
          <w14:ligatures w14:val="standardContextual"/>
        </w:rPr>
        <w:fldChar w:fldCharType="end"/>
      </w:r>
      <w:r w:rsidR="00203554">
        <w:rPr>
          <w:color w:val="auto"/>
          <w:kern w:val="2"/>
          <w:sz w:val="24"/>
          <w:szCs w:val="24"/>
          <w14:ligatures w14:val="standardContextual"/>
        </w:rPr>
        <w:t>.</w:t>
      </w:r>
      <w:r w:rsidR="00EF1A03">
        <w:rPr>
          <w:color w:val="auto"/>
          <w:kern w:val="2"/>
          <w:sz w:val="24"/>
          <w:szCs w:val="24"/>
          <w14:ligatures w14:val="standardContextual"/>
        </w:rPr>
        <w:t xml:space="preserve"> </w:t>
      </w:r>
      <w:r w:rsidRPr="00986F89">
        <w:rPr>
          <w:color w:val="auto"/>
          <w:kern w:val="2"/>
          <w:sz w:val="24"/>
          <w:szCs w:val="24"/>
          <w14:ligatures w14:val="standardContextual"/>
        </w:rPr>
        <w:t xml:space="preserve">For preservice teachers, learning to teach unfolds across multiple instructional </w:t>
      </w:r>
      <w:proofErr w:type="gramStart"/>
      <w:r w:rsidRPr="00986F89">
        <w:rPr>
          <w:color w:val="auto"/>
          <w:kern w:val="2"/>
          <w:sz w:val="24"/>
          <w:szCs w:val="24"/>
          <w14:ligatures w14:val="standardContextual"/>
        </w:rPr>
        <w:t>settings and</w:t>
      </w:r>
      <w:proofErr w:type="gramEnd"/>
      <w:r w:rsidRPr="00986F89">
        <w:rPr>
          <w:color w:val="auto"/>
          <w:kern w:val="2"/>
          <w:sz w:val="24"/>
          <w:szCs w:val="24"/>
          <w14:ligatures w14:val="standardContextual"/>
        </w:rPr>
        <w:t xml:space="preserve"> is shaped by prior educational experiences, which can make it difficult to connect coursework to situated instructional decision-making. Sustained reflection may provide a practical mechanism for noticing change over time and articulating how knowledge, emotion, and confidence travel across contexts.</w:t>
      </w:r>
    </w:p>
    <w:p w14:paraId="63DFCD12" w14:textId="184FB908" w:rsidR="002611A1" w:rsidRPr="00986F89" w:rsidRDefault="00725BE9" w:rsidP="00C23E59">
      <w:pPr>
        <w:pStyle w:val="p1"/>
        <w:spacing w:after="240"/>
        <w:ind w:firstLine="720"/>
        <w:rPr>
          <w:color w:val="auto"/>
          <w:sz w:val="24"/>
          <w:szCs w:val="24"/>
        </w:rPr>
      </w:pPr>
      <w:r w:rsidRPr="00986F89">
        <w:rPr>
          <w:color w:val="auto"/>
          <w:kern w:val="2"/>
          <w:sz w:val="24"/>
          <w:szCs w:val="24"/>
          <w14:ligatures w14:val="standardContextual"/>
        </w:rPr>
        <w:t xml:space="preserve">Although reflection, metacognition, and motivation </w:t>
      </w:r>
      <w:r w:rsidR="00DE4C58" w:rsidRPr="00986F89">
        <w:rPr>
          <w:color w:val="auto"/>
          <w:kern w:val="2"/>
          <w:sz w:val="24"/>
          <w:szCs w:val="24"/>
          <w14:ligatures w14:val="standardContextual"/>
        </w:rPr>
        <w:t xml:space="preserve">have been examined </w:t>
      </w:r>
      <w:r w:rsidRPr="00986F89">
        <w:rPr>
          <w:color w:val="auto"/>
          <w:kern w:val="2"/>
          <w:sz w:val="24"/>
          <w:szCs w:val="24"/>
          <w14:ligatures w14:val="standardContextual"/>
        </w:rPr>
        <w:t>independently</w:t>
      </w:r>
      <w:r w:rsidR="00DE4C58" w:rsidRPr="00986F89">
        <w:rPr>
          <w:color w:val="auto"/>
          <w:kern w:val="2"/>
          <w:sz w:val="24"/>
          <w:szCs w:val="24"/>
          <w14:ligatures w14:val="standardContextual"/>
        </w:rPr>
        <w:t xml:space="preserve"> in prior research, less</w:t>
      </w:r>
      <w:r w:rsidRPr="00986F89">
        <w:rPr>
          <w:color w:val="auto"/>
          <w:kern w:val="2"/>
          <w:sz w:val="24"/>
          <w:szCs w:val="24"/>
          <w14:ligatures w14:val="standardContextual"/>
        </w:rPr>
        <w:t xml:space="preserve"> is known about how these processes </w:t>
      </w:r>
      <w:r w:rsidR="00DE4C58" w:rsidRPr="00986F89">
        <w:rPr>
          <w:color w:val="auto"/>
          <w:kern w:val="2"/>
          <w:sz w:val="24"/>
          <w:szCs w:val="24"/>
          <w14:ligatures w14:val="standardContextual"/>
        </w:rPr>
        <w:t xml:space="preserve">are jointly experienced and interpreted over time through </w:t>
      </w:r>
      <w:r w:rsidRPr="00986F89">
        <w:rPr>
          <w:color w:val="auto"/>
          <w:kern w:val="2"/>
          <w:sz w:val="24"/>
          <w:szCs w:val="24"/>
          <w14:ligatures w14:val="standardContextual"/>
        </w:rPr>
        <w:t xml:space="preserve">sustained reflective practice, particularly in SBAE settings. This study addresses that gap by examining how preservice teachers make sense of metacognitive growth </w:t>
      </w:r>
      <w:r w:rsidR="00DE4C58" w:rsidRPr="00986F89">
        <w:rPr>
          <w:color w:val="auto"/>
          <w:kern w:val="2"/>
          <w:sz w:val="24"/>
          <w:szCs w:val="24"/>
          <w14:ligatures w14:val="standardContextual"/>
        </w:rPr>
        <w:t>and how motivational and transfer-related reasoning surfaces through sustained reflective journaling</w:t>
      </w:r>
      <w:r w:rsidRPr="00986F89">
        <w:rPr>
          <w:color w:val="auto"/>
          <w:kern w:val="2"/>
          <w:sz w:val="24"/>
          <w:szCs w:val="24"/>
          <w14:ligatures w14:val="standardContextual"/>
        </w:rPr>
        <w:t>.</w:t>
      </w:r>
    </w:p>
    <w:p w14:paraId="0FBD628D" w14:textId="6DDA1EE3" w:rsidR="00663808" w:rsidRPr="00986F89" w:rsidRDefault="00663808" w:rsidP="00C23E59">
      <w:pPr>
        <w:pStyle w:val="p1"/>
        <w:spacing w:after="240"/>
        <w:rPr>
          <w:color w:val="auto"/>
          <w:sz w:val="24"/>
          <w:szCs w:val="24"/>
        </w:rPr>
      </w:pPr>
      <w:r w:rsidRPr="00986F89">
        <w:rPr>
          <w:b/>
          <w:bCs/>
          <w:color w:val="auto"/>
          <w:sz w:val="24"/>
          <w:szCs w:val="24"/>
        </w:rPr>
        <w:t>Transfer</w:t>
      </w:r>
    </w:p>
    <w:p w14:paraId="47153947" w14:textId="3E9ACB6F" w:rsidR="00663808" w:rsidRPr="00986F89" w:rsidRDefault="00663808" w:rsidP="00C23E59">
      <w:pPr>
        <w:pStyle w:val="p1"/>
        <w:spacing w:after="240"/>
        <w:ind w:firstLine="720"/>
        <w:rPr>
          <w:color w:val="auto"/>
          <w:sz w:val="24"/>
          <w:szCs w:val="24"/>
        </w:rPr>
      </w:pPr>
      <w:r w:rsidRPr="00986F89">
        <w:rPr>
          <w:color w:val="auto"/>
          <w:sz w:val="24"/>
          <w:szCs w:val="24"/>
        </w:rPr>
        <w:t>A critical aspect of learning is transfer</w:t>
      </w:r>
      <w:r w:rsidR="00086D3A" w:rsidRPr="00986F89">
        <w:rPr>
          <w:color w:val="auto"/>
          <w:sz w:val="24"/>
          <w:szCs w:val="24"/>
        </w:rPr>
        <w:t>, which involves applying or adapting prior knowledge to new contexts or situations</w:t>
      </w:r>
      <w:r w:rsidRPr="00986F89">
        <w:rPr>
          <w:color w:val="auto"/>
          <w:sz w:val="24"/>
          <w:szCs w:val="24"/>
        </w:rPr>
        <w:t xml:space="preserve"> </w:t>
      </w:r>
      <w:r w:rsidR="00203554">
        <w:rPr>
          <w:color w:val="auto"/>
          <w:sz w:val="24"/>
          <w:szCs w:val="24"/>
        </w:rPr>
        <w:fldChar w:fldCharType="begin"/>
      </w:r>
      <w:r w:rsidR="009A2D14">
        <w:rPr>
          <w:color w:val="auto"/>
          <w:sz w:val="24"/>
          <w:szCs w:val="24"/>
        </w:rPr>
        <w:instrText xml:space="preserve"> ADDIN ZOTERO_ITEM CSL_CITATION {"citationID":"ehglOLZL","properties":{"formattedCitation":"(National Academies of Sciences, Engineering, and Medicine, 2018)","plainCitation":"(National Academies of Sciences, Engineering, and Medicine, 2018)","noteIndex":0},"citationItems":[{"id":13039,"uris":["http://zotero.org/users/14842315/items/J4GRF7LY"],"itemData":{"id":13039,"type":"book","DOI":"10.17226/24783","ISBN":"978-0-309-45964-8","language":"en","note":"page: 24783","publisher":"National Academies Press","publisher-place":"Washington, D.C.","source":"https://doi.org/10.17226/24783","title":"How People Learn II: Learners, Contexts, and Cultures","title-short":"How People Learn II","URL":"https://www.nap.edu/catalog/24783","author":[{"literal":"National Academies of Sciences, Engineering, and Medicine"}],"accessed":{"date-parts":[["2025",9,4]]},"issued":{"date-parts":[["2018",9,27]]}}}],"schema":"https://github.com/citation-style-language/schema/raw/master/csl-citation.json"} </w:instrText>
      </w:r>
      <w:r w:rsidR="00203554">
        <w:rPr>
          <w:color w:val="auto"/>
          <w:sz w:val="24"/>
          <w:szCs w:val="24"/>
        </w:rPr>
        <w:fldChar w:fldCharType="separate"/>
      </w:r>
      <w:r w:rsidR="00203554" w:rsidRPr="00203554">
        <w:rPr>
          <w:sz w:val="24"/>
        </w:rPr>
        <w:t>(National Academies of Sciences, Engineering, and Medicine, 2018)</w:t>
      </w:r>
      <w:r w:rsidR="00203554">
        <w:rPr>
          <w:color w:val="auto"/>
          <w:sz w:val="24"/>
          <w:szCs w:val="24"/>
        </w:rPr>
        <w:fldChar w:fldCharType="end"/>
      </w:r>
      <w:r w:rsidR="00086D3A" w:rsidRPr="00986F89">
        <w:rPr>
          <w:color w:val="auto"/>
          <w:sz w:val="24"/>
          <w:szCs w:val="24"/>
        </w:rPr>
        <w:t>.</w:t>
      </w:r>
      <w:r w:rsidRPr="00986F89">
        <w:rPr>
          <w:color w:val="auto"/>
          <w:sz w:val="24"/>
          <w:szCs w:val="24"/>
        </w:rPr>
        <w:t xml:space="preserve"> Other scholars </w:t>
      </w:r>
      <w:r w:rsidR="00086D3A" w:rsidRPr="00986F89">
        <w:rPr>
          <w:color w:val="auto"/>
          <w:sz w:val="24"/>
          <w:szCs w:val="24"/>
        </w:rPr>
        <w:t xml:space="preserve">conceptualize transfer </w:t>
      </w:r>
      <w:r w:rsidRPr="00986F89">
        <w:rPr>
          <w:color w:val="auto"/>
          <w:sz w:val="24"/>
          <w:szCs w:val="24"/>
        </w:rPr>
        <w:t xml:space="preserve">as knowledge-to-go </w:t>
      </w:r>
      <w:r w:rsidR="00415C34">
        <w:rPr>
          <w:color w:val="auto"/>
          <w:sz w:val="24"/>
          <w:szCs w:val="24"/>
        </w:rPr>
        <w:fldChar w:fldCharType="begin"/>
      </w:r>
      <w:r w:rsidR="00415C34">
        <w:rPr>
          <w:color w:val="auto"/>
          <w:sz w:val="24"/>
          <w:szCs w:val="24"/>
        </w:rPr>
        <w:instrText xml:space="preserve"> ADDIN ZOTERO_ITEM CSL_CITATION {"citationID":"MQDAXqSU","properties":{"formattedCitation":"(Perkins &amp; Salomon, 2012)","plainCitation":"(Perkins &amp; Salomon, 2012)","noteIndex":0},"citationItems":[{"id":16898,"uris":["http://zotero.org/users/14842315/items/8EVYUDFC"],"itemData":{"id":16898,"type":"article-journal","container-title":"Educational Psychologist","DOI":"10.1080/00461520.2012.693354","ISSN":"0046-1520, 1532-6985","issue":"3","journalAbbreviation":"Educational Psychologist","language":"en","page":"248-258","source":"DOI.org (Crossref)","title":"Knowledge to Go: A Motivational and Dispositional View of Transfer","title-short":"Knowledge to Go","volume":"47","author":[{"family":"Perkins","given":"David N."},{"family":"Salomon","given":"Gavriel"}],"issued":{"date-parts":[["2012",7]]}}}],"schema":"https://github.com/citation-style-language/schema/raw/master/csl-citation.json"} </w:instrText>
      </w:r>
      <w:r w:rsidR="00415C34">
        <w:rPr>
          <w:color w:val="auto"/>
          <w:sz w:val="24"/>
          <w:szCs w:val="24"/>
        </w:rPr>
        <w:fldChar w:fldCharType="separate"/>
      </w:r>
      <w:r w:rsidR="00415C34" w:rsidRPr="00415C34">
        <w:rPr>
          <w:sz w:val="24"/>
        </w:rPr>
        <w:t>(Perkins &amp; Salomon, 2012)</w:t>
      </w:r>
      <w:r w:rsidR="00415C34">
        <w:rPr>
          <w:color w:val="auto"/>
          <w:sz w:val="24"/>
          <w:szCs w:val="24"/>
        </w:rPr>
        <w:fldChar w:fldCharType="end"/>
      </w:r>
      <w:r w:rsidR="00086D3A" w:rsidRPr="00986F89">
        <w:rPr>
          <w:color w:val="auto"/>
          <w:sz w:val="24"/>
          <w:szCs w:val="24"/>
        </w:rPr>
        <w:t>, drawing</w:t>
      </w:r>
      <w:r w:rsidRPr="00986F89">
        <w:rPr>
          <w:color w:val="auto"/>
          <w:sz w:val="24"/>
          <w:szCs w:val="24"/>
        </w:rPr>
        <w:t xml:space="preserve"> upon prior experiences when facing similar problems </w:t>
      </w:r>
      <w:r w:rsidR="00415C34">
        <w:rPr>
          <w:color w:val="auto"/>
          <w:sz w:val="24"/>
          <w:szCs w:val="24"/>
        </w:rPr>
        <w:fldChar w:fldCharType="begin"/>
      </w:r>
      <w:r w:rsidR="00415C34">
        <w:rPr>
          <w:color w:val="auto"/>
          <w:sz w:val="24"/>
          <w:szCs w:val="24"/>
        </w:rPr>
        <w:instrText xml:space="preserve"> ADDIN ZOTERO_ITEM CSL_CITATION {"citationID":"BDzaCAq1","properties":{"formattedCitation":"(Chi &amp; VanLehn, 2012)","plainCitation":"(Chi &amp; VanLehn, 2012)","noteIndex":0},"citationItems":[{"id":16900,"uris":["http://zotero.org/users/14842315/items/YFWEGZKB"],"itemData":{"id":16900,"type":"article-journal","container-title":"Educational Psychologist","DOI":"10.1080/00461520.2012.695709","ISSN":"0046-1520, 1532-6985","issue":"3","journalAbbreviation":"Educational Psychologist","language":"en","page":"177-188","source":"DOI.org (Crossref)","title":"Seeing Deep Structure From the Interactions of Surface Features","volume":"47","author":[{"family":"Chi","given":"Michelene T. H."},{"family":"VanLehn","given":"Kurt A."}],"issued":{"date-parts":[["2012",7]]}}}],"schema":"https://github.com/citation-style-language/schema/raw/master/csl-citation.json"} </w:instrText>
      </w:r>
      <w:r w:rsidR="00415C34">
        <w:rPr>
          <w:color w:val="auto"/>
          <w:sz w:val="24"/>
          <w:szCs w:val="24"/>
        </w:rPr>
        <w:fldChar w:fldCharType="separate"/>
      </w:r>
      <w:r w:rsidR="00415C34" w:rsidRPr="00415C34">
        <w:rPr>
          <w:sz w:val="24"/>
        </w:rPr>
        <w:t>(Chi &amp; VanLehn, 2012)</w:t>
      </w:r>
      <w:r w:rsidR="00415C34">
        <w:rPr>
          <w:color w:val="auto"/>
          <w:sz w:val="24"/>
          <w:szCs w:val="24"/>
        </w:rPr>
        <w:fldChar w:fldCharType="end"/>
      </w:r>
      <w:r w:rsidR="00086D3A" w:rsidRPr="00986F89">
        <w:rPr>
          <w:color w:val="auto"/>
          <w:sz w:val="24"/>
          <w:szCs w:val="24"/>
        </w:rPr>
        <w:t xml:space="preserve">, and the </w:t>
      </w:r>
      <w:r w:rsidRPr="00986F89">
        <w:rPr>
          <w:color w:val="auto"/>
          <w:sz w:val="24"/>
          <w:szCs w:val="24"/>
        </w:rPr>
        <w:t xml:space="preserve">capacity to apply </w:t>
      </w:r>
      <w:r w:rsidR="00086D3A" w:rsidRPr="00986F89">
        <w:rPr>
          <w:color w:val="auto"/>
          <w:sz w:val="24"/>
          <w:szCs w:val="24"/>
        </w:rPr>
        <w:t xml:space="preserve">learning across </w:t>
      </w:r>
      <w:r w:rsidRPr="00986F89">
        <w:rPr>
          <w:color w:val="auto"/>
          <w:sz w:val="24"/>
          <w:szCs w:val="24"/>
        </w:rPr>
        <w:t xml:space="preserve">time and context </w:t>
      </w:r>
      <w:r w:rsidR="00415C34">
        <w:rPr>
          <w:color w:val="auto"/>
          <w:sz w:val="24"/>
          <w:szCs w:val="24"/>
        </w:rPr>
        <w:fldChar w:fldCharType="begin"/>
      </w:r>
      <w:r w:rsidR="00415C34">
        <w:rPr>
          <w:color w:val="auto"/>
          <w:sz w:val="24"/>
          <w:szCs w:val="24"/>
        </w:rPr>
        <w:instrText xml:space="preserve"> ADDIN ZOTERO_ITEM CSL_CITATION {"citationID":"vw4KLdke","properties":{"formattedCitation":"(Larsen-Freeman, 2013)","plainCitation":"(Larsen-Freeman, 2013)","noteIndex":0},"citationItems":[{"id":16901,"uris":["http://zotero.org/users/14842315/items/LY9LUQRL"],"itemData":{"id":16901,"type":"article-journal","abstract":"Instruction is motivated by the assumption that students can transfer their learning, or apply what they have learned in school to another setting. A common problem arises when the expected transfer does not take place, what has been referred to as the inert knowledge problem. More than an academic inconvenience, the failure to transfer is a major problem, exacting individual and social costs. In this article, I trace the evolution of research on the transfer of learning, in general, and on language learning, in particular. Then, a different view of learning transfer is advanced. Rather than learners being seen to ?export? what they have learned from one situation to the next, it is proposed that learners transform their learning. The article concludes by offering some suggestions for how to mitigate the inert knowledge problem from this perspective.","container-title":"Language Learning","DOI":"10.1111/j.1467-9922.2012.00740.x","ISSN":"0023-8333","issue":"s1","journalAbbreviation":"Language Learning","page":"107-129","publisher":"John Wiley &amp; Sons, Ltd","title":"Transfer of Learning Transformed","volume":"63","author":[{"family":"Larsen-Freeman","given":"Diane"}],"issued":{"date-parts":[["2013",3,1]]}}}],"schema":"https://github.com/citation-style-language/schema/raw/master/csl-citation.json"} </w:instrText>
      </w:r>
      <w:r w:rsidR="00415C34">
        <w:rPr>
          <w:color w:val="auto"/>
          <w:sz w:val="24"/>
          <w:szCs w:val="24"/>
        </w:rPr>
        <w:fldChar w:fldCharType="separate"/>
      </w:r>
      <w:r w:rsidR="00415C34" w:rsidRPr="00415C34">
        <w:rPr>
          <w:sz w:val="24"/>
        </w:rPr>
        <w:t>(Larsen-Freeman, 2013)</w:t>
      </w:r>
      <w:r w:rsidR="00415C34">
        <w:rPr>
          <w:color w:val="auto"/>
          <w:sz w:val="24"/>
          <w:szCs w:val="24"/>
        </w:rPr>
        <w:fldChar w:fldCharType="end"/>
      </w:r>
      <w:r w:rsidR="00415C34">
        <w:rPr>
          <w:color w:val="auto"/>
          <w:sz w:val="24"/>
          <w:szCs w:val="24"/>
        </w:rPr>
        <w:t>.</w:t>
      </w:r>
      <w:r w:rsidR="00086D3A" w:rsidRPr="00986F89">
        <w:rPr>
          <w:color w:val="auto"/>
          <w:sz w:val="24"/>
          <w:szCs w:val="24"/>
        </w:rPr>
        <w:t xml:space="preserve"> </w:t>
      </w:r>
      <w:r w:rsidR="00E565C6" w:rsidRPr="00986F89">
        <w:rPr>
          <w:color w:val="auto"/>
          <w:sz w:val="24"/>
          <w:szCs w:val="24"/>
        </w:rPr>
        <w:t xml:space="preserve">However, transfer is </w:t>
      </w:r>
      <w:r w:rsidR="00086D3A" w:rsidRPr="00986F89">
        <w:rPr>
          <w:color w:val="auto"/>
          <w:sz w:val="24"/>
          <w:szCs w:val="24"/>
        </w:rPr>
        <w:t xml:space="preserve">not solely </w:t>
      </w:r>
      <w:r w:rsidR="00E565C6" w:rsidRPr="00986F89">
        <w:rPr>
          <w:color w:val="auto"/>
          <w:sz w:val="24"/>
          <w:szCs w:val="24"/>
        </w:rPr>
        <w:t>a cognitive process</w:t>
      </w:r>
      <w:r w:rsidR="00086D3A" w:rsidRPr="00986F89">
        <w:rPr>
          <w:color w:val="auto"/>
          <w:sz w:val="24"/>
          <w:szCs w:val="24"/>
        </w:rPr>
        <w:t>.</w:t>
      </w:r>
      <w:r w:rsidR="00E565C6" w:rsidRPr="00986F89">
        <w:rPr>
          <w:color w:val="auto"/>
          <w:sz w:val="24"/>
          <w:szCs w:val="24"/>
        </w:rPr>
        <w:t xml:space="preserve"> Lave </w:t>
      </w:r>
      <w:r w:rsidR="00D25BDA">
        <w:rPr>
          <w:color w:val="auto"/>
          <w:sz w:val="24"/>
          <w:szCs w:val="24"/>
        </w:rPr>
        <w:fldChar w:fldCharType="begin"/>
      </w:r>
      <w:r w:rsidR="009A2D14">
        <w:rPr>
          <w:color w:val="auto"/>
          <w:sz w:val="24"/>
          <w:szCs w:val="24"/>
        </w:rPr>
        <w:instrText xml:space="preserve"> ADDIN ZOTERO_ITEM CSL_CITATION {"citationID":"LfG103WK","properties":{"formattedCitation":"(Lave, 1988)","plainCitation":"(Lave, 1988)","dontUpdate":true,"noteIndex":0},"citationItems":[{"id":12853,"uris":["http://zotero.org/users/14842315/items/IYPBIMDL"],"itemData":{"id":12853,"type":"book","ISBN":"978-0-521-35015-0","language":"en","number-of-pages":"214","publisher":"Cambridge Univ. Press","publisher-place":"Cambridge","source":"K10plus ISBN","title":"Cognition in practice: mind, mathematics and culture in everyday life","title-short":"Cognition in practice","author":[{"family":"Lave","given":"Jean"}],"issued":{"date-parts":[["1988"]]}}}],"schema":"https://github.com/citation-style-language/schema/raw/master/csl-citation.json"} </w:instrText>
      </w:r>
      <w:r w:rsidR="00D25BDA">
        <w:rPr>
          <w:color w:val="auto"/>
          <w:sz w:val="24"/>
          <w:szCs w:val="24"/>
        </w:rPr>
        <w:fldChar w:fldCharType="separate"/>
      </w:r>
      <w:r w:rsidR="00D25BDA" w:rsidRPr="00D25BDA">
        <w:rPr>
          <w:sz w:val="24"/>
        </w:rPr>
        <w:t>(1988)</w:t>
      </w:r>
      <w:r w:rsidR="00D25BDA">
        <w:rPr>
          <w:color w:val="auto"/>
          <w:sz w:val="24"/>
          <w:szCs w:val="24"/>
        </w:rPr>
        <w:fldChar w:fldCharType="end"/>
      </w:r>
      <w:r w:rsidR="00D25BDA">
        <w:rPr>
          <w:color w:val="auto"/>
          <w:sz w:val="24"/>
          <w:szCs w:val="24"/>
        </w:rPr>
        <w:t xml:space="preserve"> a</w:t>
      </w:r>
      <w:r w:rsidR="00E565C6" w:rsidRPr="00986F89">
        <w:rPr>
          <w:color w:val="auto"/>
          <w:sz w:val="24"/>
          <w:szCs w:val="24"/>
        </w:rPr>
        <w:t xml:space="preserve">rgues that understanding how learning transfers requires </w:t>
      </w:r>
      <w:r w:rsidR="00086D3A" w:rsidRPr="00986F89">
        <w:rPr>
          <w:color w:val="auto"/>
          <w:sz w:val="24"/>
          <w:szCs w:val="24"/>
        </w:rPr>
        <w:t>attention</w:t>
      </w:r>
      <w:r w:rsidR="00E565C6" w:rsidRPr="00986F89">
        <w:rPr>
          <w:color w:val="auto"/>
          <w:sz w:val="24"/>
          <w:szCs w:val="24"/>
        </w:rPr>
        <w:t xml:space="preserve"> to the real-world conditions in which learning occurs. </w:t>
      </w:r>
      <w:r w:rsidR="00086D3A" w:rsidRPr="00986F89">
        <w:rPr>
          <w:color w:val="auto"/>
          <w:sz w:val="24"/>
          <w:szCs w:val="24"/>
        </w:rPr>
        <w:t xml:space="preserve">Because learning </w:t>
      </w:r>
      <w:r w:rsidR="00E565C6" w:rsidRPr="00986F89">
        <w:rPr>
          <w:color w:val="auto"/>
          <w:sz w:val="24"/>
          <w:szCs w:val="24"/>
        </w:rPr>
        <w:t xml:space="preserve">is inherently social, teachers’ </w:t>
      </w:r>
      <w:r w:rsidR="00086D3A" w:rsidRPr="00986F89">
        <w:rPr>
          <w:color w:val="auto"/>
          <w:sz w:val="24"/>
          <w:szCs w:val="24"/>
        </w:rPr>
        <w:t>abilities to enact knowledge are shaped by</w:t>
      </w:r>
      <w:r w:rsidR="00E565C6" w:rsidRPr="00986F89">
        <w:rPr>
          <w:color w:val="auto"/>
          <w:sz w:val="24"/>
          <w:szCs w:val="24"/>
        </w:rPr>
        <w:t xml:space="preserve"> the communities, norms, and expectations of </w:t>
      </w:r>
      <w:r w:rsidR="00086D3A" w:rsidRPr="00986F89">
        <w:rPr>
          <w:color w:val="auto"/>
          <w:sz w:val="24"/>
          <w:szCs w:val="24"/>
        </w:rPr>
        <w:t xml:space="preserve">their </w:t>
      </w:r>
      <w:r w:rsidR="00E565C6" w:rsidRPr="00986F89">
        <w:rPr>
          <w:color w:val="auto"/>
          <w:sz w:val="24"/>
          <w:szCs w:val="24"/>
        </w:rPr>
        <w:t xml:space="preserve">environments </w:t>
      </w:r>
      <w:r w:rsidR="00415C34">
        <w:rPr>
          <w:color w:val="auto"/>
          <w:sz w:val="24"/>
          <w:szCs w:val="24"/>
        </w:rPr>
        <w:fldChar w:fldCharType="begin"/>
      </w:r>
      <w:r w:rsidR="00415C34">
        <w:rPr>
          <w:color w:val="auto"/>
          <w:sz w:val="24"/>
          <w:szCs w:val="24"/>
        </w:rPr>
        <w:instrText xml:space="preserve"> ADDIN ZOTERO_ITEM CSL_CITATION {"citationID":"492LwX9y","properties":{"formattedCitation":"(Lave &amp; Wenger, 1991)","plainCitation":"(Lave &amp; Wenger, 1991)","noteIndex":0},"citationItems":[{"id":12852,"uris":["http://zotero.org/users/14842315/items/KB2H7T7U"],"itemData":{"id":12852,"type":"article-journal","language":"en","license":"¨ Cambridge University Press 1991","note":"Item ID: _:n1","publisher":"Cambridge University Press","title":"Situated Learning: Legitimate Peripheral Participation","author":[{"family":"Lave","given":"Jean"},{"family":"Wenger","given":"Etienne"}],"issued":{"date-parts":[["1991",9,27]]}}}],"schema":"https://github.com/citation-style-language/schema/raw/master/csl-citation.json"} </w:instrText>
      </w:r>
      <w:r w:rsidR="00415C34">
        <w:rPr>
          <w:color w:val="auto"/>
          <w:sz w:val="24"/>
          <w:szCs w:val="24"/>
        </w:rPr>
        <w:fldChar w:fldCharType="separate"/>
      </w:r>
      <w:r w:rsidR="00415C34" w:rsidRPr="00415C34">
        <w:rPr>
          <w:sz w:val="24"/>
        </w:rPr>
        <w:t>(Lave &amp; Wenger, 1991)</w:t>
      </w:r>
      <w:r w:rsidR="00415C34">
        <w:rPr>
          <w:color w:val="auto"/>
          <w:sz w:val="24"/>
          <w:szCs w:val="24"/>
        </w:rPr>
        <w:fldChar w:fldCharType="end"/>
      </w:r>
      <w:r w:rsidR="00E565C6" w:rsidRPr="00986F89">
        <w:rPr>
          <w:color w:val="auto"/>
          <w:sz w:val="24"/>
          <w:szCs w:val="24"/>
        </w:rPr>
        <w:t xml:space="preserve">. For preservice teachers, </w:t>
      </w:r>
      <w:r w:rsidR="00086D3A" w:rsidRPr="00986F89">
        <w:rPr>
          <w:color w:val="auto"/>
          <w:sz w:val="24"/>
          <w:szCs w:val="24"/>
        </w:rPr>
        <w:t>transitions between</w:t>
      </w:r>
      <w:r w:rsidR="00E565C6" w:rsidRPr="00986F89">
        <w:rPr>
          <w:color w:val="auto"/>
          <w:sz w:val="24"/>
          <w:szCs w:val="24"/>
        </w:rPr>
        <w:t xml:space="preserve"> university coursework </w:t>
      </w:r>
      <w:r w:rsidR="00086D3A" w:rsidRPr="00986F89">
        <w:rPr>
          <w:color w:val="auto"/>
          <w:sz w:val="24"/>
          <w:szCs w:val="24"/>
        </w:rPr>
        <w:t>and</w:t>
      </w:r>
      <w:r w:rsidR="00E565C6" w:rsidRPr="00986F89">
        <w:rPr>
          <w:color w:val="auto"/>
          <w:sz w:val="24"/>
          <w:szCs w:val="24"/>
        </w:rPr>
        <w:t xml:space="preserve"> student-teaching placements</w:t>
      </w:r>
      <w:r w:rsidR="00086D3A" w:rsidRPr="00986F89">
        <w:rPr>
          <w:color w:val="auto"/>
          <w:sz w:val="24"/>
          <w:szCs w:val="24"/>
        </w:rPr>
        <w:t xml:space="preserve"> introduce distinct instructional contexts, including differences in </w:t>
      </w:r>
      <w:r w:rsidR="00E565C6" w:rsidRPr="00986F89">
        <w:rPr>
          <w:color w:val="auto"/>
          <w:sz w:val="24"/>
          <w:szCs w:val="24"/>
        </w:rPr>
        <w:t xml:space="preserve">language, culture, </w:t>
      </w:r>
      <w:r w:rsidR="00086D3A" w:rsidRPr="00986F89">
        <w:rPr>
          <w:color w:val="auto"/>
          <w:sz w:val="24"/>
          <w:szCs w:val="24"/>
        </w:rPr>
        <w:t xml:space="preserve">expectations, </w:t>
      </w:r>
      <w:r w:rsidR="00E565C6" w:rsidRPr="00986F89">
        <w:rPr>
          <w:color w:val="auto"/>
          <w:sz w:val="24"/>
          <w:szCs w:val="24"/>
        </w:rPr>
        <w:t>and power structures</w:t>
      </w:r>
      <w:r w:rsidR="00086D3A" w:rsidRPr="00986F89">
        <w:rPr>
          <w:color w:val="auto"/>
          <w:sz w:val="24"/>
          <w:szCs w:val="24"/>
        </w:rPr>
        <w:t xml:space="preserve">, that </w:t>
      </w:r>
      <w:r w:rsidR="00E565C6" w:rsidRPr="00986F89">
        <w:rPr>
          <w:color w:val="auto"/>
          <w:sz w:val="24"/>
          <w:szCs w:val="24"/>
        </w:rPr>
        <w:t xml:space="preserve">influence whether and how knowledge </w:t>
      </w:r>
      <w:r w:rsidR="00086D3A" w:rsidRPr="00986F89">
        <w:rPr>
          <w:color w:val="auto"/>
          <w:sz w:val="24"/>
          <w:szCs w:val="24"/>
        </w:rPr>
        <w:t>is</w:t>
      </w:r>
      <w:r w:rsidR="00E565C6" w:rsidRPr="00986F89">
        <w:rPr>
          <w:color w:val="auto"/>
          <w:sz w:val="24"/>
          <w:szCs w:val="24"/>
        </w:rPr>
        <w:t xml:space="preserve"> transformed into practice. </w:t>
      </w:r>
      <w:r w:rsidR="00086D3A" w:rsidRPr="00986F89">
        <w:rPr>
          <w:color w:val="auto"/>
          <w:sz w:val="24"/>
          <w:szCs w:val="24"/>
        </w:rPr>
        <w:t>In this study, transfer is treated as participants’ reflections on whether and how course learning was taken up, adapted, or resisted across instructional settings.</w:t>
      </w:r>
    </w:p>
    <w:p w14:paraId="14432B4B" w14:textId="77777777" w:rsidR="00663808" w:rsidRPr="00986F89" w:rsidRDefault="00663808" w:rsidP="00C23E59">
      <w:pPr>
        <w:pStyle w:val="p1"/>
        <w:spacing w:after="240"/>
        <w:rPr>
          <w:color w:val="auto"/>
          <w:sz w:val="24"/>
          <w:szCs w:val="24"/>
        </w:rPr>
      </w:pPr>
      <w:r w:rsidRPr="00986F89">
        <w:rPr>
          <w:b/>
          <w:bCs/>
          <w:color w:val="auto"/>
          <w:sz w:val="24"/>
          <w:szCs w:val="24"/>
        </w:rPr>
        <w:t>Metacognition</w:t>
      </w:r>
    </w:p>
    <w:p w14:paraId="4CA01CF6" w14:textId="7A3A4F94" w:rsidR="00F6405D" w:rsidRPr="00986F89" w:rsidRDefault="00663808" w:rsidP="00C23E59">
      <w:pPr>
        <w:pStyle w:val="p1"/>
        <w:spacing w:after="240"/>
        <w:ind w:firstLine="720"/>
        <w:rPr>
          <w:color w:val="auto"/>
          <w:sz w:val="24"/>
          <w:szCs w:val="24"/>
        </w:rPr>
      </w:pPr>
      <w:r w:rsidRPr="00986F89">
        <w:rPr>
          <w:color w:val="auto"/>
          <w:sz w:val="24"/>
          <w:szCs w:val="24"/>
        </w:rPr>
        <w:t xml:space="preserve">Metacognition </w:t>
      </w:r>
      <w:r w:rsidR="00183CF2" w:rsidRPr="00986F89">
        <w:rPr>
          <w:color w:val="auto"/>
          <w:sz w:val="24"/>
          <w:szCs w:val="24"/>
        </w:rPr>
        <w:t>refers to individuals’</w:t>
      </w:r>
      <w:r w:rsidRPr="00986F89">
        <w:rPr>
          <w:color w:val="auto"/>
          <w:sz w:val="24"/>
          <w:szCs w:val="24"/>
        </w:rPr>
        <w:t xml:space="preserve"> knowledge </w:t>
      </w:r>
      <w:r w:rsidR="00183CF2" w:rsidRPr="00986F89">
        <w:rPr>
          <w:color w:val="auto"/>
          <w:sz w:val="24"/>
          <w:szCs w:val="24"/>
        </w:rPr>
        <w:t xml:space="preserve">of </w:t>
      </w:r>
      <w:r w:rsidRPr="00986F89">
        <w:rPr>
          <w:color w:val="auto"/>
          <w:sz w:val="24"/>
          <w:szCs w:val="24"/>
        </w:rPr>
        <w:t xml:space="preserve">and </w:t>
      </w:r>
      <w:r w:rsidR="00183CF2" w:rsidRPr="00986F89">
        <w:rPr>
          <w:color w:val="auto"/>
          <w:sz w:val="24"/>
          <w:szCs w:val="24"/>
        </w:rPr>
        <w:t xml:space="preserve">reflection on their own </w:t>
      </w:r>
      <w:r w:rsidRPr="00986F89">
        <w:rPr>
          <w:color w:val="auto"/>
          <w:sz w:val="24"/>
          <w:szCs w:val="24"/>
        </w:rPr>
        <w:t xml:space="preserve">cognitive </w:t>
      </w:r>
      <w:r w:rsidR="00183CF2" w:rsidRPr="00986F89">
        <w:rPr>
          <w:color w:val="auto"/>
          <w:sz w:val="24"/>
          <w:szCs w:val="24"/>
        </w:rPr>
        <w:t>processes</w:t>
      </w:r>
      <w:r w:rsidRPr="00986F89">
        <w:rPr>
          <w:color w:val="auto"/>
          <w:sz w:val="24"/>
          <w:szCs w:val="24"/>
        </w:rPr>
        <w:t xml:space="preserve"> </w:t>
      </w:r>
      <w:r w:rsidR="00D25BDA">
        <w:rPr>
          <w:color w:val="auto"/>
          <w:sz w:val="24"/>
          <w:szCs w:val="24"/>
        </w:rPr>
        <w:fldChar w:fldCharType="begin"/>
      </w:r>
      <w:r w:rsidR="00D25BDA">
        <w:rPr>
          <w:color w:val="auto"/>
          <w:sz w:val="24"/>
          <w:szCs w:val="24"/>
        </w:rPr>
        <w:instrText xml:space="preserve"> ADDIN ZOTERO_ITEM CSL_CITATION {"citationID":"zEwUxJ4T","properties":{"formattedCitation":"(Flavell, 1979)","plainCitation":"(Flavell, 1979)","noteIndex":0},"citationItems":[{"id":6728,"uris":["http://zotero.org/users/14842315/items/3TPMFBU2"],"itemData":{"id":6728,"type":"article-journal","abstract":"Studies suggest that young children are quite limited in their knowledge about cognitive phenomena—or in their metacognition—and do relatively little monitoring of their own memory, comprehension, and other cognitive enterprises. Metacognitive knowledge is one's stored knowledge or beliefs about oneself and others as cognitive agents, about tasks, about actions or strategies, and about how all these interact to affect the outcomes of any sort of intellectual enterprise. Metacognitive experiences are conscious cognitive or affective experiences that occur during the enterprise and concern any aspect of it—often, how well it is going. Research is needed to describe and explain spontaneous developmental acquisitions in this area and find effective ways of teaching metacognitive knowledge and cognitive monitoring skills. (9 ref) (PsycINFO Database Record (c) 2016 APA, all rights reserved)","container-title":"American Psychologist","DOI":"10.1037/0003-066X.34.10.906","ISSN":"1935-990X(Electronic),0003-066X(Print)","issue":"10","note":"publisher-place: US","page":"906-911","publisher":"American Psychological Association","title":"Metacognition and cognitive monitoring: A new area of cognitive–developmental inquiry.","volume":"34","author":[{"family":"Flavell","given":"John H."}],"issued":{"date-parts":[["1979"]]}}}],"schema":"https://github.com/citation-style-language/schema/raw/master/csl-citation.json"} </w:instrText>
      </w:r>
      <w:r w:rsidR="00D25BDA">
        <w:rPr>
          <w:color w:val="auto"/>
          <w:sz w:val="24"/>
          <w:szCs w:val="24"/>
        </w:rPr>
        <w:fldChar w:fldCharType="separate"/>
      </w:r>
      <w:r w:rsidR="00D25BDA" w:rsidRPr="00D25BDA">
        <w:rPr>
          <w:sz w:val="24"/>
        </w:rPr>
        <w:t>(Flavell, 1979)</w:t>
      </w:r>
      <w:r w:rsidR="00D25BDA">
        <w:rPr>
          <w:color w:val="auto"/>
          <w:sz w:val="24"/>
          <w:szCs w:val="24"/>
        </w:rPr>
        <w:fldChar w:fldCharType="end"/>
      </w:r>
      <w:r w:rsidRPr="00986F89">
        <w:rPr>
          <w:color w:val="auto"/>
          <w:sz w:val="24"/>
          <w:szCs w:val="24"/>
        </w:rPr>
        <w:t>.</w:t>
      </w:r>
      <w:r w:rsidR="00F6405D" w:rsidRPr="00986F89">
        <w:rPr>
          <w:color w:val="auto"/>
          <w:sz w:val="24"/>
          <w:szCs w:val="24"/>
        </w:rPr>
        <w:t xml:space="preserve"> Effective teachers use metacognition to grapple with the complexities of teaching </w:t>
      </w:r>
      <w:r w:rsidR="00D25BDA">
        <w:rPr>
          <w:color w:val="auto"/>
          <w:sz w:val="24"/>
          <w:szCs w:val="24"/>
        </w:rPr>
        <w:fldChar w:fldCharType="begin"/>
      </w:r>
      <w:r w:rsidR="00D25BDA">
        <w:rPr>
          <w:color w:val="auto"/>
          <w:sz w:val="24"/>
          <w:szCs w:val="24"/>
        </w:rPr>
        <w:instrText xml:space="preserve"> ADDIN ZOTERO_ITEM CSL_CITATION {"citationID":"q2QTliDo","properties":{"formattedCitation":"(Hammerness et al., 2005)","plainCitation":"(Hammerness et al., 2005)","noteIndex":0},"citationItems":[{"id":12838,"uris":["http://zotero.org/users/14842315/items/3BMX2SLD"],"itemData":{"id":12838,"type":"chapter","container-title":"Preparing Teachers for a Changing World: What teachers should learn and be able to do","page":"358– 389","publisher":"Jossey-Bass, An Imprint of Wiley","title":"How Teachers Learn and Develop","author":[{"family":"Hammerness","given":"Karen"},{"family":"Darling-Hammond","given":"Linda"},{"family":"Bransford","given":"John"},{"family":"Berliner","given":"David"},{"family":"Cochran-Smith","given":"Marilyn"},{"family":"McDonald","given":"Morva"}],"editor":[{"family":"Darling-Hammond","given":"Linda"},{"family":"Zeichner","given":"Kenneth"},{"family":"Bransford","given":"John"}],"issued":{"date-parts":[["2005"]]}}}],"schema":"https://github.com/citation-style-language/schema/raw/master/csl-citation.json"} </w:instrText>
      </w:r>
      <w:r w:rsidR="00D25BDA">
        <w:rPr>
          <w:color w:val="auto"/>
          <w:sz w:val="24"/>
          <w:szCs w:val="24"/>
        </w:rPr>
        <w:fldChar w:fldCharType="separate"/>
      </w:r>
      <w:r w:rsidR="00D25BDA" w:rsidRPr="00D25BDA">
        <w:rPr>
          <w:sz w:val="24"/>
        </w:rPr>
        <w:t>(Hammerness et al., 2005)</w:t>
      </w:r>
      <w:r w:rsidR="00D25BDA">
        <w:rPr>
          <w:color w:val="auto"/>
          <w:sz w:val="24"/>
          <w:szCs w:val="24"/>
        </w:rPr>
        <w:fldChar w:fldCharType="end"/>
      </w:r>
      <w:r w:rsidR="003A55CA" w:rsidRPr="00986F89">
        <w:rPr>
          <w:color w:val="auto"/>
          <w:sz w:val="24"/>
          <w:szCs w:val="24"/>
        </w:rPr>
        <w:t xml:space="preserve"> and </w:t>
      </w:r>
      <w:r w:rsidR="00183CF2" w:rsidRPr="00986F89">
        <w:rPr>
          <w:color w:val="auto"/>
          <w:sz w:val="24"/>
          <w:szCs w:val="24"/>
        </w:rPr>
        <w:t>develop</w:t>
      </w:r>
      <w:r w:rsidR="003A55CA" w:rsidRPr="00986F89">
        <w:rPr>
          <w:color w:val="auto"/>
          <w:sz w:val="24"/>
          <w:szCs w:val="24"/>
        </w:rPr>
        <w:t xml:space="preserve"> adaptive </w:t>
      </w:r>
      <w:r w:rsidR="00183CF2" w:rsidRPr="00986F89">
        <w:rPr>
          <w:color w:val="auto"/>
          <w:sz w:val="24"/>
          <w:szCs w:val="24"/>
        </w:rPr>
        <w:t>expertise</w:t>
      </w:r>
      <w:r w:rsidR="003A55CA" w:rsidRPr="00986F89">
        <w:rPr>
          <w:color w:val="auto"/>
          <w:sz w:val="24"/>
          <w:szCs w:val="24"/>
        </w:rPr>
        <w:t xml:space="preserve"> </w:t>
      </w:r>
      <w:r w:rsidR="00D25BDA">
        <w:rPr>
          <w:color w:val="auto"/>
          <w:sz w:val="24"/>
          <w:szCs w:val="24"/>
        </w:rPr>
        <w:fldChar w:fldCharType="begin"/>
      </w:r>
      <w:r w:rsidR="00D25BDA">
        <w:rPr>
          <w:color w:val="auto"/>
          <w:sz w:val="24"/>
          <w:szCs w:val="24"/>
        </w:rPr>
        <w:instrText xml:space="preserve"> ADDIN ZOTERO_ITEM CSL_CITATION {"citationID":"Ak4eOhro","properties":{"formattedCitation":"(Bransford et al., 2005)","plainCitation":"(Bransford et al., 2005)","noteIndex":0},"citationItems":[{"id":12818,"uris":["http://zotero.org/users/14842315/items/ZDTSSX8C"],"itemData":{"id":12818,"type":"chapter","container-title":"Preparing Teachers for a Changing World: What teachers should learn and be able to do","page":"40-88","publisher":"Jossey-Bass, An Imprint of Wiley","title":"Theories of Learning and Their Roles in Teaching","author":[{"family":"Bransford","given":"John"},{"family":"Derry","given":"Sharon"},{"family":"Berliner","given":"David"},{"family":"Hammerness","given":"Karen"},{"family":"Beckett","given":"Kelly Lyn"}],"editor":[{"family":"Darling-Hammond","given":"Linda"},{"family":"Bransford","given":"John"}],"issued":{"date-parts":[["2005"]]}}}],"schema":"https://github.com/citation-style-language/schema/raw/master/csl-citation.json"} </w:instrText>
      </w:r>
      <w:r w:rsidR="00D25BDA">
        <w:rPr>
          <w:color w:val="auto"/>
          <w:sz w:val="24"/>
          <w:szCs w:val="24"/>
        </w:rPr>
        <w:fldChar w:fldCharType="separate"/>
      </w:r>
      <w:r w:rsidR="00D25BDA" w:rsidRPr="00D25BDA">
        <w:rPr>
          <w:sz w:val="24"/>
        </w:rPr>
        <w:t>(Bransford et al., 2005)</w:t>
      </w:r>
      <w:r w:rsidR="00D25BDA">
        <w:rPr>
          <w:color w:val="auto"/>
          <w:sz w:val="24"/>
          <w:szCs w:val="24"/>
        </w:rPr>
        <w:fldChar w:fldCharType="end"/>
      </w:r>
      <w:r w:rsidR="00F6405D" w:rsidRPr="00986F89">
        <w:rPr>
          <w:color w:val="auto"/>
          <w:sz w:val="24"/>
          <w:szCs w:val="24"/>
        </w:rPr>
        <w:t>.</w:t>
      </w:r>
      <w:r w:rsidR="003A55CA" w:rsidRPr="00986F89">
        <w:rPr>
          <w:color w:val="auto"/>
          <w:sz w:val="24"/>
          <w:szCs w:val="24"/>
        </w:rPr>
        <w:t xml:space="preserve"> Within </w:t>
      </w:r>
      <w:r w:rsidR="00183CF2" w:rsidRPr="00986F89">
        <w:rPr>
          <w:color w:val="auto"/>
          <w:sz w:val="24"/>
          <w:szCs w:val="24"/>
        </w:rPr>
        <w:t>instructional settings</w:t>
      </w:r>
      <w:r w:rsidR="003A55CA" w:rsidRPr="00986F89">
        <w:rPr>
          <w:color w:val="auto"/>
          <w:sz w:val="24"/>
          <w:szCs w:val="24"/>
        </w:rPr>
        <w:t>,</w:t>
      </w:r>
      <w:r w:rsidR="00373097" w:rsidRPr="00986F89">
        <w:rPr>
          <w:color w:val="auto"/>
          <w:sz w:val="24"/>
          <w:szCs w:val="24"/>
        </w:rPr>
        <w:t xml:space="preserve"> m</w:t>
      </w:r>
      <w:r w:rsidR="007B374D" w:rsidRPr="00986F89">
        <w:rPr>
          <w:color w:val="auto"/>
          <w:sz w:val="24"/>
          <w:szCs w:val="24"/>
        </w:rPr>
        <w:t>etacognitive</w:t>
      </w:r>
      <w:r w:rsidRPr="00986F89">
        <w:rPr>
          <w:color w:val="auto"/>
          <w:sz w:val="24"/>
          <w:szCs w:val="24"/>
        </w:rPr>
        <w:t xml:space="preserve"> experiences </w:t>
      </w:r>
      <w:r w:rsidR="00183CF2" w:rsidRPr="00986F89">
        <w:rPr>
          <w:color w:val="auto"/>
          <w:sz w:val="24"/>
          <w:szCs w:val="24"/>
        </w:rPr>
        <w:t>include</w:t>
      </w:r>
      <w:r w:rsidRPr="00986F89">
        <w:rPr>
          <w:color w:val="auto"/>
          <w:sz w:val="24"/>
          <w:szCs w:val="24"/>
        </w:rPr>
        <w:t xml:space="preserve"> explicit cognitive or emotional </w:t>
      </w:r>
      <w:r w:rsidR="00183CF2" w:rsidRPr="00986F89">
        <w:rPr>
          <w:color w:val="auto"/>
          <w:sz w:val="24"/>
          <w:szCs w:val="24"/>
        </w:rPr>
        <w:t xml:space="preserve">moments that </w:t>
      </w:r>
      <w:r w:rsidRPr="00986F89">
        <w:rPr>
          <w:color w:val="auto"/>
          <w:sz w:val="24"/>
          <w:szCs w:val="24"/>
        </w:rPr>
        <w:t>coincide with and directly relate to learning (Flavell, 1979).</w:t>
      </w:r>
      <w:r w:rsidR="00373097" w:rsidRPr="00986F89">
        <w:rPr>
          <w:color w:val="auto"/>
          <w:sz w:val="24"/>
          <w:szCs w:val="24"/>
        </w:rPr>
        <w:t xml:space="preserve"> </w:t>
      </w:r>
      <w:r w:rsidR="00183CF2" w:rsidRPr="00986F89">
        <w:rPr>
          <w:color w:val="auto"/>
          <w:sz w:val="24"/>
          <w:szCs w:val="24"/>
        </w:rPr>
        <w:t>These experiences may be deepened</w:t>
      </w:r>
      <w:r w:rsidRPr="00986F89">
        <w:rPr>
          <w:color w:val="auto"/>
          <w:sz w:val="24"/>
          <w:szCs w:val="24"/>
        </w:rPr>
        <w:t xml:space="preserve"> when </w:t>
      </w:r>
      <w:r w:rsidR="00183CF2" w:rsidRPr="00986F89">
        <w:rPr>
          <w:color w:val="auto"/>
          <w:sz w:val="24"/>
          <w:szCs w:val="24"/>
        </w:rPr>
        <w:t>preservice</w:t>
      </w:r>
      <w:r w:rsidRPr="00986F89">
        <w:rPr>
          <w:color w:val="auto"/>
          <w:sz w:val="24"/>
          <w:szCs w:val="24"/>
        </w:rPr>
        <w:t xml:space="preserve"> teachers reflect on their own </w:t>
      </w:r>
      <w:r w:rsidR="00183CF2" w:rsidRPr="00986F89">
        <w:rPr>
          <w:color w:val="auto"/>
          <w:sz w:val="24"/>
          <w:szCs w:val="24"/>
        </w:rPr>
        <w:t xml:space="preserve">instructional practice, allowing them to reconsider assumptions and </w:t>
      </w:r>
      <w:r w:rsidRPr="00986F89">
        <w:rPr>
          <w:color w:val="auto"/>
          <w:sz w:val="24"/>
          <w:szCs w:val="24"/>
        </w:rPr>
        <w:t xml:space="preserve">improve </w:t>
      </w:r>
      <w:r w:rsidR="00183CF2" w:rsidRPr="00986F89">
        <w:rPr>
          <w:color w:val="auto"/>
          <w:sz w:val="24"/>
          <w:szCs w:val="24"/>
        </w:rPr>
        <w:t>future</w:t>
      </w:r>
      <w:r w:rsidRPr="00986F89">
        <w:rPr>
          <w:color w:val="auto"/>
          <w:sz w:val="24"/>
          <w:szCs w:val="24"/>
        </w:rPr>
        <w:t xml:space="preserve"> learning experiences for students (Bransford et al., 2005</w:t>
      </w:r>
      <w:r w:rsidR="00EC384F">
        <w:rPr>
          <w:color w:val="auto"/>
          <w:sz w:val="24"/>
          <w:szCs w:val="24"/>
        </w:rPr>
        <w:t>).</w:t>
      </w:r>
      <w:r w:rsidR="000E4AD3" w:rsidRPr="000E4AD3">
        <w:t xml:space="preserve"> </w:t>
      </w:r>
      <w:r w:rsidR="000E4AD3" w:rsidRPr="000E4AD3">
        <w:rPr>
          <w:color w:val="auto"/>
          <w:sz w:val="24"/>
          <w:szCs w:val="24"/>
        </w:rPr>
        <w:t xml:space="preserve">Research suggests that effective instruction embeds metacognitive prompts within content learning, explicitly addresses the value and usefulness of metacognitive strategies, and supports sustained engagement over time </w:t>
      </w:r>
      <w:r w:rsidR="000E4AD3">
        <w:rPr>
          <w:color w:val="auto"/>
          <w:sz w:val="24"/>
          <w:szCs w:val="24"/>
        </w:rPr>
        <w:fldChar w:fldCharType="begin"/>
      </w:r>
      <w:r w:rsidR="000E4AD3">
        <w:rPr>
          <w:color w:val="auto"/>
          <w:sz w:val="24"/>
          <w:szCs w:val="24"/>
        </w:rPr>
        <w:instrText xml:space="preserve"> ADDIN ZOTERO_ITEM CSL_CITATION {"citationID":"HCEGC9GC","properties":{"formattedCitation":"(Panadero, 2017; Tanner, 2012)","plainCitation":"(Panadero, 2017; Tanner, 2012)","noteIndex":0},"citationItems":[{"id":16903,"uris":["http://zotero.org/users/14842315/items/TZ4UA58S"],"itemData":{"id":16903,"type":"article-journal","container-title":"Frontiers in Psychology","DOI":"10.3389/fpsyg.2017.00422","ISSN":"1664-1078","journalAbbreviation":"Front. Psychol.","language":"en","page":"422","source":"DOI.org (Crossref)","title":"A Review of Self-regulated Learning: Six Models and Four Directions for Research","title-short":"A Review of Self-regulated Learning","volume":"8","author":[{"family":"Panadero","given":"Ernesto"}],"issued":{"date-parts":[["2017",4,28]]}}},{"id":16905,"uris":["http://zotero.org/users/14842315/items/TWEKDHRS"],"itemData":{"id":16905,"type":"article-journal","container-title":"CBE—Life Sciences Education","DOI":"10.1187/cbe.12-03-0033","ISSN":"1931-7913","issue":"2","journalAbbreviation":"LSE","language":"en","page":"113-120","source":"DOI.org (Crossref)","title":"Promoting Student Metacognition","volume":"11","author":[{"family":"Tanner","given":"Kimberly D."}],"issued":{"date-parts":[["2012",6]]}}}],"schema":"https://github.com/citation-style-language/schema/raw/master/csl-citation.json"} </w:instrText>
      </w:r>
      <w:r w:rsidR="000E4AD3">
        <w:rPr>
          <w:color w:val="auto"/>
          <w:sz w:val="24"/>
          <w:szCs w:val="24"/>
        </w:rPr>
        <w:fldChar w:fldCharType="separate"/>
      </w:r>
      <w:r w:rsidR="000E4AD3" w:rsidRPr="000E4AD3">
        <w:rPr>
          <w:sz w:val="24"/>
        </w:rPr>
        <w:t>(Panadero, 2017; Tanner, 2012)</w:t>
      </w:r>
      <w:r w:rsidR="000E4AD3">
        <w:rPr>
          <w:color w:val="auto"/>
          <w:sz w:val="24"/>
          <w:szCs w:val="24"/>
        </w:rPr>
        <w:fldChar w:fldCharType="end"/>
      </w:r>
      <w:r w:rsidR="00183CF2" w:rsidRPr="00986F89">
        <w:rPr>
          <w:color w:val="auto"/>
          <w:sz w:val="24"/>
          <w:szCs w:val="24"/>
        </w:rPr>
        <w:t>.</w:t>
      </w:r>
      <w:r w:rsidR="000775A4" w:rsidRPr="00986F89">
        <w:rPr>
          <w:color w:val="auto"/>
          <w:sz w:val="24"/>
          <w:szCs w:val="24"/>
        </w:rPr>
        <w:t xml:space="preserve"> </w:t>
      </w:r>
      <w:r w:rsidR="00111563" w:rsidRPr="00986F89">
        <w:rPr>
          <w:color w:val="auto"/>
          <w:sz w:val="24"/>
          <w:szCs w:val="24"/>
        </w:rPr>
        <w:t xml:space="preserve">Without intentional </w:t>
      </w:r>
      <w:r w:rsidR="00183CF2" w:rsidRPr="00986F89">
        <w:rPr>
          <w:color w:val="auto"/>
          <w:sz w:val="24"/>
          <w:szCs w:val="24"/>
        </w:rPr>
        <w:t>scaffolding</w:t>
      </w:r>
      <w:r w:rsidR="00111563" w:rsidRPr="00986F89">
        <w:rPr>
          <w:color w:val="auto"/>
          <w:sz w:val="24"/>
          <w:szCs w:val="24"/>
        </w:rPr>
        <w:t xml:space="preserve">, preservice teachers may </w:t>
      </w:r>
      <w:r w:rsidR="00183CF2" w:rsidRPr="00986F89">
        <w:rPr>
          <w:color w:val="auto"/>
          <w:sz w:val="24"/>
          <w:szCs w:val="24"/>
        </w:rPr>
        <w:t>demonstrate</w:t>
      </w:r>
      <w:r w:rsidR="00111563" w:rsidRPr="00986F89">
        <w:rPr>
          <w:color w:val="auto"/>
          <w:sz w:val="24"/>
          <w:szCs w:val="24"/>
        </w:rPr>
        <w:t xml:space="preserve"> metacognitive awareness </w:t>
      </w:r>
      <w:r w:rsidR="00183CF2" w:rsidRPr="00986F89">
        <w:rPr>
          <w:color w:val="auto"/>
          <w:sz w:val="24"/>
          <w:szCs w:val="24"/>
        </w:rPr>
        <w:t xml:space="preserve">without </w:t>
      </w:r>
      <w:r w:rsidR="00111563" w:rsidRPr="00986F89">
        <w:rPr>
          <w:color w:val="auto"/>
          <w:sz w:val="24"/>
          <w:szCs w:val="24"/>
        </w:rPr>
        <w:t xml:space="preserve">effectively </w:t>
      </w:r>
      <w:r w:rsidR="00183CF2" w:rsidRPr="00986F89">
        <w:rPr>
          <w:color w:val="auto"/>
          <w:sz w:val="24"/>
          <w:szCs w:val="24"/>
        </w:rPr>
        <w:t xml:space="preserve">applying it to instructional decision-making </w:t>
      </w:r>
      <w:r w:rsidR="000E4AD3">
        <w:rPr>
          <w:color w:val="auto"/>
          <w:sz w:val="24"/>
          <w:szCs w:val="24"/>
        </w:rPr>
        <w:fldChar w:fldCharType="begin"/>
      </w:r>
      <w:r w:rsidR="009A2D14">
        <w:rPr>
          <w:color w:val="auto"/>
          <w:sz w:val="24"/>
          <w:szCs w:val="24"/>
        </w:rPr>
        <w:instrText xml:space="preserve"> ADDIN ZOTERO_ITEM CSL_CITATION {"citationID":"aYkcr6Ao","properties":{"formattedCitation":"(Fauzi &amp; Sa\\uc0\\u8217{}diyah, 2019)","plainCitation":"(Fauzi &amp; Sa’diyah, 2019)","noteIndex":0},"citationItems":[{"id":12829,"uris":["http://zotero.org/users/14842315/items/GPXA7LLG"],"itemData":{"id":12829,"type":"paper-conference","abstract":"Metacognition is the basic competency to become an independent learner. Unfortunately, the level of understanding and empowering this competency are still very low in Indonesia. This mixed-method study aimed to show the metacognition level and understanding about metacognition-based learning of Pre-service teachers. The subjects of this study were 36 last-term students majoring Biology Education Program in Malang. The metacognitive awareness inventory and metacognitive skills rubric were used to collect students' metacognition level data, while open-ended questions were used to find out students' understanding about metacognition as well as metacognition-based learning. Data on students' metacognitive awareness and skills were analyzed using descriptive statistics, while qualitative coding and analysis were carried out to find out students' understanding about metacognition and metacognition-based learning. The findings showed that the level of metacognitive awareness of Pre-service biology teachers was good, while their skills were relatively low. This study also showed that many Preservice teachers did not understand what metacognition is and how to empower it. Therefore, it needs to increase teachers’ competencies regarding to metacognition in Indonesia.","container-title":"Proceedings of the 6th International Conference on Community Development (ICCD 2019)","DOI":"10.2991/iccd-19.2019.8","event-title":"Proceedings of the 6th International Conference on Community Development (ICCD 2019)","ISBN":"978-94-6252-803-1","language":"en","publisher":"Atlantis Press","publisher-place":"Bandar Seri Begawan, Indonesia","source":"DOI.org (Crossref)","title":"The Metacognition of Pre-Service Biology Teachers: Awareness, Skills, Understanding, and Practices","title-short":"The Metacognition of Pre-Service Biology Teachers","URL":"https://www.atlantis-press.com/article/125919010","author":[{"family":"Fauzi","given":"Ahmad"},{"family":"Sa’diyah","given":"Wasiatus"}],"accessed":{"date-parts":[["2025",9,3]]},"issued":{"date-parts":[["2019"]]}}}],"schema":"https://github.com/citation-style-language/schema/raw/master/csl-citation.json"} </w:instrText>
      </w:r>
      <w:r w:rsidR="000E4AD3">
        <w:rPr>
          <w:color w:val="auto"/>
          <w:sz w:val="24"/>
          <w:szCs w:val="24"/>
        </w:rPr>
        <w:fldChar w:fldCharType="separate"/>
      </w:r>
      <w:r w:rsidR="000E4AD3" w:rsidRPr="000E4AD3">
        <w:rPr>
          <w:sz w:val="24"/>
        </w:rPr>
        <w:t xml:space="preserve">(Fauzi &amp; </w:t>
      </w:r>
      <w:proofErr w:type="spellStart"/>
      <w:r w:rsidR="000E4AD3" w:rsidRPr="000E4AD3">
        <w:rPr>
          <w:sz w:val="24"/>
        </w:rPr>
        <w:t>Sa’diyah</w:t>
      </w:r>
      <w:proofErr w:type="spellEnd"/>
      <w:r w:rsidR="000E4AD3" w:rsidRPr="000E4AD3">
        <w:rPr>
          <w:sz w:val="24"/>
        </w:rPr>
        <w:t>, 2019)</w:t>
      </w:r>
      <w:r w:rsidR="000E4AD3">
        <w:rPr>
          <w:color w:val="auto"/>
          <w:sz w:val="24"/>
          <w:szCs w:val="24"/>
        </w:rPr>
        <w:fldChar w:fldCharType="end"/>
      </w:r>
      <w:r w:rsidR="00111563" w:rsidRPr="00986F89">
        <w:rPr>
          <w:color w:val="auto"/>
          <w:sz w:val="24"/>
          <w:szCs w:val="24"/>
        </w:rPr>
        <w:t>.</w:t>
      </w:r>
      <w:r w:rsidR="006B78E3" w:rsidRPr="00986F89">
        <w:rPr>
          <w:color w:val="auto"/>
          <w:sz w:val="24"/>
          <w:szCs w:val="24"/>
        </w:rPr>
        <w:t xml:space="preserve"> </w:t>
      </w:r>
      <w:r w:rsidR="00111563" w:rsidRPr="00986F89">
        <w:rPr>
          <w:color w:val="auto"/>
          <w:sz w:val="24"/>
          <w:szCs w:val="24"/>
        </w:rPr>
        <w:t xml:space="preserve">Structured </w:t>
      </w:r>
      <w:r w:rsidR="00183CF2" w:rsidRPr="00986F89">
        <w:rPr>
          <w:color w:val="auto"/>
          <w:sz w:val="24"/>
          <w:szCs w:val="24"/>
        </w:rPr>
        <w:t xml:space="preserve">reflective </w:t>
      </w:r>
      <w:r w:rsidR="00111563" w:rsidRPr="00986F89">
        <w:rPr>
          <w:color w:val="auto"/>
          <w:sz w:val="24"/>
          <w:szCs w:val="24"/>
        </w:rPr>
        <w:lastRenderedPageBreak/>
        <w:t xml:space="preserve">strategies such as journaling, guided questioning, and video analysis have been shown to </w:t>
      </w:r>
      <w:r w:rsidR="00183CF2" w:rsidRPr="00986F89">
        <w:rPr>
          <w:color w:val="auto"/>
          <w:sz w:val="24"/>
          <w:szCs w:val="24"/>
        </w:rPr>
        <w:t>support</w:t>
      </w:r>
      <w:r w:rsidR="00111563" w:rsidRPr="00986F89">
        <w:rPr>
          <w:color w:val="auto"/>
          <w:sz w:val="24"/>
          <w:szCs w:val="24"/>
        </w:rPr>
        <w:t xml:space="preserve"> preservice teachers’ ability to monitor and regulate their thinking </w:t>
      </w:r>
      <w:r w:rsidR="000E4AD3">
        <w:rPr>
          <w:color w:val="auto"/>
          <w:sz w:val="24"/>
          <w:szCs w:val="24"/>
        </w:rPr>
        <w:fldChar w:fldCharType="begin"/>
      </w:r>
      <w:r w:rsidR="000E4AD3">
        <w:rPr>
          <w:color w:val="auto"/>
          <w:sz w:val="24"/>
          <w:szCs w:val="24"/>
        </w:rPr>
        <w:instrText xml:space="preserve"> ADDIN ZOTERO_ITEM CSL_CITATION {"citationID":"9keHEd7c","properties":{"formattedCitation":"(Y\\uc0\\u305{}ld\\uc0\\u305{}z &amp; Akda\\uc0\\u287{}, 2017)","plainCitation":"(Yıldız &amp; Akdağ, 2017)","noteIndex":0},"citationItems":[{"id":12860,"uris":["http://zotero.org/users/14842315/items/9CBQAMIR"],"itemData":{"id":12860,"type":"article-journal","abstract":"The purpose of the research study was to investigate the effects of the metacognitive strategies used in the course Science and Technology Instruction-II on prospective teachers’ metacognitive awareness, science teaching self efficacy belief and teacher self efficacy belief. The research group was composed of 87 third grade students from the Primary Education Department at the Faculty of Education at Cumhuriyet University in Sivas, Turkey. Experimental method with pre-test and post-test control group was used in the study. Metacognitive Awareness Inventory, Science Teaching Efficacy Beliefs Inventory-B (STEBI-B) and Teacher Self Efficacy Beliefs Inventory were utilized as pre-test and post-test. Journals and metacognitive questions were used in experimental group training. The research findings indicated that metacognitive strategies increased the prospective teachers’ metacognitive awareness and teacher self efficacy belief but they did not increase students’ science teaching self efficacy belief so much as to constitute a significant difference between the pre-test.","container-title":"Journal of Education and Training Studies","DOI":"10.11114/jets.v5i12.2662","ISSN":"2324-8068, 2324-805X","issue":"12","journalAbbreviation":"JETS","language":"en","page":"30","source":"DOI.org (Crossref)","title":"The Effect of Metacognitive Strategies on Prospective Teachers’ Metacognitive Awareness and Self Efficacy Belief","volume":"5","author":[{"family":"Yıldız","given":"Hatice"},{"family":"Akdağ","given":"Mustafa"}],"issued":{"date-parts":[["2017",11,13]]}}}],"schema":"https://github.com/citation-style-language/schema/raw/master/csl-citation.json"} </w:instrText>
      </w:r>
      <w:r w:rsidR="000E4AD3">
        <w:rPr>
          <w:color w:val="auto"/>
          <w:sz w:val="24"/>
          <w:szCs w:val="24"/>
        </w:rPr>
        <w:fldChar w:fldCharType="separate"/>
      </w:r>
      <w:r w:rsidR="000E4AD3" w:rsidRPr="000E4AD3">
        <w:rPr>
          <w:sz w:val="24"/>
        </w:rPr>
        <w:t>(Yıldız &amp; Akdağ, 2017)</w:t>
      </w:r>
      <w:r w:rsidR="000E4AD3">
        <w:rPr>
          <w:color w:val="auto"/>
          <w:sz w:val="24"/>
          <w:szCs w:val="24"/>
        </w:rPr>
        <w:fldChar w:fldCharType="end"/>
      </w:r>
      <w:r w:rsidR="000E4AD3">
        <w:rPr>
          <w:color w:val="auto"/>
          <w:sz w:val="24"/>
          <w:szCs w:val="24"/>
        </w:rPr>
        <w:t>.</w:t>
      </w:r>
      <w:r w:rsidR="00111563" w:rsidRPr="00986F89">
        <w:rPr>
          <w:color w:val="auto"/>
          <w:sz w:val="24"/>
          <w:szCs w:val="24"/>
        </w:rPr>
        <w:t xml:space="preserve"> </w:t>
      </w:r>
    </w:p>
    <w:p w14:paraId="4B5B14F8" w14:textId="5385FC5F" w:rsidR="00663808" w:rsidRPr="00986F89" w:rsidRDefault="00663808" w:rsidP="00C23E59">
      <w:pPr>
        <w:pStyle w:val="p1"/>
        <w:spacing w:after="240"/>
        <w:rPr>
          <w:b/>
          <w:color w:val="auto"/>
          <w:sz w:val="24"/>
          <w:szCs w:val="24"/>
        </w:rPr>
      </w:pPr>
      <w:r w:rsidRPr="00986F89">
        <w:rPr>
          <w:b/>
          <w:bCs/>
          <w:color w:val="auto"/>
          <w:sz w:val="24"/>
          <w:szCs w:val="24"/>
        </w:rPr>
        <w:t>Motivation</w:t>
      </w:r>
    </w:p>
    <w:p w14:paraId="22617D49" w14:textId="61DDBE68" w:rsidR="002611A1" w:rsidRPr="00986F89" w:rsidRDefault="00663808" w:rsidP="00C23E59">
      <w:pPr>
        <w:pStyle w:val="p1"/>
        <w:spacing w:after="240"/>
        <w:rPr>
          <w:color w:val="auto"/>
          <w:sz w:val="24"/>
          <w:szCs w:val="24"/>
        </w:rPr>
      </w:pPr>
      <w:r w:rsidRPr="00986F89">
        <w:rPr>
          <w:color w:val="auto"/>
          <w:sz w:val="24"/>
          <w:szCs w:val="24"/>
        </w:rPr>
        <w:tab/>
      </w:r>
      <w:r w:rsidR="00183CF2" w:rsidRPr="00986F89">
        <w:rPr>
          <w:color w:val="auto"/>
          <w:sz w:val="24"/>
          <w:szCs w:val="24"/>
        </w:rPr>
        <w:t xml:space="preserve">In this study, motivation is understood as an </w:t>
      </w:r>
      <w:proofErr w:type="gramStart"/>
      <w:r w:rsidR="00183CF2" w:rsidRPr="00986F89">
        <w:rPr>
          <w:color w:val="auto"/>
          <w:sz w:val="24"/>
          <w:szCs w:val="24"/>
        </w:rPr>
        <w:t>affective</w:t>
      </w:r>
      <w:proofErr w:type="gramEnd"/>
      <w:r w:rsidR="00183CF2" w:rsidRPr="00986F89">
        <w:rPr>
          <w:color w:val="auto"/>
          <w:sz w:val="24"/>
          <w:szCs w:val="24"/>
        </w:rPr>
        <w:t xml:space="preserve"> and interpretive condition that shapes how preservice teachers engage with reflection over time. </w:t>
      </w:r>
      <w:r w:rsidR="001C0D1D" w:rsidRPr="00986F89">
        <w:rPr>
          <w:color w:val="auto"/>
          <w:sz w:val="24"/>
          <w:szCs w:val="24"/>
        </w:rPr>
        <w:t xml:space="preserve">Metacognition alone is insufficient without the motivation to engage in reflective learning. Motivation </w:t>
      </w:r>
      <w:r w:rsidR="00183CF2" w:rsidRPr="00986F89">
        <w:rPr>
          <w:color w:val="auto"/>
          <w:sz w:val="24"/>
          <w:szCs w:val="24"/>
        </w:rPr>
        <w:t xml:space="preserve">influences </w:t>
      </w:r>
      <w:r w:rsidR="001C0D1D" w:rsidRPr="00986F89">
        <w:rPr>
          <w:color w:val="auto"/>
          <w:sz w:val="24"/>
          <w:szCs w:val="24"/>
        </w:rPr>
        <w:t>the depth</w:t>
      </w:r>
      <w:r w:rsidR="00183CF2" w:rsidRPr="00986F89">
        <w:rPr>
          <w:color w:val="auto"/>
          <w:sz w:val="24"/>
          <w:szCs w:val="24"/>
        </w:rPr>
        <w:t xml:space="preserve">, </w:t>
      </w:r>
      <w:r w:rsidR="001C0D1D" w:rsidRPr="00986F89">
        <w:rPr>
          <w:color w:val="auto"/>
          <w:sz w:val="24"/>
          <w:szCs w:val="24"/>
        </w:rPr>
        <w:t>persistence</w:t>
      </w:r>
      <w:r w:rsidR="00183CF2" w:rsidRPr="00986F89">
        <w:rPr>
          <w:color w:val="auto"/>
          <w:sz w:val="24"/>
          <w:szCs w:val="24"/>
        </w:rPr>
        <w:t>, and openness</w:t>
      </w:r>
      <w:r w:rsidR="001C0D1D" w:rsidRPr="00986F89">
        <w:rPr>
          <w:color w:val="auto"/>
          <w:sz w:val="24"/>
          <w:szCs w:val="24"/>
        </w:rPr>
        <w:t xml:space="preserve"> of metacognitive activity, </w:t>
      </w:r>
      <w:r w:rsidR="00183CF2" w:rsidRPr="00986F89">
        <w:rPr>
          <w:color w:val="auto"/>
          <w:sz w:val="24"/>
          <w:szCs w:val="24"/>
        </w:rPr>
        <w:t>shaping</w:t>
      </w:r>
      <w:r w:rsidR="001C0D1D" w:rsidRPr="00986F89">
        <w:rPr>
          <w:color w:val="auto"/>
          <w:sz w:val="24"/>
          <w:szCs w:val="24"/>
        </w:rPr>
        <w:t xml:space="preserve"> how teachers plan, monitor, and evaluate their learning </w:t>
      </w:r>
      <w:r w:rsidR="000E4AD3">
        <w:rPr>
          <w:color w:val="auto"/>
          <w:sz w:val="24"/>
          <w:szCs w:val="24"/>
        </w:rPr>
        <w:fldChar w:fldCharType="begin"/>
      </w:r>
      <w:r w:rsidR="000E4AD3">
        <w:rPr>
          <w:color w:val="auto"/>
          <w:sz w:val="24"/>
          <w:szCs w:val="24"/>
        </w:rPr>
        <w:instrText xml:space="preserve"> ADDIN ZOTERO_ITEM CSL_CITATION {"citationID":"eMRVBOFj","properties":{"formattedCitation":"(Matsumoto-Royo et al., 2022)","plainCitation":"(Matsumoto-Royo et al., 2022)","noteIndex":0},"citationItems":[{"id":5556,"uris":["http://zotero.org/users/14842315/items/43PA4QDY"],"itemData":{"id":5556,"type":"article-journal","abstract":"Initial teacher education should prepare pre-service teachers to develop effective teaching and lifelong learning tendencies. This study aimed to identify the component to consider in pre-service teachers’ assessment processes that promote lifelong learning and develop metacognition skills. For this, it analyzed how the planned and implemented actions by the teacher educators in Practice-based Teacher Education programs promoted metacognition and lifelong learning in the pre-service teachers. The method was a mixed explanatory sequential design. Quantitative and qualitative instruments were applied. Information was obtained from the learning and assessment resources (72 syllabi and 14 assessment tasks) and pre-service teachers’ opinions (survey: n = 231, interviews: n = 8). The ﬁndings identiﬁed three main components: (i) authentic and relevant assessment tasks, (ii) prior communication of instructions and evaluation criteria, and (iii) frequent performance-focused feedback from peers and teacher educators during and at the end of assignments. The study results can be valuable in teacher education programs to strengthen assessment processes, promote lifelong learning tendencies, and develop metacognitive skills among the teachers in training.","container-title":"Frontiers in Education","DOI":"10.3389/feduc.2022.879238","ISSN":"2504-284X","journalAbbreviation":"Front. Educ.","language":"en","page":"879238","source":"DOI.org (Crossref)","title":"Lifelong Learning and Metacognition in the Assessment of Pre-service Teachers in Practice-Based Teacher Education","volume":"7","author":[{"family":"Matsumoto-Royo","given":"Kiomi"},{"family":"Ramírez-Montoya","given":"Maria Soledad"},{"family":"Glasserman-Morales","given":"Leonardo David"}],"issued":{"date-parts":[["2022",5,9]]}}}],"schema":"https://github.com/citation-style-language/schema/raw/master/csl-citation.json"} </w:instrText>
      </w:r>
      <w:r w:rsidR="000E4AD3">
        <w:rPr>
          <w:color w:val="auto"/>
          <w:sz w:val="24"/>
          <w:szCs w:val="24"/>
        </w:rPr>
        <w:fldChar w:fldCharType="separate"/>
      </w:r>
      <w:r w:rsidR="000E4AD3" w:rsidRPr="000E4AD3">
        <w:rPr>
          <w:sz w:val="24"/>
        </w:rPr>
        <w:t>(Matsumoto-Royo et al., 2022)</w:t>
      </w:r>
      <w:r w:rsidR="000E4AD3">
        <w:rPr>
          <w:color w:val="auto"/>
          <w:sz w:val="24"/>
          <w:szCs w:val="24"/>
        </w:rPr>
        <w:fldChar w:fldCharType="end"/>
      </w:r>
      <w:r w:rsidR="001C0D1D" w:rsidRPr="00986F89">
        <w:rPr>
          <w:color w:val="auto"/>
          <w:sz w:val="24"/>
          <w:szCs w:val="24"/>
        </w:rPr>
        <w:t xml:space="preserve">. When preservice teachers </w:t>
      </w:r>
      <w:r w:rsidR="00183CF2" w:rsidRPr="00986F89">
        <w:rPr>
          <w:color w:val="auto"/>
          <w:sz w:val="24"/>
          <w:szCs w:val="24"/>
        </w:rPr>
        <w:t xml:space="preserve">feel efficacious and </w:t>
      </w:r>
      <w:r w:rsidR="001C0D1D" w:rsidRPr="00986F89">
        <w:rPr>
          <w:color w:val="auto"/>
          <w:sz w:val="24"/>
          <w:szCs w:val="24"/>
        </w:rPr>
        <w:t xml:space="preserve">intrinsically motivated, they are more likely to set meaningful goals and take ownership of their professional growth </w:t>
      </w:r>
      <w:r w:rsidR="000E4AD3">
        <w:rPr>
          <w:color w:val="auto"/>
          <w:sz w:val="24"/>
          <w:szCs w:val="24"/>
        </w:rPr>
        <w:fldChar w:fldCharType="begin"/>
      </w:r>
      <w:r w:rsidR="000E4AD3">
        <w:rPr>
          <w:color w:val="auto"/>
          <w:sz w:val="24"/>
          <w:szCs w:val="24"/>
        </w:rPr>
        <w:instrText xml:space="preserve"> ADDIN ZOTERO_ITEM CSL_CITATION {"citationID":"3gTL0U5P","properties":{"formattedCitation":"(Chan et al., 2023; Ganda &amp; Boruchovitch, 2018)","plainCitation":"(Chan et al., 2023; Ganda &amp; Boruchovitch, 2018)","noteIndex":0},"citationItems":[{"id":12822,"uris":["http://zotero.org/users/14842315/items/6XNF6RB7"],"itemData":{"id":12822,"type":"article-journal","abstract":"Recent research has reported that prospective teachers fail to acquire sufficient content knowledge and develop strong teaching self-efficacy. According to a large and growing body of literature, instructional behaviours that result in “autonomy support, structure, and involvement” significantly contribute to student outcomes at all levels of education. However, there remains a paucity of evidence on how these instructional behaviours influence preservice teachers’ learning motivation and teaching self-efficacy, which are robust predictors of their learning and teaching effectiveness. This study examined the relationship between the perceived instructional behaviours of teacher educators (i.e. instructional clarity, instructional support and feedback, instructional support for student autonomy, and instructional support for cooperative learning) and pre-service teachers’ learning motivation and teaching self-efficacy. Data were collected from randomlyselected first-year pre-service secondary teachers (N = 601) at regional teacher training centres in Cambodia using adapted scales on instructional behaviours, learning motivation, and teaching selfefficacy. Structural equation analyses revealed that perceptions of teacher educators’ instructional behaviours were significantly associated with pre-service teachers’ intrinsic learning motivation and teaching self-efficacy. This study extends the understanding of antecedents of learning motivation and teaching self-efficacy among pre-service teachers as well as highlights the need for incorporating these instructional behaviours into pre-service instruction in order to encourage the establishment of effective teachers for the education system.","container-title":"Educational Review","DOI":"10.1080/00131911.2021.1916440","ISSN":"0013-1911, 1465-3397","issue":"2","journalAbbreviation":"Educational Review","language":"en","page":"264-286","source":"DOI.org (Crossref)","title":"An examination of the relationship between the perceived instructional behaviours of teacher educators and pre-service teachers’ learning motivation and teaching self-efficacy","volume":"75","author":[{"family":"Chan","given":"Sokhom"},{"family":"Maneewan","given":"Sorakrich"},{"family":"Koul","given":"Ravinder"}],"issued":{"date-parts":[["2023",2,23]]}}},{"id":14653,"uris":["http://zotero.org/users/14842315/items/AKVS88T3"],"itemData":{"id":14653,"type":"article-journal","container-title":"Frontiers in Education","DOI":"10.3389/feduc.2018.00005","ISSN":"2504-284X","journalAbbreviation":"Front. Educ.","language":"en","page":"5","source":"DOI.org (Crossref)","title":"Promoting Self-regulated Learning of Brazilian Preservice Student Teachers: Results of an Intervention Program","title-short":"Promoting Self-regulated Learning of Brazilian Preservice Student Teachers","volume":"3","author":[{"family":"Ganda","given":"Danielle Ribeiro"},{"family":"Boruchovitch","given":"Evely"}],"issued":{"date-parts":[["2018",2,12]]}}}],"schema":"https://github.com/citation-style-language/schema/raw/master/csl-citation.json"} </w:instrText>
      </w:r>
      <w:r w:rsidR="000E4AD3">
        <w:rPr>
          <w:color w:val="auto"/>
          <w:sz w:val="24"/>
          <w:szCs w:val="24"/>
        </w:rPr>
        <w:fldChar w:fldCharType="separate"/>
      </w:r>
      <w:r w:rsidR="000E4AD3" w:rsidRPr="000E4AD3">
        <w:rPr>
          <w:sz w:val="24"/>
        </w:rPr>
        <w:t>(Chan et al., 2023; Ganda &amp; Boruchovitch, 2018)</w:t>
      </w:r>
      <w:r w:rsidR="000E4AD3">
        <w:rPr>
          <w:color w:val="auto"/>
          <w:sz w:val="24"/>
          <w:szCs w:val="24"/>
        </w:rPr>
        <w:fldChar w:fldCharType="end"/>
      </w:r>
      <w:r w:rsidR="001C0D1D" w:rsidRPr="00986F89">
        <w:rPr>
          <w:color w:val="auto"/>
          <w:sz w:val="24"/>
          <w:szCs w:val="24"/>
        </w:rPr>
        <w:t>. Reflective practices can</w:t>
      </w:r>
      <w:r w:rsidR="00183CF2" w:rsidRPr="00986F89">
        <w:rPr>
          <w:color w:val="auto"/>
          <w:sz w:val="24"/>
          <w:szCs w:val="24"/>
        </w:rPr>
        <w:t xml:space="preserve"> also</w:t>
      </w:r>
      <w:r w:rsidR="001C0D1D" w:rsidRPr="00986F89">
        <w:rPr>
          <w:color w:val="auto"/>
          <w:sz w:val="24"/>
          <w:szCs w:val="24"/>
        </w:rPr>
        <w:t xml:space="preserve"> enhance motivation by helping preservice teachers recognize progress, build </w:t>
      </w:r>
      <w:r w:rsidR="00183CF2" w:rsidRPr="00986F89">
        <w:rPr>
          <w:color w:val="auto"/>
          <w:sz w:val="24"/>
          <w:szCs w:val="24"/>
        </w:rPr>
        <w:t>confidence</w:t>
      </w:r>
      <w:r w:rsidR="001C0D1D" w:rsidRPr="00986F89">
        <w:rPr>
          <w:color w:val="auto"/>
          <w:sz w:val="24"/>
          <w:szCs w:val="24"/>
        </w:rPr>
        <w:t xml:space="preserve">, and connect </w:t>
      </w:r>
      <w:r w:rsidR="00183CF2" w:rsidRPr="00986F89">
        <w:rPr>
          <w:color w:val="auto"/>
          <w:sz w:val="24"/>
          <w:szCs w:val="24"/>
        </w:rPr>
        <w:t>instructional experiences</w:t>
      </w:r>
      <w:r w:rsidR="001C0D1D" w:rsidRPr="00986F89">
        <w:rPr>
          <w:color w:val="auto"/>
          <w:sz w:val="24"/>
          <w:szCs w:val="24"/>
        </w:rPr>
        <w:t xml:space="preserve"> to personal </w:t>
      </w:r>
      <w:r w:rsidR="00183CF2" w:rsidRPr="00986F89">
        <w:rPr>
          <w:color w:val="auto"/>
          <w:sz w:val="24"/>
          <w:szCs w:val="24"/>
        </w:rPr>
        <w:t xml:space="preserve">and professional </w:t>
      </w:r>
      <w:r w:rsidR="4028199D" w:rsidRPr="00986F89">
        <w:rPr>
          <w:color w:val="auto"/>
          <w:sz w:val="24"/>
          <w:szCs w:val="24"/>
        </w:rPr>
        <w:t>purposes</w:t>
      </w:r>
      <w:r w:rsidR="001C0D1D" w:rsidRPr="00986F89">
        <w:rPr>
          <w:color w:val="auto"/>
          <w:sz w:val="24"/>
          <w:szCs w:val="24"/>
        </w:rPr>
        <w:t xml:space="preserve"> </w:t>
      </w:r>
      <w:r w:rsidR="000E4AD3">
        <w:rPr>
          <w:color w:val="auto"/>
          <w:sz w:val="24"/>
          <w:szCs w:val="24"/>
        </w:rPr>
        <w:fldChar w:fldCharType="begin"/>
      </w:r>
      <w:r w:rsidR="000E4AD3">
        <w:rPr>
          <w:color w:val="auto"/>
          <w:sz w:val="24"/>
          <w:szCs w:val="24"/>
        </w:rPr>
        <w:instrText xml:space="preserve"> ADDIN ZOTERO_ITEM CSL_CITATION {"citationID":"AgEi8zp7","properties":{"formattedCitation":"(Garza &amp; Smith, 2015)","plainCitation":"(Garza &amp; Smith, 2015)","noteIndex":0},"citationItems":[{"id":12837,"uris":["http://zotero.org/users/14842315/items/CGLH7SPX"],"itemData":{"id":12837,"type":"article-journal","abstract":"Blogging, a mode of electronic journaling, has been identified as an effective means to help pre-service teachers to construct meaning about their experiences. The purpose of this study was to examine pre-service teachers’ reflections about their praxis through blogging and to describe the nature of their growth and development. The use of reflective writing through blogging helped to identify three themes that emerged from the data: (1) validation, (2) prescriptive, and (3) self-assessment. Our findings suggest that blogging facilitated a community of learners that provided support and encouragement. Pre-service teachers’ reflections revealed a focus on the mechanistic aspects of teaching without critically examining the nature of what was observed. However, our findings also suggest that structuring reflective thinking through blogging has the potential to foster a nascent understanding about teaching and learning.","container-title":"Cogent Education","DOI":"10.1080/2331186X.2015.1066550","ISSN":"2331-186X","issue":"1","journalAbbreviation":"Cogent Education","language":"en","page":"1066550","source":"DOI.org (Crossref)","title":"Pre-service teachers’ blog reflections: Illuminating their growth and development","title-short":"Pre-service teachers’ blog reflections","volume":"2","author":[{"family":"Garza","given":"Rubén"},{"family":"Smith","given":"Shaunna F."}],"editor":[{"family":"Boylan","given":"Mark"}],"issued":{"date-parts":[["2015",12,31]]}}}],"schema":"https://github.com/citation-style-language/schema/raw/master/csl-citation.json"} </w:instrText>
      </w:r>
      <w:r w:rsidR="000E4AD3">
        <w:rPr>
          <w:color w:val="auto"/>
          <w:sz w:val="24"/>
          <w:szCs w:val="24"/>
        </w:rPr>
        <w:fldChar w:fldCharType="separate"/>
      </w:r>
      <w:r w:rsidR="000E4AD3" w:rsidRPr="000E4AD3">
        <w:rPr>
          <w:sz w:val="24"/>
        </w:rPr>
        <w:t>(Garza &amp; Smith, 2015)</w:t>
      </w:r>
      <w:r w:rsidR="000E4AD3">
        <w:rPr>
          <w:color w:val="auto"/>
          <w:sz w:val="24"/>
          <w:szCs w:val="24"/>
        </w:rPr>
        <w:fldChar w:fldCharType="end"/>
      </w:r>
      <w:r w:rsidR="001C0D1D" w:rsidRPr="00986F89">
        <w:rPr>
          <w:color w:val="auto"/>
          <w:sz w:val="24"/>
          <w:szCs w:val="24"/>
        </w:rPr>
        <w:t xml:space="preserve">. Through </w:t>
      </w:r>
      <w:r w:rsidR="00183CF2" w:rsidRPr="00986F89">
        <w:rPr>
          <w:color w:val="auto"/>
          <w:sz w:val="24"/>
          <w:szCs w:val="24"/>
        </w:rPr>
        <w:t xml:space="preserve">sustained </w:t>
      </w:r>
      <w:r w:rsidR="001C0D1D" w:rsidRPr="00986F89">
        <w:rPr>
          <w:color w:val="auto"/>
          <w:sz w:val="24"/>
          <w:szCs w:val="24"/>
        </w:rPr>
        <w:t xml:space="preserve">journaling and self-assessment, preservice teachers can track growth over time, </w:t>
      </w:r>
      <w:r w:rsidR="00183CF2" w:rsidRPr="00986F89">
        <w:rPr>
          <w:color w:val="auto"/>
          <w:sz w:val="24"/>
          <w:szCs w:val="24"/>
        </w:rPr>
        <w:t>supporting a reciprocal relationship between motivation,</w:t>
      </w:r>
      <w:r w:rsidR="001C0D1D" w:rsidRPr="00986F89">
        <w:rPr>
          <w:color w:val="auto"/>
          <w:sz w:val="24"/>
          <w:szCs w:val="24"/>
        </w:rPr>
        <w:t xml:space="preserve"> reflection</w:t>
      </w:r>
      <w:r w:rsidR="00183CF2" w:rsidRPr="00986F89">
        <w:rPr>
          <w:color w:val="auto"/>
          <w:sz w:val="24"/>
          <w:szCs w:val="24"/>
        </w:rPr>
        <w:t>, and metacognitive engagement</w:t>
      </w:r>
      <w:r w:rsidR="001C0D1D" w:rsidRPr="00986F89">
        <w:rPr>
          <w:color w:val="auto"/>
          <w:sz w:val="24"/>
          <w:szCs w:val="24"/>
        </w:rPr>
        <w:t xml:space="preserve"> </w:t>
      </w:r>
      <w:r w:rsidR="00B87240">
        <w:rPr>
          <w:color w:val="auto"/>
          <w:sz w:val="24"/>
          <w:szCs w:val="24"/>
        </w:rPr>
        <w:fldChar w:fldCharType="begin"/>
      </w:r>
      <w:r w:rsidR="00DD75C9">
        <w:rPr>
          <w:color w:val="auto"/>
          <w:sz w:val="24"/>
          <w:szCs w:val="24"/>
        </w:rPr>
        <w:instrText xml:space="preserve"> ADDIN ZOTERO_ITEM CSL_CITATION {"citationID":"GwIcQnHv","properties":{"formattedCitation":"(Matsumoto-Royo et al., 2022; Nobutoshi, 2023)","plainCitation":"(Matsumoto-Royo et al., 2022; Nobutoshi, 2023)","noteIndex":0},"citationItems":[{"id":5556,"uris":["http://zotero.org/users/14842315/items/43PA4QDY"],"itemData":{"id":5556,"type":"article-journal","abstract":"Initial teacher education should prepare pre-service teachers to develop effective teaching and lifelong learning tendencies. This study aimed to identify the component to consider in pre-service teachers’ assessment processes that promote lifelong learning and develop metacognition skills. For this, it analyzed how the planned and implemented actions by the teacher educators in Practice-based Teacher Education programs promoted metacognition and lifelong learning in the pre-service teachers. The method was a mixed explanatory sequential design. Quantitative and qualitative instruments were applied. Information was obtained from the learning and assessment resources (72 syllabi and 14 assessment tasks) and pre-service teachers’ opinions (survey: n = 231, interviews: n = 8). The ﬁndings identiﬁed three main components: (i) authentic and relevant assessment tasks, (ii) prior communication of instructions and evaluation criteria, and (iii) frequent performance-focused feedback from peers and teacher educators during and at the end of assignments. The study results can be valuable in teacher education programs to strengthen assessment processes, promote lifelong learning tendencies, and develop metacognitive skills among the teachers in training.","container-title":"Frontiers in Education","DOI":"10.3389/feduc.2022.879238","ISSN":"2504-284X","journalAbbreviation":"Front. Educ.","language":"en","page":"879238","source":"DOI.org (Crossref)","title":"Lifelong Learning and Metacognition in the Assessment of Pre-service Teachers in Practice-Based Teacher Education","volume":"7","author":[{"family":"Matsumoto-Royo","given":"Kiomi"},{"family":"Ramírez-Montoya","given":"Maria Soledad"},{"family":"Glasserman-Morales","given":"Leonardo David"}],"issued":{"date-parts":[["2022",5,9]]}}},{"id":16907,"uris":["http://zotero.org/users/14842315/items/S6FXHHU5"],"itemData":{"id":16907,"type":"article-journal","abstract":"This paper explores the symbiotic relationship between metacognition and reflective teaching, shedding light on how this synergy can significantly enhance the development of critical thinking skills among students. Metacognition, the conscious awareness and control of cognitive processes, forms the foundation for reflective teaching, which centers on educators’ introspection and thoughtful examination of their instructional practices. Critical thinking skills are pivotal in today’s information-rich world, enabling individuals to analyze, evaluate, and adapt. The core premise of this paper is the examination of how metacognition informs reflective teaching and vice versa, ultimately empowering students to become confident, analytical, and adaptable thinkers. This exploration unveils practical strategies, real-world examples, and research insights, offering educators a holistic approach to nurturing critical thinking skills through metacognition-enhanced reflective teaching practices.","container-title":"Research and Advances in Education","DOI":"10.56397/RAE.2023.09.01","ISSN":"27887057","issue":"9","journalAbbreviation":"RAE","language":"en","page":"1-14","source":"DOI.org (Crossref)","title":"Metacognition and Reflective Teaching: A Synergistic Approach to Fostering Critical Thinking Skills","title-short":"Metacognition and Reflective Teaching","volume":"2","author":[{"family":"Nobutoshi","given":"Morten"}],"issued":{"date-parts":[["2023",9]]}}}],"schema":"https://github.com/citation-style-language/schema/raw/master/csl-citation.json"} </w:instrText>
      </w:r>
      <w:r w:rsidR="00B87240">
        <w:rPr>
          <w:color w:val="auto"/>
          <w:sz w:val="24"/>
          <w:szCs w:val="24"/>
        </w:rPr>
        <w:fldChar w:fldCharType="separate"/>
      </w:r>
      <w:r w:rsidR="00DD75C9" w:rsidRPr="00DD75C9">
        <w:rPr>
          <w:sz w:val="24"/>
        </w:rPr>
        <w:t>(Matsumoto-Royo et al., 2022; Nobutoshi, 2023)</w:t>
      </w:r>
      <w:r w:rsidR="00B87240">
        <w:rPr>
          <w:color w:val="auto"/>
          <w:sz w:val="24"/>
          <w:szCs w:val="24"/>
        </w:rPr>
        <w:fldChar w:fldCharType="end"/>
      </w:r>
      <w:r w:rsidR="00DD75C9">
        <w:rPr>
          <w:color w:val="auto"/>
          <w:sz w:val="24"/>
          <w:szCs w:val="24"/>
        </w:rPr>
        <w:t xml:space="preserve">. </w:t>
      </w:r>
    </w:p>
    <w:p w14:paraId="6A2356C7" w14:textId="7FC42236" w:rsidR="00EE73F4" w:rsidRPr="00986F89" w:rsidRDefault="00775C06" w:rsidP="00C23E59">
      <w:pPr>
        <w:pStyle w:val="p1"/>
        <w:spacing w:after="240"/>
        <w:rPr>
          <w:b/>
          <w:bCs/>
          <w:color w:val="auto"/>
          <w:sz w:val="24"/>
          <w:szCs w:val="24"/>
        </w:rPr>
      </w:pPr>
      <w:r w:rsidRPr="00986F89">
        <w:rPr>
          <w:b/>
          <w:bCs/>
          <w:color w:val="auto"/>
          <w:sz w:val="24"/>
          <w:szCs w:val="24"/>
        </w:rPr>
        <w:t>Reflection and Preservice Teacher Development</w:t>
      </w:r>
    </w:p>
    <w:p w14:paraId="77152B1F" w14:textId="216AA631" w:rsidR="000105D1" w:rsidRPr="00986F89" w:rsidRDefault="000105D1" w:rsidP="00C23E59">
      <w:pPr>
        <w:pStyle w:val="p1"/>
        <w:spacing w:after="240"/>
        <w:ind w:firstLine="720"/>
        <w:rPr>
          <w:color w:val="auto"/>
          <w:sz w:val="24"/>
          <w:szCs w:val="24"/>
        </w:rPr>
      </w:pPr>
      <w:r w:rsidRPr="00986F89">
        <w:rPr>
          <w:color w:val="auto"/>
          <w:sz w:val="24"/>
          <w:szCs w:val="24"/>
        </w:rPr>
        <w:t>Reflection is often conceptualized as a mediating space where metacognition, transfer, and motivation intersect</w:t>
      </w:r>
      <w:r w:rsidR="009A2D14">
        <w:rPr>
          <w:color w:val="auto"/>
          <w:sz w:val="24"/>
          <w:szCs w:val="24"/>
        </w:rPr>
        <w:t xml:space="preserve"> </w:t>
      </w:r>
      <w:r w:rsidR="009A2D14">
        <w:rPr>
          <w:color w:val="auto"/>
          <w:sz w:val="24"/>
          <w:szCs w:val="24"/>
        </w:rPr>
        <w:fldChar w:fldCharType="begin"/>
      </w:r>
      <w:r w:rsidR="009A2D14">
        <w:rPr>
          <w:color w:val="auto"/>
          <w:sz w:val="24"/>
          <w:szCs w:val="24"/>
        </w:rPr>
        <w:instrText xml:space="preserve"> ADDIN ZOTERO_ITEM CSL_CITATION {"citationID":"hx9rMcGl","properties":{"formattedCitation":"(Bransford et al., 2005; Matsumoto-Royo et al., 2022)","plainCitation":"(Bransford et al., 2005; Matsumoto-Royo et al., 2022)","noteIndex":0},"citationItems":[{"id":12818,"uris":["http://zotero.org/users/14842315/items/ZDTSSX8C"],"itemData":{"id":12818,"type":"chapter","container-title":"Preparing Teachers for a Changing World: What teachers should learn and be able to do","page":"40-88","publisher":"Jossey-Bass, An Imprint of Wiley","title":"Theories of Learning and Their Roles in Teaching","author":[{"family":"Bransford","given":"John"},{"family":"Derry","given":"Sharon"},{"family":"Berliner","given":"David"},{"family":"Hammerness","given":"Karen"},{"family":"Beckett","given":"Kelly Lyn"}],"editor":[{"family":"Darling-Hammond","given":"Linda"},{"family":"Bransford","given":"John"}],"issued":{"date-parts":[["2005"]]}}},{"id":5556,"uris":["http://zotero.org/users/14842315/items/43PA4QDY"],"itemData":{"id":5556,"type":"article-journal","abstract":"Initial teacher education should prepare pre-service teachers to develop effective teaching and lifelong learning tendencies. This study aimed to identify the component to consider in pre-service teachers’ assessment processes that promote lifelong learning and develop metacognition skills. For this, it analyzed how the planned and implemented actions by the teacher educators in Practice-based Teacher Education programs promoted metacognition and lifelong learning in the pre-service teachers. The method was a mixed explanatory sequential design. Quantitative and qualitative instruments were applied. Information was obtained from the learning and assessment resources (72 syllabi and 14 assessment tasks) and pre-service teachers’ opinions (survey: n = 231, interviews: n = 8). The ﬁndings identiﬁed three main components: (i) authentic and relevant assessment tasks, (ii) prior communication of instructions and evaluation criteria, and (iii) frequent performance-focused feedback from peers and teacher educators during and at the end of assignments. The study results can be valuable in teacher education programs to strengthen assessment processes, promote lifelong learning tendencies, and develop metacognitive skills among the teachers in training.","container-title":"Frontiers in Education","DOI":"10.3389/feduc.2022.879238","ISSN":"2504-284X","journalAbbreviation":"Front. Educ.","language":"en","page":"879238","source":"DOI.org (Crossref)","title":"Lifelong Learning and Metacognition in the Assessment of Pre-service Teachers in Practice-Based Teacher Education","volume":"7","author":[{"family":"Matsumoto-Royo","given":"Kiomi"},{"family":"Ramírez-Montoya","given":"Maria Soledad"},{"family":"Glasserman-Morales","given":"Leonardo David"}],"issued":{"date-parts":[["2022",5,9]]}}}],"schema":"https://github.com/citation-style-language/schema/raw/master/csl-citation.json"} </w:instrText>
      </w:r>
      <w:r w:rsidR="009A2D14">
        <w:rPr>
          <w:color w:val="auto"/>
          <w:sz w:val="24"/>
          <w:szCs w:val="24"/>
        </w:rPr>
        <w:fldChar w:fldCharType="separate"/>
      </w:r>
      <w:r w:rsidR="009A2D14" w:rsidRPr="009A2D14">
        <w:rPr>
          <w:sz w:val="24"/>
        </w:rPr>
        <w:t>(Bransford et al., 2005; Matsumoto-Royo et al., 2022)</w:t>
      </w:r>
      <w:r w:rsidR="009A2D14">
        <w:rPr>
          <w:color w:val="auto"/>
          <w:sz w:val="24"/>
          <w:szCs w:val="24"/>
        </w:rPr>
        <w:fldChar w:fldCharType="end"/>
      </w:r>
      <w:r w:rsidRPr="00986F89">
        <w:rPr>
          <w:color w:val="auto"/>
          <w:sz w:val="24"/>
          <w:szCs w:val="24"/>
        </w:rPr>
        <w:t xml:space="preserve">. In this study, reflection functioned as the primary site through which </w:t>
      </w:r>
      <w:proofErr w:type="gramStart"/>
      <w:r w:rsidRPr="00986F89">
        <w:rPr>
          <w:color w:val="auto"/>
          <w:sz w:val="24"/>
          <w:szCs w:val="24"/>
        </w:rPr>
        <w:t>preservice</w:t>
      </w:r>
      <w:proofErr w:type="gramEnd"/>
      <w:r w:rsidRPr="00986F89">
        <w:rPr>
          <w:color w:val="auto"/>
          <w:sz w:val="24"/>
          <w:szCs w:val="24"/>
        </w:rPr>
        <w:t xml:space="preserve"> teachers interpreted instructional experiences, revisited assumptions, and reasoned about instructional decisions. Structured reflective practices enable preservice teachers to integrate theory and practice, surface tacit beliefs, and adapt to instructional challenges </w:t>
      </w:r>
      <w:r w:rsidR="00804764">
        <w:rPr>
          <w:color w:val="auto"/>
          <w:sz w:val="24"/>
          <w:szCs w:val="24"/>
        </w:rPr>
        <w:fldChar w:fldCharType="begin"/>
      </w:r>
      <w:r w:rsidR="00804764">
        <w:rPr>
          <w:color w:val="auto"/>
          <w:sz w:val="24"/>
          <w:szCs w:val="24"/>
        </w:rPr>
        <w:instrText xml:space="preserve"> ADDIN ZOTERO_ITEM CSL_CITATION {"citationID":"JJoVqNvh","properties":{"formattedCitation":"(Dumlao &amp; Pinatacan, 2019; Johannessen, 2024)","plainCitation":"(Dumlao &amp; Pinatacan, 2019; Johannessen, 2024)","noteIndex":0},"citationItems":[{"id":12827,"uris":["http://zotero.org/users/14842315/items/IRI64SC2"],"itemData":{"id":12827,"type":"article-journal","container-title":"International Journal of Instruction","DOI":"10.29333/iji.2019.12430a","ISSN":"1694609X, 13081470","issue":"4","journalAbbreviation":"INT J INSTRUCTION","language":"en","page":"459-478","source":"DOI.org (Crossref)","title":"From Practice to Writing: Using Reflective Journal Instruction in Enhancing Pre-Service Teachers’ Professional Development","title-short":"From Practice to Writing","volume":"12","author":[{"family":"Dumlao","given":"Remart Padua"},{"family":"Pinatacan","given":"Jonathan Ramirez"}],"issued":{"date-parts":[["2019",10,1]]}}},{"id":14824,"uris":["http://zotero.org/users/14842315/items/LB27T6GL"],"itemData":{"id":14824,"type":"article-journal","abstract":"Previous research highlights challenges in modelling teachers’ reflective practice to explore and identify their beliefs and reflections. This paper explores how methodical triangulation, combining reflective dialogues and various reflective tools, enhances teachers’ awareness of their beliefs and reflections. It facilitates a deeper exploration of teachers’ beliefs and reflections related to learning and teaching. The study is based on a descriptive analysis of reflections generated in three different individual reflective dialogues with six lower secondary teachers. The findings indicate that triangulation strengthens the teachers’ reflections, particularly through using visual reflection tools and the researcher as a “reflective catalyst’. This combination increases their awareness of their own beliefs and encourages reflection.","container-title":"Reflective Practice","DOI":"10.1080/14623943.2024.2406934","ISSN":"1462-3943, 1470-1103","issue":"6","journalAbbreviation":"Reflective Practice","language":"en","page":"784-798","source":"DOI.org (Crossref)","title":"Modelling teachers’ reflective practice","volume":"25","author":[{"family":"Johannessen","given":"Wenche Hammer"}],"issued":{"date-parts":[["2024",11]]}}}],"schema":"https://github.com/citation-style-language/schema/raw/master/csl-citation.json"} </w:instrText>
      </w:r>
      <w:r w:rsidR="00804764">
        <w:rPr>
          <w:color w:val="auto"/>
          <w:sz w:val="24"/>
          <w:szCs w:val="24"/>
        </w:rPr>
        <w:fldChar w:fldCharType="separate"/>
      </w:r>
      <w:r w:rsidR="00804764" w:rsidRPr="00804764">
        <w:rPr>
          <w:sz w:val="24"/>
        </w:rPr>
        <w:t>(Dumlao &amp; Pinatacan, 2019; Johannessen, 2024)</w:t>
      </w:r>
      <w:r w:rsidR="00804764">
        <w:rPr>
          <w:color w:val="auto"/>
          <w:sz w:val="24"/>
          <w:szCs w:val="24"/>
        </w:rPr>
        <w:fldChar w:fldCharType="end"/>
      </w:r>
      <w:r w:rsidRPr="00986F89">
        <w:rPr>
          <w:color w:val="auto"/>
          <w:sz w:val="24"/>
          <w:szCs w:val="24"/>
        </w:rPr>
        <w:t xml:space="preserve">. Without guidance, however, reflection often remains superficial, focused on task completion </w:t>
      </w:r>
      <w:r w:rsidR="00023C22" w:rsidRPr="00986F89">
        <w:rPr>
          <w:color w:val="auto"/>
          <w:sz w:val="24"/>
          <w:szCs w:val="24"/>
        </w:rPr>
        <w:t>instead of</w:t>
      </w:r>
      <w:r w:rsidRPr="00986F89">
        <w:rPr>
          <w:color w:val="auto"/>
          <w:sz w:val="24"/>
          <w:szCs w:val="24"/>
        </w:rPr>
        <w:t xml:space="preserve"> forward-looking improvement </w:t>
      </w:r>
      <w:r w:rsidR="00804764">
        <w:rPr>
          <w:color w:val="auto"/>
          <w:sz w:val="24"/>
          <w:szCs w:val="24"/>
        </w:rPr>
        <w:fldChar w:fldCharType="begin"/>
      </w:r>
      <w:r w:rsidR="00804764">
        <w:rPr>
          <w:color w:val="auto"/>
          <w:sz w:val="24"/>
          <w:szCs w:val="24"/>
        </w:rPr>
        <w:instrText xml:space="preserve"> ADDIN ZOTERO_ITEM CSL_CITATION {"citationID":"T3z9OCdz","properties":{"formattedCitation":"(Lambert et al., 2014)","plainCitation":"(Lambert et al., 2014)","noteIndex":0},"citationItems":[{"id":1881,"uris":["http://zotero.org/users/14842315/items/5XZ9TD6D"],"itemData":{"id":1881,"type":"article-journal","abstract":"This multiple case study was designed to understand the experience of implementing the Curriculum for Agricultural Science Education (CASE) for five teachers at four high schools. All teachers were in their first year of implementing CASE. Through the use of weekly journals, semistructured interviews and a focus group, researchers attempted to gain insight into how the teachers were implementing CASE as well as their perceptions of the curriculum’s impact on their program and students. Five themes emerged from the study: a) some teachers adapted more easily to the student-centeredness of the curriculum; b) teachers enjoyed having content available, but none of them made it all the way through the material; c) the materials and equipment were essential to the successful implementation of CASE; d) teachers saw attending the CASE training institute as vital to their implementation of the curriculum; and, e) implementing CASE allowed the teachers to refocus. Additionally, researchers used the Concerns Based Adoption Model as a framework for this study and determined each teacher’s level of use, stage of concern and innovation configuration. Recommendations are included for classroom teachers, teacher educators, as well as the CASE developers.","container-title":"Journal of Agricultural Education","DOI":"10.5032/jae.2014.04100","ISSN":"1042-0541","issue":"4","journalAbbreviation":"JAE","language":"en","page":"100-115","source":"DOI.org (Crossref)","title":"What are the teachers’ experiences when implementing the Curriculum for Agricultural Science Education?","volume":"55","author":[{"family":"Lambert","given":"Misty D."},{"family":"Velez","given":"Jonathan J."},{"family":"Elliott","given":"Kristopher M."}],"issued":{"date-parts":[["2014",10,30]]}}}],"schema":"https://github.com/citation-style-language/schema/raw/master/csl-citation.json"} </w:instrText>
      </w:r>
      <w:r w:rsidR="00804764">
        <w:rPr>
          <w:color w:val="auto"/>
          <w:sz w:val="24"/>
          <w:szCs w:val="24"/>
        </w:rPr>
        <w:fldChar w:fldCharType="separate"/>
      </w:r>
      <w:r w:rsidR="00804764" w:rsidRPr="00804764">
        <w:rPr>
          <w:sz w:val="24"/>
        </w:rPr>
        <w:t>(Lambert et al., 2014)</w:t>
      </w:r>
      <w:r w:rsidR="00804764">
        <w:rPr>
          <w:color w:val="auto"/>
          <w:sz w:val="24"/>
          <w:szCs w:val="24"/>
        </w:rPr>
        <w:fldChar w:fldCharType="end"/>
      </w:r>
      <w:r w:rsidRPr="00986F89">
        <w:rPr>
          <w:color w:val="auto"/>
          <w:sz w:val="24"/>
          <w:szCs w:val="24"/>
        </w:rPr>
        <w:t xml:space="preserve">. This limitation is especially salient in SBAE, where preservice teachers frequently describe classroom events in procedural terms, overlooking instructional reasoning or relational dynamics </w:t>
      </w:r>
      <w:r w:rsidR="00804764">
        <w:rPr>
          <w:color w:val="auto"/>
          <w:sz w:val="24"/>
          <w:szCs w:val="24"/>
        </w:rPr>
        <w:fldChar w:fldCharType="begin"/>
      </w:r>
      <w:r w:rsidR="00804764">
        <w:rPr>
          <w:color w:val="auto"/>
          <w:sz w:val="24"/>
          <w:szCs w:val="24"/>
        </w:rPr>
        <w:instrText xml:space="preserve"> ADDIN ZOTERO_ITEM CSL_CITATION {"citationID":"OUZzZX6w","properties":{"formattedCitation":"(Bowling et al., 2022; Sorensen et al., 2018)","plainCitation":"(Bowling et al., 2022; Sorensen et al., 2018)","noteIndex":0},"citationItems":[{"id":12820,"uris":["http://zotero.org/users/14842315/items/Z4S5W78Q"],"itemData":{"id":12820,"type":"article-journal","abstract":"The purpose of this study was to outline metacognitive experiences of preservice teachers through a collective case study. Preservice teachers observed a micro-lesson and reﬂected on what was observed. Data analysis revealed ﬁve themes: 1) viewing the classroom through a narrow focus, 2) if-then teaching, 3) prompted reﬂection led to recent, siloed preparation content, 4) a lack of actionable change through reﬂection, and 5) metacognition but not in action. Recommendations include facilitating reﬂection-inaction to support the development of metacognitive processes, deconstructing the struggle preservice teachers experience as they reﬂect, and conducting further investigations on how reﬂection-in-action impacts preservice teacher development.","container-title":"Teaching and Teacher Education","DOI":"10.1016/j.tate.2022.103695","ISSN":"0742051X","journalAbbreviation":"Teaching and Teacher Education","language":"en","page":"103695","source":"DOI.org (Crossref)","title":"Agricultural education preservice teachers’ metacognitive processes and reflective observations during a reflection-in-action activity","volume":"114","author":[{"family":"Bowling","given":"Amanda"},{"family":"Giorgi","given":"Aaron"},{"family":"Filson","given":"Caryn"},{"family":"Kitchel","given":"Tracy"}],"issued":{"date-parts":[["2022",6]]}}},{"id":12858,"uris":["http://zotero.org/users/14842315/items/9DXEZEQ2"],"itemData":{"id":12858,"type":"article-journal","abstract":"The student teaching practicum experience is designed to give preservice teachers practical experience with teaching and is an important step in their development. While literature in agricultural education exists about preservice teacher professional development, little is known about the developmental process of agriculture teachers during the student teaching experience. Utilizing the theory of teacher concerns (Fuller &amp; Brown, 1975) as a theoretical lens, the purpose of this qualitative document analysis was to determine how preservice teachers develop over the first half of the student teaching practicum by examining the way they talk about concerns. Written reflections of five different cohorts from 2010 through 2014 were analyzed at two different points in time (week two and week seven). During the first two weeks of student teaching, three themes emerged, including: 1) teacher/student identity crisis, 2) teaching competence: “I do not know how, what, or who…,” and 3) adjusting to change. During week seven, the concerns changed, which indicated the student teachers were developing into the professional role of a teacher. The three themes that emerged from the data for week seven were: 1) building professional relationships, 2) engaging students, and 3) it is about time: work-life balance. Implications exist for teacher educators to place more emphasis on teaching strategies to engage and motivate students in the learning process, rather than just the task itself. Recommendations are suggested for teacher educators to discuss with preservice teachers before student teaching the realities and challenges of balancing work and life roles.","container-title":"Journal of Agricultural Education","DOI":"10.5032/jae.2018.04105","ISSN":"1042-0541","issue":"4","journalAbbreviation":"JAE","language":"en","page":"105-119","source":"DOI.org (Crossref)","title":"Preservice Agriculture Teachers’ Development during the Early Phase of Student Teaching","volume":"59","author":[{"family":"Sorensen","given":"Tyson J."},{"family":"Lawver","given":"Rebecca G."},{"family":"Jensen","given":"Beth"},{"family":"Dutton","given":"Cassidy"},{"family":"Warnick","given":"Brian K."}],"issued":{"date-parts":[["2018",12,31]]}}}],"schema":"https://github.com/citation-style-language/schema/raw/master/csl-citation.json"} </w:instrText>
      </w:r>
      <w:r w:rsidR="00804764">
        <w:rPr>
          <w:color w:val="auto"/>
          <w:sz w:val="24"/>
          <w:szCs w:val="24"/>
        </w:rPr>
        <w:fldChar w:fldCharType="separate"/>
      </w:r>
      <w:r w:rsidR="00804764" w:rsidRPr="00804764">
        <w:rPr>
          <w:sz w:val="24"/>
        </w:rPr>
        <w:t>(Bowling et al., 2022; Sorensen et al., 2018)</w:t>
      </w:r>
      <w:r w:rsidR="00804764">
        <w:rPr>
          <w:color w:val="auto"/>
          <w:sz w:val="24"/>
          <w:szCs w:val="24"/>
        </w:rPr>
        <w:fldChar w:fldCharType="end"/>
      </w:r>
      <w:r w:rsidR="003450C3">
        <w:rPr>
          <w:color w:val="auto"/>
          <w:sz w:val="24"/>
          <w:szCs w:val="24"/>
        </w:rPr>
        <w:t>.</w:t>
      </w:r>
    </w:p>
    <w:p w14:paraId="0847DF48" w14:textId="068EAAF4" w:rsidR="000A2926" w:rsidRPr="00986F89" w:rsidRDefault="000105D1" w:rsidP="00C23E59">
      <w:pPr>
        <w:pStyle w:val="p1"/>
        <w:spacing w:after="240"/>
        <w:ind w:firstLine="720"/>
        <w:rPr>
          <w:color w:val="auto"/>
          <w:sz w:val="24"/>
          <w:szCs w:val="24"/>
        </w:rPr>
      </w:pPr>
      <w:r w:rsidRPr="00986F89">
        <w:rPr>
          <w:color w:val="auto"/>
          <w:sz w:val="24"/>
          <w:szCs w:val="24"/>
        </w:rPr>
        <w:t xml:space="preserve">Reflection is deeply intertwined with emotion and motivation </w:t>
      </w:r>
      <w:r w:rsidR="00804764">
        <w:rPr>
          <w:color w:val="auto"/>
          <w:sz w:val="24"/>
          <w:szCs w:val="24"/>
        </w:rPr>
        <w:fldChar w:fldCharType="begin"/>
      </w:r>
      <w:r w:rsidR="00804764">
        <w:rPr>
          <w:color w:val="auto"/>
          <w:sz w:val="24"/>
          <w:szCs w:val="24"/>
        </w:rPr>
        <w:instrText xml:space="preserve"> ADDIN ZOTERO_ITEM CSL_CITATION {"citationID":"t3yqzstP","properties":{"formattedCitation":"(Day &amp; Leitch, 2001)","plainCitation":"(Day &amp; Leitch, 2001)","noteIndex":0},"citationItems":[{"id":14664,"uris":["http://zotero.org/users/14842315/items/GUY9XDYF"],"itemData":{"id":14664,"type":"article-journal","abstract":"This paper reports research which focuses on ways of enhancing understandings by teachers of the key role that emotions play in their personal professional growth. It combines the narrative, autobiographical accounts of teachers attending part-time masters degree programmes in England (Continuing Professional Development and School Improvement) and Northern Ireland (Personal and Social Development) with an interrogation of the underlying values which a!ect the practices of their tutors. It reveals the e!ects of powerful and often unacknowledged interaction between personal biography and professional and social contexts upon teachers in schools and higher education. 2001 Elsevier Science Ltd. All rights reserved.","container-title":"Teaching and Teacher Education","DOI":"10.1016/S0742-051X(01)00003-8","ISSN":"0742051X","issue":"4","journalAbbreviation":"Teaching and Teacher Education","language":"en","license":"https://www.elsevier.com/tdm/userlicense/1.0/","page":"403-415","source":"DOI.org (Crossref)","title":"Teachers’ and teacher educators’ lives: the role of emotion","title-short":"Teachers’ and teacher educators’ lives","volume":"17","author":[{"family":"Day","given":"Christopher"},{"family":"Leitch","given":"Ruth"}],"issued":{"date-parts":[["2001",5]]}}}],"schema":"https://github.com/citation-style-language/schema/raw/master/csl-citation.json"} </w:instrText>
      </w:r>
      <w:r w:rsidR="00804764">
        <w:rPr>
          <w:color w:val="auto"/>
          <w:sz w:val="24"/>
          <w:szCs w:val="24"/>
        </w:rPr>
        <w:fldChar w:fldCharType="separate"/>
      </w:r>
      <w:r w:rsidR="00804764" w:rsidRPr="00804764">
        <w:rPr>
          <w:sz w:val="24"/>
        </w:rPr>
        <w:t>(Day &amp; Leitch, 2001)</w:t>
      </w:r>
      <w:r w:rsidR="00804764">
        <w:rPr>
          <w:color w:val="auto"/>
          <w:sz w:val="24"/>
          <w:szCs w:val="24"/>
        </w:rPr>
        <w:fldChar w:fldCharType="end"/>
      </w:r>
      <w:r w:rsidRPr="00986F89">
        <w:rPr>
          <w:color w:val="auto"/>
          <w:sz w:val="24"/>
          <w:szCs w:val="24"/>
        </w:rPr>
        <w:t xml:space="preserve">. Emotional responses such as anxiety, pride, frustration, or affirmation shape how teachers interpret experience and sustain professional commitment. </w:t>
      </w:r>
      <w:r w:rsidR="00212AC0" w:rsidRPr="00986F89">
        <w:rPr>
          <w:color w:val="auto"/>
          <w:sz w:val="24"/>
          <w:szCs w:val="24"/>
        </w:rPr>
        <w:t xml:space="preserve">Explicit instruction in reflective theory and practice can help preservice teachers recognize reflection as a structured and ethical professional practice </w:t>
      </w:r>
      <w:r w:rsidR="00804764">
        <w:rPr>
          <w:color w:val="auto"/>
          <w:sz w:val="24"/>
          <w:szCs w:val="24"/>
        </w:rPr>
        <w:fldChar w:fldCharType="begin"/>
      </w:r>
      <w:r w:rsidR="00804764">
        <w:rPr>
          <w:color w:val="auto"/>
          <w:sz w:val="24"/>
          <w:szCs w:val="24"/>
        </w:rPr>
        <w:instrText xml:space="preserve"> ADDIN ZOTERO_ITEM CSL_CITATION {"citationID":"DyrCL4tb","properties":{"formattedCitation":"(Smith, 2011)","plainCitation":"(Smith, 2011)","noteIndex":0},"citationItems":[{"id":12855,"uris":["http://zotero.org/users/14842315/items/4Y4MECIX"],"itemData":{"id":12855,"type":"article-journal","container-title":"Teaching in Higher Education","DOI":"10.1080/13562517.2010.515022","ISSN":"1356-2517, 1470-1294","issue":"2","journalAbbreviation":"Teaching in Higher Education","language":"en","page":"211-223","source":"DOI.org (Crossref)","title":"Teaching critical reflection","volume":"16","author":[{"family":"Smith","given":"Elizabeth"}],"issued":{"date-parts":[["2011",4]]}}}],"schema":"https://github.com/citation-style-language/schema/raw/master/csl-citation.json"} </w:instrText>
      </w:r>
      <w:r w:rsidR="00804764">
        <w:rPr>
          <w:color w:val="auto"/>
          <w:sz w:val="24"/>
          <w:szCs w:val="24"/>
        </w:rPr>
        <w:fldChar w:fldCharType="separate"/>
      </w:r>
      <w:r w:rsidR="00804764" w:rsidRPr="00804764">
        <w:rPr>
          <w:sz w:val="24"/>
        </w:rPr>
        <w:t>(Smith, 2011)</w:t>
      </w:r>
      <w:r w:rsidR="00804764">
        <w:rPr>
          <w:color w:val="auto"/>
          <w:sz w:val="24"/>
          <w:szCs w:val="24"/>
        </w:rPr>
        <w:fldChar w:fldCharType="end"/>
      </w:r>
      <w:r w:rsidR="00212AC0" w:rsidRPr="00986F89">
        <w:rPr>
          <w:color w:val="auto"/>
          <w:sz w:val="24"/>
          <w:szCs w:val="24"/>
        </w:rPr>
        <w:t xml:space="preserve">. Brookfield </w:t>
      </w:r>
      <w:r w:rsidR="009261C0">
        <w:rPr>
          <w:color w:val="auto"/>
          <w:sz w:val="24"/>
          <w:szCs w:val="24"/>
        </w:rPr>
        <w:fldChar w:fldCharType="begin"/>
      </w:r>
      <w:r w:rsidR="009A2D14">
        <w:rPr>
          <w:color w:val="auto"/>
          <w:sz w:val="24"/>
          <w:szCs w:val="24"/>
        </w:rPr>
        <w:instrText xml:space="preserve"> ADDIN ZOTERO_ITEM CSL_CITATION {"citationID":"rl3ANdby","properties":{"formattedCitation":"(Brookfield, 2017)","plainCitation":"(Brookfield, 2017)","dontUpdate":true,"noteIndex":0},"citationItems":[{"id":15575,"uris":["http://zotero.org/groups/6270262/items/5JM4QZFA"],"itemData":{"id":15575,"type":"book","language":"en","publisher":"Jossey-Bass, An Imprint of Wiley","source":"Zotero","title":"Becoming a Critically Reflective Teacher","author":[{"family":"Brookfield","given":"Stephen D"}],"issued":{"date-parts":[["2017"]]}}}],"schema":"https://github.com/citation-style-language/schema/raw/master/csl-citation.json"} </w:instrText>
      </w:r>
      <w:r w:rsidR="009261C0">
        <w:rPr>
          <w:color w:val="auto"/>
          <w:sz w:val="24"/>
          <w:szCs w:val="24"/>
        </w:rPr>
        <w:fldChar w:fldCharType="separate"/>
      </w:r>
      <w:r w:rsidR="009261C0" w:rsidRPr="009261C0">
        <w:rPr>
          <w:sz w:val="24"/>
        </w:rPr>
        <w:t>(2017)</w:t>
      </w:r>
      <w:r w:rsidR="009261C0">
        <w:rPr>
          <w:color w:val="auto"/>
          <w:sz w:val="24"/>
          <w:szCs w:val="24"/>
        </w:rPr>
        <w:fldChar w:fldCharType="end"/>
      </w:r>
      <w:r w:rsidR="009261C0">
        <w:rPr>
          <w:color w:val="auto"/>
          <w:sz w:val="24"/>
          <w:szCs w:val="24"/>
        </w:rPr>
        <w:t xml:space="preserve"> </w:t>
      </w:r>
      <w:r w:rsidR="00212AC0" w:rsidRPr="00986F89">
        <w:rPr>
          <w:color w:val="auto"/>
          <w:sz w:val="24"/>
          <w:szCs w:val="24"/>
        </w:rPr>
        <w:t xml:space="preserve">further emphasizes that teacher educators’ own engagement in critical reflection models reflective practice and legitimizes its role in professional learning. </w:t>
      </w:r>
      <w:r w:rsidRPr="00986F89">
        <w:rPr>
          <w:color w:val="auto"/>
          <w:sz w:val="24"/>
          <w:szCs w:val="24"/>
        </w:rPr>
        <w:t>When guided through structured reflective tools such as journaling, preservice teachers can articulate these emotional signals as part of metacognitive sense-making, moving reflection beyond description toward analytic and developmental depth</w:t>
      </w:r>
      <w:r w:rsidR="00015772">
        <w:rPr>
          <w:color w:val="auto"/>
          <w:sz w:val="24"/>
          <w:szCs w:val="24"/>
        </w:rPr>
        <w:t xml:space="preserve"> </w:t>
      </w:r>
      <w:r w:rsidR="009261C0">
        <w:rPr>
          <w:color w:val="auto"/>
          <w:sz w:val="24"/>
          <w:szCs w:val="24"/>
        </w:rPr>
        <w:fldChar w:fldCharType="begin"/>
      </w:r>
      <w:r w:rsidR="009261C0">
        <w:rPr>
          <w:color w:val="auto"/>
          <w:sz w:val="24"/>
          <w:szCs w:val="24"/>
        </w:rPr>
        <w:instrText xml:space="preserve"> ADDIN ZOTERO_ITEM CSL_CITATION {"citationID":"9uQzGmzM","properties":{"formattedCitation":"(Hatton &amp; Smith, 1995; Johns, 1994; Korthagen &amp; Vasalos, 2005)","plainCitation":"(Hatton &amp; Smith, 1995; Johns, 1994; Korthagen &amp; Vasalos, 2005)","noteIndex":0},"citationItems":[{"id":16909,"uris":["http://zotero.org/users/14842315/items/G8QLMNWM"],"itemData":{"id":16909,"type":"article-journal","container-title":"Teaching and Teacher Education","DOI":"10.1016/0742-051X(94)00012-U","ISSN":"0742051X","issue":"1","journalAbbreviation":"Teaching and Teacher Education","language":"en","license":"https://www.elsevier.com/tdm/userlicense/1.0/","page":"33-49","source":"DOI.org (Crossref)","title":"Reflection in teacher education: Towards definition and implementation","title-short":"Reflection in teacher education","volume":"11","author":[{"family":"Hatton","given":"Neville"},{"family":"Smith","given":"David"}],"issued":{"date-parts":[["1995",1]]}}},{"id":12840,"uris":["http://zotero.org/users/14842315/items/ZGWW2KKK"],"itemData":{"id":12840,"type":"article-journal","container-title":"Journal of Clinical Nursing","DOI":"10.1111/j.1365-2702.1994.tb00364.x","ISSN":"0962-1067, 1365-2702","issue":"2","journalAbbreviation":"Journal of Clinical Nursing","language":"en","license":"http://onlinelibrary.wiley.com/termsAndConditions#vor","page":"71-74","source":"DOI.org (Crossref)","title":"Nuances of reflection","volume":"3","author":[{"family":"Johns","given":"Christopher"}],"issued":{"date-parts":[["1994",3]]}}},{"id":16911,"uris":["http://zotero.org/users/14842315/items/63ZPWZMP"],"itemData":{"id":16911,"type":"article-journal","container-title":"Teachers and Teaching","DOI":"10.1080/1354060042000337093","ISSN":"1354-0602, 1470-1278","issue":"1","journalAbbreviation":"Teachers and Teaching","language":"en","page":"47-71","source":"DOI.org (Crossref)","title":"Levels in reflection: core reflection as a means to enhance professional growth","title-short":"Levels in reflection","volume":"11","author":[{"family":"Korthagen","given":"Fred"},{"family":"Vasalos","given":"Angelo"}],"issued":{"date-parts":[["2005",2]]}}}],"schema":"https://github.com/citation-style-language/schema/raw/master/csl-citation.json"} </w:instrText>
      </w:r>
      <w:r w:rsidR="009261C0">
        <w:rPr>
          <w:color w:val="auto"/>
          <w:sz w:val="24"/>
          <w:szCs w:val="24"/>
        </w:rPr>
        <w:fldChar w:fldCharType="separate"/>
      </w:r>
      <w:r w:rsidR="009261C0" w:rsidRPr="009261C0">
        <w:rPr>
          <w:sz w:val="24"/>
        </w:rPr>
        <w:t>(Hatton &amp; Smith, 1995; Johns, 1994; Korthagen &amp; Vasalos, 2005)</w:t>
      </w:r>
      <w:r w:rsidR="009261C0">
        <w:rPr>
          <w:color w:val="auto"/>
          <w:sz w:val="24"/>
          <w:szCs w:val="24"/>
        </w:rPr>
        <w:fldChar w:fldCharType="end"/>
      </w:r>
      <w:r w:rsidR="00015772">
        <w:rPr>
          <w:color w:val="auto"/>
          <w:sz w:val="24"/>
          <w:szCs w:val="24"/>
        </w:rPr>
        <w:t>.</w:t>
      </w:r>
    </w:p>
    <w:p w14:paraId="66316231" w14:textId="49BF0325" w:rsidR="00EE73F4" w:rsidRPr="00986F89" w:rsidRDefault="00EE73F4" w:rsidP="00C23E59">
      <w:pPr>
        <w:spacing w:after="240"/>
        <w:jc w:val="center"/>
        <w:rPr>
          <w:rFonts w:ascii="Times New Roman" w:hAnsi="Times New Roman" w:cs="Times New Roman"/>
          <w:b/>
          <w:bCs/>
        </w:rPr>
      </w:pPr>
      <w:r w:rsidRPr="00986F89">
        <w:rPr>
          <w:rFonts w:ascii="Times New Roman" w:hAnsi="Times New Roman" w:cs="Times New Roman"/>
          <w:b/>
          <w:bCs/>
        </w:rPr>
        <w:t>Conceptual Framework</w:t>
      </w:r>
    </w:p>
    <w:p w14:paraId="7FC602E7" w14:textId="6228D615" w:rsidR="00EF1A03" w:rsidRPr="00EF1A03" w:rsidRDefault="00EF1A03" w:rsidP="00EF1A03">
      <w:pPr>
        <w:pStyle w:val="p1"/>
        <w:spacing w:after="240"/>
        <w:ind w:firstLine="720"/>
        <w:rPr>
          <w:sz w:val="24"/>
          <w:szCs w:val="24"/>
        </w:rPr>
      </w:pPr>
      <w:r>
        <w:rPr>
          <w:sz w:val="24"/>
          <w:szCs w:val="24"/>
        </w:rPr>
        <w:t>R</w:t>
      </w:r>
      <w:r w:rsidRPr="00EF1A03">
        <w:rPr>
          <w:sz w:val="24"/>
          <w:szCs w:val="24"/>
        </w:rPr>
        <w:t xml:space="preserve">eflection has long been central to </w:t>
      </w:r>
      <w:proofErr w:type="gramStart"/>
      <w:r w:rsidRPr="00EF1A03">
        <w:rPr>
          <w:sz w:val="24"/>
          <w:szCs w:val="24"/>
        </w:rPr>
        <w:t>theories of professional</w:t>
      </w:r>
      <w:proofErr w:type="gramEnd"/>
      <w:r w:rsidRPr="00EF1A03">
        <w:rPr>
          <w:sz w:val="24"/>
          <w:szCs w:val="24"/>
        </w:rPr>
        <w:t xml:space="preserve"> learning and </w:t>
      </w:r>
      <w:proofErr w:type="gramStart"/>
      <w:r w:rsidRPr="00EF1A03">
        <w:rPr>
          <w:sz w:val="24"/>
          <w:szCs w:val="24"/>
        </w:rPr>
        <w:t>teacher</w:t>
      </w:r>
      <w:proofErr w:type="gramEnd"/>
      <w:r w:rsidRPr="00EF1A03">
        <w:rPr>
          <w:sz w:val="24"/>
          <w:szCs w:val="24"/>
        </w:rPr>
        <w:t xml:space="preserve"> development (Day &amp; Leitch, 2001; Loughran, 1996). Dewey (1933) conceptualized reflection as the reconstruction of experience through deliberate inquiry, positioning reflective thought as essential for addressing the practical and uncertain problems of teaching. Building on this foundation, Schön (1983) distinguished between reflection-in-action and reflection-on-action as mechanisms for adapting practice in complex situations. Because reflection-in-action presumes a level of cognitive fluency that novice teachers are still developing, reflection-on-action offers a developmentally appropriate space for preservice teachers to revisit instructional decisions with temporal and psychological distance (Bowling et al., 2022; Hammersley‐Fletcher &amp; Orsmond, 2005; Kennedy, 1999). When reflection is structured and sustained, it can support preservice teachers’ analysis of experience, emotional awareness, belief development, and emerging professional identity (</w:t>
      </w:r>
      <w:proofErr w:type="spellStart"/>
      <w:r w:rsidRPr="00EF1A03">
        <w:rPr>
          <w:sz w:val="24"/>
          <w:szCs w:val="24"/>
        </w:rPr>
        <w:t>Hammerness</w:t>
      </w:r>
      <w:proofErr w:type="spellEnd"/>
      <w:r w:rsidRPr="00EF1A03">
        <w:rPr>
          <w:sz w:val="24"/>
          <w:szCs w:val="24"/>
        </w:rPr>
        <w:t xml:space="preserve"> et al., 2005; Smith, 2011; Yost, 2006). In this study, reflective journaling served as the primary site through which preservice teachers revisited instructional experiences, articulated emotional responses, and examined contextual influences shaping their practice.</w:t>
      </w:r>
    </w:p>
    <w:p w14:paraId="14722D3B" w14:textId="05FF7162" w:rsidR="6CE20025" w:rsidRPr="00986F89" w:rsidRDefault="00EF1A03" w:rsidP="00EF1A03">
      <w:pPr>
        <w:pStyle w:val="p1"/>
        <w:spacing w:after="240"/>
        <w:ind w:firstLine="720"/>
        <w:rPr>
          <w:sz w:val="24"/>
          <w:szCs w:val="24"/>
        </w:rPr>
      </w:pPr>
      <w:r w:rsidRPr="00EF1A03">
        <w:rPr>
          <w:sz w:val="24"/>
          <w:szCs w:val="24"/>
        </w:rPr>
        <w:t>To support this process, the reflective journaling protocol was informed by Johns’ (1994) model of reflection as a practical scaffold rather than an analytic framework. Johns’ model prompts learners to attend to the situation itself, their emotional and cognitive responses, influencing internal and external factors, and possible alternative actions. In this study, the model guided the sequencing and focus of journal prompts, encouraging preservice teachers to move beyond description toward more interpretive reflection over time without constraining reflection to fixed stages or categories.</w:t>
      </w:r>
      <w:r>
        <w:rPr>
          <w:sz w:val="24"/>
          <w:szCs w:val="24"/>
        </w:rPr>
        <w:t xml:space="preserve"> </w:t>
      </w:r>
      <w:r w:rsidRPr="00EF1A03">
        <w:rPr>
          <w:sz w:val="24"/>
          <w:szCs w:val="24"/>
        </w:rPr>
        <w:t xml:space="preserve">Within this framing, reflection is understood as a mediating space through which metacognition, motivation, and learning transfer are experienced and interpreted over time. Through reflective journaling, preservice teachers monitor their thinking, evaluate instructional choices, and make implicit assumptions more visible, supporting reasoning about how learning from coursework is taken up, adapted, or resisted in situated teaching contexts (Bransford et al., 2005; </w:t>
      </w:r>
      <w:proofErr w:type="spellStart"/>
      <w:r w:rsidRPr="00EF1A03">
        <w:rPr>
          <w:sz w:val="24"/>
          <w:szCs w:val="24"/>
        </w:rPr>
        <w:t>Hammerness</w:t>
      </w:r>
      <w:proofErr w:type="spellEnd"/>
      <w:r w:rsidRPr="00EF1A03">
        <w:rPr>
          <w:sz w:val="24"/>
          <w:szCs w:val="24"/>
        </w:rPr>
        <w:t xml:space="preserve"> et al., 2005). Motivation shapes the depth and openness of this engagement, as preservice teachers who experience autonomy, competence, and psychological safety are more likely to move beyond surface-level description, whereas evaluative perceptions of reflection may constrain sense-making (Ganda &amp; </w:t>
      </w:r>
      <w:proofErr w:type="spellStart"/>
      <w:r w:rsidRPr="00EF1A03">
        <w:rPr>
          <w:sz w:val="24"/>
          <w:szCs w:val="24"/>
        </w:rPr>
        <w:t>Boruchovitch</w:t>
      </w:r>
      <w:proofErr w:type="spellEnd"/>
      <w:r w:rsidRPr="00EF1A03">
        <w:rPr>
          <w:sz w:val="24"/>
          <w:szCs w:val="24"/>
        </w:rPr>
        <w:t>, 2018; Matsumoto-Royo et al., 2022)</w:t>
      </w:r>
      <w:r w:rsidR="759BDA60" w:rsidRPr="00986F89">
        <w:rPr>
          <w:sz w:val="24"/>
          <w:szCs w:val="24"/>
        </w:rPr>
        <w:t>.</w:t>
      </w:r>
    </w:p>
    <w:p w14:paraId="217F8B6A" w14:textId="77777777" w:rsidR="00EE73F4" w:rsidRPr="00986F89" w:rsidRDefault="00EE73F4" w:rsidP="00C23E59">
      <w:pPr>
        <w:pStyle w:val="p1"/>
        <w:spacing w:after="240"/>
        <w:jc w:val="center"/>
        <w:rPr>
          <w:b/>
          <w:bCs/>
          <w:sz w:val="24"/>
          <w:szCs w:val="24"/>
        </w:rPr>
      </w:pPr>
      <w:r w:rsidRPr="00986F89">
        <w:rPr>
          <w:b/>
          <w:bCs/>
          <w:sz w:val="24"/>
          <w:szCs w:val="24"/>
        </w:rPr>
        <w:t>Purpose and Research Questions</w:t>
      </w:r>
    </w:p>
    <w:p w14:paraId="35141C41" w14:textId="60B31172" w:rsidR="00EE73F4" w:rsidRPr="00986F89" w:rsidRDefault="008612C8" w:rsidP="00C23E59">
      <w:pPr>
        <w:spacing w:after="240"/>
        <w:ind w:firstLine="720"/>
        <w:rPr>
          <w:rFonts w:ascii="Times New Roman" w:hAnsi="Times New Roman" w:cs="Times New Roman"/>
        </w:rPr>
      </w:pPr>
      <w:r w:rsidRPr="00986F89">
        <w:rPr>
          <w:rFonts w:ascii="Times New Roman" w:hAnsi="Times New Roman" w:cs="Times New Roman"/>
        </w:rPr>
        <w:t xml:space="preserve">The purpose of this study was to explore how preservice teachers make sense of their learning through sustained reflective journaling and how reflection reveals </w:t>
      </w:r>
      <w:r w:rsidR="001A5952" w:rsidRPr="00986F89">
        <w:rPr>
          <w:rFonts w:ascii="Times New Roman" w:hAnsi="Times New Roman" w:cs="Times New Roman"/>
        </w:rPr>
        <w:t>preservice teachers’ experiences</w:t>
      </w:r>
      <w:r w:rsidRPr="00986F89">
        <w:rPr>
          <w:rFonts w:ascii="Times New Roman" w:hAnsi="Times New Roman" w:cs="Times New Roman"/>
        </w:rPr>
        <w:t xml:space="preserve"> of metacognition, learning transfer, and motivation within a </w:t>
      </w:r>
      <w:r w:rsidR="00FD45F0">
        <w:rPr>
          <w:rFonts w:ascii="Times New Roman" w:hAnsi="Times New Roman" w:cs="Times New Roman"/>
        </w:rPr>
        <w:t>SBAE</w:t>
      </w:r>
      <w:r w:rsidRPr="00986F89">
        <w:rPr>
          <w:rFonts w:ascii="Times New Roman" w:hAnsi="Times New Roman" w:cs="Times New Roman"/>
        </w:rPr>
        <w:t xml:space="preserve"> teacher preparation context. </w:t>
      </w:r>
      <w:r w:rsidR="00EE73F4" w:rsidRPr="00986F89">
        <w:rPr>
          <w:rFonts w:ascii="Times New Roman" w:hAnsi="Times New Roman" w:cs="Times New Roman"/>
        </w:rPr>
        <w:t>The study was guided by the following questions:</w:t>
      </w:r>
    </w:p>
    <w:p w14:paraId="5F8CACAC" w14:textId="21CF1E78" w:rsidR="00EE73F4" w:rsidRPr="00986F89" w:rsidRDefault="00ED6264" w:rsidP="00C23E59">
      <w:pPr>
        <w:spacing w:after="240"/>
        <w:rPr>
          <w:rFonts w:ascii="Times New Roman" w:hAnsi="Times New Roman" w:cs="Times New Roman"/>
        </w:rPr>
      </w:pPr>
      <w:r>
        <w:rPr>
          <w:rFonts w:ascii="Times New Roman" w:hAnsi="Times New Roman" w:cs="Times New Roman"/>
        </w:rPr>
        <w:t xml:space="preserve">Research </w:t>
      </w:r>
      <w:r w:rsidR="00EE73F4" w:rsidRPr="00986F89">
        <w:rPr>
          <w:rFonts w:ascii="Times New Roman" w:hAnsi="Times New Roman" w:cs="Times New Roman"/>
        </w:rPr>
        <w:t>Question</w:t>
      </w:r>
      <w:r>
        <w:rPr>
          <w:rFonts w:ascii="Times New Roman" w:hAnsi="Times New Roman" w:cs="Times New Roman"/>
        </w:rPr>
        <w:t>(s)</w:t>
      </w:r>
      <w:r w:rsidR="00EE73F4" w:rsidRPr="00986F89">
        <w:rPr>
          <w:rFonts w:ascii="Times New Roman" w:hAnsi="Times New Roman" w:cs="Times New Roman"/>
        </w:rPr>
        <w:t>:</w:t>
      </w:r>
    </w:p>
    <w:p w14:paraId="32C93221" w14:textId="2E5F01F8" w:rsidR="00EE73F4" w:rsidRPr="00ED6264" w:rsidRDefault="00EE73F4" w:rsidP="00C23E59">
      <w:pPr>
        <w:pStyle w:val="ListParagraph"/>
        <w:numPr>
          <w:ilvl w:val="0"/>
          <w:numId w:val="5"/>
        </w:numPr>
        <w:spacing w:after="240"/>
        <w:rPr>
          <w:rFonts w:ascii="Times New Roman" w:hAnsi="Times New Roman" w:cs="Times New Roman"/>
        </w:rPr>
      </w:pPr>
      <w:r w:rsidRPr="00ED6264">
        <w:rPr>
          <w:rFonts w:ascii="Times New Roman" w:hAnsi="Times New Roman" w:cs="Times New Roman"/>
        </w:rPr>
        <w:t>What are the metacognitive, learning transfer, and motivational experiences of preservice teachers when using reflective journals?</w:t>
      </w:r>
    </w:p>
    <w:p w14:paraId="4A9C6F39" w14:textId="47D6FB53" w:rsidR="00EE73F4" w:rsidRPr="00ED6264" w:rsidRDefault="00EE73F4" w:rsidP="00C23E59">
      <w:pPr>
        <w:pStyle w:val="ListParagraph"/>
        <w:numPr>
          <w:ilvl w:val="1"/>
          <w:numId w:val="5"/>
        </w:numPr>
        <w:spacing w:after="240"/>
        <w:rPr>
          <w:rFonts w:ascii="Times New Roman" w:hAnsi="Times New Roman" w:cs="Times New Roman"/>
        </w:rPr>
      </w:pPr>
      <w:r w:rsidRPr="00ED6264">
        <w:rPr>
          <w:rFonts w:ascii="Times New Roman" w:hAnsi="Times New Roman" w:cs="Times New Roman"/>
        </w:rPr>
        <w:lastRenderedPageBreak/>
        <w:t xml:space="preserve">What influencing factors were present and supported in </w:t>
      </w:r>
      <w:r w:rsidR="000343BF" w:rsidRPr="00ED6264">
        <w:rPr>
          <w:rFonts w:ascii="Times New Roman" w:hAnsi="Times New Roman" w:cs="Times New Roman"/>
        </w:rPr>
        <w:t>preservice teachers’</w:t>
      </w:r>
      <w:r w:rsidRPr="00ED6264">
        <w:rPr>
          <w:rFonts w:ascii="Times New Roman" w:hAnsi="Times New Roman" w:cs="Times New Roman"/>
        </w:rPr>
        <w:t xml:space="preserve"> metacognitive, learning transfer, and motivational experiences?</w:t>
      </w:r>
    </w:p>
    <w:p w14:paraId="63AB03AB" w14:textId="24CB50AE" w:rsidR="00357B71" w:rsidRPr="00ED6264" w:rsidRDefault="00EE73F4" w:rsidP="00C23E59">
      <w:pPr>
        <w:pStyle w:val="ListParagraph"/>
        <w:numPr>
          <w:ilvl w:val="1"/>
          <w:numId w:val="5"/>
        </w:numPr>
        <w:spacing w:after="240"/>
        <w:rPr>
          <w:rFonts w:ascii="Times New Roman" w:hAnsi="Times New Roman" w:cs="Times New Roman"/>
        </w:rPr>
      </w:pPr>
      <w:r w:rsidRPr="00ED6264">
        <w:rPr>
          <w:rFonts w:ascii="Times New Roman" w:hAnsi="Times New Roman" w:cs="Times New Roman"/>
        </w:rPr>
        <w:t xml:space="preserve">What connections did students reflect on </w:t>
      </w:r>
      <w:r w:rsidR="000343BF" w:rsidRPr="00ED6264">
        <w:rPr>
          <w:rFonts w:ascii="Times New Roman" w:hAnsi="Times New Roman" w:cs="Times New Roman"/>
        </w:rPr>
        <w:t>among</w:t>
      </w:r>
      <w:r w:rsidRPr="00ED6264">
        <w:rPr>
          <w:rFonts w:ascii="Times New Roman" w:hAnsi="Times New Roman" w:cs="Times New Roman"/>
        </w:rPr>
        <w:t xml:space="preserve"> their metacognitive, learning transfer, and motivational experiences?</w:t>
      </w:r>
    </w:p>
    <w:p w14:paraId="32002FC5" w14:textId="2A2835F7" w:rsidR="00EE73F4" w:rsidRPr="00986F89" w:rsidRDefault="00EE73F4" w:rsidP="00C23E59">
      <w:pPr>
        <w:spacing w:after="240"/>
        <w:jc w:val="center"/>
        <w:rPr>
          <w:rFonts w:ascii="Times New Roman" w:hAnsi="Times New Roman" w:cs="Times New Roman"/>
          <w:b/>
          <w:bCs/>
        </w:rPr>
      </w:pPr>
      <w:r w:rsidRPr="00986F89">
        <w:rPr>
          <w:rFonts w:ascii="Times New Roman" w:hAnsi="Times New Roman" w:cs="Times New Roman"/>
          <w:b/>
          <w:bCs/>
        </w:rPr>
        <w:t>Methods</w:t>
      </w:r>
    </w:p>
    <w:p w14:paraId="39CBC2D8" w14:textId="195906C0" w:rsidR="00D03D8F" w:rsidRPr="00986F89" w:rsidRDefault="00D03D8F" w:rsidP="00C23E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 New Roman" w:hAnsi="Times New Roman" w:cs="Times New Roman"/>
          <w:b/>
        </w:rPr>
      </w:pPr>
      <w:r w:rsidRPr="00986F89">
        <w:rPr>
          <w:rFonts w:ascii="Times New Roman" w:hAnsi="Times New Roman" w:cs="Times New Roman"/>
          <w:b/>
        </w:rPr>
        <w:t>Research Design</w:t>
      </w:r>
    </w:p>
    <w:p w14:paraId="2AD45A78" w14:textId="5033D4B7" w:rsidR="0099666E" w:rsidRPr="00986F89" w:rsidRDefault="00D03D8F" w:rsidP="00C23E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 New Roman" w:hAnsi="Times New Roman" w:cs="Times New Roman"/>
        </w:rPr>
      </w:pPr>
      <w:r w:rsidRPr="00986F89">
        <w:rPr>
          <w:rFonts w:ascii="Times New Roman" w:hAnsi="Times New Roman" w:cs="Times New Roman"/>
        </w:rPr>
        <w:tab/>
      </w:r>
      <w:r w:rsidR="008612C8" w:rsidRPr="00986F89">
        <w:rPr>
          <w:rFonts w:ascii="Times New Roman" w:hAnsi="Times New Roman" w:cs="Times New Roman"/>
        </w:rPr>
        <w:t xml:space="preserve">This study employed a qualitative, interpretive research design to examine how preservice teachers made sense of their learning through sustained reflective journaling. Guided by a constructivist epistemology, the study assumed that meaning is actively constructed through experience and reflection and that preservice teachers’ understandings of teaching are shaped by both personal histories and programmatic contexts </w:t>
      </w:r>
      <w:r w:rsidR="00D307CE">
        <w:rPr>
          <w:rFonts w:ascii="Times New Roman" w:hAnsi="Times New Roman" w:cs="Times New Roman"/>
        </w:rPr>
        <w:fldChar w:fldCharType="begin"/>
      </w:r>
      <w:r w:rsidR="009A2D14">
        <w:rPr>
          <w:rFonts w:ascii="Times New Roman" w:hAnsi="Times New Roman" w:cs="Times New Roman"/>
        </w:rPr>
        <w:instrText xml:space="preserve"> ADDIN ZOTERO_ITEM CSL_CITATION {"citationID":"TJSFNcAs","properties":{"formattedCitation":"(Creswell &amp; Creswell, 2023; Merriam &amp; Tisdell, 2016)","plainCitation":"(Creswell &amp; Creswell, 2023; Merriam &amp; Tisdell, 2016)","noteIndex":0},"citationItems":[{"id":2793,"uris":["http://zotero.org/users/14842315/items/W4436I5M"],"itemData":{"id":2793,"type":"book","publisher":"Sage publications","source":"Google Scholar","title":"Research design: Qualitative, quantitative, and mixed methods approaches","title-short":"Research design","author":[{"family":"Creswell","given":"John W."},{"family":"Creswell","given":"J. David"}],"accessed":{"date-parts":[["2016",9,1]]},"issued":{"date-parts":[["2023"]]}}},{"id":12097,"uris":["http://zotero.org/users/14842315/items/VVJDLH6A"],"itemData":{"id":12097,"type":"book","abstract":"\"This thoroughly revised and updated classic once again presents aguide to understanding, designing and conducting a qualitativeresearch study. The fourth edition retains the reader-friendly, jargon-free style, making the book accessible to both novice and experiencedresearchers. While the book is practical guide to design andimplementation of a qualitative research study, it also helpsreaders understand the theoretical and philosophical underpinningsof this research paradigm. Drawing on the latest literature as well as both authors'experience with conducting and teaching qualitative research, thefourth edition includes new material on case study research andaction research; discussion of online data sources (video, email, skype); updated discussion of data analysis software packages anduses; new discussion of data analysis strategies, includingnarrative analysis and poetic analysis; and a section on multipleways of presenting qualitative research findings. References, examples, and quotes have all been updated throughout the book\"--","collection-title":"The Jossey-Bass higher and adult education series","edition":"Fourth edition","ISBN":"978-1-119-00361-8","language":"eng","number-of-pages":"1","publisher":"John Wiley &amp; Sons","publisher-place":"San Francisco, CA","source":"K10plus ISBN","title":"Qualitative research: a guide to design and implementation","title-short":"Qualitative research","author":[{"family":"Merriam","given":"Sharan B."},{"family":"Tisdell","given":"Elizabeth J."}],"issued":{"date-parts":[["2016"]]}}}],"schema":"https://github.com/citation-style-language/schema/raw/master/csl-citation.json"} </w:instrText>
      </w:r>
      <w:r w:rsidR="00D307CE">
        <w:rPr>
          <w:rFonts w:ascii="Times New Roman" w:hAnsi="Times New Roman" w:cs="Times New Roman"/>
        </w:rPr>
        <w:fldChar w:fldCharType="separate"/>
      </w:r>
      <w:r w:rsidR="009A2D14" w:rsidRPr="009A2D14">
        <w:rPr>
          <w:rFonts w:ascii="Times New Roman" w:hAnsi="Times New Roman" w:cs="Times New Roman"/>
        </w:rPr>
        <w:t>(Creswell &amp; Creswell, 2023; Merriam &amp; Tisdell, 2016)</w:t>
      </w:r>
      <w:r w:rsidR="00D307CE">
        <w:rPr>
          <w:rFonts w:ascii="Times New Roman" w:hAnsi="Times New Roman" w:cs="Times New Roman"/>
        </w:rPr>
        <w:fldChar w:fldCharType="end"/>
      </w:r>
      <w:r w:rsidR="008612C8" w:rsidRPr="00986F89">
        <w:rPr>
          <w:rFonts w:ascii="Times New Roman" w:hAnsi="Times New Roman" w:cs="Times New Roman"/>
        </w:rPr>
        <w:t xml:space="preserve">. </w:t>
      </w:r>
      <w:r w:rsidR="00023C22" w:rsidRPr="00986F89">
        <w:rPr>
          <w:rFonts w:ascii="Times New Roman" w:hAnsi="Times New Roman" w:cs="Times New Roman"/>
        </w:rPr>
        <w:t>The</w:t>
      </w:r>
      <w:r w:rsidR="008612C8" w:rsidRPr="00986F89">
        <w:rPr>
          <w:rFonts w:ascii="Times New Roman" w:hAnsi="Times New Roman" w:cs="Times New Roman"/>
        </w:rPr>
        <w:t xml:space="preserve"> study focused on how participants articulated metacognitive awareness, motivation, and learning transfer as they reflected on instructional experiences across time</w:t>
      </w:r>
      <w:r w:rsidR="00EE73F4" w:rsidRPr="00986F89">
        <w:rPr>
          <w:rFonts w:ascii="Times New Roman" w:hAnsi="Times New Roman" w:cs="Times New Roman"/>
        </w:rPr>
        <w:t>.</w:t>
      </w:r>
    </w:p>
    <w:p w14:paraId="3DA39465" w14:textId="61F26332" w:rsidR="00D03D8F" w:rsidRPr="00986F89" w:rsidRDefault="00D03D8F" w:rsidP="00C23E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 New Roman" w:hAnsi="Times New Roman" w:cs="Times New Roman"/>
          <w:b/>
        </w:rPr>
      </w:pPr>
      <w:r w:rsidRPr="00986F89">
        <w:rPr>
          <w:rFonts w:ascii="Times New Roman" w:hAnsi="Times New Roman" w:cs="Times New Roman"/>
          <w:b/>
        </w:rPr>
        <w:t>Participants</w:t>
      </w:r>
    </w:p>
    <w:p w14:paraId="13AE9AEF" w14:textId="73CCA0BF" w:rsidR="0099666E" w:rsidRPr="00986F89" w:rsidRDefault="00EE73F4" w:rsidP="00C23E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 New Roman" w:hAnsi="Times New Roman" w:cs="Times New Roman"/>
        </w:rPr>
      </w:pPr>
      <w:r w:rsidRPr="00986F89">
        <w:rPr>
          <w:rFonts w:ascii="Times New Roman" w:hAnsi="Times New Roman" w:cs="Times New Roman"/>
        </w:rPr>
        <w:tab/>
      </w:r>
      <w:r w:rsidR="00D03D8F" w:rsidRPr="00986F89">
        <w:rPr>
          <w:rFonts w:ascii="Times New Roman" w:hAnsi="Times New Roman" w:cs="Times New Roman"/>
        </w:rPr>
        <w:t>Participants consisted of a census of all students (</w:t>
      </w:r>
      <w:r w:rsidR="00D03D8F" w:rsidRPr="00986F89">
        <w:rPr>
          <w:rFonts w:ascii="Times New Roman" w:hAnsi="Times New Roman" w:cs="Times New Roman"/>
          <w:i/>
          <w:iCs/>
        </w:rPr>
        <w:t>n</w:t>
      </w:r>
      <w:r w:rsidR="00D03D8F" w:rsidRPr="00986F89">
        <w:rPr>
          <w:rFonts w:ascii="Times New Roman" w:hAnsi="Times New Roman" w:cs="Times New Roman"/>
        </w:rPr>
        <w:t xml:space="preserve"> = 13) enrolled in a </w:t>
      </w:r>
      <w:r w:rsidR="00484AD3" w:rsidRPr="00986F89">
        <w:rPr>
          <w:rFonts w:ascii="Times New Roman" w:hAnsi="Times New Roman" w:cs="Times New Roman"/>
        </w:rPr>
        <w:t>senior level</w:t>
      </w:r>
      <w:r w:rsidR="00D03D8F" w:rsidRPr="00986F89">
        <w:rPr>
          <w:rFonts w:ascii="Times New Roman" w:hAnsi="Times New Roman" w:cs="Times New Roman"/>
        </w:rPr>
        <w:t xml:space="preserve"> agriscience education teaching methods course during the </w:t>
      </w:r>
      <w:r w:rsidR="40D6AFDC" w:rsidRPr="00986F89">
        <w:rPr>
          <w:rFonts w:ascii="Times New Roman" w:hAnsi="Times New Roman" w:cs="Times New Roman"/>
        </w:rPr>
        <w:t>fall</w:t>
      </w:r>
      <w:r w:rsidR="00D03D8F" w:rsidRPr="00986F89">
        <w:rPr>
          <w:rFonts w:ascii="Times New Roman" w:hAnsi="Times New Roman" w:cs="Times New Roman"/>
        </w:rPr>
        <w:t xml:space="preserve"> 2024 semester at a large Midwestern university. This course </w:t>
      </w:r>
      <w:r w:rsidR="000D4E78" w:rsidRPr="00986F89">
        <w:rPr>
          <w:rFonts w:ascii="Times New Roman" w:hAnsi="Times New Roman" w:cs="Times New Roman"/>
        </w:rPr>
        <w:t>was</w:t>
      </w:r>
      <w:r w:rsidR="00D03D8F" w:rsidRPr="00986F89">
        <w:rPr>
          <w:rFonts w:ascii="Times New Roman" w:hAnsi="Times New Roman" w:cs="Times New Roman"/>
        </w:rPr>
        <w:t xml:space="preserve"> the final teaching methods experience prior to student teaching and served as a culminating component of the agriscience education teacher preparation program.</w:t>
      </w:r>
      <w:r w:rsidR="00780BCC" w:rsidRPr="00986F89">
        <w:rPr>
          <w:rFonts w:ascii="Times New Roman" w:hAnsi="Times New Roman" w:cs="Times New Roman"/>
        </w:rPr>
        <w:t xml:space="preserve"> </w:t>
      </w:r>
      <w:r w:rsidR="00D03D8F" w:rsidRPr="00986F89">
        <w:rPr>
          <w:rFonts w:ascii="Times New Roman" w:hAnsi="Times New Roman" w:cs="Times New Roman"/>
        </w:rPr>
        <w:t xml:space="preserve">The course included </w:t>
      </w:r>
      <w:r w:rsidR="00192CD2" w:rsidRPr="00986F89">
        <w:rPr>
          <w:rFonts w:ascii="Times New Roman" w:hAnsi="Times New Roman" w:cs="Times New Roman"/>
        </w:rPr>
        <w:t xml:space="preserve">two </w:t>
      </w:r>
      <w:r w:rsidR="00D03D8F" w:rsidRPr="00986F89">
        <w:rPr>
          <w:rFonts w:ascii="Times New Roman" w:hAnsi="Times New Roman" w:cs="Times New Roman"/>
        </w:rPr>
        <w:t>lectures</w:t>
      </w:r>
      <w:r w:rsidR="009C1F99" w:rsidRPr="00986F89">
        <w:rPr>
          <w:rFonts w:ascii="Times New Roman" w:hAnsi="Times New Roman" w:cs="Times New Roman"/>
        </w:rPr>
        <w:t xml:space="preserve"> a week</w:t>
      </w:r>
      <w:r w:rsidR="00D03D8F" w:rsidRPr="00986F89">
        <w:rPr>
          <w:rFonts w:ascii="Times New Roman" w:hAnsi="Times New Roman" w:cs="Times New Roman"/>
        </w:rPr>
        <w:t xml:space="preserve">, four microteaching experiences (two conducted in </w:t>
      </w:r>
      <w:r w:rsidR="1C571F44" w:rsidRPr="00986F89">
        <w:rPr>
          <w:rFonts w:ascii="Times New Roman" w:hAnsi="Times New Roman" w:cs="Times New Roman"/>
        </w:rPr>
        <w:t xml:space="preserve">in-class </w:t>
      </w:r>
      <w:r w:rsidR="00D03D8F" w:rsidRPr="00986F89">
        <w:rPr>
          <w:rFonts w:ascii="Times New Roman" w:hAnsi="Times New Roman" w:cs="Times New Roman"/>
        </w:rPr>
        <w:t>laboratory settings and two conducted on-site), peer teaching observations, and an immersive teaching experience with diverse learners. These varied instructional contexts provided multiple opportunities for preservice teachers to engage in reflection related to instructional decision-making, classroom management, and professional growth.</w:t>
      </w:r>
      <w:r w:rsidR="00D33DB6" w:rsidRPr="00986F89">
        <w:rPr>
          <w:rFonts w:ascii="Times New Roman" w:hAnsi="Times New Roman" w:cs="Times New Roman"/>
        </w:rPr>
        <w:t xml:space="preserve"> </w:t>
      </w:r>
      <w:r w:rsidR="00D03D8F" w:rsidRPr="00986F89">
        <w:rPr>
          <w:rFonts w:ascii="Times New Roman" w:hAnsi="Times New Roman" w:cs="Times New Roman"/>
        </w:rPr>
        <w:t xml:space="preserve">Of the 13 participants, eight identified as female and five as male. Eleven participants reported prior enrollment in </w:t>
      </w:r>
      <w:r w:rsidR="00D33DB6" w:rsidRPr="00986F89">
        <w:rPr>
          <w:rFonts w:ascii="Times New Roman" w:hAnsi="Times New Roman" w:cs="Times New Roman"/>
        </w:rPr>
        <w:t>SBAE</w:t>
      </w:r>
      <w:r w:rsidR="00D03D8F" w:rsidRPr="00986F89">
        <w:rPr>
          <w:rFonts w:ascii="Times New Roman" w:hAnsi="Times New Roman" w:cs="Times New Roman"/>
        </w:rPr>
        <w:t xml:space="preserve"> courses during secondary school, while two did not. This composition reflects common pathways into </w:t>
      </w:r>
      <w:r w:rsidR="00201F2D" w:rsidRPr="00986F89">
        <w:rPr>
          <w:rFonts w:ascii="Times New Roman" w:hAnsi="Times New Roman" w:cs="Times New Roman"/>
        </w:rPr>
        <w:t>SBAE</w:t>
      </w:r>
      <w:r w:rsidR="00D03D8F" w:rsidRPr="00986F89">
        <w:rPr>
          <w:rFonts w:ascii="Times New Roman" w:hAnsi="Times New Roman" w:cs="Times New Roman"/>
        </w:rPr>
        <w:t>, where preservice teachers often enter preparation programs with substantial prior exposure to the profession.</w:t>
      </w:r>
    </w:p>
    <w:p w14:paraId="5DE23B3D" w14:textId="7DE7DD11" w:rsidR="00D03D8F" w:rsidRPr="00986F89" w:rsidRDefault="00D03D8F" w:rsidP="00C23E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 New Roman" w:hAnsi="Times New Roman" w:cs="Times New Roman"/>
          <w:b/>
          <w:bCs/>
        </w:rPr>
      </w:pPr>
      <w:r w:rsidRPr="00986F89">
        <w:rPr>
          <w:rFonts w:ascii="Times New Roman" w:hAnsi="Times New Roman" w:cs="Times New Roman"/>
          <w:b/>
          <w:bCs/>
        </w:rPr>
        <w:t>Reflective Journaling Protocol</w:t>
      </w:r>
      <w:r w:rsidR="006B5899" w:rsidRPr="00986F89">
        <w:rPr>
          <w:rFonts w:ascii="Times New Roman" w:hAnsi="Times New Roman" w:cs="Times New Roman"/>
          <w:b/>
          <w:bCs/>
        </w:rPr>
        <w:t xml:space="preserve"> and Trustworthiness </w:t>
      </w:r>
    </w:p>
    <w:p w14:paraId="313D1706" w14:textId="6E1B2F2A" w:rsidR="00E042B0" w:rsidRPr="00986F89" w:rsidRDefault="00D03D8F" w:rsidP="00C23E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 New Roman" w:hAnsi="Times New Roman" w:cs="Times New Roman"/>
        </w:rPr>
      </w:pPr>
      <w:r w:rsidRPr="00986F89">
        <w:rPr>
          <w:rFonts w:ascii="Times New Roman" w:hAnsi="Times New Roman" w:cs="Times New Roman"/>
        </w:rPr>
        <w:tab/>
        <w:t>Reflective journal</w:t>
      </w:r>
      <w:r w:rsidR="00DA1B0B" w:rsidRPr="00986F89">
        <w:rPr>
          <w:rFonts w:ascii="Times New Roman" w:hAnsi="Times New Roman" w:cs="Times New Roman"/>
        </w:rPr>
        <w:t>s</w:t>
      </w:r>
      <w:r w:rsidRPr="00986F89">
        <w:rPr>
          <w:rFonts w:ascii="Times New Roman" w:hAnsi="Times New Roman" w:cs="Times New Roman"/>
        </w:rPr>
        <w:t xml:space="preserve"> served as the primary data source. The journal protocol was designed to encourage sustained reflective engagement and to capture preservice teachers’ metacognitive, motivational, and learning transfer experiences across varied instructional contexts and time. Journal prompts were </w:t>
      </w:r>
      <w:r w:rsidR="00E042B0" w:rsidRPr="00986F89">
        <w:rPr>
          <w:rFonts w:ascii="Times New Roman" w:hAnsi="Times New Roman" w:cs="Times New Roman"/>
        </w:rPr>
        <w:t>developed</w:t>
      </w:r>
      <w:r w:rsidRPr="00986F89">
        <w:rPr>
          <w:rFonts w:ascii="Times New Roman" w:hAnsi="Times New Roman" w:cs="Times New Roman"/>
        </w:rPr>
        <w:t xml:space="preserve"> using Johns’ (1994) </w:t>
      </w:r>
      <w:r w:rsidR="00EC384F">
        <w:rPr>
          <w:rFonts w:ascii="Times New Roman" w:hAnsi="Times New Roman" w:cs="Times New Roman"/>
        </w:rPr>
        <w:t>m</w:t>
      </w:r>
      <w:r w:rsidRPr="00986F89">
        <w:rPr>
          <w:rFonts w:ascii="Times New Roman" w:hAnsi="Times New Roman" w:cs="Times New Roman"/>
        </w:rPr>
        <w:t xml:space="preserve">odel of </w:t>
      </w:r>
      <w:r w:rsidR="00EC384F">
        <w:rPr>
          <w:rFonts w:ascii="Times New Roman" w:hAnsi="Times New Roman" w:cs="Times New Roman"/>
        </w:rPr>
        <w:t>r</w:t>
      </w:r>
      <w:r w:rsidRPr="00986F89">
        <w:rPr>
          <w:rFonts w:ascii="Times New Roman" w:hAnsi="Times New Roman" w:cs="Times New Roman"/>
        </w:rPr>
        <w:t>eflection</w:t>
      </w:r>
      <w:r w:rsidR="00022B6C" w:rsidRPr="00986F89">
        <w:rPr>
          <w:rFonts w:ascii="Times New Roman" w:hAnsi="Times New Roman" w:cs="Times New Roman"/>
        </w:rPr>
        <w:t xml:space="preserve"> to create a scaffolded, structured, and sequenced process to </w:t>
      </w:r>
      <w:r w:rsidR="00E042B0" w:rsidRPr="00986F89">
        <w:rPr>
          <w:rFonts w:ascii="Times New Roman" w:hAnsi="Times New Roman" w:cs="Times New Roman"/>
        </w:rPr>
        <w:t>support iterative reflection across instructional settings and time, allowing preservice teachers to revisit experiences, reassess prior interpretations, and articulate emerging insights. Prior to implementation, the reflective journal protocol was reviewed by a panel of four teacher preparation faculty with expertise in reflective practice. The panel evaluated the protocol for clarity, alignment with best practices for reflection, and coherence with the study’s purpose and research questions.</w:t>
      </w:r>
    </w:p>
    <w:p w14:paraId="7232ECF8" w14:textId="48FC7DB7" w:rsidR="0099666E" w:rsidRPr="00986F89" w:rsidRDefault="00D03D8F" w:rsidP="00C23E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 New Roman" w:hAnsi="Times New Roman" w:cs="Times New Roman"/>
        </w:rPr>
      </w:pPr>
      <w:r w:rsidRPr="00986F89">
        <w:rPr>
          <w:rFonts w:ascii="Times New Roman" w:hAnsi="Times New Roman" w:cs="Times New Roman"/>
        </w:rPr>
        <w:tab/>
      </w:r>
      <w:r w:rsidR="00B23E93" w:rsidRPr="00986F89">
        <w:rPr>
          <w:rFonts w:ascii="Times New Roman" w:hAnsi="Times New Roman" w:cs="Times New Roman"/>
        </w:rPr>
        <w:t>The reflective journal</w:t>
      </w:r>
      <w:r w:rsidR="008131C6" w:rsidRPr="00986F89">
        <w:rPr>
          <w:rFonts w:ascii="Times New Roman" w:hAnsi="Times New Roman" w:cs="Times New Roman"/>
        </w:rPr>
        <w:t xml:space="preserve"> booklet was provided to students during the first day of class where reflection assignments and expectations were outlined. P</w:t>
      </w:r>
      <w:r w:rsidRPr="00986F89">
        <w:rPr>
          <w:rFonts w:ascii="Times New Roman" w:hAnsi="Times New Roman" w:cs="Times New Roman"/>
        </w:rPr>
        <w:t xml:space="preserve">articipants completed multiple reflective </w:t>
      </w:r>
      <w:r w:rsidRPr="00986F89">
        <w:rPr>
          <w:rFonts w:ascii="Times New Roman" w:hAnsi="Times New Roman" w:cs="Times New Roman"/>
        </w:rPr>
        <w:lastRenderedPageBreak/>
        <w:t xml:space="preserve">entries aligned with course activities throughout the semester. Each type of reflection was assigned a label corresponding to its timing and instructional context. These included: </w:t>
      </w:r>
      <w:r w:rsidR="65D496A9" w:rsidRPr="00986F89">
        <w:rPr>
          <w:rFonts w:ascii="Times New Roman" w:hAnsi="Times New Roman" w:cs="Times New Roman"/>
        </w:rPr>
        <w:t>l</w:t>
      </w:r>
      <w:r w:rsidRPr="00986F89">
        <w:rPr>
          <w:rFonts w:ascii="Times New Roman" w:hAnsi="Times New Roman" w:cs="Times New Roman"/>
        </w:rPr>
        <w:t>ecture-based reflections addressing three core instructional topics</w:t>
      </w:r>
      <w:r w:rsidR="00F65886" w:rsidRPr="00986F89">
        <w:rPr>
          <w:rFonts w:ascii="Times New Roman" w:hAnsi="Times New Roman" w:cs="Times New Roman"/>
        </w:rPr>
        <w:t xml:space="preserve"> of the student’s choice</w:t>
      </w:r>
      <w:r w:rsidRPr="00986F89">
        <w:rPr>
          <w:rFonts w:ascii="Times New Roman" w:hAnsi="Times New Roman" w:cs="Times New Roman"/>
        </w:rPr>
        <w:t xml:space="preserve"> (LTR1, LTR2, LTR3); </w:t>
      </w:r>
      <w:r w:rsidR="20EE9A16" w:rsidRPr="00986F89">
        <w:rPr>
          <w:rFonts w:ascii="Times New Roman" w:hAnsi="Times New Roman" w:cs="Times New Roman"/>
        </w:rPr>
        <w:t>i</w:t>
      </w:r>
      <w:r w:rsidRPr="00986F89">
        <w:rPr>
          <w:rFonts w:ascii="Times New Roman" w:hAnsi="Times New Roman" w:cs="Times New Roman"/>
        </w:rPr>
        <w:t xml:space="preserve">mmediate “gut reaction” reflections completed directly following laboratory and on-site microteaching experiences (GR1, GR2, GR4, GR5); </w:t>
      </w:r>
      <w:r w:rsidR="58E3BCC2" w:rsidRPr="00986F89">
        <w:rPr>
          <w:rFonts w:ascii="Times New Roman" w:hAnsi="Times New Roman" w:cs="Times New Roman"/>
        </w:rPr>
        <w:t>p</w:t>
      </w:r>
      <w:r w:rsidRPr="00986F89">
        <w:rPr>
          <w:rFonts w:ascii="Times New Roman" w:hAnsi="Times New Roman" w:cs="Times New Roman"/>
        </w:rPr>
        <w:t xml:space="preserve">ost-teaching reflections completed after reviewing video recordings of teaching experiences (TR1, TR2, TR4, TR5); </w:t>
      </w:r>
      <w:r w:rsidR="477C7C70" w:rsidRPr="00986F89">
        <w:rPr>
          <w:rFonts w:ascii="Times New Roman" w:hAnsi="Times New Roman" w:cs="Times New Roman"/>
        </w:rPr>
        <w:t>i</w:t>
      </w:r>
      <w:r w:rsidRPr="00986F89">
        <w:rPr>
          <w:rFonts w:ascii="Times New Roman" w:hAnsi="Times New Roman" w:cs="Times New Roman"/>
        </w:rPr>
        <w:t xml:space="preserve">mmediate and post-teaching reflections following an immersive group teaching experience with diverse learners (GR3, TR3); </w:t>
      </w:r>
      <w:r w:rsidR="7A47DD6E" w:rsidRPr="00986F89">
        <w:rPr>
          <w:rFonts w:ascii="Times New Roman" w:hAnsi="Times New Roman" w:cs="Times New Roman"/>
        </w:rPr>
        <w:t>a</w:t>
      </w:r>
      <w:r w:rsidRPr="00986F89">
        <w:rPr>
          <w:rFonts w:ascii="Times New Roman" w:hAnsi="Times New Roman" w:cs="Times New Roman"/>
        </w:rPr>
        <w:t xml:space="preserve"> delayed reflection completed </w:t>
      </w:r>
      <w:r w:rsidR="00CB3534" w:rsidRPr="00986F89">
        <w:rPr>
          <w:rFonts w:ascii="Times New Roman" w:hAnsi="Times New Roman" w:cs="Times New Roman"/>
        </w:rPr>
        <w:t>four</w:t>
      </w:r>
      <w:r w:rsidRPr="00986F89">
        <w:rPr>
          <w:rFonts w:ascii="Times New Roman" w:hAnsi="Times New Roman" w:cs="Times New Roman"/>
        </w:rPr>
        <w:t xml:space="preserve"> weeks after the immersive teaching experience to support retrospective sense-making (DLR); </w:t>
      </w:r>
      <w:r w:rsidR="4F727C93" w:rsidRPr="00986F89">
        <w:rPr>
          <w:rFonts w:ascii="Times New Roman" w:hAnsi="Times New Roman" w:cs="Times New Roman"/>
        </w:rPr>
        <w:t>p</w:t>
      </w:r>
      <w:r w:rsidRPr="00986F89">
        <w:rPr>
          <w:rFonts w:ascii="Times New Roman" w:hAnsi="Times New Roman" w:cs="Times New Roman"/>
        </w:rPr>
        <w:t>eer reflection entries analyzing classmates’ laboratory teaching experiences (PR1, PR2).</w:t>
      </w:r>
      <w:r w:rsidR="007F19E3" w:rsidRPr="00986F89">
        <w:rPr>
          <w:rFonts w:ascii="Times New Roman" w:hAnsi="Times New Roman" w:cs="Times New Roman"/>
        </w:rPr>
        <w:t xml:space="preserve"> These labels are used throughout the findings section to situate participant excerpts within the timing and context of reflection. </w:t>
      </w:r>
      <w:r w:rsidRPr="00986F89">
        <w:rPr>
          <w:rFonts w:ascii="Times New Roman" w:hAnsi="Times New Roman" w:cs="Times New Roman"/>
        </w:rPr>
        <w:t xml:space="preserve"> </w:t>
      </w:r>
    </w:p>
    <w:p w14:paraId="0653C532" w14:textId="1FCF4774" w:rsidR="006B5899" w:rsidRPr="00986F89" w:rsidRDefault="006B5899" w:rsidP="00C23E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 New Roman" w:hAnsi="Times New Roman" w:cs="Times New Roman"/>
        </w:rPr>
      </w:pPr>
      <w:r w:rsidRPr="00986F89">
        <w:rPr>
          <w:rFonts w:ascii="Times New Roman" w:hAnsi="Times New Roman" w:cs="Times New Roman"/>
        </w:rPr>
        <w:tab/>
        <w:t xml:space="preserve">Trustworthiness was established using strategies consistent with qualitative inquiry </w:t>
      </w:r>
      <w:r w:rsidR="00D307CE">
        <w:rPr>
          <w:rFonts w:ascii="Times New Roman" w:hAnsi="Times New Roman" w:cs="Times New Roman"/>
        </w:rPr>
        <w:fldChar w:fldCharType="begin"/>
      </w:r>
      <w:r w:rsidR="009A2D14">
        <w:rPr>
          <w:rFonts w:ascii="Times New Roman" w:hAnsi="Times New Roman" w:cs="Times New Roman"/>
        </w:rPr>
        <w:instrText xml:space="preserve"> ADDIN ZOTERO_ITEM CSL_CITATION {"citationID":"OfFXxshf","properties":{"formattedCitation":"(Lincoln &amp; Guba, 1985)","plainCitation":"(Lincoln &amp; Guba, 1985)","noteIndex":0},"citationItems":[{"id":9372,"uris":["http://zotero.org/users/14842315/items/6H8B5A5Y"],"itemData":{"id":9372,"type":"book","publisher":"SAGE","publisher-place":"Thousand Oaks","title":"Naturalistic Inquiry","author":[{"family":"Lincoln","given":"Yvonna S"},{"family":"Guba","given":"Egon G."}],"issued":{"date-parts":[["1985"]]}}}],"schema":"https://github.com/citation-style-language/schema/raw/master/csl-citation.json"} </w:instrText>
      </w:r>
      <w:r w:rsidR="00D307CE">
        <w:rPr>
          <w:rFonts w:ascii="Times New Roman" w:hAnsi="Times New Roman" w:cs="Times New Roman"/>
        </w:rPr>
        <w:fldChar w:fldCharType="separate"/>
      </w:r>
      <w:r w:rsidR="00D307CE" w:rsidRPr="00D307CE">
        <w:rPr>
          <w:rFonts w:ascii="Times New Roman" w:hAnsi="Times New Roman" w:cs="Times New Roman"/>
        </w:rPr>
        <w:t>(Lincoln &amp; Guba, 1985)</w:t>
      </w:r>
      <w:r w:rsidR="00D307CE">
        <w:rPr>
          <w:rFonts w:ascii="Times New Roman" w:hAnsi="Times New Roman" w:cs="Times New Roman"/>
        </w:rPr>
        <w:fldChar w:fldCharType="end"/>
      </w:r>
      <w:r w:rsidRPr="00986F89">
        <w:rPr>
          <w:rFonts w:ascii="Times New Roman" w:hAnsi="Times New Roman" w:cs="Times New Roman"/>
        </w:rPr>
        <w:t xml:space="preserve">. Credibility was supported through prolonged engagement with the data across multiple analytic cycles, peer debriefing, and reflexive </w:t>
      </w:r>
      <w:proofErr w:type="spellStart"/>
      <w:r w:rsidRPr="00986F89">
        <w:rPr>
          <w:rFonts w:ascii="Times New Roman" w:hAnsi="Times New Roman" w:cs="Times New Roman"/>
        </w:rPr>
        <w:t>memoing</w:t>
      </w:r>
      <w:proofErr w:type="spellEnd"/>
      <w:r w:rsidR="00F76B94" w:rsidRPr="00986F89">
        <w:rPr>
          <w:rFonts w:ascii="Times New Roman" w:hAnsi="Times New Roman" w:cs="Times New Roman"/>
        </w:rPr>
        <w:t xml:space="preserve"> where we documented our positionalities </w:t>
      </w:r>
      <w:r w:rsidR="0076504D" w:rsidRPr="00986F89">
        <w:rPr>
          <w:rFonts w:ascii="Times New Roman" w:hAnsi="Times New Roman" w:cs="Times New Roman"/>
        </w:rPr>
        <w:t xml:space="preserve">as former SBAE teachers, </w:t>
      </w:r>
      <w:r w:rsidR="003E1450" w:rsidRPr="00986F89">
        <w:rPr>
          <w:rFonts w:ascii="Times New Roman" w:hAnsi="Times New Roman" w:cs="Times New Roman"/>
        </w:rPr>
        <w:t xml:space="preserve">current </w:t>
      </w:r>
      <w:r w:rsidR="00842EFC" w:rsidRPr="00986F89">
        <w:rPr>
          <w:rFonts w:ascii="Times New Roman" w:hAnsi="Times New Roman" w:cs="Times New Roman"/>
        </w:rPr>
        <w:t>agricultural education teacher preparation faculty, and graduate students</w:t>
      </w:r>
      <w:r w:rsidR="000E552A" w:rsidRPr="00986F89">
        <w:rPr>
          <w:rFonts w:ascii="Times New Roman" w:hAnsi="Times New Roman" w:cs="Times New Roman"/>
        </w:rPr>
        <w:t xml:space="preserve"> and</w:t>
      </w:r>
      <w:r w:rsidR="00FC663F" w:rsidRPr="00986F89">
        <w:rPr>
          <w:rFonts w:ascii="Times New Roman" w:hAnsi="Times New Roman" w:cs="Times New Roman"/>
        </w:rPr>
        <w:t xml:space="preserve"> bracketed our </w:t>
      </w:r>
      <w:r w:rsidR="002A1865" w:rsidRPr="00986F89">
        <w:rPr>
          <w:rFonts w:ascii="Times New Roman" w:hAnsi="Times New Roman" w:cs="Times New Roman"/>
        </w:rPr>
        <w:t>experiences and biases</w:t>
      </w:r>
      <w:r w:rsidRPr="00986F89">
        <w:rPr>
          <w:rFonts w:ascii="Times New Roman" w:hAnsi="Times New Roman" w:cs="Times New Roman"/>
        </w:rPr>
        <w:t>. An audit trail documented analytic procedures and key interpretive decisions, enhancing dependability. Thick description of the course context, reflective prompts, and participant experiences supports transferability by enabling readers to assess the relevance of findings to other teacher preparation settings.</w:t>
      </w:r>
      <w:r w:rsidR="00DE585E" w:rsidRPr="00986F89">
        <w:rPr>
          <w:rFonts w:ascii="Times New Roman" w:hAnsi="Times New Roman" w:cs="Times New Roman"/>
        </w:rPr>
        <w:t xml:space="preserve"> </w:t>
      </w:r>
    </w:p>
    <w:p w14:paraId="7D4DFECD" w14:textId="78712141" w:rsidR="00F47266" w:rsidRPr="00986F89" w:rsidRDefault="00F47266" w:rsidP="00C23E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 New Roman" w:hAnsi="Times New Roman" w:cs="Times New Roman"/>
          <w:b/>
          <w:bCs/>
        </w:rPr>
      </w:pPr>
      <w:r w:rsidRPr="00986F89">
        <w:rPr>
          <w:rFonts w:ascii="Times New Roman" w:hAnsi="Times New Roman" w:cs="Times New Roman"/>
          <w:b/>
          <w:bCs/>
        </w:rPr>
        <w:t xml:space="preserve">Data Collection and </w:t>
      </w:r>
      <w:r w:rsidR="006B5899" w:rsidRPr="00986F89">
        <w:rPr>
          <w:rFonts w:ascii="Times New Roman" w:hAnsi="Times New Roman" w:cs="Times New Roman"/>
          <w:b/>
          <w:bCs/>
        </w:rPr>
        <w:t xml:space="preserve">Analysis </w:t>
      </w:r>
    </w:p>
    <w:p w14:paraId="41AB670D" w14:textId="17233B69" w:rsidR="0099666E" w:rsidRPr="00986F89" w:rsidRDefault="00F47266" w:rsidP="00C23E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 New Roman" w:hAnsi="Times New Roman" w:cs="Times New Roman"/>
        </w:rPr>
      </w:pPr>
      <w:r w:rsidRPr="00986F89">
        <w:rPr>
          <w:rFonts w:ascii="Times New Roman" w:hAnsi="Times New Roman" w:cs="Times New Roman"/>
        </w:rPr>
        <w:tab/>
        <w:t>Reflective journals were collected as course artifacts at the conclusion of the semester and analyzed retrospectively. To mitigate potential bias associated with the researchers’ roles within the teacher preparation program, all journals were anonymized and blinded prior to analysis. Treating journals as artifacts allowed the research team to engage with the data as representations of reflective sense-making rather than as evaluative course products.</w:t>
      </w:r>
    </w:p>
    <w:p w14:paraId="145E0D04" w14:textId="5D4EE476" w:rsidR="0099666E" w:rsidRPr="00986F89" w:rsidRDefault="00F47266" w:rsidP="00C23E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 New Roman" w:hAnsi="Times New Roman" w:cs="Times New Roman"/>
        </w:rPr>
      </w:pPr>
      <w:r w:rsidRPr="00986F89">
        <w:rPr>
          <w:rFonts w:ascii="Times New Roman" w:hAnsi="Times New Roman" w:cs="Times New Roman"/>
        </w:rPr>
        <w:tab/>
      </w:r>
      <w:r w:rsidR="00012ED6" w:rsidRPr="00986F89">
        <w:rPr>
          <w:rFonts w:ascii="Times New Roman" w:hAnsi="Times New Roman" w:cs="Times New Roman"/>
        </w:rPr>
        <w:t xml:space="preserve">Data were analyzed using a hybrid thematic analysis that combined theory-informed coding guided by sensitizing constructs (metacognition, transfer, and motivation), with inductive coding to capture unanticipated patterns in the journals, consistent with Fereday and Muir-Cochrane’s </w:t>
      </w:r>
      <w:r w:rsidR="00B55779">
        <w:rPr>
          <w:rFonts w:ascii="Times New Roman" w:hAnsi="Times New Roman" w:cs="Times New Roman"/>
        </w:rPr>
        <w:fldChar w:fldCharType="begin"/>
      </w:r>
      <w:r w:rsidR="009A2D14">
        <w:rPr>
          <w:rFonts w:ascii="Times New Roman" w:hAnsi="Times New Roman" w:cs="Times New Roman"/>
        </w:rPr>
        <w:instrText xml:space="preserve"> ADDIN ZOTERO_ITEM CSL_CITATION {"citationID":"YvlodjuL","properties":{"formattedCitation":"(Fereday &amp; Muir-Cochrane, 2006)","plainCitation":"(Fereday &amp; Muir-Cochrane, 2006)","dontUpdate":true,"noteIndex":0},"citationItems":[{"id":12833,"uris":["http://zotero.org/users/14842315/items/ZXBTT8FC"],"itemData":{"id":12833,"type":"article-journal","abstract":"In this article, the authors describe how they used a hybrid process of inductive and deductive thematic analysis to interpret raw data in a doctoral study on the role of performance feedback in the self-assessment of nursing practice. The methodological approach integrated data-driven codes with theory-driven ones based on the tenets of social phenomenology. The authors present a detailed exemplar of the staged process of data coding and identification of themes. This process demonstrates how analysis of the raw data from interview transcripts and organizational documents progressed toward the identification of overarching themes that captured the phenomenon of performance feedback as described by participants in the study.","container-title":"International Journal of Qualitative Methods","DOI":"10.1177/160940690600500107","ISSN":"1609-4069, 1609-4069","issue":"1","journalAbbreviation":"International Journal of Qualitative Methods","language":"en","license":"https://journals.sagepub.com/page/policies/text-and-data-mining-license","page":"80-92","source":"DOI.org (Crossref)","title":"Demonstrating Rigor Using Thematic Analysis: A Hybrid Approach of Inductive and Deductive Coding and Theme Development","title-short":"Demonstrating Rigor Using Thematic Analysis","volume":"5","author":[{"family":"Fereday","given":"Jennifer"},{"family":"Muir-Cochrane","given":"Eimear"}],"issued":{"date-parts":[["2006",3]]}}}],"schema":"https://github.com/citation-style-language/schema/raw/master/csl-citation.json"} </w:instrText>
      </w:r>
      <w:r w:rsidR="00B55779">
        <w:rPr>
          <w:rFonts w:ascii="Times New Roman" w:hAnsi="Times New Roman" w:cs="Times New Roman"/>
        </w:rPr>
        <w:fldChar w:fldCharType="separate"/>
      </w:r>
      <w:r w:rsidR="00B55779" w:rsidRPr="00B55779">
        <w:rPr>
          <w:rFonts w:ascii="Times New Roman" w:hAnsi="Times New Roman" w:cs="Times New Roman"/>
        </w:rPr>
        <w:t>(2006)</w:t>
      </w:r>
      <w:r w:rsidR="00B55779">
        <w:rPr>
          <w:rFonts w:ascii="Times New Roman" w:hAnsi="Times New Roman" w:cs="Times New Roman"/>
        </w:rPr>
        <w:fldChar w:fldCharType="end"/>
      </w:r>
      <w:r w:rsidR="00B55779">
        <w:rPr>
          <w:rFonts w:ascii="Times New Roman" w:hAnsi="Times New Roman" w:cs="Times New Roman"/>
        </w:rPr>
        <w:t xml:space="preserve"> </w:t>
      </w:r>
      <w:r w:rsidR="00012ED6" w:rsidRPr="00986F89">
        <w:rPr>
          <w:rFonts w:ascii="Times New Roman" w:hAnsi="Times New Roman" w:cs="Times New Roman"/>
        </w:rPr>
        <w:t xml:space="preserve">staged approach to combining deductive and inductive coding and theme development. Identity-related sense-making emerged inductively during analysis rather than functioning as a prespecified coding category. </w:t>
      </w:r>
      <w:r w:rsidRPr="00986F89">
        <w:rPr>
          <w:rFonts w:ascii="Times New Roman" w:hAnsi="Times New Roman" w:cs="Times New Roman"/>
        </w:rPr>
        <w:t xml:space="preserve">Analysis began with repeated readings of the reflective journals to develop familiarity with the data and identify initial codes related to </w:t>
      </w:r>
      <w:r w:rsidR="00012ED6" w:rsidRPr="00986F89">
        <w:rPr>
          <w:rFonts w:ascii="Times New Roman" w:hAnsi="Times New Roman" w:cs="Times New Roman"/>
        </w:rPr>
        <w:t>reflective sense-making.</w:t>
      </w:r>
      <w:r w:rsidR="00C96435" w:rsidRPr="00986F89">
        <w:rPr>
          <w:rFonts w:ascii="Times New Roman" w:hAnsi="Times New Roman" w:cs="Times New Roman"/>
        </w:rPr>
        <w:t xml:space="preserve"> </w:t>
      </w:r>
      <w:r w:rsidRPr="00986F89">
        <w:rPr>
          <w:rFonts w:ascii="Times New Roman" w:hAnsi="Times New Roman" w:cs="Times New Roman"/>
        </w:rPr>
        <w:t xml:space="preserve">The research team engaged in collaborative coding and reflexive </w:t>
      </w:r>
      <w:proofErr w:type="spellStart"/>
      <w:r w:rsidRPr="00986F89">
        <w:rPr>
          <w:rFonts w:ascii="Times New Roman" w:hAnsi="Times New Roman" w:cs="Times New Roman"/>
        </w:rPr>
        <w:t>memoing</w:t>
      </w:r>
      <w:proofErr w:type="spellEnd"/>
      <w:r w:rsidRPr="00986F89">
        <w:rPr>
          <w:rFonts w:ascii="Times New Roman" w:hAnsi="Times New Roman" w:cs="Times New Roman"/>
        </w:rPr>
        <w:t xml:space="preserve"> throughout the analytic process. Early coding was conducted on a shared journal to establish interpretive alignment and surface assumptions guiding analytic decisions. Remaining journals were coded iteratively, with regular analytic discussions used to refine codes, examine patterns across participants, and identify moments of insight, tension, or developmental change.</w:t>
      </w:r>
      <w:r w:rsidR="00E807E4" w:rsidRPr="00986F89">
        <w:rPr>
          <w:rFonts w:ascii="Times New Roman" w:hAnsi="Times New Roman" w:cs="Times New Roman"/>
        </w:rPr>
        <w:t xml:space="preserve"> </w:t>
      </w:r>
      <w:r w:rsidRPr="00986F89">
        <w:rPr>
          <w:rFonts w:ascii="Times New Roman" w:hAnsi="Times New Roman" w:cs="Times New Roman"/>
        </w:rPr>
        <w:t>Codes were progressively synthesized into categories and themes through constant comparison across reflective entries and participants. Reflexive memos documented analytic decisions, emerging interpretations, and researcher positionality, supporting transparency and theoretical coherence throughout analysis.</w:t>
      </w:r>
    </w:p>
    <w:p w14:paraId="12C1DE69" w14:textId="77777777" w:rsidR="00EE73F4" w:rsidRPr="00986F89" w:rsidRDefault="00EE73F4" w:rsidP="00C23E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jc w:val="center"/>
        <w:rPr>
          <w:rFonts w:ascii="Times New Roman" w:hAnsi="Times New Roman" w:cs="Times New Roman"/>
          <w:b/>
          <w:bCs/>
          <w:color w:val="262626"/>
        </w:rPr>
      </w:pPr>
      <w:r w:rsidRPr="00986F89">
        <w:rPr>
          <w:rFonts w:ascii="Times New Roman" w:hAnsi="Times New Roman" w:cs="Times New Roman"/>
          <w:b/>
          <w:color w:val="262626" w:themeColor="text1" w:themeTint="D9"/>
        </w:rPr>
        <w:lastRenderedPageBreak/>
        <w:t>Results/Findings</w:t>
      </w:r>
    </w:p>
    <w:p w14:paraId="193A3D28" w14:textId="66FAB75D" w:rsidR="00D266A0" w:rsidRPr="00986F89" w:rsidRDefault="000A600B" w:rsidP="00C23E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 New Roman" w:hAnsi="Times New Roman" w:cs="Times New Roman"/>
          <w:color w:val="262626"/>
        </w:rPr>
      </w:pPr>
      <w:r w:rsidRPr="00986F89">
        <w:rPr>
          <w:rFonts w:ascii="Times New Roman" w:hAnsi="Times New Roman" w:cs="Times New Roman"/>
          <w:color w:val="262626"/>
        </w:rPr>
        <w:tab/>
      </w:r>
      <w:r w:rsidR="00556FDE" w:rsidRPr="00986F89">
        <w:rPr>
          <w:rFonts w:ascii="Times New Roman" w:hAnsi="Times New Roman" w:cs="Times New Roman"/>
          <w:color w:val="262626"/>
        </w:rPr>
        <w:t>Reflective journals illuminated patterns of preservice teachers’ metacognitive sense-making and identity-related positioning during microteaching experiences</w:t>
      </w:r>
      <w:r w:rsidR="00954F9C" w:rsidRPr="00986F89">
        <w:rPr>
          <w:rFonts w:ascii="Times New Roman" w:hAnsi="Times New Roman" w:cs="Times New Roman"/>
          <w:color w:val="262626"/>
        </w:rPr>
        <w:t xml:space="preserve">. </w:t>
      </w:r>
      <w:r w:rsidR="00C23E59" w:rsidRPr="00C23E59">
        <w:rPr>
          <w:rFonts w:ascii="Times New Roman" w:hAnsi="Times New Roman" w:cs="Times New Roman"/>
          <w:color w:val="262626"/>
        </w:rPr>
        <w:t>Although metacognitive sense-making was most explicit in the journals, motivational and transfer-related reasoning surfaced when participants reflected on persistence, confidence, emotional response, and cross-context adaptation</w:t>
      </w:r>
      <w:r w:rsidR="00954F9C" w:rsidRPr="00986F89">
        <w:rPr>
          <w:rFonts w:ascii="Times New Roman" w:hAnsi="Times New Roman" w:cs="Times New Roman"/>
          <w:color w:val="262626"/>
        </w:rPr>
        <w:t xml:space="preserve">. </w:t>
      </w:r>
      <w:r w:rsidR="006B5899" w:rsidRPr="00986F89">
        <w:rPr>
          <w:rFonts w:ascii="Times New Roman" w:hAnsi="Times New Roman" w:cs="Times New Roman"/>
          <w:color w:val="262626" w:themeColor="text1" w:themeTint="D9"/>
        </w:rPr>
        <w:t xml:space="preserve">Two central themes emerged: (1) </w:t>
      </w:r>
      <w:r w:rsidR="006B5899" w:rsidRPr="00986F89">
        <w:rPr>
          <w:rFonts w:ascii="Times New Roman" w:hAnsi="Times New Roman" w:cs="Times New Roman"/>
          <w:i/>
          <w:color w:val="262626" w:themeColor="text1" w:themeTint="D9"/>
        </w:rPr>
        <w:t>Milestones as Reflective Growth Events</w:t>
      </w:r>
      <w:r w:rsidR="006B5899" w:rsidRPr="00986F89">
        <w:rPr>
          <w:rFonts w:ascii="Times New Roman" w:hAnsi="Times New Roman" w:cs="Times New Roman"/>
          <w:color w:val="262626" w:themeColor="text1" w:themeTint="D9"/>
        </w:rPr>
        <w:t xml:space="preserve"> and (2) </w:t>
      </w:r>
      <w:r w:rsidR="006B5899" w:rsidRPr="00986F89">
        <w:rPr>
          <w:rFonts w:ascii="Times New Roman" w:hAnsi="Times New Roman" w:cs="Times New Roman"/>
          <w:i/>
          <w:color w:val="262626" w:themeColor="text1" w:themeTint="D9"/>
        </w:rPr>
        <w:t>Constructing a Professional Identity Through Reflection</w:t>
      </w:r>
      <w:r w:rsidRPr="00986F89">
        <w:rPr>
          <w:rFonts w:ascii="Times New Roman" w:hAnsi="Times New Roman" w:cs="Times New Roman"/>
          <w:i/>
          <w:color w:val="262626" w:themeColor="text1" w:themeTint="D9"/>
        </w:rPr>
        <w:t>.</w:t>
      </w:r>
    </w:p>
    <w:p w14:paraId="2869B972" w14:textId="2C4975D5" w:rsidR="000A600B" w:rsidRPr="00986F89" w:rsidRDefault="000A600B" w:rsidP="00C23E5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rFonts w:ascii="Times New Roman" w:hAnsi="Times New Roman" w:cs="Times New Roman"/>
          <w:b/>
          <w:bCs/>
          <w:color w:val="262626"/>
        </w:rPr>
      </w:pPr>
      <w:r w:rsidRPr="00986F89">
        <w:rPr>
          <w:rFonts w:ascii="Times New Roman" w:hAnsi="Times New Roman" w:cs="Times New Roman"/>
          <w:b/>
          <w:color w:val="262626" w:themeColor="text1" w:themeTint="D9"/>
        </w:rPr>
        <w:t xml:space="preserve">Theme 1: Milestones as Reflective Growth Events      </w:t>
      </w:r>
    </w:p>
    <w:p w14:paraId="06ECFA13" w14:textId="1DC880A4" w:rsidR="00D266A0" w:rsidRPr="00986F89" w:rsidRDefault="00941F4A" w:rsidP="00C23E59">
      <w:pPr>
        <w:spacing w:after="240"/>
        <w:ind w:firstLine="720"/>
        <w:rPr>
          <w:rFonts w:ascii="Times New Roman" w:hAnsi="Times New Roman" w:cs="Times New Roman"/>
        </w:rPr>
      </w:pPr>
      <w:r w:rsidRPr="00986F89">
        <w:rPr>
          <w:rFonts w:ascii="Times New Roman" w:hAnsi="Times New Roman" w:cs="Times New Roman"/>
        </w:rPr>
        <w:t xml:space="preserve">Milestones as reflective growth events represent moments when preservice teachers moved beyond surface description to interpret experience, revise thinking, and </w:t>
      </w:r>
      <w:r w:rsidR="003E1DBF" w:rsidRPr="00986F89">
        <w:rPr>
          <w:rFonts w:ascii="Times New Roman" w:hAnsi="Times New Roman" w:cs="Times New Roman"/>
        </w:rPr>
        <w:t>reframe their understanding</w:t>
      </w:r>
      <w:r w:rsidRPr="00986F89">
        <w:rPr>
          <w:rFonts w:ascii="Times New Roman" w:hAnsi="Times New Roman" w:cs="Times New Roman"/>
        </w:rPr>
        <w:t xml:space="preserve"> across </w:t>
      </w:r>
      <w:r w:rsidR="003E1DBF" w:rsidRPr="00986F89">
        <w:rPr>
          <w:rFonts w:ascii="Times New Roman" w:hAnsi="Times New Roman" w:cs="Times New Roman"/>
        </w:rPr>
        <w:t xml:space="preserve">instructional </w:t>
      </w:r>
      <w:r w:rsidRPr="00986F89">
        <w:rPr>
          <w:rFonts w:ascii="Times New Roman" w:hAnsi="Times New Roman" w:cs="Times New Roman"/>
        </w:rPr>
        <w:t>contexts. Three subthemes characterized these growth events: comparison-based reflection, layered reflection, and emotion as reflection</w:t>
      </w:r>
      <w:r w:rsidR="000A600B" w:rsidRPr="00986F89">
        <w:rPr>
          <w:rFonts w:ascii="Times New Roman" w:hAnsi="Times New Roman" w:cs="Times New Roman"/>
        </w:rPr>
        <w:t xml:space="preserve">. </w:t>
      </w:r>
    </w:p>
    <w:p w14:paraId="30FB4357" w14:textId="6A48D3A9" w:rsidR="000A600B" w:rsidRPr="004204E2" w:rsidRDefault="000A600B" w:rsidP="00C23E59">
      <w:pPr>
        <w:spacing w:after="240"/>
        <w:rPr>
          <w:rFonts w:ascii="Times New Roman" w:hAnsi="Times New Roman" w:cs="Times New Roman"/>
        </w:rPr>
      </w:pPr>
      <w:r w:rsidRPr="5FBD92D4">
        <w:rPr>
          <w:rFonts w:ascii="Times New Roman" w:hAnsi="Times New Roman" w:cs="Times New Roman"/>
          <w:b/>
          <w:bCs/>
        </w:rPr>
        <w:t>Subtheme 1: Comparison-Based Reflection</w:t>
      </w:r>
      <w:r w:rsidRPr="5FBD92D4">
        <w:rPr>
          <w:rFonts w:ascii="Times New Roman" w:hAnsi="Times New Roman" w:cs="Times New Roman"/>
        </w:rPr>
        <w:t xml:space="preserve"> </w:t>
      </w:r>
    </w:p>
    <w:p w14:paraId="325331D4" w14:textId="137678D3" w:rsidR="000A600B" w:rsidRPr="00986F89" w:rsidRDefault="000A600B" w:rsidP="00C23E59">
      <w:pPr>
        <w:spacing w:after="240"/>
        <w:ind w:firstLine="720"/>
        <w:rPr>
          <w:rFonts w:ascii="Times New Roman" w:hAnsi="Times New Roman" w:cs="Times New Roman"/>
        </w:rPr>
      </w:pPr>
      <w:r w:rsidRPr="00986F89">
        <w:rPr>
          <w:rFonts w:ascii="Times New Roman" w:hAnsi="Times New Roman" w:cs="Times New Roman"/>
          <w:i/>
          <w:iCs/>
        </w:rPr>
        <w:t>Comparison-based reflection</w:t>
      </w:r>
      <w:r w:rsidRPr="00986F89">
        <w:rPr>
          <w:rFonts w:ascii="Times New Roman" w:hAnsi="Times New Roman" w:cs="Times New Roman"/>
        </w:rPr>
        <w:t xml:space="preserve"> </w:t>
      </w:r>
      <w:r w:rsidR="003450C3">
        <w:rPr>
          <w:rFonts w:ascii="Times New Roman" w:hAnsi="Times New Roman" w:cs="Times New Roman"/>
        </w:rPr>
        <w:t>e</w:t>
      </w:r>
      <w:r w:rsidR="001D5FB2" w:rsidRPr="001D5FB2">
        <w:rPr>
          <w:rFonts w:ascii="Times New Roman" w:hAnsi="Times New Roman" w:cs="Times New Roman"/>
        </w:rPr>
        <w:t>merged as an initial entry point into metacognitive growth, supporting preservice teachers’ awareness of change across instructional experiences. By comparing later teaching experiences to earlier attempts, participants assessed instructional decisions, monitored student responses, and revised perceptions of teaching effectiveness. These comparisons enabled preservice teachers to identify challenges and consider adjustments</w:t>
      </w:r>
      <w:r w:rsidR="000D6EDC">
        <w:rPr>
          <w:rFonts w:ascii="Times New Roman" w:hAnsi="Times New Roman" w:cs="Times New Roman"/>
        </w:rPr>
        <w:t xml:space="preserve">. </w:t>
      </w:r>
    </w:p>
    <w:p w14:paraId="377B08C7" w14:textId="64C525EB" w:rsidR="00B91581" w:rsidRDefault="00D447AF" w:rsidP="00C23E59">
      <w:pPr>
        <w:spacing w:after="240"/>
        <w:ind w:firstLine="720"/>
        <w:rPr>
          <w:rFonts w:ascii="Times New Roman" w:hAnsi="Times New Roman" w:cs="Times New Roman"/>
        </w:rPr>
      </w:pPr>
      <w:r w:rsidRPr="00D447AF">
        <w:rPr>
          <w:rFonts w:ascii="Times New Roman" w:hAnsi="Times New Roman" w:cs="Times New Roman"/>
        </w:rPr>
        <w:t>Emma’s reflections illustrate how comparison supported shifts in instructional confidence across successive teaching experiences. Following her first lesson, she wrote, “I felt like it went awful. I didn’t get to finish my lesson. I spent too much time talking and doing small activities… I was a nervous wreck” (GR1). After her second teaching experience, she reflected, “I feel like I did well in making my students on task. I felt more confident in my lesson” (GR2), indicating a reevaluation of instructional effectiveness relative to her earlier performance. Josh articulated this comparative process more explicitly, linking improved lesson flow and engagement to insights gained from prior experience: “[The first on-site lesson] helped me get a feel for the classroom set up and the students. I was more prepared to move around the room and engage students during the second lesson” (TR5).</w:t>
      </w:r>
    </w:p>
    <w:p w14:paraId="08155F3C" w14:textId="6AE2CF86" w:rsidR="00BF0414" w:rsidRDefault="00D447AF" w:rsidP="00C23E59">
      <w:pPr>
        <w:spacing w:after="240"/>
        <w:ind w:firstLine="720"/>
        <w:rPr>
          <w:rFonts w:ascii="Times New Roman" w:hAnsi="Times New Roman" w:cs="Times New Roman"/>
        </w:rPr>
      </w:pPr>
      <w:r w:rsidRPr="00D447AF">
        <w:rPr>
          <w:rFonts w:ascii="Times New Roman" w:hAnsi="Times New Roman" w:cs="Times New Roman"/>
        </w:rPr>
        <w:t>Katie’s reflections further demonstrate how comparison supported self-assessment while also revealing limits in instructional reasoning. After one lesson, she noted, “My gut reaction is that the lesson went well, and the students stayed engaged throughout” (GR4). Following a later lesson, she contrasted this experience, writing, “It did not go as well as my others. The students had no desire to speak… Things I would change is to have a more engaging activity” (GR5). In a subsequent reflection, she reiterated this interpretation, explaining that students “didn’t enjoy the lesson because it was not something that excited them” (TR5). Across these reflections, Katie consistently framed improvement in terms of engagement and participation, identifying surface-level adjustments without examining instructional purpose or learning outcomes.</w:t>
      </w:r>
    </w:p>
    <w:p w14:paraId="6FC1CB57" w14:textId="6CE0B077" w:rsidR="00277B22" w:rsidRPr="00986F89" w:rsidRDefault="00277B22" w:rsidP="00C23E59">
      <w:pPr>
        <w:spacing w:after="240"/>
        <w:ind w:firstLine="720"/>
        <w:rPr>
          <w:rFonts w:ascii="Times New Roman" w:hAnsi="Times New Roman" w:cs="Times New Roman"/>
        </w:rPr>
      </w:pPr>
      <w:r w:rsidRPr="00277B22">
        <w:rPr>
          <w:rFonts w:ascii="Times New Roman" w:hAnsi="Times New Roman" w:cs="Times New Roman"/>
        </w:rPr>
        <w:t xml:space="preserve">Overall, comparison-based reflection supported early metacognitive monitoring by making variation across teaching experiences visible. However, comparison alone rarely </w:t>
      </w:r>
      <w:r w:rsidRPr="00277B22">
        <w:rPr>
          <w:rFonts w:ascii="Times New Roman" w:hAnsi="Times New Roman" w:cs="Times New Roman"/>
        </w:rPr>
        <w:lastRenderedPageBreak/>
        <w:t>prompted sustained examination of instructional intent, learner thinking, or pedagogical reasoning without additional reflective layering or emotionally salient disruption.</w:t>
      </w:r>
    </w:p>
    <w:p w14:paraId="60246882" w14:textId="689ABC78" w:rsidR="000A600B" w:rsidRPr="004204E2" w:rsidRDefault="000A600B" w:rsidP="00C23E59">
      <w:pPr>
        <w:spacing w:after="240"/>
        <w:rPr>
          <w:rFonts w:ascii="Times New Roman" w:hAnsi="Times New Roman" w:cs="Times New Roman"/>
        </w:rPr>
      </w:pPr>
      <w:r w:rsidRPr="004204E2">
        <w:rPr>
          <w:rFonts w:ascii="Times New Roman" w:hAnsi="Times New Roman" w:cs="Times New Roman"/>
          <w:b/>
          <w:bCs/>
        </w:rPr>
        <w:t xml:space="preserve">Subtheme </w:t>
      </w:r>
      <w:r w:rsidR="00FA7262" w:rsidRPr="004204E2">
        <w:rPr>
          <w:rFonts w:ascii="Times New Roman" w:hAnsi="Times New Roman" w:cs="Times New Roman"/>
          <w:b/>
          <w:bCs/>
        </w:rPr>
        <w:t>2</w:t>
      </w:r>
      <w:r w:rsidRPr="004204E2">
        <w:rPr>
          <w:rFonts w:ascii="Times New Roman" w:hAnsi="Times New Roman" w:cs="Times New Roman"/>
          <w:b/>
          <w:bCs/>
        </w:rPr>
        <w:t>: Layered Reflection</w:t>
      </w:r>
      <w:r w:rsidRPr="004204E2">
        <w:rPr>
          <w:rFonts w:ascii="Times New Roman" w:hAnsi="Times New Roman" w:cs="Times New Roman"/>
        </w:rPr>
        <w:t xml:space="preserve"> </w:t>
      </w:r>
    </w:p>
    <w:p w14:paraId="7C5039F4" w14:textId="2E37C9DB" w:rsidR="00CC1FC9" w:rsidRPr="00986F89" w:rsidRDefault="00CC1FC9" w:rsidP="00C23E59">
      <w:pPr>
        <w:spacing w:after="240"/>
        <w:ind w:firstLine="720"/>
        <w:rPr>
          <w:rFonts w:ascii="Times New Roman" w:hAnsi="Times New Roman" w:cs="Times New Roman"/>
        </w:rPr>
      </w:pPr>
      <w:r w:rsidRPr="00986F89">
        <w:rPr>
          <w:rFonts w:ascii="Times New Roman" w:hAnsi="Times New Roman" w:cs="Times New Roman"/>
        </w:rPr>
        <w:t xml:space="preserve">Layered reflection consisted of a recursive process of meaning-making across multiple assignments and weeks, in which preservice teachers revisited the same instructional moments with increasing depth over time. </w:t>
      </w:r>
      <w:r w:rsidR="00CA0905" w:rsidRPr="00986F89">
        <w:rPr>
          <w:rFonts w:ascii="Times New Roman" w:hAnsi="Times New Roman" w:cs="Times New Roman"/>
        </w:rPr>
        <w:t>M</w:t>
      </w:r>
      <w:r w:rsidRPr="00986F89">
        <w:rPr>
          <w:rFonts w:ascii="Times New Roman" w:hAnsi="Times New Roman" w:cs="Times New Roman"/>
        </w:rPr>
        <w:t>etacognitive insight often surfaced later, after students had gained temporal distance, instructional language, or confidence through coursework and teaching experiences.</w:t>
      </w:r>
    </w:p>
    <w:p w14:paraId="350A70EC" w14:textId="0E6367AA" w:rsidR="00CC1FC9" w:rsidRPr="00986F89" w:rsidRDefault="00CC1FC9" w:rsidP="00C23E59">
      <w:pPr>
        <w:spacing w:after="240"/>
        <w:ind w:firstLine="720"/>
        <w:rPr>
          <w:rFonts w:ascii="Times New Roman" w:hAnsi="Times New Roman" w:cs="Times New Roman"/>
        </w:rPr>
      </w:pPr>
      <w:r w:rsidRPr="00986F89">
        <w:rPr>
          <w:rFonts w:ascii="Times New Roman" w:hAnsi="Times New Roman" w:cs="Times New Roman"/>
        </w:rPr>
        <w:t xml:space="preserve">Alice’s reflections illustrate this layered process. In her immediate post-teaching reflections following an immersive teaching experience with diverse learners (TR3), Alice focused primarily on instructional logistics and teacher movement, noting, “I would provide more space for students to work on task so that I could interact with them more and assist them without making it obvious to the entire group” (TR3). </w:t>
      </w:r>
    </w:p>
    <w:p w14:paraId="538BE36C" w14:textId="1C8E52C2" w:rsidR="00CC1FC9" w:rsidRPr="00986F89" w:rsidRDefault="00CC1FC9" w:rsidP="00C23E59">
      <w:pPr>
        <w:spacing w:after="240"/>
        <w:ind w:firstLine="720"/>
        <w:rPr>
          <w:rFonts w:ascii="Times New Roman" w:hAnsi="Times New Roman" w:cs="Times New Roman"/>
        </w:rPr>
      </w:pPr>
      <w:r w:rsidRPr="00986F89">
        <w:rPr>
          <w:rFonts w:ascii="Times New Roman" w:hAnsi="Times New Roman" w:cs="Times New Roman"/>
        </w:rPr>
        <w:t xml:space="preserve">In contrast, during a delayed reflection completed approximately </w:t>
      </w:r>
      <w:r w:rsidR="00941F4A" w:rsidRPr="00986F89">
        <w:rPr>
          <w:rFonts w:ascii="Times New Roman" w:hAnsi="Times New Roman" w:cs="Times New Roman"/>
        </w:rPr>
        <w:t>four</w:t>
      </w:r>
      <w:r w:rsidRPr="00986F89">
        <w:rPr>
          <w:rFonts w:ascii="Times New Roman" w:hAnsi="Times New Roman" w:cs="Times New Roman"/>
        </w:rPr>
        <w:t xml:space="preserve"> weeks later (DLR), Alice explicitly revisited the same experience with greater analytic depth and temporal awareness. She wrote, “To look back, I would kind of like to know what students’ IEPs or diversities are so that I can make connections between students’ behaviors and needs, compared to what is written on paper” (DLR)</w:t>
      </w:r>
      <w:r w:rsidR="00941F4A" w:rsidRPr="00986F89">
        <w:rPr>
          <w:rFonts w:ascii="Times New Roman" w:hAnsi="Times New Roman" w:cs="Times New Roman"/>
        </w:rPr>
        <w:t>, reflecting</w:t>
      </w:r>
      <w:r w:rsidRPr="00986F89">
        <w:rPr>
          <w:rFonts w:ascii="Times New Roman" w:hAnsi="Times New Roman" w:cs="Times New Roman"/>
        </w:rPr>
        <w:t xml:space="preserve"> a shift from immediate instructional adjustment to metacognitive questioning about learner needs and contextual factors shaping student behavior.</w:t>
      </w:r>
      <w:r w:rsidR="00941F4A" w:rsidRPr="00986F89">
        <w:rPr>
          <w:rFonts w:ascii="Times New Roman" w:hAnsi="Times New Roman" w:cs="Times New Roman"/>
        </w:rPr>
        <w:t xml:space="preserve"> Additionally</w:t>
      </w:r>
      <w:r w:rsidRPr="00986F89">
        <w:rPr>
          <w:rFonts w:ascii="Times New Roman" w:hAnsi="Times New Roman" w:cs="Times New Roman"/>
        </w:rPr>
        <w:t>, she contrasted the supportive culture observed during the immersive experience with other instructional settings, noting that, “when teaching elsewhere and another situation similar appeared, many students got annoyed” (DLR). This cross-context comparison suggests</w:t>
      </w:r>
      <w:r w:rsidR="00941F4A" w:rsidRPr="00986F89">
        <w:rPr>
          <w:rFonts w:ascii="Times New Roman" w:hAnsi="Times New Roman" w:cs="Times New Roman"/>
        </w:rPr>
        <w:t xml:space="preserve"> </w:t>
      </w:r>
      <w:r w:rsidRPr="00986F89">
        <w:rPr>
          <w:rFonts w:ascii="Times New Roman" w:hAnsi="Times New Roman" w:cs="Times New Roman"/>
        </w:rPr>
        <w:t>Alice reframed her understanding of student behavior through experience accumulated over time.</w:t>
      </w:r>
    </w:p>
    <w:p w14:paraId="382C3990" w14:textId="30703131" w:rsidR="00D266A0" w:rsidRPr="00986F89" w:rsidRDefault="00CC1FC9" w:rsidP="00C23E59">
      <w:pPr>
        <w:spacing w:after="240"/>
        <w:ind w:firstLine="720"/>
        <w:rPr>
          <w:rFonts w:ascii="Times New Roman" w:hAnsi="Times New Roman" w:cs="Times New Roman"/>
        </w:rPr>
      </w:pPr>
      <w:r w:rsidRPr="00986F89">
        <w:rPr>
          <w:rFonts w:ascii="Times New Roman" w:hAnsi="Times New Roman" w:cs="Times New Roman"/>
        </w:rPr>
        <w:t xml:space="preserve">Layered reflection, however, was not uniformly progressive across participants. Carol’s video-based reflections illustrate a plateau in reflective depth over time, despite the use of consistent prompts. Early in the semester, Carol’s reflections demonstrated specific self-observation and critique, such as noting nervousness, pacing, and verbal habits during instruction (TR1). As the semester progressed, her reflections became increasingly general or procedural. By TR4, Carol’s response focused primarily on teacher movement </w:t>
      </w:r>
      <w:r w:rsidR="00941F4A" w:rsidRPr="00986F89">
        <w:rPr>
          <w:rFonts w:ascii="Times New Roman" w:hAnsi="Times New Roman" w:cs="Times New Roman"/>
        </w:rPr>
        <w:t xml:space="preserve">and </w:t>
      </w:r>
      <w:r w:rsidRPr="00986F89">
        <w:rPr>
          <w:rFonts w:ascii="Times New Roman" w:hAnsi="Times New Roman" w:cs="Times New Roman"/>
        </w:rPr>
        <w:t>encouragement</w:t>
      </w:r>
      <w:r w:rsidR="00941F4A" w:rsidRPr="00986F89">
        <w:rPr>
          <w:rFonts w:ascii="Times New Roman" w:hAnsi="Times New Roman" w:cs="Times New Roman"/>
        </w:rPr>
        <w:t xml:space="preserve"> or external constraints</w:t>
      </w:r>
      <w:r w:rsidRPr="00986F89">
        <w:rPr>
          <w:rFonts w:ascii="Times New Roman" w:hAnsi="Times New Roman" w:cs="Times New Roman"/>
        </w:rPr>
        <w:t>, without reference to student learning or instructional decision-making.</w:t>
      </w:r>
      <w:r w:rsidR="00941F4A" w:rsidRPr="00986F89">
        <w:rPr>
          <w:rFonts w:ascii="Times New Roman" w:hAnsi="Times New Roman" w:cs="Times New Roman"/>
        </w:rPr>
        <w:t xml:space="preserve"> </w:t>
      </w:r>
      <w:r w:rsidRPr="00986F89">
        <w:rPr>
          <w:rFonts w:ascii="Times New Roman" w:hAnsi="Times New Roman" w:cs="Times New Roman"/>
        </w:rPr>
        <w:t>In her final video reflection, she wrote, “I felt/looked rushed because of the time… I was trying to get through the most important pieces of the lesson” (TR5). Additional comments accompanying her video reviews shifted from early, specific self-assessment to minimal or absent reflection, including responses such as “I have none” (TR4) or generalized reassurance that improvement would occur with time and practice (TR5). These patterns indicate variability in how reflective practices were sustained across the semester, even when reflective prompts remained consistent.</w:t>
      </w:r>
    </w:p>
    <w:p w14:paraId="50BED637" w14:textId="4CC8387F" w:rsidR="000A600B" w:rsidRPr="004204E2" w:rsidRDefault="000A600B" w:rsidP="00C23E59">
      <w:pPr>
        <w:spacing w:after="240"/>
        <w:rPr>
          <w:rFonts w:ascii="Times New Roman" w:hAnsi="Times New Roman" w:cs="Times New Roman"/>
          <w:b/>
          <w:bCs/>
        </w:rPr>
      </w:pPr>
      <w:r w:rsidRPr="004204E2">
        <w:rPr>
          <w:rFonts w:ascii="Times New Roman" w:hAnsi="Times New Roman" w:cs="Times New Roman"/>
          <w:b/>
          <w:bCs/>
        </w:rPr>
        <w:t xml:space="preserve">Subtheme 3: Emotion as Reflection </w:t>
      </w:r>
    </w:p>
    <w:p w14:paraId="1BC8E754" w14:textId="32B5AB27" w:rsidR="00264CB5" w:rsidRPr="00986F89" w:rsidRDefault="00264CB5" w:rsidP="00C23E59">
      <w:pPr>
        <w:autoSpaceDE w:val="0"/>
        <w:autoSpaceDN w:val="0"/>
        <w:adjustRightInd w:val="0"/>
        <w:spacing w:after="240"/>
        <w:ind w:firstLine="720"/>
        <w:rPr>
          <w:rFonts w:ascii="Times New Roman" w:hAnsi="Times New Roman" w:cs="Times New Roman"/>
        </w:rPr>
      </w:pPr>
      <w:r w:rsidRPr="00986F89">
        <w:rPr>
          <w:rFonts w:ascii="Times New Roman" w:hAnsi="Times New Roman" w:cs="Times New Roman"/>
        </w:rPr>
        <w:t xml:space="preserve">Emotion as reflection was evident in </w:t>
      </w:r>
      <w:r w:rsidR="005C52A9" w:rsidRPr="00986F89">
        <w:rPr>
          <w:rFonts w:ascii="Times New Roman" w:hAnsi="Times New Roman" w:cs="Times New Roman"/>
        </w:rPr>
        <w:t>how emotional responses functioned</w:t>
      </w:r>
      <w:r w:rsidRPr="00986F89">
        <w:rPr>
          <w:rFonts w:ascii="Times New Roman" w:hAnsi="Times New Roman" w:cs="Times New Roman"/>
        </w:rPr>
        <w:t xml:space="preserve"> as </w:t>
      </w:r>
      <w:r w:rsidR="005C52A9" w:rsidRPr="00986F89">
        <w:rPr>
          <w:rFonts w:ascii="Times New Roman" w:hAnsi="Times New Roman" w:cs="Times New Roman"/>
        </w:rPr>
        <w:t>catalysts</w:t>
      </w:r>
      <w:r w:rsidRPr="00986F89">
        <w:rPr>
          <w:rFonts w:ascii="Times New Roman" w:hAnsi="Times New Roman" w:cs="Times New Roman"/>
        </w:rPr>
        <w:t xml:space="preserve"> for metacognitive processing. Students frequently </w:t>
      </w:r>
      <w:proofErr w:type="gramStart"/>
      <w:r w:rsidR="005C52A9" w:rsidRPr="00986F89">
        <w:rPr>
          <w:rFonts w:ascii="Times New Roman" w:hAnsi="Times New Roman" w:cs="Times New Roman"/>
        </w:rPr>
        <w:t>drew on</w:t>
      </w:r>
      <w:proofErr w:type="gramEnd"/>
      <w:r w:rsidR="005C52A9" w:rsidRPr="00986F89">
        <w:rPr>
          <w:rFonts w:ascii="Times New Roman" w:hAnsi="Times New Roman" w:cs="Times New Roman"/>
        </w:rPr>
        <w:t xml:space="preserve"> emotions such as</w:t>
      </w:r>
      <w:r w:rsidRPr="00986F89">
        <w:rPr>
          <w:rFonts w:ascii="Times New Roman" w:hAnsi="Times New Roman" w:cs="Times New Roman"/>
        </w:rPr>
        <w:t xml:space="preserve"> anxiety, pride, frustration, and surprise to interpret teaching competence, student engagement, and evolving </w:t>
      </w:r>
      <w:r w:rsidRPr="00986F89">
        <w:rPr>
          <w:rFonts w:ascii="Times New Roman" w:hAnsi="Times New Roman" w:cs="Times New Roman"/>
        </w:rPr>
        <w:lastRenderedPageBreak/>
        <w:t>assumptions about themselves and their learners.</w:t>
      </w:r>
      <w:r w:rsidR="00837543" w:rsidRPr="00986F89">
        <w:rPr>
          <w:rFonts w:ascii="Times New Roman" w:hAnsi="Times New Roman" w:cs="Times New Roman"/>
        </w:rPr>
        <w:t xml:space="preserve"> </w:t>
      </w:r>
      <w:r w:rsidR="005C52A9" w:rsidRPr="00986F89">
        <w:rPr>
          <w:rFonts w:ascii="Times New Roman" w:hAnsi="Times New Roman" w:cs="Times New Roman"/>
        </w:rPr>
        <w:t xml:space="preserve">These emotional responses were </w:t>
      </w:r>
      <w:r w:rsidRPr="00986F89">
        <w:rPr>
          <w:rFonts w:ascii="Times New Roman" w:hAnsi="Times New Roman" w:cs="Times New Roman"/>
        </w:rPr>
        <w:t xml:space="preserve">often </w:t>
      </w:r>
      <w:r w:rsidR="005C52A9" w:rsidRPr="00986F89">
        <w:rPr>
          <w:rFonts w:ascii="Times New Roman" w:hAnsi="Times New Roman" w:cs="Times New Roman"/>
        </w:rPr>
        <w:t>prompted</w:t>
      </w:r>
      <w:r w:rsidRPr="00986F89">
        <w:rPr>
          <w:rFonts w:ascii="Times New Roman" w:hAnsi="Times New Roman" w:cs="Times New Roman"/>
        </w:rPr>
        <w:t xml:space="preserve"> by contrasts between expectation and experience</w:t>
      </w:r>
      <w:r w:rsidR="005C52A9" w:rsidRPr="00986F89">
        <w:rPr>
          <w:rFonts w:ascii="Times New Roman" w:hAnsi="Times New Roman" w:cs="Times New Roman"/>
        </w:rPr>
        <w:t>, particularly when prior</w:t>
      </w:r>
      <w:r w:rsidRPr="00986F89">
        <w:rPr>
          <w:rFonts w:ascii="Times New Roman" w:hAnsi="Times New Roman" w:cs="Times New Roman"/>
        </w:rPr>
        <w:t xml:space="preserve"> assumptions </w:t>
      </w:r>
      <w:r w:rsidR="005C52A9" w:rsidRPr="00986F89">
        <w:rPr>
          <w:rFonts w:ascii="Times New Roman" w:hAnsi="Times New Roman" w:cs="Times New Roman"/>
        </w:rPr>
        <w:t>were</w:t>
      </w:r>
      <w:r w:rsidRPr="00986F89">
        <w:rPr>
          <w:rFonts w:ascii="Times New Roman" w:hAnsi="Times New Roman" w:cs="Times New Roman"/>
        </w:rPr>
        <w:t xml:space="preserve"> challenged by classroom realities. For example, Anne described a marked emotional shift across two teaching sessions:</w:t>
      </w:r>
    </w:p>
    <w:p w14:paraId="3260E75A" w14:textId="43698B01" w:rsidR="00264CB5" w:rsidRPr="00986F89" w:rsidRDefault="00264CB5" w:rsidP="00C23E59">
      <w:pPr>
        <w:autoSpaceDE w:val="0"/>
        <w:autoSpaceDN w:val="0"/>
        <w:adjustRightInd w:val="0"/>
        <w:spacing w:after="240"/>
        <w:ind w:left="720"/>
        <w:rPr>
          <w:rFonts w:ascii="Times New Roman" w:hAnsi="Times New Roman" w:cs="Times New Roman"/>
        </w:rPr>
      </w:pPr>
      <w:r w:rsidRPr="00986F89">
        <w:rPr>
          <w:rFonts w:ascii="Times New Roman" w:hAnsi="Times New Roman" w:cs="Times New Roman"/>
        </w:rPr>
        <w:t xml:space="preserve">“I was super excited going into the lesson, but after the 1st class period I was feeling kind of defeated… After the 2nd time </w:t>
      </w:r>
      <w:proofErr w:type="gramStart"/>
      <w:r w:rsidRPr="00986F89">
        <w:rPr>
          <w:rFonts w:ascii="Times New Roman" w:hAnsi="Times New Roman" w:cs="Times New Roman"/>
        </w:rPr>
        <w:t>teaching</w:t>
      </w:r>
      <w:proofErr w:type="gramEnd"/>
      <w:r w:rsidRPr="00986F89">
        <w:rPr>
          <w:rFonts w:ascii="Times New Roman" w:hAnsi="Times New Roman" w:cs="Times New Roman"/>
        </w:rPr>
        <w:t xml:space="preserve"> I felt better because I was able to anticipate the students’ needs and change </w:t>
      </w:r>
      <w:proofErr w:type="gramStart"/>
      <w:r w:rsidRPr="00986F89">
        <w:rPr>
          <w:rFonts w:ascii="Times New Roman" w:hAnsi="Times New Roman" w:cs="Times New Roman"/>
        </w:rPr>
        <w:t>things.”</w:t>
      </w:r>
      <w:proofErr w:type="gramEnd"/>
      <w:r w:rsidRPr="00986F89">
        <w:rPr>
          <w:rFonts w:ascii="Times New Roman" w:hAnsi="Times New Roman" w:cs="Times New Roman"/>
        </w:rPr>
        <w:t xml:space="preserve"> (TR4)</w:t>
      </w:r>
    </w:p>
    <w:p w14:paraId="316A8A27" w14:textId="77777777" w:rsidR="00477C76" w:rsidRPr="00986F89" w:rsidRDefault="00477C76" w:rsidP="00C23E59">
      <w:pPr>
        <w:autoSpaceDE w:val="0"/>
        <w:autoSpaceDN w:val="0"/>
        <w:adjustRightInd w:val="0"/>
        <w:spacing w:after="240"/>
        <w:ind w:firstLine="720"/>
        <w:rPr>
          <w:rFonts w:ascii="Times New Roman" w:hAnsi="Times New Roman" w:cs="Times New Roman"/>
        </w:rPr>
      </w:pPr>
      <w:r w:rsidRPr="00986F89">
        <w:rPr>
          <w:rFonts w:ascii="Times New Roman" w:hAnsi="Times New Roman" w:cs="Times New Roman"/>
        </w:rPr>
        <w:t xml:space="preserve">Other reflections reflected more subtle emotional recalibration rather than clear resolution. Emma noted, “This is the one I thought would go better, and I felt like it went worse” (GR5), followed later by, “I was kind of proud” (TR5), illustrating tentative confidence emerging through reflection rather than immediate affirmation. </w:t>
      </w:r>
    </w:p>
    <w:p w14:paraId="0E36D64E" w14:textId="636EEC42" w:rsidR="00264CB5" w:rsidRPr="00986F89" w:rsidRDefault="00264CB5" w:rsidP="00C23E59">
      <w:pPr>
        <w:autoSpaceDE w:val="0"/>
        <w:autoSpaceDN w:val="0"/>
        <w:adjustRightInd w:val="0"/>
        <w:spacing w:after="240"/>
        <w:ind w:firstLine="720"/>
        <w:rPr>
          <w:rFonts w:ascii="Times New Roman" w:hAnsi="Times New Roman" w:cs="Times New Roman"/>
        </w:rPr>
      </w:pPr>
      <w:r w:rsidRPr="00986F89">
        <w:rPr>
          <w:rFonts w:ascii="Times New Roman" w:hAnsi="Times New Roman" w:cs="Times New Roman"/>
        </w:rPr>
        <w:t xml:space="preserve">Video-based reflection </w:t>
      </w:r>
      <w:r w:rsidR="00FC552A" w:rsidRPr="00986F89">
        <w:rPr>
          <w:rFonts w:ascii="Times New Roman" w:hAnsi="Times New Roman" w:cs="Times New Roman"/>
        </w:rPr>
        <w:t>further shaped</w:t>
      </w:r>
      <w:r w:rsidRPr="00986F89">
        <w:rPr>
          <w:rFonts w:ascii="Times New Roman" w:hAnsi="Times New Roman" w:cs="Times New Roman"/>
        </w:rPr>
        <w:t xml:space="preserve"> emotional interpretation. After reviewing her teaching video, Alice </w:t>
      </w:r>
      <w:r w:rsidR="00FC552A" w:rsidRPr="00986F89">
        <w:rPr>
          <w:rFonts w:ascii="Times New Roman" w:hAnsi="Times New Roman" w:cs="Times New Roman"/>
        </w:rPr>
        <w:t>revised</w:t>
      </w:r>
      <w:r w:rsidRPr="00986F89">
        <w:rPr>
          <w:rFonts w:ascii="Times New Roman" w:hAnsi="Times New Roman" w:cs="Times New Roman"/>
        </w:rPr>
        <w:t xml:space="preserve"> her initial emotional </w:t>
      </w:r>
      <w:r w:rsidR="00FC552A" w:rsidRPr="00986F89">
        <w:rPr>
          <w:rFonts w:ascii="Times New Roman" w:hAnsi="Times New Roman" w:cs="Times New Roman"/>
        </w:rPr>
        <w:t>reading of student behavior</w:t>
      </w:r>
      <w:r w:rsidRPr="00986F89">
        <w:rPr>
          <w:rFonts w:ascii="Times New Roman" w:hAnsi="Times New Roman" w:cs="Times New Roman"/>
        </w:rPr>
        <w:t xml:space="preserve">: “During the lesson I thought that the students had a strong dislike for me… But after watching the video, I realized they were testing me…” (TR5). </w:t>
      </w:r>
      <w:r w:rsidR="00FC552A" w:rsidRPr="00986F89">
        <w:rPr>
          <w:rFonts w:ascii="Times New Roman" w:hAnsi="Times New Roman" w:cs="Times New Roman"/>
        </w:rPr>
        <w:t xml:space="preserve">Similarly, Erica </w:t>
      </w:r>
      <w:r w:rsidRPr="00986F89">
        <w:rPr>
          <w:rFonts w:ascii="Times New Roman" w:hAnsi="Times New Roman" w:cs="Times New Roman"/>
        </w:rPr>
        <w:t xml:space="preserve">described the </w:t>
      </w:r>
      <w:r w:rsidR="00FC552A" w:rsidRPr="00986F89">
        <w:rPr>
          <w:rFonts w:ascii="Times New Roman" w:hAnsi="Times New Roman" w:cs="Times New Roman"/>
        </w:rPr>
        <w:t>easing</w:t>
      </w:r>
      <w:r w:rsidRPr="00986F89">
        <w:rPr>
          <w:rFonts w:ascii="Times New Roman" w:hAnsi="Times New Roman" w:cs="Times New Roman"/>
        </w:rPr>
        <w:t xml:space="preserve"> of nervousness </w:t>
      </w:r>
      <w:r w:rsidR="00FC552A" w:rsidRPr="00986F89">
        <w:rPr>
          <w:rFonts w:ascii="Times New Roman" w:hAnsi="Times New Roman" w:cs="Times New Roman"/>
        </w:rPr>
        <w:t>following work</w:t>
      </w:r>
      <w:r w:rsidRPr="00986F89">
        <w:rPr>
          <w:rFonts w:ascii="Times New Roman" w:hAnsi="Times New Roman" w:cs="Times New Roman"/>
        </w:rPr>
        <w:t xml:space="preserve"> with diverse learners (TR3), while Robert </w:t>
      </w:r>
      <w:r w:rsidR="00FC552A" w:rsidRPr="00986F89">
        <w:rPr>
          <w:rFonts w:ascii="Times New Roman" w:hAnsi="Times New Roman" w:cs="Times New Roman"/>
        </w:rPr>
        <w:t xml:space="preserve">reflected that students demonstrated </w:t>
      </w:r>
      <w:r w:rsidRPr="00986F89">
        <w:rPr>
          <w:rFonts w:ascii="Times New Roman" w:hAnsi="Times New Roman" w:cs="Times New Roman"/>
        </w:rPr>
        <w:t>capability challenged his assumptions and prompted him to relinquish control (TR3; DLR).</w:t>
      </w:r>
    </w:p>
    <w:p w14:paraId="5C5FCDB3" w14:textId="2D47AD1A" w:rsidR="00D266A0" w:rsidRPr="00986F89" w:rsidRDefault="00264CB5" w:rsidP="00C23E59">
      <w:pPr>
        <w:autoSpaceDE w:val="0"/>
        <w:autoSpaceDN w:val="0"/>
        <w:adjustRightInd w:val="0"/>
        <w:spacing w:after="240"/>
        <w:ind w:firstLine="720"/>
        <w:rPr>
          <w:rFonts w:ascii="Times New Roman" w:hAnsi="Times New Roman" w:cs="Times New Roman"/>
        </w:rPr>
      </w:pPr>
      <w:r w:rsidRPr="00986F89">
        <w:rPr>
          <w:rFonts w:ascii="Times New Roman" w:hAnsi="Times New Roman" w:cs="Times New Roman"/>
        </w:rPr>
        <w:t>Finally, some students articulated emotion as a quiet form of affirmation. John’s delayed reflection emphasized connection and purpose, noting, “It reignited a lot of my passion and reminded me why I wanted to teach” (DLR). These reflections suggest early forms of emotional awareness that, while not always accompanied by explicit strategy change, contributed to ongoing reflective sense-making</w:t>
      </w:r>
      <w:r w:rsidR="000A600B" w:rsidRPr="00986F89">
        <w:rPr>
          <w:rFonts w:ascii="Times New Roman" w:hAnsi="Times New Roman" w:cs="Times New Roman"/>
        </w:rPr>
        <w:t>.</w:t>
      </w:r>
      <w:r w:rsidR="006E09BA" w:rsidRPr="00986F89">
        <w:rPr>
          <w:rFonts w:ascii="Times New Roman" w:hAnsi="Times New Roman" w:cs="Times New Roman"/>
        </w:rPr>
        <w:t xml:space="preserve"> In these cases, emotion functioned as an interpretive signal that shaped metacognitive monitoring and subsequent instructional sense-making.</w:t>
      </w:r>
      <w:r w:rsidR="003E1DBF" w:rsidRPr="00986F89">
        <w:rPr>
          <w:rFonts w:ascii="Times New Roman" w:hAnsi="Times New Roman" w:cs="Times New Roman"/>
        </w:rPr>
        <w:t xml:space="preserve"> In these reflections, emotion did not replace analytic reasoning but appeared to orient attention, interpretation, and subsequent sense-making about instructional experience.</w:t>
      </w:r>
    </w:p>
    <w:p w14:paraId="08096D8C" w14:textId="13A92E3E" w:rsidR="000A600B" w:rsidRPr="00986F89" w:rsidRDefault="000A600B" w:rsidP="00C23E59">
      <w:pPr>
        <w:spacing w:after="240"/>
        <w:rPr>
          <w:rFonts w:ascii="Times New Roman" w:hAnsi="Times New Roman" w:cs="Times New Roman"/>
          <w:b/>
          <w:bCs/>
        </w:rPr>
      </w:pPr>
      <w:r w:rsidRPr="00986F89">
        <w:rPr>
          <w:rFonts w:ascii="Times New Roman" w:hAnsi="Times New Roman" w:cs="Times New Roman"/>
          <w:b/>
          <w:bCs/>
        </w:rPr>
        <w:t>Theme 2: Constructing a Professional Identity Through Reflection</w:t>
      </w:r>
    </w:p>
    <w:p w14:paraId="0D4048F8" w14:textId="05E16746" w:rsidR="000A600B" w:rsidRPr="00986F89" w:rsidRDefault="00F60957" w:rsidP="00C23E59">
      <w:pPr>
        <w:spacing w:after="240"/>
        <w:ind w:firstLine="720"/>
        <w:rPr>
          <w:rFonts w:ascii="Times New Roman" w:hAnsi="Times New Roman" w:cs="Times New Roman"/>
        </w:rPr>
      </w:pPr>
      <w:r w:rsidRPr="00986F89">
        <w:rPr>
          <w:rFonts w:ascii="Times New Roman" w:hAnsi="Times New Roman" w:cs="Times New Roman"/>
        </w:rPr>
        <w:t xml:space="preserve">Identity-related sense-making </w:t>
      </w:r>
      <w:r w:rsidR="00837543" w:rsidRPr="00986F89">
        <w:rPr>
          <w:rFonts w:ascii="Times New Roman" w:hAnsi="Times New Roman" w:cs="Times New Roman"/>
        </w:rPr>
        <w:t xml:space="preserve">through reflection captured how preservice teachers </w:t>
      </w:r>
      <w:r w:rsidRPr="00986F89">
        <w:rPr>
          <w:rFonts w:ascii="Times New Roman" w:hAnsi="Times New Roman" w:cs="Times New Roman"/>
        </w:rPr>
        <w:t>positioned themselves in relation to teaching</w:t>
      </w:r>
      <w:r w:rsidR="00837543" w:rsidRPr="00986F89">
        <w:rPr>
          <w:rFonts w:ascii="Times New Roman" w:hAnsi="Times New Roman" w:cs="Times New Roman"/>
        </w:rPr>
        <w:t xml:space="preserve"> roles and </w:t>
      </w:r>
      <w:r w:rsidRPr="00986F89">
        <w:rPr>
          <w:rFonts w:ascii="Times New Roman" w:hAnsi="Times New Roman" w:cs="Times New Roman"/>
        </w:rPr>
        <w:t xml:space="preserve">responsibilities </w:t>
      </w:r>
      <w:r w:rsidR="00837543" w:rsidRPr="00986F89">
        <w:rPr>
          <w:rFonts w:ascii="Times New Roman" w:hAnsi="Times New Roman" w:cs="Times New Roman"/>
        </w:rPr>
        <w:t>across microteaching experiences. Through sustained written reflection, participants increasingly moved from performance-based evaluations toward consideration of instructional purpose, student learning, and professional responsibility. Two subthemes reflected this pattern: from imitation to intention and from performer to decision-maker</w:t>
      </w:r>
      <w:r w:rsidR="00264CB5" w:rsidRPr="00986F89">
        <w:rPr>
          <w:rFonts w:ascii="Times New Roman" w:hAnsi="Times New Roman" w:cs="Times New Roman"/>
        </w:rPr>
        <w:t>.</w:t>
      </w:r>
    </w:p>
    <w:p w14:paraId="763C190C" w14:textId="77777777" w:rsidR="000A600B" w:rsidRPr="004204E2" w:rsidRDefault="000A600B" w:rsidP="00C23E59">
      <w:pPr>
        <w:spacing w:after="240"/>
        <w:rPr>
          <w:rFonts w:ascii="Times New Roman" w:hAnsi="Times New Roman" w:cs="Times New Roman"/>
          <w:b/>
          <w:bCs/>
        </w:rPr>
      </w:pPr>
      <w:r w:rsidRPr="004204E2">
        <w:rPr>
          <w:rFonts w:ascii="Times New Roman" w:hAnsi="Times New Roman" w:cs="Times New Roman"/>
          <w:b/>
          <w:bCs/>
        </w:rPr>
        <w:t>Subtheme 1: From Imitation to Intention</w:t>
      </w:r>
    </w:p>
    <w:p w14:paraId="7DC1530F" w14:textId="2CCFF610" w:rsidR="004B4DB6" w:rsidRPr="00986F89" w:rsidRDefault="00837543" w:rsidP="00C23E59">
      <w:pPr>
        <w:spacing w:after="240"/>
        <w:ind w:firstLine="720"/>
        <w:rPr>
          <w:rFonts w:ascii="Times New Roman" w:hAnsi="Times New Roman" w:cs="Times New Roman"/>
        </w:rPr>
      </w:pPr>
      <w:r w:rsidRPr="00986F89">
        <w:rPr>
          <w:rFonts w:ascii="Times New Roman" w:hAnsi="Times New Roman" w:cs="Times New Roman"/>
        </w:rPr>
        <w:t xml:space="preserve">Early in the semester, many preservice teachers used course language to signal alignment with expectations without linking terms to instructional decisions or student learning. Following a lesson on student motivational theories, Anne wrote, “This topic influenced my motivation to teach/work with students because I feel that I now have the knowledge to know how to motivate students through their psychological needs and social cognitive theory” (LTR3). While she referenced theoretical </w:t>
      </w:r>
      <w:proofErr w:type="gramStart"/>
      <w:r w:rsidRPr="00986F89">
        <w:rPr>
          <w:rFonts w:ascii="Times New Roman" w:hAnsi="Times New Roman" w:cs="Times New Roman"/>
        </w:rPr>
        <w:t>constructs</w:t>
      </w:r>
      <w:proofErr w:type="gramEnd"/>
      <w:r w:rsidRPr="00986F89">
        <w:rPr>
          <w:rFonts w:ascii="Times New Roman" w:hAnsi="Times New Roman" w:cs="Times New Roman"/>
        </w:rPr>
        <w:t>, she did not connect them to pedagogical decisions</w:t>
      </w:r>
      <w:r w:rsidR="004B4DB6" w:rsidRPr="00986F89">
        <w:rPr>
          <w:rFonts w:ascii="Times New Roman" w:hAnsi="Times New Roman" w:cs="Times New Roman"/>
        </w:rPr>
        <w:t>.</w:t>
      </w:r>
    </w:p>
    <w:p w14:paraId="004386EE" w14:textId="171FB21E" w:rsidR="004B4DB6" w:rsidRPr="00986F89" w:rsidRDefault="00837543" w:rsidP="00C23E59">
      <w:pPr>
        <w:spacing w:after="240"/>
        <w:ind w:firstLine="720"/>
        <w:rPr>
          <w:rFonts w:ascii="Times New Roman" w:hAnsi="Times New Roman" w:cs="Times New Roman"/>
        </w:rPr>
      </w:pPr>
      <w:r w:rsidRPr="00986F89">
        <w:rPr>
          <w:rFonts w:ascii="Times New Roman" w:hAnsi="Times New Roman" w:cs="Times New Roman"/>
        </w:rPr>
        <w:lastRenderedPageBreak/>
        <w:t xml:space="preserve">Later reflections showed greater conceptual grounding and intentionality. Alice described how she used inquiry-based instruction to support specific learning outcomes, noting that the method helped students develop problem-solving skills, collaboration, and public speaking (TR5). Erica similarly described how earlier microteaching experiences helped her anticipate student needs, select appropriate materials, and adjust instructional methods based on learners’ preferences (TR5). </w:t>
      </w:r>
      <w:r w:rsidR="004B4DB6" w:rsidRPr="00986F89">
        <w:rPr>
          <w:rFonts w:ascii="Times New Roman" w:hAnsi="Times New Roman" w:cs="Times New Roman"/>
        </w:rPr>
        <w:t>These reflections reflect a shift from describing instructional activity to articulating instructional purpose.</w:t>
      </w:r>
    </w:p>
    <w:p w14:paraId="329F8692" w14:textId="1CDAA67C" w:rsidR="004B4DB6" w:rsidRPr="00986F89" w:rsidRDefault="00837543" w:rsidP="00C23E59">
      <w:pPr>
        <w:spacing w:after="240"/>
        <w:ind w:firstLine="720"/>
        <w:rPr>
          <w:rFonts w:ascii="Times New Roman" w:hAnsi="Times New Roman" w:cs="Times New Roman"/>
        </w:rPr>
      </w:pPr>
      <w:r w:rsidRPr="00986F89">
        <w:rPr>
          <w:rFonts w:ascii="Times New Roman" w:hAnsi="Times New Roman" w:cs="Times New Roman"/>
        </w:rPr>
        <w:t xml:space="preserve">Not all students demonstrated this shift. Emma’s responses across repeated prompts illustrate a stable, task-oriented conception of engagement. Early in the semester, she described engagement as “hands-on and lecture to engage the difference of learning preferences” (TR1). In her final reflection, she wrote, “Hands on made them engage more and explained more about the topic to the learners” (TR5). Across multiple teaching cycles, </w:t>
      </w:r>
      <w:r w:rsidR="004775CA" w:rsidRPr="00986F89">
        <w:rPr>
          <w:rFonts w:ascii="Times New Roman" w:hAnsi="Times New Roman" w:cs="Times New Roman"/>
        </w:rPr>
        <w:t xml:space="preserve">Emma’s reflections centered on </w:t>
      </w:r>
      <w:r w:rsidRPr="00986F89">
        <w:rPr>
          <w:rFonts w:ascii="Times New Roman" w:hAnsi="Times New Roman" w:cs="Times New Roman"/>
        </w:rPr>
        <w:t xml:space="preserve">activity and participation </w:t>
      </w:r>
      <w:r w:rsidR="004775CA" w:rsidRPr="00986F89">
        <w:rPr>
          <w:rFonts w:ascii="Times New Roman" w:hAnsi="Times New Roman" w:cs="Times New Roman"/>
        </w:rPr>
        <w:t xml:space="preserve">as indicators of engagement, with </w:t>
      </w:r>
      <w:r w:rsidRPr="00986F89">
        <w:rPr>
          <w:rFonts w:ascii="Times New Roman" w:hAnsi="Times New Roman" w:cs="Times New Roman"/>
        </w:rPr>
        <w:t xml:space="preserve">instructional intent </w:t>
      </w:r>
      <w:r w:rsidR="004775CA" w:rsidRPr="00986F89">
        <w:rPr>
          <w:rFonts w:ascii="Times New Roman" w:hAnsi="Times New Roman" w:cs="Times New Roman"/>
        </w:rPr>
        <w:t>and</w:t>
      </w:r>
      <w:r w:rsidRPr="00986F89">
        <w:rPr>
          <w:rFonts w:ascii="Times New Roman" w:hAnsi="Times New Roman" w:cs="Times New Roman"/>
        </w:rPr>
        <w:t xml:space="preserve"> learning outcomes</w:t>
      </w:r>
      <w:r w:rsidR="004775CA" w:rsidRPr="00986F89">
        <w:rPr>
          <w:rFonts w:ascii="Times New Roman" w:hAnsi="Times New Roman" w:cs="Times New Roman"/>
        </w:rPr>
        <w:t xml:space="preserve"> remaining implicit</w:t>
      </w:r>
      <w:r w:rsidR="004B4DB6" w:rsidRPr="00986F89">
        <w:rPr>
          <w:rFonts w:ascii="Times New Roman" w:hAnsi="Times New Roman" w:cs="Times New Roman"/>
        </w:rPr>
        <w:t>.</w:t>
      </w:r>
    </w:p>
    <w:p w14:paraId="15EAF1A0" w14:textId="3C7D5CE0" w:rsidR="00837543" w:rsidRPr="00986F89" w:rsidRDefault="00837543" w:rsidP="00C23E59">
      <w:pPr>
        <w:spacing w:after="240"/>
        <w:ind w:firstLine="720"/>
        <w:rPr>
          <w:rFonts w:ascii="Times New Roman" w:hAnsi="Times New Roman" w:cs="Times New Roman"/>
        </w:rPr>
      </w:pPr>
      <w:r w:rsidRPr="00986F89">
        <w:rPr>
          <w:rFonts w:ascii="Times New Roman" w:hAnsi="Times New Roman" w:cs="Times New Roman"/>
        </w:rPr>
        <w:t>Other reflections showed the persistence of instructional preferences shaped by prior educational experiences. Todd consistently emphasized explanation and lecture. In one reflection, he wrote, “I’m happy with how I moved around and kept the students involved but feel like I could have explained more” (TR4). Anne demonstrated a different but related pattern. She proposed activity-based lessons, such as an outdoor scavenger hunt to teach plant identification (TR1</w:t>
      </w:r>
      <w:proofErr w:type="gramStart"/>
      <w:r w:rsidRPr="00986F89">
        <w:rPr>
          <w:rFonts w:ascii="Times New Roman" w:hAnsi="Times New Roman" w:cs="Times New Roman"/>
        </w:rPr>
        <w:t>), but</w:t>
      </w:r>
      <w:proofErr w:type="gramEnd"/>
      <w:r w:rsidRPr="00986F89">
        <w:rPr>
          <w:rFonts w:ascii="Times New Roman" w:hAnsi="Times New Roman" w:cs="Times New Roman"/>
        </w:rPr>
        <w:t xml:space="preserve"> later reflected that “I tried to be fun and creative, but students were confused” (GR2), suggesting activity without clearly articulated learning goals. In contrast, Emma reflected more critically on her prior experiences as a student: “I learned to alter my beliefs to be more confident in myself and to be more understanding… A connection I made was to myself in high school and how teachers could have just asked and talked to me” (LTR2).</w:t>
      </w:r>
      <w:r w:rsidR="004B4DB6" w:rsidRPr="00986F89">
        <w:rPr>
          <w:rFonts w:ascii="Times New Roman" w:hAnsi="Times New Roman" w:cs="Times New Roman"/>
        </w:rPr>
        <w:t xml:space="preserve"> Here, Emma explicitly connected her past experiences as a student to her emerging beliefs as a teacher, signaling an evolving professional identity that draws from prior schooling but also </w:t>
      </w:r>
      <w:proofErr w:type="gramStart"/>
      <w:r w:rsidR="004B4DB6" w:rsidRPr="00986F89">
        <w:rPr>
          <w:rFonts w:ascii="Times New Roman" w:hAnsi="Times New Roman" w:cs="Times New Roman"/>
        </w:rPr>
        <w:t>reexamines</w:t>
      </w:r>
      <w:proofErr w:type="gramEnd"/>
      <w:r w:rsidR="004B4DB6" w:rsidRPr="00986F89">
        <w:rPr>
          <w:rFonts w:ascii="Times New Roman" w:hAnsi="Times New Roman" w:cs="Times New Roman"/>
        </w:rPr>
        <w:t xml:space="preserve"> it through reflection.</w:t>
      </w:r>
    </w:p>
    <w:p w14:paraId="019540F9" w14:textId="05EAA5E5" w:rsidR="000A600B" w:rsidRPr="004204E2" w:rsidRDefault="000A600B" w:rsidP="00C23E59">
      <w:pPr>
        <w:spacing w:after="240"/>
        <w:rPr>
          <w:rFonts w:ascii="Times New Roman" w:hAnsi="Times New Roman" w:cs="Times New Roman"/>
          <w:b/>
          <w:bCs/>
        </w:rPr>
      </w:pPr>
      <w:r w:rsidRPr="004204E2">
        <w:rPr>
          <w:rFonts w:ascii="Times New Roman" w:hAnsi="Times New Roman" w:cs="Times New Roman"/>
          <w:b/>
          <w:bCs/>
        </w:rPr>
        <w:t>Subtheme 2: From Performer to Decision-Maker</w:t>
      </w:r>
    </w:p>
    <w:p w14:paraId="646006C5" w14:textId="584D7769" w:rsidR="00366B2A" w:rsidRPr="00986F89" w:rsidRDefault="00366B2A" w:rsidP="00C23E59">
      <w:pPr>
        <w:spacing w:after="240"/>
        <w:ind w:firstLine="720"/>
        <w:rPr>
          <w:rFonts w:ascii="Times New Roman" w:hAnsi="Times New Roman" w:cs="Times New Roman"/>
        </w:rPr>
      </w:pPr>
      <w:r w:rsidRPr="00986F89">
        <w:rPr>
          <w:rFonts w:ascii="Times New Roman" w:hAnsi="Times New Roman" w:cs="Times New Roman"/>
        </w:rPr>
        <w:t>Early in the semester, many preservice teachers framed teaching in terms of presentation quality, confidence, or classroom control. For example, Anne wrote, “I noticed that I answered questions well and tried to steer the class and individual students back on track with the lesson. I feel that I kept the lesson fun and engaging and the kids would be excited to learn about it” (TR1). As teaching experiences accumulated, several students began to adopt a more decision-oriented stance. Erica’s reflections exemplify this shift: “The 8AM group doesn’t participate as much. I learned who the chatty kids are and how easy they get off topic…. I should slow down and explain directions in a step-by-step method. I tried to fix this in my 2nd teaching” (TR4)</w:t>
      </w:r>
    </w:p>
    <w:p w14:paraId="2D8CF346" w14:textId="12664FF8" w:rsidR="00CB3534" w:rsidRPr="00986F89" w:rsidRDefault="00CB3534" w:rsidP="00C23E59">
      <w:pPr>
        <w:spacing w:after="240"/>
        <w:ind w:firstLine="720"/>
        <w:rPr>
          <w:rFonts w:ascii="Times New Roman" w:hAnsi="Times New Roman" w:cs="Times New Roman"/>
        </w:rPr>
      </w:pPr>
      <w:r w:rsidRPr="00986F89">
        <w:rPr>
          <w:rFonts w:ascii="Times New Roman" w:hAnsi="Times New Roman" w:cs="Times New Roman"/>
        </w:rPr>
        <w:t>Todd’s reflections suggest an emerging, though incomplete, movement toward instructional decision-making. During a</w:t>
      </w:r>
      <w:r w:rsidR="000F11C1">
        <w:rPr>
          <w:rFonts w:ascii="Times New Roman" w:hAnsi="Times New Roman" w:cs="Times New Roman"/>
        </w:rPr>
        <w:t xml:space="preserve"> </w:t>
      </w:r>
      <w:r w:rsidRPr="00986F89">
        <w:rPr>
          <w:rFonts w:ascii="Times New Roman" w:hAnsi="Times New Roman" w:cs="Times New Roman"/>
        </w:rPr>
        <w:t xml:space="preserve">teaching experience, he noted that “our lesson changed due to new information about their </w:t>
      </w:r>
      <w:proofErr w:type="gramStart"/>
      <w:r w:rsidRPr="00986F89">
        <w:rPr>
          <w:rFonts w:ascii="Times New Roman" w:hAnsi="Times New Roman" w:cs="Times New Roman"/>
        </w:rPr>
        <w:t>future</w:t>
      </w:r>
      <w:proofErr w:type="gramEnd"/>
      <w:r w:rsidRPr="00986F89">
        <w:rPr>
          <w:rFonts w:ascii="Times New Roman" w:hAnsi="Times New Roman" w:cs="Times New Roman"/>
        </w:rPr>
        <w:t xml:space="preserve"> so we had to adapt our lesson plan” (TR3), indicating responsiveness to contextual information. In later reflections, Todd articulated questions centered on learners, writing, “I’m wondering how to ask the right questions about students and what they need for my class” (DLR). While his reflections often remained general and procedural, these </w:t>
      </w:r>
      <w:r w:rsidRPr="00986F89">
        <w:rPr>
          <w:rFonts w:ascii="Times New Roman" w:hAnsi="Times New Roman" w:cs="Times New Roman"/>
        </w:rPr>
        <w:lastRenderedPageBreak/>
        <w:t>statements reflect a growing orientation toward instructional responsibility and learner-centered planning, even as they lacked the specificity observed in more developed decision-making cases.</w:t>
      </w:r>
    </w:p>
    <w:p w14:paraId="070F6B74" w14:textId="2D59F727" w:rsidR="00CB3534" w:rsidRPr="00986F89" w:rsidRDefault="00366B2A" w:rsidP="00C23E59">
      <w:pPr>
        <w:spacing w:after="240"/>
        <w:ind w:firstLine="720"/>
        <w:rPr>
          <w:rFonts w:ascii="Times New Roman" w:hAnsi="Times New Roman" w:cs="Times New Roman"/>
        </w:rPr>
      </w:pPr>
      <w:r w:rsidRPr="00986F89">
        <w:rPr>
          <w:rFonts w:ascii="Times New Roman" w:hAnsi="Times New Roman" w:cs="Times New Roman"/>
        </w:rPr>
        <w:t xml:space="preserve">In written reflections completed after reviewing video recordings of their teaching, many students focused on personal delivery rather than instructional impact. Josh noted, “I seemed like I was struggling during the lesson to find a groove and honestly looked quite nervous” (TR1), while Robert reflected, “I flap my arms a lot and need to be less nervous. I need to be better with my words” (TR4). Peer critique reflections showed similar limits in decision-oriented analysis. Emma wrote, “I would have no questions. I really liked her lesson and believed she did </w:t>
      </w:r>
      <w:proofErr w:type="gramStart"/>
      <w:r w:rsidRPr="00986F89">
        <w:rPr>
          <w:rFonts w:ascii="Times New Roman" w:hAnsi="Times New Roman" w:cs="Times New Roman"/>
        </w:rPr>
        <w:t>really well</w:t>
      </w:r>
      <w:proofErr w:type="gramEnd"/>
      <w:r w:rsidRPr="00986F89">
        <w:rPr>
          <w:rFonts w:ascii="Times New Roman" w:hAnsi="Times New Roman" w:cs="Times New Roman"/>
        </w:rPr>
        <w:t>” (PR1). Other peer reflections included suggestions framed as questions, such as “How could you add [redacted] breeds to this lesson?” (PR2) but did not connect feedback to instructional goals or student understanding</w:t>
      </w:r>
      <w:r w:rsidR="00CB3534" w:rsidRPr="00986F89">
        <w:rPr>
          <w:rFonts w:ascii="Times New Roman" w:hAnsi="Times New Roman" w:cs="Times New Roman"/>
        </w:rPr>
        <w:t>.</w:t>
      </w:r>
    </w:p>
    <w:p w14:paraId="4486B1F4" w14:textId="6A72C1F3" w:rsidR="00EE73F4" w:rsidRPr="00986F89" w:rsidRDefault="00366B2A" w:rsidP="00C23E59">
      <w:pPr>
        <w:spacing w:after="240"/>
        <w:ind w:firstLine="720"/>
        <w:rPr>
          <w:rFonts w:ascii="Times New Roman" w:hAnsi="Times New Roman" w:cs="Times New Roman"/>
        </w:rPr>
      </w:pPr>
      <w:r w:rsidRPr="00986F89">
        <w:rPr>
          <w:rFonts w:ascii="Times New Roman" w:hAnsi="Times New Roman" w:cs="Times New Roman"/>
        </w:rPr>
        <w:t xml:space="preserve">The progression from performer to decision-maker was not uniform. In later reflections, some students returned to generalized statements emphasizing effort </w:t>
      </w:r>
      <w:r w:rsidR="00FC3ABD" w:rsidRPr="00986F89">
        <w:rPr>
          <w:rFonts w:ascii="Times New Roman" w:hAnsi="Times New Roman" w:cs="Times New Roman"/>
        </w:rPr>
        <w:t>instead of</w:t>
      </w:r>
      <w:r w:rsidRPr="00986F89">
        <w:rPr>
          <w:rFonts w:ascii="Times New Roman" w:hAnsi="Times New Roman" w:cs="Times New Roman"/>
        </w:rPr>
        <w:t xml:space="preserve"> analysis, often relying on language from the lesson evaluation rubric used for microteaching. For instance, Alice wrote, “I feel as though my lesson lacked in this area and could have been enhanced with more content coverage” (TR4). Attribution patterns further distinguished reflective stances. Some students explained instructional challenges by referencing external constraints such as time delays or technical issues without proposing instructional adjustments or addressing student learning. In contrast, students who identified barriers while suggesting concrete modifications demonstrated stronger evidence of instructional agency, highlighting variability in how preservice teachers began to position themselves as instructional decision-makers</w:t>
      </w:r>
      <w:r w:rsidR="000A600B" w:rsidRPr="00986F89">
        <w:rPr>
          <w:rFonts w:ascii="Times New Roman" w:hAnsi="Times New Roman" w:cs="Times New Roman"/>
        </w:rPr>
        <w:t>.</w:t>
      </w:r>
    </w:p>
    <w:p w14:paraId="7E65A4BE" w14:textId="54F97D0E" w:rsidR="00EE73F4" w:rsidRPr="00986F89" w:rsidRDefault="00EE73F4" w:rsidP="00C23E59">
      <w:pPr>
        <w:spacing w:after="240"/>
        <w:ind w:firstLine="720"/>
        <w:jc w:val="center"/>
        <w:rPr>
          <w:rFonts w:ascii="Times New Roman" w:hAnsi="Times New Roman" w:cs="Times New Roman"/>
          <w:b/>
          <w:bCs/>
        </w:rPr>
      </w:pPr>
      <w:r w:rsidRPr="00986F89">
        <w:rPr>
          <w:rFonts w:ascii="Times New Roman" w:hAnsi="Times New Roman" w:cs="Times New Roman"/>
          <w:b/>
          <w:bCs/>
        </w:rPr>
        <w:t>Discussion</w:t>
      </w:r>
    </w:p>
    <w:p w14:paraId="6D6F6319" w14:textId="5A325157" w:rsidR="006050DA" w:rsidRPr="006050DA" w:rsidRDefault="006050DA" w:rsidP="006050DA">
      <w:pPr>
        <w:spacing w:after="240"/>
        <w:ind w:firstLine="720"/>
        <w:rPr>
          <w:rFonts w:ascii="Times New Roman" w:hAnsi="Times New Roman" w:cs="Times New Roman"/>
        </w:rPr>
      </w:pPr>
      <w:r w:rsidRPr="006050DA">
        <w:rPr>
          <w:rFonts w:ascii="Times New Roman" w:hAnsi="Times New Roman" w:cs="Times New Roman"/>
        </w:rPr>
        <w:t>This study examined how sustained reflective journaling during microteaching shaped preservice teachers’ metacognitive awareness, learning transfer, and motivation within a school-based agricultural education teacher preparation context. In relation to the central research question, reflection was experienced primarily as a recursive process of metacognitive sense-making, with transfer- and motivation-related reasoning surfacing unevenly through shifts in confidence, emotional responses, and cross-context comparisons. In relation to the sub-research questions, emotionally salient teaching moments, repeated reflection across time, and varied instructional settings functioned as key influencing factors, while the strongest connections among metacognition, transfer, and motivation emerged when preservice teachers revisited prior assumptions and interpreted change across contexts. Two interrelated themes captured these patterns: milestones as reflective growth events and constructing a professional identity through reflection.</w:t>
      </w:r>
    </w:p>
    <w:p w14:paraId="7091B198" w14:textId="657E19BF" w:rsidR="006050DA" w:rsidRPr="006050DA" w:rsidRDefault="006050DA" w:rsidP="006050DA">
      <w:pPr>
        <w:spacing w:after="240"/>
        <w:ind w:firstLine="720"/>
        <w:rPr>
          <w:rFonts w:ascii="Times New Roman" w:hAnsi="Times New Roman" w:cs="Times New Roman"/>
        </w:rPr>
      </w:pPr>
      <w:r w:rsidRPr="006050DA">
        <w:rPr>
          <w:rFonts w:ascii="Times New Roman" w:hAnsi="Times New Roman" w:cs="Times New Roman"/>
        </w:rPr>
        <w:t xml:space="preserve">Across participants, deeper reflective sense-making was most evident when preservice teachers revisited the same instructional episode across time or encountered emotionally salient disruptions that prompted reinterpretation of prior assumptions. Structured opportunities to engage with the same experience through immediate reactions, video-based reflection, and delayed journaling supported more developed metacognitive awareness. In these cases, reflection functioned as a recursive process through which preservice teachers made sense of instructional experiences across contexts, consistent with views of identity development as participation and </w:t>
      </w:r>
      <w:proofErr w:type="gramStart"/>
      <w:r w:rsidRPr="006050DA">
        <w:rPr>
          <w:rFonts w:ascii="Times New Roman" w:hAnsi="Times New Roman" w:cs="Times New Roman"/>
        </w:rPr>
        <w:t>meaning-making</w:t>
      </w:r>
      <w:proofErr w:type="gramEnd"/>
      <w:r w:rsidRPr="006050DA">
        <w:rPr>
          <w:rFonts w:ascii="Times New Roman" w:hAnsi="Times New Roman" w:cs="Times New Roman"/>
        </w:rPr>
        <w:t xml:space="preserve"> (Cherrington, 2019). However, growth was not uniform. Several participants demonstrated plateaus or regressions, returning to generalized or performative reflections, particularly later in the semester. This variability reinforces that reflection alone does not guarantee metacognitive development, aligning with prior research cautioning against assumptions that reflective writing automatically produces instructional insight (Bowling et al., 2022; Lambert et al., 2014).</w:t>
      </w:r>
    </w:p>
    <w:p w14:paraId="453641BF" w14:textId="2760787F" w:rsidR="006050DA" w:rsidRPr="006050DA" w:rsidRDefault="006050DA" w:rsidP="006050DA">
      <w:pPr>
        <w:spacing w:after="240"/>
        <w:ind w:firstLine="720"/>
        <w:rPr>
          <w:rFonts w:ascii="Times New Roman" w:hAnsi="Times New Roman" w:cs="Times New Roman"/>
        </w:rPr>
      </w:pPr>
      <w:r w:rsidRPr="006050DA">
        <w:rPr>
          <w:rFonts w:ascii="Times New Roman" w:hAnsi="Times New Roman" w:cs="Times New Roman"/>
        </w:rPr>
        <w:t xml:space="preserve">Emotion also played a central role in reflective development. Emotional responses such as anxiety, pride, frustration, and affirmation frequently acted as catalysts for deeper reflection, prompting preservice teachers to reexamine assumptions about students, teaching competence, and their emerging professional identities. In this study, emotion functioned as a metacognitive signal that shaped how experiences were interpreted and, in some cases, how participants anticipated or reasoned about learning transfer across contexts. This finding aligns with prior work emphasizing the interdependence of emotion, motivation, and reflective practice in teacher learning (Day &amp; Leitch, 2001; </w:t>
      </w:r>
      <w:proofErr w:type="spellStart"/>
      <w:r w:rsidRPr="006050DA">
        <w:rPr>
          <w:rFonts w:ascii="Times New Roman" w:hAnsi="Times New Roman" w:cs="Times New Roman"/>
        </w:rPr>
        <w:t>Zembylas</w:t>
      </w:r>
      <w:proofErr w:type="spellEnd"/>
      <w:r w:rsidRPr="006050DA">
        <w:rPr>
          <w:rFonts w:ascii="Times New Roman" w:hAnsi="Times New Roman" w:cs="Times New Roman"/>
        </w:rPr>
        <w:t>, 2004).</w:t>
      </w:r>
    </w:p>
    <w:p w14:paraId="2AB306A5" w14:textId="4D85140D" w:rsidR="008F70FB" w:rsidRPr="00986F89" w:rsidRDefault="006050DA" w:rsidP="006050DA">
      <w:pPr>
        <w:spacing w:after="240"/>
        <w:ind w:firstLine="720"/>
        <w:rPr>
          <w:rFonts w:ascii="Times New Roman" w:hAnsi="Times New Roman" w:cs="Times New Roman"/>
        </w:rPr>
      </w:pPr>
      <w:r w:rsidRPr="006050DA">
        <w:rPr>
          <w:rFonts w:ascii="Times New Roman" w:hAnsi="Times New Roman" w:cs="Times New Roman"/>
        </w:rPr>
        <w:t>Identity-related sense-making was similarly uneven and non-linear, reflecting broader findings that professional identity is continuously negotiated through experience (Peterman, 2019). Participants demonstrated identity work when they positioned themselves in relation to teaching roles and responsibilities, particularly in shifting from performer-oriented conceptions of teaching toward instructional decision-making. While some preservice teachers began to articulate learner-centered reasoning and adaptive decision-making, others remained anchored in task completion, activity-based engagement, or self-presentation. Partial movement toward decision-making was common, with participants demonstrating emerging but underdeveloped pedagogical reasoning. This pattern aligns with conceptual work emphasizing that teacher identity develops through the integration of beliefs, emotions, and professional expectations, and that moments of tension or uncertainty are integral to that process (</w:t>
      </w:r>
      <w:proofErr w:type="spellStart"/>
      <w:r w:rsidRPr="006050DA">
        <w:rPr>
          <w:rFonts w:ascii="Times New Roman" w:hAnsi="Times New Roman" w:cs="Times New Roman"/>
        </w:rPr>
        <w:t>Beijaard</w:t>
      </w:r>
      <w:proofErr w:type="spellEnd"/>
      <w:r w:rsidRPr="006050DA">
        <w:rPr>
          <w:rFonts w:ascii="Times New Roman" w:hAnsi="Times New Roman" w:cs="Times New Roman"/>
        </w:rPr>
        <w:t xml:space="preserve"> &amp; Meijer, 2019).</w:t>
      </w:r>
    </w:p>
    <w:p w14:paraId="3570608C" w14:textId="7A12F5B0" w:rsidR="008F70FB" w:rsidRPr="00986F89" w:rsidRDefault="008F70FB" w:rsidP="00C23E59">
      <w:pPr>
        <w:spacing w:after="240"/>
        <w:jc w:val="center"/>
        <w:rPr>
          <w:rFonts w:ascii="Times New Roman" w:hAnsi="Times New Roman" w:cs="Times New Roman"/>
          <w:b/>
          <w:bCs/>
        </w:rPr>
      </w:pPr>
      <w:r w:rsidRPr="00986F89">
        <w:rPr>
          <w:rFonts w:ascii="Times New Roman" w:hAnsi="Times New Roman" w:cs="Times New Roman"/>
          <w:b/>
          <w:bCs/>
        </w:rPr>
        <w:t xml:space="preserve">Implications </w:t>
      </w:r>
      <w:r w:rsidR="00E937A4">
        <w:rPr>
          <w:rFonts w:ascii="Times New Roman" w:hAnsi="Times New Roman" w:cs="Times New Roman"/>
          <w:b/>
          <w:bCs/>
        </w:rPr>
        <w:t>and Conclusion</w:t>
      </w:r>
    </w:p>
    <w:p w14:paraId="5B58E648" w14:textId="142B6606" w:rsidR="00606753" w:rsidRPr="00606753" w:rsidRDefault="00606753" w:rsidP="00606753">
      <w:pPr>
        <w:spacing w:after="240"/>
        <w:ind w:firstLine="720"/>
        <w:rPr>
          <w:rFonts w:ascii="Times New Roman" w:hAnsi="Times New Roman" w:cs="Times New Roman"/>
        </w:rPr>
      </w:pPr>
      <w:r w:rsidRPr="00606753">
        <w:rPr>
          <w:rFonts w:ascii="Times New Roman" w:hAnsi="Times New Roman" w:cs="Times New Roman"/>
        </w:rPr>
        <w:t>The findings suggest several implications for teacher preparation within school-based agricultural education. Reflective journaling was most productive when designed as a layered, longitudinal process rather than as isolated assignments. Prompts that revisited instructional experiences across time and contexts supported deeper metacognitive engagement and made developmental trajectories more visible. Reflection alone, however, was insufficient. Many preservice teachers initially framed reflection around compliance or effort, and these orientations often persisted without guidance. Structured scaffolds that foreground instructional decision-making, learner thinking, and adaptation may better support movement toward professional sense-making, including sequenced prompts, guided comparison across teaching cycles, video-supported reflection, and delayed journaling that encourages retrospective reinterpretation.</w:t>
      </w:r>
      <w:r>
        <w:rPr>
          <w:rFonts w:ascii="Times New Roman" w:hAnsi="Times New Roman" w:cs="Times New Roman"/>
        </w:rPr>
        <w:t xml:space="preserve"> </w:t>
      </w:r>
      <w:r w:rsidRPr="00606753">
        <w:rPr>
          <w:rFonts w:ascii="Times New Roman" w:hAnsi="Times New Roman" w:cs="Times New Roman"/>
        </w:rPr>
        <w:t>The uneven reflective trajectories observed in this study should not be interpreted as instructional failure, but as characteristic features of early professional development that are often emotionally mediated and non-linear (Black, 2015). Viewing reflection as a developmental practice may help teacher educators normalize uncertainty, attend to emotion, and sustain engagement over time.</w:t>
      </w:r>
    </w:p>
    <w:p w14:paraId="48CED2CC" w14:textId="51266ACF" w:rsidR="6EDF215B" w:rsidRPr="00986F89" w:rsidRDefault="00606753" w:rsidP="00606753">
      <w:pPr>
        <w:spacing w:after="240"/>
        <w:ind w:firstLine="720"/>
        <w:rPr>
          <w:rFonts w:ascii="Times New Roman" w:hAnsi="Times New Roman" w:cs="Times New Roman"/>
        </w:rPr>
      </w:pPr>
      <w:r w:rsidRPr="00606753">
        <w:rPr>
          <w:rFonts w:ascii="Times New Roman" w:hAnsi="Times New Roman" w:cs="Times New Roman"/>
        </w:rPr>
        <w:t>Future research should examine how reflective trajectories initiated during methods coursework extend into student teaching and early career practice, particularly how patterns persist, attenuate, or transform as preservice teachers encounter increased responsibility and autonomy. Additional work is needed to examine how specific forms of reflective scaffolding support metacognitive development across content areas that integrate technical instruction, laboratory environments, and community-facing expectations.</w:t>
      </w:r>
      <w:r>
        <w:rPr>
          <w:rFonts w:ascii="Times New Roman" w:hAnsi="Times New Roman" w:cs="Times New Roman"/>
        </w:rPr>
        <w:t xml:space="preserve"> </w:t>
      </w:r>
      <w:r w:rsidRPr="00606753">
        <w:rPr>
          <w:rFonts w:ascii="Times New Roman" w:hAnsi="Times New Roman" w:cs="Times New Roman"/>
        </w:rPr>
        <w:t>Overall, this study suggests that reflective journaling supports preservice teacher development not by producing uniform growth, but by creating conditions for recursive, context-sensitive sense-making. Reflection functioned as a developmental space through which preservice teachers interpreted experience, negotiated uncertainty, and tested emerging professional commitments. In this sense, reflection is not evidence of competence, but an ongoing practice through which preservice teachers learn how to think, feel, and decide as educators.</w:t>
      </w:r>
    </w:p>
    <w:p w14:paraId="4D793CA4" w14:textId="77777777" w:rsidR="00EE73F4" w:rsidRPr="00500BFA" w:rsidRDefault="00EE73F4" w:rsidP="00500B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562"/>
        <w:jc w:val="center"/>
        <w:rPr>
          <w:rFonts w:ascii="Times New Roman" w:hAnsi="Times New Roman" w:cs="Times New Roman"/>
          <w:b/>
          <w:color w:val="262626" w:themeColor="text1" w:themeTint="D9"/>
        </w:rPr>
      </w:pPr>
      <w:r w:rsidRPr="00500BFA">
        <w:rPr>
          <w:rFonts w:ascii="Times New Roman" w:hAnsi="Times New Roman" w:cs="Times New Roman"/>
          <w:b/>
          <w:color w:val="262626" w:themeColor="text1" w:themeTint="D9"/>
        </w:rPr>
        <w:t>References</w:t>
      </w:r>
    </w:p>
    <w:p w14:paraId="468BC62A" w14:textId="77777777" w:rsidR="00ED3632" w:rsidRPr="00500BFA" w:rsidRDefault="00ED3632" w:rsidP="00500BFA">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562"/>
        <w:jc w:val="center"/>
        <w:rPr>
          <w:rFonts w:ascii="Times New Roman" w:hAnsi="Times New Roman" w:cs="Times New Roman"/>
          <w:b/>
          <w:color w:val="262626" w:themeColor="text1" w:themeTint="D9"/>
        </w:rPr>
      </w:pPr>
    </w:p>
    <w:p w14:paraId="4B9EC9BF" w14:textId="77777777" w:rsidR="00500BFA" w:rsidRPr="00500BFA" w:rsidRDefault="005541BC" w:rsidP="00500BFA">
      <w:pPr>
        <w:pStyle w:val="Bibliography"/>
        <w:ind w:hanging="562"/>
        <w:rPr>
          <w:rFonts w:ascii="Times New Roman" w:hAnsi="Times New Roman" w:cs="Times New Roman"/>
        </w:rPr>
      </w:pPr>
      <w:r w:rsidRPr="00500BFA">
        <w:rPr>
          <w:rFonts w:ascii="Times New Roman" w:hAnsi="Times New Roman" w:cs="Times New Roman"/>
        </w:rPr>
        <w:fldChar w:fldCharType="begin"/>
      </w:r>
      <w:r w:rsidR="00500BFA" w:rsidRPr="00500BFA">
        <w:rPr>
          <w:rFonts w:ascii="Times New Roman" w:hAnsi="Times New Roman" w:cs="Times New Roman"/>
        </w:rPr>
        <w:instrText xml:space="preserve"> ADDIN ZOTERO_BIBL {"uncited":[],"omitted":[],"custom":[]} CSL_BIBLIOGRAPHY </w:instrText>
      </w:r>
      <w:r w:rsidRPr="00500BFA">
        <w:rPr>
          <w:rFonts w:ascii="Times New Roman" w:hAnsi="Times New Roman" w:cs="Times New Roman"/>
        </w:rPr>
        <w:fldChar w:fldCharType="separate"/>
      </w:r>
      <w:proofErr w:type="spellStart"/>
      <w:r w:rsidR="00500BFA" w:rsidRPr="00500BFA">
        <w:rPr>
          <w:rFonts w:ascii="Times New Roman" w:hAnsi="Times New Roman" w:cs="Times New Roman"/>
        </w:rPr>
        <w:t>Beijaard</w:t>
      </w:r>
      <w:proofErr w:type="spellEnd"/>
      <w:r w:rsidR="00500BFA" w:rsidRPr="00500BFA">
        <w:rPr>
          <w:rFonts w:ascii="Times New Roman" w:hAnsi="Times New Roman" w:cs="Times New Roman"/>
        </w:rPr>
        <w:t xml:space="preserve">, D., &amp; Meijer, P. C. (2019). Developing the Personal and Professional in Making a Teacher Identity. In D. J. </w:t>
      </w:r>
      <w:proofErr w:type="spellStart"/>
      <w:r w:rsidR="00500BFA" w:rsidRPr="00500BFA">
        <w:rPr>
          <w:rFonts w:ascii="Times New Roman" w:hAnsi="Times New Roman" w:cs="Times New Roman"/>
        </w:rPr>
        <w:t>Clandinin</w:t>
      </w:r>
      <w:proofErr w:type="spellEnd"/>
      <w:r w:rsidR="00500BFA" w:rsidRPr="00500BFA">
        <w:rPr>
          <w:rFonts w:ascii="Times New Roman" w:hAnsi="Times New Roman" w:cs="Times New Roman"/>
        </w:rPr>
        <w:t xml:space="preserve">, J. </w:t>
      </w:r>
      <w:proofErr w:type="spellStart"/>
      <w:r w:rsidR="00500BFA" w:rsidRPr="00500BFA">
        <w:rPr>
          <w:rFonts w:ascii="Times New Roman" w:hAnsi="Times New Roman" w:cs="Times New Roman"/>
        </w:rPr>
        <w:t>Husu</w:t>
      </w:r>
      <w:proofErr w:type="spellEnd"/>
      <w:r w:rsidR="00500BFA" w:rsidRPr="00500BFA">
        <w:rPr>
          <w:rFonts w:ascii="Times New Roman" w:hAnsi="Times New Roman" w:cs="Times New Roman"/>
        </w:rPr>
        <w:t xml:space="preserve">, &amp; S. Cherrington, </w:t>
      </w:r>
      <w:r w:rsidR="00500BFA" w:rsidRPr="00500BFA">
        <w:rPr>
          <w:rFonts w:ascii="Times New Roman" w:hAnsi="Times New Roman" w:cs="Times New Roman"/>
          <w:i/>
          <w:iCs/>
        </w:rPr>
        <w:t>The SAGE Handbook of Research on Teacher Education</w:t>
      </w:r>
      <w:r w:rsidR="00500BFA" w:rsidRPr="00500BFA">
        <w:rPr>
          <w:rFonts w:ascii="Times New Roman" w:hAnsi="Times New Roman" w:cs="Times New Roman"/>
        </w:rPr>
        <w:t xml:space="preserve"> (Vol. 2, pp. 177–192). SAGE Publications Ltd.</w:t>
      </w:r>
    </w:p>
    <w:p w14:paraId="25AE832C"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Black, G. L. (2015). Developing Teacher Candidates’ Self-Efficacy Through Reflection and Supervising Teacher Support. </w:t>
      </w:r>
      <w:r w:rsidRPr="00500BFA">
        <w:rPr>
          <w:rFonts w:ascii="Times New Roman" w:hAnsi="Times New Roman" w:cs="Times New Roman"/>
          <w:i/>
          <w:iCs/>
        </w:rPr>
        <w:t>In Education</w:t>
      </w:r>
      <w:r w:rsidRPr="00500BFA">
        <w:rPr>
          <w:rFonts w:ascii="Times New Roman" w:hAnsi="Times New Roman" w:cs="Times New Roman"/>
        </w:rPr>
        <w:t xml:space="preserve">, </w:t>
      </w:r>
      <w:r w:rsidRPr="00500BFA">
        <w:rPr>
          <w:rFonts w:ascii="Times New Roman" w:hAnsi="Times New Roman" w:cs="Times New Roman"/>
          <w:i/>
          <w:iCs/>
        </w:rPr>
        <w:t>21</w:t>
      </w:r>
      <w:r w:rsidRPr="00500BFA">
        <w:rPr>
          <w:rFonts w:ascii="Times New Roman" w:hAnsi="Times New Roman" w:cs="Times New Roman"/>
        </w:rPr>
        <w:t>(1), 78–98. https://doi.org/10.37119/ojs2015.v21i1.171</w:t>
      </w:r>
    </w:p>
    <w:p w14:paraId="32EB0035"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Bowling, A., Giorgi, A., Filson, C., &amp; Kitchel, T. (2022). Agricultural education </w:t>
      </w:r>
      <w:proofErr w:type="gramStart"/>
      <w:r w:rsidRPr="00500BFA">
        <w:rPr>
          <w:rFonts w:ascii="Times New Roman" w:hAnsi="Times New Roman" w:cs="Times New Roman"/>
        </w:rPr>
        <w:t>preservice</w:t>
      </w:r>
      <w:proofErr w:type="gramEnd"/>
      <w:r w:rsidRPr="00500BFA">
        <w:rPr>
          <w:rFonts w:ascii="Times New Roman" w:hAnsi="Times New Roman" w:cs="Times New Roman"/>
        </w:rPr>
        <w:t xml:space="preserve"> teachers’ metacognitive processes and reflective observations during a reflection-in-action activity. </w:t>
      </w:r>
      <w:r w:rsidRPr="00500BFA">
        <w:rPr>
          <w:rFonts w:ascii="Times New Roman" w:hAnsi="Times New Roman" w:cs="Times New Roman"/>
          <w:i/>
          <w:iCs/>
        </w:rPr>
        <w:t>Teaching and Teacher Education</w:t>
      </w:r>
      <w:r w:rsidRPr="00500BFA">
        <w:rPr>
          <w:rFonts w:ascii="Times New Roman" w:hAnsi="Times New Roman" w:cs="Times New Roman"/>
        </w:rPr>
        <w:t xml:space="preserve">, </w:t>
      </w:r>
      <w:r w:rsidRPr="00500BFA">
        <w:rPr>
          <w:rFonts w:ascii="Times New Roman" w:hAnsi="Times New Roman" w:cs="Times New Roman"/>
          <w:i/>
          <w:iCs/>
        </w:rPr>
        <w:t>114</w:t>
      </w:r>
      <w:r w:rsidRPr="00500BFA">
        <w:rPr>
          <w:rFonts w:ascii="Times New Roman" w:hAnsi="Times New Roman" w:cs="Times New Roman"/>
        </w:rPr>
        <w:t>, 103695. https://doi.org/10.1016/j.tate.2022.103695</w:t>
      </w:r>
    </w:p>
    <w:p w14:paraId="7C73C731"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Bransford, J., Derry, S., Berliner, D., </w:t>
      </w:r>
      <w:proofErr w:type="spellStart"/>
      <w:r w:rsidRPr="00500BFA">
        <w:rPr>
          <w:rFonts w:ascii="Times New Roman" w:hAnsi="Times New Roman" w:cs="Times New Roman"/>
        </w:rPr>
        <w:t>Hammerness</w:t>
      </w:r>
      <w:proofErr w:type="spellEnd"/>
      <w:r w:rsidRPr="00500BFA">
        <w:rPr>
          <w:rFonts w:ascii="Times New Roman" w:hAnsi="Times New Roman" w:cs="Times New Roman"/>
        </w:rPr>
        <w:t xml:space="preserve">, K., &amp; Beckett, K. L. (2005). Theories of Learning and Their Roles in Teaching. In L. Darling-Hammond &amp; J. Bransford (Eds.), </w:t>
      </w:r>
      <w:r w:rsidRPr="00500BFA">
        <w:rPr>
          <w:rFonts w:ascii="Times New Roman" w:hAnsi="Times New Roman" w:cs="Times New Roman"/>
          <w:i/>
          <w:iCs/>
        </w:rPr>
        <w:t>Preparing Teachers for a Changing World: What teachers should learn and be able to do</w:t>
      </w:r>
      <w:r w:rsidRPr="00500BFA">
        <w:rPr>
          <w:rFonts w:ascii="Times New Roman" w:hAnsi="Times New Roman" w:cs="Times New Roman"/>
        </w:rPr>
        <w:t xml:space="preserve"> (pp. 40–88). Jossey-Bass, An Imprint of Wiley.</w:t>
      </w:r>
    </w:p>
    <w:p w14:paraId="00ADB01F"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Brookfield, S. D. (2017). </w:t>
      </w:r>
      <w:r w:rsidRPr="00500BFA">
        <w:rPr>
          <w:rFonts w:ascii="Times New Roman" w:hAnsi="Times New Roman" w:cs="Times New Roman"/>
          <w:i/>
          <w:iCs/>
        </w:rPr>
        <w:t>Becoming a Critically Reflective Teacher</w:t>
      </w:r>
      <w:r w:rsidRPr="00500BFA">
        <w:rPr>
          <w:rFonts w:ascii="Times New Roman" w:hAnsi="Times New Roman" w:cs="Times New Roman"/>
        </w:rPr>
        <w:t>. Jossey-Bass, An Imprint of Wiley.</w:t>
      </w:r>
    </w:p>
    <w:p w14:paraId="224A388E"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Chan, S., </w:t>
      </w:r>
      <w:proofErr w:type="spellStart"/>
      <w:r w:rsidRPr="00500BFA">
        <w:rPr>
          <w:rFonts w:ascii="Times New Roman" w:hAnsi="Times New Roman" w:cs="Times New Roman"/>
        </w:rPr>
        <w:t>Maneewan</w:t>
      </w:r>
      <w:proofErr w:type="spellEnd"/>
      <w:r w:rsidRPr="00500BFA">
        <w:rPr>
          <w:rFonts w:ascii="Times New Roman" w:hAnsi="Times New Roman" w:cs="Times New Roman"/>
        </w:rPr>
        <w:t xml:space="preserve">, S., &amp; Koul, R. (2023). An examination of the relationship between the perceived instructional </w:t>
      </w:r>
      <w:proofErr w:type="spellStart"/>
      <w:r w:rsidRPr="00500BFA">
        <w:rPr>
          <w:rFonts w:ascii="Times New Roman" w:hAnsi="Times New Roman" w:cs="Times New Roman"/>
        </w:rPr>
        <w:t>behaviours</w:t>
      </w:r>
      <w:proofErr w:type="spellEnd"/>
      <w:r w:rsidRPr="00500BFA">
        <w:rPr>
          <w:rFonts w:ascii="Times New Roman" w:hAnsi="Times New Roman" w:cs="Times New Roman"/>
        </w:rPr>
        <w:t xml:space="preserve"> of teacher educators and pre-service teachers’ learning motivation and teaching self-efficacy. </w:t>
      </w:r>
      <w:r w:rsidRPr="00500BFA">
        <w:rPr>
          <w:rFonts w:ascii="Times New Roman" w:hAnsi="Times New Roman" w:cs="Times New Roman"/>
          <w:i/>
          <w:iCs/>
        </w:rPr>
        <w:t>Educational Review</w:t>
      </w:r>
      <w:r w:rsidRPr="00500BFA">
        <w:rPr>
          <w:rFonts w:ascii="Times New Roman" w:hAnsi="Times New Roman" w:cs="Times New Roman"/>
        </w:rPr>
        <w:t xml:space="preserve">, </w:t>
      </w:r>
      <w:r w:rsidRPr="00500BFA">
        <w:rPr>
          <w:rFonts w:ascii="Times New Roman" w:hAnsi="Times New Roman" w:cs="Times New Roman"/>
          <w:i/>
          <w:iCs/>
        </w:rPr>
        <w:t>75</w:t>
      </w:r>
      <w:r w:rsidRPr="00500BFA">
        <w:rPr>
          <w:rFonts w:ascii="Times New Roman" w:hAnsi="Times New Roman" w:cs="Times New Roman"/>
        </w:rPr>
        <w:t>(2), 264–286. https://doi.org/10.1080/00131911.2021.1916440</w:t>
      </w:r>
    </w:p>
    <w:p w14:paraId="14686845"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Cherrington, S. (2019). Developing Teacher Identity through Situated Cognition Approaches to Teacher Education. In D. </w:t>
      </w:r>
      <w:proofErr w:type="spellStart"/>
      <w:r w:rsidRPr="00500BFA">
        <w:rPr>
          <w:rFonts w:ascii="Times New Roman" w:hAnsi="Times New Roman" w:cs="Times New Roman"/>
        </w:rPr>
        <w:t>Clandinin</w:t>
      </w:r>
      <w:proofErr w:type="spellEnd"/>
      <w:r w:rsidRPr="00500BFA">
        <w:rPr>
          <w:rFonts w:ascii="Times New Roman" w:hAnsi="Times New Roman" w:cs="Times New Roman"/>
        </w:rPr>
        <w:t xml:space="preserve">, J. </w:t>
      </w:r>
      <w:proofErr w:type="spellStart"/>
      <w:r w:rsidRPr="00500BFA">
        <w:rPr>
          <w:rFonts w:ascii="Times New Roman" w:hAnsi="Times New Roman" w:cs="Times New Roman"/>
        </w:rPr>
        <w:t>Husu</w:t>
      </w:r>
      <w:proofErr w:type="spellEnd"/>
      <w:r w:rsidRPr="00500BFA">
        <w:rPr>
          <w:rFonts w:ascii="Times New Roman" w:hAnsi="Times New Roman" w:cs="Times New Roman"/>
        </w:rPr>
        <w:t xml:space="preserve">, &amp; S. Cherrington, </w:t>
      </w:r>
      <w:r w:rsidRPr="00500BFA">
        <w:rPr>
          <w:rFonts w:ascii="Times New Roman" w:hAnsi="Times New Roman" w:cs="Times New Roman"/>
          <w:i/>
          <w:iCs/>
        </w:rPr>
        <w:t>The SAGE Handbook of Research on Teacher Education</w:t>
      </w:r>
      <w:r w:rsidRPr="00500BFA">
        <w:rPr>
          <w:rFonts w:ascii="Times New Roman" w:hAnsi="Times New Roman" w:cs="Times New Roman"/>
        </w:rPr>
        <w:t xml:space="preserve"> (Vols. 1–2). SAGE Publications Ltd.</w:t>
      </w:r>
    </w:p>
    <w:p w14:paraId="0474E564"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Chi, M. T. H., &amp; </w:t>
      </w:r>
      <w:proofErr w:type="spellStart"/>
      <w:r w:rsidRPr="00500BFA">
        <w:rPr>
          <w:rFonts w:ascii="Times New Roman" w:hAnsi="Times New Roman" w:cs="Times New Roman"/>
        </w:rPr>
        <w:t>VanLehn</w:t>
      </w:r>
      <w:proofErr w:type="spellEnd"/>
      <w:r w:rsidRPr="00500BFA">
        <w:rPr>
          <w:rFonts w:ascii="Times New Roman" w:hAnsi="Times New Roman" w:cs="Times New Roman"/>
        </w:rPr>
        <w:t xml:space="preserve">, K. A. (2012). Seeing Deep Structure </w:t>
      </w:r>
      <w:proofErr w:type="gramStart"/>
      <w:r w:rsidRPr="00500BFA">
        <w:rPr>
          <w:rFonts w:ascii="Times New Roman" w:hAnsi="Times New Roman" w:cs="Times New Roman"/>
        </w:rPr>
        <w:t>From</w:t>
      </w:r>
      <w:proofErr w:type="gramEnd"/>
      <w:r w:rsidRPr="00500BFA">
        <w:rPr>
          <w:rFonts w:ascii="Times New Roman" w:hAnsi="Times New Roman" w:cs="Times New Roman"/>
        </w:rPr>
        <w:t xml:space="preserve"> the Interactions of Surface Features. </w:t>
      </w:r>
      <w:r w:rsidRPr="00500BFA">
        <w:rPr>
          <w:rFonts w:ascii="Times New Roman" w:hAnsi="Times New Roman" w:cs="Times New Roman"/>
          <w:i/>
          <w:iCs/>
        </w:rPr>
        <w:t>Educational Psychologist</w:t>
      </w:r>
      <w:r w:rsidRPr="00500BFA">
        <w:rPr>
          <w:rFonts w:ascii="Times New Roman" w:hAnsi="Times New Roman" w:cs="Times New Roman"/>
        </w:rPr>
        <w:t xml:space="preserve">, </w:t>
      </w:r>
      <w:r w:rsidRPr="00500BFA">
        <w:rPr>
          <w:rFonts w:ascii="Times New Roman" w:hAnsi="Times New Roman" w:cs="Times New Roman"/>
          <w:i/>
          <w:iCs/>
        </w:rPr>
        <w:t>47</w:t>
      </w:r>
      <w:r w:rsidRPr="00500BFA">
        <w:rPr>
          <w:rFonts w:ascii="Times New Roman" w:hAnsi="Times New Roman" w:cs="Times New Roman"/>
        </w:rPr>
        <w:t>(3), 177–188. https://doi.org/10.1080/00461520.2012.695709</w:t>
      </w:r>
    </w:p>
    <w:p w14:paraId="1390DFA5"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Clark, C., &amp; Lampert, M. (1986). </w:t>
      </w:r>
      <w:proofErr w:type="gramStart"/>
      <w:r w:rsidRPr="00500BFA">
        <w:rPr>
          <w:rFonts w:ascii="Times New Roman" w:hAnsi="Times New Roman" w:cs="Times New Roman"/>
        </w:rPr>
        <w:t>The Study</w:t>
      </w:r>
      <w:proofErr w:type="gramEnd"/>
      <w:r w:rsidRPr="00500BFA">
        <w:rPr>
          <w:rFonts w:ascii="Times New Roman" w:hAnsi="Times New Roman" w:cs="Times New Roman"/>
        </w:rPr>
        <w:t xml:space="preserve"> of Teacher Thinking: Implications for Teacher Education. </w:t>
      </w:r>
      <w:r w:rsidRPr="00500BFA">
        <w:rPr>
          <w:rFonts w:ascii="Times New Roman" w:hAnsi="Times New Roman" w:cs="Times New Roman"/>
          <w:i/>
          <w:iCs/>
        </w:rPr>
        <w:t>Journal of Teacher Education</w:t>
      </w:r>
      <w:r w:rsidRPr="00500BFA">
        <w:rPr>
          <w:rFonts w:ascii="Times New Roman" w:hAnsi="Times New Roman" w:cs="Times New Roman"/>
        </w:rPr>
        <w:t xml:space="preserve">, </w:t>
      </w:r>
      <w:r w:rsidRPr="00500BFA">
        <w:rPr>
          <w:rFonts w:ascii="Times New Roman" w:hAnsi="Times New Roman" w:cs="Times New Roman"/>
          <w:i/>
          <w:iCs/>
        </w:rPr>
        <w:t>37</w:t>
      </w:r>
      <w:r w:rsidRPr="00500BFA">
        <w:rPr>
          <w:rFonts w:ascii="Times New Roman" w:hAnsi="Times New Roman" w:cs="Times New Roman"/>
        </w:rPr>
        <w:t>(5), 27–31. https://doi.org/10.1177/002248718603700506</w:t>
      </w:r>
    </w:p>
    <w:p w14:paraId="37E08283"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Creswell, J. W., &amp; Creswell, J. D. (2023). </w:t>
      </w:r>
      <w:r w:rsidRPr="00500BFA">
        <w:rPr>
          <w:rFonts w:ascii="Times New Roman" w:hAnsi="Times New Roman" w:cs="Times New Roman"/>
          <w:i/>
          <w:iCs/>
        </w:rPr>
        <w:t xml:space="preserve">Research design: Qualitative, quantitative, and mixed methods </w:t>
      </w:r>
      <w:proofErr w:type="gramStart"/>
      <w:r w:rsidRPr="00500BFA">
        <w:rPr>
          <w:rFonts w:ascii="Times New Roman" w:hAnsi="Times New Roman" w:cs="Times New Roman"/>
          <w:i/>
          <w:iCs/>
        </w:rPr>
        <w:t>approaches</w:t>
      </w:r>
      <w:proofErr w:type="gramEnd"/>
      <w:r w:rsidRPr="00500BFA">
        <w:rPr>
          <w:rFonts w:ascii="Times New Roman" w:hAnsi="Times New Roman" w:cs="Times New Roman"/>
        </w:rPr>
        <w:t>. Sage publications.</w:t>
      </w:r>
    </w:p>
    <w:p w14:paraId="3AFBBB50"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Darling-Hammond, L. (2006). </w:t>
      </w:r>
      <w:r w:rsidRPr="00500BFA">
        <w:rPr>
          <w:rFonts w:ascii="Times New Roman" w:hAnsi="Times New Roman" w:cs="Times New Roman"/>
          <w:i/>
          <w:iCs/>
        </w:rPr>
        <w:t>Powerful teacher education: Lessons from exemplary programs</w:t>
      </w:r>
      <w:r w:rsidRPr="00500BFA">
        <w:rPr>
          <w:rFonts w:ascii="Times New Roman" w:hAnsi="Times New Roman" w:cs="Times New Roman"/>
        </w:rPr>
        <w:t xml:space="preserve">. Jossey-Bass, A </w:t>
      </w:r>
      <w:proofErr w:type="spellStart"/>
      <w:r w:rsidRPr="00500BFA">
        <w:rPr>
          <w:rFonts w:ascii="Times New Roman" w:hAnsi="Times New Roman" w:cs="Times New Roman"/>
        </w:rPr>
        <w:t>WIley</w:t>
      </w:r>
      <w:proofErr w:type="spellEnd"/>
      <w:r w:rsidRPr="00500BFA">
        <w:rPr>
          <w:rFonts w:ascii="Times New Roman" w:hAnsi="Times New Roman" w:cs="Times New Roman"/>
        </w:rPr>
        <w:t xml:space="preserve"> Imprint.</w:t>
      </w:r>
    </w:p>
    <w:p w14:paraId="664DB471"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Darling-Hammond, L., &amp; Sykes, G. (1999). </w:t>
      </w:r>
      <w:r w:rsidRPr="00500BFA">
        <w:rPr>
          <w:rFonts w:ascii="Times New Roman" w:hAnsi="Times New Roman" w:cs="Times New Roman"/>
          <w:i/>
          <w:iCs/>
        </w:rPr>
        <w:t>Teaching as the Learning Profession: Handbook of Policy and Practice</w:t>
      </w:r>
      <w:r w:rsidRPr="00500BFA">
        <w:rPr>
          <w:rFonts w:ascii="Times New Roman" w:hAnsi="Times New Roman" w:cs="Times New Roman"/>
        </w:rPr>
        <w:t>. Jossey-Bass.</w:t>
      </w:r>
    </w:p>
    <w:p w14:paraId="4E103EB9"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Day, C., &amp; Leitch, R. (2001). Teachers’ and teacher educators’ lives: The role of emotion. </w:t>
      </w:r>
      <w:r w:rsidRPr="00500BFA">
        <w:rPr>
          <w:rFonts w:ascii="Times New Roman" w:hAnsi="Times New Roman" w:cs="Times New Roman"/>
          <w:i/>
          <w:iCs/>
        </w:rPr>
        <w:t>Teaching and Teacher Education</w:t>
      </w:r>
      <w:r w:rsidRPr="00500BFA">
        <w:rPr>
          <w:rFonts w:ascii="Times New Roman" w:hAnsi="Times New Roman" w:cs="Times New Roman"/>
        </w:rPr>
        <w:t xml:space="preserve">, </w:t>
      </w:r>
      <w:r w:rsidRPr="00500BFA">
        <w:rPr>
          <w:rFonts w:ascii="Times New Roman" w:hAnsi="Times New Roman" w:cs="Times New Roman"/>
          <w:i/>
          <w:iCs/>
        </w:rPr>
        <w:t>17</w:t>
      </w:r>
      <w:r w:rsidRPr="00500BFA">
        <w:rPr>
          <w:rFonts w:ascii="Times New Roman" w:hAnsi="Times New Roman" w:cs="Times New Roman"/>
        </w:rPr>
        <w:t>(4), 403–415. https://doi.org/10.1016/S0742-051X(01)00003-8</w:t>
      </w:r>
    </w:p>
    <w:p w14:paraId="604319B8"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Dewey, J. (1933). </w:t>
      </w:r>
      <w:r w:rsidRPr="00500BFA">
        <w:rPr>
          <w:rFonts w:ascii="Times New Roman" w:hAnsi="Times New Roman" w:cs="Times New Roman"/>
          <w:i/>
          <w:iCs/>
        </w:rPr>
        <w:t>How we think: A restatement of the relation of reflective thinking to the educative process</w:t>
      </w:r>
      <w:r w:rsidRPr="00500BFA">
        <w:rPr>
          <w:rFonts w:ascii="Times New Roman" w:hAnsi="Times New Roman" w:cs="Times New Roman"/>
        </w:rPr>
        <w:t>. Heath &amp; Co. Publishers.</w:t>
      </w:r>
    </w:p>
    <w:p w14:paraId="093E91DF"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Dumlao, R. P., &amp; </w:t>
      </w:r>
      <w:proofErr w:type="spellStart"/>
      <w:r w:rsidRPr="00500BFA">
        <w:rPr>
          <w:rFonts w:ascii="Times New Roman" w:hAnsi="Times New Roman" w:cs="Times New Roman"/>
        </w:rPr>
        <w:t>Pinatacan</w:t>
      </w:r>
      <w:proofErr w:type="spellEnd"/>
      <w:r w:rsidRPr="00500BFA">
        <w:rPr>
          <w:rFonts w:ascii="Times New Roman" w:hAnsi="Times New Roman" w:cs="Times New Roman"/>
        </w:rPr>
        <w:t xml:space="preserve">, J. R. (2019). From Practice to Writing: Using Reflective Journal Instruction in Enhancing Pre-Service Teachers’ Professional Development. </w:t>
      </w:r>
      <w:r w:rsidRPr="00500BFA">
        <w:rPr>
          <w:rFonts w:ascii="Times New Roman" w:hAnsi="Times New Roman" w:cs="Times New Roman"/>
          <w:i/>
          <w:iCs/>
        </w:rPr>
        <w:t>International Journal of Instruction</w:t>
      </w:r>
      <w:r w:rsidRPr="00500BFA">
        <w:rPr>
          <w:rFonts w:ascii="Times New Roman" w:hAnsi="Times New Roman" w:cs="Times New Roman"/>
        </w:rPr>
        <w:t xml:space="preserve">, </w:t>
      </w:r>
      <w:r w:rsidRPr="00500BFA">
        <w:rPr>
          <w:rFonts w:ascii="Times New Roman" w:hAnsi="Times New Roman" w:cs="Times New Roman"/>
          <w:i/>
          <w:iCs/>
        </w:rPr>
        <w:t>12</w:t>
      </w:r>
      <w:r w:rsidRPr="00500BFA">
        <w:rPr>
          <w:rFonts w:ascii="Times New Roman" w:hAnsi="Times New Roman" w:cs="Times New Roman"/>
        </w:rPr>
        <w:t>(4), 459–478. https://doi.org/10.29333/iji.2019.12430a</w:t>
      </w:r>
    </w:p>
    <w:p w14:paraId="406ECC50"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Eck, C. J., &amp; Edwards, M. C. (2019). Teacher shortage in school-based, agricultural education (SBAE): A historical review. </w:t>
      </w:r>
      <w:r w:rsidRPr="00500BFA">
        <w:rPr>
          <w:rFonts w:ascii="Times New Roman" w:hAnsi="Times New Roman" w:cs="Times New Roman"/>
          <w:i/>
          <w:iCs/>
        </w:rPr>
        <w:t>Journal of Agricultural Education</w:t>
      </w:r>
      <w:r w:rsidRPr="00500BFA">
        <w:rPr>
          <w:rFonts w:ascii="Times New Roman" w:hAnsi="Times New Roman" w:cs="Times New Roman"/>
        </w:rPr>
        <w:t xml:space="preserve">, </w:t>
      </w:r>
      <w:r w:rsidRPr="00500BFA">
        <w:rPr>
          <w:rFonts w:ascii="Times New Roman" w:hAnsi="Times New Roman" w:cs="Times New Roman"/>
          <w:i/>
          <w:iCs/>
        </w:rPr>
        <w:t>60</w:t>
      </w:r>
      <w:r w:rsidRPr="00500BFA">
        <w:rPr>
          <w:rFonts w:ascii="Times New Roman" w:hAnsi="Times New Roman" w:cs="Times New Roman"/>
        </w:rPr>
        <w:t>(4), 223–239. https://doi.org/10.5032/jae.2019.04223</w:t>
      </w:r>
    </w:p>
    <w:p w14:paraId="75A0EAA8"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Fauzi, A., &amp; </w:t>
      </w:r>
      <w:proofErr w:type="spellStart"/>
      <w:r w:rsidRPr="00500BFA">
        <w:rPr>
          <w:rFonts w:ascii="Times New Roman" w:hAnsi="Times New Roman" w:cs="Times New Roman"/>
        </w:rPr>
        <w:t>Sa’diyah</w:t>
      </w:r>
      <w:proofErr w:type="spellEnd"/>
      <w:r w:rsidRPr="00500BFA">
        <w:rPr>
          <w:rFonts w:ascii="Times New Roman" w:hAnsi="Times New Roman" w:cs="Times New Roman"/>
        </w:rPr>
        <w:t xml:space="preserve">, W. (2019). The Metacognition of Pre-Service Biology Teachers: Awareness, Skills, Understanding, and Practices. </w:t>
      </w:r>
      <w:r w:rsidRPr="00500BFA">
        <w:rPr>
          <w:rFonts w:ascii="Times New Roman" w:hAnsi="Times New Roman" w:cs="Times New Roman"/>
          <w:i/>
          <w:iCs/>
        </w:rPr>
        <w:t>Proceedings of the 6th International Conference on Community Development (ICCD 2019)</w:t>
      </w:r>
      <w:r w:rsidRPr="00500BFA">
        <w:rPr>
          <w:rFonts w:ascii="Times New Roman" w:hAnsi="Times New Roman" w:cs="Times New Roman"/>
        </w:rPr>
        <w:t>. Proceedings of the 6th International Conference on Community Development (ICCD 2019). https://doi.org/10.2991/iccd-19.2019.8</w:t>
      </w:r>
    </w:p>
    <w:p w14:paraId="395727D1"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Feiman-Nemser, S. (2001). Helping Novices Learn to Teach: Lessons from an Exemplary Support Teacher. </w:t>
      </w:r>
      <w:r w:rsidRPr="00500BFA">
        <w:rPr>
          <w:rFonts w:ascii="Times New Roman" w:hAnsi="Times New Roman" w:cs="Times New Roman"/>
          <w:i/>
          <w:iCs/>
        </w:rPr>
        <w:t>Journal of Teacher Education</w:t>
      </w:r>
      <w:r w:rsidRPr="00500BFA">
        <w:rPr>
          <w:rFonts w:ascii="Times New Roman" w:hAnsi="Times New Roman" w:cs="Times New Roman"/>
        </w:rPr>
        <w:t xml:space="preserve">, </w:t>
      </w:r>
      <w:r w:rsidRPr="00500BFA">
        <w:rPr>
          <w:rFonts w:ascii="Times New Roman" w:hAnsi="Times New Roman" w:cs="Times New Roman"/>
          <w:i/>
          <w:iCs/>
        </w:rPr>
        <w:t>52</w:t>
      </w:r>
      <w:r w:rsidRPr="00500BFA">
        <w:rPr>
          <w:rFonts w:ascii="Times New Roman" w:hAnsi="Times New Roman" w:cs="Times New Roman"/>
        </w:rPr>
        <w:t>(1), 17–30. https://doi.org/10.1177/0022487101052001003</w:t>
      </w:r>
    </w:p>
    <w:p w14:paraId="5F9F4F45"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Fereday, J., &amp; Muir-Cochrane, E. (2006). Demonstrating Rigor Using Thematic Analysis: A Hybrid Approach of Inductive and Deductive Coding and Theme Development. </w:t>
      </w:r>
      <w:r w:rsidRPr="00500BFA">
        <w:rPr>
          <w:rFonts w:ascii="Times New Roman" w:hAnsi="Times New Roman" w:cs="Times New Roman"/>
          <w:i/>
          <w:iCs/>
        </w:rPr>
        <w:t>International Journal of Qualitative Methods</w:t>
      </w:r>
      <w:r w:rsidRPr="00500BFA">
        <w:rPr>
          <w:rFonts w:ascii="Times New Roman" w:hAnsi="Times New Roman" w:cs="Times New Roman"/>
        </w:rPr>
        <w:t xml:space="preserve">, </w:t>
      </w:r>
      <w:r w:rsidRPr="00500BFA">
        <w:rPr>
          <w:rFonts w:ascii="Times New Roman" w:hAnsi="Times New Roman" w:cs="Times New Roman"/>
          <w:i/>
          <w:iCs/>
        </w:rPr>
        <w:t>5</w:t>
      </w:r>
      <w:r w:rsidRPr="00500BFA">
        <w:rPr>
          <w:rFonts w:ascii="Times New Roman" w:hAnsi="Times New Roman" w:cs="Times New Roman"/>
        </w:rPr>
        <w:t>(1), 80–92. https://doi.org/10.1177/160940690600500107</w:t>
      </w:r>
    </w:p>
    <w:p w14:paraId="7DB0FBCE"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Flavell, J. H. (1979). Metacognition and cognitive monitoring: A new area of cognitive–developmental inquiry. </w:t>
      </w:r>
      <w:r w:rsidRPr="00500BFA">
        <w:rPr>
          <w:rFonts w:ascii="Times New Roman" w:hAnsi="Times New Roman" w:cs="Times New Roman"/>
          <w:i/>
          <w:iCs/>
        </w:rPr>
        <w:t>American Psychologist</w:t>
      </w:r>
      <w:r w:rsidRPr="00500BFA">
        <w:rPr>
          <w:rFonts w:ascii="Times New Roman" w:hAnsi="Times New Roman" w:cs="Times New Roman"/>
        </w:rPr>
        <w:t xml:space="preserve">, </w:t>
      </w:r>
      <w:r w:rsidRPr="00500BFA">
        <w:rPr>
          <w:rFonts w:ascii="Times New Roman" w:hAnsi="Times New Roman" w:cs="Times New Roman"/>
          <w:i/>
          <w:iCs/>
        </w:rPr>
        <w:t>34</w:t>
      </w:r>
      <w:r w:rsidRPr="00500BFA">
        <w:rPr>
          <w:rFonts w:ascii="Times New Roman" w:hAnsi="Times New Roman" w:cs="Times New Roman"/>
        </w:rPr>
        <w:t>(10), 906–911. https://doi.org/10.1037/0003-066X.34.10.906</w:t>
      </w:r>
    </w:p>
    <w:p w14:paraId="09B903B4"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Ganda, D. R., &amp; </w:t>
      </w:r>
      <w:proofErr w:type="spellStart"/>
      <w:r w:rsidRPr="00500BFA">
        <w:rPr>
          <w:rFonts w:ascii="Times New Roman" w:hAnsi="Times New Roman" w:cs="Times New Roman"/>
        </w:rPr>
        <w:t>Boruchovitch</w:t>
      </w:r>
      <w:proofErr w:type="spellEnd"/>
      <w:r w:rsidRPr="00500BFA">
        <w:rPr>
          <w:rFonts w:ascii="Times New Roman" w:hAnsi="Times New Roman" w:cs="Times New Roman"/>
        </w:rPr>
        <w:t xml:space="preserve">, E. (2018). Promoting Self-regulated Learning of Brazilian Preservice Student Teachers: Results of an Intervention Program. </w:t>
      </w:r>
      <w:r w:rsidRPr="00500BFA">
        <w:rPr>
          <w:rFonts w:ascii="Times New Roman" w:hAnsi="Times New Roman" w:cs="Times New Roman"/>
          <w:i/>
          <w:iCs/>
        </w:rPr>
        <w:t>Frontiers in Education</w:t>
      </w:r>
      <w:r w:rsidRPr="00500BFA">
        <w:rPr>
          <w:rFonts w:ascii="Times New Roman" w:hAnsi="Times New Roman" w:cs="Times New Roman"/>
        </w:rPr>
        <w:t xml:space="preserve">, </w:t>
      </w:r>
      <w:r w:rsidRPr="00500BFA">
        <w:rPr>
          <w:rFonts w:ascii="Times New Roman" w:hAnsi="Times New Roman" w:cs="Times New Roman"/>
          <w:i/>
          <w:iCs/>
        </w:rPr>
        <w:t>3</w:t>
      </w:r>
      <w:r w:rsidRPr="00500BFA">
        <w:rPr>
          <w:rFonts w:ascii="Times New Roman" w:hAnsi="Times New Roman" w:cs="Times New Roman"/>
        </w:rPr>
        <w:t>, 5. https://doi.org/10.3389/feduc.2018.00005</w:t>
      </w:r>
    </w:p>
    <w:p w14:paraId="19CFB93B"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Garza, R., &amp; Smith, S. F. (2015). Pre-service teachers’ blog reflections: Illuminating their growth and development. </w:t>
      </w:r>
      <w:r w:rsidRPr="00500BFA">
        <w:rPr>
          <w:rFonts w:ascii="Times New Roman" w:hAnsi="Times New Roman" w:cs="Times New Roman"/>
          <w:i/>
          <w:iCs/>
        </w:rPr>
        <w:t>Cogent Education</w:t>
      </w:r>
      <w:r w:rsidRPr="00500BFA">
        <w:rPr>
          <w:rFonts w:ascii="Times New Roman" w:hAnsi="Times New Roman" w:cs="Times New Roman"/>
        </w:rPr>
        <w:t xml:space="preserve">, </w:t>
      </w:r>
      <w:r w:rsidRPr="00500BFA">
        <w:rPr>
          <w:rFonts w:ascii="Times New Roman" w:hAnsi="Times New Roman" w:cs="Times New Roman"/>
          <w:i/>
          <w:iCs/>
        </w:rPr>
        <w:t>2</w:t>
      </w:r>
      <w:r w:rsidRPr="00500BFA">
        <w:rPr>
          <w:rFonts w:ascii="Times New Roman" w:hAnsi="Times New Roman" w:cs="Times New Roman"/>
        </w:rPr>
        <w:t>(1), 1066550. https://doi.org/10.1080/2331186X.2015.1066550</w:t>
      </w:r>
    </w:p>
    <w:p w14:paraId="5101BFAF"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Gee, J. P. (2000). Chapter 3: Identity as an Analytic Lens for Research in Education. </w:t>
      </w:r>
      <w:r w:rsidRPr="00500BFA">
        <w:rPr>
          <w:rFonts w:ascii="Times New Roman" w:hAnsi="Times New Roman" w:cs="Times New Roman"/>
          <w:i/>
          <w:iCs/>
        </w:rPr>
        <w:t>Review of Research in Education</w:t>
      </w:r>
      <w:r w:rsidRPr="00500BFA">
        <w:rPr>
          <w:rFonts w:ascii="Times New Roman" w:hAnsi="Times New Roman" w:cs="Times New Roman"/>
        </w:rPr>
        <w:t xml:space="preserve">, </w:t>
      </w:r>
      <w:r w:rsidRPr="00500BFA">
        <w:rPr>
          <w:rFonts w:ascii="Times New Roman" w:hAnsi="Times New Roman" w:cs="Times New Roman"/>
          <w:i/>
          <w:iCs/>
        </w:rPr>
        <w:t>25</w:t>
      </w:r>
      <w:r w:rsidRPr="00500BFA">
        <w:rPr>
          <w:rFonts w:ascii="Times New Roman" w:hAnsi="Times New Roman" w:cs="Times New Roman"/>
        </w:rPr>
        <w:t>(1), 99–125. https://doi.org/10.3102/0091732X025001099</w:t>
      </w:r>
    </w:p>
    <w:p w14:paraId="4B237FB4" w14:textId="77777777" w:rsidR="00500BFA" w:rsidRPr="00500BFA" w:rsidRDefault="00500BFA" w:rsidP="00500BFA">
      <w:pPr>
        <w:pStyle w:val="Bibliography"/>
        <w:ind w:hanging="562"/>
        <w:rPr>
          <w:rFonts w:ascii="Times New Roman" w:hAnsi="Times New Roman" w:cs="Times New Roman"/>
        </w:rPr>
      </w:pPr>
      <w:proofErr w:type="spellStart"/>
      <w:r w:rsidRPr="00500BFA">
        <w:rPr>
          <w:rFonts w:ascii="Times New Roman" w:hAnsi="Times New Roman" w:cs="Times New Roman"/>
        </w:rPr>
        <w:t>Hammerness</w:t>
      </w:r>
      <w:proofErr w:type="spellEnd"/>
      <w:r w:rsidRPr="00500BFA">
        <w:rPr>
          <w:rFonts w:ascii="Times New Roman" w:hAnsi="Times New Roman" w:cs="Times New Roman"/>
        </w:rPr>
        <w:t xml:space="preserve">, K., Darling-Hammond, L., Bransford, J., Berliner, D., Cochran-Smith, M., &amp; McDonald, M. (2005). How Teachers Learn and Develop. In L. Darling-Hammond, K. Zeichner, &amp; J. Bransford (Eds.), </w:t>
      </w:r>
      <w:r w:rsidRPr="00500BFA">
        <w:rPr>
          <w:rFonts w:ascii="Times New Roman" w:hAnsi="Times New Roman" w:cs="Times New Roman"/>
          <w:i/>
          <w:iCs/>
        </w:rPr>
        <w:t>Preparing Teachers for a Changing World: What teachers should learn and be able to do</w:t>
      </w:r>
      <w:r w:rsidRPr="00500BFA">
        <w:rPr>
          <w:rFonts w:ascii="Times New Roman" w:hAnsi="Times New Roman" w:cs="Times New Roman"/>
        </w:rPr>
        <w:t xml:space="preserve"> (pp. 358–389). Jossey-Bass, An Imprint of Wiley.</w:t>
      </w:r>
    </w:p>
    <w:p w14:paraId="2BE70225"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Hammersley‐Fletcher, L., &amp; </w:t>
      </w:r>
      <w:proofErr w:type="spellStart"/>
      <w:r w:rsidRPr="00500BFA">
        <w:rPr>
          <w:rFonts w:ascii="Times New Roman" w:hAnsi="Times New Roman" w:cs="Times New Roman"/>
        </w:rPr>
        <w:t>Orsmond</w:t>
      </w:r>
      <w:proofErr w:type="spellEnd"/>
      <w:r w:rsidRPr="00500BFA">
        <w:rPr>
          <w:rFonts w:ascii="Times New Roman" w:hAnsi="Times New Roman" w:cs="Times New Roman"/>
        </w:rPr>
        <w:t xml:space="preserve">, P. (2005). Reflecting on reflective practices within peer observation. </w:t>
      </w:r>
      <w:r w:rsidRPr="00500BFA">
        <w:rPr>
          <w:rFonts w:ascii="Times New Roman" w:hAnsi="Times New Roman" w:cs="Times New Roman"/>
          <w:i/>
          <w:iCs/>
        </w:rPr>
        <w:t>Studies in Higher Education</w:t>
      </w:r>
      <w:r w:rsidRPr="00500BFA">
        <w:rPr>
          <w:rFonts w:ascii="Times New Roman" w:hAnsi="Times New Roman" w:cs="Times New Roman"/>
        </w:rPr>
        <w:t xml:space="preserve">, </w:t>
      </w:r>
      <w:r w:rsidRPr="00500BFA">
        <w:rPr>
          <w:rFonts w:ascii="Times New Roman" w:hAnsi="Times New Roman" w:cs="Times New Roman"/>
          <w:i/>
          <w:iCs/>
        </w:rPr>
        <w:t>30</w:t>
      </w:r>
      <w:r w:rsidRPr="00500BFA">
        <w:rPr>
          <w:rFonts w:ascii="Times New Roman" w:hAnsi="Times New Roman" w:cs="Times New Roman"/>
        </w:rPr>
        <w:t>(2), 213–224. https://doi.org/10.1080/03075070500043358</w:t>
      </w:r>
    </w:p>
    <w:p w14:paraId="584A128B"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Hatton, N., &amp; Smith, D. (1995). Reflection in teacher education: Towards definition and implementation. </w:t>
      </w:r>
      <w:r w:rsidRPr="00500BFA">
        <w:rPr>
          <w:rFonts w:ascii="Times New Roman" w:hAnsi="Times New Roman" w:cs="Times New Roman"/>
          <w:i/>
          <w:iCs/>
        </w:rPr>
        <w:t>Teaching and Teacher Education</w:t>
      </w:r>
      <w:r w:rsidRPr="00500BFA">
        <w:rPr>
          <w:rFonts w:ascii="Times New Roman" w:hAnsi="Times New Roman" w:cs="Times New Roman"/>
        </w:rPr>
        <w:t xml:space="preserve">, </w:t>
      </w:r>
      <w:r w:rsidRPr="00500BFA">
        <w:rPr>
          <w:rFonts w:ascii="Times New Roman" w:hAnsi="Times New Roman" w:cs="Times New Roman"/>
          <w:i/>
          <w:iCs/>
        </w:rPr>
        <w:t>11</w:t>
      </w:r>
      <w:r w:rsidRPr="00500BFA">
        <w:rPr>
          <w:rFonts w:ascii="Times New Roman" w:hAnsi="Times New Roman" w:cs="Times New Roman"/>
        </w:rPr>
        <w:t>(1), 33–49. https://doi.org/10.1016/0742-051X(94)00012-U</w:t>
      </w:r>
    </w:p>
    <w:p w14:paraId="2CB634D1"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Johannessen, W. H. (2024). Modelling teachers’ reflective practice. </w:t>
      </w:r>
      <w:r w:rsidRPr="00500BFA">
        <w:rPr>
          <w:rFonts w:ascii="Times New Roman" w:hAnsi="Times New Roman" w:cs="Times New Roman"/>
          <w:i/>
          <w:iCs/>
        </w:rPr>
        <w:t>Reflective Practice</w:t>
      </w:r>
      <w:r w:rsidRPr="00500BFA">
        <w:rPr>
          <w:rFonts w:ascii="Times New Roman" w:hAnsi="Times New Roman" w:cs="Times New Roman"/>
        </w:rPr>
        <w:t xml:space="preserve">, </w:t>
      </w:r>
      <w:r w:rsidRPr="00500BFA">
        <w:rPr>
          <w:rFonts w:ascii="Times New Roman" w:hAnsi="Times New Roman" w:cs="Times New Roman"/>
          <w:i/>
          <w:iCs/>
        </w:rPr>
        <w:t>25</w:t>
      </w:r>
      <w:r w:rsidRPr="00500BFA">
        <w:rPr>
          <w:rFonts w:ascii="Times New Roman" w:hAnsi="Times New Roman" w:cs="Times New Roman"/>
        </w:rPr>
        <w:t>(6), 784–798. https://doi.org/10.1080/14623943.2024.2406934</w:t>
      </w:r>
    </w:p>
    <w:p w14:paraId="6514F2FE"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Johns, C. (1994). Nuances of reflection. </w:t>
      </w:r>
      <w:r w:rsidRPr="00500BFA">
        <w:rPr>
          <w:rFonts w:ascii="Times New Roman" w:hAnsi="Times New Roman" w:cs="Times New Roman"/>
          <w:i/>
          <w:iCs/>
        </w:rPr>
        <w:t>Journal of Clinical Nursing</w:t>
      </w:r>
      <w:r w:rsidRPr="00500BFA">
        <w:rPr>
          <w:rFonts w:ascii="Times New Roman" w:hAnsi="Times New Roman" w:cs="Times New Roman"/>
        </w:rPr>
        <w:t xml:space="preserve">, </w:t>
      </w:r>
      <w:r w:rsidRPr="00500BFA">
        <w:rPr>
          <w:rFonts w:ascii="Times New Roman" w:hAnsi="Times New Roman" w:cs="Times New Roman"/>
          <w:i/>
          <w:iCs/>
        </w:rPr>
        <w:t>3</w:t>
      </w:r>
      <w:r w:rsidRPr="00500BFA">
        <w:rPr>
          <w:rFonts w:ascii="Times New Roman" w:hAnsi="Times New Roman" w:cs="Times New Roman"/>
        </w:rPr>
        <w:t>(2), 71–74. https://doi.org/10.1111/j.1365-2702.1994.tb00364.x</w:t>
      </w:r>
    </w:p>
    <w:p w14:paraId="6FBAD589"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Kennedy, M. (1999). The role of preservice teacher education. In L. Darling-Hammond &amp; G. Sykes (Eds.), </w:t>
      </w:r>
      <w:r w:rsidRPr="00500BFA">
        <w:rPr>
          <w:rFonts w:ascii="Times New Roman" w:hAnsi="Times New Roman" w:cs="Times New Roman"/>
          <w:i/>
          <w:iCs/>
        </w:rPr>
        <w:t>Teaching as the learning professions: Handbook of policy and practice</w:t>
      </w:r>
      <w:r w:rsidRPr="00500BFA">
        <w:rPr>
          <w:rFonts w:ascii="Times New Roman" w:hAnsi="Times New Roman" w:cs="Times New Roman"/>
        </w:rPr>
        <w:t xml:space="preserve"> (pp. 54–85). Jossey Bass.</w:t>
      </w:r>
    </w:p>
    <w:p w14:paraId="6D9ECBBF"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Korthagen, F., &amp; </w:t>
      </w:r>
      <w:proofErr w:type="spellStart"/>
      <w:r w:rsidRPr="00500BFA">
        <w:rPr>
          <w:rFonts w:ascii="Times New Roman" w:hAnsi="Times New Roman" w:cs="Times New Roman"/>
        </w:rPr>
        <w:t>Vasalos</w:t>
      </w:r>
      <w:proofErr w:type="spellEnd"/>
      <w:r w:rsidRPr="00500BFA">
        <w:rPr>
          <w:rFonts w:ascii="Times New Roman" w:hAnsi="Times New Roman" w:cs="Times New Roman"/>
        </w:rPr>
        <w:t xml:space="preserve">, A. (2005). Levels in reflection: Core reflection </w:t>
      </w:r>
      <w:proofErr w:type="gramStart"/>
      <w:r w:rsidRPr="00500BFA">
        <w:rPr>
          <w:rFonts w:ascii="Times New Roman" w:hAnsi="Times New Roman" w:cs="Times New Roman"/>
        </w:rPr>
        <w:t>as a means to</w:t>
      </w:r>
      <w:proofErr w:type="gramEnd"/>
      <w:r w:rsidRPr="00500BFA">
        <w:rPr>
          <w:rFonts w:ascii="Times New Roman" w:hAnsi="Times New Roman" w:cs="Times New Roman"/>
        </w:rPr>
        <w:t xml:space="preserve"> enhance professional growth. </w:t>
      </w:r>
      <w:r w:rsidRPr="00500BFA">
        <w:rPr>
          <w:rFonts w:ascii="Times New Roman" w:hAnsi="Times New Roman" w:cs="Times New Roman"/>
          <w:i/>
          <w:iCs/>
        </w:rPr>
        <w:t>Teachers and Teaching</w:t>
      </w:r>
      <w:r w:rsidRPr="00500BFA">
        <w:rPr>
          <w:rFonts w:ascii="Times New Roman" w:hAnsi="Times New Roman" w:cs="Times New Roman"/>
        </w:rPr>
        <w:t xml:space="preserve">, </w:t>
      </w:r>
      <w:r w:rsidRPr="00500BFA">
        <w:rPr>
          <w:rFonts w:ascii="Times New Roman" w:hAnsi="Times New Roman" w:cs="Times New Roman"/>
          <w:i/>
          <w:iCs/>
        </w:rPr>
        <w:t>11</w:t>
      </w:r>
      <w:r w:rsidRPr="00500BFA">
        <w:rPr>
          <w:rFonts w:ascii="Times New Roman" w:hAnsi="Times New Roman" w:cs="Times New Roman"/>
        </w:rPr>
        <w:t>(1), 47–71. https://doi.org/10.1080/1354060042000337093</w:t>
      </w:r>
    </w:p>
    <w:p w14:paraId="7FFB5CA3"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Lambert, M. D., Velez, J. J., &amp; Elliott, K. M. (2014). What are the teachers’ experiences when implementing the Curriculum for Agricultural Science Education? </w:t>
      </w:r>
      <w:r w:rsidRPr="00500BFA">
        <w:rPr>
          <w:rFonts w:ascii="Times New Roman" w:hAnsi="Times New Roman" w:cs="Times New Roman"/>
          <w:i/>
          <w:iCs/>
        </w:rPr>
        <w:t>Journal of Agricultural Education</w:t>
      </w:r>
      <w:r w:rsidRPr="00500BFA">
        <w:rPr>
          <w:rFonts w:ascii="Times New Roman" w:hAnsi="Times New Roman" w:cs="Times New Roman"/>
        </w:rPr>
        <w:t xml:space="preserve">, </w:t>
      </w:r>
      <w:r w:rsidRPr="00500BFA">
        <w:rPr>
          <w:rFonts w:ascii="Times New Roman" w:hAnsi="Times New Roman" w:cs="Times New Roman"/>
          <w:i/>
          <w:iCs/>
        </w:rPr>
        <w:t>55</w:t>
      </w:r>
      <w:r w:rsidRPr="00500BFA">
        <w:rPr>
          <w:rFonts w:ascii="Times New Roman" w:hAnsi="Times New Roman" w:cs="Times New Roman"/>
        </w:rPr>
        <w:t>(4), 100–115. https://doi.org/10.5032/jae.2014.04100</w:t>
      </w:r>
    </w:p>
    <w:p w14:paraId="691DDBF6"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Lampert, M. (2010). Learning Teaching in, </w:t>
      </w:r>
      <w:proofErr w:type="gramStart"/>
      <w:r w:rsidRPr="00500BFA">
        <w:rPr>
          <w:rFonts w:ascii="Times New Roman" w:hAnsi="Times New Roman" w:cs="Times New Roman"/>
        </w:rPr>
        <w:t>from</w:t>
      </w:r>
      <w:proofErr w:type="gramEnd"/>
      <w:r w:rsidRPr="00500BFA">
        <w:rPr>
          <w:rFonts w:ascii="Times New Roman" w:hAnsi="Times New Roman" w:cs="Times New Roman"/>
        </w:rPr>
        <w:t xml:space="preserve">, and for Practice: What Do We Mean? </w:t>
      </w:r>
      <w:r w:rsidRPr="00500BFA">
        <w:rPr>
          <w:rFonts w:ascii="Times New Roman" w:hAnsi="Times New Roman" w:cs="Times New Roman"/>
          <w:i/>
          <w:iCs/>
        </w:rPr>
        <w:t>Journal of Teacher Education</w:t>
      </w:r>
      <w:r w:rsidRPr="00500BFA">
        <w:rPr>
          <w:rFonts w:ascii="Times New Roman" w:hAnsi="Times New Roman" w:cs="Times New Roman"/>
        </w:rPr>
        <w:t xml:space="preserve">, </w:t>
      </w:r>
      <w:r w:rsidRPr="00500BFA">
        <w:rPr>
          <w:rFonts w:ascii="Times New Roman" w:hAnsi="Times New Roman" w:cs="Times New Roman"/>
          <w:i/>
          <w:iCs/>
        </w:rPr>
        <w:t>61</w:t>
      </w:r>
      <w:r w:rsidRPr="00500BFA">
        <w:rPr>
          <w:rFonts w:ascii="Times New Roman" w:hAnsi="Times New Roman" w:cs="Times New Roman"/>
        </w:rPr>
        <w:t>(1–2), 21–34. https://doi.org/10.1177/0022487109347321</w:t>
      </w:r>
    </w:p>
    <w:p w14:paraId="398C6B39"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Larsen-Freeman, D. (2013). Transfer of Learning Transformed. </w:t>
      </w:r>
      <w:r w:rsidRPr="00500BFA">
        <w:rPr>
          <w:rFonts w:ascii="Times New Roman" w:hAnsi="Times New Roman" w:cs="Times New Roman"/>
          <w:i/>
          <w:iCs/>
        </w:rPr>
        <w:t>Language Learning</w:t>
      </w:r>
      <w:r w:rsidRPr="00500BFA">
        <w:rPr>
          <w:rFonts w:ascii="Times New Roman" w:hAnsi="Times New Roman" w:cs="Times New Roman"/>
        </w:rPr>
        <w:t xml:space="preserve">, </w:t>
      </w:r>
      <w:r w:rsidRPr="00500BFA">
        <w:rPr>
          <w:rFonts w:ascii="Times New Roman" w:hAnsi="Times New Roman" w:cs="Times New Roman"/>
          <w:i/>
          <w:iCs/>
        </w:rPr>
        <w:t>63</w:t>
      </w:r>
      <w:r w:rsidRPr="00500BFA">
        <w:rPr>
          <w:rFonts w:ascii="Times New Roman" w:hAnsi="Times New Roman" w:cs="Times New Roman"/>
        </w:rPr>
        <w:t>(s1), 107–129. https://doi.org/10.1111/j.1467-9922.2012.00740.x</w:t>
      </w:r>
    </w:p>
    <w:p w14:paraId="5AFA310A"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Lave, J. (1988). </w:t>
      </w:r>
      <w:r w:rsidRPr="00500BFA">
        <w:rPr>
          <w:rFonts w:ascii="Times New Roman" w:hAnsi="Times New Roman" w:cs="Times New Roman"/>
          <w:i/>
          <w:iCs/>
        </w:rPr>
        <w:t>Cognition in practice: Mind, mathematics and culture in everyday life</w:t>
      </w:r>
      <w:r w:rsidRPr="00500BFA">
        <w:rPr>
          <w:rFonts w:ascii="Times New Roman" w:hAnsi="Times New Roman" w:cs="Times New Roman"/>
        </w:rPr>
        <w:t>. Cambridge Univ. Press.</w:t>
      </w:r>
    </w:p>
    <w:p w14:paraId="4B382379"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Lave, J., &amp; Wenger, E. (1991). </w:t>
      </w:r>
      <w:r w:rsidRPr="00500BFA">
        <w:rPr>
          <w:rFonts w:ascii="Times New Roman" w:hAnsi="Times New Roman" w:cs="Times New Roman"/>
          <w:i/>
          <w:iCs/>
        </w:rPr>
        <w:t>Situated Learning: Legitimate Peripheral Participation</w:t>
      </w:r>
      <w:r w:rsidRPr="00500BFA">
        <w:rPr>
          <w:rFonts w:ascii="Times New Roman" w:hAnsi="Times New Roman" w:cs="Times New Roman"/>
        </w:rPr>
        <w:t>.</w:t>
      </w:r>
    </w:p>
    <w:p w14:paraId="43B5C6CD"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Leung, J. S. C. (2021). Shifting the Teaching Beliefs of Preservice Science Teachers About </w:t>
      </w:r>
      <w:proofErr w:type="spellStart"/>
      <w:r w:rsidRPr="00500BFA">
        <w:rPr>
          <w:rFonts w:ascii="Times New Roman" w:hAnsi="Times New Roman" w:cs="Times New Roman"/>
        </w:rPr>
        <w:t>Socioscientific</w:t>
      </w:r>
      <w:proofErr w:type="spellEnd"/>
      <w:r w:rsidRPr="00500BFA">
        <w:rPr>
          <w:rFonts w:ascii="Times New Roman" w:hAnsi="Times New Roman" w:cs="Times New Roman"/>
        </w:rPr>
        <w:t xml:space="preserve"> Issues in a Teacher Education Course. </w:t>
      </w:r>
      <w:r w:rsidRPr="00500BFA">
        <w:rPr>
          <w:rFonts w:ascii="Times New Roman" w:hAnsi="Times New Roman" w:cs="Times New Roman"/>
          <w:i/>
          <w:iCs/>
        </w:rPr>
        <w:t>International Journal of Science and Mathematics Education</w:t>
      </w:r>
      <w:r w:rsidRPr="00500BFA">
        <w:rPr>
          <w:rFonts w:ascii="Times New Roman" w:hAnsi="Times New Roman" w:cs="Times New Roman"/>
        </w:rPr>
        <w:t xml:space="preserve">, </w:t>
      </w:r>
      <w:r w:rsidRPr="00500BFA">
        <w:rPr>
          <w:rFonts w:ascii="Times New Roman" w:hAnsi="Times New Roman" w:cs="Times New Roman"/>
          <w:i/>
          <w:iCs/>
        </w:rPr>
        <w:t>20</w:t>
      </w:r>
      <w:r w:rsidRPr="00500BFA">
        <w:rPr>
          <w:rFonts w:ascii="Times New Roman" w:hAnsi="Times New Roman" w:cs="Times New Roman"/>
        </w:rPr>
        <w:t>(4), 659–682. https://doi.org/10.1007/s10763-021-10177-y</w:t>
      </w:r>
    </w:p>
    <w:p w14:paraId="2F988B41"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Lincoln, Y. S., &amp; Guba, E. G. (1985). </w:t>
      </w:r>
      <w:r w:rsidRPr="00500BFA">
        <w:rPr>
          <w:rFonts w:ascii="Times New Roman" w:hAnsi="Times New Roman" w:cs="Times New Roman"/>
          <w:i/>
          <w:iCs/>
        </w:rPr>
        <w:t>Naturalistic Inquiry</w:t>
      </w:r>
      <w:r w:rsidRPr="00500BFA">
        <w:rPr>
          <w:rFonts w:ascii="Times New Roman" w:hAnsi="Times New Roman" w:cs="Times New Roman"/>
        </w:rPr>
        <w:t>. SAGE.</w:t>
      </w:r>
    </w:p>
    <w:p w14:paraId="0A22FBDB"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Loughran, J. (1996). </w:t>
      </w:r>
      <w:r w:rsidRPr="00500BFA">
        <w:rPr>
          <w:rFonts w:ascii="Times New Roman" w:hAnsi="Times New Roman" w:cs="Times New Roman"/>
          <w:i/>
          <w:iCs/>
        </w:rPr>
        <w:t>Developing Reflective Practice Learning about Teaching and Learning through Modelling</w:t>
      </w:r>
      <w:r w:rsidRPr="00500BFA">
        <w:rPr>
          <w:rFonts w:ascii="Times New Roman" w:hAnsi="Times New Roman" w:cs="Times New Roman"/>
        </w:rPr>
        <w:t>.</w:t>
      </w:r>
    </w:p>
    <w:p w14:paraId="7B24BFB8"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Matsumoto-Royo, K., Ramírez-Montoya, M. S., &amp; </w:t>
      </w:r>
      <w:proofErr w:type="spellStart"/>
      <w:r w:rsidRPr="00500BFA">
        <w:rPr>
          <w:rFonts w:ascii="Times New Roman" w:hAnsi="Times New Roman" w:cs="Times New Roman"/>
        </w:rPr>
        <w:t>Glasserman</w:t>
      </w:r>
      <w:proofErr w:type="spellEnd"/>
      <w:r w:rsidRPr="00500BFA">
        <w:rPr>
          <w:rFonts w:ascii="Times New Roman" w:hAnsi="Times New Roman" w:cs="Times New Roman"/>
        </w:rPr>
        <w:t xml:space="preserve">-Morales, L. D. (2022). Lifelong Learning and Metacognition in the Assessment of Pre-service Teachers in Practice-Based Teacher Education. </w:t>
      </w:r>
      <w:r w:rsidRPr="00500BFA">
        <w:rPr>
          <w:rFonts w:ascii="Times New Roman" w:hAnsi="Times New Roman" w:cs="Times New Roman"/>
          <w:i/>
          <w:iCs/>
        </w:rPr>
        <w:t>Frontiers in Education</w:t>
      </w:r>
      <w:r w:rsidRPr="00500BFA">
        <w:rPr>
          <w:rFonts w:ascii="Times New Roman" w:hAnsi="Times New Roman" w:cs="Times New Roman"/>
        </w:rPr>
        <w:t xml:space="preserve">, </w:t>
      </w:r>
      <w:r w:rsidRPr="00500BFA">
        <w:rPr>
          <w:rFonts w:ascii="Times New Roman" w:hAnsi="Times New Roman" w:cs="Times New Roman"/>
          <w:i/>
          <w:iCs/>
        </w:rPr>
        <w:t>7</w:t>
      </w:r>
      <w:r w:rsidRPr="00500BFA">
        <w:rPr>
          <w:rFonts w:ascii="Times New Roman" w:hAnsi="Times New Roman" w:cs="Times New Roman"/>
        </w:rPr>
        <w:t>, 879238. https://doi.org/10.3389/feduc.2022.879238</w:t>
      </w:r>
    </w:p>
    <w:p w14:paraId="4BDBFAC4"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Merriam, S. B., &amp; Tisdell, E. J. (2016). </w:t>
      </w:r>
      <w:r w:rsidRPr="00500BFA">
        <w:rPr>
          <w:rFonts w:ascii="Times New Roman" w:hAnsi="Times New Roman" w:cs="Times New Roman"/>
          <w:i/>
          <w:iCs/>
        </w:rPr>
        <w:t>Qualitative research: A guide to design and implementation</w:t>
      </w:r>
      <w:r w:rsidRPr="00500BFA">
        <w:rPr>
          <w:rFonts w:ascii="Times New Roman" w:hAnsi="Times New Roman" w:cs="Times New Roman"/>
        </w:rPr>
        <w:t xml:space="preserve"> (Fourth edition). John Wiley &amp; Sons.</w:t>
      </w:r>
    </w:p>
    <w:p w14:paraId="51301408" w14:textId="77777777" w:rsidR="00500BFA" w:rsidRPr="00500BFA" w:rsidRDefault="00500BFA" w:rsidP="00500BFA">
      <w:pPr>
        <w:pStyle w:val="Bibliography"/>
        <w:ind w:hanging="562"/>
        <w:rPr>
          <w:rFonts w:ascii="Times New Roman" w:hAnsi="Times New Roman" w:cs="Times New Roman"/>
        </w:rPr>
      </w:pPr>
      <w:proofErr w:type="spellStart"/>
      <w:r w:rsidRPr="00500BFA">
        <w:rPr>
          <w:rFonts w:ascii="Times New Roman" w:hAnsi="Times New Roman" w:cs="Times New Roman"/>
        </w:rPr>
        <w:t>Merseth</w:t>
      </w:r>
      <w:proofErr w:type="spellEnd"/>
      <w:r w:rsidRPr="00500BFA">
        <w:rPr>
          <w:rFonts w:ascii="Times New Roman" w:hAnsi="Times New Roman" w:cs="Times New Roman"/>
        </w:rPr>
        <w:t xml:space="preserve">, K. K., Sommer, J., &amp; Dickstein, S. (2008). Changes in Personal and Professional Identities of Pre-Service Urban Teachers. </w:t>
      </w:r>
      <w:r w:rsidRPr="00500BFA">
        <w:rPr>
          <w:rFonts w:ascii="Times New Roman" w:hAnsi="Times New Roman" w:cs="Times New Roman"/>
          <w:i/>
          <w:iCs/>
        </w:rPr>
        <w:t>Teacher Education Quarterly</w:t>
      </w:r>
      <w:r w:rsidRPr="00500BFA">
        <w:rPr>
          <w:rFonts w:ascii="Times New Roman" w:hAnsi="Times New Roman" w:cs="Times New Roman"/>
        </w:rPr>
        <w:t xml:space="preserve">, </w:t>
      </w:r>
      <w:r w:rsidRPr="00500BFA">
        <w:rPr>
          <w:rFonts w:ascii="Times New Roman" w:hAnsi="Times New Roman" w:cs="Times New Roman"/>
          <w:i/>
          <w:iCs/>
        </w:rPr>
        <w:t>Summer</w:t>
      </w:r>
      <w:r w:rsidRPr="00500BFA">
        <w:rPr>
          <w:rFonts w:ascii="Times New Roman" w:hAnsi="Times New Roman" w:cs="Times New Roman"/>
        </w:rPr>
        <w:t>.</w:t>
      </w:r>
    </w:p>
    <w:p w14:paraId="3C7D6726"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National Academies of Sciences, Engineering, and Medicine. (2018). </w:t>
      </w:r>
      <w:r w:rsidRPr="00500BFA">
        <w:rPr>
          <w:rFonts w:ascii="Times New Roman" w:hAnsi="Times New Roman" w:cs="Times New Roman"/>
          <w:i/>
          <w:iCs/>
        </w:rPr>
        <w:t>How People Learn II: Learners, Contexts, and Cultures</w:t>
      </w:r>
      <w:r w:rsidRPr="00500BFA">
        <w:rPr>
          <w:rFonts w:ascii="Times New Roman" w:hAnsi="Times New Roman" w:cs="Times New Roman"/>
        </w:rPr>
        <w:t xml:space="preserve"> (p. 24783). National Academies Press. https://doi.org/10.17226/24783</w:t>
      </w:r>
    </w:p>
    <w:p w14:paraId="31EAFA64"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National Research Council. (2010). </w:t>
      </w:r>
      <w:r w:rsidRPr="00500BFA">
        <w:rPr>
          <w:rFonts w:ascii="Times New Roman" w:hAnsi="Times New Roman" w:cs="Times New Roman"/>
          <w:i/>
          <w:iCs/>
        </w:rPr>
        <w:t>Preparing teachers: Building evidence for sound policy</w:t>
      </w:r>
      <w:r w:rsidRPr="00500BFA">
        <w:rPr>
          <w:rFonts w:ascii="Times New Roman" w:hAnsi="Times New Roman" w:cs="Times New Roman"/>
        </w:rPr>
        <w:t>. National Academies Press.</w:t>
      </w:r>
    </w:p>
    <w:p w14:paraId="1E94A326"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Nobutoshi, M. (2023). Metacognition and Reflective Teaching: A Synergistic Approach to Fostering Critical Thinking Skills. </w:t>
      </w:r>
      <w:r w:rsidRPr="00500BFA">
        <w:rPr>
          <w:rFonts w:ascii="Times New Roman" w:hAnsi="Times New Roman" w:cs="Times New Roman"/>
          <w:i/>
          <w:iCs/>
        </w:rPr>
        <w:t>Research and Advances in Education</w:t>
      </w:r>
      <w:r w:rsidRPr="00500BFA">
        <w:rPr>
          <w:rFonts w:ascii="Times New Roman" w:hAnsi="Times New Roman" w:cs="Times New Roman"/>
        </w:rPr>
        <w:t xml:space="preserve">, </w:t>
      </w:r>
      <w:r w:rsidRPr="00500BFA">
        <w:rPr>
          <w:rFonts w:ascii="Times New Roman" w:hAnsi="Times New Roman" w:cs="Times New Roman"/>
          <w:i/>
          <w:iCs/>
        </w:rPr>
        <w:t>2</w:t>
      </w:r>
      <w:r w:rsidRPr="00500BFA">
        <w:rPr>
          <w:rFonts w:ascii="Times New Roman" w:hAnsi="Times New Roman" w:cs="Times New Roman"/>
        </w:rPr>
        <w:t>(9), 1–14. https://doi.org/10.56397/RAE.2023.09.01</w:t>
      </w:r>
    </w:p>
    <w:p w14:paraId="4743B3F5"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Panadero, E. (2017). A Review of Self-regulated Learning: Six Models and Four Directions for Research. </w:t>
      </w:r>
      <w:r w:rsidRPr="00500BFA">
        <w:rPr>
          <w:rFonts w:ascii="Times New Roman" w:hAnsi="Times New Roman" w:cs="Times New Roman"/>
          <w:i/>
          <w:iCs/>
        </w:rPr>
        <w:t>Frontiers in Psychology</w:t>
      </w:r>
      <w:r w:rsidRPr="00500BFA">
        <w:rPr>
          <w:rFonts w:ascii="Times New Roman" w:hAnsi="Times New Roman" w:cs="Times New Roman"/>
        </w:rPr>
        <w:t xml:space="preserve">, </w:t>
      </w:r>
      <w:r w:rsidRPr="00500BFA">
        <w:rPr>
          <w:rFonts w:ascii="Times New Roman" w:hAnsi="Times New Roman" w:cs="Times New Roman"/>
          <w:i/>
          <w:iCs/>
        </w:rPr>
        <w:t>8</w:t>
      </w:r>
      <w:r w:rsidRPr="00500BFA">
        <w:rPr>
          <w:rFonts w:ascii="Times New Roman" w:hAnsi="Times New Roman" w:cs="Times New Roman"/>
        </w:rPr>
        <w:t>, 422. https://doi.org/10.3389/fpsyg.2017.00422</w:t>
      </w:r>
    </w:p>
    <w:p w14:paraId="0B5B9EF7"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Perkins, D. N., &amp; Salomon, G. (2012). Knowledge to Go: A Motivational and Dispositional View of Transfer. </w:t>
      </w:r>
      <w:r w:rsidRPr="00500BFA">
        <w:rPr>
          <w:rFonts w:ascii="Times New Roman" w:hAnsi="Times New Roman" w:cs="Times New Roman"/>
          <w:i/>
          <w:iCs/>
        </w:rPr>
        <w:t>Educational Psychologist</w:t>
      </w:r>
      <w:r w:rsidRPr="00500BFA">
        <w:rPr>
          <w:rFonts w:ascii="Times New Roman" w:hAnsi="Times New Roman" w:cs="Times New Roman"/>
        </w:rPr>
        <w:t xml:space="preserve">, </w:t>
      </w:r>
      <w:r w:rsidRPr="00500BFA">
        <w:rPr>
          <w:rFonts w:ascii="Times New Roman" w:hAnsi="Times New Roman" w:cs="Times New Roman"/>
          <w:i/>
          <w:iCs/>
        </w:rPr>
        <w:t>47</w:t>
      </w:r>
      <w:r w:rsidRPr="00500BFA">
        <w:rPr>
          <w:rFonts w:ascii="Times New Roman" w:hAnsi="Times New Roman" w:cs="Times New Roman"/>
        </w:rPr>
        <w:t>(3), 248–258. https://doi.org/10.1080/00461520.2012.693354</w:t>
      </w:r>
    </w:p>
    <w:p w14:paraId="54EE1EDB"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Peterman, F. (2019). Identity Making at the Intersections of Teacher and Subject Matter Expertise. In D. </w:t>
      </w:r>
      <w:proofErr w:type="spellStart"/>
      <w:r w:rsidRPr="00500BFA">
        <w:rPr>
          <w:rFonts w:ascii="Times New Roman" w:hAnsi="Times New Roman" w:cs="Times New Roman"/>
        </w:rPr>
        <w:t>Clandinin</w:t>
      </w:r>
      <w:proofErr w:type="spellEnd"/>
      <w:r w:rsidRPr="00500BFA">
        <w:rPr>
          <w:rFonts w:ascii="Times New Roman" w:hAnsi="Times New Roman" w:cs="Times New Roman"/>
        </w:rPr>
        <w:t xml:space="preserve">, J. </w:t>
      </w:r>
      <w:proofErr w:type="spellStart"/>
      <w:r w:rsidRPr="00500BFA">
        <w:rPr>
          <w:rFonts w:ascii="Times New Roman" w:hAnsi="Times New Roman" w:cs="Times New Roman"/>
        </w:rPr>
        <w:t>Husu</w:t>
      </w:r>
      <w:proofErr w:type="spellEnd"/>
      <w:r w:rsidRPr="00500BFA">
        <w:rPr>
          <w:rFonts w:ascii="Times New Roman" w:hAnsi="Times New Roman" w:cs="Times New Roman"/>
        </w:rPr>
        <w:t xml:space="preserve">, &amp; S. Cherrington, </w:t>
      </w:r>
      <w:r w:rsidRPr="00500BFA">
        <w:rPr>
          <w:rFonts w:ascii="Times New Roman" w:hAnsi="Times New Roman" w:cs="Times New Roman"/>
          <w:i/>
          <w:iCs/>
        </w:rPr>
        <w:t>The SAGE Handbook of Research on Teacher Education</w:t>
      </w:r>
      <w:r w:rsidRPr="00500BFA">
        <w:rPr>
          <w:rFonts w:ascii="Times New Roman" w:hAnsi="Times New Roman" w:cs="Times New Roman"/>
        </w:rPr>
        <w:t xml:space="preserve"> (Vols. 1–2). SAGE Publications Ltd. https://doi.org/10.4135/9781529716627.n11</w:t>
      </w:r>
    </w:p>
    <w:p w14:paraId="4E228914"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Sachs, J. (2005). Teacher Education </w:t>
      </w:r>
      <w:proofErr w:type="gramStart"/>
      <w:r w:rsidRPr="00500BFA">
        <w:rPr>
          <w:rFonts w:ascii="Times New Roman" w:hAnsi="Times New Roman" w:cs="Times New Roman"/>
        </w:rPr>
        <w:t>And</w:t>
      </w:r>
      <w:proofErr w:type="gramEnd"/>
      <w:r w:rsidRPr="00500BFA">
        <w:rPr>
          <w:rFonts w:ascii="Times New Roman" w:hAnsi="Times New Roman" w:cs="Times New Roman"/>
        </w:rPr>
        <w:t xml:space="preserve"> </w:t>
      </w:r>
      <w:proofErr w:type="gramStart"/>
      <w:r w:rsidRPr="00500BFA">
        <w:rPr>
          <w:rFonts w:ascii="Times New Roman" w:hAnsi="Times New Roman" w:cs="Times New Roman"/>
        </w:rPr>
        <w:t>The</w:t>
      </w:r>
      <w:proofErr w:type="gramEnd"/>
      <w:r w:rsidRPr="00500BFA">
        <w:rPr>
          <w:rFonts w:ascii="Times New Roman" w:hAnsi="Times New Roman" w:cs="Times New Roman"/>
        </w:rPr>
        <w:t xml:space="preserve"> Development </w:t>
      </w:r>
      <w:proofErr w:type="gramStart"/>
      <w:r w:rsidRPr="00500BFA">
        <w:rPr>
          <w:rFonts w:ascii="Times New Roman" w:hAnsi="Times New Roman" w:cs="Times New Roman"/>
        </w:rPr>
        <w:t>Of</w:t>
      </w:r>
      <w:proofErr w:type="gramEnd"/>
      <w:r w:rsidRPr="00500BFA">
        <w:rPr>
          <w:rFonts w:ascii="Times New Roman" w:hAnsi="Times New Roman" w:cs="Times New Roman"/>
        </w:rPr>
        <w:t xml:space="preserve"> Professional Identity: Learning </w:t>
      </w:r>
      <w:proofErr w:type="gramStart"/>
      <w:r w:rsidRPr="00500BFA">
        <w:rPr>
          <w:rFonts w:ascii="Times New Roman" w:hAnsi="Times New Roman" w:cs="Times New Roman"/>
        </w:rPr>
        <w:t>To</w:t>
      </w:r>
      <w:proofErr w:type="gramEnd"/>
      <w:r w:rsidRPr="00500BFA">
        <w:rPr>
          <w:rFonts w:ascii="Times New Roman" w:hAnsi="Times New Roman" w:cs="Times New Roman"/>
        </w:rPr>
        <w:t xml:space="preserve"> Be </w:t>
      </w:r>
      <w:proofErr w:type="gramStart"/>
      <w:r w:rsidRPr="00500BFA">
        <w:rPr>
          <w:rFonts w:ascii="Times New Roman" w:hAnsi="Times New Roman" w:cs="Times New Roman"/>
        </w:rPr>
        <w:t>A</w:t>
      </w:r>
      <w:proofErr w:type="gramEnd"/>
      <w:r w:rsidRPr="00500BFA">
        <w:rPr>
          <w:rFonts w:ascii="Times New Roman" w:hAnsi="Times New Roman" w:cs="Times New Roman"/>
        </w:rPr>
        <w:t xml:space="preserve"> Teacher. In P. Denicolo &amp; M. Kompf, </w:t>
      </w:r>
      <w:r w:rsidRPr="00500BFA">
        <w:rPr>
          <w:rFonts w:ascii="Times New Roman" w:hAnsi="Times New Roman" w:cs="Times New Roman"/>
          <w:i/>
          <w:iCs/>
        </w:rPr>
        <w:t>Connecting Policy and Practice</w:t>
      </w:r>
      <w:r w:rsidRPr="00500BFA">
        <w:rPr>
          <w:rFonts w:ascii="Times New Roman" w:hAnsi="Times New Roman" w:cs="Times New Roman"/>
        </w:rPr>
        <w:t xml:space="preserve"> (1st ed., pp. 5–21). Routledge. https://doi.org/10.4324/9780203012529-3</w:t>
      </w:r>
    </w:p>
    <w:p w14:paraId="1DF1B616"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Schön, D. A. (1983). </w:t>
      </w:r>
      <w:r w:rsidRPr="00500BFA">
        <w:rPr>
          <w:rFonts w:ascii="Times New Roman" w:hAnsi="Times New Roman" w:cs="Times New Roman"/>
          <w:i/>
          <w:iCs/>
        </w:rPr>
        <w:t>The reflective practitioner: How professionals think in action</w:t>
      </w:r>
      <w:r w:rsidRPr="00500BFA">
        <w:rPr>
          <w:rFonts w:ascii="Times New Roman" w:hAnsi="Times New Roman" w:cs="Times New Roman"/>
        </w:rPr>
        <w:t>. Basic Books. https://doi.org/10.4324/9781315237473</w:t>
      </w:r>
    </w:p>
    <w:p w14:paraId="5CE31A18"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Smith, E. (2011). Teaching critical reflection. </w:t>
      </w:r>
      <w:r w:rsidRPr="00500BFA">
        <w:rPr>
          <w:rFonts w:ascii="Times New Roman" w:hAnsi="Times New Roman" w:cs="Times New Roman"/>
          <w:i/>
          <w:iCs/>
        </w:rPr>
        <w:t>Teaching in Higher Education</w:t>
      </w:r>
      <w:r w:rsidRPr="00500BFA">
        <w:rPr>
          <w:rFonts w:ascii="Times New Roman" w:hAnsi="Times New Roman" w:cs="Times New Roman"/>
        </w:rPr>
        <w:t xml:space="preserve">, </w:t>
      </w:r>
      <w:r w:rsidRPr="00500BFA">
        <w:rPr>
          <w:rFonts w:ascii="Times New Roman" w:hAnsi="Times New Roman" w:cs="Times New Roman"/>
          <w:i/>
          <w:iCs/>
        </w:rPr>
        <w:t>16</w:t>
      </w:r>
      <w:r w:rsidRPr="00500BFA">
        <w:rPr>
          <w:rFonts w:ascii="Times New Roman" w:hAnsi="Times New Roman" w:cs="Times New Roman"/>
        </w:rPr>
        <w:t>(2), 211–223. https://doi.org/10.1080/13562517.2010.515022</w:t>
      </w:r>
    </w:p>
    <w:p w14:paraId="0F6CFC17"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Sorensen, T. J., Lawver, R. G., Jensen, B., Dutton, C., &amp; Warnick, B. K. (2018). Preservice Agriculture Teachers’ Development during the Early Phase of Student Teaching. </w:t>
      </w:r>
      <w:r w:rsidRPr="00500BFA">
        <w:rPr>
          <w:rFonts w:ascii="Times New Roman" w:hAnsi="Times New Roman" w:cs="Times New Roman"/>
          <w:i/>
          <w:iCs/>
        </w:rPr>
        <w:t>Journal of Agricultural Education</w:t>
      </w:r>
      <w:r w:rsidRPr="00500BFA">
        <w:rPr>
          <w:rFonts w:ascii="Times New Roman" w:hAnsi="Times New Roman" w:cs="Times New Roman"/>
        </w:rPr>
        <w:t xml:space="preserve">, </w:t>
      </w:r>
      <w:r w:rsidRPr="00500BFA">
        <w:rPr>
          <w:rFonts w:ascii="Times New Roman" w:hAnsi="Times New Roman" w:cs="Times New Roman"/>
          <w:i/>
          <w:iCs/>
        </w:rPr>
        <w:t>59</w:t>
      </w:r>
      <w:r w:rsidRPr="00500BFA">
        <w:rPr>
          <w:rFonts w:ascii="Times New Roman" w:hAnsi="Times New Roman" w:cs="Times New Roman"/>
        </w:rPr>
        <w:t>(4), 105–119. https://doi.org/10.5032/jae.2018.04105</w:t>
      </w:r>
    </w:p>
    <w:p w14:paraId="630FAB03"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Tanner, K. D. (2012). Promoting Student Metacognition. </w:t>
      </w:r>
      <w:r w:rsidRPr="00500BFA">
        <w:rPr>
          <w:rFonts w:ascii="Times New Roman" w:hAnsi="Times New Roman" w:cs="Times New Roman"/>
          <w:i/>
          <w:iCs/>
        </w:rPr>
        <w:t>CBE—Life Sciences Education</w:t>
      </w:r>
      <w:r w:rsidRPr="00500BFA">
        <w:rPr>
          <w:rFonts w:ascii="Times New Roman" w:hAnsi="Times New Roman" w:cs="Times New Roman"/>
        </w:rPr>
        <w:t xml:space="preserve">, </w:t>
      </w:r>
      <w:r w:rsidRPr="00500BFA">
        <w:rPr>
          <w:rFonts w:ascii="Times New Roman" w:hAnsi="Times New Roman" w:cs="Times New Roman"/>
          <w:i/>
          <w:iCs/>
        </w:rPr>
        <w:t>11</w:t>
      </w:r>
      <w:r w:rsidRPr="00500BFA">
        <w:rPr>
          <w:rFonts w:ascii="Times New Roman" w:hAnsi="Times New Roman" w:cs="Times New Roman"/>
        </w:rPr>
        <w:t>(2), 113–120. https://doi.org/10.1187/cbe.12-03-0033</w:t>
      </w:r>
    </w:p>
    <w:p w14:paraId="6B2075D1" w14:textId="77777777" w:rsidR="00500BFA" w:rsidRPr="00500BFA" w:rsidRDefault="00500BFA" w:rsidP="00500BFA">
      <w:pPr>
        <w:pStyle w:val="Bibliography"/>
        <w:ind w:hanging="562"/>
        <w:rPr>
          <w:rFonts w:ascii="Times New Roman" w:hAnsi="Times New Roman" w:cs="Times New Roman"/>
        </w:rPr>
      </w:pPr>
      <w:proofErr w:type="spellStart"/>
      <w:r w:rsidRPr="00500BFA">
        <w:rPr>
          <w:rFonts w:ascii="Times New Roman" w:hAnsi="Times New Roman" w:cs="Times New Roman"/>
        </w:rPr>
        <w:t>Wideen</w:t>
      </w:r>
      <w:proofErr w:type="spellEnd"/>
      <w:r w:rsidRPr="00500BFA">
        <w:rPr>
          <w:rFonts w:ascii="Times New Roman" w:hAnsi="Times New Roman" w:cs="Times New Roman"/>
        </w:rPr>
        <w:t xml:space="preserve">, M., Mayer-Smith, J., &amp; Moon, B. (1998). A Critical Analysis of </w:t>
      </w:r>
      <w:proofErr w:type="gramStart"/>
      <w:r w:rsidRPr="00500BFA">
        <w:rPr>
          <w:rFonts w:ascii="Times New Roman" w:hAnsi="Times New Roman" w:cs="Times New Roman"/>
        </w:rPr>
        <w:t>the Research</w:t>
      </w:r>
      <w:proofErr w:type="gramEnd"/>
      <w:r w:rsidRPr="00500BFA">
        <w:rPr>
          <w:rFonts w:ascii="Times New Roman" w:hAnsi="Times New Roman" w:cs="Times New Roman"/>
        </w:rPr>
        <w:t xml:space="preserve"> on Learning to Teach: Making the Case for an Ecological Perspective on Inquiry. </w:t>
      </w:r>
      <w:r w:rsidRPr="00500BFA">
        <w:rPr>
          <w:rFonts w:ascii="Times New Roman" w:hAnsi="Times New Roman" w:cs="Times New Roman"/>
          <w:i/>
          <w:iCs/>
        </w:rPr>
        <w:t>Review of Educational Research</w:t>
      </w:r>
      <w:r w:rsidRPr="00500BFA">
        <w:rPr>
          <w:rFonts w:ascii="Times New Roman" w:hAnsi="Times New Roman" w:cs="Times New Roman"/>
        </w:rPr>
        <w:t xml:space="preserve">, </w:t>
      </w:r>
      <w:r w:rsidRPr="00500BFA">
        <w:rPr>
          <w:rFonts w:ascii="Times New Roman" w:hAnsi="Times New Roman" w:cs="Times New Roman"/>
          <w:i/>
          <w:iCs/>
        </w:rPr>
        <w:t>68</w:t>
      </w:r>
      <w:r w:rsidRPr="00500BFA">
        <w:rPr>
          <w:rFonts w:ascii="Times New Roman" w:hAnsi="Times New Roman" w:cs="Times New Roman"/>
        </w:rPr>
        <w:t>(2), 130–178.</w:t>
      </w:r>
    </w:p>
    <w:p w14:paraId="5754CA10"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Yıldız, H., &amp; Akdağ, M. (2017). The Effect of Metacognitive Strategies on Prospective Teachers’ Metacognitive Awareness and Self Efficacy Belief. </w:t>
      </w:r>
      <w:r w:rsidRPr="00500BFA">
        <w:rPr>
          <w:rFonts w:ascii="Times New Roman" w:hAnsi="Times New Roman" w:cs="Times New Roman"/>
          <w:i/>
          <w:iCs/>
        </w:rPr>
        <w:t>Journal of Education and Training Studies</w:t>
      </w:r>
      <w:r w:rsidRPr="00500BFA">
        <w:rPr>
          <w:rFonts w:ascii="Times New Roman" w:hAnsi="Times New Roman" w:cs="Times New Roman"/>
        </w:rPr>
        <w:t xml:space="preserve">, </w:t>
      </w:r>
      <w:r w:rsidRPr="00500BFA">
        <w:rPr>
          <w:rFonts w:ascii="Times New Roman" w:hAnsi="Times New Roman" w:cs="Times New Roman"/>
          <w:i/>
          <w:iCs/>
        </w:rPr>
        <w:t>5</w:t>
      </w:r>
      <w:r w:rsidRPr="00500BFA">
        <w:rPr>
          <w:rFonts w:ascii="Times New Roman" w:hAnsi="Times New Roman" w:cs="Times New Roman"/>
        </w:rPr>
        <w:t>(12), 30. https://doi.org/10.11114/jets.v5i12.2662</w:t>
      </w:r>
    </w:p>
    <w:p w14:paraId="6AD89A75" w14:textId="77777777" w:rsidR="00500BFA" w:rsidRPr="00500BFA" w:rsidRDefault="00500BFA" w:rsidP="00500BFA">
      <w:pPr>
        <w:pStyle w:val="Bibliography"/>
        <w:ind w:hanging="562"/>
        <w:rPr>
          <w:rFonts w:ascii="Times New Roman" w:hAnsi="Times New Roman" w:cs="Times New Roman"/>
        </w:rPr>
      </w:pPr>
      <w:r w:rsidRPr="00500BFA">
        <w:rPr>
          <w:rFonts w:ascii="Times New Roman" w:hAnsi="Times New Roman" w:cs="Times New Roman"/>
        </w:rPr>
        <w:t xml:space="preserve">Yost, D. S. (2006). Reflection and Self-Efficacy: Enhancing the Retention of Qualified Teachers from a Teacher Education Perspective. </w:t>
      </w:r>
      <w:r w:rsidRPr="00500BFA">
        <w:rPr>
          <w:rFonts w:ascii="Times New Roman" w:hAnsi="Times New Roman" w:cs="Times New Roman"/>
          <w:i/>
          <w:iCs/>
        </w:rPr>
        <w:t>Education Quarterly</w:t>
      </w:r>
      <w:r w:rsidRPr="00500BFA">
        <w:rPr>
          <w:rFonts w:ascii="Times New Roman" w:hAnsi="Times New Roman" w:cs="Times New Roman"/>
        </w:rPr>
        <w:t xml:space="preserve">, </w:t>
      </w:r>
      <w:r w:rsidRPr="00500BFA">
        <w:rPr>
          <w:rFonts w:ascii="Times New Roman" w:hAnsi="Times New Roman" w:cs="Times New Roman"/>
          <w:i/>
          <w:iCs/>
        </w:rPr>
        <w:t>33</w:t>
      </w:r>
      <w:r w:rsidRPr="00500BFA">
        <w:rPr>
          <w:rFonts w:ascii="Times New Roman" w:hAnsi="Times New Roman" w:cs="Times New Roman"/>
        </w:rPr>
        <w:t>(4), 59–76.</w:t>
      </w:r>
    </w:p>
    <w:p w14:paraId="12AA61C2" w14:textId="77777777" w:rsidR="00500BFA" w:rsidRPr="00500BFA" w:rsidRDefault="00500BFA" w:rsidP="00500BFA">
      <w:pPr>
        <w:pStyle w:val="Bibliography"/>
        <w:ind w:hanging="562"/>
        <w:rPr>
          <w:rFonts w:ascii="Times New Roman" w:hAnsi="Times New Roman" w:cs="Times New Roman"/>
        </w:rPr>
      </w:pPr>
      <w:proofErr w:type="spellStart"/>
      <w:r w:rsidRPr="00500BFA">
        <w:rPr>
          <w:rFonts w:ascii="Times New Roman" w:hAnsi="Times New Roman" w:cs="Times New Roman"/>
        </w:rPr>
        <w:t>Zembylas</w:t>
      </w:r>
      <w:proofErr w:type="spellEnd"/>
      <w:r w:rsidRPr="00500BFA">
        <w:rPr>
          <w:rFonts w:ascii="Times New Roman" w:hAnsi="Times New Roman" w:cs="Times New Roman"/>
        </w:rPr>
        <w:t xml:space="preserve">, M. (2004). Emotion metaphors and emotional labor in science teaching. </w:t>
      </w:r>
      <w:r w:rsidRPr="00500BFA">
        <w:rPr>
          <w:rFonts w:ascii="Times New Roman" w:hAnsi="Times New Roman" w:cs="Times New Roman"/>
          <w:i/>
          <w:iCs/>
        </w:rPr>
        <w:t>Science Education</w:t>
      </w:r>
      <w:r w:rsidRPr="00500BFA">
        <w:rPr>
          <w:rFonts w:ascii="Times New Roman" w:hAnsi="Times New Roman" w:cs="Times New Roman"/>
        </w:rPr>
        <w:t xml:space="preserve">, </w:t>
      </w:r>
      <w:r w:rsidRPr="00500BFA">
        <w:rPr>
          <w:rFonts w:ascii="Times New Roman" w:hAnsi="Times New Roman" w:cs="Times New Roman"/>
          <w:i/>
          <w:iCs/>
        </w:rPr>
        <w:t>88</w:t>
      </w:r>
      <w:r w:rsidRPr="00500BFA">
        <w:rPr>
          <w:rFonts w:ascii="Times New Roman" w:hAnsi="Times New Roman" w:cs="Times New Roman"/>
        </w:rPr>
        <w:t>(3), 301–324. https://doi.org/10.1002/sce.10116</w:t>
      </w:r>
    </w:p>
    <w:p w14:paraId="162AAB06" w14:textId="7EBF8822" w:rsidR="0024415A" w:rsidRPr="00986F89" w:rsidRDefault="005541BC" w:rsidP="00500BFA">
      <w:pPr>
        <w:ind w:left="720" w:hanging="562"/>
        <w:rPr>
          <w:rFonts w:ascii="Times New Roman" w:hAnsi="Times New Roman" w:cs="Times New Roman"/>
        </w:rPr>
      </w:pPr>
      <w:r w:rsidRPr="00500BFA">
        <w:rPr>
          <w:rFonts w:ascii="Times New Roman" w:hAnsi="Times New Roman" w:cs="Times New Roman"/>
        </w:rPr>
        <w:fldChar w:fldCharType="end"/>
      </w:r>
    </w:p>
    <w:sectPr w:rsidR="0024415A" w:rsidRPr="00986F89">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70EDD" w14:textId="77777777" w:rsidR="000D0862" w:rsidRDefault="000D0862" w:rsidP="007B1B24">
      <w:r>
        <w:separator/>
      </w:r>
    </w:p>
  </w:endnote>
  <w:endnote w:type="continuationSeparator" w:id="0">
    <w:p w14:paraId="6F54C3D9" w14:textId="77777777" w:rsidR="000D0862" w:rsidRDefault="000D0862" w:rsidP="007B1B24">
      <w:r>
        <w:continuationSeparator/>
      </w:r>
    </w:p>
  </w:endnote>
  <w:endnote w:type="continuationNotice" w:id="1">
    <w:p w14:paraId="355E2817" w14:textId="77777777" w:rsidR="000D0862" w:rsidRDefault="000D08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EDF215B" w14:paraId="1F6297A4" w14:textId="77777777" w:rsidTr="6EDF215B">
      <w:trPr>
        <w:trHeight w:val="300"/>
      </w:trPr>
      <w:tc>
        <w:tcPr>
          <w:tcW w:w="3120" w:type="dxa"/>
        </w:tcPr>
        <w:p w14:paraId="05CC3618" w14:textId="49108EA7" w:rsidR="6EDF215B" w:rsidRDefault="6EDF215B" w:rsidP="6EDF215B">
          <w:pPr>
            <w:ind w:left="-115"/>
          </w:pPr>
        </w:p>
      </w:tc>
      <w:tc>
        <w:tcPr>
          <w:tcW w:w="3120" w:type="dxa"/>
        </w:tcPr>
        <w:p w14:paraId="5AC77989" w14:textId="0FEC6EA5" w:rsidR="6EDF215B" w:rsidRPr="00986F89" w:rsidRDefault="6EDF215B" w:rsidP="6EDF215B">
          <w:pPr>
            <w:jc w:val="center"/>
            <w:rPr>
              <w:rFonts w:ascii="Times New Roman" w:hAnsi="Times New Roman" w:cs="Times New Roman"/>
            </w:rPr>
          </w:pPr>
          <w:r w:rsidRPr="00986F89">
            <w:rPr>
              <w:rFonts w:ascii="Times New Roman" w:eastAsia="Times New Roman" w:hAnsi="Times New Roman" w:cs="Times New Roman"/>
            </w:rPr>
            <w:fldChar w:fldCharType="begin"/>
          </w:r>
          <w:r w:rsidRPr="00986F89">
            <w:rPr>
              <w:rFonts w:ascii="Times New Roman" w:hAnsi="Times New Roman" w:cs="Times New Roman"/>
            </w:rPr>
            <w:instrText>PAGE</w:instrText>
          </w:r>
          <w:r w:rsidRPr="00986F89">
            <w:rPr>
              <w:rFonts w:ascii="Times New Roman" w:hAnsi="Times New Roman" w:cs="Times New Roman"/>
            </w:rPr>
            <w:fldChar w:fldCharType="separate"/>
          </w:r>
          <w:r w:rsidR="004357A1" w:rsidRPr="00986F89">
            <w:rPr>
              <w:rFonts w:ascii="Times New Roman" w:hAnsi="Times New Roman" w:cs="Times New Roman"/>
              <w:noProof/>
            </w:rPr>
            <w:t>1</w:t>
          </w:r>
          <w:r w:rsidRPr="00986F89">
            <w:rPr>
              <w:rFonts w:ascii="Times New Roman" w:eastAsia="Times New Roman" w:hAnsi="Times New Roman" w:cs="Times New Roman"/>
            </w:rPr>
            <w:fldChar w:fldCharType="end"/>
          </w:r>
        </w:p>
      </w:tc>
      <w:tc>
        <w:tcPr>
          <w:tcW w:w="3120" w:type="dxa"/>
        </w:tcPr>
        <w:p w14:paraId="4218F7A6" w14:textId="4B267820" w:rsidR="6EDF215B" w:rsidRDefault="6EDF215B" w:rsidP="6EDF215B">
          <w:pPr>
            <w:ind w:right="-115"/>
            <w:jc w:val="right"/>
          </w:pPr>
        </w:p>
      </w:tc>
    </w:tr>
  </w:tbl>
  <w:p w14:paraId="049590AA" w14:textId="2BC2A420" w:rsidR="007B1B24" w:rsidRDefault="007B1B2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5AAC7" w14:textId="77777777" w:rsidR="000D0862" w:rsidRDefault="000D0862" w:rsidP="007B1B24">
      <w:r>
        <w:separator/>
      </w:r>
    </w:p>
  </w:footnote>
  <w:footnote w:type="continuationSeparator" w:id="0">
    <w:p w14:paraId="25EEF094" w14:textId="77777777" w:rsidR="000D0862" w:rsidRDefault="000D0862" w:rsidP="007B1B24">
      <w:r>
        <w:continuationSeparator/>
      </w:r>
    </w:p>
  </w:footnote>
  <w:footnote w:type="continuationNotice" w:id="1">
    <w:p w14:paraId="6836980D" w14:textId="77777777" w:rsidR="000D0862" w:rsidRDefault="000D08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6EDF215B" w14:paraId="20C64FB4" w14:textId="77777777" w:rsidTr="6EDF215B">
      <w:trPr>
        <w:trHeight w:val="300"/>
      </w:trPr>
      <w:tc>
        <w:tcPr>
          <w:tcW w:w="3120" w:type="dxa"/>
        </w:tcPr>
        <w:p w14:paraId="522A2759" w14:textId="35534690" w:rsidR="6EDF215B" w:rsidRDefault="6EDF215B" w:rsidP="6EDF215B">
          <w:pPr>
            <w:ind w:left="-115"/>
          </w:pPr>
        </w:p>
      </w:tc>
      <w:tc>
        <w:tcPr>
          <w:tcW w:w="3120" w:type="dxa"/>
        </w:tcPr>
        <w:p w14:paraId="7CA763ED" w14:textId="71CCC864" w:rsidR="6EDF215B" w:rsidRDefault="6EDF215B" w:rsidP="6EDF215B">
          <w:pPr>
            <w:jc w:val="center"/>
          </w:pPr>
        </w:p>
      </w:tc>
      <w:tc>
        <w:tcPr>
          <w:tcW w:w="3120" w:type="dxa"/>
        </w:tcPr>
        <w:p w14:paraId="4A959167" w14:textId="1FAC4FBC" w:rsidR="6EDF215B" w:rsidRDefault="6EDF215B" w:rsidP="6EDF215B">
          <w:pPr>
            <w:ind w:right="-115"/>
            <w:jc w:val="right"/>
          </w:pPr>
        </w:p>
      </w:tc>
    </w:tr>
  </w:tbl>
  <w:p w14:paraId="3F8144CD" w14:textId="5FF02A4D" w:rsidR="007B1B24" w:rsidRDefault="007B1B24"/>
</w:hdr>
</file>

<file path=word/intelligence2.xml><?xml version="1.0" encoding="utf-8"?>
<int2:intelligence xmlns:int2="http://schemas.microsoft.com/office/intelligence/2020/intelligence" xmlns:oel="http://schemas.microsoft.com/office/2019/extlst">
  <int2:observations>
    <int2:textHash int2:hashCode="fb+LIlmmpTHVpL" int2:id="MEG13GXp">
      <int2:state int2:value="Rejected" int2:type="spell"/>
    </int2:textHash>
    <int2:textHash int2:hashCode="I/qHaYQOsw5yCz" int2:id="y7Sgv6R2">
      <int2:state int2:value="Rejected" int2:type="spell"/>
    </int2:textHash>
    <int2:textHash int2:hashCode="lXe/zydCZeBmSy" int2:id="yLIoMPQd">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6588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4291091D"/>
    <w:multiLevelType w:val="hybridMultilevel"/>
    <w:tmpl w:val="4DA89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3D6514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699C5D4F"/>
    <w:multiLevelType w:val="hybridMultilevel"/>
    <w:tmpl w:val="51B87D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9E70D5A"/>
    <w:multiLevelType w:val="hybridMultilevel"/>
    <w:tmpl w:val="5B705A86"/>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467825285">
    <w:abstractNumId w:val="3"/>
  </w:num>
  <w:num w:numId="2" w16cid:durableId="789473878">
    <w:abstractNumId w:val="4"/>
  </w:num>
  <w:num w:numId="3" w16cid:durableId="186843386">
    <w:abstractNumId w:val="1"/>
  </w:num>
  <w:num w:numId="4" w16cid:durableId="1767581077">
    <w:abstractNumId w:val="0"/>
  </w:num>
  <w:num w:numId="5" w16cid:durableId="19624163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415A"/>
    <w:rsid w:val="000029F4"/>
    <w:rsid w:val="0000737A"/>
    <w:rsid w:val="000105D1"/>
    <w:rsid w:val="000115A8"/>
    <w:rsid w:val="00012ED6"/>
    <w:rsid w:val="00015772"/>
    <w:rsid w:val="00022B6C"/>
    <w:rsid w:val="00023C22"/>
    <w:rsid w:val="00025886"/>
    <w:rsid w:val="000343BF"/>
    <w:rsid w:val="00035213"/>
    <w:rsid w:val="000408F4"/>
    <w:rsid w:val="00044F7F"/>
    <w:rsid w:val="0005715E"/>
    <w:rsid w:val="000662F2"/>
    <w:rsid w:val="00067650"/>
    <w:rsid w:val="00072FDD"/>
    <w:rsid w:val="000775A4"/>
    <w:rsid w:val="00082BC1"/>
    <w:rsid w:val="00086D3A"/>
    <w:rsid w:val="000A0522"/>
    <w:rsid w:val="000A2926"/>
    <w:rsid w:val="000A600B"/>
    <w:rsid w:val="000B5D8C"/>
    <w:rsid w:val="000C2349"/>
    <w:rsid w:val="000C5153"/>
    <w:rsid w:val="000D0862"/>
    <w:rsid w:val="000D4E78"/>
    <w:rsid w:val="000D4F98"/>
    <w:rsid w:val="000D6DD7"/>
    <w:rsid w:val="000D6EDC"/>
    <w:rsid w:val="000E2A8E"/>
    <w:rsid w:val="000E4AD3"/>
    <w:rsid w:val="000E552A"/>
    <w:rsid w:val="000F11C1"/>
    <w:rsid w:val="000F1E8D"/>
    <w:rsid w:val="000F5D7E"/>
    <w:rsid w:val="00106785"/>
    <w:rsid w:val="00106B44"/>
    <w:rsid w:val="00111563"/>
    <w:rsid w:val="001244E4"/>
    <w:rsid w:val="00141807"/>
    <w:rsid w:val="00146261"/>
    <w:rsid w:val="00146725"/>
    <w:rsid w:val="0015489E"/>
    <w:rsid w:val="00157361"/>
    <w:rsid w:val="001657B6"/>
    <w:rsid w:val="00183CF2"/>
    <w:rsid w:val="00192855"/>
    <w:rsid w:val="00192CD2"/>
    <w:rsid w:val="001A58EC"/>
    <w:rsid w:val="001A5952"/>
    <w:rsid w:val="001B5CBD"/>
    <w:rsid w:val="001C0D1D"/>
    <w:rsid w:val="001C3965"/>
    <w:rsid w:val="001D3E59"/>
    <w:rsid w:val="001D5FB2"/>
    <w:rsid w:val="001D6323"/>
    <w:rsid w:val="001F3C95"/>
    <w:rsid w:val="00201F2D"/>
    <w:rsid w:val="00203554"/>
    <w:rsid w:val="00212AC0"/>
    <w:rsid w:val="00215AF9"/>
    <w:rsid w:val="002167CC"/>
    <w:rsid w:val="00221C4F"/>
    <w:rsid w:val="002272A9"/>
    <w:rsid w:val="0024415A"/>
    <w:rsid w:val="00253F65"/>
    <w:rsid w:val="002611A1"/>
    <w:rsid w:val="00264A71"/>
    <w:rsid w:val="00264CB5"/>
    <w:rsid w:val="002704C5"/>
    <w:rsid w:val="00270CCB"/>
    <w:rsid w:val="00277B22"/>
    <w:rsid w:val="00294D62"/>
    <w:rsid w:val="002952DC"/>
    <w:rsid w:val="002A1865"/>
    <w:rsid w:val="002A6ACA"/>
    <w:rsid w:val="002E20D5"/>
    <w:rsid w:val="002E6488"/>
    <w:rsid w:val="002F2010"/>
    <w:rsid w:val="002F7CEF"/>
    <w:rsid w:val="003001AF"/>
    <w:rsid w:val="003023CD"/>
    <w:rsid w:val="00306585"/>
    <w:rsid w:val="00315207"/>
    <w:rsid w:val="00317806"/>
    <w:rsid w:val="00320357"/>
    <w:rsid w:val="003279C7"/>
    <w:rsid w:val="00330B6F"/>
    <w:rsid w:val="003335ED"/>
    <w:rsid w:val="00333BA3"/>
    <w:rsid w:val="00341E12"/>
    <w:rsid w:val="00341EC3"/>
    <w:rsid w:val="003450C3"/>
    <w:rsid w:val="00347657"/>
    <w:rsid w:val="0035557B"/>
    <w:rsid w:val="00357B71"/>
    <w:rsid w:val="00360A5E"/>
    <w:rsid w:val="003654AB"/>
    <w:rsid w:val="00366B2A"/>
    <w:rsid w:val="00372425"/>
    <w:rsid w:val="00373097"/>
    <w:rsid w:val="00374753"/>
    <w:rsid w:val="00374B9E"/>
    <w:rsid w:val="00385944"/>
    <w:rsid w:val="0038768F"/>
    <w:rsid w:val="00390C95"/>
    <w:rsid w:val="00390E41"/>
    <w:rsid w:val="00397539"/>
    <w:rsid w:val="003A44E6"/>
    <w:rsid w:val="003A55CA"/>
    <w:rsid w:val="003A62B5"/>
    <w:rsid w:val="003C02E8"/>
    <w:rsid w:val="003C2329"/>
    <w:rsid w:val="003C24E6"/>
    <w:rsid w:val="003D1692"/>
    <w:rsid w:val="003E1450"/>
    <w:rsid w:val="003E1DBF"/>
    <w:rsid w:val="003E24CD"/>
    <w:rsid w:val="003E30B1"/>
    <w:rsid w:val="00406913"/>
    <w:rsid w:val="00411564"/>
    <w:rsid w:val="00415C34"/>
    <w:rsid w:val="004204E2"/>
    <w:rsid w:val="004232DD"/>
    <w:rsid w:val="004357A1"/>
    <w:rsid w:val="00437BEC"/>
    <w:rsid w:val="0044448B"/>
    <w:rsid w:val="004467C9"/>
    <w:rsid w:val="00451E28"/>
    <w:rsid w:val="0045220B"/>
    <w:rsid w:val="00465A95"/>
    <w:rsid w:val="00470933"/>
    <w:rsid w:val="0047585F"/>
    <w:rsid w:val="004775CA"/>
    <w:rsid w:val="00477C76"/>
    <w:rsid w:val="004806DE"/>
    <w:rsid w:val="004834C2"/>
    <w:rsid w:val="00484AD3"/>
    <w:rsid w:val="00487194"/>
    <w:rsid w:val="0049266D"/>
    <w:rsid w:val="00492E86"/>
    <w:rsid w:val="004933B6"/>
    <w:rsid w:val="00496C37"/>
    <w:rsid w:val="004A2EE4"/>
    <w:rsid w:val="004A37C3"/>
    <w:rsid w:val="004B1147"/>
    <w:rsid w:val="004B4DB6"/>
    <w:rsid w:val="004B7A60"/>
    <w:rsid w:val="004D58D4"/>
    <w:rsid w:val="004D5C0F"/>
    <w:rsid w:val="004D73D7"/>
    <w:rsid w:val="004E4FF7"/>
    <w:rsid w:val="004E5F46"/>
    <w:rsid w:val="004E7C6B"/>
    <w:rsid w:val="00500BFA"/>
    <w:rsid w:val="00502470"/>
    <w:rsid w:val="00511A65"/>
    <w:rsid w:val="00512EBF"/>
    <w:rsid w:val="005230D0"/>
    <w:rsid w:val="005267FF"/>
    <w:rsid w:val="0053449B"/>
    <w:rsid w:val="00543EAC"/>
    <w:rsid w:val="00547A64"/>
    <w:rsid w:val="00551680"/>
    <w:rsid w:val="005541BC"/>
    <w:rsid w:val="00554511"/>
    <w:rsid w:val="00556FDE"/>
    <w:rsid w:val="00571895"/>
    <w:rsid w:val="00574F95"/>
    <w:rsid w:val="00590613"/>
    <w:rsid w:val="00591B63"/>
    <w:rsid w:val="005B38C0"/>
    <w:rsid w:val="005B6820"/>
    <w:rsid w:val="005C033F"/>
    <w:rsid w:val="005C52A9"/>
    <w:rsid w:val="005F28EE"/>
    <w:rsid w:val="005F5B6C"/>
    <w:rsid w:val="00604B85"/>
    <w:rsid w:val="006050DA"/>
    <w:rsid w:val="00606550"/>
    <w:rsid w:val="00606753"/>
    <w:rsid w:val="00620719"/>
    <w:rsid w:val="0065150A"/>
    <w:rsid w:val="00652BCA"/>
    <w:rsid w:val="00663808"/>
    <w:rsid w:val="00675234"/>
    <w:rsid w:val="00684305"/>
    <w:rsid w:val="00686210"/>
    <w:rsid w:val="00686CD2"/>
    <w:rsid w:val="006A690F"/>
    <w:rsid w:val="006A6AF5"/>
    <w:rsid w:val="006B5899"/>
    <w:rsid w:val="006B78E3"/>
    <w:rsid w:val="006C3885"/>
    <w:rsid w:val="006C65D9"/>
    <w:rsid w:val="006C7CF5"/>
    <w:rsid w:val="006D54FC"/>
    <w:rsid w:val="006E09BA"/>
    <w:rsid w:val="007013CA"/>
    <w:rsid w:val="00713025"/>
    <w:rsid w:val="0071372D"/>
    <w:rsid w:val="00721D05"/>
    <w:rsid w:val="00725BE9"/>
    <w:rsid w:val="00730F3B"/>
    <w:rsid w:val="00730FAB"/>
    <w:rsid w:val="00735095"/>
    <w:rsid w:val="0073726E"/>
    <w:rsid w:val="00740E01"/>
    <w:rsid w:val="0075140B"/>
    <w:rsid w:val="0076504D"/>
    <w:rsid w:val="00775C06"/>
    <w:rsid w:val="00776EDD"/>
    <w:rsid w:val="00780BCC"/>
    <w:rsid w:val="007A29B2"/>
    <w:rsid w:val="007A6682"/>
    <w:rsid w:val="007A67C1"/>
    <w:rsid w:val="007A7D34"/>
    <w:rsid w:val="007B1B24"/>
    <w:rsid w:val="007B374D"/>
    <w:rsid w:val="007B6703"/>
    <w:rsid w:val="007C6453"/>
    <w:rsid w:val="007E0A10"/>
    <w:rsid w:val="007F19E3"/>
    <w:rsid w:val="007F3554"/>
    <w:rsid w:val="008034A5"/>
    <w:rsid w:val="00804764"/>
    <w:rsid w:val="00806036"/>
    <w:rsid w:val="008131C6"/>
    <w:rsid w:val="00821BD8"/>
    <w:rsid w:val="0082541F"/>
    <w:rsid w:val="00836D38"/>
    <w:rsid w:val="00837543"/>
    <w:rsid w:val="00842EFC"/>
    <w:rsid w:val="008444BA"/>
    <w:rsid w:val="0085139D"/>
    <w:rsid w:val="008609F4"/>
    <w:rsid w:val="008612C8"/>
    <w:rsid w:val="00864065"/>
    <w:rsid w:val="00877E7B"/>
    <w:rsid w:val="0088005C"/>
    <w:rsid w:val="00882D2B"/>
    <w:rsid w:val="00886D88"/>
    <w:rsid w:val="008B25CB"/>
    <w:rsid w:val="008B29C1"/>
    <w:rsid w:val="008B7ABA"/>
    <w:rsid w:val="008C2A11"/>
    <w:rsid w:val="008D5B8E"/>
    <w:rsid w:val="008F70FB"/>
    <w:rsid w:val="008F7CBE"/>
    <w:rsid w:val="00903349"/>
    <w:rsid w:val="00905996"/>
    <w:rsid w:val="00916AF2"/>
    <w:rsid w:val="00923A95"/>
    <w:rsid w:val="009261C0"/>
    <w:rsid w:val="00941F4A"/>
    <w:rsid w:val="009502A6"/>
    <w:rsid w:val="00954F9C"/>
    <w:rsid w:val="00986F89"/>
    <w:rsid w:val="009902F9"/>
    <w:rsid w:val="0099666E"/>
    <w:rsid w:val="009A2D14"/>
    <w:rsid w:val="009A7CAD"/>
    <w:rsid w:val="009B75EC"/>
    <w:rsid w:val="009C1F99"/>
    <w:rsid w:val="009D4A36"/>
    <w:rsid w:val="009D7D53"/>
    <w:rsid w:val="009E2F83"/>
    <w:rsid w:val="009E520C"/>
    <w:rsid w:val="009F2BBF"/>
    <w:rsid w:val="009F3467"/>
    <w:rsid w:val="009F407C"/>
    <w:rsid w:val="00A0439E"/>
    <w:rsid w:val="00A05C36"/>
    <w:rsid w:val="00A06690"/>
    <w:rsid w:val="00A44249"/>
    <w:rsid w:val="00A46C24"/>
    <w:rsid w:val="00A51785"/>
    <w:rsid w:val="00A56A03"/>
    <w:rsid w:val="00A71574"/>
    <w:rsid w:val="00A72A96"/>
    <w:rsid w:val="00A736DA"/>
    <w:rsid w:val="00A754B0"/>
    <w:rsid w:val="00A75CAA"/>
    <w:rsid w:val="00A87848"/>
    <w:rsid w:val="00A94D68"/>
    <w:rsid w:val="00A966B3"/>
    <w:rsid w:val="00AA0FDF"/>
    <w:rsid w:val="00AB0422"/>
    <w:rsid w:val="00AB0751"/>
    <w:rsid w:val="00AB4C91"/>
    <w:rsid w:val="00AB65B1"/>
    <w:rsid w:val="00AB6C98"/>
    <w:rsid w:val="00AC0187"/>
    <w:rsid w:val="00AC0918"/>
    <w:rsid w:val="00AC26C1"/>
    <w:rsid w:val="00AD5ADA"/>
    <w:rsid w:val="00AD5B89"/>
    <w:rsid w:val="00AF7606"/>
    <w:rsid w:val="00B22272"/>
    <w:rsid w:val="00B23E93"/>
    <w:rsid w:val="00B24B17"/>
    <w:rsid w:val="00B36F5C"/>
    <w:rsid w:val="00B40080"/>
    <w:rsid w:val="00B55779"/>
    <w:rsid w:val="00B5679D"/>
    <w:rsid w:val="00B8055C"/>
    <w:rsid w:val="00B81810"/>
    <w:rsid w:val="00B84381"/>
    <w:rsid w:val="00B87240"/>
    <w:rsid w:val="00B91581"/>
    <w:rsid w:val="00B94FB8"/>
    <w:rsid w:val="00BA2103"/>
    <w:rsid w:val="00BA2313"/>
    <w:rsid w:val="00BB6396"/>
    <w:rsid w:val="00BC291E"/>
    <w:rsid w:val="00BC7084"/>
    <w:rsid w:val="00BC752D"/>
    <w:rsid w:val="00BD2476"/>
    <w:rsid w:val="00BD3217"/>
    <w:rsid w:val="00BD34A6"/>
    <w:rsid w:val="00BD7615"/>
    <w:rsid w:val="00BE5775"/>
    <w:rsid w:val="00BF0414"/>
    <w:rsid w:val="00BF2A23"/>
    <w:rsid w:val="00C05572"/>
    <w:rsid w:val="00C12FF7"/>
    <w:rsid w:val="00C14883"/>
    <w:rsid w:val="00C16161"/>
    <w:rsid w:val="00C2140A"/>
    <w:rsid w:val="00C23E59"/>
    <w:rsid w:val="00C31170"/>
    <w:rsid w:val="00C37816"/>
    <w:rsid w:val="00C42353"/>
    <w:rsid w:val="00C51A89"/>
    <w:rsid w:val="00C578B2"/>
    <w:rsid w:val="00C57FBB"/>
    <w:rsid w:val="00C75255"/>
    <w:rsid w:val="00C83D28"/>
    <w:rsid w:val="00C849CE"/>
    <w:rsid w:val="00C9129C"/>
    <w:rsid w:val="00C93521"/>
    <w:rsid w:val="00C96435"/>
    <w:rsid w:val="00C970E0"/>
    <w:rsid w:val="00CA0905"/>
    <w:rsid w:val="00CA10AB"/>
    <w:rsid w:val="00CB2396"/>
    <w:rsid w:val="00CB3534"/>
    <w:rsid w:val="00CC1FC9"/>
    <w:rsid w:val="00CC3405"/>
    <w:rsid w:val="00CC572A"/>
    <w:rsid w:val="00CD1939"/>
    <w:rsid w:val="00CD2FE6"/>
    <w:rsid w:val="00CE0A14"/>
    <w:rsid w:val="00CF087E"/>
    <w:rsid w:val="00D03D8F"/>
    <w:rsid w:val="00D13D94"/>
    <w:rsid w:val="00D22FE1"/>
    <w:rsid w:val="00D25BDA"/>
    <w:rsid w:val="00D266A0"/>
    <w:rsid w:val="00D27C81"/>
    <w:rsid w:val="00D305AA"/>
    <w:rsid w:val="00D307CE"/>
    <w:rsid w:val="00D335EA"/>
    <w:rsid w:val="00D33DB6"/>
    <w:rsid w:val="00D40A4C"/>
    <w:rsid w:val="00D447AF"/>
    <w:rsid w:val="00D4498B"/>
    <w:rsid w:val="00D82D0B"/>
    <w:rsid w:val="00D84556"/>
    <w:rsid w:val="00DA1B0B"/>
    <w:rsid w:val="00DA48E8"/>
    <w:rsid w:val="00DA6AEA"/>
    <w:rsid w:val="00DB5A75"/>
    <w:rsid w:val="00DC10B5"/>
    <w:rsid w:val="00DD75C9"/>
    <w:rsid w:val="00DE0B17"/>
    <w:rsid w:val="00DE291B"/>
    <w:rsid w:val="00DE4C58"/>
    <w:rsid w:val="00DE585E"/>
    <w:rsid w:val="00DF4333"/>
    <w:rsid w:val="00E0427C"/>
    <w:rsid w:val="00E042B0"/>
    <w:rsid w:val="00E1699B"/>
    <w:rsid w:val="00E265CD"/>
    <w:rsid w:val="00E34E49"/>
    <w:rsid w:val="00E37BC1"/>
    <w:rsid w:val="00E45ABC"/>
    <w:rsid w:val="00E54217"/>
    <w:rsid w:val="00E56123"/>
    <w:rsid w:val="00E565C6"/>
    <w:rsid w:val="00E6027F"/>
    <w:rsid w:val="00E70CFF"/>
    <w:rsid w:val="00E71853"/>
    <w:rsid w:val="00E775B6"/>
    <w:rsid w:val="00E807E4"/>
    <w:rsid w:val="00E9039D"/>
    <w:rsid w:val="00E937A4"/>
    <w:rsid w:val="00E949DA"/>
    <w:rsid w:val="00EA0309"/>
    <w:rsid w:val="00EA1263"/>
    <w:rsid w:val="00EA3BD5"/>
    <w:rsid w:val="00EA70B1"/>
    <w:rsid w:val="00EB5099"/>
    <w:rsid w:val="00EC384F"/>
    <w:rsid w:val="00ED0467"/>
    <w:rsid w:val="00ED1272"/>
    <w:rsid w:val="00ED3632"/>
    <w:rsid w:val="00ED5C5A"/>
    <w:rsid w:val="00ED6264"/>
    <w:rsid w:val="00EE73F4"/>
    <w:rsid w:val="00EF1A03"/>
    <w:rsid w:val="00EF3420"/>
    <w:rsid w:val="00EF468C"/>
    <w:rsid w:val="00F064A7"/>
    <w:rsid w:val="00F12BE3"/>
    <w:rsid w:val="00F171EC"/>
    <w:rsid w:val="00F2691C"/>
    <w:rsid w:val="00F30862"/>
    <w:rsid w:val="00F362C9"/>
    <w:rsid w:val="00F41527"/>
    <w:rsid w:val="00F4525D"/>
    <w:rsid w:val="00F47266"/>
    <w:rsid w:val="00F60957"/>
    <w:rsid w:val="00F6405D"/>
    <w:rsid w:val="00F65886"/>
    <w:rsid w:val="00F72C22"/>
    <w:rsid w:val="00F742D8"/>
    <w:rsid w:val="00F75CB4"/>
    <w:rsid w:val="00F76973"/>
    <w:rsid w:val="00F76B94"/>
    <w:rsid w:val="00F86506"/>
    <w:rsid w:val="00FA1233"/>
    <w:rsid w:val="00FA7262"/>
    <w:rsid w:val="00FB55FC"/>
    <w:rsid w:val="00FB75CC"/>
    <w:rsid w:val="00FC3ABD"/>
    <w:rsid w:val="00FC552A"/>
    <w:rsid w:val="00FC663F"/>
    <w:rsid w:val="00FC7CE4"/>
    <w:rsid w:val="00FD039D"/>
    <w:rsid w:val="00FD2E8F"/>
    <w:rsid w:val="00FD2F5C"/>
    <w:rsid w:val="00FD45F0"/>
    <w:rsid w:val="00FD725F"/>
    <w:rsid w:val="00FF059D"/>
    <w:rsid w:val="00FF260B"/>
    <w:rsid w:val="00FF4E74"/>
    <w:rsid w:val="00FF4F61"/>
    <w:rsid w:val="01C75195"/>
    <w:rsid w:val="026A797C"/>
    <w:rsid w:val="02D08EA5"/>
    <w:rsid w:val="032600B3"/>
    <w:rsid w:val="047BCCA2"/>
    <w:rsid w:val="058587C6"/>
    <w:rsid w:val="076677CC"/>
    <w:rsid w:val="0871F0E7"/>
    <w:rsid w:val="0B09944B"/>
    <w:rsid w:val="0B4F7047"/>
    <w:rsid w:val="0B4FF1F3"/>
    <w:rsid w:val="0C72A44F"/>
    <w:rsid w:val="0CBAD038"/>
    <w:rsid w:val="0CD7BAA2"/>
    <w:rsid w:val="0D4F0099"/>
    <w:rsid w:val="0E411C4B"/>
    <w:rsid w:val="0EAA2775"/>
    <w:rsid w:val="0EE8129E"/>
    <w:rsid w:val="0FB6A6D7"/>
    <w:rsid w:val="0FBFC39E"/>
    <w:rsid w:val="0FE9F759"/>
    <w:rsid w:val="108282BC"/>
    <w:rsid w:val="1193B20B"/>
    <w:rsid w:val="1268E90F"/>
    <w:rsid w:val="136C2D6C"/>
    <w:rsid w:val="146BA9CF"/>
    <w:rsid w:val="149E3392"/>
    <w:rsid w:val="15D62A0E"/>
    <w:rsid w:val="15E1075A"/>
    <w:rsid w:val="1667F83E"/>
    <w:rsid w:val="1725CA4E"/>
    <w:rsid w:val="17C85EDF"/>
    <w:rsid w:val="19675BD9"/>
    <w:rsid w:val="19E6D294"/>
    <w:rsid w:val="1B152739"/>
    <w:rsid w:val="1B6B535A"/>
    <w:rsid w:val="1C571F44"/>
    <w:rsid w:val="1E858711"/>
    <w:rsid w:val="1EE78EAF"/>
    <w:rsid w:val="1F5A866C"/>
    <w:rsid w:val="208BA49E"/>
    <w:rsid w:val="20EE9A16"/>
    <w:rsid w:val="23D386A5"/>
    <w:rsid w:val="244A37E4"/>
    <w:rsid w:val="25B1DE34"/>
    <w:rsid w:val="25F2334B"/>
    <w:rsid w:val="267A5888"/>
    <w:rsid w:val="26D05248"/>
    <w:rsid w:val="27740367"/>
    <w:rsid w:val="27CBCB6C"/>
    <w:rsid w:val="29EDF2B5"/>
    <w:rsid w:val="2ACD4376"/>
    <w:rsid w:val="2AEBC004"/>
    <w:rsid w:val="2B3DCA0E"/>
    <w:rsid w:val="2BCC18B9"/>
    <w:rsid w:val="2C2D0808"/>
    <w:rsid w:val="2C5EC82D"/>
    <w:rsid w:val="2DB4C9EA"/>
    <w:rsid w:val="2DD48E20"/>
    <w:rsid w:val="2DEF57FF"/>
    <w:rsid w:val="2E8D11C1"/>
    <w:rsid w:val="2ED5AAEB"/>
    <w:rsid w:val="2EE7D3EC"/>
    <w:rsid w:val="2F6EB48D"/>
    <w:rsid w:val="2F8933DE"/>
    <w:rsid w:val="2F921EA7"/>
    <w:rsid w:val="304AF627"/>
    <w:rsid w:val="304E098F"/>
    <w:rsid w:val="30FABC40"/>
    <w:rsid w:val="31A8563E"/>
    <w:rsid w:val="31BF0C72"/>
    <w:rsid w:val="31C4B8DA"/>
    <w:rsid w:val="33766E32"/>
    <w:rsid w:val="341E9E10"/>
    <w:rsid w:val="356677B7"/>
    <w:rsid w:val="3571DB26"/>
    <w:rsid w:val="3698349D"/>
    <w:rsid w:val="3703E709"/>
    <w:rsid w:val="373C96C0"/>
    <w:rsid w:val="37894EF8"/>
    <w:rsid w:val="37CA7C0C"/>
    <w:rsid w:val="396262C7"/>
    <w:rsid w:val="3A3EA570"/>
    <w:rsid w:val="3B5BAE80"/>
    <w:rsid w:val="3B6F0A11"/>
    <w:rsid w:val="3E381DD8"/>
    <w:rsid w:val="4028199D"/>
    <w:rsid w:val="40D69ECE"/>
    <w:rsid w:val="40D6AFDC"/>
    <w:rsid w:val="40F24846"/>
    <w:rsid w:val="415EDEDE"/>
    <w:rsid w:val="41606A2F"/>
    <w:rsid w:val="43398258"/>
    <w:rsid w:val="43479C84"/>
    <w:rsid w:val="44326BB3"/>
    <w:rsid w:val="44E29EBF"/>
    <w:rsid w:val="451A02C5"/>
    <w:rsid w:val="455B0897"/>
    <w:rsid w:val="45BBD9A9"/>
    <w:rsid w:val="467F8EBA"/>
    <w:rsid w:val="477C7C70"/>
    <w:rsid w:val="4787EB43"/>
    <w:rsid w:val="480D158E"/>
    <w:rsid w:val="4887176A"/>
    <w:rsid w:val="489F0EFC"/>
    <w:rsid w:val="48EF0A12"/>
    <w:rsid w:val="48F46EEE"/>
    <w:rsid w:val="48F9DD7C"/>
    <w:rsid w:val="4931CF7D"/>
    <w:rsid w:val="496A6993"/>
    <w:rsid w:val="49C2BCAA"/>
    <w:rsid w:val="4AEE78F6"/>
    <w:rsid w:val="4B32231B"/>
    <w:rsid w:val="4C38BFC3"/>
    <w:rsid w:val="4D05A761"/>
    <w:rsid w:val="4D305543"/>
    <w:rsid w:val="4DCDF3F7"/>
    <w:rsid w:val="4E688038"/>
    <w:rsid w:val="4E8C07A2"/>
    <w:rsid w:val="4E9F00E2"/>
    <w:rsid w:val="4F5E30F2"/>
    <w:rsid w:val="4F68F8AB"/>
    <w:rsid w:val="4F727C93"/>
    <w:rsid w:val="4F9EA5F1"/>
    <w:rsid w:val="5037B34A"/>
    <w:rsid w:val="5051121F"/>
    <w:rsid w:val="507ADE7B"/>
    <w:rsid w:val="5205FB37"/>
    <w:rsid w:val="526FCFDD"/>
    <w:rsid w:val="52833985"/>
    <w:rsid w:val="53541D5F"/>
    <w:rsid w:val="536F7D58"/>
    <w:rsid w:val="5372B1D7"/>
    <w:rsid w:val="56658080"/>
    <w:rsid w:val="579847B1"/>
    <w:rsid w:val="58E3BCC2"/>
    <w:rsid w:val="59814FCF"/>
    <w:rsid w:val="5ACBE3F2"/>
    <w:rsid w:val="5C5B5418"/>
    <w:rsid w:val="5C758F39"/>
    <w:rsid w:val="5D35502A"/>
    <w:rsid w:val="5E6EAC9A"/>
    <w:rsid w:val="5F2336EC"/>
    <w:rsid w:val="5FBD92D4"/>
    <w:rsid w:val="6020D4C2"/>
    <w:rsid w:val="6087FED5"/>
    <w:rsid w:val="60B2AC5F"/>
    <w:rsid w:val="6183E5C8"/>
    <w:rsid w:val="619CB214"/>
    <w:rsid w:val="61CA3BDA"/>
    <w:rsid w:val="62C6EBCE"/>
    <w:rsid w:val="6304D0D2"/>
    <w:rsid w:val="6388FDC5"/>
    <w:rsid w:val="640344A9"/>
    <w:rsid w:val="6406EBFF"/>
    <w:rsid w:val="6432B9E0"/>
    <w:rsid w:val="6444E3C8"/>
    <w:rsid w:val="64B16353"/>
    <w:rsid w:val="65C81A83"/>
    <w:rsid w:val="65D496A9"/>
    <w:rsid w:val="667A20DB"/>
    <w:rsid w:val="667C1C68"/>
    <w:rsid w:val="668891C7"/>
    <w:rsid w:val="671B0BED"/>
    <w:rsid w:val="67C5D6B9"/>
    <w:rsid w:val="68105884"/>
    <w:rsid w:val="696737B9"/>
    <w:rsid w:val="6A103196"/>
    <w:rsid w:val="6B61BBBA"/>
    <w:rsid w:val="6B6F499A"/>
    <w:rsid w:val="6B8FCFEB"/>
    <w:rsid w:val="6B92CD79"/>
    <w:rsid w:val="6C470389"/>
    <w:rsid w:val="6CE20025"/>
    <w:rsid w:val="6D36148F"/>
    <w:rsid w:val="6DAD47E0"/>
    <w:rsid w:val="6DBC7A53"/>
    <w:rsid w:val="6EDF215B"/>
    <w:rsid w:val="6EF21424"/>
    <w:rsid w:val="6F74E4F9"/>
    <w:rsid w:val="6F76CD40"/>
    <w:rsid w:val="70037225"/>
    <w:rsid w:val="709A11CE"/>
    <w:rsid w:val="726628D0"/>
    <w:rsid w:val="7303EF69"/>
    <w:rsid w:val="73C5499C"/>
    <w:rsid w:val="74AEBAE4"/>
    <w:rsid w:val="75887490"/>
    <w:rsid w:val="759BDA60"/>
    <w:rsid w:val="75FF8B6A"/>
    <w:rsid w:val="77102F54"/>
    <w:rsid w:val="77A3785D"/>
    <w:rsid w:val="77BEF606"/>
    <w:rsid w:val="78006ED7"/>
    <w:rsid w:val="79BEA274"/>
    <w:rsid w:val="79ECFE31"/>
    <w:rsid w:val="7A47DD6E"/>
    <w:rsid w:val="7A8375FF"/>
    <w:rsid w:val="7AB5398D"/>
    <w:rsid w:val="7C21A8A3"/>
    <w:rsid w:val="7D0E1777"/>
    <w:rsid w:val="7D7CA025"/>
    <w:rsid w:val="7ED0EF20"/>
    <w:rsid w:val="7ED94EE7"/>
    <w:rsid w:val="7F062331"/>
    <w:rsid w:val="7F5902F2"/>
    <w:rsid w:val="7FE166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64FB1"/>
  <w15:chartTrackingRefBased/>
  <w15:docId w15:val="{DE89DEC4-B136-4024-A49E-ECB8066E0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5899"/>
    <w:pPr>
      <w:spacing w:after="0" w:line="240" w:lineRule="auto"/>
    </w:pPr>
  </w:style>
  <w:style w:type="paragraph" w:styleId="Heading1">
    <w:name w:val="heading 1"/>
    <w:basedOn w:val="Normal"/>
    <w:next w:val="Normal"/>
    <w:link w:val="Heading1Char"/>
    <w:uiPriority w:val="9"/>
    <w:qFormat/>
    <w:rsid w:val="002441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41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41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41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41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415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415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415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415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41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41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41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41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41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41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41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41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415A"/>
    <w:rPr>
      <w:rFonts w:eastAsiaTheme="majorEastAsia" w:cstheme="majorBidi"/>
      <w:color w:val="272727" w:themeColor="text1" w:themeTint="D8"/>
    </w:rPr>
  </w:style>
  <w:style w:type="paragraph" w:styleId="Title">
    <w:name w:val="Title"/>
    <w:basedOn w:val="Normal"/>
    <w:next w:val="Normal"/>
    <w:link w:val="TitleChar"/>
    <w:uiPriority w:val="10"/>
    <w:qFormat/>
    <w:rsid w:val="0024415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41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41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41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415A"/>
    <w:pPr>
      <w:spacing w:before="160"/>
      <w:jc w:val="center"/>
    </w:pPr>
    <w:rPr>
      <w:i/>
      <w:iCs/>
      <w:color w:val="404040" w:themeColor="text1" w:themeTint="BF"/>
    </w:rPr>
  </w:style>
  <w:style w:type="character" w:customStyle="1" w:styleId="QuoteChar">
    <w:name w:val="Quote Char"/>
    <w:basedOn w:val="DefaultParagraphFont"/>
    <w:link w:val="Quote"/>
    <w:uiPriority w:val="29"/>
    <w:rsid w:val="0024415A"/>
    <w:rPr>
      <w:i/>
      <w:iCs/>
      <w:color w:val="404040" w:themeColor="text1" w:themeTint="BF"/>
    </w:rPr>
  </w:style>
  <w:style w:type="paragraph" w:styleId="ListParagraph">
    <w:name w:val="List Paragraph"/>
    <w:basedOn w:val="Normal"/>
    <w:uiPriority w:val="34"/>
    <w:qFormat/>
    <w:rsid w:val="0024415A"/>
    <w:pPr>
      <w:ind w:left="720"/>
      <w:contextualSpacing/>
    </w:pPr>
  </w:style>
  <w:style w:type="character" w:styleId="IntenseEmphasis">
    <w:name w:val="Intense Emphasis"/>
    <w:basedOn w:val="DefaultParagraphFont"/>
    <w:uiPriority w:val="21"/>
    <w:qFormat/>
    <w:rsid w:val="0024415A"/>
    <w:rPr>
      <w:i/>
      <w:iCs/>
      <w:color w:val="0F4761" w:themeColor="accent1" w:themeShade="BF"/>
    </w:rPr>
  </w:style>
  <w:style w:type="paragraph" w:styleId="IntenseQuote">
    <w:name w:val="Intense Quote"/>
    <w:basedOn w:val="Normal"/>
    <w:next w:val="Normal"/>
    <w:link w:val="IntenseQuoteChar"/>
    <w:uiPriority w:val="30"/>
    <w:qFormat/>
    <w:rsid w:val="002441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415A"/>
    <w:rPr>
      <w:i/>
      <w:iCs/>
      <w:color w:val="0F4761" w:themeColor="accent1" w:themeShade="BF"/>
    </w:rPr>
  </w:style>
  <w:style w:type="character" w:styleId="IntenseReference">
    <w:name w:val="Intense Reference"/>
    <w:basedOn w:val="DefaultParagraphFont"/>
    <w:uiPriority w:val="32"/>
    <w:qFormat/>
    <w:rsid w:val="0024415A"/>
    <w:rPr>
      <w:b/>
      <w:bCs/>
      <w:smallCaps/>
      <w:color w:val="0F4761" w:themeColor="accent1" w:themeShade="BF"/>
      <w:spacing w:val="5"/>
    </w:rPr>
  </w:style>
  <w:style w:type="paragraph" w:customStyle="1" w:styleId="p1">
    <w:name w:val="p1"/>
    <w:basedOn w:val="Normal"/>
    <w:rsid w:val="00EE73F4"/>
    <w:rPr>
      <w:rFonts w:ascii="Times New Roman" w:eastAsia="Times New Roman" w:hAnsi="Times New Roman" w:cs="Times New Roman"/>
      <w:color w:val="262626"/>
      <w:kern w:val="0"/>
      <w:sz w:val="18"/>
      <w:szCs w:val="18"/>
      <w14:ligatures w14:val="none"/>
    </w:rPr>
  </w:style>
  <w:style w:type="character" w:styleId="Hyperlink">
    <w:name w:val="Hyperlink"/>
    <w:basedOn w:val="DefaultParagraphFont"/>
    <w:uiPriority w:val="99"/>
    <w:unhideWhenUsed/>
    <w:rsid w:val="00EE73F4"/>
    <w:rPr>
      <w:color w:val="467886" w:themeColor="hyperlink"/>
      <w:u w:val="single"/>
    </w:rPr>
  </w:style>
  <w:style w:type="character" w:styleId="CommentReference">
    <w:name w:val="annotation reference"/>
    <w:basedOn w:val="DefaultParagraphFont"/>
    <w:uiPriority w:val="99"/>
    <w:semiHidden/>
    <w:unhideWhenUsed/>
    <w:rsid w:val="00EE73F4"/>
    <w:rPr>
      <w:sz w:val="16"/>
      <w:szCs w:val="16"/>
    </w:rPr>
  </w:style>
  <w:style w:type="paragraph" w:styleId="CommentText">
    <w:name w:val="annotation text"/>
    <w:basedOn w:val="Normal"/>
    <w:link w:val="CommentTextChar"/>
    <w:uiPriority w:val="99"/>
    <w:unhideWhenUsed/>
    <w:rsid w:val="00EE73F4"/>
    <w:rPr>
      <w:sz w:val="20"/>
      <w:szCs w:val="20"/>
    </w:rPr>
  </w:style>
  <w:style w:type="character" w:customStyle="1" w:styleId="CommentTextChar">
    <w:name w:val="Comment Text Char"/>
    <w:basedOn w:val="DefaultParagraphFont"/>
    <w:link w:val="CommentText"/>
    <w:uiPriority w:val="99"/>
    <w:rsid w:val="00EE73F4"/>
    <w:rPr>
      <w:sz w:val="20"/>
      <w:szCs w:val="20"/>
    </w:rPr>
  </w:style>
  <w:style w:type="paragraph" w:styleId="CommentSubject">
    <w:name w:val="annotation subject"/>
    <w:basedOn w:val="CommentText"/>
    <w:next w:val="CommentText"/>
    <w:link w:val="CommentSubjectChar"/>
    <w:uiPriority w:val="99"/>
    <w:semiHidden/>
    <w:unhideWhenUsed/>
    <w:rsid w:val="00EE73F4"/>
    <w:rPr>
      <w:b/>
      <w:bCs/>
    </w:rPr>
  </w:style>
  <w:style w:type="character" w:customStyle="1" w:styleId="CommentSubjectChar">
    <w:name w:val="Comment Subject Char"/>
    <w:basedOn w:val="CommentTextChar"/>
    <w:link w:val="CommentSubject"/>
    <w:uiPriority w:val="99"/>
    <w:semiHidden/>
    <w:rsid w:val="00EE73F4"/>
    <w:rPr>
      <w:b/>
      <w:bCs/>
      <w:sz w:val="20"/>
      <w:szCs w:val="20"/>
    </w:rPr>
  </w:style>
  <w:style w:type="paragraph" w:styleId="Revision">
    <w:name w:val="Revision"/>
    <w:hidden/>
    <w:uiPriority w:val="99"/>
    <w:semiHidden/>
    <w:rsid w:val="004A37C3"/>
    <w:pPr>
      <w:spacing w:after="0" w:line="240" w:lineRule="auto"/>
    </w:pPr>
  </w:style>
  <w:style w:type="table" w:styleId="TableGrid">
    <w:name w:val="Table Grid"/>
    <w:basedOn w:val="TableNormal"/>
    <w:uiPriority w:val="59"/>
    <w:rsid w:val="007B1B2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986F89"/>
    <w:pPr>
      <w:tabs>
        <w:tab w:val="center" w:pos="4680"/>
        <w:tab w:val="right" w:pos="9360"/>
      </w:tabs>
    </w:pPr>
  </w:style>
  <w:style w:type="character" w:customStyle="1" w:styleId="HeaderChar">
    <w:name w:val="Header Char"/>
    <w:basedOn w:val="DefaultParagraphFont"/>
    <w:link w:val="Header"/>
    <w:uiPriority w:val="99"/>
    <w:rsid w:val="00986F89"/>
  </w:style>
  <w:style w:type="paragraph" w:styleId="Footer">
    <w:name w:val="footer"/>
    <w:basedOn w:val="Normal"/>
    <w:link w:val="FooterChar"/>
    <w:uiPriority w:val="99"/>
    <w:unhideWhenUsed/>
    <w:rsid w:val="00986F89"/>
    <w:pPr>
      <w:tabs>
        <w:tab w:val="center" w:pos="4680"/>
        <w:tab w:val="right" w:pos="9360"/>
      </w:tabs>
    </w:pPr>
  </w:style>
  <w:style w:type="character" w:customStyle="1" w:styleId="FooterChar">
    <w:name w:val="Footer Char"/>
    <w:basedOn w:val="DefaultParagraphFont"/>
    <w:link w:val="Footer"/>
    <w:uiPriority w:val="99"/>
    <w:rsid w:val="00986F89"/>
  </w:style>
  <w:style w:type="paragraph" w:styleId="Bibliography">
    <w:name w:val="Bibliography"/>
    <w:basedOn w:val="Normal"/>
    <w:next w:val="Normal"/>
    <w:uiPriority w:val="37"/>
    <w:unhideWhenUsed/>
    <w:rsid w:val="005541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F509A5183CE174C9DC3B5DA853C0C56" ma:contentTypeVersion="4" ma:contentTypeDescription="Create a new document." ma:contentTypeScope="" ma:versionID="b32c1013396df81f702c5da4eeae83c2">
  <xsd:schema xmlns:xsd="http://www.w3.org/2001/XMLSchema" xmlns:xs="http://www.w3.org/2001/XMLSchema" xmlns:p="http://schemas.microsoft.com/office/2006/metadata/properties" xmlns:ns2="8301d7ac-05e4-4adf-aa2a-27a2b646cfec" targetNamespace="http://schemas.microsoft.com/office/2006/metadata/properties" ma:root="true" ma:fieldsID="21ffcd1dfa60947cb5a324a7869f631a" ns2:_="">
    <xsd:import namespace="8301d7ac-05e4-4adf-aa2a-27a2b646cfe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01d7ac-05e4-4adf-aa2a-27a2b646cfe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54E286-0B69-4BA6-9722-2E276D103D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01d7ac-05e4-4adf-aa2a-27a2b646cf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FE5B84-5A44-477C-BFDD-D6ECB9BDF6C1}">
  <ds:schemaRefs>
    <ds:schemaRef ds:uri="http://schemas.microsoft.com/sharepoint/v3/contenttype/forms"/>
  </ds:schemaRefs>
</ds:datastoreItem>
</file>

<file path=customXml/itemProps3.xml><?xml version="1.0" encoding="utf-8"?>
<ds:datastoreItem xmlns:ds="http://schemas.openxmlformats.org/officeDocument/2006/customXml" ds:itemID="{F07E6EE8-CCBF-4E24-A4EF-EF2DE43167B0}">
  <ds:schemaRefs>
    <ds:schemaRef ds:uri="http://schemas.openxmlformats.org/officeDocument/2006/bibliography"/>
  </ds:schemaRefs>
</ds:datastoreItem>
</file>

<file path=customXml/itemProps4.xml><?xml version="1.0" encoding="utf-8"?>
<ds:datastoreItem xmlns:ds="http://schemas.openxmlformats.org/officeDocument/2006/customXml" ds:itemID="{DCC4C105-9C6C-4BFF-9604-A1EB21EBB1D4}">
  <ds:schemaRefs>
    <ds:schemaRef ds:uri="http://schemas.microsoft.com/office/2006/documentManagement/types"/>
    <ds:schemaRef ds:uri="http://purl.org/dc/dcmitype/"/>
    <ds:schemaRef ds:uri="http://purl.org/dc/elements/1.1/"/>
    <ds:schemaRef ds:uri="http://www.w3.org/XML/1998/namespace"/>
    <ds:schemaRef ds:uri="http://schemas.openxmlformats.org/package/2006/metadata/core-properties"/>
    <ds:schemaRef ds:uri="http://schemas.microsoft.com/office/infopath/2007/PartnerControls"/>
    <ds:schemaRef ds:uri="8301d7ac-05e4-4adf-aa2a-27a2b646cfec"/>
    <ds:schemaRef ds:uri="http://schemas.microsoft.com/office/2006/metadata/properti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16</Pages>
  <Words>15826</Words>
  <Characters>106826</Characters>
  <Application>Microsoft Office Word</Application>
  <DocSecurity>0</DocSecurity>
  <Lines>1504</Lines>
  <Paragraphs>365</Paragraphs>
  <ScaleCrop>false</ScaleCrop>
  <Company/>
  <LinksUpToDate>false</LinksUpToDate>
  <CharactersWithSpaces>122287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Saephan, Kenny</dc:creator>
  <cp:keywords/>
  <dc:description/>
  <cp:lastModifiedBy>Saephan, Kenny</cp:lastModifiedBy>
  <cp:revision>17</cp:revision>
  <dcterms:created xsi:type="dcterms:W3CDTF">2026-03-31T15:17:00Z</dcterms:created>
  <dcterms:modified xsi:type="dcterms:W3CDTF">2026-04-04T03:59:00Z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0x0101009F509A5183CE174C9DC3B5DA853C0C56</vt:lpwstr>
  </property>
  <property fmtid="{D5CDD505-2E9C-101B-9397-08002B2CF9AE}" pid="3" name="ZOTERO_PREF_1">
    <vt:lpwstr>&lt;data data-version="3" zotero-version="7.0.32"&gt;&lt;session id="9btP22sM"/&gt;&lt;style id="http://www.zotero.org/styles/apa" locale="en-US" hasBibliography="1" bibliographyStyleHasBeenSet="1"/&gt;&lt;prefs&gt;&lt;pref name="fieldType" value="Field"/&gt;&lt;pref name="automaticJourn</vt:lpwstr>
  </property>
  <property fmtid="{D5CDD505-2E9C-101B-9397-08002B2CF9AE}" pid="4" name="ZOTERO_PREF_2">
    <vt:lpwstr>alAbbreviations" value="true"/&gt;&lt;/prefs&gt;&lt;/data&gt;</vt:lpwstr>
  </property>
</Properties>
</file>