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3A2C9"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Driving Forces Shaping Parental Perceptions of AFNR Opportunities for their Children</w:t>
      </w:r>
    </w:p>
    <w:p w14:paraId="73A8F83F"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34487310" w14:textId="77777777" w:rsidR="00420970" w:rsidRDefault="00420970" w:rsidP="0042097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Amy Smith, University of Minnesota—Twin Cities</w:t>
      </w:r>
    </w:p>
    <w:p w14:paraId="5A72EF1F" w14:textId="77777777" w:rsidR="00420970" w:rsidRDefault="00420970" w:rsidP="0042097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Joe Ramstad, Iowa State University</w:t>
      </w:r>
    </w:p>
    <w:p w14:paraId="064C6EF4"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3D492F54"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3BA97532" w14:textId="77777777" w:rsidR="00420970" w:rsidRDefault="00420970" w:rsidP="00420970">
      <w:pPr>
        <w:spacing w:line="240" w:lineRule="auto"/>
        <w:jc w:val="center"/>
        <w:rPr>
          <w:rFonts w:ascii="Times New Roman" w:eastAsia="Times New Roman" w:hAnsi="Times New Roman" w:cs="Times New Roman"/>
          <w:sz w:val="24"/>
          <w:szCs w:val="24"/>
        </w:rPr>
      </w:pPr>
    </w:p>
    <w:p w14:paraId="6F01C42C" w14:textId="77777777" w:rsidR="00420970" w:rsidRDefault="00420970" w:rsidP="0042097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Careers in agriculture, food, and natural resources (AFNR) serve as a foundational piece to local, national, and global economies. The purpose of this study was to explore factors that influence parental encouragement of AFNR-related post-secondary education and careers. We used a multiple case study approach to reflect the unique experiences and contributions of 21 participants as they guided their children through postsecondary and career planning. Following inductive and deductive coding, 184 initial codes emerged, which were organized into 18 categories, and then further collapsed into three overarching themes. Findings emphasized (a) the role of parents as guides, rather than decision-makers in their children’s educational and career </w:t>
      </w:r>
      <w:proofErr w:type="gramStart"/>
      <w:r>
        <w:rPr>
          <w:rFonts w:ascii="Times New Roman" w:eastAsia="Times New Roman" w:hAnsi="Times New Roman" w:cs="Times New Roman"/>
          <w:i/>
          <w:iCs/>
          <w:sz w:val="24"/>
          <w:szCs w:val="24"/>
        </w:rPr>
        <w:t>journeys,,</w:t>
      </w:r>
      <w:proofErr w:type="gramEnd"/>
      <w:r>
        <w:rPr>
          <w:rFonts w:ascii="Times New Roman" w:eastAsia="Times New Roman" w:hAnsi="Times New Roman" w:cs="Times New Roman"/>
          <w:i/>
          <w:iCs/>
          <w:sz w:val="24"/>
          <w:szCs w:val="24"/>
        </w:rPr>
        <w:t xml:space="preserve"> (b) that finding the right career “fit” depends greatly on the needs and desires of each individual child, and (c) parents’ own experiences and limited access to resources may present blind spots when helping guide their children. Future research should include representation from a broader frame and gather the perspectives of both parents. Further, recommendations for professional practice include the development of resources and events to provide families with additional resources or engagement experiences to better guide conversations with their children related to career and post-secondary planning.</w:t>
      </w:r>
    </w:p>
    <w:p w14:paraId="31CFB0FD" w14:textId="77777777" w:rsidR="00420970" w:rsidRDefault="00420970" w:rsidP="00420970">
      <w:pPr>
        <w:spacing w:line="240" w:lineRule="auto"/>
        <w:rPr>
          <w:rFonts w:ascii="Times New Roman" w:eastAsia="Times New Roman" w:hAnsi="Times New Roman" w:cs="Times New Roman"/>
          <w:sz w:val="24"/>
          <w:szCs w:val="24"/>
        </w:rPr>
      </w:pPr>
    </w:p>
    <w:p w14:paraId="07C5AE0F"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 and Literature Review</w:t>
      </w:r>
    </w:p>
    <w:p w14:paraId="45B32840" w14:textId="77777777" w:rsidR="00420970" w:rsidRDefault="00420970" w:rsidP="00420970">
      <w:pPr>
        <w:spacing w:line="240" w:lineRule="auto"/>
        <w:rPr>
          <w:rFonts w:ascii="Times New Roman" w:eastAsia="Times New Roman" w:hAnsi="Times New Roman" w:cs="Times New Roman"/>
          <w:sz w:val="24"/>
          <w:szCs w:val="24"/>
        </w:rPr>
      </w:pPr>
    </w:p>
    <w:p w14:paraId="051BFEF0"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career planning and decision-making process is one of the most stressful and difficult tasks in a person’s life (Zhang et al., 2022), and it is an ongoing, dynamic experience which spans the course of an entire lifetime (Savickas, 2012). For many, this career discovery and planning can begin as early as kindergarten (Howard &amp; Walsh, 2010). There are many influencing factors which play a role in the planning and decision-making throughout a child’s life, including the child’s parents. Given the persistent demand for careers within agriculture, food, and natural resources (AFNR) (Hill et al., 2021), an intentional and focused effort to inform parents of AFNR training and career opportunities to share with their children might prove to be a valuable first step in satisfying these demands in the years to come.</w:t>
      </w:r>
    </w:p>
    <w:p w14:paraId="1E0FEEF1" w14:textId="77777777" w:rsidR="00420970" w:rsidRDefault="00420970" w:rsidP="00420970">
      <w:pPr>
        <w:spacing w:line="240" w:lineRule="auto"/>
        <w:rPr>
          <w:rFonts w:ascii="Times New Roman" w:eastAsia="Times New Roman" w:hAnsi="Times New Roman" w:cs="Times New Roman"/>
          <w:sz w:val="24"/>
          <w:szCs w:val="24"/>
        </w:rPr>
      </w:pPr>
    </w:p>
    <w:p w14:paraId="644E5E67"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qualitative, multiple case study was to explore factors that influence parental encouragement of AFNR-related education and careers. This thematic literature review provides a foundational overview of what has been discovered regarding the demand for careers within AFNR, along with several career decision-making factors that have been shown to influence the post-secondary career and academic pursuits of children.</w:t>
      </w:r>
    </w:p>
    <w:p w14:paraId="2D8880DE" w14:textId="77777777" w:rsidR="00420970" w:rsidRDefault="00420970" w:rsidP="00420970">
      <w:pPr>
        <w:spacing w:line="240" w:lineRule="auto"/>
        <w:rPr>
          <w:rFonts w:ascii="Times New Roman" w:eastAsia="Times New Roman" w:hAnsi="Times New Roman" w:cs="Times New Roman"/>
          <w:sz w:val="24"/>
          <w:szCs w:val="24"/>
        </w:rPr>
      </w:pPr>
    </w:p>
    <w:p w14:paraId="68C48A41"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Demand for Careers in AFNR</w:t>
      </w:r>
    </w:p>
    <w:p w14:paraId="56F8D600"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USDA Economic Research Service (2024) reports that 10.4% of the national workforce is employed in AFNR, representing more than 25 million jobs; 70.1% of which are tied to product preparation, manufacturing, or processing. Additionally, the United States Bureau of Labor Statistics (2024a) projects a 6% increase in demand for agriscience-related jobs, and Purdue </w:t>
      </w:r>
      <w:r>
        <w:rPr>
          <w:rFonts w:ascii="Times New Roman" w:eastAsia="Times New Roman" w:hAnsi="Times New Roman" w:cs="Times New Roman"/>
          <w:sz w:val="24"/>
          <w:szCs w:val="24"/>
        </w:rPr>
        <w:lastRenderedPageBreak/>
        <w:t>University (2025) projects an additional 104,766 job openings each year between 2025 and 2030, with the majority of these being in business and management and science and engineering. These trends underscore the urgent need to develop a well-qualified workforce to meet the growing demands of the AFNR industry, and sustain the ever-increasing population (Hill et al., 2021).</w:t>
      </w:r>
    </w:p>
    <w:p w14:paraId="2336978B" w14:textId="77777777" w:rsidR="00420970" w:rsidRDefault="00420970" w:rsidP="00420970">
      <w:pPr>
        <w:spacing w:line="240" w:lineRule="auto"/>
        <w:rPr>
          <w:rFonts w:ascii="Times New Roman" w:eastAsia="Times New Roman" w:hAnsi="Times New Roman" w:cs="Times New Roman"/>
          <w:sz w:val="24"/>
          <w:szCs w:val="24"/>
        </w:rPr>
      </w:pPr>
    </w:p>
    <w:p w14:paraId="0060654C"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Educational and Career Decision-Making Factors</w:t>
      </w:r>
    </w:p>
    <w:p w14:paraId="0D1AD820"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recognize intrinsic and extrinsic factors can influence the decision-making and desires of an individual (Goffnett et al., 2013); this also applies to children as they pursue career opportunities. The existing body of literature suggests several factors which influence a child’s decision to pursue educational and career opportunities. Some of these factors include: (a) the courses and experiences the child has had, (b) the child’s desires or abilities to pursue specific college or training opportunities, (c) the child’s lifestyle goals, (d) the child’s personal upbringing, including cultural and social values, and (e) familial and parental influences on the child.</w:t>
      </w:r>
    </w:p>
    <w:p w14:paraId="59E1E9FD" w14:textId="77777777" w:rsidR="00420970" w:rsidRDefault="00420970" w:rsidP="00420970">
      <w:pPr>
        <w:spacing w:line="240" w:lineRule="auto"/>
        <w:rPr>
          <w:rFonts w:ascii="Times New Roman" w:eastAsia="Times New Roman" w:hAnsi="Times New Roman" w:cs="Times New Roman"/>
          <w:sz w:val="24"/>
          <w:szCs w:val="24"/>
        </w:rPr>
      </w:pPr>
    </w:p>
    <w:p w14:paraId="4ADA7720"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First, the experiences a child has both formally and informally can influence their training and career decisions. Experiential learning activities can help young people develop knowledge and skills across the career development continuum of career awareness, career exploration, career preparation, and career participation (New Ways to Work, 2026). Such experiences are particularly valuable, given that by age 13 or 14, young people have established cognitive beliefs about their career self-concept and perceptions of the fit or appropriateness of occupations for themselves (Gottfredson, 2005). Early, sustained opportunities for career exploration, hands-on learning, and skill development through youth programs such as 4-H, Scouts, and school-based agricultural education (SBAE) and FFA can play a critical role in shaping career and education decisions. Within SBAE, youth make real-world connections, clarify personal interests and abilities, and build career self-efficacy, all key factors in students’ ability to envision, evaluate, and pursue postsecondary education and career pathways (Wolf et al., 2020).</w:t>
      </w:r>
    </w:p>
    <w:p w14:paraId="3A18EA94" w14:textId="77777777" w:rsidR="00420970" w:rsidRDefault="00420970" w:rsidP="00420970">
      <w:pPr>
        <w:spacing w:line="240" w:lineRule="auto"/>
        <w:rPr>
          <w:rFonts w:ascii="Times New Roman" w:eastAsia="Times New Roman" w:hAnsi="Times New Roman" w:cs="Times New Roman"/>
          <w:sz w:val="24"/>
          <w:szCs w:val="24"/>
        </w:rPr>
      </w:pPr>
    </w:p>
    <w:p w14:paraId="68EC1571"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child’s willingness to pursue post-secondary education and training opportunities also serves as an influencing factor for the careers the child may ultimately choose to pursue. Since many children tend to spend more time in schools than in their households (Eccles &amp; Roeser, 2009), this speaks to the transformative potential that lies within the K-12 education system in shaping a student’s career goals and academic skills. A combination of high aspirations, high expectations, and high academic achievement within a specific field or pathway have been identified among the greatest personal influencing factors in a child’s decision to pursue training or careers within that field or pathway (Khattab, 2015). Within academic achievement specifically, Betz and Hackett (1986) found that proficiency and self-efficacy in some content areas, specifically mathematics, influence the type of, and likelihood of, pursuing post-secondary training and employment opportunities. For example, those with a higher aptitude in mathematics are more likely to pursue careers or training that allow them to apply their skills in this area.</w:t>
      </w:r>
    </w:p>
    <w:p w14:paraId="43FF7C8C" w14:textId="77777777" w:rsidR="00420970" w:rsidRDefault="00420970" w:rsidP="00420970">
      <w:pPr>
        <w:spacing w:line="240" w:lineRule="auto"/>
        <w:rPr>
          <w:rFonts w:ascii="Times New Roman" w:eastAsia="Times New Roman" w:hAnsi="Times New Roman" w:cs="Times New Roman"/>
          <w:sz w:val="24"/>
          <w:szCs w:val="24"/>
        </w:rPr>
      </w:pPr>
    </w:p>
    <w:p w14:paraId="3B59E14C"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cultural and social values have been shown to influence a child’s education- and career-based decisions. Demographic factors such as geographic location, gender, and socioeconomic status have been shown to impact a child’s career and educational goals (Schoon &amp; Polek, 2011). Children from lower socio-economic households are less likely to attend college (Declercq &amp; Verboven, 2015); this is especially true for children in rural communities (Byun et al., 2012). Despite strong labor demand for careers in AFNR, many </w:t>
      </w:r>
      <w:proofErr w:type="gramStart"/>
      <w:r>
        <w:rPr>
          <w:rFonts w:ascii="Times New Roman" w:eastAsia="Times New Roman" w:hAnsi="Times New Roman" w:cs="Times New Roman"/>
          <w:sz w:val="24"/>
          <w:szCs w:val="24"/>
        </w:rPr>
        <w:t>youth</w:t>
      </w:r>
      <w:proofErr w:type="gramEnd"/>
      <w:r>
        <w:rPr>
          <w:rFonts w:ascii="Times New Roman" w:eastAsia="Times New Roman" w:hAnsi="Times New Roman" w:cs="Times New Roman"/>
          <w:sz w:val="24"/>
          <w:szCs w:val="24"/>
        </w:rPr>
        <w:t xml:space="preserve"> remain unwilling to </w:t>
      </w:r>
      <w:r>
        <w:rPr>
          <w:rFonts w:ascii="Times New Roman" w:eastAsia="Times New Roman" w:hAnsi="Times New Roman" w:cs="Times New Roman"/>
          <w:sz w:val="24"/>
          <w:szCs w:val="24"/>
        </w:rPr>
        <w:lastRenderedPageBreak/>
        <w:t>pursue AFNR careers (Girdziute et al., 2022), often due to the perceived low status of agricultural occupations (Consentino et al., 2023; Nandi et al., 2022). Given the importance of AFNR in rural communities across the United States (Gowda et al., 2018), these factors may hinder the ability to meet rural labor demands for certain AFNR professions requiring post-secondary credentials.</w:t>
      </w:r>
    </w:p>
    <w:p w14:paraId="022503AB" w14:textId="77777777" w:rsidR="00420970" w:rsidRDefault="00420970" w:rsidP="00420970">
      <w:pPr>
        <w:spacing w:line="240" w:lineRule="auto"/>
        <w:rPr>
          <w:rFonts w:ascii="Times New Roman" w:eastAsia="Times New Roman" w:hAnsi="Times New Roman" w:cs="Times New Roman"/>
          <w:sz w:val="24"/>
          <w:szCs w:val="24"/>
        </w:rPr>
      </w:pPr>
    </w:p>
    <w:p w14:paraId="610A6F8A"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and social values are a part of a child’s upbringing, and this in turn influences their goals and aspirations for themselves (Declercq &amp; Verboven, 2015). While a child’s perceptions of their own goals and aspirations are dynamic and change multiple times throughout their adolescence (Schoon &amp; Parsons, 2002), students are constantly introduced to new opportunities through their academic and lived experiences (Eccles &amp; Roeser, 2009). However, what children perceive they want in life greatly influences their post-secondary career and academic decisions (Schoon &amp; Parsons, 2002). For some students, factors such as their desired salary (Gu &amp; Zhu, 2023) and societal perceptions of the career (Consentino et al., 2023; Nandi et al., 2022) can be key factors which influence a student’s career choices. The literature further supports that a child’s goals and aspirations may also be influenced by parents, and their perceptions of their parents’ lifestyles or careers (Whiston &amp; Keller, 2004).</w:t>
      </w:r>
    </w:p>
    <w:p w14:paraId="6865F8B8" w14:textId="77777777" w:rsidR="00420970" w:rsidRDefault="00420970" w:rsidP="00420970">
      <w:pPr>
        <w:spacing w:line="240" w:lineRule="auto"/>
        <w:rPr>
          <w:rFonts w:ascii="Times New Roman" w:eastAsia="Times New Roman" w:hAnsi="Times New Roman" w:cs="Times New Roman"/>
          <w:sz w:val="24"/>
          <w:szCs w:val="24"/>
        </w:rPr>
      </w:pPr>
    </w:p>
    <w:p w14:paraId="2B0397CB"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parents have a great influence in the lives of their children, especially as it relates to career and post-secondary planning. This influence occurs both directly—through conversations—and indirectly—through lifestyle and career modeling (Akosah-Twumasi et al., 2018; Keller &amp; Whiston, 2008; Mat Taib et al., 2019; Puad et al., 2023). As a result, access to practical tools and informational resources has proven valuable in helping them support post-secondary planning (Lukaš, 2015). Ginevra et al. (2015) further found that parental encouragement is positively correlated with children’s career self-efficacy.  Given the considerable influence parents and guardians have on their children’s career and training decisions (Akosah-Twumasi et al., 2018; Keller &amp; Whiston, 2008; Mat Taib et al., 2019; Puad et al., 2023), it is essential to understand their perceptions of AFNR careers and post-secondary training. In addition to the perceived low status of agricultural careers within society (Consentino et al., 2023; Nandi et al., 2022), in general, there also appears to be a lack of awareness among non-farm parents (Frick et al., 1995) about AFNR career opportunities. Despite this, parents still believe their children should have opportunities to learn about agriculture (Miller et al., 2025).</w:t>
      </w:r>
    </w:p>
    <w:p w14:paraId="43E2FE45" w14:textId="77777777" w:rsidR="00420970" w:rsidRDefault="00420970" w:rsidP="00420970">
      <w:pPr>
        <w:spacing w:line="240" w:lineRule="auto"/>
        <w:rPr>
          <w:rFonts w:ascii="Times New Roman" w:eastAsia="Times New Roman" w:hAnsi="Times New Roman" w:cs="Times New Roman"/>
          <w:sz w:val="24"/>
          <w:szCs w:val="24"/>
        </w:rPr>
      </w:pPr>
    </w:p>
    <w:p w14:paraId="76416764"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Need for the Study</w:t>
      </w:r>
    </w:p>
    <w:p w14:paraId="46286EB9"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While prior research has established parents as influential in adolescents’ career development, limited attention has been given to how parents perceive their role in encouraging, or constraining, agriculture, food, and natural resources pathways. </w:t>
      </w:r>
      <w:r>
        <w:rPr>
          <w:rFonts w:ascii="Times New Roman" w:eastAsia="Times New Roman" w:hAnsi="Times New Roman" w:cs="Times New Roman"/>
          <w:sz w:val="24"/>
          <w:szCs w:val="24"/>
        </w:rPr>
        <w:t>Given the strong direct and indirect influences a parent can have on their child’s career decisions (Akosah-Twumasi et al., 2018; Mat Taib et al., 2019; Puad et al., 2023), identifying strategies and resources that empower parents represents a critical gap in the literature and a promising step toward building a more robust AFNR workforce amidst ongoing labor shortages (U.S. Bureau of Labor Statistics, 2024a; 2024b). Guided by the Theory of Planned Behavior (Ajzen, 1991), this study addresses this gap, examining how parents can be supported to best inform, or potentially encourage, their children to pursue AFNR education- and career-based opportunities.</w:t>
      </w:r>
    </w:p>
    <w:p w14:paraId="182C91BE" w14:textId="77777777" w:rsidR="00420970" w:rsidRDefault="00420970" w:rsidP="00420970">
      <w:pPr>
        <w:spacing w:line="240" w:lineRule="auto"/>
        <w:rPr>
          <w:rFonts w:ascii="Times New Roman" w:eastAsia="Times New Roman" w:hAnsi="Times New Roman" w:cs="Times New Roman"/>
          <w:sz w:val="24"/>
          <w:szCs w:val="24"/>
        </w:rPr>
      </w:pPr>
    </w:p>
    <w:p w14:paraId="00DFD409" w14:textId="77777777" w:rsidR="00420970" w:rsidRDefault="00420970" w:rsidP="00420970">
      <w:pPr>
        <w:spacing w:line="240" w:lineRule="auto"/>
        <w:rPr>
          <w:rFonts w:ascii="Times New Roman" w:eastAsia="Times New Roman" w:hAnsi="Times New Roman" w:cs="Times New Roman"/>
          <w:sz w:val="24"/>
          <w:szCs w:val="24"/>
        </w:rPr>
      </w:pPr>
    </w:p>
    <w:p w14:paraId="25D5FE9D"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Theoretical Framework</w:t>
      </w:r>
    </w:p>
    <w:p w14:paraId="1D95A05C"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1035A7CE"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Planned Behavior is “designed to predict and explain human behavior in a specific context” (Ajzen, 1991, p. 181). This research applies the theory to understand parents’ perceptions of careers—both broadly and within AFNR—and post-secondary training. We examined how these perceptions influence parents’ willingness or reluctance to offer such opportunities to their children. Ajzen’s (1991) model centers on three constructs: attitudes, subjective norms, and perceived behavioral control (PBC), each of which influences intentions and behaviors. Parents in this study shared their attitudes toward career and training pathways, which in turn informed their subjective norms—the perceived expectations surrounding their child’s career choices (Ajzen, 1991). PBC reflects the extent to which parents believe they have influence in guiding their children’s choices (Ajzen, 1991). Together, these components contribute to parents’ intentions to support or discourage specific pathways, and ultimately, to the actions they take—or do not take—in influencing their children’s post-secondary plans.</w:t>
      </w:r>
    </w:p>
    <w:p w14:paraId="75733268" w14:textId="77777777" w:rsidR="00420970" w:rsidRDefault="00420970" w:rsidP="00420970">
      <w:pPr>
        <w:spacing w:line="240" w:lineRule="auto"/>
        <w:rPr>
          <w:rFonts w:ascii="Times New Roman" w:eastAsia="Times New Roman" w:hAnsi="Times New Roman" w:cs="Times New Roman"/>
          <w:sz w:val="24"/>
          <w:szCs w:val="24"/>
        </w:rPr>
      </w:pPr>
    </w:p>
    <w:p w14:paraId="5F61BA8D"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
    <w:p w14:paraId="433E918F" w14:textId="77777777" w:rsidR="00420970" w:rsidRDefault="00420970" w:rsidP="0042097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Theory of Planned Behavior</w:t>
      </w:r>
    </w:p>
    <w:p w14:paraId="5262E8B9"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826AD1C" wp14:editId="7ECBF2B8">
            <wp:extent cx="3186113" cy="178381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3205" t="20129" r="7692" b="39744"/>
                    <a:stretch>
                      <a:fillRect/>
                    </a:stretch>
                  </pic:blipFill>
                  <pic:spPr>
                    <a:xfrm>
                      <a:off x="0" y="0"/>
                      <a:ext cx="3186113" cy="1783811"/>
                    </a:xfrm>
                    <a:prstGeom prst="rect">
                      <a:avLst/>
                    </a:prstGeom>
                    <a:ln/>
                  </pic:spPr>
                </pic:pic>
              </a:graphicData>
            </a:graphic>
          </wp:inline>
        </w:drawing>
      </w:r>
    </w:p>
    <w:p w14:paraId="3786EFE1"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Figure adapted from Ajzen (1991)</w:t>
      </w:r>
    </w:p>
    <w:p w14:paraId="4EAD4914" w14:textId="77777777" w:rsidR="00420970" w:rsidRDefault="00420970" w:rsidP="00420970">
      <w:pPr>
        <w:spacing w:line="240" w:lineRule="auto"/>
        <w:rPr>
          <w:rFonts w:ascii="Times New Roman" w:eastAsia="Times New Roman" w:hAnsi="Times New Roman" w:cs="Times New Roman"/>
          <w:sz w:val="24"/>
          <w:szCs w:val="24"/>
        </w:rPr>
      </w:pPr>
    </w:p>
    <w:p w14:paraId="68D962E6"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 and Questions</w:t>
      </w:r>
    </w:p>
    <w:p w14:paraId="76B3FB33"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71B8D813"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explore factors that influence parental encouragement of AFNR-related education and careers. Three key research questions guided the study:</w:t>
      </w:r>
    </w:p>
    <w:p w14:paraId="5B46372E" w14:textId="77777777" w:rsidR="00420970" w:rsidRDefault="00420970" w:rsidP="00420970">
      <w:pPr>
        <w:spacing w:line="240" w:lineRule="auto"/>
        <w:rPr>
          <w:rFonts w:ascii="Times New Roman" w:eastAsia="Times New Roman" w:hAnsi="Times New Roman" w:cs="Times New Roman"/>
          <w:sz w:val="24"/>
          <w:szCs w:val="24"/>
        </w:rPr>
      </w:pPr>
    </w:p>
    <w:p w14:paraId="2FBFB74E" w14:textId="77777777" w:rsidR="00420970" w:rsidRDefault="00420970" w:rsidP="0042097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w:t>
      </w:r>
      <w:proofErr w:type="gramStart"/>
      <w:r>
        <w:rPr>
          <w:rFonts w:ascii="Times New Roman" w:eastAsia="Times New Roman" w:hAnsi="Times New Roman" w:cs="Times New Roman"/>
          <w:sz w:val="24"/>
          <w:szCs w:val="24"/>
        </w:rPr>
        <w:t>parents’</w:t>
      </w:r>
      <w:proofErr w:type="gramEnd"/>
      <w:r>
        <w:rPr>
          <w:rFonts w:ascii="Times New Roman" w:eastAsia="Times New Roman" w:hAnsi="Times New Roman" w:cs="Times New Roman"/>
          <w:sz w:val="24"/>
          <w:szCs w:val="24"/>
        </w:rPr>
        <w:t xml:space="preserve"> perceived roles in helping children navigate post-secondary planning?</w:t>
      </w:r>
    </w:p>
    <w:p w14:paraId="68E7EBC6" w14:textId="77777777" w:rsidR="00420970" w:rsidRDefault="00420970" w:rsidP="0042097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demographic, cultural, or social factors influence post-secondary planning?</w:t>
      </w:r>
    </w:p>
    <w:p w14:paraId="244CECDD" w14:textId="77777777" w:rsidR="00420970" w:rsidRDefault="00420970" w:rsidP="0042097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factors contribute to parents’ encouragement of children pursuing AFNR careers?</w:t>
      </w:r>
    </w:p>
    <w:p w14:paraId="36279D46" w14:textId="77777777" w:rsidR="00420970" w:rsidRDefault="00420970" w:rsidP="00420970">
      <w:pPr>
        <w:spacing w:line="240" w:lineRule="auto"/>
        <w:rPr>
          <w:rFonts w:ascii="Times New Roman" w:eastAsia="Times New Roman" w:hAnsi="Times New Roman" w:cs="Times New Roman"/>
          <w:sz w:val="24"/>
          <w:szCs w:val="24"/>
        </w:rPr>
      </w:pPr>
    </w:p>
    <w:p w14:paraId="28C948BE"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Methodology</w:t>
      </w:r>
    </w:p>
    <w:p w14:paraId="4CF87159"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72213261"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explore this phenomenon and gain a deeper understanding of parents’ opinions, values, and experiences related to career planning, we acknowledged that a qualitative methodology would be essential. Case study research seeks to understand a specific phenomenon through the lens of specific cases or people (Yin, 2018). Each participant was treated as their own case; therefore, we selected a multiple case study approach as the methodology to guide the development and analysis of this study (Yin, 2018). A multiple case study approach enables us to gain rich insights </w:t>
      </w:r>
      <w:r>
        <w:rPr>
          <w:rFonts w:ascii="Times New Roman" w:eastAsia="Times New Roman" w:hAnsi="Times New Roman" w:cs="Times New Roman"/>
          <w:sz w:val="24"/>
          <w:szCs w:val="24"/>
        </w:rPr>
        <w:lastRenderedPageBreak/>
        <w:t xml:space="preserve">into the experiences and perspectives of each individual case, thereby understanding the phenomenon within the context of career planning within agricultural contexts. </w:t>
      </w:r>
    </w:p>
    <w:p w14:paraId="7E96A547" w14:textId="77777777" w:rsidR="00420970" w:rsidRDefault="00420970" w:rsidP="00420970">
      <w:pPr>
        <w:spacing w:line="240" w:lineRule="auto"/>
        <w:rPr>
          <w:rFonts w:ascii="Times New Roman" w:eastAsia="Times New Roman" w:hAnsi="Times New Roman" w:cs="Times New Roman"/>
          <w:sz w:val="24"/>
          <w:szCs w:val="24"/>
        </w:rPr>
      </w:pPr>
    </w:p>
    <w:p w14:paraId="744F802A"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Reflexivity, Positionality, and Epistemology</w:t>
      </w:r>
    </w:p>
    <w:p w14:paraId="28F4B056"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was guided by a pragmatist epistemology, which emphasizes methodological approaches best suited to the research problem (Kaushik &amp; Walsh, 2019). Drawing on our prior experiences and collaboration with [STAKEHOLDER], we recognize career decision-making as a complex process for children and families. As former SBAE teachers and work-based learning coordinators, we approached the study reflexively and prioritized participants’ perspectives through established trustworthiness practices, including reflexive journaling, member checking, and peer debriefing (Lincoln &amp; Guba, 1985; Merriam &amp; Tisdell, 2016).</w:t>
      </w:r>
    </w:p>
    <w:p w14:paraId="4E1DAE6E" w14:textId="77777777" w:rsidR="00420970" w:rsidRDefault="00420970" w:rsidP="00420970">
      <w:pPr>
        <w:spacing w:line="240" w:lineRule="auto"/>
        <w:rPr>
          <w:rFonts w:ascii="Times New Roman" w:eastAsia="Times New Roman" w:hAnsi="Times New Roman" w:cs="Times New Roman"/>
          <w:sz w:val="24"/>
          <w:szCs w:val="24"/>
        </w:rPr>
      </w:pPr>
    </w:p>
    <w:p w14:paraId="63B98DF9"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Participants and Description of the Case</w:t>
      </w:r>
    </w:p>
    <w:p w14:paraId="60886564"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Guided by a pragmatic approach (Kaushik &amp; Walsh, 2019), this IRB-approved study focused on rural [STATE] parents of students in grades 11 and 12, with cases bounded by geographic location and child age. Participants were recruited from four Perkins consortia encompassing 95 school districts through work-based learning coordinators and counselors. Twenty-one parents consented to participate and be recorded (see Table 1). Participants received a $100 incentive to compensate for the time commitment associated with extended qualitative interviews and to encourage their participation in the study (Lavrakas, 2008). A limitation of the sample is that most participants were female and employed in service-oriented professions.</w:t>
      </w:r>
    </w:p>
    <w:p w14:paraId="6BA6A8A8" w14:textId="77777777" w:rsidR="00420970" w:rsidRDefault="00420970" w:rsidP="00420970">
      <w:pPr>
        <w:spacing w:line="240" w:lineRule="auto"/>
        <w:rPr>
          <w:rFonts w:ascii="Times New Roman" w:eastAsia="Times New Roman" w:hAnsi="Times New Roman" w:cs="Times New Roman"/>
          <w:sz w:val="24"/>
          <w:szCs w:val="24"/>
        </w:rPr>
      </w:pPr>
    </w:p>
    <w:p w14:paraId="73A1347B"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 1</w:t>
      </w:r>
    </w:p>
    <w:p w14:paraId="0A6751D7" w14:textId="77777777" w:rsidR="00420970" w:rsidRDefault="00420970" w:rsidP="0042097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Demographics of Study Participants</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395"/>
        <w:gridCol w:w="975"/>
        <w:gridCol w:w="705"/>
        <w:gridCol w:w="2160"/>
        <w:gridCol w:w="2835"/>
        <w:gridCol w:w="1290"/>
      </w:tblGrid>
      <w:tr w:rsidR="00420970" w14:paraId="43BA3221" w14:textId="77777777" w:rsidTr="00D5704B">
        <w:tc>
          <w:tcPr>
            <w:tcW w:w="1395" w:type="dxa"/>
            <w:tcBorders>
              <w:top w:val="single" w:sz="6" w:space="0" w:color="000000"/>
              <w:bottom w:val="single" w:sz="8" w:space="0" w:color="000000"/>
            </w:tcBorders>
            <w:tcMar>
              <w:top w:w="0" w:type="dxa"/>
              <w:bottom w:w="0" w:type="dxa"/>
            </w:tcMar>
            <w:vAlign w:val="center"/>
          </w:tcPr>
          <w:p w14:paraId="38BB620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Pseudonym</w:t>
            </w:r>
          </w:p>
        </w:tc>
        <w:tc>
          <w:tcPr>
            <w:tcW w:w="97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7AC4D8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p>
        </w:tc>
        <w:tc>
          <w:tcPr>
            <w:tcW w:w="7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826391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Age</w:t>
            </w:r>
          </w:p>
        </w:tc>
        <w:tc>
          <w:tcPr>
            <w:tcW w:w="216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D68D80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Level of Education</w:t>
            </w:r>
          </w:p>
        </w:tc>
        <w:tc>
          <w:tcPr>
            <w:tcW w:w="283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A3593D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w:t>
            </w:r>
          </w:p>
        </w:tc>
        <w:tc>
          <w:tcPr>
            <w:tcW w:w="129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475513C"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Children</w:t>
            </w:r>
          </w:p>
        </w:tc>
      </w:tr>
      <w:tr w:rsidR="00420970" w14:paraId="63C643C5" w14:textId="77777777" w:rsidTr="00D5704B">
        <w:tc>
          <w:tcPr>
            <w:tcW w:w="1395" w:type="dxa"/>
            <w:tcBorders>
              <w:top w:val="single" w:sz="8" w:space="0" w:color="000000"/>
              <w:left w:val="nil"/>
              <w:bottom w:val="nil"/>
              <w:right w:val="nil"/>
            </w:tcBorders>
            <w:tcMar>
              <w:top w:w="0" w:type="dxa"/>
              <w:left w:w="100" w:type="dxa"/>
              <w:bottom w:w="0" w:type="dxa"/>
              <w:right w:w="100" w:type="dxa"/>
            </w:tcMar>
            <w:vAlign w:val="center"/>
          </w:tcPr>
          <w:p w14:paraId="5921F2D4"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Alice</w:t>
            </w:r>
          </w:p>
        </w:tc>
        <w:tc>
          <w:tcPr>
            <w:tcW w:w="975" w:type="dxa"/>
            <w:tcBorders>
              <w:top w:val="nil"/>
              <w:left w:val="nil"/>
              <w:bottom w:val="nil"/>
              <w:right w:val="nil"/>
            </w:tcBorders>
            <w:tcMar>
              <w:top w:w="0" w:type="dxa"/>
              <w:left w:w="100" w:type="dxa"/>
              <w:bottom w:w="0" w:type="dxa"/>
              <w:right w:w="100" w:type="dxa"/>
            </w:tcMar>
            <w:vAlign w:val="center"/>
          </w:tcPr>
          <w:p w14:paraId="066D9CD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362788B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2160" w:type="dxa"/>
            <w:tcBorders>
              <w:top w:val="nil"/>
              <w:left w:val="nil"/>
              <w:bottom w:val="nil"/>
              <w:right w:val="nil"/>
            </w:tcBorders>
            <w:tcMar>
              <w:top w:w="0" w:type="dxa"/>
              <w:left w:w="100" w:type="dxa"/>
              <w:bottom w:w="0" w:type="dxa"/>
              <w:right w:w="100" w:type="dxa"/>
            </w:tcMar>
            <w:vAlign w:val="center"/>
          </w:tcPr>
          <w:p w14:paraId="25B420A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 college</w:t>
            </w:r>
          </w:p>
        </w:tc>
        <w:tc>
          <w:tcPr>
            <w:tcW w:w="2835" w:type="dxa"/>
            <w:tcBorders>
              <w:top w:val="nil"/>
              <w:left w:val="nil"/>
              <w:bottom w:val="nil"/>
              <w:right w:val="nil"/>
            </w:tcBorders>
            <w:tcMar>
              <w:top w:w="0" w:type="dxa"/>
              <w:left w:w="100" w:type="dxa"/>
              <w:bottom w:w="0" w:type="dxa"/>
              <w:right w:w="100" w:type="dxa"/>
            </w:tcMar>
            <w:vAlign w:val="center"/>
          </w:tcPr>
          <w:p w14:paraId="0A54A60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Development</w:t>
            </w:r>
          </w:p>
        </w:tc>
        <w:tc>
          <w:tcPr>
            <w:tcW w:w="1290" w:type="dxa"/>
            <w:tcBorders>
              <w:top w:val="nil"/>
              <w:left w:val="nil"/>
              <w:bottom w:val="nil"/>
              <w:right w:val="nil"/>
            </w:tcBorders>
            <w:tcMar>
              <w:top w:w="0" w:type="dxa"/>
              <w:left w:w="100" w:type="dxa"/>
              <w:bottom w:w="0" w:type="dxa"/>
              <w:right w:w="100" w:type="dxa"/>
            </w:tcMar>
            <w:vAlign w:val="center"/>
          </w:tcPr>
          <w:p w14:paraId="6C71C60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61FD3A36"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4822BEF2"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Tori</w:t>
            </w:r>
          </w:p>
        </w:tc>
        <w:tc>
          <w:tcPr>
            <w:tcW w:w="975" w:type="dxa"/>
            <w:tcBorders>
              <w:top w:val="nil"/>
              <w:left w:val="nil"/>
              <w:bottom w:val="nil"/>
              <w:right w:val="nil"/>
            </w:tcBorders>
            <w:tcMar>
              <w:top w:w="0" w:type="dxa"/>
              <w:left w:w="100" w:type="dxa"/>
              <w:bottom w:w="0" w:type="dxa"/>
              <w:right w:w="100" w:type="dxa"/>
            </w:tcMar>
            <w:vAlign w:val="center"/>
          </w:tcPr>
          <w:p w14:paraId="780436B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54B3B41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2160" w:type="dxa"/>
            <w:tcBorders>
              <w:top w:val="nil"/>
              <w:left w:val="nil"/>
              <w:bottom w:val="nil"/>
              <w:right w:val="nil"/>
            </w:tcBorders>
            <w:tcMar>
              <w:top w:w="0" w:type="dxa"/>
              <w:left w:w="100" w:type="dxa"/>
              <w:bottom w:w="0" w:type="dxa"/>
              <w:right w:w="100" w:type="dxa"/>
            </w:tcMar>
            <w:vAlign w:val="center"/>
          </w:tcPr>
          <w:p w14:paraId="0D0FC2D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30B1D98B"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HS Counselor</w:t>
            </w:r>
          </w:p>
        </w:tc>
        <w:tc>
          <w:tcPr>
            <w:tcW w:w="1290" w:type="dxa"/>
            <w:tcBorders>
              <w:top w:val="nil"/>
              <w:left w:val="nil"/>
              <w:bottom w:val="nil"/>
              <w:right w:val="nil"/>
            </w:tcBorders>
            <w:tcMar>
              <w:top w:w="0" w:type="dxa"/>
              <w:left w:w="100" w:type="dxa"/>
              <w:bottom w:w="0" w:type="dxa"/>
              <w:right w:w="100" w:type="dxa"/>
            </w:tcMar>
            <w:vAlign w:val="center"/>
          </w:tcPr>
          <w:p w14:paraId="31F3688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4FFD91E3"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4AAF148A"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Sally</w:t>
            </w:r>
          </w:p>
        </w:tc>
        <w:tc>
          <w:tcPr>
            <w:tcW w:w="975" w:type="dxa"/>
            <w:tcBorders>
              <w:top w:val="nil"/>
              <w:left w:val="nil"/>
              <w:bottom w:val="nil"/>
              <w:right w:val="nil"/>
            </w:tcBorders>
            <w:tcMar>
              <w:top w:w="0" w:type="dxa"/>
              <w:left w:w="100" w:type="dxa"/>
              <w:bottom w:w="0" w:type="dxa"/>
              <w:right w:w="100" w:type="dxa"/>
            </w:tcMar>
            <w:vAlign w:val="center"/>
          </w:tcPr>
          <w:p w14:paraId="39B3D3B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2CCF3C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2160" w:type="dxa"/>
            <w:tcBorders>
              <w:top w:val="nil"/>
              <w:left w:val="nil"/>
              <w:bottom w:val="nil"/>
              <w:right w:val="nil"/>
            </w:tcBorders>
            <w:tcMar>
              <w:top w:w="0" w:type="dxa"/>
              <w:left w:w="100" w:type="dxa"/>
              <w:bottom w:w="0" w:type="dxa"/>
              <w:right w:w="100" w:type="dxa"/>
            </w:tcMar>
            <w:vAlign w:val="center"/>
          </w:tcPr>
          <w:p w14:paraId="4BB2231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0BFA045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Teacher</w:t>
            </w:r>
          </w:p>
        </w:tc>
        <w:tc>
          <w:tcPr>
            <w:tcW w:w="1290" w:type="dxa"/>
            <w:tcBorders>
              <w:top w:val="nil"/>
              <w:left w:val="nil"/>
              <w:bottom w:val="nil"/>
              <w:right w:val="nil"/>
            </w:tcBorders>
            <w:tcMar>
              <w:top w:w="0" w:type="dxa"/>
              <w:left w:w="100" w:type="dxa"/>
              <w:bottom w:w="0" w:type="dxa"/>
              <w:right w:w="100" w:type="dxa"/>
            </w:tcMar>
            <w:vAlign w:val="center"/>
          </w:tcPr>
          <w:p w14:paraId="1185AAF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420970" w14:paraId="45EDD3B3"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4DD29378"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Ashley</w:t>
            </w:r>
          </w:p>
        </w:tc>
        <w:tc>
          <w:tcPr>
            <w:tcW w:w="975" w:type="dxa"/>
            <w:tcBorders>
              <w:top w:val="nil"/>
              <w:left w:val="nil"/>
              <w:bottom w:val="nil"/>
              <w:right w:val="nil"/>
            </w:tcBorders>
            <w:tcMar>
              <w:top w:w="0" w:type="dxa"/>
              <w:left w:w="100" w:type="dxa"/>
              <w:bottom w:w="0" w:type="dxa"/>
              <w:right w:w="100" w:type="dxa"/>
            </w:tcMar>
            <w:vAlign w:val="center"/>
          </w:tcPr>
          <w:p w14:paraId="227052E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A29993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2160" w:type="dxa"/>
            <w:tcBorders>
              <w:top w:val="nil"/>
              <w:left w:val="nil"/>
              <w:bottom w:val="nil"/>
              <w:right w:val="nil"/>
            </w:tcBorders>
            <w:tcMar>
              <w:top w:w="0" w:type="dxa"/>
              <w:left w:w="100" w:type="dxa"/>
              <w:bottom w:w="0" w:type="dxa"/>
              <w:right w:w="100" w:type="dxa"/>
            </w:tcMar>
            <w:vAlign w:val="center"/>
          </w:tcPr>
          <w:p w14:paraId="38E70A3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12801E9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Teacher</w:t>
            </w:r>
          </w:p>
        </w:tc>
        <w:tc>
          <w:tcPr>
            <w:tcW w:w="1290" w:type="dxa"/>
            <w:tcBorders>
              <w:top w:val="nil"/>
              <w:left w:val="nil"/>
              <w:bottom w:val="nil"/>
              <w:right w:val="nil"/>
            </w:tcBorders>
            <w:tcMar>
              <w:top w:w="0" w:type="dxa"/>
              <w:left w:w="100" w:type="dxa"/>
              <w:bottom w:w="0" w:type="dxa"/>
              <w:right w:w="100" w:type="dxa"/>
            </w:tcMar>
            <w:vAlign w:val="center"/>
          </w:tcPr>
          <w:p w14:paraId="5822B10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420970" w14:paraId="0E240BA5" w14:textId="77777777" w:rsidTr="00D5704B">
        <w:tc>
          <w:tcPr>
            <w:tcW w:w="1395" w:type="dxa"/>
            <w:tcBorders>
              <w:top w:val="nil"/>
              <w:left w:val="nil"/>
              <w:bottom w:val="nil"/>
              <w:right w:val="nil"/>
            </w:tcBorders>
            <w:tcMar>
              <w:top w:w="0" w:type="dxa"/>
              <w:left w:w="100" w:type="dxa"/>
              <w:bottom w:w="0" w:type="dxa"/>
              <w:right w:w="100" w:type="dxa"/>
            </w:tcMar>
            <w:vAlign w:val="center"/>
          </w:tcPr>
          <w:p w14:paraId="4FDF4D6C"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Anna</w:t>
            </w:r>
          </w:p>
        </w:tc>
        <w:tc>
          <w:tcPr>
            <w:tcW w:w="975" w:type="dxa"/>
            <w:tcBorders>
              <w:top w:val="nil"/>
              <w:left w:val="nil"/>
              <w:bottom w:val="nil"/>
              <w:right w:val="nil"/>
            </w:tcBorders>
            <w:tcMar>
              <w:top w:w="0" w:type="dxa"/>
              <w:left w:w="100" w:type="dxa"/>
              <w:bottom w:w="0" w:type="dxa"/>
              <w:right w:w="100" w:type="dxa"/>
            </w:tcMar>
            <w:vAlign w:val="center"/>
          </w:tcPr>
          <w:p w14:paraId="44AA087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A12B99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2160" w:type="dxa"/>
            <w:tcBorders>
              <w:top w:val="nil"/>
              <w:left w:val="nil"/>
              <w:bottom w:val="nil"/>
              <w:right w:val="nil"/>
            </w:tcBorders>
            <w:tcMar>
              <w:top w:w="0" w:type="dxa"/>
              <w:left w:w="100" w:type="dxa"/>
              <w:bottom w:w="0" w:type="dxa"/>
              <w:right w:w="100" w:type="dxa"/>
            </w:tcMar>
            <w:vAlign w:val="center"/>
          </w:tcPr>
          <w:p w14:paraId="4B665D7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311DBF3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HS Counselor</w:t>
            </w:r>
          </w:p>
        </w:tc>
        <w:tc>
          <w:tcPr>
            <w:tcW w:w="1290" w:type="dxa"/>
            <w:tcBorders>
              <w:top w:val="nil"/>
              <w:left w:val="nil"/>
              <w:bottom w:val="nil"/>
              <w:right w:val="nil"/>
            </w:tcBorders>
            <w:tcMar>
              <w:top w:w="0" w:type="dxa"/>
              <w:left w:w="100" w:type="dxa"/>
              <w:bottom w:w="0" w:type="dxa"/>
              <w:right w:w="100" w:type="dxa"/>
            </w:tcMar>
            <w:vAlign w:val="center"/>
          </w:tcPr>
          <w:p w14:paraId="5D3D279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572EE91B"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17DF793C"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Jodi</w:t>
            </w:r>
          </w:p>
        </w:tc>
        <w:tc>
          <w:tcPr>
            <w:tcW w:w="975" w:type="dxa"/>
            <w:tcBorders>
              <w:top w:val="nil"/>
              <w:left w:val="nil"/>
              <w:bottom w:val="nil"/>
              <w:right w:val="nil"/>
            </w:tcBorders>
            <w:tcMar>
              <w:top w:w="0" w:type="dxa"/>
              <w:left w:w="100" w:type="dxa"/>
              <w:bottom w:w="0" w:type="dxa"/>
              <w:right w:w="100" w:type="dxa"/>
            </w:tcMar>
            <w:vAlign w:val="center"/>
          </w:tcPr>
          <w:p w14:paraId="733AA06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2B29673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2160" w:type="dxa"/>
            <w:tcBorders>
              <w:top w:val="nil"/>
              <w:left w:val="nil"/>
              <w:bottom w:val="nil"/>
              <w:right w:val="nil"/>
            </w:tcBorders>
            <w:tcMar>
              <w:top w:w="0" w:type="dxa"/>
              <w:left w:w="100" w:type="dxa"/>
              <w:bottom w:w="0" w:type="dxa"/>
              <w:right w:w="100" w:type="dxa"/>
            </w:tcMar>
            <w:vAlign w:val="center"/>
          </w:tcPr>
          <w:p w14:paraId="6E68845C"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 college</w:t>
            </w:r>
          </w:p>
        </w:tc>
        <w:tc>
          <w:tcPr>
            <w:tcW w:w="2835" w:type="dxa"/>
            <w:tcBorders>
              <w:top w:val="nil"/>
              <w:left w:val="nil"/>
              <w:bottom w:val="nil"/>
              <w:right w:val="nil"/>
            </w:tcBorders>
            <w:tcMar>
              <w:top w:w="0" w:type="dxa"/>
              <w:left w:w="100" w:type="dxa"/>
              <w:bottom w:w="0" w:type="dxa"/>
              <w:right w:w="100" w:type="dxa"/>
            </w:tcMar>
            <w:vAlign w:val="center"/>
          </w:tcPr>
          <w:p w14:paraId="3AAABB27"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Nurse Supervisor</w:t>
            </w:r>
          </w:p>
        </w:tc>
        <w:tc>
          <w:tcPr>
            <w:tcW w:w="1290" w:type="dxa"/>
            <w:tcBorders>
              <w:top w:val="nil"/>
              <w:left w:val="nil"/>
              <w:bottom w:val="nil"/>
              <w:right w:val="nil"/>
            </w:tcBorders>
            <w:tcMar>
              <w:top w:w="0" w:type="dxa"/>
              <w:left w:w="100" w:type="dxa"/>
              <w:bottom w:w="0" w:type="dxa"/>
              <w:right w:w="100" w:type="dxa"/>
            </w:tcMar>
            <w:vAlign w:val="center"/>
          </w:tcPr>
          <w:p w14:paraId="42DA991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129E901E"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3DB19909"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Cindy</w:t>
            </w:r>
          </w:p>
        </w:tc>
        <w:tc>
          <w:tcPr>
            <w:tcW w:w="975" w:type="dxa"/>
            <w:tcBorders>
              <w:top w:val="nil"/>
              <w:left w:val="nil"/>
              <w:bottom w:val="nil"/>
              <w:right w:val="nil"/>
            </w:tcBorders>
            <w:tcMar>
              <w:top w:w="0" w:type="dxa"/>
              <w:left w:w="100" w:type="dxa"/>
              <w:bottom w:w="0" w:type="dxa"/>
              <w:right w:w="100" w:type="dxa"/>
            </w:tcMar>
            <w:vAlign w:val="center"/>
          </w:tcPr>
          <w:p w14:paraId="6148BB2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3E40623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2160" w:type="dxa"/>
            <w:tcBorders>
              <w:top w:val="nil"/>
              <w:left w:val="nil"/>
              <w:bottom w:val="nil"/>
              <w:right w:val="nil"/>
            </w:tcBorders>
            <w:tcMar>
              <w:top w:w="0" w:type="dxa"/>
              <w:left w:w="100" w:type="dxa"/>
              <w:bottom w:w="0" w:type="dxa"/>
              <w:right w:w="100" w:type="dxa"/>
            </w:tcMar>
            <w:vAlign w:val="center"/>
          </w:tcPr>
          <w:p w14:paraId="4704C7C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1D70D11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School Nurse</w:t>
            </w:r>
          </w:p>
        </w:tc>
        <w:tc>
          <w:tcPr>
            <w:tcW w:w="1290" w:type="dxa"/>
            <w:tcBorders>
              <w:top w:val="nil"/>
              <w:left w:val="nil"/>
              <w:bottom w:val="nil"/>
              <w:right w:val="nil"/>
            </w:tcBorders>
            <w:tcMar>
              <w:top w:w="0" w:type="dxa"/>
              <w:left w:w="100" w:type="dxa"/>
              <w:bottom w:w="0" w:type="dxa"/>
              <w:right w:w="100" w:type="dxa"/>
            </w:tcMar>
            <w:vAlign w:val="center"/>
          </w:tcPr>
          <w:p w14:paraId="0C1166B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420970" w14:paraId="02CF6EC6"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680B7842"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Karen</w:t>
            </w:r>
          </w:p>
        </w:tc>
        <w:tc>
          <w:tcPr>
            <w:tcW w:w="975" w:type="dxa"/>
            <w:tcBorders>
              <w:top w:val="nil"/>
              <w:left w:val="nil"/>
              <w:bottom w:val="nil"/>
              <w:right w:val="nil"/>
            </w:tcBorders>
            <w:tcMar>
              <w:top w:w="0" w:type="dxa"/>
              <w:left w:w="100" w:type="dxa"/>
              <w:bottom w:w="0" w:type="dxa"/>
              <w:right w:w="100" w:type="dxa"/>
            </w:tcMar>
            <w:vAlign w:val="center"/>
          </w:tcPr>
          <w:p w14:paraId="1B11600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049CF30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2160" w:type="dxa"/>
            <w:tcBorders>
              <w:top w:val="nil"/>
              <w:left w:val="nil"/>
              <w:bottom w:val="nil"/>
              <w:right w:val="nil"/>
            </w:tcBorders>
            <w:tcMar>
              <w:top w:w="0" w:type="dxa"/>
              <w:left w:w="100" w:type="dxa"/>
              <w:bottom w:w="0" w:type="dxa"/>
              <w:right w:w="100" w:type="dxa"/>
            </w:tcMar>
            <w:vAlign w:val="center"/>
          </w:tcPr>
          <w:p w14:paraId="14237C1B"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305CCC4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City Manager</w:t>
            </w:r>
          </w:p>
        </w:tc>
        <w:tc>
          <w:tcPr>
            <w:tcW w:w="1290" w:type="dxa"/>
            <w:tcBorders>
              <w:top w:val="nil"/>
              <w:left w:val="nil"/>
              <w:bottom w:val="nil"/>
              <w:right w:val="nil"/>
            </w:tcBorders>
            <w:tcMar>
              <w:top w:w="0" w:type="dxa"/>
              <w:left w:w="100" w:type="dxa"/>
              <w:bottom w:w="0" w:type="dxa"/>
              <w:right w:w="100" w:type="dxa"/>
            </w:tcMar>
            <w:vAlign w:val="center"/>
          </w:tcPr>
          <w:p w14:paraId="7314DF8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166EC06B"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6AD94EA9"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Bill</w:t>
            </w:r>
          </w:p>
        </w:tc>
        <w:tc>
          <w:tcPr>
            <w:tcW w:w="975" w:type="dxa"/>
            <w:tcBorders>
              <w:top w:val="nil"/>
              <w:left w:val="nil"/>
              <w:bottom w:val="nil"/>
              <w:right w:val="nil"/>
            </w:tcBorders>
            <w:tcMar>
              <w:top w:w="0" w:type="dxa"/>
              <w:left w:w="100" w:type="dxa"/>
              <w:bottom w:w="0" w:type="dxa"/>
              <w:right w:w="100" w:type="dxa"/>
            </w:tcMar>
            <w:vAlign w:val="center"/>
          </w:tcPr>
          <w:p w14:paraId="2DAB941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705" w:type="dxa"/>
            <w:tcBorders>
              <w:top w:val="nil"/>
              <w:left w:val="nil"/>
              <w:bottom w:val="nil"/>
              <w:right w:val="nil"/>
            </w:tcBorders>
            <w:tcMar>
              <w:top w:w="0" w:type="dxa"/>
              <w:left w:w="100" w:type="dxa"/>
              <w:bottom w:w="0" w:type="dxa"/>
              <w:right w:w="100" w:type="dxa"/>
            </w:tcMar>
            <w:vAlign w:val="center"/>
          </w:tcPr>
          <w:p w14:paraId="2A5D404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2160" w:type="dxa"/>
            <w:tcBorders>
              <w:top w:val="nil"/>
              <w:left w:val="nil"/>
              <w:bottom w:val="nil"/>
              <w:right w:val="nil"/>
            </w:tcBorders>
            <w:tcMar>
              <w:top w:w="0" w:type="dxa"/>
              <w:left w:w="100" w:type="dxa"/>
              <w:bottom w:w="0" w:type="dxa"/>
              <w:right w:w="100" w:type="dxa"/>
            </w:tcMar>
            <w:vAlign w:val="center"/>
          </w:tcPr>
          <w:p w14:paraId="56788CC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69BEBBE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Lead Pastor</w:t>
            </w:r>
          </w:p>
        </w:tc>
        <w:tc>
          <w:tcPr>
            <w:tcW w:w="1290" w:type="dxa"/>
            <w:tcBorders>
              <w:top w:val="nil"/>
              <w:left w:val="nil"/>
              <w:bottom w:val="nil"/>
              <w:right w:val="nil"/>
            </w:tcBorders>
            <w:tcMar>
              <w:top w:w="0" w:type="dxa"/>
              <w:left w:w="100" w:type="dxa"/>
              <w:bottom w:w="0" w:type="dxa"/>
              <w:right w:w="100" w:type="dxa"/>
            </w:tcMar>
            <w:vAlign w:val="center"/>
          </w:tcPr>
          <w:p w14:paraId="553CBEC0"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48892E43"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31D8753B"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Elsa</w:t>
            </w:r>
          </w:p>
        </w:tc>
        <w:tc>
          <w:tcPr>
            <w:tcW w:w="975" w:type="dxa"/>
            <w:tcBorders>
              <w:top w:val="nil"/>
              <w:left w:val="nil"/>
              <w:bottom w:val="nil"/>
              <w:right w:val="nil"/>
            </w:tcBorders>
            <w:tcMar>
              <w:top w:w="0" w:type="dxa"/>
              <w:left w:w="100" w:type="dxa"/>
              <w:bottom w:w="0" w:type="dxa"/>
              <w:right w:w="100" w:type="dxa"/>
            </w:tcMar>
            <w:vAlign w:val="center"/>
          </w:tcPr>
          <w:p w14:paraId="5816204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63E1982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2160" w:type="dxa"/>
            <w:tcBorders>
              <w:top w:val="nil"/>
              <w:left w:val="nil"/>
              <w:bottom w:val="nil"/>
              <w:right w:val="nil"/>
            </w:tcBorders>
            <w:tcMar>
              <w:top w:w="0" w:type="dxa"/>
              <w:left w:w="100" w:type="dxa"/>
              <w:bottom w:w="0" w:type="dxa"/>
              <w:right w:w="100" w:type="dxa"/>
            </w:tcMar>
            <w:vAlign w:val="center"/>
          </w:tcPr>
          <w:p w14:paraId="60966E1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0609B64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Associate Director</w:t>
            </w:r>
          </w:p>
        </w:tc>
        <w:tc>
          <w:tcPr>
            <w:tcW w:w="1290" w:type="dxa"/>
            <w:tcBorders>
              <w:top w:val="nil"/>
              <w:left w:val="nil"/>
              <w:bottom w:val="nil"/>
              <w:right w:val="nil"/>
            </w:tcBorders>
            <w:tcMar>
              <w:top w:w="0" w:type="dxa"/>
              <w:left w:w="100" w:type="dxa"/>
              <w:bottom w:w="0" w:type="dxa"/>
              <w:right w:w="100" w:type="dxa"/>
            </w:tcMar>
            <w:vAlign w:val="center"/>
          </w:tcPr>
          <w:p w14:paraId="3DA39B4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54181B7F"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51C0AC03"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Jayma</w:t>
            </w:r>
          </w:p>
        </w:tc>
        <w:tc>
          <w:tcPr>
            <w:tcW w:w="975" w:type="dxa"/>
            <w:tcBorders>
              <w:top w:val="nil"/>
              <w:left w:val="nil"/>
              <w:bottom w:val="nil"/>
              <w:right w:val="nil"/>
            </w:tcBorders>
            <w:tcMar>
              <w:top w:w="0" w:type="dxa"/>
              <w:left w:w="100" w:type="dxa"/>
              <w:bottom w:w="0" w:type="dxa"/>
              <w:right w:w="100" w:type="dxa"/>
            </w:tcMar>
            <w:vAlign w:val="center"/>
          </w:tcPr>
          <w:p w14:paraId="6793C99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2BAA02F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2160" w:type="dxa"/>
            <w:tcBorders>
              <w:top w:val="nil"/>
              <w:left w:val="nil"/>
              <w:bottom w:val="nil"/>
              <w:right w:val="nil"/>
            </w:tcBorders>
            <w:tcMar>
              <w:top w:w="0" w:type="dxa"/>
              <w:left w:w="100" w:type="dxa"/>
              <w:bottom w:w="0" w:type="dxa"/>
              <w:right w:w="100" w:type="dxa"/>
            </w:tcMar>
            <w:vAlign w:val="center"/>
          </w:tcPr>
          <w:p w14:paraId="3440BEC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32E2EA1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Jail Social Worker</w:t>
            </w:r>
          </w:p>
        </w:tc>
        <w:tc>
          <w:tcPr>
            <w:tcW w:w="1290" w:type="dxa"/>
            <w:tcBorders>
              <w:top w:val="nil"/>
              <w:left w:val="nil"/>
              <w:bottom w:val="nil"/>
              <w:right w:val="nil"/>
            </w:tcBorders>
            <w:tcMar>
              <w:top w:w="0" w:type="dxa"/>
              <w:left w:w="100" w:type="dxa"/>
              <w:bottom w:w="0" w:type="dxa"/>
              <w:right w:w="100" w:type="dxa"/>
            </w:tcMar>
            <w:vAlign w:val="center"/>
          </w:tcPr>
          <w:p w14:paraId="463AAD5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420970" w14:paraId="0D97E203"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3BE3C8E1"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Caitlin</w:t>
            </w:r>
          </w:p>
        </w:tc>
        <w:tc>
          <w:tcPr>
            <w:tcW w:w="975" w:type="dxa"/>
            <w:tcBorders>
              <w:top w:val="nil"/>
              <w:left w:val="nil"/>
              <w:bottom w:val="nil"/>
              <w:right w:val="nil"/>
            </w:tcBorders>
            <w:tcMar>
              <w:top w:w="0" w:type="dxa"/>
              <w:left w:w="100" w:type="dxa"/>
              <w:bottom w:w="0" w:type="dxa"/>
              <w:right w:w="100" w:type="dxa"/>
            </w:tcMar>
            <w:vAlign w:val="center"/>
          </w:tcPr>
          <w:p w14:paraId="2C9E2F3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B87064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c>
          <w:tcPr>
            <w:tcW w:w="2160" w:type="dxa"/>
            <w:tcBorders>
              <w:top w:val="nil"/>
              <w:left w:val="nil"/>
              <w:bottom w:val="nil"/>
              <w:right w:val="nil"/>
            </w:tcBorders>
            <w:tcMar>
              <w:top w:w="0" w:type="dxa"/>
              <w:left w:w="100" w:type="dxa"/>
              <w:bottom w:w="0" w:type="dxa"/>
              <w:right w:w="100" w:type="dxa"/>
            </w:tcMar>
            <w:vAlign w:val="center"/>
          </w:tcPr>
          <w:p w14:paraId="1608F12B"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7018BF8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 Services Director</w:t>
            </w:r>
          </w:p>
        </w:tc>
        <w:tc>
          <w:tcPr>
            <w:tcW w:w="1290" w:type="dxa"/>
            <w:tcBorders>
              <w:top w:val="nil"/>
              <w:left w:val="nil"/>
              <w:bottom w:val="nil"/>
              <w:right w:val="nil"/>
            </w:tcBorders>
            <w:tcMar>
              <w:top w:w="0" w:type="dxa"/>
              <w:left w:w="100" w:type="dxa"/>
              <w:bottom w:w="0" w:type="dxa"/>
              <w:right w:w="100" w:type="dxa"/>
            </w:tcMar>
            <w:vAlign w:val="center"/>
          </w:tcPr>
          <w:p w14:paraId="0077C39C"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67760F24"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16C63242"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Jasmine</w:t>
            </w:r>
          </w:p>
        </w:tc>
        <w:tc>
          <w:tcPr>
            <w:tcW w:w="975" w:type="dxa"/>
            <w:tcBorders>
              <w:top w:val="nil"/>
              <w:left w:val="nil"/>
              <w:bottom w:val="nil"/>
              <w:right w:val="nil"/>
            </w:tcBorders>
            <w:tcMar>
              <w:top w:w="0" w:type="dxa"/>
              <w:left w:w="100" w:type="dxa"/>
              <w:bottom w:w="0" w:type="dxa"/>
              <w:right w:w="100" w:type="dxa"/>
            </w:tcMar>
            <w:vAlign w:val="center"/>
          </w:tcPr>
          <w:p w14:paraId="4C82D08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518786C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2160" w:type="dxa"/>
            <w:tcBorders>
              <w:top w:val="nil"/>
              <w:left w:val="nil"/>
              <w:bottom w:val="nil"/>
              <w:right w:val="nil"/>
            </w:tcBorders>
            <w:tcMar>
              <w:top w:w="0" w:type="dxa"/>
              <w:left w:w="100" w:type="dxa"/>
              <w:bottom w:w="0" w:type="dxa"/>
              <w:right w:w="100" w:type="dxa"/>
            </w:tcMar>
            <w:vAlign w:val="center"/>
          </w:tcPr>
          <w:p w14:paraId="57496DF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370C33A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Nurse</w:t>
            </w:r>
          </w:p>
        </w:tc>
        <w:tc>
          <w:tcPr>
            <w:tcW w:w="1290" w:type="dxa"/>
            <w:tcBorders>
              <w:top w:val="nil"/>
              <w:left w:val="nil"/>
              <w:bottom w:val="nil"/>
              <w:right w:val="nil"/>
            </w:tcBorders>
            <w:tcMar>
              <w:top w:w="0" w:type="dxa"/>
              <w:left w:w="100" w:type="dxa"/>
              <w:bottom w:w="0" w:type="dxa"/>
              <w:right w:w="100" w:type="dxa"/>
            </w:tcMar>
            <w:vAlign w:val="center"/>
          </w:tcPr>
          <w:p w14:paraId="6A26A43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67A8A56C"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372FD762"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Holly</w:t>
            </w:r>
          </w:p>
        </w:tc>
        <w:tc>
          <w:tcPr>
            <w:tcW w:w="975" w:type="dxa"/>
            <w:tcBorders>
              <w:top w:val="nil"/>
              <w:left w:val="nil"/>
              <w:bottom w:val="nil"/>
              <w:right w:val="nil"/>
            </w:tcBorders>
            <w:tcMar>
              <w:top w:w="0" w:type="dxa"/>
              <w:left w:w="100" w:type="dxa"/>
              <w:bottom w:w="0" w:type="dxa"/>
              <w:right w:w="100" w:type="dxa"/>
            </w:tcMar>
            <w:vAlign w:val="center"/>
          </w:tcPr>
          <w:p w14:paraId="4166956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177D8EB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2160" w:type="dxa"/>
            <w:tcBorders>
              <w:top w:val="nil"/>
              <w:left w:val="nil"/>
              <w:bottom w:val="nil"/>
              <w:right w:val="nil"/>
            </w:tcBorders>
            <w:tcMar>
              <w:top w:w="0" w:type="dxa"/>
              <w:left w:w="100" w:type="dxa"/>
              <w:bottom w:w="0" w:type="dxa"/>
              <w:right w:w="100" w:type="dxa"/>
            </w:tcMar>
            <w:vAlign w:val="center"/>
          </w:tcPr>
          <w:p w14:paraId="46D8F29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0BDEC10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Office Administrator</w:t>
            </w:r>
          </w:p>
        </w:tc>
        <w:tc>
          <w:tcPr>
            <w:tcW w:w="1290" w:type="dxa"/>
            <w:tcBorders>
              <w:top w:val="nil"/>
              <w:left w:val="nil"/>
              <w:bottom w:val="nil"/>
              <w:right w:val="nil"/>
            </w:tcBorders>
            <w:tcMar>
              <w:top w:w="0" w:type="dxa"/>
              <w:left w:w="100" w:type="dxa"/>
              <w:bottom w:w="0" w:type="dxa"/>
              <w:right w:w="100" w:type="dxa"/>
            </w:tcMar>
            <w:vAlign w:val="center"/>
          </w:tcPr>
          <w:p w14:paraId="7BA0ECC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29116152"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4BDF084F"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Tiffany</w:t>
            </w:r>
          </w:p>
        </w:tc>
        <w:tc>
          <w:tcPr>
            <w:tcW w:w="975" w:type="dxa"/>
            <w:tcBorders>
              <w:top w:val="nil"/>
              <w:left w:val="nil"/>
              <w:bottom w:val="nil"/>
              <w:right w:val="nil"/>
            </w:tcBorders>
            <w:tcMar>
              <w:top w:w="0" w:type="dxa"/>
              <w:left w:w="100" w:type="dxa"/>
              <w:bottom w:w="0" w:type="dxa"/>
              <w:right w:w="100" w:type="dxa"/>
            </w:tcMar>
            <w:vAlign w:val="center"/>
          </w:tcPr>
          <w:p w14:paraId="464EA401"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51F6840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2160" w:type="dxa"/>
            <w:tcBorders>
              <w:top w:val="nil"/>
              <w:left w:val="nil"/>
              <w:bottom w:val="nil"/>
              <w:right w:val="nil"/>
            </w:tcBorders>
            <w:tcMar>
              <w:top w:w="0" w:type="dxa"/>
              <w:left w:w="100" w:type="dxa"/>
              <w:bottom w:w="0" w:type="dxa"/>
              <w:right w:w="100" w:type="dxa"/>
            </w:tcMar>
            <w:vAlign w:val="center"/>
          </w:tcPr>
          <w:p w14:paraId="79337C7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473BF55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Kitchen Manager</w:t>
            </w:r>
          </w:p>
        </w:tc>
        <w:tc>
          <w:tcPr>
            <w:tcW w:w="1290" w:type="dxa"/>
            <w:tcBorders>
              <w:top w:val="nil"/>
              <w:left w:val="nil"/>
              <w:bottom w:val="nil"/>
              <w:right w:val="nil"/>
            </w:tcBorders>
            <w:tcMar>
              <w:top w:w="0" w:type="dxa"/>
              <w:left w:w="100" w:type="dxa"/>
              <w:bottom w:w="0" w:type="dxa"/>
              <w:right w:w="100" w:type="dxa"/>
            </w:tcMar>
            <w:vAlign w:val="center"/>
          </w:tcPr>
          <w:p w14:paraId="623F14E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3D6D2422"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1ACF4F3F"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Lillian</w:t>
            </w:r>
          </w:p>
        </w:tc>
        <w:tc>
          <w:tcPr>
            <w:tcW w:w="975" w:type="dxa"/>
            <w:tcBorders>
              <w:top w:val="nil"/>
              <w:left w:val="nil"/>
              <w:bottom w:val="nil"/>
              <w:right w:val="nil"/>
            </w:tcBorders>
            <w:tcMar>
              <w:top w:w="0" w:type="dxa"/>
              <w:left w:w="100" w:type="dxa"/>
              <w:bottom w:w="0" w:type="dxa"/>
              <w:right w:w="100" w:type="dxa"/>
            </w:tcMar>
            <w:vAlign w:val="center"/>
          </w:tcPr>
          <w:p w14:paraId="1E1FF02B"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A4D51A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c>
          <w:tcPr>
            <w:tcW w:w="2160" w:type="dxa"/>
            <w:tcBorders>
              <w:top w:val="nil"/>
              <w:left w:val="nil"/>
              <w:bottom w:val="nil"/>
              <w:right w:val="nil"/>
            </w:tcBorders>
            <w:tcMar>
              <w:top w:w="0" w:type="dxa"/>
              <w:left w:w="100" w:type="dxa"/>
              <w:bottom w:w="0" w:type="dxa"/>
              <w:right w:w="100" w:type="dxa"/>
            </w:tcMar>
            <w:vAlign w:val="center"/>
          </w:tcPr>
          <w:p w14:paraId="134237B5"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6E5FCB8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Social Worker</w:t>
            </w:r>
          </w:p>
        </w:tc>
        <w:tc>
          <w:tcPr>
            <w:tcW w:w="1290" w:type="dxa"/>
            <w:tcBorders>
              <w:top w:val="nil"/>
              <w:left w:val="nil"/>
              <w:bottom w:val="nil"/>
              <w:right w:val="nil"/>
            </w:tcBorders>
            <w:tcMar>
              <w:top w:w="0" w:type="dxa"/>
              <w:left w:w="100" w:type="dxa"/>
              <w:bottom w:w="0" w:type="dxa"/>
              <w:right w:w="100" w:type="dxa"/>
            </w:tcMar>
            <w:vAlign w:val="center"/>
          </w:tcPr>
          <w:p w14:paraId="6C1003C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420970" w14:paraId="114E0E87"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1F101388"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w:t>
            </w:r>
          </w:p>
        </w:tc>
        <w:tc>
          <w:tcPr>
            <w:tcW w:w="975" w:type="dxa"/>
            <w:tcBorders>
              <w:top w:val="nil"/>
              <w:left w:val="nil"/>
              <w:bottom w:val="nil"/>
              <w:right w:val="nil"/>
            </w:tcBorders>
            <w:tcMar>
              <w:top w:w="0" w:type="dxa"/>
              <w:left w:w="100" w:type="dxa"/>
              <w:bottom w:w="0" w:type="dxa"/>
              <w:right w:w="100" w:type="dxa"/>
            </w:tcMar>
            <w:vAlign w:val="center"/>
          </w:tcPr>
          <w:p w14:paraId="46CA007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E8036E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2160" w:type="dxa"/>
            <w:tcBorders>
              <w:top w:val="nil"/>
              <w:left w:val="nil"/>
              <w:bottom w:val="nil"/>
              <w:right w:val="nil"/>
            </w:tcBorders>
            <w:tcMar>
              <w:top w:w="0" w:type="dxa"/>
              <w:left w:w="100" w:type="dxa"/>
              <w:bottom w:w="0" w:type="dxa"/>
              <w:right w:w="100" w:type="dxa"/>
            </w:tcMar>
            <w:vAlign w:val="center"/>
          </w:tcPr>
          <w:p w14:paraId="27C666A7"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015CD36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HRIS Supervisor</w:t>
            </w:r>
          </w:p>
        </w:tc>
        <w:tc>
          <w:tcPr>
            <w:tcW w:w="1290" w:type="dxa"/>
            <w:tcBorders>
              <w:top w:val="nil"/>
              <w:left w:val="nil"/>
              <w:bottom w:val="nil"/>
              <w:right w:val="nil"/>
            </w:tcBorders>
            <w:tcMar>
              <w:top w:w="0" w:type="dxa"/>
              <w:left w:w="100" w:type="dxa"/>
              <w:bottom w:w="0" w:type="dxa"/>
              <w:right w:w="100" w:type="dxa"/>
            </w:tcMar>
            <w:vAlign w:val="center"/>
          </w:tcPr>
          <w:p w14:paraId="612631B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420970" w14:paraId="73C9ADAF"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7A901633"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Thomas</w:t>
            </w:r>
          </w:p>
        </w:tc>
        <w:tc>
          <w:tcPr>
            <w:tcW w:w="975" w:type="dxa"/>
            <w:tcBorders>
              <w:top w:val="nil"/>
              <w:left w:val="nil"/>
              <w:bottom w:val="nil"/>
              <w:right w:val="nil"/>
            </w:tcBorders>
            <w:tcMar>
              <w:top w:w="0" w:type="dxa"/>
              <w:left w:w="100" w:type="dxa"/>
              <w:bottom w:w="0" w:type="dxa"/>
              <w:right w:w="100" w:type="dxa"/>
            </w:tcMar>
            <w:vAlign w:val="center"/>
          </w:tcPr>
          <w:p w14:paraId="04B0957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705" w:type="dxa"/>
            <w:tcBorders>
              <w:top w:val="nil"/>
              <w:left w:val="nil"/>
              <w:bottom w:val="nil"/>
              <w:right w:val="nil"/>
            </w:tcBorders>
            <w:tcMar>
              <w:top w:w="0" w:type="dxa"/>
              <w:left w:w="100" w:type="dxa"/>
              <w:bottom w:w="0" w:type="dxa"/>
              <w:right w:w="100" w:type="dxa"/>
            </w:tcMar>
            <w:vAlign w:val="center"/>
          </w:tcPr>
          <w:p w14:paraId="0562E880"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2160" w:type="dxa"/>
            <w:tcBorders>
              <w:top w:val="nil"/>
              <w:left w:val="nil"/>
              <w:bottom w:val="nil"/>
              <w:right w:val="nil"/>
            </w:tcBorders>
            <w:tcMar>
              <w:top w:w="0" w:type="dxa"/>
              <w:left w:w="100" w:type="dxa"/>
              <w:bottom w:w="0" w:type="dxa"/>
              <w:right w:w="100" w:type="dxa"/>
            </w:tcMar>
            <w:vAlign w:val="center"/>
          </w:tcPr>
          <w:p w14:paraId="3E7E2A0D"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Graduate degree</w:t>
            </w:r>
          </w:p>
        </w:tc>
        <w:tc>
          <w:tcPr>
            <w:tcW w:w="2835" w:type="dxa"/>
            <w:tcBorders>
              <w:top w:val="nil"/>
              <w:left w:val="nil"/>
              <w:bottom w:val="nil"/>
              <w:right w:val="nil"/>
            </w:tcBorders>
            <w:tcMar>
              <w:top w:w="0" w:type="dxa"/>
              <w:left w:w="100" w:type="dxa"/>
              <w:bottom w:w="0" w:type="dxa"/>
              <w:right w:w="100" w:type="dxa"/>
            </w:tcMar>
            <w:vAlign w:val="center"/>
          </w:tcPr>
          <w:p w14:paraId="09200D5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Elementary Principal</w:t>
            </w:r>
          </w:p>
        </w:tc>
        <w:tc>
          <w:tcPr>
            <w:tcW w:w="1290" w:type="dxa"/>
            <w:tcBorders>
              <w:top w:val="nil"/>
              <w:left w:val="nil"/>
              <w:bottom w:val="nil"/>
              <w:right w:val="nil"/>
            </w:tcBorders>
            <w:tcMar>
              <w:top w:w="0" w:type="dxa"/>
              <w:left w:w="100" w:type="dxa"/>
              <w:bottom w:w="0" w:type="dxa"/>
              <w:right w:w="100" w:type="dxa"/>
            </w:tcMar>
            <w:vAlign w:val="center"/>
          </w:tcPr>
          <w:p w14:paraId="2DAD7E0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09DE2963"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1B19012C"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Paige</w:t>
            </w:r>
          </w:p>
        </w:tc>
        <w:tc>
          <w:tcPr>
            <w:tcW w:w="975" w:type="dxa"/>
            <w:tcBorders>
              <w:top w:val="nil"/>
              <w:left w:val="nil"/>
              <w:bottom w:val="nil"/>
              <w:right w:val="nil"/>
            </w:tcBorders>
            <w:tcMar>
              <w:top w:w="0" w:type="dxa"/>
              <w:left w:w="100" w:type="dxa"/>
              <w:bottom w:w="0" w:type="dxa"/>
              <w:right w:w="100" w:type="dxa"/>
            </w:tcMar>
            <w:vAlign w:val="center"/>
          </w:tcPr>
          <w:p w14:paraId="294EAC5C"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4A3701D0"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2160" w:type="dxa"/>
            <w:tcBorders>
              <w:top w:val="nil"/>
              <w:left w:val="nil"/>
              <w:bottom w:val="nil"/>
              <w:right w:val="nil"/>
            </w:tcBorders>
            <w:tcMar>
              <w:top w:w="0" w:type="dxa"/>
              <w:left w:w="100" w:type="dxa"/>
              <w:bottom w:w="0" w:type="dxa"/>
              <w:right w:w="100" w:type="dxa"/>
            </w:tcMar>
            <w:vAlign w:val="center"/>
          </w:tcPr>
          <w:p w14:paraId="3B4D71D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25150073"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Teacher</w:t>
            </w:r>
          </w:p>
        </w:tc>
        <w:tc>
          <w:tcPr>
            <w:tcW w:w="1290" w:type="dxa"/>
            <w:tcBorders>
              <w:top w:val="nil"/>
              <w:left w:val="nil"/>
              <w:bottom w:val="nil"/>
              <w:right w:val="nil"/>
            </w:tcBorders>
            <w:tcMar>
              <w:top w:w="0" w:type="dxa"/>
              <w:left w:w="100" w:type="dxa"/>
              <w:bottom w:w="0" w:type="dxa"/>
              <w:right w:w="100" w:type="dxa"/>
            </w:tcMar>
            <w:vAlign w:val="center"/>
          </w:tcPr>
          <w:p w14:paraId="31BF1039"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20970" w14:paraId="3D420B59" w14:textId="77777777" w:rsidTr="00D5704B">
        <w:trPr>
          <w:trHeight w:val="275"/>
        </w:trPr>
        <w:tc>
          <w:tcPr>
            <w:tcW w:w="1395" w:type="dxa"/>
            <w:tcBorders>
              <w:top w:val="nil"/>
              <w:left w:val="nil"/>
              <w:bottom w:val="nil"/>
              <w:right w:val="nil"/>
            </w:tcBorders>
            <w:tcMar>
              <w:top w:w="0" w:type="dxa"/>
              <w:left w:w="100" w:type="dxa"/>
              <w:bottom w:w="0" w:type="dxa"/>
              <w:right w:w="100" w:type="dxa"/>
            </w:tcMar>
            <w:vAlign w:val="center"/>
          </w:tcPr>
          <w:p w14:paraId="2AE663CD"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Patti</w:t>
            </w:r>
          </w:p>
        </w:tc>
        <w:tc>
          <w:tcPr>
            <w:tcW w:w="975" w:type="dxa"/>
            <w:tcBorders>
              <w:top w:val="nil"/>
              <w:left w:val="nil"/>
              <w:bottom w:val="nil"/>
              <w:right w:val="nil"/>
            </w:tcBorders>
            <w:tcMar>
              <w:top w:w="0" w:type="dxa"/>
              <w:left w:w="100" w:type="dxa"/>
              <w:bottom w:w="0" w:type="dxa"/>
              <w:right w:w="100" w:type="dxa"/>
            </w:tcMar>
            <w:vAlign w:val="center"/>
          </w:tcPr>
          <w:p w14:paraId="638F891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705" w:type="dxa"/>
            <w:tcBorders>
              <w:top w:val="nil"/>
              <w:left w:val="nil"/>
              <w:bottom w:val="nil"/>
              <w:right w:val="nil"/>
            </w:tcBorders>
            <w:tcMar>
              <w:top w:w="0" w:type="dxa"/>
              <w:left w:w="100" w:type="dxa"/>
              <w:bottom w:w="0" w:type="dxa"/>
              <w:right w:w="100" w:type="dxa"/>
            </w:tcMar>
            <w:vAlign w:val="center"/>
          </w:tcPr>
          <w:p w14:paraId="148AF420"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c>
          <w:tcPr>
            <w:tcW w:w="2160" w:type="dxa"/>
            <w:tcBorders>
              <w:top w:val="nil"/>
              <w:left w:val="nil"/>
              <w:bottom w:val="nil"/>
              <w:right w:val="nil"/>
            </w:tcBorders>
            <w:tcMar>
              <w:top w:w="0" w:type="dxa"/>
              <w:left w:w="100" w:type="dxa"/>
              <w:bottom w:w="0" w:type="dxa"/>
              <w:right w:w="100" w:type="dxa"/>
            </w:tcMar>
            <w:vAlign w:val="center"/>
          </w:tcPr>
          <w:p w14:paraId="31C42F0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top w:val="nil"/>
              <w:left w:val="nil"/>
              <w:bottom w:val="nil"/>
              <w:right w:val="nil"/>
            </w:tcBorders>
            <w:tcMar>
              <w:top w:w="0" w:type="dxa"/>
              <w:left w:w="100" w:type="dxa"/>
              <w:bottom w:w="0" w:type="dxa"/>
              <w:right w:w="100" w:type="dxa"/>
            </w:tcMar>
            <w:vAlign w:val="center"/>
          </w:tcPr>
          <w:p w14:paraId="4E4C798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Vice President</w:t>
            </w:r>
          </w:p>
        </w:tc>
        <w:tc>
          <w:tcPr>
            <w:tcW w:w="1290" w:type="dxa"/>
            <w:tcBorders>
              <w:top w:val="nil"/>
              <w:left w:val="nil"/>
              <w:bottom w:val="nil"/>
              <w:right w:val="nil"/>
            </w:tcBorders>
            <w:tcMar>
              <w:top w:w="0" w:type="dxa"/>
              <w:left w:w="100" w:type="dxa"/>
              <w:bottom w:w="0" w:type="dxa"/>
              <w:right w:w="100" w:type="dxa"/>
            </w:tcMar>
            <w:vAlign w:val="center"/>
          </w:tcPr>
          <w:p w14:paraId="66E012E7"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420970" w14:paraId="39BBA67A" w14:textId="77777777" w:rsidTr="00D5704B">
        <w:trPr>
          <w:trHeight w:val="275"/>
        </w:trPr>
        <w:tc>
          <w:tcPr>
            <w:tcW w:w="1395" w:type="dxa"/>
            <w:tcBorders>
              <w:left w:val="nil"/>
              <w:bottom w:val="single" w:sz="6" w:space="0" w:color="000000"/>
              <w:right w:val="nil"/>
            </w:tcBorders>
            <w:tcMar>
              <w:top w:w="0" w:type="dxa"/>
              <w:left w:w="100" w:type="dxa"/>
              <w:bottom w:w="0" w:type="dxa"/>
              <w:right w:w="100" w:type="dxa"/>
            </w:tcMar>
            <w:vAlign w:val="center"/>
          </w:tcPr>
          <w:p w14:paraId="29BA3099"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Jon</w:t>
            </w:r>
          </w:p>
        </w:tc>
        <w:tc>
          <w:tcPr>
            <w:tcW w:w="975" w:type="dxa"/>
            <w:tcBorders>
              <w:left w:val="nil"/>
              <w:bottom w:val="single" w:sz="6" w:space="0" w:color="000000"/>
              <w:right w:val="nil"/>
            </w:tcBorders>
            <w:tcMar>
              <w:top w:w="0" w:type="dxa"/>
              <w:left w:w="100" w:type="dxa"/>
              <w:bottom w:w="0" w:type="dxa"/>
              <w:right w:w="100" w:type="dxa"/>
            </w:tcMar>
            <w:vAlign w:val="center"/>
          </w:tcPr>
          <w:p w14:paraId="66E71A3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705" w:type="dxa"/>
            <w:tcBorders>
              <w:left w:val="nil"/>
              <w:bottom w:val="single" w:sz="6" w:space="0" w:color="000000"/>
              <w:right w:val="nil"/>
            </w:tcBorders>
            <w:tcMar>
              <w:top w:w="0" w:type="dxa"/>
              <w:left w:w="100" w:type="dxa"/>
              <w:bottom w:w="0" w:type="dxa"/>
              <w:right w:w="100" w:type="dxa"/>
            </w:tcMar>
            <w:vAlign w:val="center"/>
          </w:tcPr>
          <w:p w14:paraId="4AE4EE58"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2160" w:type="dxa"/>
            <w:tcBorders>
              <w:left w:val="nil"/>
              <w:bottom w:val="single" w:sz="6" w:space="0" w:color="000000"/>
              <w:right w:val="nil"/>
            </w:tcBorders>
            <w:tcMar>
              <w:top w:w="0" w:type="dxa"/>
              <w:left w:w="100" w:type="dxa"/>
              <w:bottom w:w="0" w:type="dxa"/>
              <w:right w:w="100" w:type="dxa"/>
            </w:tcMar>
            <w:vAlign w:val="center"/>
          </w:tcPr>
          <w:p w14:paraId="4B987B50"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Bachelor’s degree</w:t>
            </w:r>
          </w:p>
        </w:tc>
        <w:tc>
          <w:tcPr>
            <w:tcW w:w="2835" w:type="dxa"/>
            <w:tcBorders>
              <w:left w:val="nil"/>
              <w:bottom w:val="single" w:sz="6" w:space="0" w:color="000000"/>
              <w:right w:val="nil"/>
            </w:tcBorders>
            <w:tcMar>
              <w:top w:w="0" w:type="dxa"/>
              <w:left w:w="100" w:type="dxa"/>
              <w:bottom w:w="0" w:type="dxa"/>
              <w:right w:w="100" w:type="dxa"/>
            </w:tcMar>
            <w:vAlign w:val="center"/>
          </w:tcPr>
          <w:p w14:paraId="33BF81A2"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of Development</w:t>
            </w:r>
          </w:p>
        </w:tc>
        <w:tc>
          <w:tcPr>
            <w:tcW w:w="1290" w:type="dxa"/>
            <w:tcBorders>
              <w:left w:val="nil"/>
              <w:bottom w:val="single" w:sz="6" w:space="0" w:color="000000"/>
              <w:right w:val="nil"/>
            </w:tcBorders>
            <w:tcMar>
              <w:top w:w="0" w:type="dxa"/>
              <w:left w:w="100" w:type="dxa"/>
              <w:bottom w:w="0" w:type="dxa"/>
              <w:right w:w="100" w:type="dxa"/>
            </w:tcMar>
            <w:vAlign w:val="center"/>
          </w:tcPr>
          <w:p w14:paraId="54DCE7F6"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bl>
    <w:p w14:paraId="6EEE758D"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Data Collection</w:t>
      </w:r>
    </w:p>
    <w:p w14:paraId="4D209D41"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semi-structured interview guide aligned with the theoretical framework was developed (see Table 2) and reviewed by three experts in qualitative research and career exploration to ensure content validity (Thyer, 2010). Expert feedback focused primarily on clarity, and their insights led to revisions in question wording and sequencing.</w:t>
      </w:r>
    </w:p>
    <w:p w14:paraId="773DAA31" w14:textId="77777777" w:rsidR="00420970" w:rsidRDefault="00420970" w:rsidP="00420970">
      <w:pPr>
        <w:spacing w:line="240" w:lineRule="auto"/>
        <w:rPr>
          <w:rFonts w:ascii="Times New Roman" w:eastAsia="Times New Roman" w:hAnsi="Times New Roman" w:cs="Times New Roman"/>
          <w:sz w:val="24"/>
          <w:szCs w:val="24"/>
        </w:rPr>
      </w:pPr>
    </w:p>
    <w:p w14:paraId="13B70301"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6EFAF1BC" w14:textId="77777777" w:rsidR="00420970" w:rsidRDefault="00420970" w:rsidP="0042097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Sample Interview Questions Aligned with Ajzen’s Framework (1991)</w:t>
      </w:r>
    </w:p>
    <w:tbl>
      <w:tblPr>
        <w:tblW w:w="8985" w:type="dxa"/>
        <w:tblBorders>
          <w:top w:val="nil"/>
          <w:left w:val="nil"/>
          <w:bottom w:val="nil"/>
          <w:right w:val="nil"/>
          <w:insideH w:val="nil"/>
          <w:insideV w:val="nil"/>
        </w:tblBorders>
        <w:tblLayout w:type="fixed"/>
        <w:tblLook w:val="0600" w:firstRow="0" w:lastRow="0" w:firstColumn="0" w:lastColumn="0" w:noHBand="1" w:noVBand="1"/>
      </w:tblPr>
      <w:tblGrid>
        <w:gridCol w:w="6915"/>
        <w:gridCol w:w="2070"/>
      </w:tblGrid>
      <w:tr w:rsidR="00420970" w14:paraId="4A04AA3B" w14:textId="77777777" w:rsidTr="00D5704B">
        <w:trPr>
          <w:trHeight w:val="275"/>
        </w:trPr>
        <w:tc>
          <w:tcPr>
            <w:tcW w:w="6915" w:type="dxa"/>
            <w:tcBorders>
              <w:top w:val="single" w:sz="6" w:space="0" w:color="000000"/>
              <w:bottom w:val="single" w:sz="8" w:space="0" w:color="000000"/>
            </w:tcBorders>
            <w:tcMar>
              <w:top w:w="0" w:type="dxa"/>
              <w:bottom w:w="0" w:type="dxa"/>
            </w:tcMar>
            <w:vAlign w:val="center"/>
          </w:tcPr>
          <w:p w14:paraId="2C18B83A"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Question</w:t>
            </w:r>
          </w:p>
        </w:tc>
        <w:tc>
          <w:tcPr>
            <w:tcW w:w="207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4B60575F"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Theory Connection</w:t>
            </w:r>
          </w:p>
        </w:tc>
      </w:tr>
      <w:tr w:rsidR="00420970" w14:paraId="1EAF3F19" w14:textId="77777777" w:rsidTr="00D5704B">
        <w:trPr>
          <w:trHeight w:val="275"/>
        </w:trPr>
        <w:tc>
          <w:tcPr>
            <w:tcW w:w="6915" w:type="dxa"/>
            <w:tcBorders>
              <w:top w:val="single" w:sz="8" w:space="0" w:color="000000"/>
              <w:left w:val="nil"/>
              <w:bottom w:val="nil"/>
              <w:right w:val="nil"/>
            </w:tcBorders>
            <w:tcMar>
              <w:top w:w="0" w:type="dxa"/>
              <w:left w:w="100" w:type="dxa"/>
              <w:bottom w:w="0" w:type="dxa"/>
              <w:right w:w="100" w:type="dxa"/>
            </w:tcMar>
            <w:vAlign w:val="center"/>
          </w:tcPr>
          <w:p w14:paraId="300387A8"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is college or post-secondary education important?</w:t>
            </w:r>
          </w:p>
        </w:tc>
        <w:tc>
          <w:tcPr>
            <w:tcW w:w="2070" w:type="dxa"/>
            <w:tcBorders>
              <w:top w:val="nil"/>
              <w:left w:val="nil"/>
              <w:bottom w:val="nil"/>
              <w:right w:val="nil"/>
            </w:tcBorders>
            <w:tcMar>
              <w:top w:w="0" w:type="dxa"/>
              <w:left w:w="100" w:type="dxa"/>
              <w:bottom w:w="0" w:type="dxa"/>
              <w:right w:w="100" w:type="dxa"/>
            </w:tcMar>
            <w:vAlign w:val="center"/>
          </w:tcPr>
          <w:p w14:paraId="1277F2EE"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Attitudes</w:t>
            </w:r>
          </w:p>
        </w:tc>
      </w:tr>
      <w:tr w:rsidR="00420970" w14:paraId="1B3C5419" w14:textId="77777777" w:rsidTr="00D5704B">
        <w:trPr>
          <w:trHeight w:val="275"/>
        </w:trPr>
        <w:tc>
          <w:tcPr>
            <w:tcW w:w="6915" w:type="dxa"/>
            <w:tcBorders>
              <w:top w:val="nil"/>
              <w:left w:val="nil"/>
              <w:bottom w:val="nil"/>
              <w:right w:val="nil"/>
            </w:tcBorders>
            <w:tcMar>
              <w:top w:w="0" w:type="dxa"/>
              <w:left w:w="100" w:type="dxa"/>
              <w:bottom w:w="0" w:type="dxa"/>
              <w:right w:w="100" w:type="dxa"/>
            </w:tcMar>
            <w:vAlign w:val="center"/>
          </w:tcPr>
          <w:p w14:paraId="4414631F"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feel cultural, community, or family traditions have shaped </w:t>
            </w:r>
          </w:p>
          <w:p w14:paraId="5D2B6936" w14:textId="77777777" w:rsidR="00420970" w:rsidRDefault="00420970" w:rsidP="00D5704B">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your views on what careers are “</w:t>
            </w:r>
            <w:proofErr w:type="gramStart"/>
            <w:r>
              <w:rPr>
                <w:rFonts w:ascii="Times New Roman" w:eastAsia="Times New Roman" w:hAnsi="Times New Roman" w:cs="Times New Roman"/>
                <w:sz w:val="24"/>
                <w:szCs w:val="24"/>
              </w:rPr>
              <w:t>best-suited</w:t>
            </w:r>
            <w:proofErr w:type="gramEnd"/>
            <w:r>
              <w:rPr>
                <w:rFonts w:ascii="Times New Roman" w:eastAsia="Times New Roman" w:hAnsi="Times New Roman" w:cs="Times New Roman"/>
                <w:sz w:val="24"/>
                <w:szCs w:val="24"/>
              </w:rPr>
              <w:t>” for your child?</w:t>
            </w:r>
          </w:p>
        </w:tc>
        <w:tc>
          <w:tcPr>
            <w:tcW w:w="2070" w:type="dxa"/>
            <w:tcBorders>
              <w:top w:val="nil"/>
              <w:left w:val="nil"/>
              <w:bottom w:val="nil"/>
              <w:right w:val="nil"/>
            </w:tcBorders>
            <w:tcMar>
              <w:top w:w="0" w:type="dxa"/>
              <w:left w:w="100" w:type="dxa"/>
              <w:bottom w:w="0" w:type="dxa"/>
              <w:right w:w="100" w:type="dxa"/>
            </w:tcMar>
            <w:vAlign w:val="center"/>
          </w:tcPr>
          <w:p w14:paraId="65702B5C"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Attitudes</w:t>
            </w:r>
          </w:p>
        </w:tc>
      </w:tr>
      <w:tr w:rsidR="00420970" w14:paraId="444A6F3E" w14:textId="77777777" w:rsidTr="00D5704B">
        <w:trPr>
          <w:trHeight w:val="275"/>
        </w:trPr>
        <w:tc>
          <w:tcPr>
            <w:tcW w:w="6915" w:type="dxa"/>
            <w:tcBorders>
              <w:top w:val="nil"/>
              <w:left w:val="nil"/>
              <w:bottom w:val="nil"/>
              <w:right w:val="nil"/>
            </w:tcBorders>
            <w:tcMar>
              <w:top w:w="0" w:type="dxa"/>
              <w:left w:w="100" w:type="dxa"/>
              <w:bottom w:w="0" w:type="dxa"/>
              <w:right w:w="100" w:type="dxa"/>
            </w:tcMar>
            <w:vAlign w:val="center"/>
          </w:tcPr>
          <w:p w14:paraId="7472F73B"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Has your child ever expressed interest in a career related to AFNR?</w:t>
            </w:r>
          </w:p>
        </w:tc>
        <w:tc>
          <w:tcPr>
            <w:tcW w:w="2070" w:type="dxa"/>
            <w:tcBorders>
              <w:top w:val="nil"/>
              <w:left w:val="nil"/>
              <w:bottom w:val="nil"/>
              <w:right w:val="nil"/>
            </w:tcBorders>
            <w:tcMar>
              <w:top w:w="0" w:type="dxa"/>
              <w:left w:w="100" w:type="dxa"/>
              <w:bottom w:w="0" w:type="dxa"/>
              <w:right w:w="100" w:type="dxa"/>
            </w:tcMar>
            <w:vAlign w:val="center"/>
          </w:tcPr>
          <w:p w14:paraId="79837C74"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Subjective Norms</w:t>
            </w:r>
          </w:p>
        </w:tc>
      </w:tr>
      <w:tr w:rsidR="00420970" w14:paraId="7A384FA4" w14:textId="77777777" w:rsidTr="00D5704B">
        <w:trPr>
          <w:trHeight w:val="275"/>
        </w:trPr>
        <w:tc>
          <w:tcPr>
            <w:tcW w:w="6915" w:type="dxa"/>
            <w:tcBorders>
              <w:top w:val="nil"/>
              <w:left w:val="nil"/>
              <w:bottom w:val="single" w:sz="8" w:space="0" w:color="000000"/>
              <w:right w:val="nil"/>
            </w:tcBorders>
            <w:tcMar>
              <w:top w:w="0" w:type="dxa"/>
              <w:left w:w="100" w:type="dxa"/>
              <w:bottom w:w="0" w:type="dxa"/>
              <w:right w:w="100" w:type="dxa"/>
            </w:tcMar>
            <w:vAlign w:val="center"/>
          </w:tcPr>
          <w:p w14:paraId="769A7629" w14:textId="77777777" w:rsidR="00420970" w:rsidRDefault="00420970" w:rsidP="00D5704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careers or industries you encourage your child to avoid?</w:t>
            </w:r>
          </w:p>
        </w:tc>
        <w:tc>
          <w:tcPr>
            <w:tcW w:w="2070" w:type="dxa"/>
            <w:tcBorders>
              <w:top w:val="nil"/>
              <w:left w:val="nil"/>
              <w:bottom w:val="single" w:sz="8" w:space="0" w:color="000000"/>
              <w:right w:val="nil"/>
            </w:tcBorders>
            <w:tcMar>
              <w:top w:w="0" w:type="dxa"/>
              <w:left w:w="100" w:type="dxa"/>
              <w:bottom w:w="0" w:type="dxa"/>
              <w:right w:w="100" w:type="dxa"/>
            </w:tcMar>
            <w:vAlign w:val="center"/>
          </w:tcPr>
          <w:p w14:paraId="1EB3FE87" w14:textId="77777777" w:rsidR="00420970" w:rsidRDefault="00420970" w:rsidP="00D5704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Perceived Behavioral Control</w:t>
            </w:r>
          </w:p>
        </w:tc>
      </w:tr>
    </w:tbl>
    <w:p w14:paraId="5D54352C" w14:textId="77777777" w:rsidR="00420970" w:rsidRDefault="00420970" w:rsidP="00420970">
      <w:pPr>
        <w:spacing w:line="240" w:lineRule="auto"/>
        <w:rPr>
          <w:rFonts w:ascii="Times New Roman" w:eastAsia="Times New Roman" w:hAnsi="Times New Roman" w:cs="Times New Roman"/>
          <w:sz w:val="24"/>
          <w:szCs w:val="24"/>
        </w:rPr>
      </w:pPr>
    </w:p>
    <w:p w14:paraId="0288B6B9"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consented to audio recording and transcription prior to each interview. Interviews ranged from 24 to 73 minutes (</w:t>
      </w:r>
      <w:r>
        <w:rPr>
          <w:rFonts w:ascii="Times New Roman" w:eastAsia="Times New Roman" w:hAnsi="Times New Roman" w:cs="Times New Roman"/>
          <w:i/>
          <w:iCs/>
          <w:sz w:val="24"/>
          <w:szCs w:val="24"/>
        </w:rPr>
        <w:t>M</w:t>
      </w:r>
      <w:r>
        <w:rPr>
          <w:rFonts w:ascii="Times New Roman" w:eastAsia="Times New Roman" w:hAnsi="Times New Roman" w:cs="Times New Roman"/>
          <w:sz w:val="24"/>
          <w:szCs w:val="24"/>
        </w:rPr>
        <w:t xml:space="preserve"> = 52) and were conducted and transcribed via Zoom; files were stored on a password-protected platform. Participant identities were protected using pseudonyms.</w:t>
      </w:r>
    </w:p>
    <w:p w14:paraId="51D69399" w14:textId="77777777" w:rsidR="00420970" w:rsidRDefault="00420970" w:rsidP="00420970">
      <w:pPr>
        <w:spacing w:line="240" w:lineRule="auto"/>
        <w:rPr>
          <w:rFonts w:ascii="Times New Roman" w:eastAsia="Times New Roman" w:hAnsi="Times New Roman" w:cs="Times New Roman"/>
          <w:sz w:val="24"/>
          <w:szCs w:val="24"/>
        </w:rPr>
      </w:pPr>
    </w:p>
    <w:p w14:paraId="2FE93DDC"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Analysis</w:t>
      </w:r>
    </w:p>
    <w:p w14:paraId="21F6F345"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peer debriefing and initial coding after the 21 interviews, it was determined data saturation was reached, as no new codes were emerging (Mwita, 2022). Initial coding was guided by an inductive approach, followed by a deductive approach to ensure alignment with the research questions and framework (Thomas, 2006). Given our pragmatic worldviews (Kaushik &amp; Walsh, 2019), we recognized employing both approaches was essential. An inductive approach ensured the voices of our participants were heard and understood (Thomas, 2006). Further, employing a deductive approach ensured findings were aligned to the framework, ensuring rigor and transferability (Merriam &amp; Tisdell, 2016; Tracy, 2010). Coding resulted in 184 initial codes, organized into 18 categories, and further collapsed into three overarching themes.</w:t>
      </w:r>
    </w:p>
    <w:p w14:paraId="19DF6972" w14:textId="77777777" w:rsidR="00420970" w:rsidRDefault="00420970" w:rsidP="00420970">
      <w:pPr>
        <w:spacing w:line="240" w:lineRule="auto"/>
        <w:rPr>
          <w:rFonts w:ascii="Times New Roman" w:eastAsia="Times New Roman" w:hAnsi="Times New Roman" w:cs="Times New Roman"/>
          <w:sz w:val="24"/>
          <w:szCs w:val="24"/>
        </w:rPr>
      </w:pPr>
    </w:p>
    <w:p w14:paraId="2ADD09EA"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Trustworthiness</w:t>
      </w:r>
    </w:p>
    <w:p w14:paraId="7CD22521"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Trustworthiness was supported through rapport building (Merriam &amp; Tisdell, 2016), member checking (Lincoln &amp; Guba, 1985), a saturation chart (Mwita, 2022), and peer debriefing (Spall, 1998). We also maintained an organized codebook and audit trail and engaged in collaborative coding, supplemented by reflexive journaling and structured discussions following interviews to enhance transparency, consistency, and credibility (Morse et al., 2002; Tracy, 2010).</w:t>
      </w:r>
    </w:p>
    <w:p w14:paraId="24E75C00" w14:textId="77777777" w:rsidR="00420970" w:rsidRDefault="00420970" w:rsidP="00420970">
      <w:pPr>
        <w:spacing w:line="240" w:lineRule="auto"/>
        <w:rPr>
          <w:rFonts w:ascii="Times New Roman" w:eastAsia="Times New Roman" w:hAnsi="Times New Roman" w:cs="Times New Roman"/>
          <w:sz w:val="24"/>
          <w:szCs w:val="24"/>
        </w:rPr>
      </w:pPr>
    </w:p>
    <w:p w14:paraId="5AC12CF6"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Findings</w:t>
      </w:r>
    </w:p>
    <w:p w14:paraId="3FE6C5B7" w14:textId="77777777" w:rsidR="00420970" w:rsidRDefault="00420970" w:rsidP="00420970">
      <w:pPr>
        <w:spacing w:line="240" w:lineRule="auto"/>
        <w:jc w:val="center"/>
        <w:rPr>
          <w:rFonts w:ascii="Times New Roman" w:eastAsia="Times New Roman" w:hAnsi="Times New Roman" w:cs="Times New Roman"/>
          <w:b/>
          <w:bCs/>
          <w:sz w:val="24"/>
          <w:szCs w:val="24"/>
        </w:rPr>
      </w:pPr>
    </w:p>
    <w:p w14:paraId="133BC9FC"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many, graduating high school marks the beginning of a journey toward careers and post-secondary training, and for many parents, it is when their children—metaphorically speaking—get on the road. Parents maintained positive perceptions of career exploration and training, including AFNR fields.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learning how to drive, navigating post-secondary options can feel intimidating for both children and their families. Despite this, parents were generally open to their children getting behind the wheel and exploring opportunities—whether entering the </w:t>
      </w:r>
      <w:r>
        <w:rPr>
          <w:rFonts w:ascii="Times New Roman" w:eastAsia="Times New Roman" w:hAnsi="Times New Roman" w:cs="Times New Roman"/>
          <w:sz w:val="24"/>
          <w:szCs w:val="24"/>
        </w:rPr>
        <w:lastRenderedPageBreak/>
        <w:t>workforce, seeking further training, or enlisting in the military. Upon analyzing the data, three themes and six subthemes emerged from parents’ reflections.</w:t>
      </w:r>
    </w:p>
    <w:p w14:paraId="77C08D7A" w14:textId="77777777" w:rsidR="00420970" w:rsidRDefault="00420970" w:rsidP="00420970">
      <w:pPr>
        <w:spacing w:line="240" w:lineRule="auto"/>
        <w:rPr>
          <w:rFonts w:ascii="Times New Roman" w:eastAsia="Times New Roman" w:hAnsi="Times New Roman" w:cs="Times New Roman"/>
          <w:sz w:val="24"/>
          <w:szCs w:val="24"/>
        </w:rPr>
      </w:pPr>
    </w:p>
    <w:p w14:paraId="310085B8"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#1: Parents as Guardrails</w:t>
      </w:r>
    </w:p>
    <w:p w14:paraId="7C16BC2E"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Tori shared, “I like to think of myself as a guardrail that’s there to support my child. I ask questions without trying to take the lead.” Guardrails are in place to protect and support drivers. Similarly, parents perceive themselves as individuals whose purpose is to protect and support their children, even if they perceive career and training decisions to be difficult, or “curvy.” This theme explores the twists and turns associated with career exploration and planning, and the need to let go through empowering their children to make decisions.</w:t>
      </w:r>
    </w:p>
    <w:p w14:paraId="0F3E36D6" w14:textId="77777777" w:rsidR="00420970" w:rsidRDefault="00420970" w:rsidP="00420970">
      <w:pPr>
        <w:spacing w:line="240" w:lineRule="auto"/>
        <w:rPr>
          <w:rFonts w:ascii="Times New Roman" w:eastAsia="Times New Roman" w:hAnsi="Times New Roman" w:cs="Times New Roman"/>
          <w:sz w:val="24"/>
          <w:szCs w:val="24"/>
        </w:rPr>
      </w:pPr>
    </w:p>
    <w:p w14:paraId="60CA6876" w14:textId="77777777" w:rsidR="00420970" w:rsidRDefault="00420970" w:rsidP="0042097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Subtheme #1: Not a Straight Path</w:t>
      </w:r>
    </w:p>
    <w:p w14:paraId="501663F6"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Guardrails are often reserved for the twistiest and curviest of roads. Much like guardrails ensure vehicles stay on the road and provide parameters so drivers do not endanger themselves or their passengers, parents saw themselves as supportive guides, especially since the pathway is not always straight. Tiffany highlighted:</w:t>
      </w:r>
    </w:p>
    <w:p w14:paraId="0605C031" w14:textId="77777777" w:rsidR="00420970" w:rsidRDefault="00420970" w:rsidP="00420970">
      <w:pPr>
        <w:spacing w:line="240" w:lineRule="auto"/>
        <w:rPr>
          <w:rFonts w:ascii="Times New Roman" w:eastAsia="Times New Roman" w:hAnsi="Times New Roman" w:cs="Times New Roman"/>
          <w:sz w:val="24"/>
          <w:szCs w:val="24"/>
        </w:rPr>
      </w:pPr>
    </w:p>
    <w:p w14:paraId="25AAD9E4" w14:textId="77777777" w:rsidR="00420970" w:rsidRDefault="00420970" w:rsidP="0042097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see the world as, like, a big picture. There are so many different things that you can do, and I’m trying to get the kids to see that you can go many different directions. </w:t>
      </w:r>
      <w:proofErr w:type="gramStart"/>
      <w:r>
        <w:rPr>
          <w:rFonts w:ascii="Times New Roman" w:eastAsia="Times New Roman" w:hAnsi="Times New Roman" w:cs="Times New Roman"/>
          <w:sz w:val="24"/>
          <w:szCs w:val="24"/>
        </w:rPr>
        <w:t>There’s</w:t>
      </w:r>
      <w:proofErr w:type="gramEnd"/>
      <w:r>
        <w:rPr>
          <w:rFonts w:ascii="Times New Roman" w:eastAsia="Times New Roman" w:hAnsi="Times New Roman" w:cs="Times New Roman"/>
          <w:sz w:val="24"/>
          <w:szCs w:val="24"/>
        </w:rPr>
        <w:t xml:space="preserve"> probably 600 different jobs that you could get in the agriculture field. With my kids being kind of scared to pick a path, I try to reassure them that the path isn’t always a straight line, it’s a </w:t>
      </w:r>
      <w:proofErr w:type="gramStart"/>
      <w:r>
        <w:rPr>
          <w:rFonts w:ascii="Times New Roman" w:eastAsia="Times New Roman" w:hAnsi="Times New Roman" w:cs="Times New Roman"/>
          <w:sz w:val="24"/>
          <w:szCs w:val="24"/>
        </w:rPr>
        <w:t>zig-zag</w:t>
      </w:r>
      <w:proofErr w:type="gramEnd"/>
      <w:r>
        <w:rPr>
          <w:rFonts w:ascii="Times New Roman" w:eastAsia="Times New Roman" w:hAnsi="Times New Roman" w:cs="Times New Roman"/>
          <w:sz w:val="24"/>
          <w:szCs w:val="24"/>
        </w:rPr>
        <w:t>. I’m a great example of that.</w:t>
      </w:r>
    </w:p>
    <w:p w14:paraId="2675BB40" w14:textId="77777777" w:rsidR="00420970" w:rsidRDefault="00420970" w:rsidP="00420970">
      <w:pPr>
        <w:spacing w:line="240" w:lineRule="auto"/>
        <w:rPr>
          <w:rFonts w:ascii="Times New Roman" w:eastAsia="Times New Roman" w:hAnsi="Times New Roman" w:cs="Times New Roman"/>
          <w:sz w:val="24"/>
          <w:szCs w:val="24"/>
        </w:rPr>
      </w:pPr>
    </w:p>
    <w:p w14:paraId="0D9D3B4D"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twists and turns, when it comes to education and training, parents provide structure to keep their children safe, but do not steer for them. Paige highlighted the importance of establishing mile markers to guide the timeline for her child. She shared, “We help her navigate all these different things that you could do. For example, helping her start to find scholarships, and making sure she had a timetable to get that done—not necessarily being the helicopter parent, but helping her focus.” Helping their children establish and set achievable action steps can allow them to stay involved in decision-making processes and guide them toward their destination without making the decisions for them.</w:t>
      </w:r>
    </w:p>
    <w:p w14:paraId="63F8C386" w14:textId="77777777" w:rsidR="00420970" w:rsidRDefault="00420970" w:rsidP="00420970">
      <w:pPr>
        <w:spacing w:line="240" w:lineRule="auto"/>
        <w:rPr>
          <w:rFonts w:ascii="Times New Roman" w:eastAsia="Times New Roman" w:hAnsi="Times New Roman" w:cs="Times New Roman"/>
          <w:sz w:val="24"/>
          <w:szCs w:val="24"/>
        </w:rPr>
      </w:pPr>
    </w:p>
    <w:p w14:paraId="5971E19E"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Subtheme #2: Letting Go—Guardrails are not Deciders</w:t>
      </w:r>
    </w:p>
    <w:p w14:paraId="00E9407F"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guardrails are in place to keep drivers safe, they do not dictate a driver’s decisions—and drivers can still choose to ignore them. In the same way, parents saw themselves as supportive guides who ask </w:t>
      </w:r>
      <w:proofErr w:type="gramStart"/>
      <w:r>
        <w:rPr>
          <w:rFonts w:ascii="Times New Roman" w:eastAsia="Times New Roman" w:hAnsi="Times New Roman" w:cs="Times New Roman"/>
          <w:sz w:val="24"/>
          <w:szCs w:val="24"/>
        </w:rPr>
        <w:t>questions, but</w:t>
      </w:r>
      <w:proofErr w:type="gramEnd"/>
      <w:r>
        <w:rPr>
          <w:rFonts w:ascii="Times New Roman" w:eastAsia="Times New Roman" w:hAnsi="Times New Roman" w:cs="Times New Roman"/>
          <w:sz w:val="24"/>
          <w:szCs w:val="24"/>
        </w:rPr>
        <w:t xml:space="preserve"> avoid providing answers or pushing an agenda. They do not see themselves as the ultimate decision-makers in their child’s pursuits. Holly commented, “We have always felt that it’s important to not ever shoot down ideas they have, especially when it came to schooling. Unless it was an idea that was harmful to someone, we always stayed very positive.”</w:t>
      </w:r>
    </w:p>
    <w:p w14:paraId="0F5BF04D" w14:textId="77777777" w:rsidR="00420970" w:rsidRDefault="00420970" w:rsidP="00420970">
      <w:pPr>
        <w:spacing w:line="240" w:lineRule="auto"/>
        <w:rPr>
          <w:rFonts w:ascii="Times New Roman" w:eastAsia="Times New Roman" w:hAnsi="Times New Roman" w:cs="Times New Roman"/>
          <w:sz w:val="24"/>
          <w:szCs w:val="24"/>
        </w:rPr>
      </w:pPr>
    </w:p>
    <w:p w14:paraId="551E7B3C"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navigating the “</w:t>
      </w:r>
      <w:proofErr w:type="gramStart"/>
      <w:r>
        <w:rPr>
          <w:rFonts w:ascii="Times New Roman" w:eastAsia="Times New Roman" w:hAnsi="Times New Roman" w:cs="Times New Roman"/>
          <w:sz w:val="24"/>
          <w:szCs w:val="24"/>
        </w:rPr>
        <w:t>zig-zags</w:t>
      </w:r>
      <w:proofErr w:type="gramEnd"/>
      <w:r>
        <w:rPr>
          <w:rFonts w:ascii="Times New Roman" w:eastAsia="Times New Roman" w:hAnsi="Times New Roman" w:cs="Times New Roman"/>
          <w:sz w:val="24"/>
          <w:szCs w:val="24"/>
        </w:rPr>
        <w:t xml:space="preserve">,” many parents perceived their role as “question-askers,” particularly when children expressed interest in physically demanding or high-risk careers, such as electrical line work. Ashley, Jayma, Cindy, and Jon voiced concern about safety, worried about their child’s well-being. Similarly, Elsa shared, “I help and guide him with the whole process of answering questions like, ‘Is this really where I want to go to school?’ or ‘Is this what I want to do?’” This may be easier said than done at times. Ashley shared, “It’s tough to know </w:t>
      </w:r>
      <w:r>
        <w:rPr>
          <w:rFonts w:ascii="Times New Roman" w:eastAsia="Times New Roman" w:hAnsi="Times New Roman" w:cs="Times New Roman"/>
          <w:sz w:val="24"/>
          <w:szCs w:val="24"/>
        </w:rPr>
        <w:lastRenderedPageBreak/>
        <w:t xml:space="preserve">how much you should push, and how much do you just say, ‘Okay, if that’s what you’re choosing, go for it, and we’ll help you figure something out later if that isn’t what actually fits you.’” Some parents also highlighted the importance of having their children take ownership of their decision-making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build independence and exercise autonomy. Thomas shared, “We want him to show some independence, and to be driven by an awareness of his own gifts, his own skill set—the desires of his heart.” Similarly, Sally added, “I have found little success in telling the answer, but success in asking the leading questions. My job is to lead them to the actual truth of what their abilities are and what their skills are.” Through making an intentional effort to ask questions, parents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guide their children to reaching their destination.</w:t>
      </w:r>
    </w:p>
    <w:p w14:paraId="0D6A9A28" w14:textId="77777777" w:rsidR="00420970" w:rsidRDefault="00420970" w:rsidP="00420970">
      <w:pPr>
        <w:spacing w:line="240" w:lineRule="auto"/>
        <w:rPr>
          <w:rFonts w:ascii="Times New Roman" w:eastAsia="Times New Roman" w:hAnsi="Times New Roman" w:cs="Times New Roman"/>
          <w:sz w:val="24"/>
          <w:szCs w:val="24"/>
        </w:rPr>
      </w:pPr>
    </w:p>
    <w:p w14:paraId="4DA8BB3C"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Taken together, this theme suggests that parental encouragement is enacted through supportive guidance rather than directive control, with parents intentionally fostering autonomy by asking questions, establishing structure, and empowering children to make their own post-secondary and career decisions.</w:t>
      </w:r>
    </w:p>
    <w:p w14:paraId="5D23CA4E" w14:textId="77777777" w:rsidR="00420970" w:rsidRDefault="00420970" w:rsidP="00420970">
      <w:pPr>
        <w:spacing w:line="240" w:lineRule="auto"/>
        <w:rPr>
          <w:rFonts w:ascii="Times New Roman" w:eastAsia="Times New Roman" w:hAnsi="Times New Roman" w:cs="Times New Roman"/>
          <w:b/>
          <w:bCs/>
          <w:sz w:val="24"/>
          <w:szCs w:val="24"/>
        </w:rPr>
      </w:pPr>
    </w:p>
    <w:p w14:paraId="4115068D"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#2: Selecting the Right Vehicle</w:t>
      </w:r>
      <w:proofErr w:type="gramStart"/>
      <w:r>
        <w:rPr>
          <w:rFonts w:ascii="Times New Roman" w:eastAsia="Times New Roman" w:hAnsi="Times New Roman" w:cs="Times New Roman"/>
          <w:b/>
          <w:bCs/>
          <w:sz w:val="24"/>
          <w:szCs w:val="24"/>
        </w:rPr>
        <w:t>—“</w:t>
      </w:r>
      <w:proofErr w:type="gramEnd"/>
      <w:r>
        <w:rPr>
          <w:rFonts w:ascii="Times New Roman" w:eastAsia="Times New Roman" w:hAnsi="Times New Roman" w:cs="Times New Roman"/>
          <w:b/>
          <w:bCs/>
          <w:sz w:val="24"/>
          <w:szCs w:val="24"/>
        </w:rPr>
        <w:t>It Depends”</w:t>
      </w:r>
    </w:p>
    <w:p w14:paraId="5EA91E7F"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phrase “it depends” was uttered repeatedly; just as there is no one-size-fits-all vehicle when learning to drive, there is no universal path for career selection and post-secondary training. Parents expressed that the right path for their child depends on their goals, interests, and needs. Lifestyle preferences, such as desired salary and work schedule, were noted by Sally, Patti, and Tiffany as key considerations of their children. Patti commented, “My kids want to make a lot of money. I get the impression they’re picking careers based on financial reward, which I guess is a typical thing to do when you’re that age.” On the other hand, Emily and Lillian noted their children’s desire to help others through service-oriented professions. Further, Sally highlighted efforts to identify the realities of certain careers; “As I lead them to their actual truth (of their abilities and skills are), I’m like, well, if you’re going to be an entrepreneur, you need to consider the habit you have of not getting up until 11 a.m.” Ultimately, a best fit depends on a driver’s preferences and purpose—whether it is just to get from point A to point B, to maximize fuel efficiency, or to haul trailers. Similarly, this theme highlights that the best fit for a training and education depends on the kid and their intended trade.</w:t>
      </w:r>
    </w:p>
    <w:p w14:paraId="1903CEB9" w14:textId="77777777" w:rsidR="00420970" w:rsidRDefault="00420970" w:rsidP="00420970">
      <w:pPr>
        <w:spacing w:line="240" w:lineRule="auto"/>
        <w:rPr>
          <w:rFonts w:ascii="Times New Roman" w:eastAsia="Times New Roman" w:hAnsi="Times New Roman" w:cs="Times New Roman"/>
          <w:sz w:val="24"/>
          <w:szCs w:val="24"/>
        </w:rPr>
      </w:pPr>
    </w:p>
    <w:p w14:paraId="421E47DA" w14:textId="77777777" w:rsidR="00420970" w:rsidRDefault="00420970" w:rsidP="0042097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Subtheme #1: It Depends on the Kid</w:t>
      </w:r>
    </w:p>
    <w:p w14:paraId="1EB75C53"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child has different needs, interests, and backgrounds. All participants emphasized the importance of supporting their child in pursuing training opportunities aligned with their interests. When speaking about her child, Lillian highlighted, “It really just comes down to supporting whatever she likes.” Parents noted there were a variety of tools and strategies that could be used to aid in this exploration and discovery process for determining what training opportunities are best with them. Karen placed great emphasis on college visits, much like taking a vehicle for a test drive. Others, including Jodi and Sally, prioritized hands-on experiences such as internships, career exploration camps, or worksite visits—allowing their children to explore career opportunities first and consider college options later. Caitlin highlighted, “I think experiences can be just as valuable as education; it helps to inform folks, it gives them an exposure to the world of work, and how folks get to that place where they want to go.”</w:t>
      </w:r>
    </w:p>
    <w:p w14:paraId="7B5DA5BB" w14:textId="77777777" w:rsidR="00420970" w:rsidRDefault="00420970" w:rsidP="00420970">
      <w:pPr>
        <w:spacing w:line="240" w:lineRule="auto"/>
        <w:rPr>
          <w:rFonts w:ascii="Times New Roman" w:eastAsia="Times New Roman" w:hAnsi="Times New Roman" w:cs="Times New Roman"/>
          <w:sz w:val="24"/>
          <w:szCs w:val="24"/>
        </w:rPr>
      </w:pPr>
    </w:p>
    <w:p w14:paraId="52ABDF02"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varied approaches, all recognized the value of education of some sort. Tori described the profound social growth that can happen through additional training, while Cindy added, “It’s </w:t>
      </w:r>
      <w:r>
        <w:rPr>
          <w:rFonts w:ascii="Times New Roman" w:eastAsia="Times New Roman" w:hAnsi="Times New Roman" w:cs="Times New Roman"/>
          <w:sz w:val="24"/>
          <w:szCs w:val="24"/>
        </w:rPr>
        <w:lastRenderedPageBreak/>
        <w:t>important to challenge your brain and your mind to new relationships and new experiences. By leaving and going to a place to learn, I just think it helps a human being grow.” However, parents also emphasized that post-secondary training does not always require a 2- or 4-year program. Anna mentioned, “Depending on what a child is wanting to focus on, there’s lots of pathways to get to where they want to go. Is college necessarily the right pathway for everybody? I don’t think so, there’s other ways to get there.” That’s not to say that students should be limited to exploring their initial area of interest. When reflecting on career exploration opportunities for her child, Sally shared, “The places that you go and the spaces that you learn in are really important… you grow when you’re uncomfortable, and you need to get outside what you’re used to to be uncomfortable.”</w:t>
      </w:r>
    </w:p>
    <w:p w14:paraId="2697351B" w14:textId="77777777" w:rsidR="00420970" w:rsidRDefault="00420970" w:rsidP="00420970">
      <w:pPr>
        <w:spacing w:line="240" w:lineRule="auto"/>
        <w:rPr>
          <w:rFonts w:ascii="Times New Roman" w:eastAsia="Times New Roman" w:hAnsi="Times New Roman" w:cs="Times New Roman"/>
          <w:sz w:val="24"/>
          <w:szCs w:val="24"/>
        </w:rPr>
      </w:pPr>
    </w:p>
    <w:p w14:paraId="11DD1D6F" w14:textId="77777777" w:rsidR="00420970" w:rsidRDefault="00420970" w:rsidP="0042097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Subtheme #2: It Depends on the Trade or Career</w:t>
      </w:r>
    </w:p>
    <w:p w14:paraId="6ABEEFE2"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Parents noted that the need for training depends largely on the type of trade or career a child chooses. Emily commented that as the career landscape changes, so does the training </w:t>
      </w:r>
      <w:proofErr w:type="gramStart"/>
      <w:r>
        <w:rPr>
          <w:rFonts w:ascii="Times New Roman" w:eastAsia="Times New Roman" w:hAnsi="Times New Roman" w:cs="Times New Roman"/>
          <w:sz w:val="24"/>
          <w:szCs w:val="24"/>
        </w:rPr>
        <w:t>needed,“</w:t>
      </w:r>
      <w:proofErr w:type="gramEnd"/>
      <w:r>
        <w:rPr>
          <w:rFonts w:ascii="Times New Roman" w:eastAsia="Times New Roman" w:hAnsi="Times New Roman" w:cs="Times New Roman"/>
          <w:sz w:val="24"/>
          <w:szCs w:val="24"/>
        </w:rPr>
        <w:t xml:space="preserve">I’d say from a level of even a certification at a community college, all the way up to a master’s or doctorate degree. It’s a very wide range, but education’s so important.” Similarly, Jodi noted, “I think it’s dependent on the career, but I would say, even a 2-year trade school [would be appropriate] so that you have some idea what you’re doing.” Bill spoke of his son’s interest in </w:t>
      </w:r>
      <w:proofErr w:type="gramStart"/>
      <w:r>
        <w:rPr>
          <w:rFonts w:ascii="Times New Roman" w:eastAsia="Times New Roman" w:hAnsi="Times New Roman" w:cs="Times New Roman"/>
          <w:sz w:val="24"/>
          <w:szCs w:val="24"/>
        </w:rPr>
        <w:t>culinary, and</w:t>
      </w:r>
      <w:proofErr w:type="gramEnd"/>
      <w:r>
        <w:rPr>
          <w:rFonts w:ascii="Times New Roman" w:eastAsia="Times New Roman" w:hAnsi="Times New Roman" w:cs="Times New Roman"/>
          <w:sz w:val="24"/>
          <w:szCs w:val="24"/>
        </w:rPr>
        <w:t xml:space="preserve"> expressed concern that a 4-year program might result in unnecessary debt. He encouraged his son to consider other training opportunities: “For some careers, skills taught in a hands-on trades program are just as relevant and beneficial to our society as a 4-year degree.” Jayma also reflected that even in her current role, she sometimes questions the return on investment of her own 4-year degree, “I had a lot of student debt, and classes that I took that I just needed to </w:t>
      </w:r>
      <w:proofErr w:type="gramStart"/>
      <w:r>
        <w:rPr>
          <w:rFonts w:ascii="Times New Roman" w:eastAsia="Times New Roman" w:hAnsi="Times New Roman" w:cs="Times New Roman"/>
          <w:sz w:val="24"/>
          <w:szCs w:val="24"/>
        </w:rPr>
        <w:t>take, but</w:t>
      </w:r>
      <w:proofErr w:type="gramEnd"/>
      <w:r>
        <w:rPr>
          <w:rFonts w:ascii="Times New Roman" w:eastAsia="Times New Roman" w:hAnsi="Times New Roman" w:cs="Times New Roman"/>
          <w:sz w:val="24"/>
          <w:szCs w:val="24"/>
        </w:rPr>
        <w:t xml:space="preserve"> weren’t related to my career.” Regardless of the level of education an individual pursues, Emily noted the value of personal growth, however acknowledged that affordability can be a challenge.</w:t>
      </w:r>
    </w:p>
    <w:p w14:paraId="3A0592A9" w14:textId="77777777" w:rsidR="00420970" w:rsidRDefault="00420970" w:rsidP="00420970">
      <w:pPr>
        <w:spacing w:line="240" w:lineRule="auto"/>
        <w:rPr>
          <w:rFonts w:ascii="Times New Roman" w:eastAsia="Times New Roman" w:hAnsi="Times New Roman" w:cs="Times New Roman"/>
          <w:sz w:val="24"/>
          <w:szCs w:val="24"/>
        </w:rPr>
      </w:pPr>
    </w:p>
    <w:p w14:paraId="02D823E8"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this theme reveals that parental encouragement is highly conditional and adaptive, shaped by parents’ assessments of individual child fit, lifestyle goals, and the perceived demands, costs, and returns associated with specific careers or training pathways.</w:t>
      </w:r>
    </w:p>
    <w:p w14:paraId="38E62BD6" w14:textId="77777777" w:rsidR="00420970" w:rsidRDefault="00420970" w:rsidP="00420970">
      <w:pPr>
        <w:spacing w:line="240" w:lineRule="auto"/>
        <w:rPr>
          <w:rFonts w:ascii="Times New Roman" w:eastAsia="Times New Roman" w:hAnsi="Times New Roman" w:cs="Times New Roman"/>
          <w:sz w:val="24"/>
          <w:szCs w:val="24"/>
        </w:rPr>
      </w:pPr>
    </w:p>
    <w:p w14:paraId="712C7F31"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#3: Scarce Fuel, Time, and Knowledge—Limited Resources Limit Exploration</w:t>
      </w:r>
    </w:p>
    <w:p w14:paraId="53187276"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to drive requires several inputs from both children and parents, including fuel, time to practice their driving skills, and an understanding of the rules of the road. Similarly, participants described limited resources that hinder their ability to support their children in exploring careers, including limited parental knowledge of, or exposure to, certain career areas and limited school- and community-based resources. Parents were able to reflect on their lived experiences and what they know, but given a lack of awareness of some areas, including AFNR, it made it difficult for them to promote AFNR and related training opportunities to their children. This theme explores how limited knowledge and experiences influence exploration opportunities for children, specifically conflicting parent knowledge and exposure to AFNR and post-secondary opportunities, and scarce community and school resources.</w:t>
      </w:r>
    </w:p>
    <w:p w14:paraId="6BEBF5DA" w14:textId="77777777" w:rsidR="00420970" w:rsidRDefault="00420970" w:rsidP="00420970">
      <w:pPr>
        <w:spacing w:line="240" w:lineRule="auto"/>
        <w:rPr>
          <w:rFonts w:ascii="Times New Roman" w:eastAsia="Times New Roman" w:hAnsi="Times New Roman" w:cs="Times New Roman"/>
          <w:sz w:val="24"/>
          <w:szCs w:val="24"/>
        </w:rPr>
      </w:pPr>
    </w:p>
    <w:p w14:paraId="564395FE" w14:textId="77777777" w:rsidR="00420970" w:rsidRDefault="00420970" w:rsidP="0042097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Subtheme #1: Conflicting Parent Knowledge and Exposure to AFNR </w:t>
      </w:r>
    </w:p>
    <w:p w14:paraId="79DE1D64"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living in predominantly rural areas, parents reported conflicting first-hand experience with AFNR. Thomas suggested that familial involvement in production agriculture prompted </w:t>
      </w:r>
      <w:r>
        <w:rPr>
          <w:rFonts w:ascii="Times New Roman" w:eastAsia="Times New Roman" w:hAnsi="Times New Roman" w:cs="Times New Roman"/>
          <w:sz w:val="24"/>
          <w:szCs w:val="24"/>
        </w:rPr>
        <w:lastRenderedPageBreak/>
        <w:t>apprehension about pursuing AFNR careers, while Patti indicated her farm upbringing made her more supportive of AFNR careers for her child. Others spoke as though agriculture and farming were synonymous, suggesting a narrow perspective of AFNR and a lack of understanding of opportunities available to their children within the industry. Although Paige commented about being surrounded by agriculture, “living in the middle of farm fields,” Emily shared that “...when it comes to agriculture, it’s not in our face enough. I feel like there’s a lack of awareness of how intertwined agriculture is to our day-to-day life.” This was exemplified by both Bill and Karen, who initially did not recognize their child’s culinary interests as connected to AFNR. If parents lack the knowledge of AFNR, it is difficult for them to promote career and training opportunities related to the field.</w:t>
      </w:r>
    </w:p>
    <w:p w14:paraId="591A89A6" w14:textId="77777777" w:rsidR="00420970" w:rsidRDefault="00420970" w:rsidP="00420970">
      <w:pPr>
        <w:spacing w:line="240" w:lineRule="auto"/>
        <w:rPr>
          <w:rFonts w:ascii="Times New Roman" w:eastAsia="Times New Roman" w:hAnsi="Times New Roman" w:cs="Times New Roman"/>
          <w:sz w:val="24"/>
          <w:szCs w:val="24"/>
        </w:rPr>
      </w:pPr>
    </w:p>
    <w:p w14:paraId="6A1F9CF7"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Subtheme #2: Limited Parent Knowledge and Exposure to Post-Secondary Opportunities</w:t>
      </w:r>
    </w:p>
    <w:p w14:paraId="59D58CA4"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limited experience also contributed to a general lack of knowledge of post-secondary opportunities, and AFNR </w:t>
      </w:r>
      <w:proofErr w:type="gramStart"/>
      <w:r>
        <w:rPr>
          <w:rFonts w:ascii="Times New Roman" w:eastAsia="Times New Roman" w:hAnsi="Times New Roman" w:cs="Times New Roman"/>
          <w:sz w:val="24"/>
          <w:szCs w:val="24"/>
        </w:rPr>
        <w:t>careers as a whole</w:t>
      </w:r>
      <w:proofErr w:type="gramEnd"/>
      <w:r>
        <w:rPr>
          <w:rFonts w:ascii="Times New Roman" w:eastAsia="Times New Roman" w:hAnsi="Times New Roman" w:cs="Times New Roman"/>
          <w:sz w:val="24"/>
          <w:szCs w:val="24"/>
        </w:rPr>
        <w:t xml:space="preserve">. Caitlin acknowledged that as a first-generation college student, she possessed limited knowledge on post-secondary opportunities in </w:t>
      </w:r>
      <w:proofErr w:type="gramStart"/>
      <w:r>
        <w:rPr>
          <w:rFonts w:ascii="Times New Roman" w:eastAsia="Times New Roman" w:hAnsi="Times New Roman" w:cs="Times New Roman"/>
          <w:sz w:val="24"/>
          <w:szCs w:val="24"/>
        </w:rPr>
        <w:t>general, and</w:t>
      </w:r>
      <w:proofErr w:type="gramEnd"/>
      <w:r>
        <w:rPr>
          <w:rFonts w:ascii="Times New Roman" w:eastAsia="Times New Roman" w:hAnsi="Times New Roman" w:cs="Times New Roman"/>
          <w:sz w:val="24"/>
          <w:szCs w:val="24"/>
        </w:rPr>
        <w:t xml:space="preserve"> attributed to AFNR specifically. Others expressed that understanding could be enhanced through more intentional efforts to engage parents as their children are learning about careers in school and in the community. Jon commented on the value of engaging parents in career or college fair experiences alongside their children. While some children may not recognize the value of such events, parental involvement would enable parents to have a greater understanding of opportunities available and potentially contribute to important conversations at home. Alice mentioned the impact of targeted and varied strategic outreach to parents and families. She highlighted, “Whether it is an email, a letter, an evening presentation, or a video, getting the parents involved would help us support our children a lot more.” Ultimately, participants suggested that parental engagement, whether through formal events and experiences or by being more informed through direct communication, would enable them to have a greater understanding of and ability to guide their children in identifying post-secondary training opportunities.</w:t>
      </w:r>
    </w:p>
    <w:p w14:paraId="70815268" w14:textId="77777777" w:rsidR="00420970" w:rsidRDefault="00420970" w:rsidP="00420970">
      <w:pPr>
        <w:spacing w:line="240" w:lineRule="auto"/>
        <w:rPr>
          <w:rFonts w:ascii="Times New Roman" w:eastAsia="Times New Roman" w:hAnsi="Times New Roman" w:cs="Times New Roman"/>
          <w:sz w:val="24"/>
          <w:szCs w:val="24"/>
        </w:rPr>
      </w:pPr>
    </w:p>
    <w:p w14:paraId="2C435006" w14:textId="77777777" w:rsidR="00420970" w:rsidRDefault="00420970" w:rsidP="0042097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Subtheme #3: Scarce School and Community Resources</w:t>
      </w:r>
    </w:p>
    <w:p w14:paraId="2D61D3C4"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budget reductions affecting many schools, the resources available to students and their families are becoming increasingly scarce. Alice shared frustration about her daughter’s school lacking a dedicated counselor, “A lot of our rural schools don’t have a counselor; they have a college-readiness coordinator, who does counselor responsibilities. You can only do so much; you want to touch every student, </w:t>
      </w:r>
      <w:proofErr w:type="gramStart"/>
      <w:r>
        <w:rPr>
          <w:rFonts w:ascii="Times New Roman" w:eastAsia="Times New Roman" w:hAnsi="Times New Roman" w:cs="Times New Roman"/>
          <w:sz w:val="24"/>
          <w:szCs w:val="24"/>
        </w:rPr>
        <w:t>but in reality, it all</w:t>
      </w:r>
      <w:proofErr w:type="gramEnd"/>
      <w:r>
        <w:rPr>
          <w:rFonts w:ascii="Times New Roman" w:eastAsia="Times New Roman" w:hAnsi="Times New Roman" w:cs="Times New Roman"/>
          <w:sz w:val="24"/>
          <w:szCs w:val="24"/>
        </w:rPr>
        <w:t xml:space="preserve"> depends on the school.” Jasmine, Elsa, and Karen also noted that many career assessments used by schools are outdated, misaligned with current workforce needs, or fail to identify students’ best opportunities. Karen shared that her daughter took a career assessment the school offered, and recalled, “My daughter was told she should go be a probationary officer. I’m like, are you kidding me? You can barely talk to people!” Several parents, including Alice and Ashley, emphasized the need for schools to initiate conversations about post-graduation planning much sooner than what is currently happening. They believed the lack of timely and relevant resources contributes to their uncertainty and limits their ability to guide their children.</w:t>
      </w:r>
    </w:p>
    <w:p w14:paraId="1D05DB06" w14:textId="77777777" w:rsidR="00420970" w:rsidRDefault="00420970" w:rsidP="00420970">
      <w:pPr>
        <w:spacing w:line="240" w:lineRule="auto"/>
        <w:rPr>
          <w:rFonts w:ascii="Times New Roman" w:eastAsia="Times New Roman" w:hAnsi="Times New Roman" w:cs="Times New Roman"/>
          <w:sz w:val="24"/>
          <w:szCs w:val="24"/>
        </w:rPr>
      </w:pPr>
    </w:p>
    <w:p w14:paraId="04B04056"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funding for school resources and staff capacity may be limiting factors for some areas, Holly and Jasmine shared these opportunities are also limited in the community, specifically in </w:t>
      </w:r>
      <w:r>
        <w:rPr>
          <w:rFonts w:ascii="Times New Roman" w:eastAsia="Times New Roman" w:hAnsi="Times New Roman" w:cs="Times New Roman"/>
          <w:sz w:val="24"/>
          <w:szCs w:val="24"/>
        </w:rPr>
        <w:lastRenderedPageBreak/>
        <w:t>promoting agricultural careers. Jon elaborated, saying, “Formal experiences can give you a jump start, but really, it’s about your desire to learn. I’m a big believer that the best learning I’ve had has been from non-formal experiences.” To address the scarce resources and reach a wide audience, some parents, including Thomas, Jasmine, Patti, and Alice suggested some community-wide learning experiences which may be beneficial include literacy events, social media, industry-based career fairs, and partnerships with Extension and other organizations.</w:t>
      </w:r>
    </w:p>
    <w:p w14:paraId="78A0DDD5" w14:textId="77777777" w:rsidR="00420970" w:rsidRDefault="00420970" w:rsidP="00420970">
      <w:pPr>
        <w:spacing w:line="240" w:lineRule="auto"/>
        <w:rPr>
          <w:rFonts w:ascii="Times New Roman" w:eastAsia="Times New Roman" w:hAnsi="Times New Roman" w:cs="Times New Roman"/>
          <w:sz w:val="24"/>
          <w:szCs w:val="24"/>
        </w:rPr>
      </w:pPr>
    </w:p>
    <w:p w14:paraId="4E6B363B"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Collectively, this theme demonstrates that parents’ ability to actively encourage career exploration—particularly within AFNR—is constrained by limited knowledge, time, and access to school- and community-based resources, which can reduce confidence in guiding post-secondary decision-making.</w:t>
      </w:r>
    </w:p>
    <w:p w14:paraId="020C4709" w14:textId="77777777" w:rsidR="00420970" w:rsidRDefault="00420970" w:rsidP="00420970">
      <w:pPr>
        <w:spacing w:line="240" w:lineRule="auto"/>
        <w:rPr>
          <w:rFonts w:ascii="Times New Roman" w:eastAsia="Times New Roman" w:hAnsi="Times New Roman" w:cs="Times New Roman"/>
          <w:sz w:val="24"/>
          <w:szCs w:val="24"/>
        </w:rPr>
      </w:pPr>
    </w:p>
    <w:p w14:paraId="2C0DD054"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 and Recommendations</w:t>
      </w:r>
    </w:p>
    <w:p w14:paraId="28FDF8DE" w14:textId="77777777" w:rsidR="00420970" w:rsidRDefault="00420970" w:rsidP="00420970">
      <w:pPr>
        <w:spacing w:line="240" w:lineRule="auto"/>
        <w:rPr>
          <w:rFonts w:ascii="Times New Roman" w:eastAsia="Times New Roman" w:hAnsi="Times New Roman" w:cs="Times New Roman"/>
          <w:sz w:val="24"/>
          <w:szCs w:val="24"/>
        </w:rPr>
      </w:pPr>
    </w:p>
    <w:p w14:paraId="324118AB"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explore factors that influence parental encouragement of AFNR-related education and careers. The conclusions and recommendations presented are grounded in the findings, supported by the theoretical framework (Ajzen, 1991), and reinforced by existing literature. We acknowledge that a limited participant sample size, most of whom were female, and the fact that all participants currently maintain service-oriented professions, as key limitations of this study. We also acknowledge this study is not generalizable to the entire state, as it was conducted within a rural context in a specific regional area of [STATE]. Findings should be interpreted with these limitations in mind and inform future directions of this research.</w:t>
      </w:r>
    </w:p>
    <w:p w14:paraId="065C1E8F" w14:textId="77777777" w:rsidR="00420970" w:rsidRDefault="00420970" w:rsidP="00420970">
      <w:pPr>
        <w:spacing w:line="240" w:lineRule="auto"/>
        <w:rPr>
          <w:rFonts w:ascii="Times New Roman" w:eastAsia="Times New Roman" w:hAnsi="Times New Roman" w:cs="Times New Roman"/>
          <w:sz w:val="24"/>
          <w:szCs w:val="24"/>
        </w:rPr>
      </w:pPr>
    </w:p>
    <w:p w14:paraId="170CFD8A"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Across themes, parents generally expressed positive attitudes towards education and training—including AFNR—</w:t>
      </w:r>
      <w:proofErr w:type="gramStart"/>
      <w:r>
        <w:rPr>
          <w:rFonts w:ascii="Times New Roman" w:eastAsia="Times New Roman" w:hAnsi="Times New Roman" w:cs="Times New Roman"/>
          <w:sz w:val="24"/>
          <w:szCs w:val="24"/>
        </w:rPr>
        <w:t>yet,</w:t>
      </w:r>
      <w:proofErr w:type="gramEnd"/>
      <w:r>
        <w:rPr>
          <w:rFonts w:ascii="Times New Roman" w:eastAsia="Times New Roman" w:hAnsi="Times New Roman" w:cs="Times New Roman"/>
          <w:sz w:val="24"/>
          <w:szCs w:val="24"/>
        </w:rPr>
        <w:t xml:space="preserve"> their ability to actively support exploration was sometimes constrained by limited time, their limited knowledge of AFNR and postsecondary pathways, and scarce school and community resources. Findings suggest a tension between parental awareness or lived experiences and their child’s ability to navigate their career exploration journey. Relying primarily on their own lived post-secondary and career experiences, while parents desire what is best for their children, how can they successfully guide their child on a journey they themselves have never been on? Applying the Theory of Planned Behavior (Azjen, 1991), parents’ behaviors appear to be shaped by their generally positive attitudes, as well as subjective norms (e.g., perceived expectations related to safety, salary, and status of occupations) and perceived behavioral controls (e.g., parents’ confidence and ability to access career and post-secondary information, identify opportunities, and engage in guiding conversations with their children). </w:t>
      </w:r>
    </w:p>
    <w:p w14:paraId="68674357" w14:textId="77777777" w:rsidR="00420970" w:rsidRDefault="00420970" w:rsidP="00420970">
      <w:pPr>
        <w:spacing w:line="240" w:lineRule="auto"/>
        <w:rPr>
          <w:rFonts w:ascii="Times New Roman" w:eastAsia="Times New Roman" w:hAnsi="Times New Roman" w:cs="Times New Roman"/>
          <w:sz w:val="24"/>
          <w:szCs w:val="24"/>
        </w:rPr>
      </w:pPr>
    </w:p>
    <w:p w14:paraId="5C8F40E3"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Conclusions for RQ 1: </w:t>
      </w:r>
      <w:proofErr w:type="gramStart"/>
      <w:r>
        <w:rPr>
          <w:rFonts w:ascii="Times New Roman" w:eastAsia="Times New Roman" w:hAnsi="Times New Roman" w:cs="Times New Roman"/>
          <w:b/>
          <w:bCs/>
          <w:sz w:val="24"/>
          <w:szCs w:val="24"/>
        </w:rPr>
        <w:t>Parents’</w:t>
      </w:r>
      <w:proofErr w:type="gramEnd"/>
      <w:r>
        <w:rPr>
          <w:rFonts w:ascii="Times New Roman" w:eastAsia="Times New Roman" w:hAnsi="Times New Roman" w:cs="Times New Roman"/>
          <w:b/>
          <w:bCs/>
          <w:sz w:val="24"/>
          <w:szCs w:val="24"/>
        </w:rPr>
        <w:t xml:space="preserve"> perceived roles in helping children navigate planning</w:t>
      </w:r>
    </w:p>
    <w:p w14:paraId="7EB92DF6"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Parents recognized they ought to have an active, but not controlling, role in helping their children navigate challenging career planning decisions (Zhang et al., 2022). Moreover, as supported by the literature, parents recognized that their involvement </w:t>
      </w:r>
      <w:proofErr w:type="gramStart"/>
      <w:r>
        <w:rPr>
          <w:rFonts w:ascii="Times New Roman" w:eastAsia="Times New Roman" w:hAnsi="Times New Roman" w:cs="Times New Roman"/>
          <w:sz w:val="24"/>
          <w:szCs w:val="24"/>
        </w:rPr>
        <w:t>can</w:t>
      </w:r>
      <w:proofErr w:type="gramEnd"/>
      <w:r>
        <w:rPr>
          <w:rFonts w:ascii="Times New Roman" w:eastAsia="Times New Roman" w:hAnsi="Times New Roman" w:cs="Times New Roman"/>
          <w:sz w:val="24"/>
          <w:szCs w:val="24"/>
        </w:rPr>
        <w:t xml:space="preserve"> have an influence on the decisions their children ultimately pursue (Akosah-Twumasi et al., 2018; Keller &amp; Whiston, 2008; Mat Taib et al., 2019; Puad et al., 2023). However, parents emphasized their desire to ensure their children were ultimately in the “driver’s seat” and making decisions, thereby building their self-efficacy (Ginevra et al., 2015). They largely perceived themselves as “guardrails,” or supportive figures, who ask tough questions, help establish timelines or “mile markers,” and provide encouragement while avoiding making decisions or pushing their own agendas.</w:t>
      </w:r>
    </w:p>
    <w:p w14:paraId="21252CFB"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Conclusions for RQ 2: Factors influencing post-secondary planning</w:t>
      </w:r>
    </w:p>
    <w:p w14:paraId="2A3B6157"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Parents’ guidance was influenced by child-centered considerations (e.g., interests, strengths, lifestyle goals; Gu &amp; Zhu, 2023), pathway considerations (e.g., cost, return on investment, and safety; Consentino et al., 2023; Nandi et al., 2022), and contextual factors (e.g., availability and quality of school counseling and career resources and local exposure opportunities; Gottfredson, 2005). Parents recognized a need for earlier, clearer, and more accessible resources to support informed family conversations about post-secondary planning. In general, parents were open to multiple post-secondary routes (e.g., workforce, military, technical education, or college) and confident about the value of post-secondary training, for both skill development and personal and social growth. While the predominance of service-oriented professions represented within this sample may have influenced how parents described work values and aspirations (Ajzen, 1991), a consistent finding across participants was the importance of access to relevant college and career information and exposure.</w:t>
      </w:r>
    </w:p>
    <w:p w14:paraId="43121D5F" w14:textId="77777777" w:rsidR="00420970" w:rsidRDefault="00420970" w:rsidP="00420970">
      <w:pPr>
        <w:spacing w:line="240" w:lineRule="auto"/>
        <w:rPr>
          <w:rFonts w:ascii="Times New Roman" w:eastAsia="Times New Roman" w:hAnsi="Times New Roman" w:cs="Times New Roman"/>
          <w:sz w:val="24"/>
          <w:szCs w:val="24"/>
        </w:rPr>
      </w:pPr>
    </w:p>
    <w:p w14:paraId="28FDAC64"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Conclusions for RQ3: Factors contributing to parents’ encouragement of AFNR careers</w:t>
      </w:r>
    </w:p>
    <w:p w14:paraId="26CB3ADE"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parents acknowledged that they had limited direct engagement with AFNR (Frick et al., 1995), and in some cases, held narrow definitions of AFNR that centered primarily on production agriculture, which influenced their perceived behavioral control (Ajzen, 1991). Despite this, parents generally maintained positive attitudes toward AFNR careers (Ajzen, 1991); however, encouragement was often conditional and depended on the perceived fit for the child and viability of the pathway (Ginevra et al., 2015). Parents were more likely to support AFNR exploration when they understood the diversity of AFNR career opportunities and could envision safe, stable, and accessible pathways to job placement (USDA Economic Research Service, 2024). Limited awareness of AFNR beyond farming or limited knowledge of postsecondary options often reduced </w:t>
      </w:r>
      <w:proofErr w:type="gramStart"/>
      <w:r>
        <w:rPr>
          <w:rFonts w:ascii="Times New Roman" w:eastAsia="Times New Roman" w:hAnsi="Times New Roman" w:cs="Times New Roman"/>
          <w:sz w:val="24"/>
          <w:szCs w:val="24"/>
        </w:rPr>
        <w:t>parents’</w:t>
      </w:r>
      <w:proofErr w:type="gramEnd"/>
      <w:r>
        <w:rPr>
          <w:rFonts w:ascii="Times New Roman" w:eastAsia="Times New Roman" w:hAnsi="Times New Roman" w:cs="Times New Roman"/>
          <w:sz w:val="24"/>
          <w:szCs w:val="24"/>
        </w:rPr>
        <w:t xml:space="preserve"> perceived behavioral control (Ajzen, 1991). However, at the end of the day, parents emphasized the importance of helping their children find pathways aligned with their interests and passions.</w:t>
      </w:r>
    </w:p>
    <w:p w14:paraId="5D9E1583" w14:textId="77777777" w:rsidR="00420970" w:rsidRDefault="00420970" w:rsidP="00420970">
      <w:pPr>
        <w:spacing w:line="240" w:lineRule="auto"/>
        <w:rPr>
          <w:rFonts w:ascii="Times New Roman" w:eastAsia="Times New Roman" w:hAnsi="Times New Roman" w:cs="Times New Roman"/>
          <w:sz w:val="24"/>
          <w:szCs w:val="24"/>
        </w:rPr>
      </w:pPr>
    </w:p>
    <w:p w14:paraId="14AC2BA4" w14:textId="77777777" w:rsidR="00420970" w:rsidRDefault="00420970" w:rsidP="0042097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Recommendations for Research and Professional Practice</w:t>
      </w:r>
    </w:p>
    <w:p w14:paraId="2C12FF62"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recommendations have surfaced from this study. From a research perspective, future studies should include a larger, more diverse sample, with intentional representation of fathers, a wider range of occupational backgrounds, and varied geographic locations. Perhaps recruitment at diverse school/community events, interviewing both parents at the same time, or conducting parent and student interviews could enhance findings. Furthermore, to more fully leverage the Theory of Planned Behavior (Ajzen, 1991), a mixed-methods approach could be used to explore which factors best predict parental encouragement behaviors.</w:t>
      </w:r>
    </w:p>
    <w:p w14:paraId="6FDC0D0B" w14:textId="77777777" w:rsidR="00420970" w:rsidRDefault="00420970" w:rsidP="00420970">
      <w:pPr>
        <w:spacing w:line="240" w:lineRule="auto"/>
        <w:rPr>
          <w:rFonts w:ascii="Times New Roman" w:eastAsia="Times New Roman" w:hAnsi="Times New Roman" w:cs="Times New Roman"/>
          <w:sz w:val="24"/>
          <w:szCs w:val="24"/>
        </w:rPr>
      </w:pPr>
    </w:p>
    <w:p w14:paraId="67ED52E8" w14:textId="77777777" w:rsidR="00420970" w:rsidRDefault="00420970" w:rsidP="0042097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to professional practice, school staff and industry stakeholders should collaborate to provide timely, accurate, and parent-inclusive career exploration resources and experiences across the career development continuum (New Ways to Work, 2026). Parents in this study indicated that practical resources (e.g., conversation starter guides and college or career events) would increase their confidence and ability to assist with post-secondary planning at home (Ajzen, 1991). Additionally, outreach should intentionally broaden parental understanding of AFNR beyond production agriculture by promoting the diversity of careers in AFNR and clarifying training pathways and employment realities.</w:t>
      </w:r>
    </w:p>
    <w:p w14:paraId="16928E7D" w14:textId="77777777" w:rsidR="00420970" w:rsidRDefault="00420970" w:rsidP="00420970">
      <w:pPr>
        <w:spacing w:line="240" w:lineRule="auto"/>
        <w:rPr>
          <w:rFonts w:ascii="Times New Roman" w:eastAsia="Times New Roman" w:hAnsi="Times New Roman" w:cs="Times New Roman"/>
          <w:sz w:val="24"/>
          <w:szCs w:val="24"/>
        </w:rPr>
      </w:pPr>
    </w:p>
    <w:p w14:paraId="0F70FCB9" w14:textId="77777777" w:rsidR="00420970" w:rsidRDefault="00420970" w:rsidP="0042097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7C9BF83B" w14:textId="77777777" w:rsidR="00420970" w:rsidRDefault="00420970" w:rsidP="00420970">
      <w:pPr>
        <w:spacing w:line="240" w:lineRule="auto"/>
        <w:rPr>
          <w:rFonts w:ascii="Times New Roman" w:eastAsia="Times New Roman" w:hAnsi="Times New Roman" w:cs="Times New Roman"/>
          <w:sz w:val="24"/>
          <w:szCs w:val="24"/>
        </w:rPr>
      </w:pPr>
    </w:p>
    <w:p w14:paraId="068EE407"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Ajzen, I. (1991). The theory of planned behavior. </w:t>
      </w:r>
      <w:r>
        <w:rPr>
          <w:rFonts w:ascii="Times New Roman" w:eastAsia="Times New Roman" w:hAnsi="Times New Roman" w:cs="Times New Roman"/>
          <w:i/>
          <w:iCs/>
          <w:sz w:val="24"/>
          <w:szCs w:val="24"/>
        </w:rPr>
        <w:t>Organizational Behavior and Human Decision Processes, 50</w:t>
      </w:r>
      <w:r>
        <w:rPr>
          <w:rFonts w:ascii="Times New Roman" w:eastAsia="Times New Roman" w:hAnsi="Times New Roman" w:cs="Times New Roman"/>
          <w:sz w:val="24"/>
          <w:szCs w:val="24"/>
        </w:rPr>
        <w:t>(2), 179–211. https://doi.org/10.1016/0749-5978(91)90020-T</w:t>
      </w:r>
    </w:p>
    <w:p w14:paraId="32CE85EF"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7F4EDCD"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Akosah-Twumasi, P., Emeto, T.I., Lindsay, D., Tsey, K., &amp; Malau-Aduli, B.S. (2018). A systematic review of factors that influence youths’ career choices—The role of culture. </w:t>
      </w:r>
      <w:r>
        <w:rPr>
          <w:rFonts w:ascii="Times New Roman" w:eastAsia="Times New Roman" w:hAnsi="Times New Roman" w:cs="Times New Roman"/>
          <w:i/>
          <w:iCs/>
          <w:sz w:val="24"/>
          <w:szCs w:val="24"/>
        </w:rPr>
        <w:t>Frontiers in Education, 3</w:t>
      </w:r>
      <w:r>
        <w:rPr>
          <w:rFonts w:ascii="Times New Roman" w:eastAsia="Times New Roman" w:hAnsi="Times New Roman" w:cs="Times New Roman"/>
          <w:sz w:val="24"/>
          <w:szCs w:val="24"/>
        </w:rPr>
        <w:t>, 1–15. https://doi.org/10.3389/feduc.2018.00058</w:t>
      </w:r>
    </w:p>
    <w:p w14:paraId="4A53B25B"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7EE2195"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Betz, N. E., &amp; Hackett, G. (1986). Applications of self-efficacy theory to understanding career choice behavior. </w:t>
      </w:r>
      <w:r>
        <w:rPr>
          <w:rFonts w:ascii="Times New Roman" w:eastAsia="Times New Roman" w:hAnsi="Times New Roman" w:cs="Times New Roman"/>
          <w:i/>
          <w:iCs/>
          <w:sz w:val="24"/>
          <w:szCs w:val="24"/>
        </w:rPr>
        <w:t>Journal of Social and Clinical Psychology, 4</w:t>
      </w:r>
      <w:r>
        <w:rPr>
          <w:rFonts w:ascii="Times New Roman" w:eastAsia="Times New Roman" w:hAnsi="Times New Roman" w:cs="Times New Roman"/>
          <w:sz w:val="24"/>
          <w:szCs w:val="24"/>
        </w:rPr>
        <w:t>(3), 279–289. https://doi.org/10.1521/jscp.1986.4.3.279</w:t>
      </w:r>
    </w:p>
    <w:p w14:paraId="558B0068"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09B8739"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Byun, S. Y., Meece, J. L., &amp; Irvin, M. J. (2012). Rural-nonrural disparities in postsecondary educational attainment revisited. </w:t>
      </w:r>
      <w:r>
        <w:rPr>
          <w:rFonts w:ascii="Times New Roman" w:eastAsia="Times New Roman" w:hAnsi="Times New Roman" w:cs="Times New Roman"/>
          <w:i/>
          <w:iCs/>
          <w:sz w:val="24"/>
          <w:szCs w:val="24"/>
        </w:rPr>
        <w:t>American Educational Research Journal, 49</w:t>
      </w:r>
      <w:r>
        <w:rPr>
          <w:rFonts w:ascii="Times New Roman" w:eastAsia="Times New Roman" w:hAnsi="Times New Roman" w:cs="Times New Roman"/>
          <w:sz w:val="24"/>
          <w:szCs w:val="24"/>
        </w:rPr>
        <w:t>(3), 412–437. https://doi.org/10.3102/0002831211416344</w:t>
      </w:r>
    </w:p>
    <w:p w14:paraId="799F6FB1"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748CDF45"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Consentino, F., Vindigni, G., Spina, D., Monaco, C., Peri, I. (2023). An agricultural career through the lens of young people. </w:t>
      </w:r>
      <w:r>
        <w:rPr>
          <w:rFonts w:ascii="Times New Roman" w:eastAsia="Times New Roman" w:hAnsi="Times New Roman" w:cs="Times New Roman"/>
          <w:i/>
          <w:iCs/>
          <w:sz w:val="24"/>
          <w:szCs w:val="24"/>
        </w:rPr>
        <w:t>Sustainability, 15</w:t>
      </w:r>
      <w:r>
        <w:rPr>
          <w:rFonts w:ascii="Times New Roman" w:eastAsia="Times New Roman" w:hAnsi="Times New Roman" w:cs="Times New Roman"/>
          <w:sz w:val="24"/>
          <w:szCs w:val="24"/>
        </w:rPr>
        <w:t>, 11148. https://doi.org/10.3390/su151411148</w:t>
      </w:r>
    </w:p>
    <w:p w14:paraId="5B5E5193"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4C6C69D1"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Declercq, K., &amp; Verboven, F. (2015). Socio-economic status and enrollment in higher education: do costs matter? </w:t>
      </w:r>
      <w:r>
        <w:rPr>
          <w:rFonts w:ascii="Times New Roman" w:eastAsia="Times New Roman" w:hAnsi="Times New Roman" w:cs="Times New Roman"/>
          <w:i/>
          <w:iCs/>
          <w:sz w:val="24"/>
          <w:szCs w:val="24"/>
        </w:rPr>
        <w:t>Education Economics, 23</w:t>
      </w:r>
      <w:r>
        <w:rPr>
          <w:rFonts w:ascii="Times New Roman" w:eastAsia="Times New Roman" w:hAnsi="Times New Roman" w:cs="Times New Roman"/>
          <w:sz w:val="24"/>
          <w:szCs w:val="24"/>
        </w:rPr>
        <w:t>(5), 532–556. https://doi.org/10.1080/09645292.2015.1047822</w:t>
      </w:r>
    </w:p>
    <w:p w14:paraId="7624429A"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81BF951"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Eccles, J. S., &amp; Roeser, R. W. (2009). Schools, academic motivation, and stage-environment fit. In R. M. Lerner &amp; L. Steinberg (Eds.), </w:t>
      </w:r>
      <w:r>
        <w:rPr>
          <w:rFonts w:ascii="Times New Roman" w:eastAsia="Times New Roman" w:hAnsi="Times New Roman" w:cs="Times New Roman"/>
          <w:i/>
          <w:iCs/>
          <w:sz w:val="24"/>
          <w:szCs w:val="24"/>
        </w:rPr>
        <w:t>Handbook of adolescent psychology: Individual bases of adolescent development</w:t>
      </w:r>
      <w:r>
        <w:rPr>
          <w:rFonts w:ascii="Times New Roman" w:eastAsia="Times New Roman" w:hAnsi="Times New Roman" w:cs="Times New Roman"/>
          <w:sz w:val="24"/>
          <w:szCs w:val="24"/>
        </w:rPr>
        <w:t xml:space="preserve"> (3rd ed., pp. 404–434). John Wiley &amp; Sons, Inc. https://doi.org/10.1002/9780470479193.adlpsy001013</w:t>
      </w:r>
    </w:p>
    <w:p w14:paraId="14387D82"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63398FA"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Frick, M. J., Birkenholz, R. J., &amp; Machtmes, K. (1995). Rural and adult knowledge and perceptions of agriculture. </w:t>
      </w:r>
      <w:r>
        <w:rPr>
          <w:rFonts w:ascii="Times New Roman" w:eastAsia="Times New Roman" w:hAnsi="Times New Roman" w:cs="Times New Roman"/>
          <w:i/>
          <w:iCs/>
          <w:sz w:val="24"/>
          <w:szCs w:val="24"/>
        </w:rPr>
        <w:t>Journal of Agricultural Education, 36</w:t>
      </w:r>
      <w:r>
        <w:rPr>
          <w:rFonts w:ascii="Times New Roman" w:eastAsia="Times New Roman" w:hAnsi="Times New Roman" w:cs="Times New Roman"/>
          <w:sz w:val="24"/>
          <w:szCs w:val="24"/>
        </w:rPr>
        <w:t>(2), 44–53. https://doi.org/10.5032/jae.1995.02044</w:t>
      </w:r>
    </w:p>
    <w:p w14:paraId="148083DE"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214F9558"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Ginevra, M.C., Nota, L. and Ferrari, L. (2015), Parental support in adolescents’ career development: Parents’ and children’s perceptions. </w:t>
      </w:r>
      <w:r>
        <w:rPr>
          <w:rFonts w:ascii="Times New Roman" w:eastAsia="Times New Roman" w:hAnsi="Times New Roman" w:cs="Times New Roman"/>
          <w:i/>
          <w:iCs/>
          <w:sz w:val="24"/>
          <w:szCs w:val="24"/>
        </w:rPr>
        <w:t>The Career Development Quarterly, 63</w:t>
      </w:r>
      <w:r>
        <w:rPr>
          <w:rFonts w:ascii="Times New Roman" w:eastAsia="Times New Roman" w:hAnsi="Times New Roman" w:cs="Times New Roman"/>
          <w:sz w:val="24"/>
          <w:szCs w:val="24"/>
        </w:rPr>
        <w:t>, 2–15. https://doi.org/10.1002/j.2161-0045.2015.00091.x</w:t>
      </w:r>
    </w:p>
    <w:p w14:paraId="05212591"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3AAE1EC"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Girdziute, L., Besuspariene, E., Nausediene, A., Novikova, A., Leppala, J., &amp; Jakob, M. (2022). Youth’s (un)willingness to work in agriculture sector. </w:t>
      </w:r>
      <w:r>
        <w:rPr>
          <w:rFonts w:ascii="Times New Roman" w:eastAsia="Times New Roman" w:hAnsi="Times New Roman" w:cs="Times New Roman"/>
          <w:i/>
          <w:iCs/>
          <w:sz w:val="24"/>
          <w:szCs w:val="24"/>
        </w:rPr>
        <w:t>Frontiers in Public Health, 10</w:t>
      </w:r>
      <w:r>
        <w:rPr>
          <w:rFonts w:ascii="Times New Roman" w:eastAsia="Times New Roman" w:hAnsi="Times New Roman" w:cs="Times New Roman"/>
          <w:sz w:val="24"/>
          <w:szCs w:val="24"/>
        </w:rPr>
        <w:t>, 937657. https://doi.org/10.3389/fpubh.2022.937657</w:t>
      </w:r>
    </w:p>
    <w:p w14:paraId="2DAA080E"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F03DB72"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Goffnett, S., Divine, R., Williams, Z. &amp; Cook, R. (2013) Understanding the impact of extrinsic and intrinsic SCM career choice factors on career satisfaction. </w:t>
      </w:r>
      <w:r>
        <w:rPr>
          <w:rFonts w:ascii="Times New Roman" w:eastAsia="Times New Roman" w:hAnsi="Times New Roman" w:cs="Times New Roman"/>
          <w:i/>
          <w:iCs/>
          <w:sz w:val="24"/>
          <w:szCs w:val="24"/>
        </w:rPr>
        <w:t>Journal of Operations and Supply Chain Management, 6</w:t>
      </w:r>
      <w:r>
        <w:rPr>
          <w:rFonts w:ascii="Times New Roman" w:eastAsia="Times New Roman" w:hAnsi="Times New Roman" w:cs="Times New Roman"/>
          <w:sz w:val="24"/>
          <w:szCs w:val="24"/>
        </w:rPr>
        <w:t>(1), 122–138. https://doi.org/10.12660/joscmv6n1p122-138</w:t>
      </w:r>
    </w:p>
    <w:p w14:paraId="0206A6DE"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43C4F44"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Gottfredson, L. S. (2005). Applying Gottfredson’s theory of circumscription and compromise in career guidance and counseling. In S. D. Brown &amp; R. W. Lent (Eds.), </w:t>
      </w:r>
      <w:r>
        <w:rPr>
          <w:rFonts w:ascii="Times New Roman" w:eastAsia="Times New Roman" w:hAnsi="Times New Roman" w:cs="Times New Roman"/>
          <w:i/>
          <w:iCs/>
          <w:sz w:val="24"/>
          <w:szCs w:val="24"/>
        </w:rPr>
        <w:t>Career development and counseling: Putting theory and research to work</w:t>
      </w:r>
      <w:r>
        <w:rPr>
          <w:rFonts w:ascii="Times New Roman" w:eastAsia="Times New Roman" w:hAnsi="Times New Roman" w:cs="Times New Roman"/>
          <w:sz w:val="24"/>
          <w:szCs w:val="24"/>
        </w:rPr>
        <w:t xml:space="preserve"> (pp. 71–100). John Wiley &amp; Sons.</w:t>
      </w:r>
    </w:p>
    <w:p w14:paraId="28B9BB86"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785BC9A9"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Gowda, P., Steiner, J.L., Olson, C., Boggess, M., Farrigan, T., &amp; Grusak, M.A. (2018). Agriculture and rural communities. In Reidmiller, D. R., Avery, C.W., Easterling, D. R., Kunkel, K.E., Lewis, K.L.M., Maycock, T.K., &amp; Stewart, B.C. (Eds.), </w:t>
      </w:r>
      <w:r>
        <w:rPr>
          <w:rFonts w:ascii="Times New Roman" w:eastAsia="Times New Roman" w:hAnsi="Times New Roman" w:cs="Times New Roman"/>
          <w:i/>
          <w:iCs/>
          <w:sz w:val="24"/>
          <w:szCs w:val="24"/>
        </w:rPr>
        <w:t>Impacts, risks, and adaptation in the United States: Fourth national climate assessment, Volume II</w:t>
      </w:r>
      <w:r>
        <w:rPr>
          <w:rFonts w:ascii="Times New Roman" w:eastAsia="Times New Roman" w:hAnsi="Times New Roman" w:cs="Times New Roman"/>
          <w:sz w:val="24"/>
          <w:szCs w:val="24"/>
        </w:rPr>
        <w:t xml:space="preserve"> (pp. 391–437). https://doi.org/10.7930/NCA4.2018.CH10</w:t>
      </w:r>
    </w:p>
    <w:p w14:paraId="74544B42"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0D80E59"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 Y., &amp; Zhu, Z. (2023). The impact of college students’ salary expectations on career decisions and countermeasures. </w:t>
      </w:r>
      <w:r>
        <w:rPr>
          <w:rFonts w:ascii="Times New Roman" w:eastAsia="Times New Roman" w:hAnsi="Times New Roman" w:cs="Times New Roman"/>
          <w:i/>
          <w:iCs/>
          <w:sz w:val="24"/>
          <w:szCs w:val="24"/>
        </w:rPr>
        <w:t>International Journal of New Developments in Education, 5</w:t>
      </w:r>
      <w:r>
        <w:rPr>
          <w:rFonts w:ascii="Times New Roman" w:eastAsia="Times New Roman" w:hAnsi="Times New Roman" w:cs="Times New Roman"/>
          <w:sz w:val="24"/>
          <w:szCs w:val="24"/>
        </w:rPr>
        <w:t>(26), 70–74. https://doi.org/10.25236/IJNDE.2023.052613.</w:t>
      </w:r>
    </w:p>
    <w:p w14:paraId="5BAB5169"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65F0442"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Hill, A. E., Ornelas, I., &amp; Taylor, J. E. (2021). Agricultural labor supply. </w:t>
      </w:r>
      <w:r>
        <w:rPr>
          <w:rFonts w:ascii="Times New Roman" w:eastAsia="Times New Roman" w:hAnsi="Times New Roman" w:cs="Times New Roman"/>
          <w:i/>
          <w:iCs/>
          <w:sz w:val="24"/>
          <w:szCs w:val="24"/>
        </w:rPr>
        <w:t>Annual Review of Resource Economics, 13</w:t>
      </w:r>
      <w:r>
        <w:rPr>
          <w:rFonts w:ascii="Times New Roman" w:eastAsia="Times New Roman" w:hAnsi="Times New Roman" w:cs="Times New Roman"/>
          <w:sz w:val="24"/>
          <w:szCs w:val="24"/>
        </w:rPr>
        <w:t>(1), 39–64. https://doi.org/10.1146/annurev-resource-101620-080426</w:t>
      </w:r>
    </w:p>
    <w:p w14:paraId="16332D06"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4452F8E0"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Howard, K. A. S., &amp; Walsh, M. E. (2010). Conceptions of career choice and attainment: Developmental levels in how children think about careers. </w:t>
      </w:r>
      <w:r>
        <w:rPr>
          <w:rFonts w:ascii="Times New Roman" w:eastAsia="Times New Roman" w:hAnsi="Times New Roman" w:cs="Times New Roman"/>
          <w:i/>
          <w:iCs/>
          <w:sz w:val="24"/>
          <w:szCs w:val="24"/>
        </w:rPr>
        <w:t>Journal of Vocational Behavior, 76</w:t>
      </w:r>
      <w:r>
        <w:rPr>
          <w:rFonts w:ascii="Times New Roman" w:eastAsia="Times New Roman" w:hAnsi="Times New Roman" w:cs="Times New Roman"/>
          <w:sz w:val="24"/>
          <w:szCs w:val="24"/>
        </w:rPr>
        <w:t>(2), 143–152. https://doi.org/10.1016/j.jvb.2009.10.010</w:t>
      </w:r>
    </w:p>
    <w:p w14:paraId="3E227DF8"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4C476FB4"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Kaushik, V., &amp; Walsh, C. A. (2019). Pragmatism as a research paradigm and its implications for social work research. </w:t>
      </w:r>
      <w:r>
        <w:rPr>
          <w:rFonts w:ascii="Times New Roman" w:eastAsia="Times New Roman" w:hAnsi="Times New Roman" w:cs="Times New Roman"/>
          <w:i/>
          <w:iCs/>
          <w:sz w:val="24"/>
          <w:szCs w:val="24"/>
        </w:rPr>
        <w:t>Social Sciences, 8</w:t>
      </w:r>
      <w:r>
        <w:rPr>
          <w:rFonts w:ascii="Times New Roman" w:eastAsia="Times New Roman" w:hAnsi="Times New Roman" w:cs="Times New Roman"/>
          <w:sz w:val="24"/>
          <w:szCs w:val="24"/>
        </w:rPr>
        <w:t>(9), 1–17. https://doi.org/10.3390/socsci8090255</w:t>
      </w:r>
    </w:p>
    <w:p w14:paraId="6B9539B5"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6D3D57B"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B. K., &amp; Whiston, S. C. (2008). The role of parental influences on young adolescents’ career development. </w:t>
      </w:r>
      <w:r>
        <w:rPr>
          <w:rFonts w:ascii="Times New Roman" w:eastAsia="Times New Roman" w:hAnsi="Times New Roman" w:cs="Times New Roman"/>
          <w:i/>
          <w:iCs/>
          <w:sz w:val="24"/>
          <w:szCs w:val="24"/>
        </w:rPr>
        <w:t>Journal of Career Assessment, 16</w:t>
      </w:r>
      <w:r>
        <w:rPr>
          <w:rFonts w:ascii="Times New Roman" w:eastAsia="Times New Roman" w:hAnsi="Times New Roman" w:cs="Times New Roman"/>
          <w:sz w:val="24"/>
          <w:szCs w:val="24"/>
        </w:rPr>
        <w:t>(2), 198–217. https://doi.org/10.1177/1069072707313206</w:t>
      </w:r>
    </w:p>
    <w:p w14:paraId="17B1ABC6"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617877A"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Khattab, N. (2015). Students’ aspirations, expectations and school achievement: What really matters? </w:t>
      </w:r>
      <w:r>
        <w:rPr>
          <w:rFonts w:ascii="Times New Roman" w:eastAsia="Times New Roman" w:hAnsi="Times New Roman" w:cs="Times New Roman"/>
          <w:i/>
          <w:iCs/>
          <w:sz w:val="24"/>
          <w:szCs w:val="24"/>
        </w:rPr>
        <w:t>British Educational Research Journal, 41</w:t>
      </w:r>
      <w:r>
        <w:rPr>
          <w:rFonts w:ascii="Times New Roman" w:eastAsia="Times New Roman" w:hAnsi="Times New Roman" w:cs="Times New Roman"/>
          <w:sz w:val="24"/>
          <w:szCs w:val="24"/>
        </w:rPr>
        <w:t>(5), 731–748. https://doi.org/10.1002/berj.3171</w:t>
      </w:r>
    </w:p>
    <w:p w14:paraId="1FB4FDCF"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7D79A14C"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Lavrakas, P. J. (2008). </w:t>
      </w:r>
      <w:r>
        <w:rPr>
          <w:rFonts w:ascii="Times New Roman" w:eastAsia="Times New Roman" w:hAnsi="Times New Roman" w:cs="Times New Roman"/>
          <w:i/>
          <w:iCs/>
          <w:sz w:val="24"/>
          <w:szCs w:val="24"/>
        </w:rPr>
        <w:t>Encyclopedia of survey research methods</w:t>
      </w:r>
      <w:r>
        <w:rPr>
          <w:rFonts w:ascii="Times New Roman" w:eastAsia="Times New Roman" w:hAnsi="Times New Roman" w:cs="Times New Roman"/>
          <w:sz w:val="24"/>
          <w:szCs w:val="24"/>
        </w:rPr>
        <w:t>. SAGE Publications. https://doi.org/10.4135/9781412963947</w:t>
      </w:r>
    </w:p>
    <w:p w14:paraId="3E2DDC2B"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0642555"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Lincoln, Y. S., &amp; Guba, E. G. (1985). </w:t>
      </w:r>
      <w:r>
        <w:rPr>
          <w:rFonts w:ascii="Times New Roman" w:eastAsia="Times New Roman" w:hAnsi="Times New Roman" w:cs="Times New Roman"/>
          <w:i/>
          <w:iCs/>
          <w:sz w:val="24"/>
          <w:szCs w:val="24"/>
        </w:rPr>
        <w:t>Naturalistic inquiry</w:t>
      </w:r>
      <w:r>
        <w:rPr>
          <w:rFonts w:ascii="Times New Roman" w:eastAsia="Times New Roman" w:hAnsi="Times New Roman" w:cs="Times New Roman"/>
          <w:sz w:val="24"/>
          <w:szCs w:val="24"/>
        </w:rPr>
        <w:t>. SAGE Publications.</w:t>
      </w:r>
    </w:p>
    <w:p w14:paraId="1CF8DAD7"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1F01CFD"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Lukaš, M. (2015). </w:t>
      </w:r>
      <w:r>
        <w:rPr>
          <w:rFonts w:ascii="Times New Roman" w:eastAsia="Times New Roman" w:hAnsi="Times New Roman" w:cs="Times New Roman"/>
          <w:i/>
          <w:iCs/>
          <w:sz w:val="24"/>
          <w:szCs w:val="24"/>
        </w:rPr>
        <w:t>Parental involvement in occupational education of their children</w:t>
      </w:r>
      <w:r>
        <w:rPr>
          <w:rFonts w:ascii="Times New Roman" w:eastAsia="Times New Roman" w:hAnsi="Times New Roman" w:cs="Times New Roman"/>
          <w:sz w:val="24"/>
          <w:szCs w:val="24"/>
        </w:rPr>
        <w:t xml:space="preserve"> [Paper presentation]. Second International Multidisciplinary Scientific Conference on Social Sciences and Arts SGEM, Sofia, Bulgaria. https://eric.ed.gov/?id=ED560900</w:t>
      </w:r>
    </w:p>
    <w:p w14:paraId="4394BE39"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C525FE8"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F3620E5"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A98D453"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Mat Taib, H., Rahim, A. R. A., Aman, Z., &amp; Moslim, R. (2019). Factors influencing as a prospective career: The moderating role of career prospect. </w:t>
      </w:r>
      <w:r>
        <w:rPr>
          <w:rFonts w:ascii="Times New Roman" w:eastAsia="Times New Roman" w:hAnsi="Times New Roman" w:cs="Times New Roman"/>
          <w:i/>
          <w:iCs/>
          <w:sz w:val="24"/>
          <w:szCs w:val="24"/>
        </w:rPr>
        <w:t>International Journal of Modern Trends in Social Sciences, 2</w:t>
      </w:r>
      <w:r>
        <w:rPr>
          <w:rFonts w:ascii="Times New Roman" w:eastAsia="Times New Roman" w:hAnsi="Times New Roman" w:cs="Times New Roman"/>
          <w:sz w:val="24"/>
          <w:szCs w:val="24"/>
        </w:rPr>
        <w:t>(10), 13–21. https://doi.org/10.35631/IJMTSS.210002</w:t>
      </w:r>
    </w:p>
    <w:p w14:paraId="7416338A"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2C4289A"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 S. B., &amp; Tisdell, E. J. (2016). </w:t>
      </w:r>
      <w:r>
        <w:rPr>
          <w:rFonts w:ascii="Times New Roman" w:eastAsia="Times New Roman" w:hAnsi="Times New Roman" w:cs="Times New Roman"/>
          <w:i/>
          <w:iCs/>
          <w:sz w:val="24"/>
          <w:szCs w:val="24"/>
        </w:rPr>
        <w:t>Qualitative research: A guide to design and implementation</w:t>
      </w:r>
      <w:r>
        <w:rPr>
          <w:rFonts w:ascii="Times New Roman" w:eastAsia="Times New Roman" w:hAnsi="Times New Roman" w:cs="Times New Roman"/>
          <w:sz w:val="24"/>
          <w:szCs w:val="24"/>
        </w:rPr>
        <w:t>. Wiley.</w:t>
      </w:r>
    </w:p>
    <w:p w14:paraId="0A564BFA"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2BAD79DB"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A., Warnick, B. K., Spielmaker, D. M., Pate, M. L., Judd-Murray, R., &amp; Longhurst, M. L. (2025). Parents’ value of their children learning about agriculture in school. </w:t>
      </w:r>
      <w:r>
        <w:rPr>
          <w:rFonts w:ascii="Times New Roman" w:eastAsia="Times New Roman" w:hAnsi="Times New Roman" w:cs="Times New Roman"/>
          <w:i/>
          <w:iCs/>
          <w:sz w:val="24"/>
          <w:szCs w:val="24"/>
        </w:rPr>
        <w:t>Journal of Agricultural Education, 66</w:t>
      </w:r>
      <w:r>
        <w:rPr>
          <w:rFonts w:ascii="Times New Roman" w:eastAsia="Times New Roman" w:hAnsi="Times New Roman" w:cs="Times New Roman"/>
          <w:sz w:val="24"/>
          <w:szCs w:val="24"/>
        </w:rPr>
        <w:t>(1), Article 1. https://doi.org/10.5032/jae.v66i1.2773</w:t>
      </w:r>
    </w:p>
    <w:p w14:paraId="39289DB3"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636BF61"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Morse, J. M., Barrett, M., Mayan, M., Olson, K., &amp; Spiers, J. (2002). Verification strategies for establishing reliability and validity in qualitative research. </w:t>
      </w:r>
      <w:r>
        <w:rPr>
          <w:rFonts w:ascii="Times New Roman" w:eastAsia="Times New Roman" w:hAnsi="Times New Roman" w:cs="Times New Roman"/>
          <w:i/>
          <w:iCs/>
          <w:sz w:val="24"/>
          <w:szCs w:val="24"/>
        </w:rPr>
        <w:t>International Journal of Qualitative Methods, 1</w:t>
      </w:r>
      <w:r>
        <w:rPr>
          <w:rFonts w:ascii="Times New Roman" w:eastAsia="Times New Roman" w:hAnsi="Times New Roman" w:cs="Times New Roman"/>
          <w:sz w:val="24"/>
          <w:szCs w:val="24"/>
        </w:rPr>
        <w:t>(2), 13–22. https://doi.org/10.1177/160940690200100202</w:t>
      </w:r>
    </w:p>
    <w:p w14:paraId="5D58E6E5"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69EC64B"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Mwita, K. (2022). Factors influencing data saturation in qualitative studies. </w:t>
      </w:r>
      <w:r>
        <w:rPr>
          <w:rFonts w:ascii="Times New Roman" w:eastAsia="Times New Roman" w:hAnsi="Times New Roman" w:cs="Times New Roman"/>
          <w:i/>
          <w:iCs/>
          <w:sz w:val="24"/>
          <w:szCs w:val="24"/>
        </w:rPr>
        <w:t>International Journal of Research in Business and Social Science (2147-4478), 11</w:t>
      </w:r>
      <w:r>
        <w:rPr>
          <w:rFonts w:ascii="Times New Roman" w:eastAsia="Times New Roman" w:hAnsi="Times New Roman" w:cs="Times New Roman"/>
          <w:sz w:val="24"/>
          <w:szCs w:val="24"/>
        </w:rPr>
        <w:t>(4), 414–420. https://doi.org/10.20525/ijrbs.v11i4.1776</w:t>
      </w:r>
    </w:p>
    <w:p w14:paraId="042A02B1"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AB5F2CD"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Nandi, R., Pratheepa, C. M., Nedumaran. S., Rao N., &amp; Rengalakshmi, R. (2022). Farm parent and youth aspirations on the generational succession of farming: Evidence from south India. </w:t>
      </w:r>
      <w:r>
        <w:rPr>
          <w:rFonts w:ascii="Times New Roman" w:eastAsia="Times New Roman" w:hAnsi="Times New Roman" w:cs="Times New Roman"/>
          <w:i/>
          <w:iCs/>
          <w:sz w:val="24"/>
          <w:szCs w:val="24"/>
        </w:rPr>
        <w:t>Frontiers in Sustainable Food Systems, 5</w:t>
      </w:r>
      <w:r>
        <w:rPr>
          <w:rFonts w:ascii="Times New Roman" w:eastAsia="Times New Roman" w:hAnsi="Times New Roman" w:cs="Times New Roman"/>
          <w:sz w:val="24"/>
          <w:szCs w:val="24"/>
        </w:rPr>
        <w:t>, 804581. https://doi.org/10.3389/fsufs.2021.804581</w:t>
      </w:r>
    </w:p>
    <w:p w14:paraId="11308CA6"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E907E8B"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Ways to Work (2026). </w:t>
      </w:r>
      <w:r>
        <w:rPr>
          <w:rFonts w:ascii="Times New Roman" w:eastAsia="Times New Roman" w:hAnsi="Times New Roman" w:cs="Times New Roman"/>
          <w:i/>
          <w:iCs/>
          <w:sz w:val="24"/>
          <w:szCs w:val="24"/>
        </w:rPr>
        <w:t>Career development continuum.</w:t>
      </w:r>
      <w:r>
        <w:rPr>
          <w:rFonts w:ascii="Times New Roman" w:eastAsia="Times New Roman" w:hAnsi="Times New Roman" w:cs="Times New Roman"/>
          <w:sz w:val="24"/>
          <w:szCs w:val="24"/>
        </w:rPr>
        <w:t xml:space="preserve"> https://www.newwaystowork.org/career-readiness/career-development-continuum/</w:t>
      </w:r>
    </w:p>
    <w:p w14:paraId="585363DA"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22A755E"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Puad, M. H. M., Yusof, N. A. M., Razali, F. R., &amp; Kang, E. K. M. S. (2023). Career choice: Parental guidance and learning experience influence in selecting agricultural programs. </w:t>
      </w:r>
      <w:r>
        <w:rPr>
          <w:rFonts w:ascii="Times New Roman" w:eastAsia="Times New Roman" w:hAnsi="Times New Roman" w:cs="Times New Roman"/>
          <w:i/>
          <w:iCs/>
          <w:sz w:val="24"/>
          <w:szCs w:val="24"/>
        </w:rPr>
        <w:t>International Journal of Academic Research in Business and Social Sciences, 13</w:t>
      </w:r>
      <w:r>
        <w:rPr>
          <w:rFonts w:ascii="Times New Roman" w:eastAsia="Times New Roman" w:hAnsi="Times New Roman" w:cs="Times New Roman"/>
          <w:sz w:val="24"/>
          <w:szCs w:val="24"/>
        </w:rPr>
        <w:t>(12), 4807–4813. http://doi.org/10.6007/IJARBSS/v13-i12/20334</w:t>
      </w:r>
    </w:p>
    <w:p w14:paraId="01E56275"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7FEC4AC"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Purdue University (2025). </w:t>
      </w:r>
      <w:r>
        <w:rPr>
          <w:rFonts w:ascii="Times New Roman" w:eastAsia="Times New Roman" w:hAnsi="Times New Roman" w:cs="Times New Roman"/>
          <w:i/>
          <w:iCs/>
          <w:sz w:val="24"/>
          <w:szCs w:val="24"/>
        </w:rPr>
        <w:t>Employment opportunities for college graduates in food, agriculture, renewable energies and the environment</w:t>
      </w:r>
      <w:r>
        <w:rPr>
          <w:rFonts w:ascii="Times New Roman" w:eastAsia="Times New Roman" w:hAnsi="Times New Roman" w:cs="Times New Roman"/>
          <w:sz w:val="24"/>
          <w:szCs w:val="24"/>
        </w:rPr>
        <w:t>. https://www.purdue.edu/usda/employment/?_ga=2.2197107.2145317149.1767376589-1253427869.1767376589</w:t>
      </w:r>
    </w:p>
    <w:p w14:paraId="63CBCDBB"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CA06836"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Savickas, M. L. (2012). Life design: A paradigm for career intervention in the 21st century. </w:t>
      </w:r>
      <w:r>
        <w:rPr>
          <w:rFonts w:ascii="Times New Roman" w:eastAsia="Times New Roman" w:hAnsi="Times New Roman" w:cs="Times New Roman"/>
          <w:i/>
          <w:iCs/>
          <w:sz w:val="24"/>
          <w:szCs w:val="24"/>
        </w:rPr>
        <w:t>Journal of Counseling &amp; Development, 90</w:t>
      </w:r>
      <w:r>
        <w:rPr>
          <w:rFonts w:ascii="Times New Roman" w:eastAsia="Times New Roman" w:hAnsi="Times New Roman" w:cs="Times New Roman"/>
          <w:sz w:val="24"/>
          <w:szCs w:val="24"/>
        </w:rPr>
        <w:t>(1), 13–19. https://doi.org/10.1111/j.1556-6676.2012.00002.x</w:t>
      </w:r>
    </w:p>
    <w:p w14:paraId="50CA9AF6"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7A7A3D1"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Schoon, I., &amp; Parsons, S. (2002). Teenage aspirations for future careers and occupational outcomes. </w:t>
      </w:r>
      <w:r>
        <w:rPr>
          <w:rFonts w:ascii="Times New Roman" w:eastAsia="Times New Roman" w:hAnsi="Times New Roman" w:cs="Times New Roman"/>
          <w:i/>
          <w:iCs/>
          <w:sz w:val="24"/>
          <w:szCs w:val="24"/>
        </w:rPr>
        <w:t>Journal of Vocational Behavior, 60</w:t>
      </w:r>
      <w:r>
        <w:rPr>
          <w:rFonts w:ascii="Times New Roman" w:eastAsia="Times New Roman" w:hAnsi="Times New Roman" w:cs="Times New Roman"/>
          <w:sz w:val="24"/>
          <w:szCs w:val="24"/>
        </w:rPr>
        <w:t>, 262–288. https://doi.org/10.1006/JVBE.2001.1867</w:t>
      </w:r>
    </w:p>
    <w:p w14:paraId="4544313D"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6421C05C"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Schoon, I., &amp; Polek, E. (2011). Teenage career aspirations and adult career attainment: The role of gender, social background and general cognitive ability. </w:t>
      </w:r>
      <w:r>
        <w:rPr>
          <w:rFonts w:ascii="Times New Roman" w:eastAsia="Times New Roman" w:hAnsi="Times New Roman" w:cs="Times New Roman"/>
          <w:i/>
          <w:iCs/>
          <w:sz w:val="24"/>
          <w:szCs w:val="24"/>
        </w:rPr>
        <w:t>International Journal of Behavioral Development, 35</w:t>
      </w:r>
      <w:r>
        <w:rPr>
          <w:rFonts w:ascii="Times New Roman" w:eastAsia="Times New Roman" w:hAnsi="Times New Roman" w:cs="Times New Roman"/>
          <w:sz w:val="24"/>
          <w:szCs w:val="24"/>
        </w:rPr>
        <w:t>(3), 210–217. https://doi.org/10.1177/0165025411398183</w:t>
      </w:r>
    </w:p>
    <w:p w14:paraId="7DDD6308"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12D3367"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Spall, S. (1998). Peer debriefing in qualitative research: Emerging operational models. </w:t>
      </w:r>
      <w:r>
        <w:rPr>
          <w:rFonts w:ascii="Times New Roman" w:eastAsia="Times New Roman" w:hAnsi="Times New Roman" w:cs="Times New Roman"/>
          <w:i/>
          <w:iCs/>
          <w:sz w:val="24"/>
          <w:szCs w:val="24"/>
        </w:rPr>
        <w:t>Qualitative Inquiry, 4</w:t>
      </w:r>
      <w:r>
        <w:rPr>
          <w:rFonts w:ascii="Times New Roman" w:eastAsia="Times New Roman" w:hAnsi="Times New Roman" w:cs="Times New Roman"/>
          <w:sz w:val="24"/>
          <w:szCs w:val="24"/>
        </w:rPr>
        <w:t>(2), 280–292. https://doi.org/10.1177/107780049800400208</w:t>
      </w:r>
    </w:p>
    <w:p w14:paraId="2E19B5E2"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2B63732C"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D. R. (2006). A general inductive approach for analyzing qualitative evaluation data. </w:t>
      </w:r>
      <w:r>
        <w:rPr>
          <w:rFonts w:ascii="Times New Roman" w:eastAsia="Times New Roman" w:hAnsi="Times New Roman" w:cs="Times New Roman"/>
          <w:i/>
          <w:iCs/>
          <w:sz w:val="24"/>
          <w:szCs w:val="24"/>
        </w:rPr>
        <w:t>American Journal of Evaluation, 27</w:t>
      </w:r>
      <w:r>
        <w:rPr>
          <w:rFonts w:ascii="Times New Roman" w:eastAsia="Times New Roman" w:hAnsi="Times New Roman" w:cs="Times New Roman"/>
          <w:sz w:val="24"/>
          <w:szCs w:val="24"/>
        </w:rPr>
        <w:t>(2), 237–246. https://doi.org/10.1177/1098214005283748</w:t>
      </w:r>
    </w:p>
    <w:p w14:paraId="2146312F"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CD99585"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Thyer, B. A. (2010). </w:t>
      </w:r>
      <w:r>
        <w:rPr>
          <w:rFonts w:ascii="Times New Roman" w:eastAsia="Times New Roman" w:hAnsi="Times New Roman" w:cs="Times New Roman"/>
          <w:i/>
          <w:iCs/>
          <w:sz w:val="24"/>
          <w:szCs w:val="24"/>
        </w:rPr>
        <w:t>The handbook of social work research methods</w:t>
      </w:r>
      <w:r>
        <w:rPr>
          <w:rFonts w:ascii="Times New Roman" w:eastAsia="Times New Roman" w:hAnsi="Times New Roman" w:cs="Times New Roman"/>
          <w:sz w:val="24"/>
          <w:szCs w:val="24"/>
        </w:rPr>
        <w:t xml:space="preserve"> (2nd ed.). SAGE Publications.</w:t>
      </w:r>
    </w:p>
    <w:p w14:paraId="6249C0B1"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42723B0A"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Tracy, S. J. (2010). Qualitative quality: Eight “</w:t>
      </w:r>
      <w:proofErr w:type="gramStart"/>
      <w:r>
        <w:rPr>
          <w:rFonts w:ascii="Times New Roman" w:eastAsia="Times New Roman" w:hAnsi="Times New Roman" w:cs="Times New Roman"/>
          <w:sz w:val="24"/>
          <w:szCs w:val="24"/>
        </w:rPr>
        <w:t>big-tent</w:t>
      </w:r>
      <w:proofErr w:type="gramEnd"/>
      <w:r>
        <w:rPr>
          <w:rFonts w:ascii="Times New Roman" w:eastAsia="Times New Roman" w:hAnsi="Times New Roman" w:cs="Times New Roman"/>
          <w:sz w:val="24"/>
          <w:szCs w:val="24"/>
        </w:rPr>
        <w:t xml:space="preserve">” criteria for excellent qualitative research. </w:t>
      </w:r>
      <w:r>
        <w:rPr>
          <w:rFonts w:ascii="Times New Roman" w:eastAsia="Times New Roman" w:hAnsi="Times New Roman" w:cs="Times New Roman"/>
          <w:i/>
          <w:iCs/>
          <w:sz w:val="24"/>
          <w:szCs w:val="24"/>
        </w:rPr>
        <w:t>Qualitative Inquiry, 16</w:t>
      </w:r>
      <w:r>
        <w:rPr>
          <w:rFonts w:ascii="Times New Roman" w:eastAsia="Times New Roman" w:hAnsi="Times New Roman" w:cs="Times New Roman"/>
          <w:sz w:val="24"/>
          <w:szCs w:val="24"/>
        </w:rPr>
        <w:t>(10), 837–851. https://doi.org/10.1177/1077800410383121</w:t>
      </w:r>
    </w:p>
    <w:p w14:paraId="334FC853"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16C4DBE4"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States Bureau of Labor Statistics (2024a). </w:t>
      </w:r>
      <w:r>
        <w:rPr>
          <w:rFonts w:ascii="Times New Roman" w:eastAsia="Times New Roman" w:hAnsi="Times New Roman" w:cs="Times New Roman"/>
          <w:i/>
          <w:iCs/>
          <w:sz w:val="24"/>
          <w:szCs w:val="24"/>
        </w:rPr>
        <w:t>Agricultural and food scientists: Occupational outlook handbook</w:t>
      </w:r>
      <w:r>
        <w:rPr>
          <w:rFonts w:ascii="Times New Roman" w:eastAsia="Times New Roman" w:hAnsi="Times New Roman" w:cs="Times New Roman"/>
          <w:sz w:val="24"/>
          <w:szCs w:val="24"/>
        </w:rPr>
        <w:t>. United States Bureau of Labor Statistics. https://www.bls.gov/ooh/life-physical-and-social-science/agricultural-and-food-scientists.htm</w:t>
      </w:r>
    </w:p>
    <w:p w14:paraId="19347519"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C7D0D90"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States Bureau of Labor Statistics (2024b). </w:t>
      </w:r>
      <w:r>
        <w:rPr>
          <w:rFonts w:ascii="Times New Roman" w:eastAsia="Times New Roman" w:hAnsi="Times New Roman" w:cs="Times New Roman"/>
          <w:i/>
          <w:iCs/>
          <w:sz w:val="24"/>
          <w:szCs w:val="24"/>
        </w:rPr>
        <w:t>Forest and conservation workers: Occupational outlook handbook</w:t>
      </w:r>
      <w:r>
        <w:rPr>
          <w:rFonts w:ascii="Times New Roman" w:eastAsia="Times New Roman" w:hAnsi="Times New Roman" w:cs="Times New Roman"/>
          <w:sz w:val="24"/>
          <w:szCs w:val="24"/>
        </w:rPr>
        <w:t>. United States Bureau of Labor Statistics. https://www.bls.gov/ooh/farming-fishing-and-forestry/forest-and-conservation-workers.htm</w:t>
      </w:r>
    </w:p>
    <w:p w14:paraId="347DF9BF"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5FE2E336"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USDA Economic Research Service. (2024). </w:t>
      </w:r>
      <w:r>
        <w:rPr>
          <w:rFonts w:ascii="Times New Roman" w:eastAsia="Times New Roman" w:hAnsi="Times New Roman" w:cs="Times New Roman"/>
          <w:i/>
          <w:iCs/>
          <w:sz w:val="24"/>
          <w:szCs w:val="24"/>
        </w:rPr>
        <w:t>Chart detail</w:t>
      </w:r>
      <w:r>
        <w:rPr>
          <w:rFonts w:ascii="Times New Roman" w:eastAsia="Times New Roman" w:hAnsi="Times New Roman" w:cs="Times New Roman"/>
          <w:sz w:val="24"/>
          <w:szCs w:val="24"/>
        </w:rPr>
        <w:t>. USDA ERS. https://www.ers.usda.gov/data-products/chart-gallery/gallery/chart-detail/?chartId=58282</w:t>
      </w:r>
    </w:p>
    <w:p w14:paraId="1E336BC1"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5B99C7D"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Whiston, S. C., &amp; Keller, B. K. (2004). The influences of the family of origin on career development: A review and analysis. </w:t>
      </w:r>
      <w:r>
        <w:rPr>
          <w:rFonts w:ascii="Times New Roman" w:eastAsia="Times New Roman" w:hAnsi="Times New Roman" w:cs="Times New Roman"/>
          <w:i/>
          <w:iCs/>
          <w:sz w:val="24"/>
          <w:szCs w:val="24"/>
        </w:rPr>
        <w:t>The Counseling Psychologist, 32</w:t>
      </w:r>
      <w:r>
        <w:rPr>
          <w:rFonts w:ascii="Times New Roman" w:eastAsia="Times New Roman" w:hAnsi="Times New Roman" w:cs="Times New Roman"/>
          <w:sz w:val="24"/>
          <w:szCs w:val="24"/>
        </w:rPr>
        <w:t>(4), 493–568. https://doi.org/10.1177/0011000004265660</w:t>
      </w:r>
    </w:p>
    <w:p w14:paraId="2CB524EE"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3C5676CF"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Wolf, K. J., Hoyle, T., Smith, K. L., &amp; Foltz, J. (2020). The Relationship Between FFA Participation and Career Decision Self-Efficacy. </w:t>
      </w:r>
      <w:r>
        <w:rPr>
          <w:rFonts w:ascii="Times New Roman" w:eastAsia="Times New Roman" w:hAnsi="Times New Roman" w:cs="Times New Roman"/>
          <w:i/>
          <w:iCs/>
          <w:sz w:val="24"/>
          <w:szCs w:val="24"/>
          <w:highlight w:val="white"/>
        </w:rPr>
        <w:t>NACTA Journal, 65</w:t>
      </w:r>
      <w:r>
        <w:rPr>
          <w:rFonts w:ascii="Times New Roman" w:eastAsia="Times New Roman" w:hAnsi="Times New Roman" w:cs="Times New Roman"/>
          <w:sz w:val="24"/>
          <w:szCs w:val="24"/>
          <w:highlight w:val="white"/>
        </w:rPr>
        <w:t>, 548–557. https://www.jstor.org/stable/27157882</w:t>
      </w:r>
    </w:p>
    <w:p w14:paraId="5C18AD74" w14:textId="77777777" w:rsidR="00420970" w:rsidRDefault="00420970" w:rsidP="00420970">
      <w:pPr>
        <w:spacing w:line="240" w:lineRule="auto"/>
        <w:ind w:left="720" w:hanging="720"/>
        <w:rPr>
          <w:rFonts w:ascii="Roboto" w:eastAsia="Roboto" w:hAnsi="Roboto" w:cs="Roboto"/>
          <w:sz w:val="21"/>
          <w:szCs w:val="21"/>
          <w:highlight w:val="white"/>
        </w:rPr>
      </w:pPr>
    </w:p>
    <w:p w14:paraId="39C31535" w14:textId="77777777" w:rsid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Yin, R. K. (2018). </w:t>
      </w:r>
      <w:r>
        <w:rPr>
          <w:rFonts w:ascii="Times New Roman" w:eastAsia="Times New Roman" w:hAnsi="Times New Roman" w:cs="Times New Roman"/>
          <w:i/>
          <w:iCs/>
          <w:sz w:val="24"/>
          <w:szCs w:val="24"/>
        </w:rPr>
        <w:t>Case study research and applications: Design and methods</w:t>
      </w:r>
      <w:r>
        <w:rPr>
          <w:rFonts w:ascii="Times New Roman" w:eastAsia="Times New Roman" w:hAnsi="Times New Roman" w:cs="Times New Roman"/>
          <w:sz w:val="24"/>
          <w:szCs w:val="24"/>
        </w:rPr>
        <w:t xml:space="preserve"> (6th ed.). SAGE Publications.</w:t>
      </w:r>
    </w:p>
    <w:p w14:paraId="0C115279" w14:textId="77777777" w:rsidR="00420970" w:rsidRDefault="00420970" w:rsidP="00420970">
      <w:pPr>
        <w:spacing w:line="240" w:lineRule="auto"/>
        <w:ind w:left="720" w:hanging="720"/>
        <w:rPr>
          <w:rFonts w:ascii="Times New Roman" w:eastAsia="Times New Roman" w:hAnsi="Times New Roman" w:cs="Times New Roman"/>
          <w:sz w:val="24"/>
          <w:szCs w:val="24"/>
        </w:rPr>
      </w:pPr>
    </w:p>
    <w:p w14:paraId="054640BD" w14:textId="18AC7E4A" w:rsidR="00585AA1" w:rsidRPr="00420970" w:rsidRDefault="00420970" w:rsidP="0042097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Z., Yu, X., &amp; Liu, X. (2022). Do I decide my career? Linking career stress, career exploration, and future work self to career planning or indecision. </w:t>
      </w:r>
      <w:r>
        <w:rPr>
          <w:rFonts w:ascii="Times New Roman" w:eastAsia="Times New Roman" w:hAnsi="Times New Roman" w:cs="Times New Roman"/>
          <w:i/>
          <w:iCs/>
          <w:sz w:val="24"/>
          <w:szCs w:val="24"/>
        </w:rPr>
        <w:t>Frontiers in Psychology, 13</w:t>
      </w:r>
      <w:r>
        <w:rPr>
          <w:rFonts w:ascii="Times New Roman" w:eastAsia="Times New Roman" w:hAnsi="Times New Roman" w:cs="Times New Roman"/>
          <w:sz w:val="24"/>
          <w:szCs w:val="24"/>
        </w:rPr>
        <w:t>, Article 997984. https://doi.org/10.3389/fpsyg.2022.997984</w:t>
      </w:r>
    </w:p>
    <w:sectPr w:rsidR="00585AA1" w:rsidRPr="00420970" w:rsidSect="00420970">
      <w:headerReference w:type="default" r:id="rId6"/>
      <w:footerReference w:type="default" r:id="rId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6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41B6" w14:textId="77777777" w:rsidR="00420970" w:rsidRDefault="0042097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B7E18" w14:textId="77777777" w:rsidR="00420970" w:rsidRDefault="00420970">
    <w:pPr>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25BB"/>
    <w:multiLevelType w:val="multilevel"/>
    <w:tmpl w:val="4C8AA2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2153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70"/>
    <w:rsid w:val="002A6956"/>
    <w:rsid w:val="00420970"/>
    <w:rsid w:val="0052604F"/>
    <w:rsid w:val="00585AA1"/>
    <w:rsid w:val="00821E56"/>
    <w:rsid w:val="008E7694"/>
    <w:rsid w:val="00B24AAD"/>
    <w:rsid w:val="00D04595"/>
    <w:rsid w:val="00D63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A635D2"/>
  <w15:chartTrackingRefBased/>
  <w15:docId w15:val="{77CFE418-B654-DA4C-A5A5-4195A783B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970"/>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4209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9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9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9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9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9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9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970"/>
    <w:rPr>
      <w:rFonts w:eastAsiaTheme="majorEastAsia" w:cstheme="majorBidi"/>
      <w:color w:val="272727" w:themeColor="text1" w:themeTint="D8"/>
    </w:rPr>
  </w:style>
  <w:style w:type="paragraph" w:styleId="Title">
    <w:name w:val="Title"/>
    <w:basedOn w:val="Normal"/>
    <w:next w:val="Normal"/>
    <w:link w:val="TitleChar"/>
    <w:uiPriority w:val="10"/>
    <w:qFormat/>
    <w:rsid w:val="00420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9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970"/>
    <w:pPr>
      <w:spacing w:before="160"/>
      <w:jc w:val="center"/>
    </w:pPr>
    <w:rPr>
      <w:i/>
      <w:iCs/>
      <w:color w:val="404040" w:themeColor="text1" w:themeTint="BF"/>
    </w:rPr>
  </w:style>
  <w:style w:type="character" w:customStyle="1" w:styleId="QuoteChar">
    <w:name w:val="Quote Char"/>
    <w:basedOn w:val="DefaultParagraphFont"/>
    <w:link w:val="Quote"/>
    <w:uiPriority w:val="29"/>
    <w:rsid w:val="00420970"/>
    <w:rPr>
      <w:i/>
      <w:iCs/>
      <w:color w:val="404040" w:themeColor="text1" w:themeTint="BF"/>
    </w:rPr>
  </w:style>
  <w:style w:type="paragraph" w:styleId="ListParagraph">
    <w:name w:val="List Paragraph"/>
    <w:basedOn w:val="Normal"/>
    <w:uiPriority w:val="34"/>
    <w:qFormat/>
    <w:rsid w:val="00420970"/>
    <w:pPr>
      <w:ind w:left="720"/>
      <w:contextualSpacing/>
    </w:pPr>
  </w:style>
  <w:style w:type="character" w:styleId="IntenseEmphasis">
    <w:name w:val="Intense Emphasis"/>
    <w:basedOn w:val="DefaultParagraphFont"/>
    <w:uiPriority w:val="21"/>
    <w:qFormat/>
    <w:rsid w:val="00420970"/>
    <w:rPr>
      <w:i/>
      <w:iCs/>
      <w:color w:val="0F4761" w:themeColor="accent1" w:themeShade="BF"/>
    </w:rPr>
  </w:style>
  <w:style w:type="paragraph" w:styleId="IntenseQuote">
    <w:name w:val="Intense Quote"/>
    <w:basedOn w:val="Normal"/>
    <w:next w:val="Normal"/>
    <w:link w:val="IntenseQuoteChar"/>
    <w:uiPriority w:val="30"/>
    <w:qFormat/>
    <w:rsid w:val="00420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970"/>
    <w:rPr>
      <w:i/>
      <w:iCs/>
      <w:color w:val="0F4761" w:themeColor="accent1" w:themeShade="BF"/>
    </w:rPr>
  </w:style>
  <w:style w:type="character" w:styleId="IntenseReference">
    <w:name w:val="Intense Reference"/>
    <w:basedOn w:val="DefaultParagraphFont"/>
    <w:uiPriority w:val="32"/>
    <w:qFormat/>
    <w:rsid w:val="004209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7422</Words>
  <Characters>43127</Characters>
  <Application>Microsoft Office Word</Application>
  <DocSecurity>0</DocSecurity>
  <Lines>1437</Lines>
  <Paragraphs>856</Paragraphs>
  <ScaleCrop>false</ScaleCrop>
  <Company/>
  <LinksUpToDate>false</LinksUpToDate>
  <CharactersWithSpaces>49693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Ramstad, Joseph E</dc:creator>
  <cp:keywords/>
  <dc:description/>
  <cp:lastModifiedBy>Ramstad, Joseph E</cp:lastModifiedBy>
  <cp:revision>1</cp:revision>
  <dcterms:created xsi:type="dcterms:W3CDTF">2026-03-25T18:37:00Z</dcterms:created>
  <dcterms:modified xsi:type="dcterms:W3CDTF">2026-03-25T18:37:00Z</dcterms:modified>
</cp:coreProperties>
</file>