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229354" w14:textId="7D42B799" w:rsidR="3286584B" w:rsidRDefault="3286584B" w:rsidP="007C3A73">
      <w:pPr>
        <w:spacing w:after="240"/>
        <w:jc w:val="center"/>
        <w:rPr>
          <w:b/>
          <w:bCs/>
        </w:rPr>
      </w:pPr>
      <w:r w:rsidRPr="42812302">
        <w:rPr>
          <w:b/>
          <w:bCs/>
        </w:rPr>
        <w:t>Mapping Trust and Influence in Georgia’s Elementary Agricultural Education Network: A Social Network Analysis of Opinion Leaders</w:t>
      </w:r>
    </w:p>
    <w:p w14:paraId="23C4DA6D" w14:textId="36F31AA5" w:rsidR="00BC082C" w:rsidRPr="00E51B46" w:rsidRDefault="00BC082C" w:rsidP="00D64A18">
      <w:pPr>
        <w:spacing w:after="240"/>
        <w:jc w:val="center"/>
      </w:pPr>
      <w:r w:rsidRPr="00E51B46">
        <w:t>Jessica Boone &amp; Jason Peake, University of Georgia</w:t>
      </w:r>
    </w:p>
    <w:p w14:paraId="10E7DC11" w14:textId="44FA6977" w:rsidR="3286584B" w:rsidRDefault="3286584B" w:rsidP="00D64A18">
      <w:pPr>
        <w:spacing w:after="240"/>
        <w:jc w:val="center"/>
      </w:pPr>
      <w:r w:rsidRPr="0ADBBDC1">
        <w:rPr>
          <w:b/>
          <w:bCs/>
        </w:rPr>
        <w:t xml:space="preserve">Abstract </w:t>
      </w:r>
    </w:p>
    <w:p w14:paraId="58D4DC16" w14:textId="4868C5FC" w:rsidR="68AD4356" w:rsidRDefault="3286584B" w:rsidP="007C3A73">
      <w:pPr>
        <w:ind w:firstLine="720"/>
        <w:rPr>
          <w:b/>
          <w:bCs/>
        </w:rPr>
      </w:pPr>
      <w:r w:rsidRPr="1404152A">
        <w:rPr>
          <w:i/>
          <w:iCs/>
        </w:rPr>
        <w:t xml:space="preserve">Elementary Agricultural Education (EAE) has expanded rapidly in Georgia following recent legislative support, yet little is known about how professional influence and trust operate within this emerging teaching community. This study used social network analysis (SNA) to identify trusted opinion leaders among Georgia elementary agricultural educators and to describe the demographic characteristics of the workforce. A sociometric survey was administered during the 2024-2025 school year to EAE teachers statewide (n = 44). Trust-based professional relationships were analyzed using directed and valued network ties, with in-degree and betweenness centrality used to identify educators recognized as trusted sources of information and those occupying brokerage positions within the network. Results indicated that trust and influence were highly centralized, with a small number of educators receiving the majority of trust nominations and serving as key connectors between otherwise weakly linked peers. Many educators reported limited or no professional connections to other EAE teachers, relying instead on external </w:t>
      </w:r>
      <w:proofErr w:type="gramStart"/>
      <w:r w:rsidRPr="1404152A">
        <w:rPr>
          <w:i/>
          <w:iCs/>
        </w:rPr>
        <w:t>supports</w:t>
      </w:r>
      <w:proofErr w:type="gramEnd"/>
      <w:r w:rsidRPr="1404152A">
        <w:rPr>
          <w:i/>
          <w:iCs/>
        </w:rPr>
        <w:t>. Findings highlight the importance of informal professional networks in shaping access to information and resources during early stages of program implementation. Implications include leveraging trusted educators as mentors and facilitators for professional development while intentionally supporting more isolated teachers to strengthen statewide EAE capacity</w:t>
      </w:r>
      <w:r>
        <w:t>.</w:t>
      </w:r>
    </w:p>
    <w:p w14:paraId="0A08011B" w14:textId="02B50F1B" w:rsidR="68AD4356" w:rsidRDefault="68AD4356" w:rsidP="00D64A18">
      <w:pPr>
        <w:spacing w:after="240"/>
        <w:jc w:val="center"/>
        <w:rPr>
          <w:b/>
          <w:bCs/>
        </w:rPr>
      </w:pPr>
      <w:r w:rsidRPr="1404152A">
        <w:rPr>
          <w:b/>
          <w:bCs/>
        </w:rPr>
        <w:t>Introd</w:t>
      </w:r>
      <w:r w:rsidR="04320208" w:rsidRPr="1404152A">
        <w:rPr>
          <w:b/>
          <w:bCs/>
        </w:rPr>
        <w:t>u</w:t>
      </w:r>
      <w:r w:rsidRPr="1404152A">
        <w:rPr>
          <w:b/>
          <w:bCs/>
        </w:rPr>
        <w:t>ction</w:t>
      </w:r>
    </w:p>
    <w:p w14:paraId="783B2150" w14:textId="59604997" w:rsidR="00010FE0" w:rsidRDefault="00FD2D7D" w:rsidP="00D64A18">
      <w:pPr>
        <w:pStyle w:val="css-1ypebu9"/>
        <w:spacing w:before="0" w:beforeAutospacing="0" w:after="240" w:afterAutospacing="0"/>
        <w:ind w:firstLine="720"/>
      </w:pPr>
      <w:r w:rsidRPr="00FD2D7D">
        <w:t xml:space="preserve">Elementary Agricultural Education (EAE) plays a critical role in fostering young students’ understanding of agriculture and its relevance to everyday life, laying an essential foundation for agricultural literacy and future engagement with food and fiber systems (Knobloch et al., 2007). Despite its documented educational value, agriculture has historically been underrepresented in elementary </w:t>
      </w:r>
      <w:proofErr w:type="gramStart"/>
      <w:r w:rsidRPr="00FD2D7D">
        <w:t>curricula</w:t>
      </w:r>
      <w:proofErr w:type="gramEnd"/>
      <w:r w:rsidRPr="00FD2D7D">
        <w:t xml:space="preserve">, often positioned outside core instructional priorities. Recent legislative action in Georgia has sought to address this gap. In 2018, Governor Nathan Deal signed Georgia Senate Bill 330, establishing the Georgia Agricultural Education Act and amending the Quality Basic Education Act to introduce new program codes for elementary agricultural education (Senate Bill 330, 2018). This legislation launched EAE pilot programs across 25 Georgia elementary schools. By 2022, </w:t>
      </w:r>
      <w:proofErr w:type="gramStart"/>
      <w:r w:rsidRPr="00FD2D7D">
        <w:t>these pilot</w:t>
      </w:r>
      <w:proofErr w:type="gramEnd"/>
      <w:r w:rsidRPr="00FD2D7D">
        <w:t xml:space="preserve"> programs transitioned into formally recognized, ongoing programs through House Bill 1303, contributing to the steady expansion of EAE across the state (Georgia Agriculture Education, 2023</w:t>
      </w:r>
      <w:r w:rsidR="00837015">
        <w:t>;</w:t>
      </w:r>
      <w:r w:rsidR="00837015" w:rsidRPr="00837015">
        <w:t xml:space="preserve"> </w:t>
      </w:r>
      <w:r w:rsidR="00837015" w:rsidRPr="00FD2D7D">
        <w:t>House Bill 1303, 2022</w:t>
      </w:r>
      <w:r w:rsidRPr="00FD2D7D">
        <w:t>).</w:t>
      </w:r>
    </w:p>
    <w:p w14:paraId="591BAD09" w14:textId="11DA2145" w:rsidR="00A66AF9" w:rsidRDefault="00A66AF9" w:rsidP="00010FE0">
      <w:pPr>
        <w:pStyle w:val="css-1ypebu9"/>
        <w:spacing w:before="240" w:beforeAutospacing="0" w:after="240" w:afterAutospacing="0"/>
        <w:ind w:firstLine="720"/>
      </w:pPr>
      <w:r>
        <w:t xml:space="preserve">As EAE programs continue to expand, a critical challenge lies in identifying leadership within this emerging educational space. Because formal elementary agricultural education has only recently been institutionalized, opinion leaders within the field remain largely unidentified. Traditionally, teacher expertise has often been inferred through indicators such as years of teaching experience (Palmer et al., 2001). However, experience alone provides an incomplete picture of influence, particularly within developing professional communities where informal networks play a substantial role in shaping practice. Beyond tenure-based measures, there </w:t>
      </w:r>
      <w:r>
        <w:lastRenderedPageBreak/>
        <w:t>remains no clear, empirically grounded pathway for identifying trusted leaders in elementary agricultural education.</w:t>
      </w:r>
    </w:p>
    <w:p w14:paraId="15CA146E" w14:textId="5903DACD" w:rsidR="00A66AF9" w:rsidRDefault="00A66AF9" w:rsidP="00A66AF9">
      <w:pPr>
        <w:pStyle w:val="NormalWeb"/>
        <w:ind w:firstLine="720"/>
      </w:pPr>
      <w:r>
        <w:t>Social network analysis (SNA) offers a</w:t>
      </w:r>
      <w:r w:rsidR="00E04F14">
        <w:t>n appropriate</w:t>
      </w:r>
      <w:r w:rsidR="00C458B0">
        <w:t xml:space="preserve"> </w:t>
      </w:r>
      <w:r>
        <w:t>methodological approach for addressing this gap. Within educational research, SNA has been increasingly used to identify influential individuals by examining patterns of relationships, information exchange, and trust within professional networks (</w:t>
      </w:r>
      <w:proofErr w:type="spellStart"/>
      <w:r>
        <w:t>Bamakan</w:t>
      </w:r>
      <w:proofErr w:type="spellEnd"/>
      <w:r>
        <w:t xml:space="preserve"> et al., 2019). Opinion leaders function as nodes of knowledge, disseminating information through interpersonal connections and shaping the attitudes and behaviors of their peers (Katz &amp; </w:t>
      </w:r>
      <w:proofErr w:type="spellStart"/>
      <w:r>
        <w:t>Lazarsfeld</w:t>
      </w:r>
      <w:proofErr w:type="spellEnd"/>
      <w:r>
        <w:t>, 200</w:t>
      </w:r>
      <w:r w:rsidR="00D16D8F">
        <w:t>5</w:t>
      </w:r>
      <w:r>
        <w:t>). Their influence emerges not only from content expertise but also from access to information and structurally advantageous positions within social networks (</w:t>
      </w:r>
      <w:proofErr w:type="spellStart"/>
      <w:r>
        <w:t>Lazarsfeld</w:t>
      </w:r>
      <w:proofErr w:type="spellEnd"/>
      <w:r>
        <w:t xml:space="preserve"> et al., 194</w:t>
      </w:r>
      <w:r w:rsidR="00394207">
        <w:t>8</w:t>
      </w:r>
      <w:r>
        <w:t>).</w:t>
      </w:r>
    </w:p>
    <w:p w14:paraId="75AA0C38" w14:textId="77777777" w:rsidR="00010FE0" w:rsidRDefault="00010FE0" w:rsidP="00010FE0">
      <w:pPr>
        <w:spacing w:before="240" w:after="240"/>
        <w:ind w:firstLine="720"/>
      </w:pPr>
      <w:r>
        <w:t>By identifying opinion leaders within the EAE community, researchers can gain insight into how knowledge, resources, and support circulate across the profession, as well as where gaps in communication may exist. Network analysis provides a systematic means of uncovering these patterns by mapping relationships and interactions among educators, allowing researchers to identify key influencers, trace pathways of information flow, and better understand the structure of emerging professional communities (Borgatti et al., 2009; Moolenaar, 2012). Within the context of Georgia’s expanding elementary agricultural education system, such insights are essential for informing professional development efforts, strengthening support structures, and guiding future research and policy initiatives.</w:t>
      </w:r>
    </w:p>
    <w:p w14:paraId="4F91A574" w14:textId="521D5BDA" w:rsidR="672D36BF" w:rsidRPr="005F75FF" w:rsidRDefault="00010FE0" w:rsidP="00C458B0">
      <w:pPr>
        <w:spacing w:before="240" w:after="240"/>
        <w:jc w:val="center"/>
      </w:pPr>
      <w:r>
        <w:rPr>
          <w:b/>
          <w:bCs/>
        </w:rPr>
        <w:t>Research Purpose</w:t>
      </w:r>
    </w:p>
    <w:p w14:paraId="67A00DD5" w14:textId="72FCEF4E" w:rsidR="672D36BF" w:rsidRPr="005F75FF" w:rsidRDefault="7512A459" w:rsidP="76233CE3">
      <w:pPr>
        <w:spacing w:before="240" w:after="240"/>
        <w:ind w:firstLine="720"/>
      </w:pPr>
      <w:r>
        <w:t xml:space="preserve">The purpose of this study was to identify the most trusted sources of information for Elementary </w:t>
      </w:r>
      <w:r w:rsidR="2EFC40D8">
        <w:t>Agricultural</w:t>
      </w:r>
      <w:r>
        <w:t xml:space="preserve"> Educators, both from within the teaching community and from external sources</w:t>
      </w:r>
      <w:r w:rsidR="006C6B2A">
        <w:t>. By examining patterns of trust and information exchange, this study sought to identify key individuals who function as influential actors in the development and support of elementary agricultural education in Georgia. Understanding these trust-based professional networks provides insight into how information, resources, and support are accessed and disseminated within an emerging educational field.</w:t>
      </w:r>
    </w:p>
    <w:p w14:paraId="3B97444C" w14:textId="0E1AAE8F" w:rsidR="672D36BF" w:rsidRPr="005F75FF" w:rsidRDefault="7512A459" w:rsidP="000613B6">
      <w:pPr>
        <w:spacing w:before="240" w:after="240"/>
        <w:ind w:left="720"/>
      </w:pPr>
      <w:r w:rsidRPr="76233CE3">
        <w:t>Objective 1: Describe the demographics of elementary agricultural educators in Georgia.</w:t>
      </w:r>
    </w:p>
    <w:p w14:paraId="7BABF596" w14:textId="7D561013" w:rsidR="672D36BF" w:rsidRPr="005F75FF" w:rsidRDefault="7512A459" w:rsidP="76233CE3">
      <w:pPr>
        <w:spacing w:before="240" w:after="240"/>
        <w:ind w:left="720"/>
      </w:pPr>
      <w:r w:rsidRPr="76233CE3">
        <w:t xml:space="preserve">Objective 2: </w:t>
      </w:r>
      <w:r w:rsidR="00192146" w:rsidRPr="00192146">
        <w:t xml:space="preserve">Identify trusted Georgia elementary agricultural educators whom peers seek out for information and </w:t>
      </w:r>
      <w:r w:rsidR="00222639" w:rsidRPr="00192146">
        <w:t>resources and</w:t>
      </w:r>
      <w:r w:rsidR="00192146" w:rsidRPr="00192146">
        <w:t xml:space="preserve"> examine their centrality within the professional trust network.</w:t>
      </w:r>
    </w:p>
    <w:p w14:paraId="6830E572" w14:textId="0D068B2F" w:rsidR="672D36BF" w:rsidRPr="005F75FF" w:rsidRDefault="68AD4356" w:rsidP="00EC4430">
      <w:pPr>
        <w:spacing w:before="240" w:after="240"/>
        <w:jc w:val="center"/>
      </w:pPr>
      <w:r w:rsidRPr="76233CE3">
        <w:rPr>
          <w:b/>
          <w:bCs/>
        </w:rPr>
        <w:t>Theoretical</w:t>
      </w:r>
      <w:r w:rsidR="0D52DCCA" w:rsidRPr="76233CE3">
        <w:rPr>
          <w:b/>
          <w:bCs/>
        </w:rPr>
        <w:t xml:space="preserve"> and Conceptual</w:t>
      </w:r>
      <w:r w:rsidRPr="76233CE3">
        <w:rPr>
          <w:b/>
          <w:bCs/>
        </w:rPr>
        <w:t xml:space="preserve"> Framework</w:t>
      </w:r>
    </w:p>
    <w:p w14:paraId="0E412964" w14:textId="5930339B" w:rsidR="005F75FF" w:rsidRPr="005F75FF" w:rsidRDefault="23EC3EDF" w:rsidP="76233CE3">
      <w:pPr>
        <w:spacing w:before="240" w:after="240"/>
        <w:ind w:firstLine="720"/>
      </w:pPr>
      <w:r>
        <w:t>Source Credibility Theory (Hovland</w:t>
      </w:r>
      <w:r w:rsidR="0CB2F6A9">
        <w:t xml:space="preserve"> et al.</w:t>
      </w:r>
      <w:r>
        <w:t>,</w:t>
      </w:r>
      <w:r w:rsidR="49F0F35A">
        <w:t xml:space="preserve"> </w:t>
      </w:r>
      <w:r>
        <w:t>1953) and the concept of Opinion Leader</w:t>
      </w:r>
      <w:r w:rsidR="5EFBBA98">
        <w:t>s</w:t>
      </w:r>
      <w:r>
        <w:t xml:space="preserve"> (</w:t>
      </w:r>
      <w:proofErr w:type="spellStart"/>
      <w:r w:rsidR="7EAE1B81">
        <w:t>Lazarsfeld</w:t>
      </w:r>
      <w:proofErr w:type="spellEnd"/>
      <w:r w:rsidR="7EAE1B81">
        <w:t xml:space="preserve"> et al.,</w:t>
      </w:r>
      <w:r w:rsidR="061DDC64">
        <w:t xml:space="preserve"> </w:t>
      </w:r>
      <w:r w:rsidR="7EAE1B81">
        <w:t>194</w:t>
      </w:r>
      <w:r w:rsidR="00394207">
        <w:t>8</w:t>
      </w:r>
      <w:r>
        <w:t xml:space="preserve">) </w:t>
      </w:r>
      <w:r w:rsidR="1A47EA64">
        <w:t xml:space="preserve">will </w:t>
      </w:r>
      <w:r w:rsidR="6981E33F">
        <w:t>serve as a</w:t>
      </w:r>
      <w:r w:rsidR="41DC7B87">
        <w:t xml:space="preserve"> lens</w:t>
      </w:r>
      <w:r w:rsidR="1A47EA64">
        <w:t xml:space="preserve"> for</w:t>
      </w:r>
      <w:r>
        <w:t xml:space="preserve"> </w:t>
      </w:r>
      <w:r w:rsidR="67684866">
        <w:t>identifying</w:t>
      </w:r>
      <w:r>
        <w:t xml:space="preserve"> key players in </w:t>
      </w:r>
      <w:r w:rsidR="6F43A38B">
        <w:t>EAE</w:t>
      </w:r>
      <w:r>
        <w:t xml:space="preserve">. Source Credibility Theory </w:t>
      </w:r>
      <w:r w:rsidR="4E3F5C0C">
        <w:t xml:space="preserve">states </w:t>
      </w:r>
      <w:r>
        <w:t xml:space="preserve">that </w:t>
      </w:r>
      <w:r w:rsidR="0DF5E816">
        <w:t xml:space="preserve">a message source's credibility can significantly influence </w:t>
      </w:r>
      <w:proofErr w:type="gramStart"/>
      <w:r w:rsidR="0DF5E816">
        <w:t>a communication's</w:t>
      </w:r>
      <w:proofErr w:type="gramEnd"/>
      <w:r w:rsidR="0DF5E816">
        <w:t xml:space="preserve"> persuasiveness</w:t>
      </w:r>
      <w:r>
        <w:t>. Trust is a crucial factor in source credibility, with individuals being more likely to accept messages from sources they perceive as trustworthy (Hovland</w:t>
      </w:r>
      <w:r w:rsidR="0CB2F6A9">
        <w:t xml:space="preserve"> et al.</w:t>
      </w:r>
      <w:r>
        <w:t xml:space="preserve">, 1953). Trust can be understood as the public's confidence in the abilities of specific individuals or groups, along with the belief in their accountability for their actions (Barber, 1987; </w:t>
      </w:r>
      <w:r>
        <w:lastRenderedPageBreak/>
        <w:t xml:space="preserve">Tschannen-Moran &amp; Hoy, 2000). In the context of interpersonal communication, relationship trust focuses on </w:t>
      </w:r>
      <w:r w:rsidR="67EEB737">
        <w:t>“</w:t>
      </w:r>
      <w:r>
        <w:t>the factors that create or destroy trust in individuals involved in a personal or work relationship</w:t>
      </w:r>
      <w:r w:rsidR="40D31B06">
        <w:t>”</w:t>
      </w:r>
      <w:r>
        <w:t xml:space="preserve"> (Kini &amp; </w:t>
      </w:r>
      <w:proofErr w:type="spellStart"/>
      <w:r>
        <w:t>Choobineh</w:t>
      </w:r>
      <w:proofErr w:type="spellEnd"/>
      <w:r>
        <w:t xml:space="preserve">, </w:t>
      </w:r>
      <w:r w:rsidR="30939133">
        <w:t xml:space="preserve">1998, </w:t>
      </w:r>
      <w:r>
        <w:t>p. 5).</w:t>
      </w:r>
      <w:r w:rsidR="72143584">
        <w:t xml:space="preserve"> </w:t>
      </w:r>
    </w:p>
    <w:p w14:paraId="1388A798" w14:textId="1B85AEA2" w:rsidR="005F75FF" w:rsidRPr="005F75FF" w:rsidRDefault="23EC3EDF" w:rsidP="00E51B46">
      <w:pPr>
        <w:spacing w:after="240"/>
        <w:ind w:firstLine="720"/>
      </w:pPr>
      <w:r>
        <w:t xml:space="preserve">Opinion leaders play a critical role in </w:t>
      </w:r>
      <w:r w:rsidR="591D0318">
        <w:t>social networks</w:t>
      </w:r>
      <w:r>
        <w:t xml:space="preserve"> as they are the individuals to whom others turn for advice and information (</w:t>
      </w:r>
      <w:proofErr w:type="spellStart"/>
      <w:r>
        <w:t>Lazarsfeld</w:t>
      </w:r>
      <w:proofErr w:type="spellEnd"/>
      <w:r w:rsidR="7EAE1B81">
        <w:t xml:space="preserve"> et al.</w:t>
      </w:r>
      <w:r>
        <w:t>, 194</w:t>
      </w:r>
      <w:r w:rsidR="00394207">
        <w:t>8</w:t>
      </w:r>
      <w:r>
        <w:t>). Opinion leaders often possess high levels of expertise and are trusted by their peers</w:t>
      </w:r>
      <w:r w:rsidR="7EAE1B81">
        <w:t xml:space="preserve"> (</w:t>
      </w:r>
      <w:proofErr w:type="spellStart"/>
      <w:r w:rsidR="7EAE1B81">
        <w:t>Lazarsfeld</w:t>
      </w:r>
      <w:proofErr w:type="spellEnd"/>
      <w:r w:rsidR="0CB2F6A9">
        <w:t xml:space="preserve"> et al.</w:t>
      </w:r>
      <w:r w:rsidR="7EAE1B81">
        <w:t>, 194</w:t>
      </w:r>
      <w:r w:rsidR="00394207">
        <w:t>8</w:t>
      </w:r>
      <w:r w:rsidR="7EAE1B81">
        <w:t>).</w:t>
      </w:r>
      <w:r>
        <w:t xml:space="preserve"> They play a key role in shaping the attitudes and behaviors of those in their social networks</w:t>
      </w:r>
      <w:r w:rsidR="7EAE1B81">
        <w:t xml:space="preserve"> (</w:t>
      </w:r>
      <w:proofErr w:type="spellStart"/>
      <w:r w:rsidR="7EAE1B81">
        <w:t>Lazarsfeld</w:t>
      </w:r>
      <w:proofErr w:type="spellEnd"/>
      <w:r w:rsidR="0CB2F6A9">
        <w:t xml:space="preserve"> et al.</w:t>
      </w:r>
      <w:r w:rsidR="7EAE1B81">
        <w:t>, 194</w:t>
      </w:r>
      <w:r w:rsidR="00394207">
        <w:t>8</w:t>
      </w:r>
      <w:r w:rsidR="7EAE1B81">
        <w:t>)</w:t>
      </w:r>
      <w:r>
        <w:t>.</w:t>
      </w:r>
      <w:r w:rsidR="426FBDE5">
        <w:t xml:space="preserve"> </w:t>
      </w:r>
      <w:r>
        <w:t xml:space="preserve">By combining Source Credibility Theory and the concept of Opinion Leadership, this study will seek to identify the key players in elementary agricultural education who possess high levels of trust and credibility among their peers. By understanding who the trusted sources of information and advice are </w:t>
      </w:r>
      <w:r w:rsidR="00833F5E">
        <w:t>knowledgeable,</w:t>
      </w:r>
      <w:r w:rsidR="52A44500">
        <w:t xml:space="preserve"> opinion leaders can be identified to assist in future </w:t>
      </w:r>
      <w:r w:rsidR="351D6742">
        <w:t>EAE research.</w:t>
      </w:r>
    </w:p>
    <w:p w14:paraId="2F7D2F38" w14:textId="42F577B4" w:rsidR="0A4160C2" w:rsidRDefault="0A4160C2" w:rsidP="00E51B46">
      <w:pPr>
        <w:pStyle w:val="css-qffaiu"/>
        <w:spacing w:beforeAutospacing="0"/>
        <w:ind w:firstLine="720"/>
        <w:rPr>
          <w:rFonts w:ascii="Times New Roman" w:eastAsia="Times New Roman" w:hAnsi="Times New Roman" w:cs="Times New Roman"/>
          <w:color w:val="000000" w:themeColor="text1"/>
        </w:rPr>
      </w:pPr>
      <w:r w:rsidRPr="5FCB472B">
        <w:rPr>
          <w:rFonts w:ascii="Times New Roman" w:eastAsia="Times New Roman" w:hAnsi="Times New Roman" w:cs="Times New Roman"/>
          <w:color w:val="000000" w:themeColor="text1"/>
        </w:rPr>
        <w:t xml:space="preserve">The evolution of opinion leadership research has revealed increasingly complex mechanisms of knowledge transmission. </w:t>
      </w:r>
      <w:proofErr w:type="spellStart"/>
      <w:r w:rsidRPr="5FCB472B">
        <w:rPr>
          <w:rFonts w:ascii="Times New Roman" w:eastAsia="Times New Roman" w:hAnsi="Times New Roman" w:cs="Times New Roman"/>
          <w:color w:val="000000" w:themeColor="text1"/>
        </w:rPr>
        <w:t>Basera</w:t>
      </w:r>
      <w:proofErr w:type="spellEnd"/>
      <w:r w:rsidRPr="5FCB472B">
        <w:rPr>
          <w:rFonts w:ascii="Times New Roman" w:eastAsia="Times New Roman" w:hAnsi="Times New Roman" w:cs="Times New Roman"/>
          <w:color w:val="000000" w:themeColor="text1"/>
        </w:rPr>
        <w:t xml:space="preserve"> and Bhardwaj (2022) illuminated this complexity through their pioneering work on agricultural knowledge networks, demonstrating that opinion leadership transcends simple expertise. Islam and Rahman (2016) further expanded this understanding by applying social network analysis to identify climate change adaptation opinion leaders, revealing the ways expertise and social positioning intersect in knowledge dissemination. </w:t>
      </w:r>
    </w:p>
    <w:p w14:paraId="7F040C82" w14:textId="657BF079" w:rsidR="0A4160C2" w:rsidRDefault="0A4160C2" w:rsidP="00E51B46">
      <w:pPr>
        <w:pStyle w:val="css-qffaiu"/>
        <w:spacing w:beforeAutospacing="0"/>
        <w:ind w:firstLine="720"/>
        <w:rPr>
          <w:rFonts w:ascii="Times New Roman" w:eastAsia="Times New Roman" w:hAnsi="Times New Roman" w:cs="Times New Roman"/>
          <w:color w:val="000000" w:themeColor="text1"/>
        </w:rPr>
      </w:pPr>
      <w:r w:rsidRPr="5FCB472B">
        <w:rPr>
          <w:rFonts w:ascii="Times New Roman" w:eastAsia="Times New Roman" w:hAnsi="Times New Roman" w:cs="Times New Roman"/>
          <w:color w:val="000000" w:themeColor="text1"/>
        </w:rPr>
        <w:t>Central to this understanding is the concept of trust, a critical construct that serves as the foundation of effective communication. A seminal definition conceptualizes trust as the willingness of an individual to be vulnerable to the actions of another, creating a complex psychological landscape of expectation and risk (Mayer et al., 1995). Scholars have long grappled with trust's multifaceted nature, viewing it as a phenomenon where public confidence and accountability engage in a delicate dance. Trust emerges as a complex psychological phenomenon. As Rousseau et al. (1998) articulate, trust represents "a psychological state comprising the intention to accept vulnerability based upon positive expectations" (pp. 395-397). Beyond theoretical abstraction, this definition captures the human tendency to lean into potential, to suspend doubt, and to imagine constructive outcomes in unpredictability.</w:t>
      </w:r>
    </w:p>
    <w:p w14:paraId="5B9CE506" w14:textId="0451245B" w:rsidR="0A4160C2" w:rsidRDefault="0A4160C2" w:rsidP="5FCB472B">
      <w:pPr>
        <w:pStyle w:val="css-qffaiu"/>
        <w:spacing w:before="240" w:beforeAutospacing="0"/>
        <w:ind w:firstLine="720"/>
        <w:rPr>
          <w:rFonts w:ascii="Times New Roman" w:eastAsia="Times New Roman" w:hAnsi="Times New Roman" w:cs="Times New Roman"/>
          <w:color w:val="000000" w:themeColor="text1"/>
        </w:rPr>
      </w:pPr>
      <w:r w:rsidRPr="5FCB472B">
        <w:rPr>
          <w:rFonts w:ascii="Times New Roman" w:eastAsia="Times New Roman" w:hAnsi="Times New Roman" w:cs="Times New Roman"/>
          <w:color w:val="000000" w:themeColor="text1"/>
        </w:rPr>
        <w:t>Technological advancements have further sophisticated our understanding of opinion leadership. Yang et al. (2022) introduced a computational approach to detecting local opinion leaders within semantic social networks. Their research unveiled how opinion leadership emerges through intricate patterns of information flow, challenging traditional linear models of knowledge transfer.</w:t>
      </w:r>
    </w:p>
    <w:p w14:paraId="380D590D" w14:textId="5585A78F" w:rsidR="0A4160C2" w:rsidRDefault="0A4160C2" w:rsidP="5FCB472B">
      <w:pPr>
        <w:pStyle w:val="css-qffaiu"/>
        <w:spacing w:before="240" w:beforeAutospacing="0"/>
        <w:ind w:firstLine="720"/>
        <w:rPr>
          <w:rFonts w:ascii="Times New Roman" w:eastAsia="Times New Roman" w:hAnsi="Times New Roman" w:cs="Times New Roman"/>
          <w:color w:val="000000" w:themeColor="text1"/>
        </w:rPr>
      </w:pPr>
      <w:r w:rsidRPr="5FCB472B">
        <w:rPr>
          <w:rFonts w:ascii="Times New Roman" w:eastAsia="Times New Roman" w:hAnsi="Times New Roman" w:cs="Times New Roman"/>
          <w:color w:val="000000" w:themeColor="text1"/>
        </w:rPr>
        <w:t xml:space="preserve">Ethnographic research provides critical contextual insights into these dynamics. Abdel-Ghany's (2012) village-level study in Egypt offered an examination of how opinion </w:t>
      </w:r>
      <w:proofErr w:type="gramStart"/>
      <w:r w:rsidRPr="5FCB472B">
        <w:rPr>
          <w:rFonts w:ascii="Times New Roman" w:eastAsia="Times New Roman" w:hAnsi="Times New Roman" w:cs="Times New Roman"/>
          <w:color w:val="000000" w:themeColor="text1"/>
        </w:rPr>
        <w:t>leaders</w:t>
      </w:r>
      <w:proofErr w:type="gramEnd"/>
      <w:r w:rsidRPr="5FCB472B">
        <w:rPr>
          <w:rFonts w:ascii="Times New Roman" w:eastAsia="Times New Roman" w:hAnsi="Times New Roman" w:cs="Times New Roman"/>
          <w:color w:val="000000" w:themeColor="text1"/>
        </w:rPr>
        <w:t xml:space="preserve"> function within localized social ecosystems. This research highlighted the profound ways social networks create, sustain, and transform knowledge hierarchies, revealing trust as an invisible yet powerful structural element. Sociological perspectives challenge individualistic interpretations of trust. Lewis and Weigert (1985) reimagine trust as an emergent property of social systems, a complex, adaptive network reducing societal complexity. Imagine trust as an invisible </w:t>
      </w:r>
      <w:r w:rsidRPr="5FCB472B">
        <w:rPr>
          <w:rFonts w:ascii="Times New Roman" w:eastAsia="Times New Roman" w:hAnsi="Times New Roman" w:cs="Times New Roman"/>
          <w:color w:val="000000" w:themeColor="text1"/>
        </w:rPr>
        <w:lastRenderedPageBreak/>
        <w:t>architectural structure: simultaneously robust and fluid, connecting individuals through invisible yet powerful relational threads.</w:t>
      </w:r>
    </w:p>
    <w:p w14:paraId="7CF3F17F" w14:textId="51C6B541" w:rsidR="5FCB472B" w:rsidRPr="00222639" w:rsidRDefault="0A4160C2" w:rsidP="00222639">
      <w:pPr>
        <w:pStyle w:val="css-qffaiu"/>
        <w:spacing w:before="240" w:beforeAutospacing="0"/>
        <w:ind w:firstLine="720"/>
        <w:rPr>
          <w:rFonts w:ascii="Times New Roman" w:eastAsia="Times New Roman" w:hAnsi="Times New Roman" w:cs="Times New Roman"/>
          <w:color w:val="000000" w:themeColor="text1"/>
        </w:rPr>
      </w:pPr>
      <w:r w:rsidRPr="5FCB472B">
        <w:rPr>
          <w:rFonts w:ascii="Times New Roman" w:eastAsia="Times New Roman" w:hAnsi="Times New Roman" w:cs="Times New Roman"/>
          <w:color w:val="000000" w:themeColor="text1"/>
        </w:rPr>
        <w:t xml:space="preserve">The traditional understanding of opinion leaders, pioneered by </w:t>
      </w:r>
      <w:proofErr w:type="spellStart"/>
      <w:r w:rsidRPr="5FCB472B">
        <w:rPr>
          <w:rFonts w:ascii="Times New Roman" w:eastAsia="Times New Roman" w:hAnsi="Times New Roman" w:cs="Times New Roman"/>
          <w:color w:val="000000" w:themeColor="text1"/>
        </w:rPr>
        <w:t>Lazarsfeld</w:t>
      </w:r>
      <w:proofErr w:type="spellEnd"/>
      <w:r w:rsidRPr="5FCB472B">
        <w:rPr>
          <w:rFonts w:ascii="Times New Roman" w:eastAsia="Times New Roman" w:hAnsi="Times New Roman" w:cs="Times New Roman"/>
          <w:color w:val="000000" w:themeColor="text1"/>
        </w:rPr>
        <w:t xml:space="preserve"> et al. (194</w:t>
      </w:r>
      <w:r w:rsidR="00394207">
        <w:rPr>
          <w:rFonts w:ascii="Times New Roman" w:eastAsia="Times New Roman" w:hAnsi="Times New Roman" w:cs="Times New Roman"/>
          <w:color w:val="000000" w:themeColor="text1"/>
        </w:rPr>
        <w:t>8</w:t>
      </w:r>
      <w:r w:rsidRPr="5FCB472B">
        <w:rPr>
          <w:rFonts w:ascii="Times New Roman" w:eastAsia="Times New Roman" w:hAnsi="Times New Roman" w:cs="Times New Roman"/>
          <w:color w:val="000000" w:themeColor="text1"/>
        </w:rPr>
        <w:t>), positioned these individuals as critical network nodes. More than mere information carriers, they were trusted peers capable of reshaping collective attitudes through refined social interactions. Empirical studies continue to unravel these complex dynamics, revealing</w:t>
      </w:r>
      <w:r w:rsidR="00F55A19" w:rsidRPr="00F55A19">
        <w:rPr>
          <w:rFonts w:ascii="Times New Roman" w:eastAsia="Times New Roman" w:hAnsi="Times New Roman" w:cs="Times New Roman"/>
          <w:color w:val="000000" w:themeColor="text1"/>
        </w:rPr>
        <w:t xml:space="preserve"> that opinion leadership emerges through social positioning and access to relational pathways rather than expertise alone</w:t>
      </w:r>
      <w:r w:rsidR="00F55A19">
        <w:rPr>
          <w:rFonts w:ascii="Times New Roman" w:eastAsia="Times New Roman" w:hAnsi="Times New Roman" w:cs="Times New Roman"/>
          <w:color w:val="000000" w:themeColor="text1"/>
        </w:rPr>
        <w:t xml:space="preserve"> </w:t>
      </w:r>
      <w:r w:rsidRPr="5FCB472B">
        <w:rPr>
          <w:rFonts w:ascii="Times New Roman" w:eastAsia="Times New Roman" w:hAnsi="Times New Roman" w:cs="Times New Roman"/>
          <w:color w:val="000000" w:themeColor="text1"/>
        </w:rPr>
        <w:t>(</w:t>
      </w:r>
      <w:r w:rsidR="00F55A19" w:rsidRPr="00F55A19">
        <w:rPr>
          <w:rFonts w:ascii="Times New Roman" w:eastAsia="Times New Roman" w:hAnsi="Times New Roman" w:cs="Times New Roman"/>
          <w:color w:val="000000" w:themeColor="text1"/>
        </w:rPr>
        <w:t>Katz, 1957; Valente, 2012</w:t>
      </w:r>
      <w:r w:rsidRPr="5FCB472B">
        <w:rPr>
          <w:rFonts w:ascii="Times New Roman" w:eastAsia="Times New Roman" w:hAnsi="Times New Roman" w:cs="Times New Roman"/>
          <w:color w:val="000000" w:themeColor="text1"/>
        </w:rPr>
        <w:t>).</w:t>
      </w:r>
      <w:r w:rsidR="00222639">
        <w:rPr>
          <w:rFonts w:ascii="Times New Roman" w:eastAsia="Times New Roman" w:hAnsi="Times New Roman" w:cs="Times New Roman"/>
          <w:color w:val="000000" w:themeColor="text1"/>
        </w:rPr>
        <w:t xml:space="preserve"> </w:t>
      </w:r>
      <w:r w:rsidRPr="5FCB472B">
        <w:rPr>
          <w:rFonts w:ascii="Times New Roman" w:eastAsia="Times New Roman" w:hAnsi="Times New Roman" w:cs="Times New Roman"/>
          <w:color w:val="000000" w:themeColor="text1"/>
        </w:rPr>
        <w:t>The critical link between trust and opinion leadership becomes increasingly apparent. Trust serves not as a passive backdrop but as the primary mechanism through which influential individuals shape collective understanding (Phelps et al., 2012). Within professional networks, trusted individuals transform into knowledge brokers, their credibility functioning as the primary currency of social influence (</w:t>
      </w:r>
      <w:r w:rsidR="00152BDD">
        <w:rPr>
          <w:rFonts w:ascii="Times New Roman" w:eastAsia="Times New Roman" w:hAnsi="Times New Roman" w:cs="Times New Roman"/>
          <w:color w:val="000000" w:themeColor="text1"/>
        </w:rPr>
        <w:t>Burt, 2004</w:t>
      </w:r>
      <w:r w:rsidRPr="5FCB472B">
        <w:rPr>
          <w:rFonts w:ascii="Times New Roman" w:eastAsia="Times New Roman" w:hAnsi="Times New Roman" w:cs="Times New Roman"/>
          <w:color w:val="000000" w:themeColor="text1"/>
        </w:rPr>
        <w:t xml:space="preserve">). By synthesizing Source Credibility Theory and contemporary research, this study aims to map the intricate landscape of trust and information exchange in the Elementary Agricultural Education network. The research seeks to </w:t>
      </w:r>
      <w:proofErr w:type="gramStart"/>
      <w:r w:rsidRPr="5FCB472B">
        <w:rPr>
          <w:rFonts w:ascii="Times New Roman" w:eastAsia="Times New Roman" w:hAnsi="Times New Roman" w:cs="Times New Roman"/>
          <w:color w:val="000000" w:themeColor="text1"/>
        </w:rPr>
        <w:t>discovery</w:t>
      </w:r>
      <w:proofErr w:type="gramEnd"/>
      <w:r w:rsidRPr="5FCB472B">
        <w:rPr>
          <w:rFonts w:ascii="Times New Roman" w:eastAsia="Times New Roman" w:hAnsi="Times New Roman" w:cs="Times New Roman"/>
          <w:color w:val="000000" w:themeColor="text1"/>
        </w:rPr>
        <w:t xml:space="preserve"> mechanisms of knowledge transmission and revealing how trust acts as an agent, transforming information into meaningful action.</w:t>
      </w:r>
    </w:p>
    <w:p w14:paraId="50816654" w14:textId="05605E78" w:rsidR="005F75FF" w:rsidRPr="005F75FF" w:rsidRDefault="68AD4356" w:rsidP="00222639">
      <w:pPr>
        <w:spacing w:before="240" w:after="240"/>
        <w:jc w:val="center"/>
        <w:rPr>
          <w:b/>
          <w:bCs/>
        </w:rPr>
      </w:pPr>
      <w:r w:rsidRPr="76233CE3">
        <w:rPr>
          <w:b/>
          <w:bCs/>
        </w:rPr>
        <w:t>Methods</w:t>
      </w:r>
    </w:p>
    <w:p w14:paraId="71A07415" w14:textId="4EB5888D" w:rsidR="000F15DB" w:rsidRDefault="008B1B70" w:rsidP="000F15DB">
      <w:pPr>
        <w:pStyle w:val="paragraph"/>
        <w:spacing w:before="0" w:beforeAutospacing="0" w:after="240" w:afterAutospacing="0"/>
        <w:ind w:firstLine="720"/>
        <w:textAlignment w:val="baseline"/>
        <w:rPr>
          <w:rStyle w:val="normaltextrun"/>
          <w:rFonts w:eastAsiaTheme="majorEastAsia"/>
        </w:rPr>
      </w:pPr>
      <w:r>
        <w:rPr>
          <w:rStyle w:val="normaltextrun"/>
          <w:rFonts w:eastAsiaTheme="majorEastAsia"/>
          <w:color w:val="000000"/>
        </w:rPr>
        <w:t xml:space="preserve">To determine the ties and social relationships for Elementary Agricultural Education teachers, Social Network Analysis guided the methodological approach. SNA provides researchers with a visual representation of relationships within a network (Borgatti et al., 2009). A common application of SNA involves viewing networks as a typology of ties through analyzing connections between individuals (Borgatti et al., 2009). </w:t>
      </w:r>
      <w:r w:rsidR="000F15DB">
        <w:rPr>
          <w:rStyle w:val="normaltextrun"/>
          <w:rFonts w:eastAsiaTheme="majorEastAsia"/>
        </w:rPr>
        <w:t>In this study, the relationships between social relations, interactions, and flows (resources) are analyzed in terms of who is trusted and to what level of trust each identified member of the network is (Borgatti et al., 2018). This study aims to reach beyond the bonding of individual nodes through degree centrality to identify the level of trust with each node at the dyad level (Borgatti et al., 2009; Borgatti &amp; Ofe</w:t>
      </w:r>
      <w:r w:rsidR="007B6549">
        <w:rPr>
          <w:rStyle w:val="normaltextrun"/>
          <w:rFonts w:eastAsiaTheme="majorEastAsia"/>
        </w:rPr>
        <w:t>m</w:t>
      </w:r>
      <w:r w:rsidR="000F15DB">
        <w:rPr>
          <w:rStyle w:val="normaltextrun"/>
          <w:rFonts w:eastAsiaTheme="majorEastAsia"/>
        </w:rPr>
        <w:t>, 2010). </w:t>
      </w:r>
    </w:p>
    <w:p w14:paraId="32156534" w14:textId="7DA41D84" w:rsidR="008B1B70" w:rsidRDefault="008B1B70" w:rsidP="008B1B70">
      <w:pPr>
        <w:pStyle w:val="paragraph"/>
        <w:spacing w:before="0" w:beforeAutospacing="0" w:after="240" w:afterAutospacing="0"/>
        <w:ind w:firstLine="720"/>
        <w:textAlignment w:val="baseline"/>
        <w:rPr>
          <w:rFonts w:ascii="Segoe UI" w:hAnsi="Segoe UI" w:cs="Segoe UI"/>
          <w:sz w:val="18"/>
          <w:szCs w:val="18"/>
        </w:rPr>
      </w:pPr>
      <w:r>
        <w:rPr>
          <w:rStyle w:val="normaltextrun"/>
          <w:rFonts w:eastAsiaTheme="majorEastAsia"/>
          <w:color w:val="000000"/>
        </w:rPr>
        <w:t>The study aimed to analyze relationships between social relations, interactions, and resource flows, specifically examining who is trusted and the level of trust for each identified network member (Borgatti et al., 2018). By extending beyond simple node connectivity, the research sought to reach beyond bonding individual nodes through degree centrality to identify trust levels at the dyad level (Borgatti et al., 2009; Borgatti &amp; Ofe</w:t>
      </w:r>
      <w:r w:rsidR="007B6549">
        <w:rPr>
          <w:rStyle w:val="normaltextrun"/>
          <w:rFonts w:eastAsiaTheme="majorEastAsia"/>
          <w:color w:val="000000"/>
        </w:rPr>
        <w:t>m</w:t>
      </w:r>
      <w:r>
        <w:rPr>
          <w:rStyle w:val="normaltextrun"/>
          <w:rFonts w:eastAsiaTheme="majorEastAsia"/>
          <w:color w:val="000000"/>
        </w:rPr>
        <w:t>, 2010).</w:t>
      </w:r>
      <w:r>
        <w:rPr>
          <w:rStyle w:val="eop"/>
          <w:rFonts w:eastAsiaTheme="majorEastAsia"/>
          <w:color w:val="000000"/>
        </w:rPr>
        <w:t> </w:t>
      </w:r>
    </w:p>
    <w:p w14:paraId="0A55BB13" w14:textId="76A6DB9E" w:rsidR="005F75FF" w:rsidRDefault="008B1B70" w:rsidP="00655710">
      <w:pPr>
        <w:pStyle w:val="paragraph"/>
        <w:spacing w:before="0" w:beforeAutospacing="0" w:after="240" w:afterAutospacing="0"/>
        <w:ind w:firstLine="720"/>
        <w:textAlignment w:val="baseline"/>
        <w:rPr>
          <w:rStyle w:val="eop"/>
          <w:rFonts w:eastAsiaTheme="majorEastAsia"/>
          <w:color w:val="000000"/>
        </w:rPr>
      </w:pPr>
      <w:r>
        <w:rPr>
          <w:rStyle w:val="normaltextrun"/>
          <w:rFonts w:eastAsiaTheme="majorEastAsia"/>
          <w:color w:val="000000"/>
        </w:rPr>
        <w:t>Trust levels were quantified and attached as an additional value to each node, providing a clearer understanding of network dynamics. This approach allowed for a multidimensional representation of professional relationships, moving beyond binary connection assessments to capture the qualitative depth of interpersonal trust (Borgatti et al., 2018). By incorporating trust as a measurable network attribute, a more comprehensive exploration of how trust operates in professional knowledge networks, particularly within the context of Elementary Agricultural Education.</w:t>
      </w:r>
      <w:r>
        <w:rPr>
          <w:rStyle w:val="eop"/>
          <w:rFonts w:eastAsiaTheme="majorEastAsia"/>
          <w:color w:val="000000"/>
        </w:rPr>
        <w:t> </w:t>
      </w:r>
    </w:p>
    <w:p w14:paraId="523AED82" w14:textId="3145BC4D" w:rsidR="007F4C83" w:rsidRPr="007F4C83" w:rsidRDefault="007F4C83" w:rsidP="007F4C83">
      <w:pPr>
        <w:pStyle w:val="paragraph"/>
        <w:spacing w:after="240"/>
        <w:ind w:firstLine="720"/>
        <w:textAlignment w:val="baseline"/>
      </w:pPr>
      <w:r w:rsidRPr="007F4C83">
        <w:lastRenderedPageBreak/>
        <w:t>Social Network Analysis offers a rigorous methodological approach for examining professional interactions by conceptualizing relationships as structured patterns of ties among actors rather than isolated individual attributes (Borgatti et al., 2009). By modeling professional networks as dynamic systems, SNA captures complex relational dynamics that conventional analytic techniques often overlook, including how trust, information, and influence circulate through professional communities (Burt et al., 2013; Marin &amp; Wellman, 2011). Unlike traditional approaches that treat interactions as linear or dyadic, SNA enables researchers to visualize and analyze multilevel patterns of communication and influence, revealing emergent structures within professional networks (</w:t>
      </w:r>
      <w:r w:rsidR="00152BDD">
        <w:t>Wasserman &amp; Faust, 1994</w:t>
      </w:r>
      <w:r w:rsidRPr="007F4C83">
        <w:t>).</w:t>
      </w:r>
    </w:p>
    <w:p w14:paraId="26C8F26D" w14:textId="5CC2C6FE" w:rsidR="007F4C83" w:rsidRPr="007F4C83" w:rsidRDefault="007F4C83" w:rsidP="0084694F">
      <w:pPr>
        <w:pStyle w:val="paragraph"/>
        <w:spacing w:after="240"/>
        <w:ind w:firstLine="720"/>
        <w:textAlignment w:val="baseline"/>
      </w:pPr>
      <w:r w:rsidRPr="007F4C83">
        <w:t>Within this framework, network nodes are conceptualized not merely as points of connection but as sources of relational information that reflect how individuals interact, share knowledge, and exert influence (Borgatti &amp; Ofem, 2010). This perspective allows professional networks to be examined as adaptive systems rather than static structures, making visible the subtle flows of trust and information that shape practice but often remain hidden in conventional analyses. In the present study, SNA was applied to examine trust-based professional relationships among Elementary Agricultural Education (EAE) teachers, with relationships analyzed as directed and valued ties representing both the presence and strength of trust (Borgatti et al., 2018). By incorporating trust intensity at the dyadic level, this approach moves beyond binary representations of connectivity and enables identification of educators who are both highly trusted and structurally influential within the network (Borgatti et al., 2009; Borgatti &amp; Ofem, 2010).</w:t>
      </w:r>
    </w:p>
    <w:p w14:paraId="18DB4AC4" w14:textId="7879502D" w:rsidR="00F16AA7" w:rsidRPr="007F4C83" w:rsidRDefault="007F4C83" w:rsidP="0813F13E">
      <w:pPr>
        <w:pStyle w:val="paragraph"/>
        <w:spacing w:before="0" w:beforeAutospacing="0" w:after="240" w:afterAutospacing="0"/>
        <w:ind w:firstLine="720"/>
        <w:textAlignment w:val="baseline"/>
      </w:pPr>
      <w:r>
        <w:t>Although SNA provides powerful analytic advantages, it also presents challenges related to network completeness and respondent bias, particularly in emergent professional communities. Prior research indicates that incomplete participation can influence observed network structure and centrality estimates (Wagner et al., 201</w:t>
      </w:r>
      <w:r w:rsidR="45944953">
        <w:t>7; Wasserman &amp; Faust, 1994</w:t>
      </w:r>
      <w:r>
        <w:t>), and self-reported network data may reflect perceptual limitations (Butts, 2008). Accordingly, findings from this study are interpreted within the context of a bounded and evolving professional network, emphasizing methodological transparency and analytic rigor rather than assumptions of complete coverage (Cross et al., 2002</w:t>
      </w:r>
      <w:r w:rsidR="0C6628DB">
        <w:t>; Mouw &amp; Verdery, 2012</w:t>
      </w:r>
      <w:r>
        <w:t>).</w:t>
      </w:r>
    </w:p>
    <w:p w14:paraId="785487E6" w14:textId="1A3714E9" w:rsidR="005F75FF" w:rsidRPr="00655710" w:rsidRDefault="70DFE25D" w:rsidP="76233CE3">
      <w:pPr>
        <w:spacing w:before="240" w:after="240"/>
        <w:rPr>
          <w:b/>
          <w:bCs/>
        </w:rPr>
      </w:pPr>
      <w:r w:rsidRPr="00655710">
        <w:rPr>
          <w:b/>
          <w:bCs/>
        </w:rPr>
        <w:t>Design</w:t>
      </w:r>
    </w:p>
    <w:p w14:paraId="09D64305" w14:textId="53F94EE3" w:rsidR="00B80971" w:rsidRPr="005F75FF" w:rsidRDefault="5345830D" w:rsidP="76233CE3">
      <w:pPr>
        <w:spacing w:before="240" w:after="240"/>
        <w:ind w:firstLine="360"/>
      </w:pPr>
      <w:r>
        <w:t>Social network research typically faces a challenging paradox</w:t>
      </w:r>
      <w:r w:rsidR="00655710">
        <w:t>,</w:t>
      </w:r>
      <w:r>
        <w:t xml:space="preserve"> while comprehensive network data collection demands substantial participant time and effort, leading to low response rates, shorter surveys can capture network characteristics just as effectively (Merluzzi &amp; Burt, 2013). Drawing on this insight, our study adopted a streamlined approach to gather social network data while maintaining measurement accuracy.</w:t>
      </w:r>
      <w:r w:rsidR="04320208">
        <w:t xml:space="preserve"> </w:t>
      </w:r>
      <w:r w:rsidR="4DED49F6">
        <w:t xml:space="preserve">We designed our quantitative </w:t>
      </w:r>
      <w:r w:rsidR="0014264C">
        <w:t xml:space="preserve">study around </w:t>
      </w:r>
      <w:r w:rsidR="4DED49F6">
        <w:t>using a sociometric survey instrument, building on established frameworks from Kolleck et al. (2021). The survey, developed and distributed through Qualtrics, followed the Tailored Design Method (Dillman et al., 2014) to optimize participant engagement and response quality.</w:t>
      </w:r>
    </w:p>
    <w:p w14:paraId="05F4BDE9" w14:textId="11A28D6C" w:rsidR="005F75FF" w:rsidRPr="005F75FF" w:rsidRDefault="755FA29B" w:rsidP="76233CE3">
      <w:pPr>
        <w:spacing w:before="240" w:after="240"/>
        <w:ind w:firstLine="360"/>
      </w:pPr>
      <w:r>
        <w:t xml:space="preserve">The survey instrument was structured in three distinct sections to capture a comprehensive view of professional relationships and participant characteristics. Section one examined relationships within the Elementary Agricultural Education teaching network, mapping formal </w:t>
      </w:r>
      <w:r>
        <w:lastRenderedPageBreak/>
        <w:t>professional connections among EAE educators. Section two explored participants' unbounded relationships, specifically focusing on trusted information sources outside the formal EAE network. These external connections could include industry experts, extension agents, or other educational professionals who contribute to teachers' professional knowledge and practice. The final section gathered demographic data</w:t>
      </w:r>
      <w:r w:rsidR="0E09AD8B">
        <w:t xml:space="preserve">. </w:t>
      </w:r>
      <w:r w:rsidR="3B7CD103">
        <w:t>This structured approach allowed us to examine how individual teachers influence and shape their professional networks (Burt, 1984), while capturing essential sociometric data for network analysis.</w:t>
      </w:r>
    </w:p>
    <w:p w14:paraId="46B36753" w14:textId="6E0BE1AD" w:rsidR="005F75FF" w:rsidRPr="005F75FF" w:rsidRDefault="1572F876" w:rsidP="76233CE3">
      <w:pPr>
        <w:spacing w:before="240" w:after="240"/>
        <w:ind w:firstLine="360"/>
      </w:pPr>
      <w:r>
        <w:t>For the scope of this paper, data from section one and three were used for analysis. In the first section,</w:t>
      </w:r>
      <w:r w:rsidR="2455C229">
        <w:t xml:space="preserve"> </w:t>
      </w:r>
      <w:r w:rsidR="47DC33D7">
        <w:t xml:space="preserve">Q1 </w:t>
      </w:r>
      <w:r w:rsidR="05EDF7FB">
        <w:t>incorporated a name generator mechanism (Burt, 1984) through which participants identified fellow EAE teachers they contacted for advice or resources. Based on Merluzzi and Burt's (2013) findings that network associations weaken with fewer than five nominations, the instrument provided five response slots</w:t>
      </w:r>
      <w:r w:rsidR="0050174E">
        <w:t xml:space="preserve"> which is </w:t>
      </w:r>
      <w:r w:rsidR="05EDF7FB">
        <w:t xml:space="preserve">a number determined to be optimally cost-effective. The validity of this name-generation approach is supported by Merluzzi and Burt's (2013) research. Following Burt's (1984) recommendations, the name generator question specified both </w:t>
      </w:r>
      <w:r w:rsidR="64543550">
        <w:t>time frame of interactions</w:t>
      </w:r>
      <w:r w:rsidR="05EDF7FB">
        <w:t xml:space="preserve"> </w:t>
      </w:r>
      <w:r w:rsidR="64543550">
        <w:t>(</w:t>
      </w:r>
      <w:r w:rsidR="05EDF7FB">
        <w:t>temporal framework</w:t>
      </w:r>
      <w:r w:rsidR="64543550">
        <w:t>)</w:t>
      </w:r>
      <w:r w:rsidR="05EDF7FB">
        <w:t xml:space="preserve"> and </w:t>
      </w:r>
      <w:r w:rsidR="7B4AF241">
        <w:t>type of interaction</w:t>
      </w:r>
      <w:r w:rsidR="05EDF7FB">
        <w:t xml:space="preserve"> </w:t>
      </w:r>
      <w:r w:rsidR="7B4AF241">
        <w:t>(</w:t>
      </w:r>
      <w:r w:rsidR="05EDF7FB">
        <w:t>nature of the professional interactions</w:t>
      </w:r>
      <w:r w:rsidR="7B4AF241">
        <w:t>)</w:t>
      </w:r>
      <w:r w:rsidR="05EDF7FB">
        <w:t>.</w:t>
      </w:r>
    </w:p>
    <w:p w14:paraId="3E76D9ED" w14:textId="2750BA97" w:rsidR="005F75FF" w:rsidRPr="005F75FF" w:rsidRDefault="05EDF7FB" w:rsidP="76233CE3">
      <w:pPr>
        <w:spacing w:before="240" w:after="240"/>
        <w:ind w:firstLine="360"/>
      </w:pPr>
      <w:r>
        <w:t xml:space="preserve">The </w:t>
      </w:r>
      <w:r w:rsidR="53FA707E">
        <w:t>following question,</w:t>
      </w:r>
      <w:r>
        <w:t xml:space="preserve"> </w:t>
      </w:r>
      <w:r w:rsidR="1572F876">
        <w:t>Q</w:t>
      </w:r>
      <w:r>
        <w:t xml:space="preserve">2 </w:t>
      </w:r>
      <w:r w:rsidR="5272D08D">
        <w:t xml:space="preserve">presented </w:t>
      </w:r>
      <w:r>
        <w:t>name interpreter items to assess trust intensity within interpersonal relationships</w:t>
      </w:r>
      <w:r w:rsidR="1A102011">
        <w:t xml:space="preserve"> identified in Q1</w:t>
      </w:r>
      <w:r>
        <w:t xml:space="preserve"> (Burt, 1984; Kolleck et al., 2021). These items utilized a 5-point Likert-type scale, ranging from </w:t>
      </w:r>
      <w:r w:rsidR="00856861" w:rsidRPr="00856861">
        <w:rPr>
          <w:i/>
          <w:iCs/>
        </w:rPr>
        <w:t>s</w:t>
      </w:r>
      <w:r w:rsidRPr="00856861">
        <w:rPr>
          <w:i/>
          <w:iCs/>
        </w:rPr>
        <w:t>trongly disagree</w:t>
      </w:r>
      <w:r>
        <w:t xml:space="preserve"> to </w:t>
      </w:r>
      <w:r w:rsidRPr="00856861">
        <w:rPr>
          <w:i/>
          <w:iCs/>
        </w:rPr>
        <w:t>strongly agree</w:t>
      </w:r>
      <w:r>
        <w:t>, to measure participants' agreement with the statement</w:t>
      </w:r>
      <w:r w:rsidR="003E6502">
        <w:t xml:space="preserve">, </w:t>
      </w:r>
      <w:r>
        <w:t>"When I need help with Elementary Agricultural Education, I trust this person." This approach enabled quantitative assessment of trust strength within professional relationships.</w:t>
      </w:r>
    </w:p>
    <w:p w14:paraId="22999889" w14:textId="3B7C7D45" w:rsidR="005F75FF" w:rsidRPr="005F75FF" w:rsidRDefault="5EA5D7CC" w:rsidP="76233CE3">
      <w:pPr>
        <w:spacing w:before="240" w:after="240"/>
        <w:ind w:firstLine="360"/>
      </w:pPr>
      <w:r>
        <w:t xml:space="preserve">Section three </w:t>
      </w:r>
      <w:r w:rsidR="315C0B52">
        <w:t>gathered comprehensive demographic data. This included participants' educational background, teaching credentials (licenses, certifications, and endorsements), and professional experience. Specifically, teachers reported their total years teaching at the elementary level and their time teaching Elementary Agricultural Education. The survey also collected information about participants' age and school location.</w:t>
      </w:r>
    </w:p>
    <w:p w14:paraId="64027EAD" w14:textId="5B60BBA7" w:rsidR="00F16AA7" w:rsidRPr="005F75FF" w:rsidRDefault="2DE76DDA" w:rsidP="0084694F">
      <w:pPr>
        <w:spacing w:before="240" w:after="240"/>
        <w:ind w:firstLine="360"/>
      </w:pPr>
      <w:r>
        <w:t xml:space="preserve">To establish instrument validity, </w:t>
      </w:r>
      <w:r w:rsidR="00F14F0C">
        <w:t>t</w:t>
      </w:r>
      <w:r w:rsidR="5261E83D">
        <w:t>hree</w:t>
      </w:r>
      <w:r w:rsidR="00F14F0C">
        <w:t xml:space="preserve"> professors</w:t>
      </w:r>
      <w:r>
        <w:t xml:space="preserve"> from the Department of Agricultural Leadership, Education and Communication conducted a comprehensive evaluation. The expert panel assessed the instrument for content validity, criterion-related validity, and face validity through a systematic review process (Davis, 1992). Panel members independently evaluated each question and provided detailed feedback on item relevance, clarity, and appropriateness for the intended construct measurement.</w:t>
      </w:r>
    </w:p>
    <w:p w14:paraId="29DD13EB" w14:textId="3F8FCB18" w:rsidR="00FE448A" w:rsidRPr="0084694F" w:rsidRDefault="497FDE02" w:rsidP="76233CE3">
      <w:pPr>
        <w:spacing w:before="240" w:after="240"/>
        <w:rPr>
          <w:b/>
          <w:bCs/>
        </w:rPr>
      </w:pPr>
      <w:r w:rsidRPr="0084694F">
        <w:rPr>
          <w:b/>
          <w:bCs/>
        </w:rPr>
        <w:t>Participants and Procedures</w:t>
      </w:r>
    </w:p>
    <w:p w14:paraId="265EB741" w14:textId="5206FC3F" w:rsidR="00B04ECD" w:rsidRDefault="00B04ECD" w:rsidP="76233CE3">
      <w:pPr>
        <w:spacing w:before="240" w:after="240"/>
        <w:ind w:firstLine="720"/>
      </w:pPr>
      <w:r>
        <w:t xml:space="preserve">This study examined trust-based professional relationships among Elementary Agricultural Education teachers in Georgia during the </w:t>
      </w:r>
      <w:r w:rsidRPr="001C658B">
        <w:rPr>
          <w:rStyle w:val="Strong"/>
          <w:rFonts w:eastAsiaTheme="majorEastAsia"/>
          <w:b w:val="0"/>
          <w:bCs w:val="0"/>
        </w:rPr>
        <w:t>2024</w:t>
      </w:r>
      <w:r w:rsidR="007D15EA">
        <w:rPr>
          <w:rStyle w:val="Strong"/>
          <w:rFonts w:eastAsiaTheme="majorEastAsia"/>
          <w:b w:val="0"/>
          <w:bCs w:val="0"/>
        </w:rPr>
        <w:t>-</w:t>
      </w:r>
      <w:r w:rsidRPr="001C658B">
        <w:rPr>
          <w:rStyle w:val="Strong"/>
          <w:rFonts w:eastAsiaTheme="majorEastAsia"/>
          <w:b w:val="0"/>
          <w:bCs w:val="0"/>
        </w:rPr>
        <w:t>2025 school year</w:t>
      </w:r>
      <w:r w:rsidRPr="001C658B">
        <w:rPr>
          <w:b/>
          <w:bCs/>
        </w:rPr>
        <w:t>.</w:t>
      </w:r>
      <w:r>
        <w:t xml:space="preserve"> Teacher contact information was obtained through Georgia Agricultural Education, a division of the Georgia Department of Education. Because EAE programs operate on a self-reporting basis and are not funded through traditional state allocations, the state does not maintain an official, comprehensive registry of elementary agricultural education programs. As a result, the sampling </w:t>
      </w:r>
      <w:r>
        <w:lastRenderedPageBreak/>
        <w:t>frame was constructed using the most current program lists available through Georgia Agricultural Education for the 2024</w:t>
      </w:r>
      <w:r w:rsidR="007D15EA">
        <w:t>-</w:t>
      </w:r>
      <w:r>
        <w:t xml:space="preserve">2025 academic year. </w:t>
      </w:r>
    </w:p>
    <w:p w14:paraId="2408E7FF" w14:textId="34FA52ED" w:rsidR="009C1AEC" w:rsidRPr="009C1AEC" w:rsidRDefault="0C379311" w:rsidP="76233CE3">
      <w:pPr>
        <w:spacing w:before="240" w:after="240"/>
        <w:ind w:firstLine="720"/>
      </w:pPr>
      <w:r>
        <w:t xml:space="preserve">Following the Tailored Design Method to maximize response rates, we distributed a Qualtrics survey via email. The survey included informed consent documentation and the research instrument. From the initial pool of </w:t>
      </w:r>
      <w:r w:rsidR="004D616A">
        <w:t>63</w:t>
      </w:r>
      <w:r>
        <w:t xml:space="preserve"> programs (taught by 54 teachers), 54 emails were successfully delivered. While we aimed for an 80% response rate for degree centrality analysis (Brass &amp; Borgatti, 2019), the actual participation rate was </w:t>
      </w:r>
      <w:r w:rsidR="00D17312">
        <w:t>81.5</w:t>
      </w:r>
      <w:r>
        <w:t>% (</w:t>
      </w:r>
      <w:r w:rsidRPr="76233CE3">
        <w:rPr>
          <w:i/>
          <w:iCs/>
        </w:rPr>
        <w:t>n=</w:t>
      </w:r>
      <w:r w:rsidR="00D17312">
        <w:t>44</w:t>
      </w:r>
      <w:r>
        <w:t>).</w:t>
      </w:r>
    </w:p>
    <w:p w14:paraId="38CD85B9" w14:textId="44304EEA" w:rsidR="00387A62" w:rsidRPr="00173C30" w:rsidRDefault="00857488" w:rsidP="00173C30">
      <w:pPr>
        <w:spacing w:before="240" w:after="240"/>
        <w:ind w:firstLine="720"/>
      </w:pPr>
      <w:r>
        <w:t xml:space="preserve">Among the 44 respondents, 21 educators identified at least one other Georgia EAE teacher as a trusted source of information and support. These participants generated </w:t>
      </w:r>
      <w:proofErr w:type="gramStart"/>
      <w:r>
        <w:t>the trust</w:t>
      </w:r>
      <w:proofErr w:type="gramEnd"/>
      <w:r>
        <w:t xml:space="preserve"> ties used to construct the bounded EAE teacher network and were therefore included in the social network analysis. The remaining 23 respondents indicated that they did not seek support from, or were not aware of, other EAE teachers and instead relied primarily on external sources such as extension agents, industry professionals, or non-EAE educators. While these respondents contributed demographic and contextual data, they did not generate teacher-to-teacher network ties and were not included in the sociometric network analysis.</w:t>
      </w:r>
      <w:r w:rsidR="00173C30">
        <w:t xml:space="preserve"> </w:t>
      </w:r>
    </w:p>
    <w:p w14:paraId="0724656A" w14:textId="736F4A97" w:rsidR="005F75FF" w:rsidRPr="005F75FF" w:rsidRDefault="0D7A561B" w:rsidP="76233CE3">
      <w:pPr>
        <w:spacing w:before="240" w:after="240"/>
        <w:rPr>
          <w:b/>
          <w:bCs/>
          <w:i/>
          <w:iCs/>
        </w:rPr>
      </w:pPr>
      <w:r w:rsidRPr="76233CE3">
        <w:rPr>
          <w:b/>
          <w:bCs/>
          <w:i/>
          <w:iCs/>
        </w:rPr>
        <w:t>Analysis</w:t>
      </w:r>
    </w:p>
    <w:p w14:paraId="56BDAF4E" w14:textId="159E9A22" w:rsidR="007129F8" w:rsidRDefault="007129F8" w:rsidP="007129F8">
      <w:pPr>
        <w:spacing w:before="240" w:after="240"/>
        <w:ind w:firstLine="720"/>
      </w:pPr>
      <w:r>
        <w:t>Social network centrality metrics were used to identify emergent trusted leaders within the Elementary Agricultural Education professional network. Specifically, degree centrality and betweenness centrality were calculated for each node in the trust network. Degree centrality quantified the number of direct trust relationships associated with each educator. In-degree centrality was used to indicate the extent to which individuals were identified by peers as trusted sources of information, with higher in-degree scores reflecting greater levels of peer trust.</w:t>
      </w:r>
    </w:p>
    <w:p w14:paraId="2F9A8602" w14:textId="5CF3367D" w:rsidR="007129F8" w:rsidRDefault="007129F8" w:rsidP="00BD1BA9">
      <w:pPr>
        <w:spacing w:before="240" w:after="240"/>
        <w:ind w:firstLine="720"/>
      </w:pPr>
      <w:r>
        <w:t>Betweenness centrality was calculated to identify educators occupying strategic brokerage positions within the network. Educators with higher betweenness centrality scores served as critical bridges between otherwise weakly connected or disconnected groups, facilitating the flow of information and social capital across the network.</w:t>
      </w:r>
      <w:r w:rsidR="00BD1BA9">
        <w:t xml:space="preserve"> </w:t>
      </w:r>
      <w:r>
        <w:t>Social network analyses were conducted using UCINET 6.816 (Borgatti et al., 2002). Descriptive statistics for participant demographic characteristics were calculated using IBM SPSS Statistics Version 28.</w:t>
      </w:r>
    </w:p>
    <w:p w14:paraId="41310B4E" w14:textId="5613C368" w:rsidR="0079776B" w:rsidRPr="005F75FF" w:rsidRDefault="4EFB4D2D" w:rsidP="007129F8">
      <w:pPr>
        <w:spacing w:before="240" w:after="240"/>
        <w:jc w:val="center"/>
        <w:rPr>
          <w:b/>
          <w:bCs/>
        </w:rPr>
      </w:pPr>
      <w:r w:rsidRPr="76233CE3">
        <w:rPr>
          <w:b/>
          <w:bCs/>
        </w:rPr>
        <w:t>Results</w:t>
      </w:r>
    </w:p>
    <w:p w14:paraId="1AEB1F6A" w14:textId="1470A9DC" w:rsidR="008018AB" w:rsidRPr="001A7A64" w:rsidRDefault="142D2676" w:rsidP="76233CE3">
      <w:pPr>
        <w:spacing w:before="240" w:after="240"/>
        <w:rPr>
          <w:b/>
          <w:bCs/>
          <w:color w:val="000000" w:themeColor="text1"/>
        </w:rPr>
      </w:pPr>
      <w:r w:rsidRPr="001A7A64">
        <w:rPr>
          <w:b/>
          <w:bCs/>
        </w:rPr>
        <w:t>Objective 1:</w:t>
      </w:r>
      <w:r w:rsidRPr="001A7A64">
        <w:rPr>
          <w:b/>
          <w:bCs/>
          <w:color w:val="000000" w:themeColor="text1"/>
        </w:rPr>
        <w:t xml:space="preserve"> Describe the demographics of elementary agricultural educators in Georgia.</w:t>
      </w:r>
    </w:p>
    <w:p w14:paraId="41E8E2D4" w14:textId="2DA1E9C4" w:rsidR="00D3325E" w:rsidRPr="00D3325E" w:rsidRDefault="00D3325E" w:rsidP="00D3325E">
      <w:pPr>
        <w:pStyle w:val="paragraph"/>
        <w:spacing w:before="240" w:beforeAutospacing="0" w:after="240" w:afterAutospacing="0"/>
        <w:ind w:firstLine="720"/>
        <w:textAlignment w:val="baseline"/>
        <w:rPr>
          <w:rFonts w:eastAsiaTheme="majorEastAsia"/>
        </w:rPr>
      </w:pPr>
      <w:r w:rsidRPr="00952229">
        <w:rPr>
          <w:rFonts w:eastAsiaTheme="majorEastAsia"/>
        </w:rPr>
        <w:t>The first objective of this study was to describe the demographic characteristics of elementary agricultural educators in Georgia. Demographic, professional, and credentialing data were collected from 44 educators during the 2024</w:t>
      </w:r>
      <w:r>
        <w:rPr>
          <w:rFonts w:eastAsiaTheme="majorEastAsia"/>
        </w:rPr>
        <w:t>-</w:t>
      </w:r>
      <w:r w:rsidRPr="00952229">
        <w:rPr>
          <w:rFonts w:eastAsiaTheme="majorEastAsia"/>
        </w:rPr>
        <w:t xml:space="preserve">2025 school year. </w:t>
      </w:r>
      <w:r>
        <w:rPr>
          <w:rFonts w:eastAsiaTheme="majorEastAsia"/>
        </w:rPr>
        <w:t>T</w:t>
      </w:r>
      <w:r w:rsidRPr="00952229">
        <w:rPr>
          <w:rFonts w:eastAsiaTheme="majorEastAsia"/>
        </w:rPr>
        <w:t xml:space="preserve">he majority of respondents identified as </w:t>
      </w:r>
      <w:r w:rsidR="00C806B0">
        <w:rPr>
          <w:rFonts w:eastAsiaTheme="majorEastAsia"/>
        </w:rPr>
        <w:t>fe</w:t>
      </w:r>
      <w:r w:rsidRPr="00952229">
        <w:rPr>
          <w:rFonts w:eastAsiaTheme="majorEastAsia"/>
        </w:rPr>
        <w:t xml:space="preserve">male (88.6%, </w:t>
      </w:r>
      <w:r w:rsidRPr="00725FB3">
        <w:rPr>
          <w:rFonts w:eastAsiaTheme="majorEastAsia"/>
          <w:i/>
          <w:iCs/>
        </w:rPr>
        <w:t>n</w:t>
      </w:r>
      <w:r w:rsidRPr="00952229">
        <w:rPr>
          <w:rFonts w:eastAsiaTheme="majorEastAsia"/>
        </w:rPr>
        <w:t xml:space="preserve"> = 39), while 11.4% (</w:t>
      </w:r>
      <w:r w:rsidRPr="00725FB3">
        <w:rPr>
          <w:rFonts w:eastAsiaTheme="majorEastAsia"/>
          <w:i/>
          <w:iCs/>
        </w:rPr>
        <w:t>n</w:t>
      </w:r>
      <w:r w:rsidRPr="00952229">
        <w:rPr>
          <w:rFonts w:eastAsiaTheme="majorEastAsia"/>
        </w:rPr>
        <w:t xml:space="preserve"> = 5) identified as male. Respondents represented a range of age groups, indicating variability in career stage among Georgia EAE educators. The largest proportion of participants were between 25 and 34 years old (34.1%, </w:t>
      </w:r>
      <w:r w:rsidRPr="00725FB3">
        <w:rPr>
          <w:rFonts w:eastAsiaTheme="majorEastAsia"/>
          <w:i/>
          <w:iCs/>
        </w:rPr>
        <w:t>n</w:t>
      </w:r>
      <w:r w:rsidRPr="00952229">
        <w:rPr>
          <w:rFonts w:eastAsiaTheme="majorEastAsia"/>
        </w:rPr>
        <w:t xml:space="preserve"> = 15). Additional respondents were between 35 and 44 years old (22.7%, </w:t>
      </w:r>
      <w:r w:rsidRPr="00725FB3">
        <w:rPr>
          <w:rFonts w:eastAsiaTheme="majorEastAsia"/>
          <w:i/>
          <w:iCs/>
        </w:rPr>
        <w:t>n</w:t>
      </w:r>
      <w:r w:rsidRPr="00952229">
        <w:rPr>
          <w:rFonts w:eastAsiaTheme="majorEastAsia"/>
        </w:rPr>
        <w:t xml:space="preserve"> = 10) and 45 and 54 years old (20.5%, </w:t>
      </w:r>
      <w:r w:rsidRPr="00725FB3">
        <w:rPr>
          <w:rFonts w:eastAsiaTheme="majorEastAsia"/>
          <w:i/>
          <w:iCs/>
        </w:rPr>
        <w:t>n</w:t>
      </w:r>
      <w:r w:rsidRPr="00952229">
        <w:rPr>
          <w:rFonts w:eastAsiaTheme="majorEastAsia"/>
        </w:rPr>
        <w:t xml:space="preserve"> = 9). Smaller proportions of educators were in the 18</w:t>
      </w:r>
      <w:r>
        <w:rPr>
          <w:rFonts w:eastAsiaTheme="majorEastAsia"/>
        </w:rPr>
        <w:t>-</w:t>
      </w:r>
      <w:r w:rsidRPr="00952229">
        <w:rPr>
          <w:rFonts w:eastAsiaTheme="majorEastAsia"/>
        </w:rPr>
        <w:t>24 and 55</w:t>
      </w:r>
      <w:r>
        <w:rPr>
          <w:rFonts w:eastAsiaTheme="majorEastAsia"/>
        </w:rPr>
        <w:t>-</w:t>
      </w:r>
      <w:r w:rsidRPr="00952229">
        <w:rPr>
          <w:rFonts w:eastAsiaTheme="majorEastAsia"/>
        </w:rPr>
        <w:t xml:space="preserve">64 age </w:t>
      </w:r>
      <w:r w:rsidRPr="00952229">
        <w:rPr>
          <w:rFonts w:eastAsiaTheme="majorEastAsia"/>
        </w:rPr>
        <w:lastRenderedPageBreak/>
        <w:t xml:space="preserve">ranges (each 11.4%, </w:t>
      </w:r>
      <w:r w:rsidRPr="00725FB3">
        <w:rPr>
          <w:rFonts w:eastAsiaTheme="majorEastAsia"/>
          <w:i/>
          <w:iCs/>
        </w:rPr>
        <w:t>n</w:t>
      </w:r>
      <w:r w:rsidRPr="00952229">
        <w:rPr>
          <w:rFonts w:eastAsiaTheme="majorEastAsia"/>
        </w:rPr>
        <w:t xml:space="preserve"> = 5), demonstrating representation of both early-career and late-career educators within the sample.</w:t>
      </w:r>
    </w:p>
    <w:p w14:paraId="0C303DC2" w14:textId="6971D464" w:rsidR="00B82F4D" w:rsidRDefault="00E00EA9" w:rsidP="00751B7B">
      <w:pPr>
        <w:spacing w:before="240" w:after="240"/>
        <w:ind w:firstLine="720"/>
      </w:pPr>
      <w:r w:rsidRPr="00E00EA9">
        <w:t>Teaching experience at the elementary level varied widely across respondents (Table 1). Experience levels ranged from early-career to highly tenured educators. The largest proportion of respondents reported 1</w:t>
      </w:r>
      <w:r w:rsidR="00F50E39">
        <w:t>-</w:t>
      </w:r>
      <w:r w:rsidRPr="00E00EA9">
        <w:t xml:space="preserve">5 years of elementary teaching experience (40.9%, </w:t>
      </w:r>
      <w:r w:rsidRPr="00F50E39">
        <w:rPr>
          <w:i/>
          <w:iCs/>
        </w:rPr>
        <w:t>n = 18</w:t>
      </w:r>
      <w:r w:rsidRPr="00E00EA9">
        <w:t>), followed by those with 6</w:t>
      </w:r>
      <w:r w:rsidR="00F50E39">
        <w:t>-</w:t>
      </w:r>
      <w:r w:rsidRPr="00E00EA9">
        <w:t xml:space="preserve">10 years (13.6%, </w:t>
      </w:r>
      <w:r w:rsidRPr="00F50E39">
        <w:rPr>
          <w:i/>
          <w:iCs/>
        </w:rPr>
        <w:t>n = 6</w:t>
      </w:r>
      <w:r w:rsidRPr="00E00EA9">
        <w:t>) and 11</w:t>
      </w:r>
      <w:r w:rsidR="00F50E39">
        <w:t>-</w:t>
      </w:r>
      <w:r w:rsidRPr="00E00EA9">
        <w:t xml:space="preserve">15 years (15.9%, </w:t>
      </w:r>
      <w:r w:rsidRPr="00F50E39">
        <w:rPr>
          <w:i/>
          <w:iCs/>
        </w:rPr>
        <w:t>n = 7</w:t>
      </w:r>
      <w:r w:rsidRPr="00E00EA9">
        <w:t>) of experience. Nearly one-quarter of respondents reported</w:t>
      </w:r>
      <w:r w:rsidR="00F50E39">
        <w:t xml:space="preserve"> </w:t>
      </w:r>
      <w:r w:rsidRPr="00E00EA9">
        <w:t>16</w:t>
      </w:r>
      <w:r w:rsidR="00F50E39">
        <w:t>-</w:t>
      </w:r>
      <w:r w:rsidRPr="00E00EA9">
        <w:t xml:space="preserve">20 years of elementary teaching experience (22.7%, </w:t>
      </w:r>
      <w:r w:rsidRPr="00F50E39">
        <w:rPr>
          <w:i/>
          <w:iCs/>
        </w:rPr>
        <w:t>n = 10</w:t>
      </w:r>
      <w:r w:rsidRPr="00E00EA9">
        <w:t>). Smaller proportions reported 21</w:t>
      </w:r>
      <w:r w:rsidR="00F50E39">
        <w:t>-</w:t>
      </w:r>
      <w:r w:rsidRPr="00E00EA9">
        <w:t xml:space="preserve">25 years (6.8%, </w:t>
      </w:r>
      <w:r w:rsidRPr="00F50E39">
        <w:rPr>
          <w:i/>
          <w:iCs/>
        </w:rPr>
        <w:t>n = 3</w:t>
      </w:r>
      <w:r w:rsidRPr="00E00EA9">
        <w:t xml:space="preserve">) or 26 years or more (2.3%, </w:t>
      </w:r>
      <w:r w:rsidRPr="00F50E39">
        <w:rPr>
          <w:i/>
          <w:iCs/>
        </w:rPr>
        <w:t>n = 1</w:t>
      </w:r>
      <w:r w:rsidRPr="00E00EA9">
        <w:t xml:space="preserve">) of experience. </w:t>
      </w:r>
    </w:p>
    <w:p w14:paraId="6110B38D" w14:textId="2A9A0915" w:rsidR="00314DDF" w:rsidRPr="008C5D1E" w:rsidRDefault="009D59B4" w:rsidP="76233CE3">
      <w:pPr>
        <w:spacing w:before="240" w:after="240"/>
        <w:rPr>
          <w:b/>
          <w:bCs/>
        </w:rPr>
      </w:pPr>
      <w:r w:rsidRPr="008C5D1E">
        <w:rPr>
          <w:b/>
          <w:bCs/>
        </w:rPr>
        <w:t xml:space="preserve">Table </w:t>
      </w:r>
      <w:r w:rsidR="00BC2134">
        <w:rPr>
          <w:b/>
          <w:bCs/>
        </w:rPr>
        <w:t>1</w:t>
      </w:r>
    </w:p>
    <w:p w14:paraId="47166BD7" w14:textId="2011BE53" w:rsidR="005D2F24" w:rsidRPr="009D59B4" w:rsidRDefault="009D59B4" w:rsidP="008C5D1E">
      <w:pPr>
        <w:spacing w:before="240"/>
        <w:rPr>
          <w:i/>
          <w:iCs/>
        </w:rPr>
      </w:pPr>
      <w:r w:rsidRPr="009D59B4">
        <w:rPr>
          <w:i/>
          <w:iCs/>
        </w:rPr>
        <w:t>Years of Teaching Experience Among Georgia Elementary Agricultural Educators (n = 44)</w:t>
      </w:r>
    </w:p>
    <w:tbl>
      <w:tblPr>
        <w:tblStyle w:val="PlainTable2"/>
        <w:tblW w:w="9360" w:type="dxa"/>
        <w:tblLayout w:type="fixed"/>
        <w:tblLook w:val="04A0" w:firstRow="1" w:lastRow="0" w:firstColumn="1" w:lastColumn="0" w:noHBand="0" w:noVBand="1"/>
      </w:tblPr>
      <w:tblGrid>
        <w:gridCol w:w="3071"/>
        <w:gridCol w:w="821"/>
        <w:gridCol w:w="3398"/>
        <w:gridCol w:w="1530"/>
        <w:gridCol w:w="540"/>
      </w:tblGrid>
      <w:tr w:rsidR="005050BB" w:rsidRPr="00822978" w14:paraId="33A595D9" w14:textId="4F12622E" w:rsidTr="00846A2F">
        <w:trPr>
          <w:cnfStyle w:val="100000000000" w:firstRow="1" w:lastRow="0" w:firstColumn="0" w:lastColumn="0" w:oddVBand="0" w:evenVBand="0" w:oddHBand="0"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3892" w:type="dxa"/>
            <w:gridSpan w:val="2"/>
            <w:hideMark/>
          </w:tcPr>
          <w:p w14:paraId="0D8D4410" w14:textId="720D7B9D" w:rsidR="005050BB" w:rsidRPr="00545D13" w:rsidRDefault="005050BB" w:rsidP="009D59B4">
            <w:pPr>
              <w:textAlignment w:val="baseline"/>
              <w:rPr>
                <w:b w:val="0"/>
                <w:bCs w:val="0"/>
                <w:sz w:val="22"/>
                <w:szCs w:val="22"/>
              </w:rPr>
            </w:pPr>
            <w:r w:rsidRPr="00545D13">
              <w:rPr>
                <w:b w:val="0"/>
                <w:bCs w:val="0"/>
                <w:color w:val="000000"/>
                <w:sz w:val="22"/>
                <w:szCs w:val="22"/>
              </w:rPr>
              <w:t>Years of Teaching Experience </w:t>
            </w:r>
          </w:p>
        </w:tc>
        <w:tc>
          <w:tcPr>
            <w:tcW w:w="3398" w:type="dxa"/>
            <w:hideMark/>
          </w:tcPr>
          <w:p w14:paraId="7F78C7E4" w14:textId="081A0404" w:rsidR="005050BB" w:rsidRPr="00545D13" w:rsidRDefault="005050BB" w:rsidP="00274761">
            <w:pPr>
              <w:jc w:val="center"/>
              <w:textAlignment w:val="baseline"/>
              <w:cnfStyle w:val="100000000000" w:firstRow="1" w:lastRow="0" w:firstColumn="0" w:lastColumn="0" w:oddVBand="0" w:evenVBand="0" w:oddHBand="0" w:evenHBand="0" w:firstRowFirstColumn="0" w:firstRowLastColumn="0" w:lastRowFirstColumn="0" w:lastRowLastColumn="0"/>
              <w:rPr>
                <w:b w:val="0"/>
                <w:bCs w:val="0"/>
                <w:i/>
                <w:iCs/>
                <w:sz w:val="22"/>
                <w:szCs w:val="22"/>
              </w:rPr>
            </w:pPr>
            <w:r>
              <w:rPr>
                <w:b w:val="0"/>
                <w:bCs w:val="0"/>
                <w:i/>
                <w:iCs/>
                <w:sz w:val="22"/>
                <w:szCs w:val="22"/>
              </w:rPr>
              <w:t xml:space="preserve">                                            </w:t>
            </w:r>
            <w:r w:rsidR="00846A2F">
              <w:rPr>
                <w:b w:val="0"/>
                <w:bCs w:val="0"/>
                <w:i/>
                <w:iCs/>
                <w:sz w:val="22"/>
                <w:szCs w:val="22"/>
              </w:rPr>
              <w:t xml:space="preserve">          </w:t>
            </w:r>
            <w:r>
              <w:rPr>
                <w:b w:val="0"/>
                <w:bCs w:val="0"/>
                <w:i/>
                <w:iCs/>
                <w:sz w:val="22"/>
                <w:szCs w:val="22"/>
              </w:rPr>
              <w:t xml:space="preserve"> </w:t>
            </w:r>
            <w:r w:rsidRPr="00545D13">
              <w:rPr>
                <w:b w:val="0"/>
                <w:bCs w:val="0"/>
                <w:i/>
                <w:iCs/>
                <w:sz w:val="22"/>
                <w:szCs w:val="22"/>
              </w:rPr>
              <w:t>n</w:t>
            </w:r>
          </w:p>
        </w:tc>
        <w:tc>
          <w:tcPr>
            <w:tcW w:w="1530" w:type="dxa"/>
            <w:hideMark/>
          </w:tcPr>
          <w:p w14:paraId="57996ADD" w14:textId="2A29B42D" w:rsidR="005050BB" w:rsidRPr="00822978" w:rsidRDefault="005050BB" w:rsidP="00274761">
            <w:pPr>
              <w:jc w:val="center"/>
              <w:textAlignment w:val="baseline"/>
              <w:cnfStyle w:val="100000000000" w:firstRow="1" w:lastRow="0" w:firstColumn="0" w:lastColumn="0" w:oddVBand="0" w:evenVBand="0" w:oddHBand="0" w:evenHBand="0" w:firstRowFirstColumn="0" w:firstRowLastColumn="0" w:lastRowFirstColumn="0" w:lastRowLastColumn="0"/>
              <w:rPr>
                <w:i/>
                <w:iCs/>
                <w:sz w:val="22"/>
                <w:szCs w:val="22"/>
              </w:rPr>
            </w:pPr>
            <w:r>
              <w:rPr>
                <w:i/>
                <w:iCs/>
                <w:sz w:val="22"/>
                <w:szCs w:val="22"/>
              </w:rPr>
              <w:t xml:space="preserve">             </w:t>
            </w:r>
            <w:r w:rsidRPr="00BD1BA9">
              <w:rPr>
                <w:i/>
                <w:iCs/>
                <w:sz w:val="22"/>
                <w:szCs w:val="22"/>
              </w:rPr>
              <w:t>%</w:t>
            </w:r>
          </w:p>
        </w:tc>
        <w:tc>
          <w:tcPr>
            <w:tcW w:w="540" w:type="dxa"/>
            <w:tcBorders>
              <w:top w:val="single" w:sz="4" w:space="0" w:color="7F7F7F" w:themeColor="text1" w:themeTint="80"/>
              <w:bottom w:val="single" w:sz="4" w:space="0" w:color="auto"/>
            </w:tcBorders>
          </w:tcPr>
          <w:p w14:paraId="0F4D66DD" w14:textId="77777777" w:rsidR="005050BB" w:rsidRDefault="005050BB" w:rsidP="00274761">
            <w:pPr>
              <w:jc w:val="center"/>
              <w:textAlignment w:val="baseline"/>
              <w:cnfStyle w:val="100000000000" w:firstRow="1" w:lastRow="0" w:firstColumn="0" w:lastColumn="0" w:oddVBand="0" w:evenVBand="0" w:oddHBand="0" w:evenHBand="0" w:firstRowFirstColumn="0" w:firstRowLastColumn="0" w:lastRowFirstColumn="0" w:lastRowLastColumn="0"/>
              <w:rPr>
                <w:i/>
                <w:iCs/>
                <w:sz w:val="22"/>
                <w:szCs w:val="22"/>
              </w:rPr>
            </w:pPr>
          </w:p>
        </w:tc>
      </w:tr>
      <w:tr w:rsidR="005050BB" w:rsidRPr="00822978" w14:paraId="470A0939" w14:textId="1E04F516" w:rsidTr="00846A2F">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3071" w:type="dxa"/>
            <w:tcBorders>
              <w:bottom w:val="nil"/>
            </w:tcBorders>
            <w:hideMark/>
          </w:tcPr>
          <w:p w14:paraId="72727F72" w14:textId="37A37341" w:rsidR="005050BB" w:rsidRPr="00545D13" w:rsidRDefault="005050BB" w:rsidP="00683A12">
            <w:pPr>
              <w:textAlignment w:val="baseline"/>
              <w:rPr>
                <w:b w:val="0"/>
                <w:bCs w:val="0"/>
                <w:sz w:val="22"/>
                <w:szCs w:val="22"/>
              </w:rPr>
            </w:pPr>
            <w:r w:rsidRPr="00545D13">
              <w:rPr>
                <w:b w:val="0"/>
                <w:bCs w:val="0"/>
                <w:sz w:val="22"/>
                <w:szCs w:val="22"/>
              </w:rPr>
              <w:t>Year in Elementary Education</w:t>
            </w:r>
          </w:p>
        </w:tc>
        <w:tc>
          <w:tcPr>
            <w:tcW w:w="4219" w:type="dxa"/>
            <w:gridSpan w:val="2"/>
            <w:tcBorders>
              <w:bottom w:val="nil"/>
            </w:tcBorders>
          </w:tcPr>
          <w:p w14:paraId="2D901B8C" w14:textId="0A55C1F8" w:rsidR="005050BB" w:rsidRPr="00822978" w:rsidRDefault="005050BB" w:rsidP="00683A12">
            <w:pPr>
              <w:jc w:val="right"/>
              <w:textAlignment w:val="baseline"/>
              <w:cnfStyle w:val="000000100000" w:firstRow="0" w:lastRow="0" w:firstColumn="0" w:lastColumn="0" w:oddVBand="0" w:evenVBand="0" w:oddHBand="1" w:evenHBand="0" w:firstRowFirstColumn="0" w:firstRowLastColumn="0" w:lastRowFirstColumn="0" w:lastRowLastColumn="0"/>
              <w:rPr>
                <w:sz w:val="22"/>
                <w:szCs w:val="22"/>
              </w:rPr>
            </w:pPr>
          </w:p>
        </w:tc>
        <w:tc>
          <w:tcPr>
            <w:tcW w:w="1530" w:type="dxa"/>
            <w:tcBorders>
              <w:bottom w:val="nil"/>
            </w:tcBorders>
            <w:hideMark/>
          </w:tcPr>
          <w:p w14:paraId="0C7D8954" w14:textId="77777777" w:rsidR="005050BB" w:rsidRPr="00822978" w:rsidRDefault="005050BB" w:rsidP="00683A12">
            <w:pPr>
              <w:jc w:val="right"/>
              <w:textAlignment w:val="baseline"/>
              <w:cnfStyle w:val="000000100000" w:firstRow="0" w:lastRow="0" w:firstColumn="0" w:lastColumn="0" w:oddVBand="0" w:evenVBand="0" w:oddHBand="1" w:evenHBand="0" w:firstRowFirstColumn="0" w:firstRowLastColumn="0" w:lastRowFirstColumn="0" w:lastRowLastColumn="0"/>
              <w:rPr>
                <w:sz w:val="22"/>
                <w:szCs w:val="22"/>
              </w:rPr>
            </w:pPr>
          </w:p>
        </w:tc>
        <w:tc>
          <w:tcPr>
            <w:tcW w:w="540" w:type="dxa"/>
            <w:tcBorders>
              <w:top w:val="single" w:sz="4" w:space="0" w:color="auto"/>
              <w:bottom w:val="nil"/>
            </w:tcBorders>
          </w:tcPr>
          <w:p w14:paraId="3F3B044A" w14:textId="77777777" w:rsidR="005050BB" w:rsidRPr="00822978" w:rsidRDefault="005050BB" w:rsidP="00683A12">
            <w:pPr>
              <w:jc w:val="right"/>
              <w:textAlignment w:val="baseline"/>
              <w:cnfStyle w:val="000000100000" w:firstRow="0" w:lastRow="0" w:firstColumn="0" w:lastColumn="0" w:oddVBand="0" w:evenVBand="0" w:oddHBand="1" w:evenHBand="0" w:firstRowFirstColumn="0" w:firstRowLastColumn="0" w:lastRowFirstColumn="0" w:lastRowLastColumn="0"/>
              <w:rPr>
                <w:sz w:val="22"/>
                <w:szCs w:val="22"/>
              </w:rPr>
            </w:pPr>
          </w:p>
        </w:tc>
      </w:tr>
      <w:tr w:rsidR="005050BB" w:rsidRPr="00822978" w14:paraId="5BF1F6A7" w14:textId="55CDF849" w:rsidTr="00846A2F">
        <w:trPr>
          <w:trHeight w:val="304"/>
        </w:trPr>
        <w:tc>
          <w:tcPr>
            <w:cnfStyle w:val="001000000000" w:firstRow="0" w:lastRow="0" w:firstColumn="1" w:lastColumn="0" w:oddVBand="0" w:evenVBand="0" w:oddHBand="0" w:evenHBand="0" w:firstRowFirstColumn="0" w:firstRowLastColumn="0" w:lastRowFirstColumn="0" w:lastRowLastColumn="0"/>
            <w:tcW w:w="3071" w:type="dxa"/>
            <w:tcBorders>
              <w:top w:val="nil"/>
              <w:bottom w:val="nil"/>
            </w:tcBorders>
            <w:hideMark/>
          </w:tcPr>
          <w:p w14:paraId="6710A1E7" w14:textId="62CCF650" w:rsidR="005050BB" w:rsidRPr="00545D13" w:rsidRDefault="005050BB" w:rsidP="00683A12">
            <w:pPr>
              <w:textAlignment w:val="baseline"/>
              <w:rPr>
                <w:b w:val="0"/>
                <w:bCs w:val="0"/>
                <w:sz w:val="22"/>
                <w:szCs w:val="22"/>
              </w:rPr>
            </w:pPr>
            <w:r w:rsidRPr="00545D13">
              <w:rPr>
                <w:b w:val="0"/>
                <w:bCs w:val="0"/>
                <w:color w:val="000000"/>
                <w:sz w:val="22"/>
                <w:szCs w:val="22"/>
              </w:rPr>
              <w:t xml:space="preserve">     1-5 years</w:t>
            </w:r>
          </w:p>
        </w:tc>
        <w:tc>
          <w:tcPr>
            <w:tcW w:w="4219" w:type="dxa"/>
            <w:gridSpan w:val="2"/>
            <w:tcBorders>
              <w:top w:val="nil"/>
              <w:bottom w:val="nil"/>
            </w:tcBorders>
            <w:hideMark/>
          </w:tcPr>
          <w:p w14:paraId="041FFEBA" w14:textId="58BF50D2" w:rsidR="005050BB" w:rsidRPr="00822978" w:rsidRDefault="005050BB" w:rsidP="00683A12">
            <w:pPr>
              <w:jc w:val="right"/>
              <w:textAlignment w:val="baseline"/>
              <w:cnfStyle w:val="000000000000" w:firstRow="0" w:lastRow="0" w:firstColumn="0" w:lastColumn="0" w:oddVBand="0" w:evenVBand="0" w:oddHBand="0" w:evenHBand="0" w:firstRowFirstColumn="0" w:firstRowLastColumn="0" w:lastRowFirstColumn="0" w:lastRowLastColumn="0"/>
              <w:rPr>
                <w:sz w:val="22"/>
                <w:szCs w:val="22"/>
              </w:rPr>
            </w:pPr>
            <w:r w:rsidRPr="00BD1BA9">
              <w:rPr>
                <w:color w:val="000000"/>
                <w:sz w:val="22"/>
                <w:szCs w:val="22"/>
              </w:rPr>
              <w:t>1</w:t>
            </w:r>
            <w:r>
              <w:rPr>
                <w:color w:val="000000"/>
                <w:sz w:val="22"/>
                <w:szCs w:val="22"/>
              </w:rPr>
              <w:t>7</w:t>
            </w:r>
          </w:p>
        </w:tc>
        <w:tc>
          <w:tcPr>
            <w:tcW w:w="1530" w:type="dxa"/>
            <w:tcBorders>
              <w:top w:val="nil"/>
              <w:bottom w:val="nil"/>
            </w:tcBorders>
            <w:hideMark/>
          </w:tcPr>
          <w:p w14:paraId="5A7BD6F2" w14:textId="63A2B59D" w:rsidR="005050BB" w:rsidRPr="00822978" w:rsidRDefault="005050BB" w:rsidP="00683A12">
            <w:pPr>
              <w:jc w:val="right"/>
              <w:textAlignment w:val="baseline"/>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38</w:t>
            </w:r>
            <w:r w:rsidRPr="00BD1BA9">
              <w:rPr>
                <w:sz w:val="22"/>
                <w:szCs w:val="22"/>
              </w:rPr>
              <w:t>.</w:t>
            </w:r>
            <w:r>
              <w:rPr>
                <w:sz w:val="22"/>
                <w:szCs w:val="22"/>
              </w:rPr>
              <w:t>6</w:t>
            </w:r>
            <w:r w:rsidRPr="00BD1BA9">
              <w:rPr>
                <w:sz w:val="22"/>
                <w:szCs w:val="22"/>
              </w:rPr>
              <w:t>%</w:t>
            </w:r>
          </w:p>
        </w:tc>
        <w:tc>
          <w:tcPr>
            <w:tcW w:w="540" w:type="dxa"/>
            <w:tcBorders>
              <w:top w:val="nil"/>
              <w:bottom w:val="nil"/>
            </w:tcBorders>
          </w:tcPr>
          <w:p w14:paraId="59BAE07C" w14:textId="77777777" w:rsidR="005050BB" w:rsidRDefault="005050BB" w:rsidP="00683A12">
            <w:pPr>
              <w:jc w:val="right"/>
              <w:textAlignment w:val="baseline"/>
              <w:cnfStyle w:val="000000000000" w:firstRow="0" w:lastRow="0" w:firstColumn="0" w:lastColumn="0" w:oddVBand="0" w:evenVBand="0" w:oddHBand="0" w:evenHBand="0" w:firstRowFirstColumn="0" w:firstRowLastColumn="0" w:lastRowFirstColumn="0" w:lastRowLastColumn="0"/>
              <w:rPr>
                <w:sz w:val="22"/>
                <w:szCs w:val="22"/>
              </w:rPr>
            </w:pPr>
          </w:p>
        </w:tc>
      </w:tr>
      <w:tr w:rsidR="005050BB" w:rsidRPr="00822978" w14:paraId="3C6163CF" w14:textId="270BB254" w:rsidTr="00846A2F">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3071" w:type="dxa"/>
            <w:tcBorders>
              <w:top w:val="nil"/>
              <w:bottom w:val="nil"/>
            </w:tcBorders>
            <w:hideMark/>
          </w:tcPr>
          <w:p w14:paraId="6C903E5B" w14:textId="3DD6D2E4" w:rsidR="005050BB" w:rsidRPr="00545D13" w:rsidRDefault="005050BB" w:rsidP="00683A12">
            <w:pPr>
              <w:textAlignment w:val="baseline"/>
              <w:rPr>
                <w:b w:val="0"/>
                <w:bCs w:val="0"/>
                <w:color w:val="000000"/>
                <w:sz w:val="22"/>
                <w:szCs w:val="22"/>
              </w:rPr>
            </w:pPr>
            <w:r w:rsidRPr="00545D13">
              <w:rPr>
                <w:b w:val="0"/>
                <w:bCs w:val="0"/>
                <w:color w:val="000000"/>
                <w:sz w:val="22"/>
                <w:szCs w:val="22"/>
              </w:rPr>
              <w:t xml:space="preserve">     6-10 years</w:t>
            </w:r>
          </w:p>
        </w:tc>
        <w:tc>
          <w:tcPr>
            <w:tcW w:w="4219" w:type="dxa"/>
            <w:gridSpan w:val="2"/>
            <w:tcBorders>
              <w:top w:val="nil"/>
              <w:bottom w:val="nil"/>
            </w:tcBorders>
            <w:hideMark/>
          </w:tcPr>
          <w:p w14:paraId="74B51327" w14:textId="59A06961" w:rsidR="005050BB" w:rsidRPr="00822978" w:rsidRDefault="005050BB" w:rsidP="00683A12">
            <w:pPr>
              <w:jc w:val="right"/>
              <w:textAlignment w:val="baseline"/>
              <w:cnfStyle w:val="000000100000" w:firstRow="0" w:lastRow="0" w:firstColumn="0" w:lastColumn="0" w:oddVBand="0" w:evenVBand="0" w:oddHBand="1" w:evenHBand="0" w:firstRowFirstColumn="0" w:firstRowLastColumn="0" w:lastRowFirstColumn="0" w:lastRowLastColumn="0"/>
              <w:rPr>
                <w:sz w:val="22"/>
                <w:szCs w:val="22"/>
              </w:rPr>
            </w:pPr>
            <w:r w:rsidRPr="00BD1BA9">
              <w:rPr>
                <w:sz w:val="22"/>
                <w:szCs w:val="22"/>
              </w:rPr>
              <w:t>6</w:t>
            </w:r>
          </w:p>
        </w:tc>
        <w:tc>
          <w:tcPr>
            <w:tcW w:w="1530" w:type="dxa"/>
            <w:tcBorders>
              <w:top w:val="nil"/>
              <w:bottom w:val="nil"/>
            </w:tcBorders>
            <w:hideMark/>
          </w:tcPr>
          <w:p w14:paraId="61ACC729" w14:textId="72E46155" w:rsidR="005050BB" w:rsidRPr="00822978" w:rsidRDefault="005050BB" w:rsidP="00683A12">
            <w:pPr>
              <w:jc w:val="right"/>
              <w:textAlignment w:val="baseline"/>
              <w:cnfStyle w:val="000000100000" w:firstRow="0" w:lastRow="0" w:firstColumn="0" w:lastColumn="0" w:oddVBand="0" w:evenVBand="0" w:oddHBand="1" w:evenHBand="0" w:firstRowFirstColumn="0" w:firstRowLastColumn="0" w:lastRowFirstColumn="0" w:lastRowLastColumn="0"/>
              <w:rPr>
                <w:sz w:val="22"/>
                <w:szCs w:val="22"/>
              </w:rPr>
            </w:pPr>
            <w:r w:rsidRPr="00BD1BA9">
              <w:rPr>
                <w:color w:val="000000"/>
                <w:sz w:val="22"/>
                <w:szCs w:val="22"/>
              </w:rPr>
              <w:t>13.6%</w:t>
            </w:r>
          </w:p>
        </w:tc>
        <w:tc>
          <w:tcPr>
            <w:tcW w:w="540" w:type="dxa"/>
            <w:tcBorders>
              <w:top w:val="nil"/>
              <w:bottom w:val="nil"/>
            </w:tcBorders>
          </w:tcPr>
          <w:p w14:paraId="06C51796" w14:textId="77777777" w:rsidR="005050BB" w:rsidRPr="00BD1BA9" w:rsidRDefault="005050BB" w:rsidP="00683A12">
            <w:pPr>
              <w:jc w:val="right"/>
              <w:textAlignment w:val="baseline"/>
              <w:cnfStyle w:val="000000100000" w:firstRow="0" w:lastRow="0" w:firstColumn="0" w:lastColumn="0" w:oddVBand="0" w:evenVBand="0" w:oddHBand="1" w:evenHBand="0" w:firstRowFirstColumn="0" w:firstRowLastColumn="0" w:lastRowFirstColumn="0" w:lastRowLastColumn="0"/>
              <w:rPr>
                <w:color w:val="000000"/>
                <w:sz w:val="22"/>
                <w:szCs w:val="22"/>
              </w:rPr>
            </w:pPr>
          </w:p>
        </w:tc>
      </w:tr>
      <w:tr w:rsidR="005050BB" w:rsidRPr="00822978" w14:paraId="058434EC" w14:textId="77973FDF" w:rsidTr="00846A2F">
        <w:trPr>
          <w:trHeight w:val="304"/>
        </w:trPr>
        <w:tc>
          <w:tcPr>
            <w:cnfStyle w:val="001000000000" w:firstRow="0" w:lastRow="0" w:firstColumn="1" w:lastColumn="0" w:oddVBand="0" w:evenVBand="0" w:oddHBand="0" w:evenHBand="0" w:firstRowFirstColumn="0" w:firstRowLastColumn="0" w:lastRowFirstColumn="0" w:lastRowLastColumn="0"/>
            <w:tcW w:w="3071" w:type="dxa"/>
            <w:tcBorders>
              <w:top w:val="nil"/>
              <w:bottom w:val="nil"/>
            </w:tcBorders>
          </w:tcPr>
          <w:p w14:paraId="5696B094" w14:textId="16019D32" w:rsidR="005050BB" w:rsidRPr="00545D13" w:rsidRDefault="005050BB" w:rsidP="00683A12">
            <w:pPr>
              <w:textAlignment w:val="baseline"/>
              <w:rPr>
                <w:b w:val="0"/>
                <w:bCs w:val="0"/>
                <w:color w:val="000000"/>
                <w:sz w:val="22"/>
                <w:szCs w:val="22"/>
              </w:rPr>
            </w:pPr>
            <w:r w:rsidRPr="00545D13">
              <w:rPr>
                <w:b w:val="0"/>
                <w:bCs w:val="0"/>
                <w:color w:val="000000"/>
                <w:sz w:val="22"/>
                <w:szCs w:val="22"/>
              </w:rPr>
              <w:t xml:space="preserve">     11-15 years</w:t>
            </w:r>
          </w:p>
        </w:tc>
        <w:tc>
          <w:tcPr>
            <w:tcW w:w="4219" w:type="dxa"/>
            <w:gridSpan w:val="2"/>
            <w:tcBorders>
              <w:top w:val="nil"/>
              <w:bottom w:val="nil"/>
            </w:tcBorders>
          </w:tcPr>
          <w:p w14:paraId="6E00FE45" w14:textId="1DC432F6" w:rsidR="005050BB" w:rsidRPr="00BD1BA9" w:rsidRDefault="005050BB" w:rsidP="00683A12">
            <w:pPr>
              <w:jc w:val="right"/>
              <w:textAlignment w:val="baseline"/>
              <w:cnfStyle w:val="000000000000" w:firstRow="0" w:lastRow="0" w:firstColumn="0" w:lastColumn="0" w:oddVBand="0" w:evenVBand="0" w:oddHBand="0" w:evenHBand="0" w:firstRowFirstColumn="0" w:firstRowLastColumn="0" w:lastRowFirstColumn="0" w:lastRowLastColumn="0"/>
              <w:rPr>
                <w:color w:val="000000"/>
                <w:sz w:val="22"/>
                <w:szCs w:val="22"/>
              </w:rPr>
            </w:pPr>
            <w:r w:rsidRPr="00BD1BA9">
              <w:rPr>
                <w:color w:val="000000"/>
                <w:sz w:val="22"/>
                <w:szCs w:val="22"/>
              </w:rPr>
              <w:t>7</w:t>
            </w:r>
          </w:p>
        </w:tc>
        <w:tc>
          <w:tcPr>
            <w:tcW w:w="1530" w:type="dxa"/>
            <w:tcBorders>
              <w:top w:val="nil"/>
              <w:bottom w:val="nil"/>
            </w:tcBorders>
          </w:tcPr>
          <w:p w14:paraId="37279B79" w14:textId="3E99D0D9" w:rsidR="005050BB" w:rsidRPr="00BD1BA9" w:rsidRDefault="005050BB" w:rsidP="00683A12">
            <w:pPr>
              <w:jc w:val="right"/>
              <w:textAlignment w:val="baseline"/>
              <w:cnfStyle w:val="000000000000" w:firstRow="0" w:lastRow="0" w:firstColumn="0" w:lastColumn="0" w:oddVBand="0" w:evenVBand="0" w:oddHBand="0" w:evenHBand="0" w:firstRowFirstColumn="0" w:firstRowLastColumn="0" w:lastRowFirstColumn="0" w:lastRowLastColumn="0"/>
              <w:rPr>
                <w:color w:val="000000"/>
                <w:sz w:val="22"/>
                <w:szCs w:val="22"/>
              </w:rPr>
            </w:pPr>
            <w:r w:rsidRPr="00BD1BA9">
              <w:rPr>
                <w:color w:val="000000"/>
                <w:sz w:val="22"/>
                <w:szCs w:val="22"/>
              </w:rPr>
              <w:t>15.9%</w:t>
            </w:r>
          </w:p>
        </w:tc>
        <w:tc>
          <w:tcPr>
            <w:tcW w:w="540" w:type="dxa"/>
            <w:tcBorders>
              <w:top w:val="nil"/>
              <w:bottom w:val="nil"/>
            </w:tcBorders>
          </w:tcPr>
          <w:p w14:paraId="007A4F58" w14:textId="77777777" w:rsidR="005050BB" w:rsidRPr="00BD1BA9" w:rsidRDefault="005050BB" w:rsidP="00683A12">
            <w:pPr>
              <w:jc w:val="right"/>
              <w:textAlignment w:val="baseline"/>
              <w:cnfStyle w:val="000000000000" w:firstRow="0" w:lastRow="0" w:firstColumn="0" w:lastColumn="0" w:oddVBand="0" w:evenVBand="0" w:oddHBand="0" w:evenHBand="0" w:firstRowFirstColumn="0" w:firstRowLastColumn="0" w:lastRowFirstColumn="0" w:lastRowLastColumn="0"/>
              <w:rPr>
                <w:color w:val="000000"/>
                <w:sz w:val="22"/>
                <w:szCs w:val="22"/>
              </w:rPr>
            </w:pPr>
          </w:p>
        </w:tc>
      </w:tr>
      <w:tr w:rsidR="005050BB" w:rsidRPr="00822978" w14:paraId="47F9CCAB" w14:textId="22797942" w:rsidTr="00846A2F">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3071" w:type="dxa"/>
            <w:tcBorders>
              <w:top w:val="nil"/>
              <w:bottom w:val="nil"/>
            </w:tcBorders>
          </w:tcPr>
          <w:p w14:paraId="7BEE15A2" w14:textId="5DE3FEE0" w:rsidR="005050BB" w:rsidRPr="00545D13" w:rsidRDefault="005050BB" w:rsidP="00683A12">
            <w:pPr>
              <w:textAlignment w:val="baseline"/>
              <w:rPr>
                <w:b w:val="0"/>
                <w:bCs w:val="0"/>
                <w:color w:val="000000"/>
                <w:sz w:val="22"/>
                <w:szCs w:val="22"/>
              </w:rPr>
            </w:pPr>
            <w:r w:rsidRPr="00545D13">
              <w:rPr>
                <w:b w:val="0"/>
                <w:bCs w:val="0"/>
                <w:color w:val="000000"/>
                <w:sz w:val="22"/>
                <w:szCs w:val="22"/>
              </w:rPr>
              <w:t xml:space="preserve">     16-20 years</w:t>
            </w:r>
          </w:p>
        </w:tc>
        <w:tc>
          <w:tcPr>
            <w:tcW w:w="4219" w:type="dxa"/>
            <w:gridSpan w:val="2"/>
            <w:tcBorders>
              <w:top w:val="nil"/>
              <w:bottom w:val="nil"/>
            </w:tcBorders>
          </w:tcPr>
          <w:p w14:paraId="77C0DC96" w14:textId="5B17C581" w:rsidR="005050BB" w:rsidRPr="00BD1BA9" w:rsidRDefault="005050BB" w:rsidP="00683A12">
            <w:pPr>
              <w:jc w:val="right"/>
              <w:textAlignment w:val="baseline"/>
              <w:cnfStyle w:val="000000100000" w:firstRow="0" w:lastRow="0" w:firstColumn="0" w:lastColumn="0" w:oddVBand="0" w:evenVBand="0" w:oddHBand="1" w:evenHBand="0" w:firstRowFirstColumn="0" w:firstRowLastColumn="0" w:lastRowFirstColumn="0" w:lastRowLastColumn="0"/>
              <w:rPr>
                <w:color w:val="000000"/>
                <w:sz w:val="22"/>
                <w:szCs w:val="22"/>
              </w:rPr>
            </w:pPr>
            <w:r w:rsidRPr="00BD1BA9">
              <w:rPr>
                <w:color w:val="000000"/>
                <w:sz w:val="22"/>
                <w:szCs w:val="22"/>
              </w:rPr>
              <w:t>10</w:t>
            </w:r>
          </w:p>
        </w:tc>
        <w:tc>
          <w:tcPr>
            <w:tcW w:w="1530" w:type="dxa"/>
            <w:tcBorders>
              <w:top w:val="nil"/>
              <w:bottom w:val="nil"/>
            </w:tcBorders>
          </w:tcPr>
          <w:p w14:paraId="3CDB668C" w14:textId="7BB3A76D" w:rsidR="005050BB" w:rsidRPr="00BD1BA9" w:rsidRDefault="005050BB" w:rsidP="00683A12">
            <w:pPr>
              <w:jc w:val="right"/>
              <w:textAlignment w:val="baseline"/>
              <w:cnfStyle w:val="000000100000" w:firstRow="0" w:lastRow="0" w:firstColumn="0" w:lastColumn="0" w:oddVBand="0" w:evenVBand="0" w:oddHBand="1" w:evenHBand="0" w:firstRowFirstColumn="0" w:firstRowLastColumn="0" w:lastRowFirstColumn="0" w:lastRowLastColumn="0"/>
              <w:rPr>
                <w:color w:val="000000"/>
                <w:sz w:val="22"/>
                <w:szCs w:val="22"/>
              </w:rPr>
            </w:pPr>
            <w:r w:rsidRPr="00BD1BA9">
              <w:rPr>
                <w:color w:val="000000"/>
                <w:sz w:val="22"/>
                <w:szCs w:val="22"/>
              </w:rPr>
              <w:t>22.7%</w:t>
            </w:r>
          </w:p>
        </w:tc>
        <w:tc>
          <w:tcPr>
            <w:tcW w:w="540" w:type="dxa"/>
            <w:tcBorders>
              <w:top w:val="nil"/>
              <w:bottom w:val="nil"/>
            </w:tcBorders>
          </w:tcPr>
          <w:p w14:paraId="292D9538" w14:textId="77777777" w:rsidR="005050BB" w:rsidRPr="00BD1BA9" w:rsidRDefault="005050BB" w:rsidP="00683A12">
            <w:pPr>
              <w:jc w:val="right"/>
              <w:textAlignment w:val="baseline"/>
              <w:cnfStyle w:val="000000100000" w:firstRow="0" w:lastRow="0" w:firstColumn="0" w:lastColumn="0" w:oddVBand="0" w:evenVBand="0" w:oddHBand="1" w:evenHBand="0" w:firstRowFirstColumn="0" w:firstRowLastColumn="0" w:lastRowFirstColumn="0" w:lastRowLastColumn="0"/>
              <w:rPr>
                <w:color w:val="000000"/>
                <w:sz w:val="22"/>
                <w:szCs w:val="22"/>
              </w:rPr>
            </w:pPr>
          </w:p>
        </w:tc>
      </w:tr>
      <w:tr w:rsidR="005050BB" w:rsidRPr="00822978" w14:paraId="0BDAB385" w14:textId="6F484196" w:rsidTr="00846A2F">
        <w:trPr>
          <w:trHeight w:val="304"/>
        </w:trPr>
        <w:tc>
          <w:tcPr>
            <w:cnfStyle w:val="001000000000" w:firstRow="0" w:lastRow="0" w:firstColumn="1" w:lastColumn="0" w:oddVBand="0" w:evenVBand="0" w:oddHBand="0" w:evenHBand="0" w:firstRowFirstColumn="0" w:firstRowLastColumn="0" w:lastRowFirstColumn="0" w:lastRowLastColumn="0"/>
            <w:tcW w:w="3071" w:type="dxa"/>
            <w:tcBorders>
              <w:top w:val="nil"/>
              <w:bottom w:val="nil"/>
            </w:tcBorders>
          </w:tcPr>
          <w:p w14:paraId="46A8F911" w14:textId="44B6FE04" w:rsidR="005050BB" w:rsidRPr="00545D13" w:rsidRDefault="005050BB" w:rsidP="00683A12">
            <w:pPr>
              <w:textAlignment w:val="baseline"/>
              <w:rPr>
                <w:b w:val="0"/>
                <w:bCs w:val="0"/>
                <w:color w:val="000000"/>
                <w:sz w:val="22"/>
                <w:szCs w:val="22"/>
              </w:rPr>
            </w:pPr>
            <w:r w:rsidRPr="00545D13">
              <w:rPr>
                <w:b w:val="0"/>
                <w:bCs w:val="0"/>
                <w:color w:val="000000"/>
                <w:sz w:val="22"/>
                <w:szCs w:val="22"/>
              </w:rPr>
              <w:t xml:space="preserve">     21-25 years</w:t>
            </w:r>
          </w:p>
        </w:tc>
        <w:tc>
          <w:tcPr>
            <w:tcW w:w="4219" w:type="dxa"/>
            <w:gridSpan w:val="2"/>
            <w:tcBorders>
              <w:top w:val="nil"/>
              <w:bottom w:val="nil"/>
            </w:tcBorders>
          </w:tcPr>
          <w:p w14:paraId="5B67DD69" w14:textId="240E0B98" w:rsidR="005050BB" w:rsidRPr="00BD1BA9" w:rsidRDefault="005050BB" w:rsidP="00683A12">
            <w:pPr>
              <w:jc w:val="right"/>
              <w:textAlignment w:val="baseline"/>
              <w:cnfStyle w:val="000000000000" w:firstRow="0" w:lastRow="0" w:firstColumn="0" w:lastColumn="0" w:oddVBand="0" w:evenVBand="0" w:oddHBand="0" w:evenHBand="0" w:firstRowFirstColumn="0" w:firstRowLastColumn="0" w:lastRowFirstColumn="0" w:lastRowLastColumn="0"/>
              <w:rPr>
                <w:color w:val="000000"/>
                <w:sz w:val="22"/>
                <w:szCs w:val="22"/>
              </w:rPr>
            </w:pPr>
            <w:r w:rsidRPr="00BD1BA9">
              <w:rPr>
                <w:color w:val="000000"/>
                <w:sz w:val="22"/>
                <w:szCs w:val="22"/>
              </w:rPr>
              <w:t>3</w:t>
            </w:r>
          </w:p>
        </w:tc>
        <w:tc>
          <w:tcPr>
            <w:tcW w:w="1530" w:type="dxa"/>
            <w:tcBorders>
              <w:top w:val="nil"/>
              <w:bottom w:val="nil"/>
            </w:tcBorders>
          </w:tcPr>
          <w:p w14:paraId="3AA5F5FD" w14:textId="3DC158A3" w:rsidR="005050BB" w:rsidRPr="00BD1BA9" w:rsidRDefault="005050BB" w:rsidP="00683A12">
            <w:pPr>
              <w:jc w:val="right"/>
              <w:textAlignment w:val="baseline"/>
              <w:cnfStyle w:val="000000000000" w:firstRow="0" w:lastRow="0" w:firstColumn="0" w:lastColumn="0" w:oddVBand="0" w:evenVBand="0" w:oddHBand="0" w:evenHBand="0" w:firstRowFirstColumn="0" w:firstRowLastColumn="0" w:lastRowFirstColumn="0" w:lastRowLastColumn="0"/>
              <w:rPr>
                <w:color w:val="000000"/>
                <w:sz w:val="22"/>
                <w:szCs w:val="22"/>
              </w:rPr>
            </w:pPr>
            <w:r w:rsidRPr="00BD1BA9">
              <w:rPr>
                <w:color w:val="000000"/>
                <w:sz w:val="22"/>
                <w:szCs w:val="22"/>
              </w:rPr>
              <w:t>6.8%</w:t>
            </w:r>
          </w:p>
        </w:tc>
        <w:tc>
          <w:tcPr>
            <w:tcW w:w="540" w:type="dxa"/>
            <w:tcBorders>
              <w:top w:val="nil"/>
              <w:bottom w:val="nil"/>
            </w:tcBorders>
          </w:tcPr>
          <w:p w14:paraId="42091393" w14:textId="77777777" w:rsidR="005050BB" w:rsidRPr="00BD1BA9" w:rsidRDefault="005050BB" w:rsidP="00683A12">
            <w:pPr>
              <w:jc w:val="right"/>
              <w:textAlignment w:val="baseline"/>
              <w:cnfStyle w:val="000000000000" w:firstRow="0" w:lastRow="0" w:firstColumn="0" w:lastColumn="0" w:oddVBand="0" w:evenVBand="0" w:oddHBand="0" w:evenHBand="0" w:firstRowFirstColumn="0" w:firstRowLastColumn="0" w:lastRowFirstColumn="0" w:lastRowLastColumn="0"/>
              <w:rPr>
                <w:color w:val="000000"/>
                <w:sz w:val="22"/>
                <w:szCs w:val="22"/>
              </w:rPr>
            </w:pPr>
          </w:p>
        </w:tc>
      </w:tr>
      <w:tr w:rsidR="005050BB" w:rsidRPr="00822978" w14:paraId="09A3C03F" w14:textId="652E86EC" w:rsidTr="00846A2F">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3071" w:type="dxa"/>
            <w:tcBorders>
              <w:top w:val="nil"/>
              <w:bottom w:val="nil"/>
            </w:tcBorders>
          </w:tcPr>
          <w:p w14:paraId="25921D6C" w14:textId="056E0444" w:rsidR="005050BB" w:rsidRPr="00545D13" w:rsidRDefault="005050BB" w:rsidP="00683A12">
            <w:pPr>
              <w:textAlignment w:val="baseline"/>
              <w:rPr>
                <w:b w:val="0"/>
                <w:bCs w:val="0"/>
                <w:color w:val="000000"/>
                <w:sz w:val="22"/>
                <w:szCs w:val="22"/>
              </w:rPr>
            </w:pPr>
            <w:r w:rsidRPr="00545D13">
              <w:rPr>
                <w:b w:val="0"/>
                <w:bCs w:val="0"/>
                <w:color w:val="000000"/>
                <w:sz w:val="22"/>
                <w:szCs w:val="22"/>
              </w:rPr>
              <w:t xml:space="preserve">     26 years or more</w:t>
            </w:r>
          </w:p>
        </w:tc>
        <w:tc>
          <w:tcPr>
            <w:tcW w:w="4219" w:type="dxa"/>
            <w:gridSpan w:val="2"/>
            <w:tcBorders>
              <w:top w:val="nil"/>
              <w:bottom w:val="nil"/>
            </w:tcBorders>
          </w:tcPr>
          <w:p w14:paraId="717F718D" w14:textId="10194469" w:rsidR="005050BB" w:rsidRPr="00BD1BA9" w:rsidRDefault="005050BB" w:rsidP="00683A12">
            <w:pPr>
              <w:jc w:val="right"/>
              <w:textAlignment w:val="baseline"/>
              <w:cnfStyle w:val="000000100000" w:firstRow="0" w:lastRow="0" w:firstColumn="0" w:lastColumn="0" w:oddVBand="0" w:evenVBand="0" w:oddHBand="1" w:evenHBand="0" w:firstRowFirstColumn="0" w:firstRowLastColumn="0" w:lastRowFirstColumn="0" w:lastRowLastColumn="0"/>
              <w:rPr>
                <w:color w:val="000000"/>
                <w:sz w:val="22"/>
                <w:szCs w:val="22"/>
              </w:rPr>
            </w:pPr>
            <w:r w:rsidRPr="00BD1BA9">
              <w:rPr>
                <w:color w:val="000000"/>
                <w:sz w:val="22"/>
                <w:szCs w:val="22"/>
              </w:rPr>
              <w:t>1</w:t>
            </w:r>
          </w:p>
        </w:tc>
        <w:tc>
          <w:tcPr>
            <w:tcW w:w="1530" w:type="dxa"/>
            <w:tcBorders>
              <w:top w:val="nil"/>
              <w:bottom w:val="nil"/>
            </w:tcBorders>
          </w:tcPr>
          <w:p w14:paraId="41342CB4" w14:textId="67C760B1" w:rsidR="005050BB" w:rsidRPr="00BD1BA9" w:rsidRDefault="005050BB" w:rsidP="00683A12">
            <w:pPr>
              <w:jc w:val="right"/>
              <w:textAlignment w:val="baseline"/>
              <w:cnfStyle w:val="000000100000" w:firstRow="0" w:lastRow="0" w:firstColumn="0" w:lastColumn="0" w:oddVBand="0" w:evenVBand="0" w:oddHBand="1" w:evenHBand="0" w:firstRowFirstColumn="0" w:firstRowLastColumn="0" w:lastRowFirstColumn="0" w:lastRowLastColumn="0"/>
              <w:rPr>
                <w:color w:val="000000"/>
                <w:sz w:val="22"/>
                <w:szCs w:val="22"/>
              </w:rPr>
            </w:pPr>
            <w:r w:rsidRPr="00BD1BA9">
              <w:rPr>
                <w:color w:val="000000"/>
                <w:sz w:val="22"/>
                <w:szCs w:val="22"/>
              </w:rPr>
              <w:t>2.3%</w:t>
            </w:r>
          </w:p>
        </w:tc>
        <w:tc>
          <w:tcPr>
            <w:tcW w:w="540" w:type="dxa"/>
            <w:tcBorders>
              <w:top w:val="nil"/>
              <w:bottom w:val="nil"/>
            </w:tcBorders>
          </w:tcPr>
          <w:p w14:paraId="44FAFFB9" w14:textId="77777777" w:rsidR="005050BB" w:rsidRPr="00BD1BA9" w:rsidRDefault="005050BB" w:rsidP="00683A12">
            <w:pPr>
              <w:jc w:val="right"/>
              <w:textAlignment w:val="baseline"/>
              <w:cnfStyle w:val="000000100000" w:firstRow="0" w:lastRow="0" w:firstColumn="0" w:lastColumn="0" w:oddVBand="0" w:evenVBand="0" w:oddHBand="1" w:evenHBand="0" w:firstRowFirstColumn="0" w:firstRowLastColumn="0" w:lastRowFirstColumn="0" w:lastRowLastColumn="0"/>
              <w:rPr>
                <w:color w:val="000000"/>
                <w:sz w:val="22"/>
                <w:szCs w:val="22"/>
              </w:rPr>
            </w:pPr>
          </w:p>
        </w:tc>
      </w:tr>
      <w:tr w:rsidR="005050BB" w:rsidRPr="00822978" w14:paraId="4893C977" w14:textId="4DA0E63C" w:rsidTr="00846A2F">
        <w:trPr>
          <w:trHeight w:val="304"/>
        </w:trPr>
        <w:tc>
          <w:tcPr>
            <w:cnfStyle w:val="001000000000" w:firstRow="0" w:lastRow="0" w:firstColumn="1" w:lastColumn="0" w:oddVBand="0" w:evenVBand="0" w:oddHBand="0" w:evenHBand="0" w:firstRowFirstColumn="0" w:firstRowLastColumn="0" w:lastRowFirstColumn="0" w:lastRowLastColumn="0"/>
            <w:tcW w:w="3071" w:type="dxa"/>
            <w:tcBorders>
              <w:top w:val="nil"/>
              <w:bottom w:val="nil"/>
            </w:tcBorders>
          </w:tcPr>
          <w:p w14:paraId="7F3ED5F6" w14:textId="724E73CA" w:rsidR="005050BB" w:rsidRPr="00545D13" w:rsidRDefault="005050BB" w:rsidP="00683A12">
            <w:pPr>
              <w:textAlignment w:val="baseline"/>
              <w:rPr>
                <w:b w:val="0"/>
                <w:bCs w:val="0"/>
                <w:color w:val="000000"/>
                <w:sz w:val="22"/>
                <w:szCs w:val="22"/>
              </w:rPr>
            </w:pPr>
            <w:r w:rsidRPr="00545D13">
              <w:rPr>
                <w:b w:val="0"/>
                <w:bCs w:val="0"/>
                <w:color w:val="000000"/>
                <w:sz w:val="22"/>
                <w:szCs w:val="22"/>
              </w:rPr>
              <w:t xml:space="preserve">Years in Formal EAE </w:t>
            </w:r>
          </w:p>
        </w:tc>
        <w:tc>
          <w:tcPr>
            <w:tcW w:w="4219" w:type="dxa"/>
            <w:gridSpan w:val="2"/>
            <w:tcBorders>
              <w:top w:val="nil"/>
              <w:bottom w:val="nil"/>
            </w:tcBorders>
          </w:tcPr>
          <w:p w14:paraId="28A32F70" w14:textId="6A2C25C7" w:rsidR="005050BB" w:rsidRPr="00BD1BA9" w:rsidRDefault="005050BB" w:rsidP="00683A12">
            <w:pPr>
              <w:jc w:val="right"/>
              <w:textAlignment w:val="baseline"/>
              <w:cnfStyle w:val="000000000000" w:firstRow="0" w:lastRow="0" w:firstColumn="0" w:lastColumn="0" w:oddVBand="0" w:evenVBand="0" w:oddHBand="0" w:evenHBand="0" w:firstRowFirstColumn="0" w:firstRowLastColumn="0" w:lastRowFirstColumn="0" w:lastRowLastColumn="0"/>
              <w:rPr>
                <w:color w:val="000000"/>
                <w:sz w:val="22"/>
                <w:szCs w:val="22"/>
              </w:rPr>
            </w:pPr>
          </w:p>
        </w:tc>
        <w:tc>
          <w:tcPr>
            <w:tcW w:w="1530" w:type="dxa"/>
            <w:tcBorders>
              <w:top w:val="nil"/>
              <w:bottom w:val="nil"/>
            </w:tcBorders>
          </w:tcPr>
          <w:p w14:paraId="175F92EA" w14:textId="77777777" w:rsidR="005050BB" w:rsidRPr="00BD1BA9" w:rsidRDefault="005050BB" w:rsidP="00683A12">
            <w:pPr>
              <w:jc w:val="right"/>
              <w:textAlignment w:val="baseline"/>
              <w:cnfStyle w:val="000000000000" w:firstRow="0" w:lastRow="0" w:firstColumn="0" w:lastColumn="0" w:oddVBand="0" w:evenVBand="0" w:oddHBand="0" w:evenHBand="0" w:firstRowFirstColumn="0" w:firstRowLastColumn="0" w:lastRowFirstColumn="0" w:lastRowLastColumn="0"/>
              <w:rPr>
                <w:color w:val="000000"/>
                <w:sz w:val="22"/>
                <w:szCs w:val="22"/>
              </w:rPr>
            </w:pPr>
          </w:p>
        </w:tc>
        <w:tc>
          <w:tcPr>
            <w:tcW w:w="540" w:type="dxa"/>
            <w:tcBorders>
              <w:top w:val="nil"/>
              <w:bottom w:val="nil"/>
            </w:tcBorders>
          </w:tcPr>
          <w:p w14:paraId="30AD7C7E" w14:textId="77777777" w:rsidR="005050BB" w:rsidRPr="00BD1BA9" w:rsidRDefault="005050BB" w:rsidP="00683A12">
            <w:pPr>
              <w:jc w:val="right"/>
              <w:textAlignment w:val="baseline"/>
              <w:cnfStyle w:val="000000000000" w:firstRow="0" w:lastRow="0" w:firstColumn="0" w:lastColumn="0" w:oddVBand="0" w:evenVBand="0" w:oddHBand="0" w:evenHBand="0" w:firstRowFirstColumn="0" w:firstRowLastColumn="0" w:lastRowFirstColumn="0" w:lastRowLastColumn="0"/>
              <w:rPr>
                <w:color w:val="000000"/>
                <w:sz w:val="22"/>
                <w:szCs w:val="22"/>
              </w:rPr>
            </w:pPr>
          </w:p>
        </w:tc>
      </w:tr>
      <w:tr w:rsidR="005050BB" w:rsidRPr="00822978" w14:paraId="4A7B6836" w14:textId="183C1DA1" w:rsidTr="00846A2F">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3071" w:type="dxa"/>
            <w:tcBorders>
              <w:top w:val="nil"/>
              <w:bottom w:val="nil"/>
            </w:tcBorders>
          </w:tcPr>
          <w:p w14:paraId="68A4A562" w14:textId="688D87C4" w:rsidR="005050BB" w:rsidRPr="00545D13" w:rsidRDefault="005050BB" w:rsidP="00683A12">
            <w:pPr>
              <w:textAlignment w:val="baseline"/>
              <w:rPr>
                <w:b w:val="0"/>
                <w:bCs w:val="0"/>
                <w:color w:val="000000"/>
                <w:sz w:val="22"/>
                <w:szCs w:val="22"/>
              </w:rPr>
            </w:pPr>
            <w:r w:rsidRPr="00545D13">
              <w:rPr>
                <w:b w:val="0"/>
                <w:bCs w:val="0"/>
                <w:color w:val="000000"/>
                <w:sz w:val="22"/>
                <w:szCs w:val="22"/>
              </w:rPr>
              <w:t xml:space="preserve">     1 year</w:t>
            </w:r>
          </w:p>
        </w:tc>
        <w:tc>
          <w:tcPr>
            <w:tcW w:w="4219" w:type="dxa"/>
            <w:gridSpan w:val="2"/>
            <w:tcBorders>
              <w:top w:val="nil"/>
              <w:bottom w:val="nil"/>
            </w:tcBorders>
          </w:tcPr>
          <w:p w14:paraId="0F698190" w14:textId="5CD49E26" w:rsidR="005050BB" w:rsidRPr="00BD1BA9" w:rsidRDefault="005050BB" w:rsidP="00683A12">
            <w:pPr>
              <w:jc w:val="right"/>
              <w:textAlignment w:val="baseline"/>
              <w:cnfStyle w:val="000000100000" w:firstRow="0" w:lastRow="0" w:firstColumn="0" w:lastColumn="0" w:oddVBand="0" w:evenVBand="0" w:oddHBand="1" w:evenHBand="0" w:firstRowFirstColumn="0" w:firstRowLastColumn="0" w:lastRowFirstColumn="0" w:lastRowLastColumn="0"/>
              <w:rPr>
                <w:color w:val="000000"/>
                <w:sz w:val="22"/>
                <w:szCs w:val="22"/>
              </w:rPr>
            </w:pPr>
            <w:r w:rsidRPr="00BD1BA9">
              <w:rPr>
                <w:color w:val="000000"/>
                <w:sz w:val="22"/>
                <w:szCs w:val="22"/>
              </w:rPr>
              <w:t>14</w:t>
            </w:r>
          </w:p>
        </w:tc>
        <w:tc>
          <w:tcPr>
            <w:tcW w:w="1530" w:type="dxa"/>
            <w:tcBorders>
              <w:top w:val="nil"/>
              <w:bottom w:val="nil"/>
            </w:tcBorders>
          </w:tcPr>
          <w:p w14:paraId="5D9C266F" w14:textId="6ADDB854" w:rsidR="005050BB" w:rsidRPr="00BD1BA9" w:rsidRDefault="005050BB" w:rsidP="00683A12">
            <w:pPr>
              <w:jc w:val="right"/>
              <w:textAlignment w:val="baseline"/>
              <w:cnfStyle w:val="000000100000" w:firstRow="0" w:lastRow="0" w:firstColumn="0" w:lastColumn="0" w:oddVBand="0" w:evenVBand="0" w:oddHBand="1" w:evenHBand="0" w:firstRowFirstColumn="0" w:firstRowLastColumn="0" w:lastRowFirstColumn="0" w:lastRowLastColumn="0"/>
              <w:rPr>
                <w:color w:val="000000"/>
                <w:sz w:val="22"/>
                <w:szCs w:val="22"/>
              </w:rPr>
            </w:pPr>
            <w:r w:rsidRPr="00BD1BA9">
              <w:rPr>
                <w:color w:val="000000"/>
                <w:sz w:val="22"/>
                <w:szCs w:val="22"/>
              </w:rPr>
              <w:t>31.8%</w:t>
            </w:r>
          </w:p>
        </w:tc>
        <w:tc>
          <w:tcPr>
            <w:tcW w:w="540" w:type="dxa"/>
            <w:tcBorders>
              <w:top w:val="nil"/>
              <w:bottom w:val="nil"/>
            </w:tcBorders>
          </w:tcPr>
          <w:p w14:paraId="55497564" w14:textId="77777777" w:rsidR="005050BB" w:rsidRPr="00BD1BA9" w:rsidRDefault="005050BB" w:rsidP="00683A12">
            <w:pPr>
              <w:jc w:val="right"/>
              <w:textAlignment w:val="baseline"/>
              <w:cnfStyle w:val="000000100000" w:firstRow="0" w:lastRow="0" w:firstColumn="0" w:lastColumn="0" w:oddVBand="0" w:evenVBand="0" w:oddHBand="1" w:evenHBand="0" w:firstRowFirstColumn="0" w:firstRowLastColumn="0" w:lastRowFirstColumn="0" w:lastRowLastColumn="0"/>
              <w:rPr>
                <w:color w:val="000000"/>
                <w:sz w:val="22"/>
                <w:szCs w:val="22"/>
              </w:rPr>
            </w:pPr>
          </w:p>
        </w:tc>
      </w:tr>
      <w:tr w:rsidR="005050BB" w:rsidRPr="00822978" w14:paraId="36041BF4" w14:textId="3800269A" w:rsidTr="00846A2F">
        <w:trPr>
          <w:trHeight w:val="304"/>
        </w:trPr>
        <w:tc>
          <w:tcPr>
            <w:cnfStyle w:val="001000000000" w:firstRow="0" w:lastRow="0" w:firstColumn="1" w:lastColumn="0" w:oddVBand="0" w:evenVBand="0" w:oddHBand="0" w:evenHBand="0" w:firstRowFirstColumn="0" w:firstRowLastColumn="0" w:lastRowFirstColumn="0" w:lastRowLastColumn="0"/>
            <w:tcW w:w="3071" w:type="dxa"/>
            <w:tcBorders>
              <w:top w:val="nil"/>
              <w:bottom w:val="nil"/>
            </w:tcBorders>
          </w:tcPr>
          <w:p w14:paraId="7B59AB11" w14:textId="71A7470C" w:rsidR="005050BB" w:rsidRPr="00545D13" w:rsidRDefault="005050BB" w:rsidP="00683A12">
            <w:pPr>
              <w:textAlignment w:val="baseline"/>
              <w:rPr>
                <w:b w:val="0"/>
                <w:bCs w:val="0"/>
                <w:color w:val="000000"/>
                <w:sz w:val="22"/>
                <w:szCs w:val="22"/>
              </w:rPr>
            </w:pPr>
            <w:r w:rsidRPr="00545D13">
              <w:rPr>
                <w:b w:val="0"/>
                <w:bCs w:val="0"/>
                <w:color w:val="000000"/>
                <w:sz w:val="22"/>
                <w:szCs w:val="22"/>
              </w:rPr>
              <w:t xml:space="preserve">     2 years</w:t>
            </w:r>
          </w:p>
        </w:tc>
        <w:tc>
          <w:tcPr>
            <w:tcW w:w="4219" w:type="dxa"/>
            <w:gridSpan w:val="2"/>
            <w:tcBorders>
              <w:top w:val="nil"/>
              <w:bottom w:val="nil"/>
            </w:tcBorders>
          </w:tcPr>
          <w:p w14:paraId="3A04A802" w14:textId="782236A9" w:rsidR="005050BB" w:rsidRPr="00BD1BA9" w:rsidRDefault="005050BB" w:rsidP="00683A12">
            <w:pPr>
              <w:jc w:val="right"/>
              <w:textAlignment w:val="baseline"/>
              <w:cnfStyle w:val="000000000000" w:firstRow="0" w:lastRow="0" w:firstColumn="0" w:lastColumn="0" w:oddVBand="0" w:evenVBand="0" w:oddHBand="0" w:evenHBand="0" w:firstRowFirstColumn="0" w:firstRowLastColumn="0" w:lastRowFirstColumn="0" w:lastRowLastColumn="0"/>
              <w:rPr>
                <w:color w:val="000000"/>
                <w:sz w:val="22"/>
                <w:szCs w:val="22"/>
              </w:rPr>
            </w:pPr>
            <w:r w:rsidRPr="00BD1BA9">
              <w:rPr>
                <w:color w:val="000000"/>
                <w:sz w:val="22"/>
                <w:szCs w:val="22"/>
              </w:rPr>
              <w:t>9</w:t>
            </w:r>
          </w:p>
        </w:tc>
        <w:tc>
          <w:tcPr>
            <w:tcW w:w="1530" w:type="dxa"/>
            <w:tcBorders>
              <w:top w:val="nil"/>
              <w:bottom w:val="nil"/>
            </w:tcBorders>
          </w:tcPr>
          <w:p w14:paraId="5FAE1FBA" w14:textId="4730003C" w:rsidR="005050BB" w:rsidRPr="00BD1BA9" w:rsidRDefault="005050BB" w:rsidP="00683A12">
            <w:pPr>
              <w:jc w:val="right"/>
              <w:textAlignment w:val="baseline"/>
              <w:cnfStyle w:val="000000000000" w:firstRow="0" w:lastRow="0" w:firstColumn="0" w:lastColumn="0" w:oddVBand="0" w:evenVBand="0" w:oddHBand="0" w:evenHBand="0" w:firstRowFirstColumn="0" w:firstRowLastColumn="0" w:lastRowFirstColumn="0" w:lastRowLastColumn="0"/>
              <w:rPr>
                <w:color w:val="000000"/>
                <w:sz w:val="22"/>
                <w:szCs w:val="22"/>
              </w:rPr>
            </w:pPr>
            <w:r w:rsidRPr="00BD1BA9">
              <w:rPr>
                <w:color w:val="000000"/>
                <w:sz w:val="22"/>
                <w:szCs w:val="22"/>
              </w:rPr>
              <w:t>20.5%</w:t>
            </w:r>
          </w:p>
        </w:tc>
        <w:tc>
          <w:tcPr>
            <w:tcW w:w="540" w:type="dxa"/>
            <w:tcBorders>
              <w:top w:val="nil"/>
              <w:bottom w:val="nil"/>
            </w:tcBorders>
          </w:tcPr>
          <w:p w14:paraId="78D5B783" w14:textId="77777777" w:rsidR="005050BB" w:rsidRPr="00BD1BA9" w:rsidRDefault="005050BB" w:rsidP="00683A12">
            <w:pPr>
              <w:jc w:val="right"/>
              <w:textAlignment w:val="baseline"/>
              <w:cnfStyle w:val="000000000000" w:firstRow="0" w:lastRow="0" w:firstColumn="0" w:lastColumn="0" w:oddVBand="0" w:evenVBand="0" w:oddHBand="0" w:evenHBand="0" w:firstRowFirstColumn="0" w:firstRowLastColumn="0" w:lastRowFirstColumn="0" w:lastRowLastColumn="0"/>
              <w:rPr>
                <w:color w:val="000000"/>
                <w:sz w:val="22"/>
                <w:szCs w:val="22"/>
              </w:rPr>
            </w:pPr>
          </w:p>
        </w:tc>
      </w:tr>
      <w:tr w:rsidR="005050BB" w:rsidRPr="00822978" w14:paraId="5445CDC4" w14:textId="23BEF2D7" w:rsidTr="00846A2F">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3071" w:type="dxa"/>
            <w:tcBorders>
              <w:top w:val="nil"/>
              <w:bottom w:val="nil"/>
            </w:tcBorders>
          </w:tcPr>
          <w:p w14:paraId="56B1435E" w14:textId="6811FF1B" w:rsidR="005050BB" w:rsidRPr="00545D13" w:rsidRDefault="005050BB" w:rsidP="00683A12">
            <w:pPr>
              <w:textAlignment w:val="baseline"/>
              <w:rPr>
                <w:b w:val="0"/>
                <w:bCs w:val="0"/>
                <w:color w:val="000000"/>
                <w:sz w:val="22"/>
                <w:szCs w:val="22"/>
              </w:rPr>
            </w:pPr>
            <w:r w:rsidRPr="00545D13">
              <w:rPr>
                <w:b w:val="0"/>
                <w:bCs w:val="0"/>
                <w:color w:val="000000"/>
                <w:sz w:val="22"/>
                <w:szCs w:val="22"/>
              </w:rPr>
              <w:t xml:space="preserve">     3 years</w:t>
            </w:r>
          </w:p>
        </w:tc>
        <w:tc>
          <w:tcPr>
            <w:tcW w:w="4219" w:type="dxa"/>
            <w:gridSpan w:val="2"/>
            <w:tcBorders>
              <w:top w:val="nil"/>
              <w:bottom w:val="nil"/>
            </w:tcBorders>
          </w:tcPr>
          <w:p w14:paraId="69726448" w14:textId="7ACAEC28" w:rsidR="005050BB" w:rsidRPr="00BD1BA9" w:rsidRDefault="005050BB" w:rsidP="00683A12">
            <w:pPr>
              <w:jc w:val="right"/>
              <w:textAlignment w:val="baseline"/>
              <w:cnfStyle w:val="000000100000" w:firstRow="0" w:lastRow="0" w:firstColumn="0" w:lastColumn="0" w:oddVBand="0" w:evenVBand="0" w:oddHBand="1" w:evenHBand="0" w:firstRowFirstColumn="0" w:firstRowLastColumn="0" w:lastRowFirstColumn="0" w:lastRowLastColumn="0"/>
              <w:rPr>
                <w:color w:val="000000"/>
                <w:sz w:val="22"/>
                <w:szCs w:val="22"/>
              </w:rPr>
            </w:pPr>
            <w:r w:rsidRPr="00BD1BA9">
              <w:rPr>
                <w:color w:val="000000"/>
                <w:sz w:val="22"/>
                <w:szCs w:val="22"/>
              </w:rPr>
              <w:t>9</w:t>
            </w:r>
          </w:p>
        </w:tc>
        <w:tc>
          <w:tcPr>
            <w:tcW w:w="1530" w:type="dxa"/>
            <w:tcBorders>
              <w:top w:val="nil"/>
              <w:bottom w:val="nil"/>
            </w:tcBorders>
          </w:tcPr>
          <w:p w14:paraId="647E1704" w14:textId="31A8DC94" w:rsidR="005050BB" w:rsidRPr="00BD1BA9" w:rsidRDefault="005050BB" w:rsidP="00683A12">
            <w:pPr>
              <w:jc w:val="right"/>
              <w:textAlignment w:val="baseline"/>
              <w:cnfStyle w:val="000000100000" w:firstRow="0" w:lastRow="0" w:firstColumn="0" w:lastColumn="0" w:oddVBand="0" w:evenVBand="0" w:oddHBand="1" w:evenHBand="0" w:firstRowFirstColumn="0" w:firstRowLastColumn="0" w:lastRowFirstColumn="0" w:lastRowLastColumn="0"/>
              <w:rPr>
                <w:color w:val="000000"/>
                <w:sz w:val="22"/>
                <w:szCs w:val="22"/>
              </w:rPr>
            </w:pPr>
            <w:r w:rsidRPr="00BD1BA9">
              <w:rPr>
                <w:color w:val="000000"/>
                <w:sz w:val="22"/>
                <w:szCs w:val="22"/>
              </w:rPr>
              <w:t>20.5%</w:t>
            </w:r>
          </w:p>
        </w:tc>
        <w:tc>
          <w:tcPr>
            <w:tcW w:w="540" w:type="dxa"/>
            <w:tcBorders>
              <w:top w:val="nil"/>
              <w:bottom w:val="nil"/>
            </w:tcBorders>
          </w:tcPr>
          <w:p w14:paraId="6F76F2A7" w14:textId="77777777" w:rsidR="005050BB" w:rsidRPr="00BD1BA9" w:rsidRDefault="005050BB" w:rsidP="00683A12">
            <w:pPr>
              <w:jc w:val="right"/>
              <w:textAlignment w:val="baseline"/>
              <w:cnfStyle w:val="000000100000" w:firstRow="0" w:lastRow="0" w:firstColumn="0" w:lastColumn="0" w:oddVBand="0" w:evenVBand="0" w:oddHBand="1" w:evenHBand="0" w:firstRowFirstColumn="0" w:firstRowLastColumn="0" w:lastRowFirstColumn="0" w:lastRowLastColumn="0"/>
              <w:rPr>
                <w:color w:val="000000"/>
                <w:sz w:val="22"/>
                <w:szCs w:val="22"/>
              </w:rPr>
            </w:pPr>
          </w:p>
        </w:tc>
      </w:tr>
      <w:tr w:rsidR="005050BB" w:rsidRPr="00822978" w14:paraId="4BCC0358" w14:textId="5FD45E2F" w:rsidTr="00846A2F">
        <w:trPr>
          <w:trHeight w:val="304"/>
        </w:trPr>
        <w:tc>
          <w:tcPr>
            <w:cnfStyle w:val="001000000000" w:firstRow="0" w:lastRow="0" w:firstColumn="1" w:lastColumn="0" w:oddVBand="0" w:evenVBand="0" w:oddHBand="0" w:evenHBand="0" w:firstRowFirstColumn="0" w:firstRowLastColumn="0" w:lastRowFirstColumn="0" w:lastRowLastColumn="0"/>
            <w:tcW w:w="3071" w:type="dxa"/>
            <w:tcBorders>
              <w:top w:val="nil"/>
              <w:bottom w:val="nil"/>
            </w:tcBorders>
          </w:tcPr>
          <w:p w14:paraId="14F3C5D3" w14:textId="6651D9F2" w:rsidR="005050BB" w:rsidRPr="00545D13" w:rsidRDefault="005050BB" w:rsidP="00683A12">
            <w:pPr>
              <w:textAlignment w:val="baseline"/>
              <w:rPr>
                <w:b w:val="0"/>
                <w:bCs w:val="0"/>
                <w:color w:val="000000"/>
                <w:sz w:val="22"/>
                <w:szCs w:val="22"/>
              </w:rPr>
            </w:pPr>
            <w:r w:rsidRPr="00545D13">
              <w:rPr>
                <w:b w:val="0"/>
                <w:bCs w:val="0"/>
                <w:color w:val="000000"/>
                <w:sz w:val="22"/>
                <w:szCs w:val="22"/>
              </w:rPr>
              <w:t xml:space="preserve">     4 years</w:t>
            </w:r>
          </w:p>
        </w:tc>
        <w:tc>
          <w:tcPr>
            <w:tcW w:w="4219" w:type="dxa"/>
            <w:gridSpan w:val="2"/>
            <w:tcBorders>
              <w:top w:val="nil"/>
              <w:bottom w:val="nil"/>
            </w:tcBorders>
          </w:tcPr>
          <w:p w14:paraId="66F8FF86" w14:textId="73F782DF" w:rsidR="005050BB" w:rsidRPr="00BD1BA9" w:rsidRDefault="005050BB" w:rsidP="00683A12">
            <w:pPr>
              <w:jc w:val="right"/>
              <w:textAlignment w:val="baseline"/>
              <w:cnfStyle w:val="000000000000" w:firstRow="0" w:lastRow="0" w:firstColumn="0" w:lastColumn="0" w:oddVBand="0" w:evenVBand="0" w:oddHBand="0" w:evenHBand="0" w:firstRowFirstColumn="0" w:firstRowLastColumn="0" w:lastRowFirstColumn="0" w:lastRowLastColumn="0"/>
              <w:rPr>
                <w:color w:val="000000"/>
                <w:sz w:val="22"/>
                <w:szCs w:val="22"/>
              </w:rPr>
            </w:pPr>
            <w:r w:rsidRPr="00BD1BA9">
              <w:rPr>
                <w:color w:val="000000"/>
                <w:sz w:val="22"/>
                <w:szCs w:val="22"/>
              </w:rPr>
              <w:t>6</w:t>
            </w:r>
          </w:p>
        </w:tc>
        <w:tc>
          <w:tcPr>
            <w:tcW w:w="1530" w:type="dxa"/>
            <w:tcBorders>
              <w:top w:val="nil"/>
              <w:bottom w:val="nil"/>
            </w:tcBorders>
          </w:tcPr>
          <w:p w14:paraId="796FA9A4" w14:textId="34BDFA6B" w:rsidR="005050BB" w:rsidRPr="00BD1BA9" w:rsidRDefault="005050BB" w:rsidP="00683A12">
            <w:pPr>
              <w:jc w:val="right"/>
              <w:textAlignment w:val="baseline"/>
              <w:cnfStyle w:val="000000000000" w:firstRow="0" w:lastRow="0" w:firstColumn="0" w:lastColumn="0" w:oddVBand="0" w:evenVBand="0" w:oddHBand="0" w:evenHBand="0" w:firstRowFirstColumn="0" w:firstRowLastColumn="0" w:lastRowFirstColumn="0" w:lastRowLastColumn="0"/>
              <w:rPr>
                <w:color w:val="000000"/>
                <w:sz w:val="22"/>
                <w:szCs w:val="22"/>
              </w:rPr>
            </w:pPr>
            <w:r w:rsidRPr="00BD1BA9">
              <w:rPr>
                <w:color w:val="000000"/>
                <w:sz w:val="22"/>
                <w:szCs w:val="22"/>
              </w:rPr>
              <w:t>13.6%</w:t>
            </w:r>
          </w:p>
        </w:tc>
        <w:tc>
          <w:tcPr>
            <w:tcW w:w="540" w:type="dxa"/>
            <w:tcBorders>
              <w:top w:val="nil"/>
              <w:bottom w:val="nil"/>
            </w:tcBorders>
          </w:tcPr>
          <w:p w14:paraId="712E0B83" w14:textId="77777777" w:rsidR="005050BB" w:rsidRPr="00BD1BA9" w:rsidRDefault="005050BB" w:rsidP="00683A12">
            <w:pPr>
              <w:jc w:val="right"/>
              <w:textAlignment w:val="baseline"/>
              <w:cnfStyle w:val="000000000000" w:firstRow="0" w:lastRow="0" w:firstColumn="0" w:lastColumn="0" w:oddVBand="0" w:evenVBand="0" w:oddHBand="0" w:evenHBand="0" w:firstRowFirstColumn="0" w:firstRowLastColumn="0" w:lastRowFirstColumn="0" w:lastRowLastColumn="0"/>
              <w:rPr>
                <w:color w:val="000000"/>
                <w:sz w:val="22"/>
                <w:szCs w:val="22"/>
              </w:rPr>
            </w:pPr>
          </w:p>
        </w:tc>
      </w:tr>
      <w:tr w:rsidR="005050BB" w:rsidRPr="00822978" w14:paraId="41D95638" w14:textId="15DAC3CC" w:rsidTr="00846A2F">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3071" w:type="dxa"/>
            <w:tcBorders>
              <w:top w:val="nil"/>
              <w:bottom w:val="nil"/>
            </w:tcBorders>
          </w:tcPr>
          <w:p w14:paraId="5ADCDF96" w14:textId="4491E433" w:rsidR="005050BB" w:rsidRPr="00545D13" w:rsidRDefault="005050BB" w:rsidP="00683A12">
            <w:pPr>
              <w:textAlignment w:val="baseline"/>
              <w:rPr>
                <w:b w:val="0"/>
                <w:bCs w:val="0"/>
                <w:color w:val="000000"/>
                <w:sz w:val="22"/>
                <w:szCs w:val="22"/>
              </w:rPr>
            </w:pPr>
            <w:r w:rsidRPr="00545D13">
              <w:rPr>
                <w:b w:val="0"/>
                <w:bCs w:val="0"/>
                <w:color w:val="000000"/>
                <w:sz w:val="22"/>
                <w:szCs w:val="22"/>
              </w:rPr>
              <w:t xml:space="preserve">     5 years</w:t>
            </w:r>
          </w:p>
        </w:tc>
        <w:tc>
          <w:tcPr>
            <w:tcW w:w="4219" w:type="dxa"/>
            <w:gridSpan w:val="2"/>
            <w:tcBorders>
              <w:top w:val="nil"/>
              <w:bottom w:val="nil"/>
            </w:tcBorders>
          </w:tcPr>
          <w:p w14:paraId="667A70F4" w14:textId="14836D29" w:rsidR="005050BB" w:rsidRPr="00BD1BA9" w:rsidRDefault="005050BB" w:rsidP="00683A12">
            <w:pPr>
              <w:jc w:val="right"/>
              <w:textAlignment w:val="baseline"/>
              <w:cnfStyle w:val="000000100000" w:firstRow="0" w:lastRow="0" w:firstColumn="0" w:lastColumn="0" w:oddVBand="0" w:evenVBand="0" w:oddHBand="1" w:evenHBand="0" w:firstRowFirstColumn="0" w:firstRowLastColumn="0" w:lastRowFirstColumn="0" w:lastRowLastColumn="0"/>
              <w:rPr>
                <w:color w:val="000000"/>
                <w:sz w:val="22"/>
                <w:szCs w:val="22"/>
              </w:rPr>
            </w:pPr>
            <w:r w:rsidRPr="00BD1BA9">
              <w:rPr>
                <w:color w:val="000000"/>
                <w:sz w:val="22"/>
                <w:szCs w:val="22"/>
              </w:rPr>
              <w:t>3</w:t>
            </w:r>
          </w:p>
        </w:tc>
        <w:tc>
          <w:tcPr>
            <w:tcW w:w="1530" w:type="dxa"/>
            <w:tcBorders>
              <w:top w:val="nil"/>
              <w:bottom w:val="nil"/>
            </w:tcBorders>
          </w:tcPr>
          <w:p w14:paraId="024C3D53" w14:textId="5728D8AF" w:rsidR="005050BB" w:rsidRPr="00BD1BA9" w:rsidRDefault="005050BB" w:rsidP="00683A12">
            <w:pPr>
              <w:jc w:val="right"/>
              <w:textAlignment w:val="baseline"/>
              <w:cnfStyle w:val="000000100000" w:firstRow="0" w:lastRow="0" w:firstColumn="0" w:lastColumn="0" w:oddVBand="0" w:evenVBand="0" w:oddHBand="1" w:evenHBand="0" w:firstRowFirstColumn="0" w:firstRowLastColumn="0" w:lastRowFirstColumn="0" w:lastRowLastColumn="0"/>
              <w:rPr>
                <w:color w:val="000000"/>
                <w:sz w:val="22"/>
                <w:szCs w:val="22"/>
              </w:rPr>
            </w:pPr>
            <w:r w:rsidRPr="00BD1BA9">
              <w:rPr>
                <w:color w:val="000000"/>
                <w:sz w:val="22"/>
                <w:szCs w:val="22"/>
              </w:rPr>
              <w:t>6.8%</w:t>
            </w:r>
          </w:p>
        </w:tc>
        <w:tc>
          <w:tcPr>
            <w:tcW w:w="540" w:type="dxa"/>
            <w:tcBorders>
              <w:top w:val="nil"/>
              <w:bottom w:val="nil"/>
            </w:tcBorders>
          </w:tcPr>
          <w:p w14:paraId="049618B1" w14:textId="77777777" w:rsidR="005050BB" w:rsidRPr="00BD1BA9" w:rsidRDefault="005050BB" w:rsidP="00683A12">
            <w:pPr>
              <w:jc w:val="right"/>
              <w:textAlignment w:val="baseline"/>
              <w:cnfStyle w:val="000000100000" w:firstRow="0" w:lastRow="0" w:firstColumn="0" w:lastColumn="0" w:oddVBand="0" w:evenVBand="0" w:oddHBand="1" w:evenHBand="0" w:firstRowFirstColumn="0" w:firstRowLastColumn="0" w:lastRowFirstColumn="0" w:lastRowLastColumn="0"/>
              <w:rPr>
                <w:color w:val="000000"/>
                <w:sz w:val="22"/>
                <w:szCs w:val="22"/>
              </w:rPr>
            </w:pPr>
          </w:p>
        </w:tc>
      </w:tr>
      <w:tr w:rsidR="005050BB" w:rsidRPr="00822978" w14:paraId="46AE2840" w14:textId="1F92AFFD" w:rsidTr="00846A2F">
        <w:trPr>
          <w:trHeight w:val="304"/>
        </w:trPr>
        <w:tc>
          <w:tcPr>
            <w:cnfStyle w:val="001000000000" w:firstRow="0" w:lastRow="0" w:firstColumn="1" w:lastColumn="0" w:oddVBand="0" w:evenVBand="0" w:oddHBand="0" w:evenHBand="0" w:firstRowFirstColumn="0" w:firstRowLastColumn="0" w:lastRowFirstColumn="0" w:lastRowLastColumn="0"/>
            <w:tcW w:w="3071" w:type="dxa"/>
            <w:tcBorders>
              <w:top w:val="nil"/>
              <w:bottom w:val="nil"/>
            </w:tcBorders>
          </w:tcPr>
          <w:p w14:paraId="5C0D50E1" w14:textId="09DFCC9B" w:rsidR="005050BB" w:rsidRPr="00545D13" w:rsidRDefault="005050BB" w:rsidP="00683A12">
            <w:pPr>
              <w:textAlignment w:val="baseline"/>
              <w:rPr>
                <w:b w:val="0"/>
                <w:bCs w:val="0"/>
                <w:color w:val="000000"/>
                <w:sz w:val="22"/>
                <w:szCs w:val="22"/>
              </w:rPr>
            </w:pPr>
            <w:r w:rsidRPr="00545D13">
              <w:rPr>
                <w:b w:val="0"/>
                <w:bCs w:val="0"/>
                <w:color w:val="000000"/>
                <w:sz w:val="22"/>
                <w:szCs w:val="22"/>
              </w:rPr>
              <w:t xml:space="preserve">     6 years</w:t>
            </w:r>
          </w:p>
        </w:tc>
        <w:tc>
          <w:tcPr>
            <w:tcW w:w="4219" w:type="dxa"/>
            <w:gridSpan w:val="2"/>
            <w:tcBorders>
              <w:top w:val="nil"/>
              <w:bottom w:val="nil"/>
            </w:tcBorders>
          </w:tcPr>
          <w:p w14:paraId="05E4A434" w14:textId="24CAF9E8" w:rsidR="005050BB" w:rsidRPr="00BD1BA9" w:rsidRDefault="005050BB" w:rsidP="00683A12">
            <w:pPr>
              <w:jc w:val="right"/>
              <w:textAlignment w:val="baseline"/>
              <w:cnfStyle w:val="000000000000" w:firstRow="0" w:lastRow="0" w:firstColumn="0" w:lastColumn="0" w:oddVBand="0" w:evenVBand="0" w:oddHBand="0" w:evenHBand="0" w:firstRowFirstColumn="0" w:firstRowLastColumn="0" w:lastRowFirstColumn="0" w:lastRowLastColumn="0"/>
              <w:rPr>
                <w:color w:val="000000"/>
                <w:sz w:val="22"/>
                <w:szCs w:val="22"/>
              </w:rPr>
            </w:pPr>
            <w:r w:rsidRPr="00BD1BA9">
              <w:rPr>
                <w:color w:val="000000"/>
                <w:sz w:val="22"/>
                <w:szCs w:val="22"/>
              </w:rPr>
              <w:t>1</w:t>
            </w:r>
          </w:p>
        </w:tc>
        <w:tc>
          <w:tcPr>
            <w:tcW w:w="1530" w:type="dxa"/>
            <w:tcBorders>
              <w:top w:val="nil"/>
              <w:bottom w:val="nil"/>
            </w:tcBorders>
          </w:tcPr>
          <w:p w14:paraId="2F7C17EA" w14:textId="123D5DD6" w:rsidR="005050BB" w:rsidRPr="00BD1BA9" w:rsidRDefault="005050BB" w:rsidP="00683A12">
            <w:pPr>
              <w:jc w:val="right"/>
              <w:textAlignment w:val="baseline"/>
              <w:cnfStyle w:val="000000000000" w:firstRow="0" w:lastRow="0" w:firstColumn="0" w:lastColumn="0" w:oddVBand="0" w:evenVBand="0" w:oddHBand="0" w:evenHBand="0" w:firstRowFirstColumn="0" w:firstRowLastColumn="0" w:lastRowFirstColumn="0" w:lastRowLastColumn="0"/>
              <w:rPr>
                <w:color w:val="000000"/>
                <w:sz w:val="22"/>
                <w:szCs w:val="22"/>
              </w:rPr>
            </w:pPr>
            <w:r w:rsidRPr="00BD1BA9">
              <w:rPr>
                <w:color w:val="000000"/>
                <w:sz w:val="22"/>
                <w:szCs w:val="22"/>
              </w:rPr>
              <w:t>2.3%</w:t>
            </w:r>
          </w:p>
        </w:tc>
        <w:tc>
          <w:tcPr>
            <w:tcW w:w="540" w:type="dxa"/>
            <w:tcBorders>
              <w:top w:val="nil"/>
              <w:bottom w:val="nil"/>
            </w:tcBorders>
          </w:tcPr>
          <w:p w14:paraId="59763FF8" w14:textId="77777777" w:rsidR="005050BB" w:rsidRPr="00BD1BA9" w:rsidRDefault="005050BB" w:rsidP="00683A12">
            <w:pPr>
              <w:jc w:val="right"/>
              <w:textAlignment w:val="baseline"/>
              <w:cnfStyle w:val="000000000000" w:firstRow="0" w:lastRow="0" w:firstColumn="0" w:lastColumn="0" w:oddVBand="0" w:evenVBand="0" w:oddHBand="0" w:evenHBand="0" w:firstRowFirstColumn="0" w:firstRowLastColumn="0" w:lastRowFirstColumn="0" w:lastRowLastColumn="0"/>
              <w:rPr>
                <w:color w:val="000000"/>
                <w:sz w:val="22"/>
                <w:szCs w:val="22"/>
              </w:rPr>
            </w:pPr>
          </w:p>
        </w:tc>
      </w:tr>
      <w:tr w:rsidR="005050BB" w:rsidRPr="00822978" w14:paraId="76898101" w14:textId="1EE3AFB6" w:rsidTr="00846A2F">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3071" w:type="dxa"/>
            <w:tcBorders>
              <w:top w:val="nil"/>
            </w:tcBorders>
          </w:tcPr>
          <w:p w14:paraId="6CA93017" w14:textId="5795EAB0" w:rsidR="005050BB" w:rsidRPr="00545D13" w:rsidRDefault="005050BB" w:rsidP="00683A12">
            <w:pPr>
              <w:textAlignment w:val="baseline"/>
              <w:rPr>
                <w:b w:val="0"/>
                <w:bCs w:val="0"/>
                <w:color w:val="000000"/>
                <w:sz w:val="22"/>
                <w:szCs w:val="22"/>
              </w:rPr>
            </w:pPr>
            <w:r w:rsidRPr="00545D13">
              <w:rPr>
                <w:b w:val="0"/>
                <w:bCs w:val="0"/>
                <w:color w:val="000000"/>
                <w:sz w:val="22"/>
                <w:szCs w:val="22"/>
              </w:rPr>
              <w:t xml:space="preserve">     7 years</w:t>
            </w:r>
          </w:p>
        </w:tc>
        <w:tc>
          <w:tcPr>
            <w:tcW w:w="4219" w:type="dxa"/>
            <w:gridSpan w:val="2"/>
            <w:tcBorders>
              <w:top w:val="nil"/>
            </w:tcBorders>
          </w:tcPr>
          <w:p w14:paraId="31A6DC7D" w14:textId="5425D7A3" w:rsidR="005050BB" w:rsidRPr="00BD1BA9" w:rsidRDefault="005050BB" w:rsidP="00683A12">
            <w:pPr>
              <w:jc w:val="right"/>
              <w:textAlignment w:val="baseline"/>
              <w:cnfStyle w:val="000000100000" w:firstRow="0" w:lastRow="0" w:firstColumn="0" w:lastColumn="0" w:oddVBand="0" w:evenVBand="0" w:oddHBand="1" w:evenHBand="0" w:firstRowFirstColumn="0" w:firstRowLastColumn="0" w:lastRowFirstColumn="0" w:lastRowLastColumn="0"/>
              <w:rPr>
                <w:color w:val="000000"/>
                <w:sz w:val="22"/>
                <w:szCs w:val="22"/>
              </w:rPr>
            </w:pPr>
            <w:r w:rsidRPr="00BD1BA9">
              <w:rPr>
                <w:color w:val="000000"/>
                <w:sz w:val="22"/>
                <w:szCs w:val="22"/>
              </w:rPr>
              <w:t>2</w:t>
            </w:r>
          </w:p>
        </w:tc>
        <w:tc>
          <w:tcPr>
            <w:tcW w:w="1530" w:type="dxa"/>
            <w:tcBorders>
              <w:top w:val="nil"/>
            </w:tcBorders>
          </w:tcPr>
          <w:p w14:paraId="69658418" w14:textId="28846737" w:rsidR="005050BB" w:rsidRPr="00BD1BA9" w:rsidRDefault="005050BB" w:rsidP="00683A12">
            <w:pPr>
              <w:jc w:val="right"/>
              <w:textAlignment w:val="baseline"/>
              <w:cnfStyle w:val="000000100000" w:firstRow="0" w:lastRow="0" w:firstColumn="0" w:lastColumn="0" w:oddVBand="0" w:evenVBand="0" w:oddHBand="1" w:evenHBand="0" w:firstRowFirstColumn="0" w:firstRowLastColumn="0" w:lastRowFirstColumn="0" w:lastRowLastColumn="0"/>
              <w:rPr>
                <w:color w:val="000000"/>
                <w:sz w:val="22"/>
                <w:szCs w:val="22"/>
              </w:rPr>
            </w:pPr>
            <w:r w:rsidRPr="00BD1BA9">
              <w:rPr>
                <w:color w:val="000000"/>
                <w:sz w:val="22"/>
                <w:szCs w:val="22"/>
              </w:rPr>
              <w:t>4.5%</w:t>
            </w:r>
          </w:p>
        </w:tc>
        <w:tc>
          <w:tcPr>
            <w:tcW w:w="540" w:type="dxa"/>
            <w:tcBorders>
              <w:top w:val="nil"/>
            </w:tcBorders>
          </w:tcPr>
          <w:p w14:paraId="1FD8A147" w14:textId="77777777" w:rsidR="005050BB" w:rsidRPr="00BD1BA9" w:rsidRDefault="005050BB" w:rsidP="00683A12">
            <w:pPr>
              <w:jc w:val="right"/>
              <w:textAlignment w:val="baseline"/>
              <w:cnfStyle w:val="000000100000" w:firstRow="0" w:lastRow="0" w:firstColumn="0" w:lastColumn="0" w:oddVBand="0" w:evenVBand="0" w:oddHBand="1" w:evenHBand="0" w:firstRowFirstColumn="0" w:firstRowLastColumn="0" w:lastRowFirstColumn="0" w:lastRowLastColumn="0"/>
              <w:rPr>
                <w:color w:val="000000"/>
                <w:sz w:val="22"/>
                <w:szCs w:val="22"/>
              </w:rPr>
            </w:pPr>
          </w:p>
        </w:tc>
      </w:tr>
    </w:tbl>
    <w:p w14:paraId="0B19ED11" w14:textId="77777777" w:rsidR="0059197E" w:rsidRDefault="0059197E" w:rsidP="0059197E">
      <w:pPr>
        <w:spacing w:before="240" w:after="240"/>
        <w:ind w:firstLine="720"/>
      </w:pPr>
      <w:r w:rsidRPr="00B82F4D">
        <w:t xml:space="preserve">Experience teaching formal Elementary Agricultural Education was more concentrated in the lower ranges, reflecting the relatively recent establishment and expansion of EAE programs across the state. As shown in Table </w:t>
      </w:r>
      <w:r>
        <w:t>1</w:t>
      </w:r>
      <w:r w:rsidRPr="00B82F4D">
        <w:t xml:space="preserve">, nearly one-third of respondents (31.8%, </w:t>
      </w:r>
      <w:r w:rsidRPr="00B82F4D">
        <w:rPr>
          <w:i/>
          <w:iCs/>
        </w:rPr>
        <w:t>n</w:t>
      </w:r>
      <w:r w:rsidRPr="00B82F4D">
        <w:t xml:space="preserve"> = 14) reported one year of formal EAE teaching experience. An additional 20.5% (</w:t>
      </w:r>
      <w:r w:rsidRPr="00B82F4D">
        <w:rPr>
          <w:i/>
          <w:iCs/>
        </w:rPr>
        <w:t>n</w:t>
      </w:r>
      <w:r w:rsidRPr="00B82F4D">
        <w:t xml:space="preserve"> = 9) reported two years, and 20.5% (</w:t>
      </w:r>
      <w:r w:rsidRPr="00B82F4D">
        <w:rPr>
          <w:i/>
          <w:iCs/>
        </w:rPr>
        <w:t>n</w:t>
      </w:r>
      <w:r w:rsidRPr="00B82F4D">
        <w:t xml:space="preserve"> = 9) reported three years of EAE teaching experience. Fewer educators reported longer tenure, with 13.6% (</w:t>
      </w:r>
      <w:r w:rsidRPr="00B82F4D">
        <w:rPr>
          <w:i/>
          <w:iCs/>
        </w:rPr>
        <w:t>n</w:t>
      </w:r>
      <w:r w:rsidRPr="00B82F4D">
        <w:t xml:space="preserve"> = 6) reporting four years, 6.8% (</w:t>
      </w:r>
      <w:r w:rsidRPr="00B82F4D">
        <w:rPr>
          <w:i/>
          <w:iCs/>
        </w:rPr>
        <w:t>n</w:t>
      </w:r>
      <w:r w:rsidRPr="00B82F4D">
        <w:t xml:space="preserve"> = 3) reporting five years, 2.3% (</w:t>
      </w:r>
      <w:r w:rsidRPr="00B82F4D">
        <w:rPr>
          <w:i/>
          <w:iCs/>
        </w:rPr>
        <w:t>n</w:t>
      </w:r>
      <w:r w:rsidRPr="00B82F4D">
        <w:t xml:space="preserve"> = 1) reporting six years, and 4.5% (</w:t>
      </w:r>
      <w:r w:rsidRPr="00B82F4D">
        <w:rPr>
          <w:i/>
          <w:iCs/>
        </w:rPr>
        <w:t>n</w:t>
      </w:r>
      <w:r w:rsidRPr="00B82F4D">
        <w:t xml:space="preserve"> = 2) reporting seven years of EAE teaching experience. This distribution highlights the developmental stage of EAE implementation within Georgia’s elementary schools.</w:t>
      </w:r>
    </w:p>
    <w:p w14:paraId="079511F5" w14:textId="69385220" w:rsidR="00A44A17" w:rsidRDefault="00AA3549" w:rsidP="00AA3549">
      <w:pPr>
        <w:pStyle w:val="paragraph"/>
        <w:spacing w:before="240" w:beforeAutospacing="0" w:after="240" w:afterAutospacing="0"/>
        <w:ind w:firstLine="720"/>
        <w:textAlignment w:val="baseline"/>
        <w:rPr>
          <w:rFonts w:eastAsiaTheme="majorEastAsia"/>
        </w:rPr>
      </w:pPr>
      <w:r w:rsidRPr="00730EAA">
        <w:rPr>
          <w:rFonts w:eastAsiaTheme="majorEastAsia"/>
        </w:rPr>
        <w:t xml:space="preserve">As shown in Table </w:t>
      </w:r>
      <w:r w:rsidR="00BC2134">
        <w:rPr>
          <w:rFonts w:eastAsiaTheme="majorEastAsia"/>
        </w:rPr>
        <w:t>2</w:t>
      </w:r>
      <w:r w:rsidRPr="00730EAA">
        <w:rPr>
          <w:rFonts w:eastAsiaTheme="majorEastAsia"/>
        </w:rPr>
        <w:t>, respondents were predominantly highly educated, with 77.3% holding a master’s or specialist degree. Most were licensed in elementary education (61.4%), while relatively few held agricultural education certification (15.9%) or an EAE endorsement (38.6%), providing important context for subsequent network analyses.</w:t>
      </w:r>
    </w:p>
    <w:p w14:paraId="0637828E" w14:textId="738AC311" w:rsidR="009471E4" w:rsidRPr="005715EF" w:rsidRDefault="009471E4" w:rsidP="009471E4">
      <w:pPr>
        <w:pStyle w:val="paragraph"/>
        <w:spacing w:before="240" w:beforeAutospacing="0" w:after="240" w:afterAutospacing="0"/>
        <w:textAlignment w:val="baseline"/>
        <w:rPr>
          <w:rFonts w:eastAsiaTheme="majorEastAsia"/>
          <w:b/>
          <w:bCs/>
        </w:rPr>
      </w:pPr>
      <w:r w:rsidRPr="005715EF">
        <w:rPr>
          <w:rFonts w:eastAsiaTheme="majorEastAsia"/>
          <w:b/>
          <w:bCs/>
        </w:rPr>
        <w:lastRenderedPageBreak/>
        <w:t xml:space="preserve">Table </w:t>
      </w:r>
      <w:r w:rsidR="00BC2134">
        <w:rPr>
          <w:rFonts w:eastAsiaTheme="majorEastAsia"/>
          <w:b/>
          <w:bCs/>
        </w:rPr>
        <w:t>2</w:t>
      </w:r>
    </w:p>
    <w:p w14:paraId="6644E4C7" w14:textId="4DFBB834" w:rsidR="009471E4" w:rsidRPr="00D24339" w:rsidRDefault="009471E4" w:rsidP="005715EF">
      <w:pPr>
        <w:pStyle w:val="paragraph"/>
        <w:spacing w:before="240" w:beforeAutospacing="0" w:after="0" w:afterAutospacing="0"/>
        <w:textAlignment w:val="baseline"/>
        <w:rPr>
          <w:rFonts w:eastAsiaTheme="majorEastAsia"/>
          <w:i/>
          <w:iCs/>
        </w:rPr>
      </w:pPr>
      <w:r w:rsidRPr="76233CE3">
        <w:rPr>
          <w:rStyle w:val="normaltextrun"/>
          <w:rFonts w:eastAsiaTheme="majorEastAsia"/>
          <w:i/>
          <w:iCs/>
        </w:rPr>
        <w:t xml:space="preserve">Georgia EAE Teachers’ Teaching Credentials </w:t>
      </w:r>
      <w:r w:rsidRPr="00D24339">
        <w:rPr>
          <w:rFonts w:eastAsiaTheme="majorEastAsia"/>
          <w:i/>
          <w:iCs/>
        </w:rPr>
        <w:t>(n=44)</w:t>
      </w:r>
    </w:p>
    <w:tbl>
      <w:tblPr>
        <w:tblW w:w="936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746"/>
        <w:gridCol w:w="634"/>
        <w:gridCol w:w="1350"/>
        <w:gridCol w:w="630"/>
      </w:tblGrid>
      <w:tr w:rsidR="007F1BDE" w:rsidRPr="00822978" w14:paraId="24EB6F70" w14:textId="678BA9F9" w:rsidTr="0813F13E">
        <w:trPr>
          <w:trHeight w:val="237"/>
        </w:trPr>
        <w:tc>
          <w:tcPr>
            <w:tcW w:w="6746" w:type="dxa"/>
            <w:tcBorders>
              <w:top w:val="single" w:sz="6" w:space="0" w:color="auto"/>
              <w:left w:val="nil"/>
              <w:bottom w:val="single" w:sz="6" w:space="0" w:color="auto"/>
              <w:right w:val="nil"/>
            </w:tcBorders>
            <w:shd w:val="clear" w:color="auto" w:fill="FFFFFF" w:themeFill="background1"/>
            <w:hideMark/>
          </w:tcPr>
          <w:p w14:paraId="7C099316" w14:textId="77777777" w:rsidR="007F1BDE" w:rsidRPr="00822978" w:rsidRDefault="007F1BDE" w:rsidP="00274761">
            <w:pPr>
              <w:jc w:val="center"/>
              <w:textAlignment w:val="baseline"/>
              <w:rPr>
                <w:b/>
                <w:bCs/>
                <w:sz w:val="22"/>
                <w:szCs w:val="22"/>
              </w:rPr>
            </w:pPr>
            <w:r w:rsidRPr="00822978">
              <w:rPr>
                <w:b/>
                <w:bCs/>
                <w:color w:val="000000"/>
                <w:sz w:val="22"/>
                <w:szCs w:val="22"/>
              </w:rPr>
              <w:t> </w:t>
            </w:r>
          </w:p>
        </w:tc>
        <w:tc>
          <w:tcPr>
            <w:tcW w:w="634" w:type="dxa"/>
            <w:tcBorders>
              <w:top w:val="single" w:sz="6" w:space="0" w:color="auto"/>
              <w:left w:val="nil"/>
              <w:bottom w:val="single" w:sz="6" w:space="0" w:color="auto"/>
              <w:right w:val="nil"/>
            </w:tcBorders>
            <w:shd w:val="clear" w:color="auto" w:fill="FFFFFF" w:themeFill="background1"/>
            <w:hideMark/>
          </w:tcPr>
          <w:p w14:paraId="165CA94F" w14:textId="725ED96A" w:rsidR="007F1BDE" w:rsidRPr="00822978" w:rsidRDefault="007F1BDE" w:rsidP="00274761">
            <w:pPr>
              <w:jc w:val="center"/>
              <w:textAlignment w:val="baseline"/>
              <w:rPr>
                <w:i/>
                <w:iCs/>
                <w:sz w:val="22"/>
                <w:szCs w:val="22"/>
              </w:rPr>
            </w:pPr>
            <w:r>
              <w:rPr>
                <w:i/>
                <w:iCs/>
                <w:sz w:val="22"/>
                <w:szCs w:val="22"/>
              </w:rPr>
              <w:t xml:space="preserve"> </w:t>
            </w:r>
            <w:r w:rsidR="00983A83">
              <w:rPr>
                <w:i/>
                <w:iCs/>
                <w:sz w:val="22"/>
                <w:szCs w:val="22"/>
              </w:rPr>
              <w:t xml:space="preserve">       </w:t>
            </w:r>
            <w:r>
              <w:rPr>
                <w:i/>
                <w:iCs/>
                <w:sz w:val="22"/>
                <w:szCs w:val="22"/>
              </w:rPr>
              <w:t xml:space="preserve"> </w:t>
            </w:r>
            <w:r w:rsidRPr="00BD1BA9">
              <w:rPr>
                <w:i/>
                <w:iCs/>
                <w:sz w:val="22"/>
                <w:szCs w:val="22"/>
              </w:rPr>
              <w:t>n</w:t>
            </w:r>
          </w:p>
        </w:tc>
        <w:tc>
          <w:tcPr>
            <w:tcW w:w="1350" w:type="dxa"/>
            <w:tcBorders>
              <w:top w:val="single" w:sz="6" w:space="0" w:color="auto"/>
              <w:left w:val="nil"/>
              <w:bottom w:val="single" w:sz="6" w:space="0" w:color="auto"/>
              <w:right w:val="nil"/>
            </w:tcBorders>
            <w:shd w:val="clear" w:color="auto" w:fill="FFFFFF" w:themeFill="background1"/>
            <w:hideMark/>
          </w:tcPr>
          <w:p w14:paraId="7BD7E7FB" w14:textId="74E01551" w:rsidR="007F1BDE" w:rsidRPr="00822978" w:rsidRDefault="007F1BDE" w:rsidP="00274761">
            <w:pPr>
              <w:jc w:val="center"/>
              <w:textAlignment w:val="baseline"/>
              <w:rPr>
                <w:i/>
                <w:iCs/>
                <w:sz w:val="22"/>
                <w:szCs w:val="22"/>
              </w:rPr>
            </w:pPr>
            <w:r>
              <w:rPr>
                <w:i/>
                <w:iCs/>
                <w:sz w:val="22"/>
                <w:szCs w:val="22"/>
              </w:rPr>
              <w:t xml:space="preserve">   </w:t>
            </w:r>
            <w:r w:rsidR="00983A83">
              <w:rPr>
                <w:i/>
                <w:iCs/>
                <w:sz w:val="22"/>
                <w:szCs w:val="22"/>
              </w:rPr>
              <w:t xml:space="preserve">  </w:t>
            </w:r>
            <w:r>
              <w:rPr>
                <w:i/>
                <w:iCs/>
                <w:sz w:val="22"/>
                <w:szCs w:val="22"/>
              </w:rPr>
              <w:t xml:space="preserve">          </w:t>
            </w:r>
            <w:r w:rsidRPr="00BD1BA9">
              <w:rPr>
                <w:i/>
                <w:iCs/>
                <w:sz w:val="22"/>
                <w:szCs w:val="22"/>
              </w:rPr>
              <w:t>%</w:t>
            </w:r>
          </w:p>
        </w:tc>
        <w:tc>
          <w:tcPr>
            <w:tcW w:w="630" w:type="dxa"/>
            <w:tcBorders>
              <w:top w:val="single" w:sz="4" w:space="0" w:color="auto"/>
              <w:bottom w:val="single" w:sz="4" w:space="0" w:color="auto"/>
              <w:right w:val="nil"/>
            </w:tcBorders>
          </w:tcPr>
          <w:p w14:paraId="7404954A" w14:textId="77777777" w:rsidR="007F1BDE" w:rsidRDefault="007F1BDE" w:rsidP="00274761">
            <w:pPr>
              <w:jc w:val="center"/>
              <w:textAlignment w:val="baseline"/>
              <w:rPr>
                <w:i/>
                <w:iCs/>
                <w:sz w:val="22"/>
                <w:szCs w:val="22"/>
              </w:rPr>
            </w:pPr>
          </w:p>
        </w:tc>
      </w:tr>
      <w:tr w:rsidR="007F1BDE" w:rsidRPr="00822978" w14:paraId="6F2656B8" w14:textId="5DB47861" w:rsidTr="0813F13E">
        <w:trPr>
          <w:trHeight w:val="300"/>
        </w:trPr>
        <w:tc>
          <w:tcPr>
            <w:tcW w:w="6746" w:type="dxa"/>
            <w:tcBorders>
              <w:top w:val="single" w:sz="6" w:space="0" w:color="auto"/>
              <w:left w:val="nil"/>
              <w:bottom w:val="nil"/>
              <w:right w:val="nil"/>
            </w:tcBorders>
            <w:shd w:val="clear" w:color="auto" w:fill="FFFFFF" w:themeFill="background1"/>
            <w:hideMark/>
          </w:tcPr>
          <w:p w14:paraId="771EDAB3" w14:textId="49E0F758" w:rsidR="007F1BDE" w:rsidRPr="00822978" w:rsidRDefault="007F1BDE" w:rsidP="009471E4">
            <w:pPr>
              <w:textAlignment w:val="baseline"/>
              <w:rPr>
                <w:sz w:val="22"/>
                <w:szCs w:val="22"/>
              </w:rPr>
            </w:pPr>
            <w:r w:rsidRPr="00BD1BA9">
              <w:rPr>
                <w:color w:val="000000"/>
                <w:sz w:val="22"/>
                <w:szCs w:val="22"/>
              </w:rPr>
              <w:t>Highest Level of Education</w:t>
            </w:r>
          </w:p>
        </w:tc>
        <w:tc>
          <w:tcPr>
            <w:tcW w:w="634" w:type="dxa"/>
            <w:tcBorders>
              <w:top w:val="single" w:sz="6" w:space="0" w:color="auto"/>
              <w:left w:val="nil"/>
              <w:bottom w:val="nil"/>
              <w:right w:val="nil"/>
            </w:tcBorders>
            <w:shd w:val="clear" w:color="auto" w:fill="FFFFFF" w:themeFill="background1"/>
            <w:hideMark/>
          </w:tcPr>
          <w:p w14:paraId="75B8FC03" w14:textId="77777777" w:rsidR="007F1BDE" w:rsidRPr="00822978" w:rsidRDefault="007F1BDE" w:rsidP="009471E4">
            <w:pPr>
              <w:jc w:val="center"/>
              <w:textAlignment w:val="baseline"/>
              <w:rPr>
                <w:sz w:val="22"/>
                <w:szCs w:val="22"/>
              </w:rPr>
            </w:pPr>
          </w:p>
        </w:tc>
        <w:tc>
          <w:tcPr>
            <w:tcW w:w="1350" w:type="dxa"/>
            <w:tcBorders>
              <w:top w:val="single" w:sz="6" w:space="0" w:color="auto"/>
              <w:left w:val="nil"/>
              <w:bottom w:val="nil"/>
              <w:right w:val="nil"/>
            </w:tcBorders>
            <w:shd w:val="clear" w:color="auto" w:fill="FFFFFF" w:themeFill="background1"/>
            <w:hideMark/>
          </w:tcPr>
          <w:p w14:paraId="54A8EA03" w14:textId="77777777" w:rsidR="007F1BDE" w:rsidRPr="00822978" w:rsidRDefault="007F1BDE" w:rsidP="009471E4">
            <w:pPr>
              <w:jc w:val="center"/>
              <w:textAlignment w:val="baseline"/>
              <w:rPr>
                <w:sz w:val="22"/>
                <w:szCs w:val="22"/>
              </w:rPr>
            </w:pPr>
          </w:p>
        </w:tc>
        <w:tc>
          <w:tcPr>
            <w:tcW w:w="630" w:type="dxa"/>
            <w:tcBorders>
              <w:top w:val="single" w:sz="4" w:space="0" w:color="auto"/>
              <w:bottom w:val="nil"/>
              <w:right w:val="nil"/>
            </w:tcBorders>
          </w:tcPr>
          <w:p w14:paraId="6F7B0D22" w14:textId="77777777" w:rsidR="007F1BDE" w:rsidRPr="00822978" w:rsidRDefault="007F1BDE" w:rsidP="009471E4">
            <w:pPr>
              <w:jc w:val="center"/>
              <w:textAlignment w:val="baseline"/>
              <w:rPr>
                <w:sz w:val="22"/>
                <w:szCs w:val="22"/>
              </w:rPr>
            </w:pPr>
          </w:p>
        </w:tc>
      </w:tr>
      <w:tr w:rsidR="007F1BDE" w:rsidRPr="00822978" w14:paraId="1E73FF61" w14:textId="141223BB" w:rsidTr="0813F13E">
        <w:trPr>
          <w:trHeight w:val="300"/>
        </w:trPr>
        <w:tc>
          <w:tcPr>
            <w:tcW w:w="6746" w:type="dxa"/>
            <w:tcBorders>
              <w:top w:val="nil"/>
              <w:left w:val="nil"/>
              <w:bottom w:val="nil"/>
              <w:right w:val="nil"/>
            </w:tcBorders>
            <w:shd w:val="clear" w:color="auto" w:fill="FFFFFF" w:themeFill="background1"/>
            <w:hideMark/>
          </w:tcPr>
          <w:p w14:paraId="2CD9C4AF" w14:textId="01874C2F" w:rsidR="007F1BDE" w:rsidRPr="00822978" w:rsidRDefault="007F1BDE" w:rsidP="009471E4">
            <w:pPr>
              <w:textAlignment w:val="baseline"/>
              <w:rPr>
                <w:sz w:val="22"/>
                <w:szCs w:val="22"/>
              </w:rPr>
            </w:pPr>
            <w:r w:rsidRPr="00BD1BA9">
              <w:rPr>
                <w:color w:val="000000"/>
                <w:sz w:val="22"/>
                <w:szCs w:val="22"/>
              </w:rPr>
              <w:t xml:space="preserve">     Associates </w:t>
            </w:r>
          </w:p>
        </w:tc>
        <w:tc>
          <w:tcPr>
            <w:tcW w:w="634" w:type="dxa"/>
            <w:tcBorders>
              <w:top w:val="nil"/>
              <w:left w:val="nil"/>
              <w:bottom w:val="nil"/>
              <w:right w:val="nil"/>
            </w:tcBorders>
            <w:shd w:val="clear" w:color="auto" w:fill="FFFFFF" w:themeFill="background1"/>
            <w:hideMark/>
          </w:tcPr>
          <w:p w14:paraId="395B405F" w14:textId="47A7F01C" w:rsidR="007F1BDE" w:rsidRPr="00822978" w:rsidRDefault="007F1BDE" w:rsidP="009820A6">
            <w:pPr>
              <w:jc w:val="right"/>
              <w:textAlignment w:val="baseline"/>
              <w:rPr>
                <w:sz w:val="22"/>
                <w:szCs w:val="22"/>
              </w:rPr>
            </w:pPr>
            <w:r w:rsidRPr="00BD1BA9">
              <w:rPr>
                <w:sz w:val="22"/>
                <w:szCs w:val="22"/>
              </w:rPr>
              <w:t>1</w:t>
            </w:r>
          </w:p>
        </w:tc>
        <w:tc>
          <w:tcPr>
            <w:tcW w:w="1350" w:type="dxa"/>
            <w:tcBorders>
              <w:top w:val="nil"/>
              <w:left w:val="nil"/>
              <w:bottom w:val="nil"/>
              <w:right w:val="nil"/>
            </w:tcBorders>
            <w:shd w:val="clear" w:color="auto" w:fill="FFFFFF" w:themeFill="background1"/>
            <w:hideMark/>
          </w:tcPr>
          <w:p w14:paraId="7CC14B55" w14:textId="545DC7FA" w:rsidR="007F1BDE" w:rsidRPr="00822978" w:rsidRDefault="007F1BDE" w:rsidP="00FC7661">
            <w:pPr>
              <w:jc w:val="right"/>
              <w:textAlignment w:val="baseline"/>
              <w:rPr>
                <w:sz w:val="22"/>
                <w:szCs w:val="22"/>
              </w:rPr>
            </w:pPr>
            <w:r w:rsidRPr="00BD1BA9">
              <w:rPr>
                <w:color w:val="000000"/>
                <w:sz w:val="22"/>
                <w:szCs w:val="22"/>
              </w:rPr>
              <w:t>2.3%</w:t>
            </w:r>
          </w:p>
        </w:tc>
        <w:tc>
          <w:tcPr>
            <w:tcW w:w="630" w:type="dxa"/>
            <w:tcBorders>
              <w:top w:val="nil"/>
              <w:bottom w:val="nil"/>
              <w:right w:val="nil"/>
            </w:tcBorders>
          </w:tcPr>
          <w:p w14:paraId="16F17FD9" w14:textId="77777777" w:rsidR="007F1BDE" w:rsidRPr="00BD1BA9" w:rsidRDefault="007F1BDE" w:rsidP="00FC7661">
            <w:pPr>
              <w:jc w:val="right"/>
              <w:textAlignment w:val="baseline"/>
              <w:rPr>
                <w:color w:val="000000"/>
                <w:sz w:val="22"/>
                <w:szCs w:val="22"/>
              </w:rPr>
            </w:pPr>
          </w:p>
        </w:tc>
      </w:tr>
      <w:tr w:rsidR="007F1BDE" w:rsidRPr="00822978" w14:paraId="5382E348" w14:textId="22A9FF6C" w:rsidTr="0813F13E">
        <w:trPr>
          <w:trHeight w:val="300"/>
        </w:trPr>
        <w:tc>
          <w:tcPr>
            <w:tcW w:w="6746" w:type="dxa"/>
            <w:tcBorders>
              <w:top w:val="nil"/>
              <w:left w:val="nil"/>
              <w:bottom w:val="nil"/>
              <w:right w:val="nil"/>
            </w:tcBorders>
            <w:shd w:val="clear" w:color="auto" w:fill="FFFFFF" w:themeFill="background1"/>
            <w:hideMark/>
          </w:tcPr>
          <w:p w14:paraId="6318FDAF" w14:textId="67A86AC1" w:rsidR="007F1BDE" w:rsidRPr="00822978" w:rsidRDefault="007F1BDE" w:rsidP="009471E4">
            <w:pPr>
              <w:textAlignment w:val="baseline"/>
              <w:rPr>
                <w:color w:val="000000"/>
                <w:sz w:val="22"/>
                <w:szCs w:val="22"/>
              </w:rPr>
            </w:pPr>
            <w:r w:rsidRPr="00BD1BA9">
              <w:rPr>
                <w:color w:val="000000"/>
                <w:sz w:val="22"/>
                <w:szCs w:val="22"/>
              </w:rPr>
              <w:t xml:space="preserve">     Bachelor’s </w:t>
            </w:r>
          </w:p>
        </w:tc>
        <w:tc>
          <w:tcPr>
            <w:tcW w:w="634" w:type="dxa"/>
            <w:tcBorders>
              <w:top w:val="nil"/>
              <w:left w:val="nil"/>
              <w:bottom w:val="nil"/>
              <w:right w:val="nil"/>
            </w:tcBorders>
            <w:shd w:val="clear" w:color="auto" w:fill="FFFFFF" w:themeFill="background1"/>
            <w:hideMark/>
          </w:tcPr>
          <w:p w14:paraId="50C90D6C" w14:textId="10B3399E" w:rsidR="007F1BDE" w:rsidRPr="00822978" w:rsidRDefault="007F1BDE" w:rsidP="009820A6">
            <w:pPr>
              <w:jc w:val="right"/>
              <w:textAlignment w:val="baseline"/>
              <w:rPr>
                <w:sz w:val="22"/>
                <w:szCs w:val="22"/>
              </w:rPr>
            </w:pPr>
            <w:r w:rsidRPr="00BD1BA9">
              <w:rPr>
                <w:sz w:val="22"/>
                <w:szCs w:val="22"/>
              </w:rPr>
              <w:t>8</w:t>
            </w:r>
          </w:p>
        </w:tc>
        <w:tc>
          <w:tcPr>
            <w:tcW w:w="1350" w:type="dxa"/>
            <w:tcBorders>
              <w:top w:val="nil"/>
              <w:left w:val="nil"/>
              <w:bottom w:val="nil"/>
              <w:right w:val="nil"/>
            </w:tcBorders>
            <w:shd w:val="clear" w:color="auto" w:fill="FFFFFF" w:themeFill="background1"/>
            <w:hideMark/>
          </w:tcPr>
          <w:p w14:paraId="4C14C2D3" w14:textId="68A5FDCC" w:rsidR="007F1BDE" w:rsidRPr="00822978" w:rsidRDefault="007F1BDE" w:rsidP="00FC7661">
            <w:pPr>
              <w:jc w:val="right"/>
              <w:textAlignment w:val="baseline"/>
              <w:rPr>
                <w:sz w:val="22"/>
                <w:szCs w:val="22"/>
              </w:rPr>
            </w:pPr>
            <w:r w:rsidRPr="00BD1BA9">
              <w:rPr>
                <w:color w:val="000000"/>
                <w:sz w:val="22"/>
                <w:szCs w:val="22"/>
              </w:rPr>
              <w:t>18.2%</w:t>
            </w:r>
          </w:p>
        </w:tc>
        <w:tc>
          <w:tcPr>
            <w:tcW w:w="630" w:type="dxa"/>
            <w:tcBorders>
              <w:top w:val="nil"/>
              <w:bottom w:val="nil"/>
              <w:right w:val="nil"/>
            </w:tcBorders>
          </w:tcPr>
          <w:p w14:paraId="6EB8A16E" w14:textId="77777777" w:rsidR="007F1BDE" w:rsidRPr="00BD1BA9" w:rsidRDefault="007F1BDE" w:rsidP="00FC7661">
            <w:pPr>
              <w:jc w:val="right"/>
              <w:textAlignment w:val="baseline"/>
              <w:rPr>
                <w:color w:val="000000"/>
                <w:sz w:val="22"/>
                <w:szCs w:val="22"/>
              </w:rPr>
            </w:pPr>
          </w:p>
        </w:tc>
      </w:tr>
      <w:tr w:rsidR="007F1BDE" w:rsidRPr="00822978" w14:paraId="1B0231A9" w14:textId="298BF32E" w:rsidTr="0813F13E">
        <w:trPr>
          <w:trHeight w:val="300"/>
        </w:trPr>
        <w:tc>
          <w:tcPr>
            <w:tcW w:w="6746" w:type="dxa"/>
            <w:tcBorders>
              <w:top w:val="nil"/>
              <w:left w:val="nil"/>
              <w:bottom w:val="nil"/>
              <w:right w:val="nil"/>
            </w:tcBorders>
            <w:shd w:val="clear" w:color="auto" w:fill="FFFFFF" w:themeFill="background1"/>
          </w:tcPr>
          <w:p w14:paraId="5F5617B2" w14:textId="6A09057E" w:rsidR="007F1BDE" w:rsidRPr="00BD1BA9" w:rsidRDefault="007F1BDE" w:rsidP="009471E4">
            <w:pPr>
              <w:textAlignment w:val="baseline"/>
              <w:rPr>
                <w:color w:val="000000"/>
                <w:sz w:val="22"/>
                <w:szCs w:val="22"/>
              </w:rPr>
            </w:pPr>
            <w:r w:rsidRPr="00BD1BA9">
              <w:rPr>
                <w:color w:val="000000"/>
                <w:sz w:val="22"/>
                <w:szCs w:val="22"/>
              </w:rPr>
              <w:t xml:space="preserve">     Master’s</w:t>
            </w:r>
          </w:p>
        </w:tc>
        <w:tc>
          <w:tcPr>
            <w:tcW w:w="634" w:type="dxa"/>
            <w:tcBorders>
              <w:top w:val="nil"/>
              <w:left w:val="nil"/>
              <w:bottom w:val="nil"/>
              <w:right w:val="nil"/>
            </w:tcBorders>
            <w:shd w:val="clear" w:color="auto" w:fill="FFFFFF" w:themeFill="background1"/>
          </w:tcPr>
          <w:p w14:paraId="04D80001" w14:textId="524CA5BA" w:rsidR="007F1BDE" w:rsidRPr="00BD1BA9" w:rsidRDefault="007F1BDE" w:rsidP="009820A6">
            <w:pPr>
              <w:jc w:val="right"/>
              <w:textAlignment w:val="baseline"/>
              <w:rPr>
                <w:color w:val="000000"/>
                <w:sz w:val="22"/>
                <w:szCs w:val="22"/>
              </w:rPr>
            </w:pPr>
            <w:r w:rsidRPr="00BD1BA9">
              <w:rPr>
                <w:color w:val="000000"/>
                <w:sz w:val="22"/>
                <w:szCs w:val="22"/>
              </w:rPr>
              <w:t>18</w:t>
            </w:r>
          </w:p>
        </w:tc>
        <w:tc>
          <w:tcPr>
            <w:tcW w:w="1350" w:type="dxa"/>
            <w:tcBorders>
              <w:top w:val="nil"/>
              <w:left w:val="nil"/>
              <w:bottom w:val="nil"/>
              <w:right w:val="nil"/>
            </w:tcBorders>
            <w:shd w:val="clear" w:color="auto" w:fill="FFFFFF" w:themeFill="background1"/>
          </w:tcPr>
          <w:p w14:paraId="6D84CEE6" w14:textId="52B157FF" w:rsidR="007F1BDE" w:rsidRPr="00BD1BA9" w:rsidRDefault="007F1BDE" w:rsidP="00FC7661">
            <w:pPr>
              <w:jc w:val="right"/>
              <w:textAlignment w:val="baseline"/>
              <w:rPr>
                <w:color w:val="000000"/>
                <w:sz w:val="22"/>
                <w:szCs w:val="22"/>
              </w:rPr>
            </w:pPr>
            <w:r w:rsidRPr="00BD1BA9">
              <w:rPr>
                <w:color w:val="000000"/>
                <w:sz w:val="22"/>
                <w:szCs w:val="22"/>
              </w:rPr>
              <w:t>40.9%</w:t>
            </w:r>
          </w:p>
        </w:tc>
        <w:tc>
          <w:tcPr>
            <w:tcW w:w="630" w:type="dxa"/>
            <w:tcBorders>
              <w:top w:val="nil"/>
              <w:bottom w:val="nil"/>
              <w:right w:val="nil"/>
            </w:tcBorders>
          </w:tcPr>
          <w:p w14:paraId="78FCF8CF" w14:textId="77777777" w:rsidR="007F1BDE" w:rsidRPr="00BD1BA9" w:rsidRDefault="007F1BDE" w:rsidP="00FC7661">
            <w:pPr>
              <w:jc w:val="right"/>
              <w:textAlignment w:val="baseline"/>
              <w:rPr>
                <w:color w:val="000000"/>
                <w:sz w:val="22"/>
                <w:szCs w:val="22"/>
              </w:rPr>
            </w:pPr>
          </w:p>
        </w:tc>
      </w:tr>
      <w:tr w:rsidR="007F1BDE" w:rsidRPr="00822978" w14:paraId="2E235CB6" w14:textId="5DFE3CE2" w:rsidTr="0813F13E">
        <w:trPr>
          <w:trHeight w:val="300"/>
        </w:trPr>
        <w:tc>
          <w:tcPr>
            <w:tcW w:w="6746" w:type="dxa"/>
            <w:tcBorders>
              <w:top w:val="nil"/>
              <w:left w:val="nil"/>
              <w:bottom w:val="nil"/>
              <w:right w:val="nil"/>
            </w:tcBorders>
            <w:shd w:val="clear" w:color="auto" w:fill="FFFFFF" w:themeFill="background1"/>
          </w:tcPr>
          <w:p w14:paraId="3E37EDA5" w14:textId="55532FAE" w:rsidR="007F1BDE" w:rsidRPr="00BD1BA9" w:rsidRDefault="007F1BDE" w:rsidP="009471E4">
            <w:pPr>
              <w:textAlignment w:val="baseline"/>
              <w:rPr>
                <w:color w:val="000000"/>
                <w:sz w:val="22"/>
                <w:szCs w:val="22"/>
              </w:rPr>
            </w:pPr>
            <w:r w:rsidRPr="00BD1BA9">
              <w:rPr>
                <w:color w:val="000000"/>
                <w:sz w:val="22"/>
                <w:szCs w:val="22"/>
              </w:rPr>
              <w:t xml:space="preserve">     Specialist</w:t>
            </w:r>
          </w:p>
        </w:tc>
        <w:tc>
          <w:tcPr>
            <w:tcW w:w="634" w:type="dxa"/>
            <w:tcBorders>
              <w:top w:val="nil"/>
              <w:left w:val="nil"/>
              <w:bottom w:val="nil"/>
              <w:right w:val="nil"/>
            </w:tcBorders>
            <w:shd w:val="clear" w:color="auto" w:fill="FFFFFF" w:themeFill="background1"/>
          </w:tcPr>
          <w:p w14:paraId="02A4B733" w14:textId="55929657" w:rsidR="007F1BDE" w:rsidRPr="00BD1BA9" w:rsidRDefault="007F1BDE" w:rsidP="009820A6">
            <w:pPr>
              <w:jc w:val="right"/>
              <w:textAlignment w:val="baseline"/>
              <w:rPr>
                <w:color w:val="000000"/>
                <w:sz w:val="22"/>
                <w:szCs w:val="22"/>
              </w:rPr>
            </w:pPr>
            <w:r w:rsidRPr="00BD1BA9">
              <w:rPr>
                <w:color w:val="000000"/>
                <w:sz w:val="22"/>
                <w:szCs w:val="22"/>
              </w:rPr>
              <w:t>16</w:t>
            </w:r>
          </w:p>
        </w:tc>
        <w:tc>
          <w:tcPr>
            <w:tcW w:w="1350" w:type="dxa"/>
            <w:tcBorders>
              <w:top w:val="nil"/>
              <w:left w:val="nil"/>
              <w:bottom w:val="nil"/>
              <w:right w:val="nil"/>
            </w:tcBorders>
            <w:shd w:val="clear" w:color="auto" w:fill="FFFFFF" w:themeFill="background1"/>
          </w:tcPr>
          <w:p w14:paraId="0414D45B" w14:textId="2C5EF834" w:rsidR="007F1BDE" w:rsidRPr="00BD1BA9" w:rsidRDefault="007F1BDE" w:rsidP="00FC7661">
            <w:pPr>
              <w:jc w:val="right"/>
              <w:textAlignment w:val="baseline"/>
              <w:rPr>
                <w:color w:val="000000"/>
                <w:sz w:val="22"/>
                <w:szCs w:val="22"/>
              </w:rPr>
            </w:pPr>
            <w:r w:rsidRPr="00BD1BA9">
              <w:rPr>
                <w:color w:val="000000"/>
                <w:sz w:val="22"/>
                <w:szCs w:val="22"/>
              </w:rPr>
              <w:t>36.4%</w:t>
            </w:r>
          </w:p>
        </w:tc>
        <w:tc>
          <w:tcPr>
            <w:tcW w:w="630" w:type="dxa"/>
            <w:tcBorders>
              <w:top w:val="nil"/>
              <w:bottom w:val="nil"/>
              <w:right w:val="nil"/>
            </w:tcBorders>
          </w:tcPr>
          <w:p w14:paraId="7D728D14" w14:textId="77777777" w:rsidR="007F1BDE" w:rsidRPr="00BD1BA9" w:rsidRDefault="007F1BDE" w:rsidP="00FC7661">
            <w:pPr>
              <w:jc w:val="right"/>
              <w:textAlignment w:val="baseline"/>
              <w:rPr>
                <w:color w:val="000000"/>
                <w:sz w:val="22"/>
                <w:szCs w:val="22"/>
              </w:rPr>
            </w:pPr>
          </w:p>
        </w:tc>
      </w:tr>
      <w:tr w:rsidR="007F1BDE" w:rsidRPr="00822978" w14:paraId="2A18F2A1" w14:textId="5E7F500B" w:rsidTr="0813F13E">
        <w:trPr>
          <w:trHeight w:val="300"/>
        </w:trPr>
        <w:tc>
          <w:tcPr>
            <w:tcW w:w="6746" w:type="dxa"/>
            <w:tcBorders>
              <w:top w:val="nil"/>
              <w:left w:val="nil"/>
              <w:bottom w:val="nil"/>
              <w:right w:val="nil"/>
            </w:tcBorders>
            <w:shd w:val="clear" w:color="auto" w:fill="FFFFFF" w:themeFill="background1"/>
          </w:tcPr>
          <w:p w14:paraId="1DA87EB1" w14:textId="1C8E86F4" w:rsidR="007F1BDE" w:rsidRPr="00BD1BA9" w:rsidRDefault="007F1BDE" w:rsidP="009471E4">
            <w:pPr>
              <w:textAlignment w:val="baseline"/>
              <w:rPr>
                <w:color w:val="000000"/>
                <w:sz w:val="22"/>
                <w:szCs w:val="22"/>
              </w:rPr>
            </w:pPr>
            <w:r w:rsidRPr="00BD1BA9">
              <w:rPr>
                <w:color w:val="000000"/>
                <w:sz w:val="22"/>
                <w:szCs w:val="22"/>
              </w:rPr>
              <w:t xml:space="preserve">     Other</w:t>
            </w:r>
          </w:p>
        </w:tc>
        <w:tc>
          <w:tcPr>
            <w:tcW w:w="634" w:type="dxa"/>
            <w:tcBorders>
              <w:top w:val="nil"/>
              <w:left w:val="nil"/>
              <w:bottom w:val="nil"/>
              <w:right w:val="nil"/>
            </w:tcBorders>
            <w:shd w:val="clear" w:color="auto" w:fill="FFFFFF" w:themeFill="background1"/>
          </w:tcPr>
          <w:p w14:paraId="6411108F" w14:textId="739E5AC6" w:rsidR="007F1BDE" w:rsidRPr="00BD1BA9" w:rsidRDefault="007F1BDE" w:rsidP="009820A6">
            <w:pPr>
              <w:jc w:val="right"/>
              <w:textAlignment w:val="baseline"/>
              <w:rPr>
                <w:color w:val="000000"/>
                <w:sz w:val="22"/>
                <w:szCs w:val="22"/>
              </w:rPr>
            </w:pPr>
            <w:r w:rsidRPr="00BD1BA9">
              <w:rPr>
                <w:color w:val="000000"/>
                <w:sz w:val="22"/>
                <w:szCs w:val="22"/>
              </w:rPr>
              <w:t>1</w:t>
            </w:r>
          </w:p>
        </w:tc>
        <w:tc>
          <w:tcPr>
            <w:tcW w:w="1350" w:type="dxa"/>
            <w:tcBorders>
              <w:top w:val="nil"/>
              <w:left w:val="nil"/>
              <w:bottom w:val="nil"/>
              <w:right w:val="nil"/>
            </w:tcBorders>
            <w:shd w:val="clear" w:color="auto" w:fill="FFFFFF" w:themeFill="background1"/>
          </w:tcPr>
          <w:p w14:paraId="7DB529FE" w14:textId="0428C033" w:rsidR="007F1BDE" w:rsidRPr="00BD1BA9" w:rsidRDefault="007F1BDE" w:rsidP="00FC7661">
            <w:pPr>
              <w:jc w:val="right"/>
              <w:textAlignment w:val="baseline"/>
              <w:rPr>
                <w:color w:val="000000"/>
                <w:sz w:val="22"/>
                <w:szCs w:val="22"/>
              </w:rPr>
            </w:pPr>
            <w:r w:rsidRPr="00BD1BA9">
              <w:rPr>
                <w:color w:val="000000"/>
                <w:sz w:val="22"/>
                <w:szCs w:val="22"/>
              </w:rPr>
              <w:t>2.3%</w:t>
            </w:r>
          </w:p>
        </w:tc>
        <w:tc>
          <w:tcPr>
            <w:tcW w:w="630" w:type="dxa"/>
            <w:tcBorders>
              <w:top w:val="nil"/>
              <w:bottom w:val="nil"/>
              <w:right w:val="nil"/>
            </w:tcBorders>
          </w:tcPr>
          <w:p w14:paraId="552EA078" w14:textId="77777777" w:rsidR="007F1BDE" w:rsidRPr="00BD1BA9" w:rsidRDefault="007F1BDE" w:rsidP="00FC7661">
            <w:pPr>
              <w:jc w:val="right"/>
              <w:textAlignment w:val="baseline"/>
              <w:rPr>
                <w:color w:val="000000"/>
                <w:sz w:val="22"/>
                <w:szCs w:val="22"/>
              </w:rPr>
            </w:pPr>
          </w:p>
        </w:tc>
      </w:tr>
      <w:tr w:rsidR="007F1BDE" w:rsidRPr="00822978" w14:paraId="6D25258E" w14:textId="5204C7DE" w:rsidTr="0813F13E">
        <w:trPr>
          <w:trHeight w:val="300"/>
        </w:trPr>
        <w:tc>
          <w:tcPr>
            <w:tcW w:w="6746" w:type="dxa"/>
            <w:tcBorders>
              <w:top w:val="nil"/>
              <w:left w:val="nil"/>
              <w:bottom w:val="nil"/>
              <w:right w:val="nil"/>
            </w:tcBorders>
            <w:shd w:val="clear" w:color="auto" w:fill="FFFFFF" w:themeFill="background1"/>
          </w:tcPr>
          <w:p w14:paraId="1A20DFFC" w14:textId="300DCBF4" w:rsidR="007F1BDE" w:rsidRPr="00BD1BA9" w:rsidRDefault="007F1BDE" w:rsidP="00274761">
            <w:pPr>
              <w:textAlignment w:val="baseline"/>
              <w:rPr>
                <w:color w:val="000000"/>
                <w:sz w:val="22"/>
                <w:szCs w:val="22"/>
              </w:rPr>
            </w:pPr>
            <w:r w:rsidRPr="00BD1BA9">
              <w:rPr>
                <w:color w:val="000000"/>
                <w:sz w:val="22"/>
                <w:szCs w:val="22"/>
              </w:rPr>
              <w:t>License and Certification</w:t>
            </w:r>
          </w:p>
        </w:tc>
        <w:tc>
          <w:tcPr>
            <w:tcW w:w="634" w:type="dxa"/>
            <w:tcBorders>
              <w:top w:val="nil"/>
              <w:left w:val="nil"/>
              <w:bottom w:val="nil"/>
              <w:right w:val="nil"/>
            </w:tcBorders>
            <w:shd w:val="clear" w:color="auto" w:fill="FFFFFF" w:themeFill="background1"/>
          </w:tcPr>
          <w:p w14:paraId="7A3D83AF" w14:textId="329BED2C" w:rsidR="007F1BDE" w:rsidRPr="00BD1BA9" w:rsidRDefault="007F1BDE" w:rsidP="009820A6">
            <w:pPr>
              <w:jc w:val="right"/>
              <w:textAlignment w:val="baseline"/>
              <w:rPr>
                <w:color w:val="000000"/>
                <w:sz w:val="22"/>
                <w:szCs w:val="22"/>
              </w:rPr>
            </w:pPr>
          </w:p>
        </w:tc>
        <w:tc>
          <w:tcPr>
            <w:tcW w:w="1350" w:type="dxa"/>
            <w:tcBorders>
              <w:top w:val="nil"/>
              <w:left w:val="nil"/>
              <w:bottom w:val="nil"/>
              <w:right w:val="nil"/>
            </w:tcBorders>
            <w:shd w:val="clear" w:color="auto" w:fill="FFFFFF" w:themeFill="background1"/>
          </w:tcPr>
          <w:p w14:paraId="24F1D92C" w14:textId="1F9E7C53" w:rsidR="007F1BDE" w:rsidRPr="00BD1BA9" w:rsidRDefault="007F1BDE" w:rsidP="00FC7661">
            <w:pPr>
              <w:jc w:val="right"/>
              <w:textAlignment w:val="baseline"/>
              <w:rPr>
                <w:color w:val="000000"/>
                <w:sz w:val="22"/>
                <w:szCs w:val="22"/>
              </w:rPr>
            </w:pPr>
          </w:p>
        </w:tc>
        <w:tc>
          <w:tcPr>
            <w:tcW w:w="630" w:type="dxa"/>
            <w:tcBorders>
              <w:top w:val="nil"/>
              <w:bottom w:val="nil"/>
              <w:right w:val="nil"/>
            </w:tcBorders>
          </w:tcPr>
          <w:p w14:paraId="1C747A33" w14:textId="77777777" w:rsidR="007F1BDE" w:rsidRPr="00BD1BA9" w:rsidRDefault="007F1BDE" w:rsidP="00FC7661">
            <w:pPr>
              <w:jc w:val="right"/>
              <w:textAlignment w:val="baseline"/>
              <w:rPr>
                <w:color w:val="000000"/>
                <w:sz w:val="22"/>
                <w:szCs w:val="22"/>
              </w:rPr>
            </w:pPr>
          </w:p>
        </w:tc>
      </w:tr>
      <w:tr w:rsidR="007F1BDE" w:rsidRPr="00822978" w14:paraId="482C7E20" w14:textId="045DD043" w:rsidTr="0813F13E">
        <w:trPr>
          <w:trHeight w:val="300"/>
        </w:trPr>
        <w:tc>
          <w:tcPr>
            <w:tcW w:w="6746" w:type="dxa"/>
            <w:tcBorders>
              <w:top w:val="nil"/>
              <w:left w:val="nil"/>
              <w:bottom w:val="nil"/>
              <w:right w:val="nil"/>
            </w:tcBorders>
            <w:shd w:val="clear" w:color="auto" w:fill="FFFFFF" w:themeFill="background1"/>
          </w:tcPr>
          <w:p w14:paraId="451E97BF" w14:textId="2171A2E6" w:rsidR="007F1BDE" w:rsidRPr="00BD1BA9" w:rsidRDefault="007F1BDE" w:rsidP="00274761">
            <w:pPr>
              <w:textAlignment w:val="baseline"/>
              <w:rPr>
                <w:color w:val="000000"/>
                <w:sz w:val="22"/>
                <w:szCs w:val="22"/>
              </w:rPr>
            </w:pPr>
            <w:r w:rsidRPr="00BD1BA9">
              <w:rPr>
                <w:color w:val="000000"/>
                <w:sz w:val="22"/>
                <w:szCs w:val="22"/>
              </w:rPr>
              <w:t xml:space="preserve">     Elementary Education (P-5)</w:t>
            </w:r>
          </w:p>
        </w:tc>
        <w:tc>
          <w:tcPr>
            <w:tcW w:w="634" w:type="dxa"/>
            <w:tcBorders>
              <w:top w:val="nil"/>
              <w:left w:val="nil"/>
              <w:bottom w:val="nil"/>
              <w:right w:val="nil"/>
            </w:tcBorders>
            <w:shd w:val="clear" w:color="auto" w:fill="FFFFFF" w:themeFill="background1"/>
          </w:tcPr>
          <w:p w14:paraId="41B04816" w14:textId="4454F3F3" w:rsidR="007F1BDE" w:rsidRPr="00BD1BA9" w:rsidRDefault="007F1BDE" w:rsidP="009820A6">
            <w:pPr>
              <w:jc w:val="right"/>
              <w:textAlignment w:val="baseline"/>
              <w:rPr>
                <w:color w:val="000000"/>
                <w:sz w:val="22"/>
                <w:szCs w:val="22"/>
              </w:rPr>
            </w:pPr>
            <w:r w:rsidRPr="00BD1BA9">
              <w:rPr>
                <w:color w:val="000000"/>
                <w:sz w:val="22"/>
                <w:szCs w:val="22"/>
              </w:rPr>
              <w:t>27</w:t>
            </w:r>
          </w:p>
        </w:tc>
        <w:tc>
          <w:tcPr>
            <w:tcW w:w="1350" w:type="dxa"/>
            <w:tcBorders>
              <w:top w:val="nil"/>
              <w:left w:val="nil"/>
              <w:bottom w:val="nil"/>
              <w:right w:val="nil"/>
            </w:tcBorders>
            <w:shd w:val="clear" w:color="auto" w:fill="FFFFFF" w:themeFill="background1"/>
          </w:tcPr>
          <w:p w14:paraId="22CA5BB2" w14:textId="6057B998" w:rsidR="007F1BDE" w:rsidRPr="00BD1BA9" w:rsidRDefault="007F1BDE" w:rsidP="00FC7661">
            <w:pPr>
              <w:jc w:val="right"/>
              <w:textAlignment w:val="baseline"/>
              <w:rPr>
                <w:color w:val="000000"/>
                <w:sz w:val="22"/>
                <w:szCs w:val="22"/>
              </w:rPr>
            </w:pPr>
            <w:r w:rsidRPr="00BD1BA9">
              <w:rPr>
                <w:color w:val="000000"/>
                <w:sz w:val="22"/>
                <w:szCs w:val="22"/>
              </w:rPr>
              <w:t>61.4%</w:t>
            </w:r>
          </w:p>
        </w:tc>
        <w:tc>
          <w:tcPr>
            <w:tcW w:w="630" w:type="dxa"/>
            <w:tcBorders>
              <w:top w:val="nil"/>
              <w:bottom w:val="nil"/>
              <w:right w:val="nil"/>
            </w:tcBorders>
          </w:tcPr>
          <w:p w14:paraId="1E0B5409" w14:textId="77777777" w:rsidR="007F1BDE" w:rsidRPr="00BD1BA9" w:rsidRDefault="007F1BDE" w:rsidP="00FC7661">
            <w:pPr>
              <w:jc w:val="right"/>
              <w:textAlignment w:val="baseline"/>
              <w:rPr>
                <w:color w:val="000000"/>
                <w:sz w:val="22"/>
                <w:szCs w:val="22"/>
              </w:rPr>
            </w:pPr>
          </w:p>
        </w:tc>
      </w:tr>
      <w:tr w:rsidR="007F1BDE" w:rsidRPr="00822978" w14:paraId="359D023A" w14:textId="42320983" w:rsidTr="0813F13E">
        <w:trPr>
          <w:trHeight w:val="300"/>
        </w:trPr>
        <w:tc>
          <w:tcPr>
            <w:tcW w:w="6746" w:type="dxa"/>
            <w:tcBorders>
              <w:top w:val="nil"/>
              <w:left w:val="nil"/>
              <w:bottom w:val="nil"/>
              <w:right w:val="nil"/>
            </w:tcBorders>
            <w:shd w:val="clear" w:color="auto" w:fill="FFFFFF" w:themeFill="background1"/>
          </w:tcPr>
          <w:p w14:paraId="1D11C3D7" w14:textId="3C4AE8FD" w:rsidR="007F1BDE" w:rsidRPr="00BD1BA9" w:rsidRDefault="007F1BDE" w:rsidP="00274761">
            <w:pPr>
              <w:textAlignment w:val="baseline"/>
              <w:rPr>
                <w:color w:val="000000"/>
                <w:sz w:val="22"/>
                <w:szCs w:val="22"/>
              </w:rPr>
            </w:pPr>
            <w:r w:rsidRPr="00BD1BA9">
              <w:rPr>
                <w:color w:val="000000"/>
                <w:sz w:val="22"/>
                <w:szCs w:val="22"/>
              </w:rPr>
              <w:t xml:space="preserve">     Agricultural Education (6-12)</w:t>
            </w:r>
          </w:p>
        </w:tc>
        <w:tc>
          <w:tcPr>
            <w:tcW w:w="634" w:type="dxa"/>
            <w:tcBorders>
              <w:top w:val="nil"/>
              <w:left w:val="nil"/>
              <w:bottom w:val="nil"/>
              <w:right w:val="nil"/>
            </w:tcBorders>
            <w:shd w:val="clear" w:color="auto" w:fill="FFFFFF" w:themeFill="background1"/>
          </w:tcPr>
          <w:p w14:paraId="4D92C880" w14:textId="410B1026" w:rsidR="007F1BDE" w:rsidRPr="00BD1BA9" w:rsidRDefault="007F1BDE" w:rsidP="009820A6">
            <w:pPr>
              <w:jc w:val="right"/>
              <w:textAlignment w:val="baseline"/>
              <w:rPr>
                <w:color w:val="000000"/>
                <w:sz w:val="22"/>
                <w:szCs w:val="22"/>
              </w:rPr>
            </w:pPr>
            <w:r w:rsidRPr="00BD1BA9">
              <w:rPr>
                <w:color w:val="000000"/>
                <w:sz w:val="22"/>
                <w:szCs w:val="22"/>
              </w:rPr>
              <w:t>7</w:t>
            </w:r>
          </w:p>
        </w:tc>
        <w:tc>
          <w:tcPr>
            <w:tcW w:w="1350" w:type="dxa"/>
            <w:tcBorders>
              <w:top w:val="nil"/>
              <w:left w:val="nil"/>
              <w:bottom w:val="nil"/>
              <w:right w:val="nil"/>
            </w:tcBorders>
            <w:shd w:val="clear" w:color="auto" w:fill="FFFFFF" w:themeFill="background1"/>
          </w:tcPr>
          <w:p w14:paraId="1322B596" w14:textId="7C5EEA84" w:rsidR="007F1BDE" w:rsidRPr="00BD1BA9" w:rsidRDefault="007F1BDE" w:rsidP="00FC7661">
            <w:pPr>
              <w:jc w:val="right"/>
              <w:textAlignment w:val="baseline"/>
              <w:rPr>
                <w:color w:val="000000"/>
                <w:sz w:val="22"/>
                <w:szCs w:val="22"/>
              </w:rPr>
            </w:pPr>
            <w:r w:rsidRPr="00BD1BA9">
              <w:rPr>
                <w:color w:val="000000"/>
                <w:sz w:val="22"/>
                <w:szCs w:val="22"/>
              </w:rPr>
              <w:t>15.9%</w:t>
            </w:r>
          </w:p>
        </w:tc>
        <w:tc>
          <w:tcPr>
            <w:tcW w:w="630" w:type="dxa"/>
            <w:tcBorders>
              <w:top w:val="nil"/>
              <w:bottom w:val="nil"/>
              <w:right w:val="nil"/>
            </w:tcBorders>
          </w:tcPr>
          <w:p w14:paraId="14A3C0F5" w14:textId="77777777" w:rsidR="007F1BDE" w:rsidRPr="00BD1BA9" w:rsidRDefault="007F1BDE" w:rsidP="00FC7661">
            <w:pPr>
              <w:jc w:val="right"/>
              <w:textAlignment w:val="baseline"/>
              <w:rPr>
                <w:color w:val="000000"/>
                <w:sz w:val="22"/>
                <w:szCs w:val="22"/>
              </w:rPr>
            </w:pPr>
          </w:p>
        </w:tc>
      </w:tr>
      <w:tr w:rsidR="007F1BDE" w:rsidRPr="00822978" w14:paraId="717DA8C1" w14:textId="05761F2C" w:rsidTr="0813F13E">
        <w:trPr>
          <w:trHeight w:val="300"/>
        </w:trPr>
        <w:tc>
          <w:tcPr>
            <w:tcW w:w="6746" w:type="dxa"/>
            <w:tcBorders>
              <w:top w:val="nil"/>
              <w:left w:val="nil"/>
              <w:bottom w:val="nil"/>
              <w:right w:val="nil"/>
            </w:tcBorders>
            <w:shd w:val="clear" w:color="auto" w:fill="FFFFFF" w:themeFill="background1"/>
          </w:tcPr>
          <w:p w14:paraId="6DEF6FE2" w14:textId="0A1F2A07" w:rsidR="007F1BDE" w:rsidRPr="00BD1BA9" w:rsidRDefault="707B31FC" w:rsidP="00274761">
            <w:pPr>
              <w:textAlignment w:val="baseline"/>
              <w:rPr>
                <w:color w:val="000000"/>
                <w:sz w:val="22"/>
                <w:szCs w:val="22"/>
              </w:rPr>
            </w:pPr>
            <w:r w:rsidRPr="0813F13E">
              <w:rPr>
                <w:color w:val="000000" w:themeColor="text1"/>
                <w:sz w:val="22"/>
                <w:szCs w:val="22"/>
              </w:rPr>
              <w:t xml:space="preserve">     Both Elementary Education (P-5) &amp; Agricultural Education (6-12)</w:t>
            </w:r>
          </w:p>
        </w:tc>
        <w:tc>
          <w:tcPr>
            <w:tcW w:w="634" w:type="dxa"/>
            <w:tcBorders>
              <w:top w:val="nil"/>
              <w:left w:val="nil"/>
              <w:bottom w:val="nil"/>
              <w:right w:val="nil"/>
            </w:tcBorders>
            <w:shd w:val="clear" w:color="auto" w:fill="FFFFFF" w:themeFill="background1"/>
          </w:tcPr>
          <w:p w14:paraId="15A41E46" w14:textId="6906C2CC" w:rsidR="007F1BDE" w:rsidRPr="00BD1BA9" w:rsidRDefault="007F1BDE" w:rsidP="009820A6">
            <w:pPr>
              <w:jc w:val="right"/>
              <w:textAlignment w:val="baseline"/>
              <w:rPr>
                <w:color w:val="000000"/>
                <w:sz w:val="22"/>
                <w:szCs w:val="22"/>
              </w:rPr>
            </w:pPr>
            <w:r>
              <w:rPr>
                <w:color w:val="000000"/>
                <w:sz w:val="22"/>
                <w:szCs w:val="22"/>
              </w:rPr>
              <w:t>7</w:t>
            </w:r>
          </w:p>
        </w:tc>
        <w:tc>
          <w:tcPr>
            <w:tcW w:w="1350" w:type="dxa"/>
            <w:tcBorders>
              <w:top w:val="nil"/>
              <w:left w:val="nil"/>
              <w:bottom w:val="nil"/>
              <w:right w:val="nil"/>
            </w:tcBorders>
            <w:shd w:val="clear" w:color="auto" w:fill="FFFFFF" w:themeFill="background1"/>
          </w:tcPr>
          <w:p w14:paraId="542A2FEE" w14:textId="0731888F" w:rsidR="007F1BDE" w:rsidRPr="00BD1BA9" w:rsidRDefault="007F1BDE" w:rsidP="00FC7661">
            <w:pPr>
              <w:jc w:val="right"/>
              <w:textAlignment w:val="baseline"/>
              <w:rPr>
                <w:color w:val="000000"/>
                <w:sz w:val="22"/>
                <w:szCs w:val="22"/>
              </w:rPr>
            </w:pPr>
            <w:r>
              <w:rPr>
                <w:color w:val="000000"/>
                <w:sz w:val="22"/>
                <w:szCs w:val="22"/>
              </w:rPr>
              <w:t>15</w:t>
            </w:r>
            <w:r w:rsidRPr="00BD1BA9">
              <w:rPr>
                <w:color w:val="000000"/>
                <w:sz w:val="22"/>
                <w:szCs w:val="22"/>
              </w:rPr>
              <w:t>.</w:t>
            </w:r>
            <w:r>
              <w:rPr>
                <w:color w:val="000000"/>
                <w:sz w:val="22"/>
                <w:szCs w:val="22"/>
              </w:rPr>
              <w:t>9</w:t>
            </w:r>
            <w:r w:rsidRPr="00BD1BA9">
              <w:rPr>
                <w:color w:val="000000"/>
                <w:sz w:val="22"/>
                <w:szCs w:val="22"/>
              </w:rPr>
              <w:t>%</w:t>
            </w:r>
          </w:p>
        </w:tc>
        <w:tc>
          <w:tcPr>
            <w:tcW w:w="630" w:type="dxa"/>
            <w:tcBorders>
              <w:top w:val="nil"/>
              <w:bottom w:val="nil"/>
              <w:right w:val="nil"/>
            </w:tcBorders>
          </w:tcPr>
          <w:p w14:paraId="1F968E16" w14:textId="77777777" w:rsidR="007F1BDE" w:rsidRDefault="007F1BDE" w:rsidP="00FC7661">
            <w:pPr>
              <w:jc w:val="right"/>
              <w:textAlignment w:val="baseline"/>
              <w:rPr>
                <w:color w:val="000000"/>
                <w:sz w:val="22"/>
                <w:szCs w:val="22"/>
              </w:rPr>
            </w:pPr>
          </w:p>
        </w:tc>
      </w:tr>
      <w:tr w:rsidR="007F1BDE" w:rsidRPr="00822978" w14:paraId="0E8A1E60" w14:textId="762EA2E3" w:rsidTr="0813F13E">
        <w:trPr>
          <w:trHeight w:val="300"/>
        </w:trPr>
        <w:tc>
          <w:tcPr>
            <w:tcW w:w="6746" w:type="dxa"/>
            <w:tcBorders>
              <w:top w:val="nil"/>
              <w:left w:val="nil"/>
              <w:bottom w:val="nil"/>
              <w:right w:val="nil"/>
            </w:tcBorders>
            <w:shd w:val="clear" w:color="auto" w:fill="FFFFFF" w:themeFill="background1"/>
          </w:tcPr>
          <w:p w14:paraId="7CBFF882" w14:textId="21781A10" w:rsidR="007F1BDE" w:rsidRPr="00BD1BA9" w:rsidRDefault="007F1BDE" w:rsidP="00274761">
            <w:pPr>
              <w:textAlignment w:val="baseline"/>
              <w:rPr>
                <w:color w:val="000000"/>
                <w:sz w:val="22"/>
                <w:szCs w:val="22"/>
              </w:rPr>
            </w:pPr>
            <w:r w:rsidRPr="00BD1BA9">
              <w:rPr>
                <w:color w:val="000000"/>
                <w:sz w:val="22"/>
                <w:szCs w:val="22"/>
              </w:rPr>
              <w:t xml:space="preserve">     Other</w:t>
            </w:r>
          </w:p>
        </w:tc>
        <w:tc>
          <w:tcPr>
            <w:tcW w:w="634" w:type="dxa"/>
            <w:tcBorders>
              <w:top w:val="nil"/>
              <w:left w:val="nil"/>
              <w:bottom w:val="nil"/>
              <w:right w:val="nil"/>
            </w:tcBorders>
            <w:shd w:val="clear" w:color="auto" w:fill="FFFFFF" w:themeFill="background1"/>
          </w:tcPr>
          <w:p w14:paraId="6BAD91EE" w14:textId="507CFF27" w:rsidR="007F1BDE" w:rsidRPr="00BD1BA9" w:rsidRDefault="007F1BDE" w:rsidP="009820A6">
            <w:pPr>
              <w:jc w:val="right"/>
              <w:textAlignment w:val="baseline"/>
              <w:rPr>
                <w:color w:val="000000"/>
                <w:sz w:val="22"/>
                <w:szCs w:val="22"/>
              </w:rPr>
            </w:pPr>
            <w:r w:rsidRPr="00BD1BA9">
              <w:rPr>
                <w:color w:val="000000"/>
                <w:sz w:val="22"/>
                <w:szCs w:val="22"/>
              </w:rPr>
              <w:t>3</w:t>
            </w:r>
          </w:p>
        </w:tc>
        <w:tc>
          <w:tcPr>
            <w:tcW w:w="1350" w:type="dxa"/>
            <w:tcBorders>
              <w:top w:val="nil"/>
              <w:left w:val="nil"/>
              <w:bottom w:val="nil"/>
              <w:right w:val="nil"/>
            </w:tcBorders>
            <w:shd w:val="clear" w:color="auto" w:fill="FFFFFF" w:themeFill="background1"/>
          </w:tcPr>
          <w:p w14:paraId="7CC4374A" w14:textId="16541CE5" w:rsidR="007F1BDE" w:rsidRPr="00BD1BA9" w:rsidRDefault="007F1BDE" w:rsidP="00FC7661">
            <w:pPr>
              <w:jc w:val="right"/>
              <w:textAlignment w:val="baseline"/>
              <w:rPr>
                <w:color w:val="000000"/>
                <w:sz w:val="22"/>
                <w:szCs w:val="22"/>
              </w:rPr>
            </w:pPr>
            <w:r w:rsidRPr="00BD1BA9">
              <w:rPr>
                <w:color w:val="000000"/>
                <w:sz w:val="22"/>
                <w:szCs w:val="22"/>
              </w:rPr>
              <w:t>6.8%</w:t>
            </w:r>
          </w:p>
        </w:tc>
        <w:tc>
          <w:tcPr>
            <w:tcW w:w="630" w:type="dxa"/>
            <w:tcBorders>
              <w:top w:val="nil"/>
              <w:bottom w:val="nil"/>
              <w:right w:val="nil"/>
            </w:tcBorders>
          </w:tcPr>
          <w:p w14:paraId="762BE230" w14:textId="77777777" w:rsidR="007F1BDE" w:rsidRPr="00BD1BA9" w:rsidRDefault="007F1BDE" w:rsidP="00FC7661">
            <w:pPr>
              <w:jc w:val="right"/>
              <w:textAlignment w:val="baseline"/>
              <w:rPr>
                <w:color w:val="000000"/>
                <w:sz w:val="22"/>
                <w:szCs w:val="22"/>
              </w:rPr>
            </w:pPr>
          </w:p>
        </w:tc>
      </w:tr>
      <w:tr w:rsidR="007F1BDE" w:rsidRPr="00822978" w14:paraId="2C6A3561" w14:textId="10F4C658" w:rsidTr="0813F13E">
        <w:trPr>
          <w:trHeight w:val="300"/>
        </w:trPr>
        <w:tc>
          <w:tcPr>
            <w:tcW w:w="6746" w:type="dxa"/>
            <w:tcBorders>
              <w:top w:val="nil"/>
              <w:left w:val="nil"/>
              <w:bottom w:val="nil"/>
              <w:right w:val="nil"/>
            </w:tcBorders>
            <w:shd w:val="clear" w:color="auto" w:fill="FFFFFF" w:themeFill="background1"/>
          </w:tcPr>
          <w:p w14:paraId="63BC1287" w14:textId="4E45D8A5" w:rsidR="007F1BDE" w:rsidRPr="00BD1BA9" w:rsidRDefault="007F1BDE" w:rsidP="00274761">
            <w:pPr>
              <w:textAlignment w:val="baseline"/>
              <w:rPr>
                <w:color w:val="000000"/>
                <w:sz w:val="22"/>
                <w:szCs w:val="22"/>
              </w:rPr>
            </w:pPr>
            <w:r w:rsidRPr="00BD1BA9">
              <w:rPr>
                <w:color w:val="000000"/>
                <w:sz w:val="22"/>
                <w:szCs w:val="22"/>
              </w:rPr>
              <w:t>Elementary Agricultural Education Endorsement</w:t>
            </w:r>
          </w:p>
        </w:tc>
        <w:tc>
          <w:tcPr>
            <w:tcW w:w="634" w:type="dxa"/>
            <w:tcBorders>
              <w:top w:val="nil"/>
              <w:left w:val="nil"/>
              <w:bottom w:val="nil"/>
              <w:right w:val="nil"/>
            </w:tcBorders>
            <w:shd w:val="clear" w:color="auto" w:fill="FFFFFF" w:themeFill="background1"/>
          </w:tcPr>
          <w:p w14:paraId="411FB416" w14:textId="5D39526C" w:rsidR="007F1BDE" w:rsidRPr="00BD1BA9" w:rsidRDefault="007F1BDE" w:rsidP="009820A6">
            <w:pPr>
              <w:jc w:val="right"/>
              <w:textAlignment w:val="baseline"/>
              <w:rPr>
                <w:color w:val="000000"/>
                <w:sz w:val="22"/>
                <w:szCs w:val="22"/>
              </w:rPr>
            </w:pPr>
          </w:p>
        </w:tc>
        <w:tc>
          <w:tcPr>
            <w:tcW w:w="1350" w:type="dxa"/>
            <w:tcBorders>
              <w:top w:val="nil"/>
              <w:left w:val="nil"/>
              <w:bottom w:val="nil"/>
              <w:right w:val="nil"/>
            </w:tcBorders>
            <w:shd w:val="clear" w:color="auto" w:fill="FFFFFF" w:themeFill="background1"/>
          </w:tcPr>
          <w:p w14:paraId="784C912C" w14:textId="4FAF527C" w:rsidR="007F1BDE" w:rsidRPr="00BD1BA9" w:rsidRDefault="007F1BDE" w:rsidP="00FC7661">
            <w:pPr>
              <w:jc w:val="right"/>
              <w:textAlignment w:val="baseline"/>
              <w:rPr>
                <w:color w:val="000000"/>
                <w:sz w:val="22"/>
                <w:szCs w:val="22"/>
              </w:rPr>
            </w:pPr>
          </w:p>
        </w:tc>
        <w:tc>
          <w:tcPr>
            <w:tcW w:w="630" w:type="dxa"/>
            <w:tcBorders>
              <w:top w:val="nil"/>
              <w:bottom w:val="nil"/>
              <w:right w:val="nil"/>
            </w:tcBorders>
          </w:tcPr>
          <w:p w14:paraId="1969D98A" w14:textId="77777777" w:rsidR="007F1BDE" w:rsidRPr="00BD1BA9" w:rsidRDefault="007F1BDE" w:rsidP="00FC7661">
            <w:pPr>
              <w:jc w:val="right"/>
              <w:textAlignment w:val="baseline"/>
              <w:rPr>
                <w:color w:val="000000"/>
                <w:sz w:val="22"/>
                <w:szCs w:val="22"/>
              </w:rPr>
            </w:pPr>
          </w:p>
        </w:tc>
      </w:tr>
      <w:tr w:rsidR="007F1BDE" w:rsidRPr="00822978" w14:paraId="6C5BA37D" w14:textId="5E0738B9" w:rsidTr="0813F13E">
        <w:trPr>
          <w:trHeight w:val="342"/>
        </w:trPr>
        <w:tc>
          <w:tcPr>
            <w:tcW w:w="6746" w:type="dxa"/>
            <w:tcBorders>
              <w:top w:val="nil"/>
              <w:left w:val="nil"/>
              <w:bottom w:val="nil"/>
              <w:right w:val="nil"/>
            </w:tcBorders>
            <w:shd w:val="clear" w:color="auto" w:fill="FFFFFF" w:themeFill="background1"/>
          </w:tcPr>
          <w:p w14:paraId="018E8F67" w14:textId="44F07B6E" w:rsidR="007F1BDE" w:rsidRPr="00BD1BA9" w:rsidRDefault="007F1BDE" w:rsidP="00274761">
            <w:pPr>
              <w:textAlignment w:val="baseline"/>
              <w:rPr>
                <w:color w:val="000000"/>
                <w:sz w:val="22"/>
                <w:szCs w:val="22"/>
              </w:rPr>
            </w:pPr>
            <w:r w:rsidRPr="00BD1BA9">
              <w:rPr>
                <w:color w:val="000000"/>
                <w:sz w:val="22"/>
                <w:szCs w:val="22"/>
              </w:rPr>
              <w:t xml:space="preserve">     Yes</w:t>
            </w:r>
          </w:p>
        </w:tc>
        <w:tc>
          <w:tcPr>
            <w:tcW w:w="634" w:type="dxa"/>
            <w:tcBorders>
              <w:top w:val="nil"/>
              <w:left w:val="nil"/>
              <w:bottom w:val="nil"/>
              <w:right w:val="nil"/>
            </w:tcBorders>
            <w:shd w:val="clear" w:color="auto" w:fill="FFFFFF" w:themeFill="background1"/>
          </w:tcPr>
          <w:p w14:paraId="552008A1" w14:textId="7CCD87AA" w:rsidR="007F1BDE" w:rsidRPr="00BD1BA9" w:rsidRDefault="007F1BDE" w:rsidP="009820A6">
            <w:pPr>
              <w:jc w:val="right"/>
              <w:textAlignment w:val="baseline"/>
              <w:rPr>
                <w:color w:val="000000"/>
                <w:sz w:val="22"/>
                <w:szCs w:val="22"/>
              </w:rPr>
            </w:pPr>
            <w:r w:rsidRPr="00BD1BA9">
              <w:rPr>
                <w:color w:val="000000"/>
                <w:sz w:val="22"/>
                <w:szCs w:val="22"/>
              </w:rPr>
              <w:t>17</w:t>
            </w:r>
          </w:p>
        </w:tc>
        <w:tc>
          <w:tcPr>
            <w:tcW w:w="1350" w:type="dxa"/>
            <w:tcBorders>
              <w:top w:val="nil"/>
              <w:left w:val="nil"/>
              <w:bottom w:val="nil"/>
              <w:right w:val="nil"/>
            </w:tcBorders>
            <w:shd w:val="clear" w:color="auto" w:fill="FFFFFF" w:themeFill="background1"/>
          </w:tcPr>
          <w:p w14:paraId="48F7FAC1" w14:textId="7F2E89C3" w:rsidR="007F1BDE" w:rsidRPr="00BD1BA9" w:rsidRDefault="007F1BDE" w:rsidP="00FC7661">
            <w:pPr>
              <w:jc w:val="right"/>
              <w:textAlignment w:val="baseline"/>
              <w:rPr>
                <w:color w:val="000000"/>
                <w:sz w:val="22"/>
                <w:szCs w:val="22"/>
              </w:rPr>
            </w:pPr>
            <w:r w:rsidRPr="00BD1BA9">
              <w:rPr>
                <w:color w:val="000000"/>
                <w:sz w:val="22"/>
                <w:szCs w:val="22"/>
              </w:rPr>
              <w:t>38.6%</w:t>
            </w:r>
          </w:p>
        </w:tc>
        <w:tc>
          <w:tcPr>
            <w:tcW w:w="630" w:type="dxa"/>
            <w:tcBorders>
              <w:top w:val="nil"/>
              <w:bottom w:val="nil"/>
              <w:right w:val="nil"/>
            </w:tcBorders>
          </w:tcPr>
          <w:p w14:paraId="5618069E" w14:textId="77777777" w:rsidR="007F1BDE" w:rsidRPr="00BD1BA9" w:rsidRDefault="007F1BDE" w:rsidP="00FC7661">
            <w:pPr>
              <w:jc w:val="right"/>
              <w:textAlignment w:val="baseline"/>
              <w:rPr>
                <w:color w:val="000000"/>
                <w:sz w:val="22"/>
                <w:szCs w:val="22"/>
              </w:rPr>
            </w:pPr>
          </w:p>
        </w:tc>
      </w:tr>
      <w:tr w:rsidR="007F1BDE" w:rsidRPr="00822978" w14:paraId="468017BB" w14:textId="3CDD7D87" w:rsidTr="0813F13E">
        <w:trPr>
          <w:trHeight w:val="300"/>
        </w:trPr>
        <w:tc>
          <w:tcPr>
            <w:tcW w:w="6746" w:type="dxa"/>
            <w:tcBorders>
              <w:top w:val="nil"/>
              <w:left w:val="nil"/>
              <w:bottom w:val="single" w:sz="2" w:space="0" w:color="000000" w:themeColor="text1"/>
              <w:right w:val="nil"/>
            </w:tcBorders>
            <w:shd w:val="clear" w:color="auto" w:fill="FFFFFF" w:themeFill="background1"/>
          </w:tcPr>
          <w:p w14:paraId="129BE966" w14:textId="300C425A" w:rsidR="007F1BDE" w:rsidRPr="00BD1BA9" w:rsidRDefault="007F1BDE" w:rsidP="00274761">
            <w:pPr>
              <w:textAlignment w:val="baseline"/>
              <w:rPr>
                <w:color w:val="000000"/>
                <w:sz w:val="22"/>
                <w:szCs w:val="22"/>
              </w:rPr>
            </w:pPr>
            <w:r w:rsidRPr="00BD1BA9">
              <w:rPr>
                <w:color w:val="000000"/>
                <w:sz w:val="22"/>
                <w:szCs w:val="22"/>
              </w:rPr>
              <w:t xml:space="preserve">     No</w:t>
            </w:r>
          </w:p>
        </w:tc>
        <w:tc>
          <w:tcPr>
            <w:tcW w:w="634" w:type="dxa"/>
            <w:tcBorders>
              <w:top w:val="nil"/>
              <w:left w:val="nil"/>
              <w:bottom w:val="single" w:sz="2" w:space="0" w:color="000000" w:themeColor="text1"/>
              <w:right w:val="nil"/>
            </w:tcBorders>
            <w:shd w:val="clear" w:color="auto" w:fill="FFFFFF" w:themeFill="background1"/>
          </w:tcPr>
          <w:p w14:paraId="0255B29E" w14:textId="6CA6FAF7" w:rsidR="007F1BDE" w:rsidRPr="00BD1BA9" w:rsidRDefault="007F1BDE" w:rsidP="009820A6">
            <w:pPr>
              <w:jc w:val="right"/>
              <w:textAlignment w:val="baseline"/>
              <w:rPr>
                <w:color w:val="000000"/>
                <w:sz w:val="22"/>
                <w:szCs w:val="22"/>
              </w:rPr>
            </w:pPr>
            <w:r w:rsidRPr="00BD1BA9">
              <w:rPr>
                <w:color w:val="000000"/>
                <w:sz w:val="22"/>
                <w:szCs w:val="22"/>
              </w:rPr>
              <w:t>27</w:t>
            </w:r>
          </w:p>
        </w:tc>
        <w:tc>
          <w:tcPr>
            <w:tcW w:w="1350" w:type="dxa"/>
            <w:tcBorders>
              <w:top w:val="nil"/>
              <w:left w:val="nil"/>
              <w:bottom w:val="single" w:sz="2" w:space="0" w:color="000000" w:themeColor="text1"/>
              <w:right w:val="nil"/>
            </w:tcBorders>
            <w:shd w:val="clear" w:color="auto" w:fill="FFFFFF" w:themeFill="background1"/>
          </w:tcPr>
          <w:p w14:paraId="2CB21298" w14:textId="05BDF8F7" w:rsidR="007F1BDE" w:rsidRPr="00BD1BA9" w:rsidRDefault="007F1BDE" w:rsidP="00FC7661">
            <w:pPr>
              <w:jc w:val="right"/>
              <w:textAlignment w:val="baseline"/>
              <w:rPr>
                <w:color w:val="000000"/>
                <w:sz w:val="22"/>
                <w:szCs w:val="22"/>
              </w:rPr>
            </w:pPr>
            <w:r w:rsidRPr="00BD1BA9">
              <w:rPr>
                <w:color w:val="000000"/>
                <w:sz w:val="22"/>
                <w:szCs w:val="22"/>
              </w:rPr>
              <w:t>61.3%</w:t>
            </w:r>
          </w:p>
        </w:tc>
        <w:tc>
          <w:tcPr>
            <w:tcW w:w="630" w:type="dxa"/>
            <w:tcBorders>
              <w:top w:val="nil"/>
              <w:bottom w:val="single" w:sz="4" w:space="0" w:color="auto"/>
              <w:right w:val="nil"/>
            </w:tcBorders>
          </w:tcPr>
          <w:p w14:paraId="18257F29" w14:textId="77777777" w:rsidR="007F1BDE" w:rsidRPr="00BD1BA9" w:rsidRDefault="007F1BDE" w:rsidP="00FC7661">
            <w:pPr>
              <w:jc w:val="right"/>
              <w:textAlignment w:val="baseline"/>
              <w:rPr>
                <w:color w:val="000000"/>
                <w:sz w:val="22"/>
                <w:szCs w:val="22"/>
              </w:rPr>
            </w:pPr>
          </w:p>
        </w:tc>
      </w:tr>
    </w:tbl>
    <w:p w14:paraId="4920D4A3" w14:textId="35950C30" w:rsidR="008018AB" w:rsidRPr="001C7782" w:rsidRDefault="142D2676" w:rsidP="76233CE3">
      <w:pPr>
        <w:spacing w:before="240" w:after="240"/>
        <w:rPr>
          <w:b/>
          <w:bCs/>
          <w:color w:val="000000" w:themeColor="text1"/>
        </w:rPr>
      </w:pPr>
      <w:r w:rsidRPr="001C7782">
        <w:rPr>
          <w:b/>
          <w:bCs/>
        </w:rPr>
        <w:t xml:space="preserve">Objective 2: </w:t>
      </w:r>
      <w:r w:rsidRPr="001C7782">
        <w:rPr>
          <w:b/>
          <w:bCs/>
          <w:color w:val="000000" w:themeColor="text1"/>
        </w:rPr>
        <w:t>Identify the most trusted Georgia elementary agricultural educators that others seek out for information and resources and explaining their centrality in the network.</w:t>
      </w:r>
    </w:p>
    <w:p w14:paraId="0D324168" w14:textId="4D0F49C3" w:rsidR="0091774E" w:rsidRDefault="0091774E" w:rsidP="0091774E">
      <w:pPr>
        <w:spacing w:after="240"/>
        <w:ind w:firstLine="720"/>
        <w:rPr>
          <w:color w:val="000000" w:themeColor="text1"/>
        </w:rPr>
      </w:pPr>
      <w:r>
        <w:t>The second objective of this study was to identify trusted opinion leaders within the Georgia Elementary Agricultural Education professional network and describe their positions using network centrality measures. Social network analysis was conducted using data from 21 educators who identified at least one other Georgia EAE teacher as a trusted source of information and support, generating the directed trust ties used to construct the bounded network. Analysis focused on Freeman’s in-degree and betweenness centrality measures to examine patterns of trust recognition and structural influence, with in-degree representing incoming trust nominations and betweenness indicating potential brokerage roles (Borgatti et al., 2009; Wasserman &amp; Faust, 1994). Network relationships were treated as directed ties and visualized using NetDraw in UCINET, with participant confidentiality maintained through anonymized numerical identifiers throughout analysis and visualization.</w:t>
      </w:r>
    </w:p>
    <w:p w14:paraId="3952AC58" w14:textId="15FC5AC0" w:rsidR="00B67455" w:rsidRPr="00B67455" w:rsidRDefault="00B67455" w:rsidP="00B67455">
      <w:pPr>
        <w:spacing w:after="240"/>
        <w:rPr>
          <w:b/>
          <w:bCs/>
        </w:rPr>
      </w:pPr>
      <w:r w:rsidRPr="00B67455">
        <w:rPr>
          <w:b/>
          <w:bCs/>
        </w:rPr>
        <w:t>In-Degree Centrality (Trust Recognition)</w:t>
      </w:r>
    </w:p>
    <w:p w14:paraId="365B6BB8" w14:textId="0ADCC466" w:rsidR="00B67455" w:rsidRPr="00331C1D" w:rsidRDefault="00B67455" w:rsidP="00331C1D">
      <w:pPr>
        <w:spacing w:after="240"/>
        <w:ind w:firstLine="720"/>
        <w:rPr>
          <w:color w:val="000000" w:themeColor="text1"/>
        </w:rPr>
      </w:pPr>
      <w:r w:rsidRPr="00B67455">
        <w:t xml:space="preserve">In-degree centrality scores varied across the network, indicating differences in the extent to which educators were identified by peers as trusted sources of information. The educators with the highest in-degree centrality scores are presented in Table </w:t>
      </w:r>
      <w:r w:rsidR="0069623C">
        <w:t>3</w:t>
      </w:r>
      <w:r w:rsidRPr="00B67455">
        <w:t xml:space="preserve">. </w:t>
      </w:r>
      <w:r w:rsidR="00247EC2">
        <w:t>E1</w:t>
      </w:r>
      <w:r w:rsidRPr="00B67455">
        <w:t xml:space="preserve"> exhibited the highest in-degree centrality score (18), indicating that she was the most frequently identified trusted educator within the network. </w:t>
      </w:r>
      <w:r w:rsidR="00247EC2">
        <w:t>E43</w:t>
      </w:r>
      <w:r w:rsidRPr="00B67455">
        <w:t xml:space="preserve"> and </w:t>
      </w:r>
      <w:r w:rsidR="00247EC2">
        <w:t>E47</w:t>
      </w:r>
      <w:r w:rsidRPr="00B67455">
        <w:t xml:space="preserve"> also demonstrated high levels of trust recognition, each with in-degree centrality scores of 14. </w:t>
      </w:r>
      <w:r w:rsidR="00247EC2">
        <w:t>E28</w:t>
      </w:r>
      <w:r w:rsidRPr="00B67455">
        <w:t xml:space="preserve"> followed with an in-degree score of 8, while </w:t>
      </w:r>
      <w:r w:rsidR="00541B9A">
        <w:t>E33</w:t>
      </w:r>
      <w:r w:rsidRPr="00B67455">
        <w:t xml:space="preserve"> ranked fifth with an in-degree score of 6.</w:t>
      </w:r>
      <w:r w:rsidR="00331C1D">
        <w:t xml:space="preserve"> </w:t>
      </w:r>
      <w:r w:rsidR="00331C1D" w:rsidRPr="00EC6577">
        <w:rPr>
          <w:color w:val="000000" w:themeColor="text1"/>
        </w:rPr>
        <w:t xml:space="preserve">Beyond the top-ranked educators, several participants received fewer incoming trust nominations, and multiple educators received no incoming </w:t>
      </w:r>
      <w:r w:rsidR="00331C1D" w:rsidRPr="00EC6577">
        <w:rPr>
          <w:color w:val="000000" w:themeColor="text1"/>
        </w:rPr>
        <w:lastRenderedPageBreak/>
        <w:t>nominations. This distribution indicates that trust recognition within the EAE network was concentrated among a limited subset of educators rather than evenly distributed across the teaching population.</w:t>
      </w:r>
    </w:p>
    <w:p w14:paraId="1875C594" w14:textId="5B2549EE" w:rsidR="005F75FF" w:rsidRPr="005F75FF" w:rsidRDefault="04320208" w:rsidP="00AA2F5F">
      <w:pPr>
        <w:spacing w:after="240"/>
        <w:rPr>
          <w:b/>
          <w:bCs/>
        </w:rPr>
      </w:pPr>
      <w:r w:rsidRPr="76233CE3">
        <w:rPr>
          <w:b/>
          <w:bCs/>
        </w:rPr>
        <w:t xml:space="preserve">Table </w:t>
      </w:r>
      <w:r w:rsidR="0069623C">
        <w:rPr>
          <w:b/>
          <w:bCs/>
        </w:rPr>
        <w:t>3</w:t>
      </w:r>
    </w:p>
    <w:p w14:paraId="79296F77" w14:textId="4349EA81" w:rsidR="005F75FF" w:rsidRPr="005F75FF" w:rsidRDefault="006266C1" w:rsidP="76233CE3">
      <w:pPr>
        <w:pStyle w:val="paragraph"/>
        <w:spacing w:before="0" w:beforeAutospacing="0" w:after="0" w:afterAutospacing="0"/>
        <w:textAlignment w:val="baseline"/>
        <w:rPr>
          <w:i/>
          <w:iCs/>
        </w:rPr>
      </w:pPr>
      <w:r>
        <w:rPr>
          <w:rStyle w:val="normaltextrun"/>
          <w:rFonts w:eastAsiaTheme="majorEastAsia"/>
          <w:i/>
          <w:iCs/>
        </w:rPr>
        <w:t>Top 5 Educators by In-Degree Centrality (Trust Recognition)</w:t>
      </w:r>
    </w:p>
    <w:tbl>
      <w:tblPr>
        <w:tblW w:w="945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710"/>
        <w:gridCol w:w="1890"/>
        <w:gridCol w:w="2250"/>
        <w:gridCol w:w="3600"/>
      </w:tblGrid>
      <w:tr w:rsidR="00987BC8" w:rsidRPr="005F75FF" w14:paraId="6948E511" w14:textId="77777777" w:rsidTr="003F4EDF">
        <w:trPr>
          <w:trHeight w:val="165"/>
        </w:trPr>
        <w:tc>
          <w:tcPr>
            <w:tcW w:w="1710" w:type="dxa"/>
            <w:tcBorders>
              <w:top w:val="single" w:sz="4" w:space="0" w:color="auto"/>
              <w:left w:val="nil"/>
              <w:bottom w:val="single" w:sz="2" w:space="0" w:color="000000" w:themeColor="text1"/>
              <w:right w:val="nil"/>
            </w:tcBorders>
            <w:hideMark/>
          </w:tcPr>
          <w:p w14:paraId="45A62AFB" w14:textId="03744407" w:rsidR="00987BC8" w:rsidRPr="00120BD6" w:rsidRDefault="00987BC8" w:rsidP="00120BD6">
            <w:pPr>
              <w:rPr>
                <w:i/>
                <w:iCs/>
              </w:rPr>
            </w:pPr>
            <w:r w:rsidRPr="00120BD6">
              <w:t>Rank</w:t>
            </w:r>
          </w:p>
        </w:tc>
        <w:tc>
          <w:tcPr>
            <w:tcW w:w="4140" w:type="dxa"/>
            <w:gridSpan w:val="2"/>
            <w:tcBorders>
              <w:bottom w:val="single" w:sz="2" w:space="0" w:color="000000" w:themeColor="text1"/>
            </w:tcBorders>
          </w:tcPr>
          <w:p w14:paraId="661764EB" w14:textId="3A97D6F8" w:rsidR="00987BC8" w:rsidRPr="00120BD6" w:rsidRDefault="00987BC8" w:rsidP="00120BD6">
            <w:pPr>
              <w:jc w:val="center"/>
            </w:pPr>
            <w:r w:rsidRPr="00120BD6">
              <w:t>Educator ID</w:t>
            </w:r>
          </w:p>
        </w:tc>
        <w:tc>
          <w:tcPr>
            <w:tcW w:w="3600" w:type="dxa"/>
            <w:tcBorders>
              <w:top w:val="single" w:sz="4" w:space="0" w:color="auto"/>
              <w:left w:val="nil"/>
              <w:bottom w:val="single" w:sz="2" w:space="0" w:color="000000" w:themeColor="text1"/>
              <w:right w:val="nil"/>
            </w:tcBorders>
            <w:hideMark/>
          </w:tcPr>
          <w:p w14:paraId="2C522F2E" w14:textId="2A50820C" w:rsidR="00987BC8" w:rsidRPr="00120BD6" w:rsidRDefault="00987BC8" w:rsidP="00120BD6">
            <w:pPr>
              <w:jc w:val="center"/>
            </w:pPr>
            <w:r w:rsidRPr="00120BD6">
              <w:t>In-Degree C</w:t>
            </w:r>
            <w:r w:rsidR="003F4EDF" w:rsidRPr="00120BD6">
              <w:t>entrality</w:t>
            </w:r>
          </w:p>
        </w:tc>
      </w:tr>
      <w:tr w:rsidR="00987BC8" w:rsidRPr="005F75FF" w14:paraId="22FE5A26" w14:textId="77777777" w:rsidTr="00257D22">
        <w:trPr>
          <w:trHeight w:val="292"/>
        </w:trPr>
        <w:tc>
          <w:tcPr>
            <w:tcW w:w="3600" w:type="dxa"/>
            <w:gridSpan w:val="2"/>
            <w:tcBorders>
              <w:top w:val="single" w:sz="2" w:space="0" w:color="000000" w:themeColor="text1"/>
              <w:left w:val="nil"/>
              <w:bottom w:val="nil"/>
              <w:right w:val="nil"/>
            </w:tcBorders>
            <w:vAlign w:val="bottom"/>
          </w:tcPr>
          <w:p w14:paraId="2B98D58B" w14:textId="3FFA3227" w:rsidR="00987BC8" w:rsidRPr="005F75FF" w:rsidRDefault="003F4EDF" w:rsidP="76233CE3">
            <w:r>
              <w:t>1</w:t>
            </w:r>
          </w:p>
        </w:tc>
        <w:tc>
          <w:tcPr>
            <w:tcW w:w="2250" w:type="dxa"/>
            <w:tcBorders>
              <w:top w:val="single" w:sz="2" w:space="0" w:color="000000" w:themeColor="text1"/>
            </w:tcBorders>
          </w:tcPr>
          <w:p w14:paraId="4B4DAA9D" w14:textId="4EC7C68C" w:rsidR="00987BC8" w:rsidRDefault="00247EC2" w:rsidP="00257D22">
            <w:r>
              <w:t>E1</w:t>
            </w:r>
          </w:p>
        </w:tc>
        <w:tc>
          <w:tcPr>
            <w:tcW w:w="3600" w:type="dxa"/>
            <w:tcBorders>
              <w:top w:val="single" w:sz="2" w:space="0" w:color="000000" w:themeColor="text1"/>
              <w:left w:val="nil"/>
              <w:bottom w:val="nil"/>
              <w:right w:val="nil"/>
            </w:tcBorders>
            <w:vAlign w:val="bottom"/>
          </w:tcPr>
          <w:p w14:paraId="2144F20A" w14:textId="1F220C65" w:rsidR="00987BC8" w:rsidRPr="005F75FF" w:rsidRDefault="003F4EDF" w:rsidP="00AF4F64">
            <w:pPr>
              <w:jc w:val="center"/>
            </w:pPr>
            <w:r>
              <w:t>18</w:t>
            </w:r>
            <w:r w:rsidR="00987BC8">
              <w:t>.00</w:t>
            </w:r>
          </w:p>
        </w:tc>
      </w:tr>
      <w:tr w:rsidR="00987BC8" w:rsidRPr="005F75FF" w14:paraId="7AD508D5" w14:textId="77777777" w:rsidTr="00257D22">
        <w:trPr>
          <w:trHeight w:val="292"/>
        </w:trPr>
        <w:tc>
          <w:tcPr>
            <w:tcW w:w="3600" w:type="dxa"/>
            <w:gridSpan w:val="2"/>
            <w:tcBorders>
              <w:top w:val="nil"/>
              <w:left w:val="nil"/>
              <w:bottom w:val="nil"/>
              <w:right w:val="nil"/>
            </w:tcBorders>
            <w:vAlign w:val="bottom"/>
          </w:tcPr>
          <w:p w14:paraId="2C88A1F5" w14:textId="7699762A" w:rsidR="00987BC8" w:rsidRPr="005F75FF" w:rsidRDefault="003F4EDF" w:rsidP="76233CE3">
            <w:r>
              <w:t>2</w:t>
            </w:r>
            <w:r w:rsidR="00987BC8">
              <w:t xml:space="preserve"> </w:t>
            </w:r>
          </w:p>
        </w:tc>
        <w:tc>
          <w:tcPr>
            <w:tcW w:w="2250" w:type="dxa"/>
          </w:tcPr>
          <w:p w14:paraId="3AF20B7D" w14:textId="11A8CB38" w:rsidR="00987BC8" w:rsidRDefault="00247EC2" w:rsidP="00257D22">
            <w:r>
              <w:t>E43</w:t>
            </w:r>
          </w:p>
        </w:tc>
        <w:tc>
          <w:tcPr>
            <w:tcW w:w="3600" w:type="dxa"/>
            <w:tcBorders>
              <w:top w:val="nil"/>
              <w:left w:val="nil"/>
              <w:bottom w:val="nil"/>
              <w:right w:val="nil"/>
            </w:tcBorders>
            <w:vAlign w:val="bottom"/>
          </w:tcPr>
          <w:p w14:paraId="48B5770D" w14:textId="2E7BB1ED" w:rsidR="00987BC8" w:rsidRPr="005F75FF" w:rsidRDefault="003F4EDF" w:rsidP="00AF4F64">
            <w:pPr>
              <w:jc w:val="center"/>
            </w:pPr>
            <w:r>
              <w:t>14</w:t>
            </w:r>
            <w:r w:rsidR="00987BC8">
              <w:t>.00</w:t>
            </w:r>
          </w:p>
        </w:tc>
      </w:tr>
      <w:tr w:rsidR="00987BC8" w:rsidRPr="005F75FF" w14:paraId="4E14A591" w14:textId="77777777" w:rsidTr="00257D22">
        <w:trPr>
          <w:trHeight w:val="292"/>
        </w:trPr>
        <w:tc>
          <w:tcPr>
            <w:tcW w:w="3600" w:type="dxa"/>
            <w:gridSpan w:val="2"/>
            <w:tcBorders>
              <w:top w:val="nil"/>
              <w:left w:val="nil"/>
              <w:bottom w:val="nil"/>
              <w:right w:val="nil"/>
            </w:tcBorders>
            <w:vAlign w:val="bottom"/>
          </w:tcPr>
          <w:p w14:paraId="61655D20" w14:textId="78572077" w:rsidR="00987BC8" w:rsidRPr="005F75FF" w:rsidRDefault="00987BC8" w:rsidP="76233CE3">
            <w:r>
              <w:t>3</w:t>
            </w:r>
          </w:p>
        </w:tc>
        <w:tc>
          <w:tcPr>
            <w:tcW w:w="2250" w:type="dxa"/>
          </w:tcPr>
          <w:p w14:paraId="65D330FF" w14:textId="79DA844A" w:rsidR="00987BC8" w:rsidRDefault="00247EC2" w:rsidP="00257D22">
            <w:r>
              <w:t>E47</w:t>
            </w:r>
          </w:p>
        </w:tc>
        <w:tc>
          <w:tcPr>
            <w:tcW w:w="3600" w:type="dxa"/>
            <w:tcBorders>
              <w:top w:val="nil"/>
              <w:left w:val="nil"/>
              <w:bottom w:val="nil"/>
              <w:right w:val="nil"/>
            </w:tcBorders>
            <w:vAlign w:val="bottom"/>
          </w:tcPr>
          <w:p w14:paraId="08B282D9" w14:textId="246C51A9" w:rsidR="00987BC8" w:rsidRPr="005F75FF" w:rsidRDefault="003F4EDF" w:rsidP="00AF4F64">
            <w:pPr>
              <w:jc w:val="center"/>
            </w:pPr>
            <w:r>
              <w:t>14</w:t>
            </w:r>
            <w:r w:rsidR="00987BC8">
              <w:t>.00</w:t>
            </w:r>
          </w:p>
        </w:tc>
      </w:tr>
      <w:tr w:rsidR="00987BC8" w:rsidRPr="005F75FF" w14:paraId="27EE369D" w14:textId="77777777" w:rsidTr="00257D22">
        <w:trPr>
          <w:trHeight w:val="292"/>
        </w:trPr>
        <w:tc>
          <w:tcPr>
            <w:tcW w:w="3600" w:type="dxa"/>
            <w:gridSpan w:val="2"/>
            <w:tcBorders>
              <w:top w:val="nil"/>
              <w:left w:val="nil"/>
              <w:bottom w:val="nil"/>
              <w:right w:val="nil"/>
            </w:tcBorders>
            <w:vAlign w:val="bottom"/>
          </w:tcPr>
          <w:p w14:paraId="59C0DC1F" w14:textId="5F0AEC55" w:rsidR="00987BC8" w:rsidRPr="005F75FF" w:rsidRDefault="003F4EDF" w:rsidP="76233CE3">
            <w:r>
              <w:t>4</w:t>
            </w:r>
          </w:p>
        </w:tc>
        <w:tc>
          <w:tcPr>
            <w:tcW w:w="2250" w:type="dxa"/>
            <w:tcBorders>
              <w:bottom w:val="nil"/>
            </w:tcBorders>
          </w:tcPr>
          <w:p w14:paraId="1EA3ACCE" w14:textId="20E4B668" w:rsidR="00987BC8" w:rsidRDefault="00247EC2" w:rsidP="00257D22">
            <w:r>
              <w:t>E28</w:t>
            </w:r>
          </w:p>
        </w:tc>
        <w:tc>
          <w:tcPr>
            <w:tcW w:w="3600" w:type="dxa"/>
            <w:tcBorders>
              <w:top w:val="nil"/>
              <w:left w:val="nil"/>
              <w:bottom w:val="nil"/>
              <w:right w:val="nil"/>
            </w:tcBorders>
            <w:vAlign w:val="bottom"/>
          </w:tcPr>
          <w:p w14:paraId="0AF8B546" w14:textId="26250FC7" w:rsidR="00987BC8" w:rsidRPr="005F75FF" w:rsidRDefault="00AF4F64" w:rsidP="00AF4F64">
            <w:pPr>
              <w:jc w:val="center"/>
            </w:pPr>
            <w:r>
              <w:t xml:space="preserve">  </w:t>
            </w:r>
            <w:r w:rsidR="003F4EDF">
              <w:t>8</w:t>
            </w:r>
            <w:r w:rsidR="00987BC8">
              <w:t>.00</w:t>
            </w:r>
          </w:p>
        </w:tc>
      </w:tr>
      <w:tr w:rsidR="00987BC8" w:rsidRPr="005F75FF" w14:paraId="6615A890" w14:textId="77777777" w:rsidTr="00257D22">
        <w:trPr>
          <w:trHeight w:val="292"/>
        </w:trPr>
        <w:tc>
          <w:tcPr>
            <w:tcW w:w="3600" w:type="dxa"/>
            <w:gridSpan w:val="2"/>
            <w:tcBorders>
              <w:top w:val="nil"/>
              <w:left w:val="nil"/>
              <w:bottom w:val="single" w:sz="2" w:space="0" w:color="000000" w:themeColor="text1"/>
              <w:right w:val="nil"/>
            </w:tcBorders>
            <w:vAlign w:val="bottom"/>
          </w:tcPr>
          <w:p w14:paraId="78B1E4A6" w14:textId="36761CF9" w:rsidR="00987BC8" w:rsidRPr="005F75FF" w:rsidRDefault="003F4EDF" w:rsidP="76233CE3">
            <w:r>
              <w:t>5</w:t>
            </w:r>
          </w:p>
        </w:tc>
        <w:tc>
          <w:tcPr>
            <w:tcW w:w="2250" w:type="dxa"/>
            <w:tcBorders>
              <w:top w:val="nil"/>
              <w:bottom w:val="single" w:sz="2" w:space="0" w:color="000000" w:themeColor="text1"/>
            </w:tcBorders>
          </w:tcPr>
          <w:p w14:paraId="19D609BA" w14:textId="4C8F2856" w:rsidR="00987BC8" w:rsidRDefault="00541B9A" w:rsidP="00257D22">
            <w:r>
              <w:t>E33</w:t>
            </w:r>
          </w:p>
        </w:tc>
        <w:tc>
          <w:tcPr>
            <w:tcW w:w="3600" w:type="dxa"/>
            <w:tcBorders>
              <w:top w:val="nil"/>
              <w:left w:val="nil"/>
              <w:bottom w:val="single" w:sz="2" w:space="0" w:color="000000" w:themeColor="text1"/>
              <w:right w:val="nil"/>
            </w:tcBorders>
            <w:vAlign w:val="bottom"/>
          </w:tcPr>
          <w:p w14:paraId="4B0EBD63" w14:textId="4F2F2E0F" w:rsidR="00987BC8" w:rsidRPr="005F75FF" w:rsidRDefault="00AF4F64" w:rsidP="00AF4F64">
            <w:pPr>
              <w:jc w:val="center"/>
            </w:pPr>
            <w:r>
              <w:t xml:space="preserve">  </w:t>
            </w:r>
            <w:r w:rsidR="00987BC8">
              <w:t>6.00</w:t>
            </w:r>
          </w:p>
        </w:tc>
      </w:tr>
    </w:tbl>
    <w:p w14:paraId="12086CAF" w14:textId="4E1EC3D4" w:rsidR="005F75FF" w:rsidRDefault="0088297D" w:rsidP="76233CE3">
      <w:pPr>
        <w:rPr>
          <w:color w:val="000000" w:themeColor="text1"/>
        </w:rPr>
      </w:pPr>
      <w:r w:rsidRPr="003F4EDF">
        <w:rPr>
          <w:i/>
          <w:iCs/>
          <w:color w:val="000000" w:themeColor="text1"/>
        </w:rPr>
        <w:t>Note.</w:t>
      </w:r>
      <w:r>
        <w:rPr>
          <w:color w:val="000000" w:themeColor="text1"/>
        </w:rPr>
        <w:t xml:space="preserve"> In-degree centrality reflects the number of incoming trust nominations received by each educato</w:t>
      </w:r>
      <w:r w:rsidR="006C6552">
        <w:rPr>
          <w:color w:val="000000" w:themeColor="text1"/>
        </w:rPr>
        <w:t xml:space="preserve">r </w:t>
      </w:r>
    </w:p>
    <w:p w14:paraId="4B58AF17" w14:textId="77777777" w:rsidR="00EC6577" w:rsidRDefault="00EC6577" w:rsidP="76233CE3">
      <w:pPr>
        <w:rPr>
          <w:color w:val="000000" w:themeColor="text1"/>
        </w:rPr>
      </w:pPr>
    </w:p>
    <w:p w14:paraId="35664E13" w14:textId="77777777" w:rsidR="00F71538" w:rsidRPr="00F71538" w:rsidRDefault="00F71538" w:rsidP="00F71538">
      <w:pPr>
        <w:rPr>
          <w:b/>
          <w:bCs/>
          <w:color w:val="000000" w:themeColor="text1"/>
        </w:rPr>
      </w:pPr>
      <w:r w:rsidRPr="00F71538">
        <w:rPr>
          <w:b/>
          <w:bCs/>
          <w:color w:val="000000" w:themeColor="text1"/>
        </w:rPr>
        <w:t>Betweenness Centrality (Brokerage Roles)</w:t>
      </w:r>
    </w:p>
    <w:p w14:paraId="30CDEC92" w14:textId="77777777" w:rsidR="00F71538" w:rsidRPr="00F71538" w:rsidRDefault="00F71538" w:rsidP="00F71538">
      <w:pPr>
        <w:rPr>
          <w:color w:val="000000" w:themeColor="text1"/>
        </w:rPr>
      </w:pPr>
    </w:p>
    <w:p w14:paraId="647BA44E" w14:textId="4166D383" w:rsidR="00BC2134" w:rsidRDefault="00BC2134" w:rsidP="00BC2134">
      <w:pPr>
        <w:ind w:firstLine="720"/>
        <w:rPr>
          <w:color w:val="000000" w:themeColor="text1"/>
        </w:rPr>
      </w:pPr>
      <w:r w:rsidRPr="00F71538">
        <w:rPr>
          <w:color w:val="000000" w:themeColor="text1"/>
        </w:rPr>
        <w:t xml:space="preserve">Betweenness centrality scores were used to identify educators occupying brokerage positions within the trust network. These positions reflect the extent to which an educator connects otherwise weakly linked or disconnected educators. The top five educators by betweenness centrality are presented in Table </w:t>
      </w:r>
      <w:r w:rsidR="0069623C">
        <w:rPr>
          <w:color w:val="000000" w:themeColor="text1"/>
        </w:rPr>
        <w:t>4</w:t>
      </w:r>
      <w:r w:rsidRPr="00F71538">
        <w:rPr>
          <w:color w:val="000000" w:themeColor="text1"/>
        </w:rPr>
        <w:t xml:space="preserve">. </w:t>
      </w:r>
      <w:r>
        <w:rPr>
          <w:color w:val="000000" w:themeColor="text1"/>
        </w:rPr>
        <w:t>E1</w:t>
      </w:r>
      <w:r w:rsidRPr="00F71538">
        <w:rPr>
          <w:color w:val="000000" w:themeColor="text1"/>
        </w:rPr>
        <w:t xml:space="preserve"> demonstrated the highest betweenness centrality score (89.75), indicating a prominent brokerage role within the network. Several educators exhibited low or zero betweenness centrality, suggesting limited involvement in connecting other educators across the network. Overall, brokerage roles were concentrated among a small number of educators rather than broadly distributed.</w:t>
      </w:r>
    </w:p>
    <w:p w14:paraId="0AA17E2F" w14:textId="75CBE8DE" w:rsidR="005F75FF" w:rsidRPr="00120BD6" w:rsidRDefault="04320208" w:rsidP="00120BD6">
      <w:pPr>
        <w:spacing w:before="240" w:after="240"/>
        <w:rPr>
          <w:color w:val="000000" w:themeColor="text1"/>
        </w:rPr>
      </w:pPr>
      <w:r w:rsidRPr="76233CE3">
        <w:rPr>
          <w:b/>
          <w:bCs/>
        </w:rPr>
        <w:t xml:space="preserve">Table </w:t>
      </w:r>
      <w:r w:rsidR="0069623C">
        <w:rPr>
          <w:b/>
          <w:bCs/>
        </w:rPr>
        <w:t>4</w:t>
      </w:r>
    </w:p>
    <w:p w14:paraId="5BF14536" w14:textId="77777777" w:rsidR="00120BD6" w:rsidRPr="00815732" w:rsidRDefault="00120BD6" w:rsidP="00120BD6">
      <w:pPr>
        <w:pStyle w:val="NormalWeb"/>
        <w:spacing w:after="0" w:afterAutospacing="0"/>
        <w:rPr>
          <w:b/>
          <w:bCs/>
          <w:i/>
          <w:iCs/>
        </w:rPr>
      </w:pPr>
      <w:r w:rsidRPr="00815732">
        <w:rPr>
          <w:rStyle w:val="Strong"/>
          <w:rFonts w:eastAsiaTheme="majorEastAsia"/>
          <w:b w:val="0"/>
          <w:bCs w:val="0"/>
          <w:i/>
          <w:iCs/>
        </w:rPr>
        <w:t>Top Five Educators by Betweenness Centrality (Brokerage Roles)</w:t>
      </w:r>
    </w:p>
    <w:tbl>
      <w:tblPr>
        <w:tblW w:w="945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710"/>
        <w:gridCol w:w="1800"/>
        <w:gridCol w:w="2340"/>
        <w:gridCol w:w="3600"/>
      </w:tblGrid>
      <w:tr w:rsidR="00120BD6" w:rsidRPr="005F75FF" w14:paraId="7BC49A5E" w14:textId="77777777" w:rsidTr="1404152A">
        <w:trPr>
          <w:trHeight w:val="165"/>
        </w:trPr>
        <w:tc>
          <w:tcPr>
            <w:tcW w:w="1710" w:type="dxa"/>
            <w:tcBorders>
              <w:top w:val="single" w:sz="4" w:space="0" w:color="auto"/>
              <w:left w:val="nil"/>
              <w:bottom w:val="single" w:sz="2" w:space="0" w:color="000000" w:themeColor="text1"/>
              <w:right w:val="nil"/>
            </w:tcBorders>
            <w:hideMark/>
          </w:tcPr>
          <w:p w14:paraId="275FF708" w14:textId="77777777" w:rsidR="00120BD6" w:rsidRPr="00120BD6" w:rsidRDefault="00120BD6" w:rsidP="00274761">
            <w:pPr>
              <w:rPr>
                <w:i/>
                <w:iCs/>
              </w:rPr>
            </w:pPr>
            <w:r w:rsidRPr="00120BD6">
              <w:t>Rank</w:t>
            </w:r>
          </w:p>
        </w:tc>
        <w:tc>
          <w:tcPr>
            <w:tcW w:w="4140" w:type="dxa"/>
            <w:gridSpan w:val="2"/>
            <w:tcBorders>
              <w:bottom w:val="single" w:sz="2" w:space="0" w:color="000000" w:themeColor="text1"/>
            </w:tcBorders>
          </w:tcPr>
          <w:p w14:paraId="2794C6B3" w14:textId="77777777" w:rsidR="00120BD6" w:rsidRPr="00120BD6" w:rsidRDefault="00120BD6" w:rsidP="00274761">
            <w:pPr>
              <w:jc w:val="center"/>
            </w:pPr>
            <w:r>
              <w:t>Educator ID</w:t>
            </w:r>
          </w:p>
        </w:tc>
        <w:tc>
          <w:tcPr>
            <w:tcW w:w="3600" w:type="dxa"/>
            <w:tcBorders>
              <w:top w:val="single" w:sz="4" w:space="0" w:color="auto"/>
              <w:left w:val="nil"/>
              <w:bottom w:val="single" w:sz="2" w:space="0" w:color="000000" w:themeColor="text1"/>
              <w:right w:val="nil"/>
            </w:tcBorders>
            <w:hideMark/>
          </w:tcPr>
          <w:p w14:paraId="11977DDF" w14:textId="569941D2" w:rsidR="00120BD6" w:rsidRPr="00120BD6" w:rsidRDefault="00B21D61" w:rsidP="00274761">
            <w:pPr>
              <w:jc w:val="center"/>
            </w:pPr>
            <w:r>
              <w:t>Betweenness</w:t>
            </w:r>
            <w:r w:rsidR="00120BD6" w:rsidRPr="00120BD6">
              <w:t xml:space="preserve"> Centrality</w:t>
            </w:r>
          </w:p>
        </w:tc>
      </w:tr>
      <w:tr w:rsidR="00120BD6" w:rsidRPr="005F75FF" w14:paraId="2ABE37BD" w14:textId="77777777" w:rsidTr="004E6CC7">
        <w:trPr>
          <w:trHeight w:val="292"/>
        </w:trPr>
        <w:tc>
          <w:tcPr>
            <w:tcW w:w="3510" w:type="dxa"/>
            <w:gridSpan w:val="2"/>
            <w:tcBorders>
              <w:top w:val="single" w:sz="2" w:space="0" w:color="000000" w:themeColor="text1"/>
              <w:left w:val="nil"/>
              <w:bottom w:val="nil"/>
              <w:right w:val="nil"/>
            </w:tcBorders>
            <w:vAlign w:val="bottom"/>
          </w:tcPr>
          <w:p w14:paraId="4062F77E" w14:textId="77777777" w:rsidR="00120BD6" w:rsidRPr="005F75FF" w:rsidRDefault="00120BD6" w:rsidP="00274761">
            <w:r>
              <w:t>1</w:t>
            </w:r>
          </w:p>
        </w:tc>
        <w:tc>
          <w:tcPr>
            <w:tcW w:w="2340" w:type="dxa"/>
            <w:tcBorders>
              <w:top w:val="single" w:sz="2" w:space="0" w:color="000000" w:themeColor="text1"/>
            </w:tcBorders>
          </w:tcPr>
          <w:p w14:paraId="2FBD7377" w14:textId="76EEDBFB" w:rsidR="00120BD6" w:rsidRDefault="002C59AB" w:rsidP="004E6CC7">
            <w:pPr>
              <w:jc w:val="both"/>
            </w:pPr>
            <w:r>
              <w:t>E1</w:t>
            </w:r>
          </w:p>
        </w:tc>
        <w:tc>
          <w:tcPr>
            <w:tcW w:w="3600" w:type="dxa"/>
            <w:tcBorders>
              <w:top w:val="single" w:sz="2" w:space="0" w:color="000000" w:themeColor="text1"/>
              <w:left w:val="nil"/>
              <w:bottom w:val="nil"/>
              <w:right w:val="nil"/>
            </w:tcBorders>
            <w:vAlign w:val="bottom"/>
          </w:tcPr>
          <w:p w14:paraId="12037C24" w14:textId="39615A92" w:rsidR="00120BD6" w:rsidRPr="005F75FF" w:rsidRDefault="005C4557" w:rsidP="00274761">
            <w:pPr>
              <w:jc w:val="center"/>
            </w:pPr>
            <w:r>
              <w:t>89.75</w:t>
            </w:r>
          </w:p>
        </w:tc>
      </w:tr>
      <w:tr w:rsidR="00120BD6" w:rsidRPr="005F75FF" w14:paraId="4FDCA717" w14:textId="77777777" w:rsidTr="004E6CC7">
        <w:trPr>
          <w:trHeight w:val="292"/>
        </w:trPr>
        <w:tc>
          <w:tcPr>
            <w:tcW w:w="3510" w:type="dxa"/>
            <w:gridSpan w:val="2"/>
            <w:tcBorders>
              <w:top w:val="nil"/>
              <w:left w:val="nil"/>
              <w:bottom w:val="nil"/>
              <w:right w:val="nil"/>
            </w:tcBorders>
            <w:vAlign w:val="bottom"/>
          </w:tcPr>
          <w:p w14:paraId="5E6D0C26" w14:textId="77777777" w:rsidR="00120BD6" w:rsidRPr="005F75FF" w:rsidRDefault="00120BD6" w:rsidP="00274761">
            <w:r>
              <w:t xml:space="preserve">2 </w:t>
            </w:r>
          </w:p>
        </w:tc>
        <w:tc>
          <w:tcPr>
            <w:tcW w:w="2340" w:type="dxa"/>
          </w:tcPr>
          <w:p w14:paraId="1877FA61" w14:textId="790E6050" w:rsidR="00120BD6" w:rsidRDefault="002C59AB" w:rsidP="004E6CC7">
            <w:pPr>
              <w:jc w:val="both"/>
            </w:pPr>
            <w:r>
              <w:t>E43</w:t>
            </w:r>
          </w:p>
        </w:tc>
        <w:tc>
          <w:tcPr>
            <w:tcW w:w="3600" w:type="dxa"/>
            <w:tcBorders>
              <w:top w:val="nil"/>
              <w:left w:val="nil"/>
              <w:bottom w:val="nil"/>
              <w:right w:val="nil"/>
            </w:tcBorders>
            <w:vAlign w:val="bottom"/>
          </w:tcPr>
          <w:p w14:paraId="4DCD1648" w14:textId="2509CA89" w:rsidR="00120BD6" w:rsidRPr="005F75FF" w:rsidRDefault="005C4557" w:rsidP="00274761">
            <w:pPr>
              <w:jc w:val="center"/>
            </w:pPr>
            <w:r>
              <w:t>60.75</w:t>
            </w:r>
          </w:p>
        </w:tc>
      </w:tr>
      <w:tr w:rsidR="00120BD6" w:rsidRPr="005F75FF" w14:paraId="02BB5DFA" w14:textId="77777777" w:rsidTr="004E6CC7">
        <w:trPr>
          <w:trHeight w:val="292"/>
        </w:trPr>
        <w:tc>
          <w:tcPr>
            <w:tcW w:w="3510" w:type="dxa"/>
            <w:gridSpan w:val="2"/>
            <w:tcBorders>
              <w:top w:val="nil"/>
              <w:left w:val="nil"/>
              <w:bottom w:val="nil"/>
              <w:right w:val="nil"/>
            </w:tcBorders>
            <w:vAlign w:val="bottom"/>
          </w:tcPr>
          <w:p w14:paraId="5F02FC83" w14:textId="77777777" w:rsidR="00120BD6" w:rsidRPr="005F75FF" w:rsidRDefault="00120BD6" w:rsidP="00274761">
            <w:r>
              <w:t>3</w:t>
            </w:r>
          </w:p>
        </w:tc>
        <w:tc>
          <w:tcPr>
            <w:tcW w:w="2340" w:type="dxa"/>
          </w:tcPr>
          <w:p w14:paraId="109E21A8" w14:textId="02B52729" w:rsidR="00120BD6" w:rsidRDefault="002C59AB" w:rsidP="004E6CC7">
            <w:pPr>
              <w:jc w:val="both"/>
            </w:pPr>
            <w:r>
              <w:t>E51</w:t>
            </w:r>
          </w:p>
        </w:tc>
        <w:tc>
          <w:tcPr>
            <w:tcW w:w="3600" w:type="dxa"/>
            <w:tcBorders>
              <w:top w:val="nil"/>
              <w:left w:val="nil"/>
              <w:bottom w:val="nil"/>
              <w:right w:val="nil"/>
            </w:tcBorders>
            <w:vAlign w:val="bottom"/>
          </w:tcPr>
          <w:p w14:paraId="1D7DEB5F" w14:textId="324BAD3A" w:rsidR="00120BD6" w:rsidRPr="005F75FF" w:rsidRDefault="005C4557" w:rsidP="00274761">
            <w:pPr>
              <w:jc w:val="center"/>
            </w:pPr>
            <w:r>
              <w:t>41.00</w:t>
            </w:r>
          </w:p>
        </w:tc>
      </w:tr>
      <w:tr w:rsidR="00120BD6" w:rsidRPr="005F75FF" w14:paraId="7F425057" w14:textId="77777777" w:rsidTr="004E6CC7">
        <w:trPr>
          <w:trHeight w:val="292"/>
        </w:trPr>
        <w:tc>
          <w:tcPr>
            <w:tcW w:w="3510" w:type="dxa"/>
            <w:gridSpan w:val="2"/>
            <w:tcBorders>
              <w:top w:val="nil"/>
              <w:left w:val="nil"/>
              <w:bottom w:val="nil"/>
              <w:right w:val="nil"/>
            </w:tcBorders>
            <w:vAlign w:val="bottom"/>
          </w:tcPr>
          <w:p w14:paraId="6910F7B7" w14:textId="77777777" w:rsidR="00120BD6" w:rsidRPr="005F75FF" w:rsidRDefault="00120BD6" w:rsidP="00274761">
            <w:r>
              <w:t>4</w:t>
            </w:r>
          </w:p>
        </w:tc>
        <w:tc>
          <w:tcPr>
            <w:tcW w:w="2340" w:type="dxa"/>
            <w:tcBorders>
              <w:bottom w:val="nil"/>
            </w:tcBorders>
          </w:tcPr>
          <w:p w14:paraId="4AFC14A7" w14:textId="323622C8" w:rsidR="00120BD6" w:rsidRDefault="002C59AB" w:rsidP="004E6CC7">
            <w:pPr>
              <w:jc w:val="both"/>
            </w:pPr>
            <w:r>
              <w:t>E28</w:t>
            </w:r>
          </w:p>
        </w:tc>
        <w:tc>
          <w:tcPr>
            <w:tcW w:w="3600" w:type="dxa"/>
            <w:tcBorders>
              <w:top w:val="nil"/>
              <w:left w:val="nil"/>
              <w:bottom w:val="nil"/>
              <w:right w:val="nil"/>
            </w:tcBorders>
            <w:vAlign w:val="bottom"/>
          </w:tcPr>
          <w:p w14:paraId="43B12E19" w14:textId="3D247E20" w:rsidR="00120BD6" w:rsidRPr="005F75FF" w:rsidRDefault="005C4557" w:rsidP="00274761">
            <w:pPr>
              <w:jc w:val="center"/>
            </w:pPr>
            <w:r>
              <w:t>25.00</w:t>
            </w:r>
          </w:p>
        </w:tc>
      </w:tr>
      <w:tr w:rsidR="00120BD6" w:rsidRPr="005F75FF" w14:paraId="12EE1746" w14:textId="77777777" w:rsidTr="004E6CC7">
        <w:trPr>
          <w:trHeight w:val="292"/>
        </w:trPr>
        <w:tc>
          <w:tcPr>
            <w:tcW w:w="3510" w:type="dxa"/>
            <w:gridSpan w:val="2"/>
            <w:tcBorders>
              <w:top w:val="nil"/>
              <w:left w:val="nil"/>
              <w:bottom w:val="single" w:sz="2" w:space="0" w:color="000000" w:themeColor="text1"/>
              <w:right w:val="nil"/>
            </w:tcBorders>
            <w:vAlign w:val="bottom"/>
          </w:tcPr>
          <w:p w14:paraId="2E1122F3" w14:textId="77777777" w:rsidR="00120BD6" w:rsidRPr="005F75FF" w:rsidRDefault="00120BD6" w:rsidP="00274761">
            <w:r>
              <w:t>5</w:t>
            </w:r>
          </w:p>
        </w:tc>
        <w:tc>
          <w:tcPr>
            <w:tcW w:w="2340" w:type="dxa"/>
            <w:tcBorders>
              <w:top w:val="nil"/>
              <w:bottom w:val="single" w:sz="2" w:space="0" w:color="000000" w:themeColor="text1"/>
            </w:tcBorders>
          </w:tcPr>
          <w:p w14:paraId="62769C2B" w14:textId="67269971" w:rsidR="00120BD6" w:rsidRDefault="00381D40" w:rsidP="004E6CC7">
            <w:pPr>
              <w:jc w:val="both"/>
            </w:pPr>
            <w:r>
              <w:t>E3</w:t>
            </w:r>
          </w:p>
        </w:tc>
        <w:tc>
          <w:tcPr>
            <w:tcW w:w="3600" w:type="dxa"/>
            <w:tcBorders>
              <w:top w:val="nil"/>
              <w:left w:val="nil"/>
              <w:bottom w:val="single" w:sz="2" w:space="0" w:color="000000" w:themeColor="text1"/>
              <w:right w:val="nil"/>
            </w:tcBorders>
            <w:vAlign w:val="bottom"/>
          </w:tcPr>
          <w:p w14:paraId="7B51F9EE" w14:textId="08CC2179" w:rsidR="00120BD6" w:rsidRPr="005F75FF" w:rsidRDefault="005C4557" w:rsidP="00274761">
            <w:pPr>
              <w:jc w:val="center"/>
            </w:pPr>
            <w:r>
              <w:t>11.00</w:t>
            </w:r>
          </w:p>
        </w:tc>
      </w:tr>
    </w:tbl>
    <w:p w14:paraId="1350847F" w14:textId="77777777" w:rsidR="00907230" w:rsidRPr="00907230" w:rsidRDefault="00907230" w:rsidP="00907230">
      <w:pPr>
        <w:spacing w:before="240" w:after="240"/>
        <w:rPr>
          <w:b/>
          <w:bCs/>
          <w:color w:val="000000" w:themeColor="text1"/>
        </w:rPr>
      </w:pPr>
      <w:r w:rsidRPr="00907230">
        <w:rPr>
          <w:b/>
          <w:bCs/>
          <w:color w:val="000000" w:themeColor="text1"/>
        </w:rPr>
        <w:t>Network Visualization</w:t>
      </w:r>
    </w:p>
    <w:p w14:paraId="4AA80C19" w14:textId="21407CFB" w:rsidR="00F10DE3" w:rsidRDefault="00F10DE3" w:rsidP="00F10DE3">
      <w:pPr>
        <w:spacing w:before="240" w:after="240"/>
        <w:ind w:firstLine="720"/>
        <w:rPr>
          <w:color w:val="000000" w:themeColor="text1"/>
        </w:rPr>
      </w:pPr>
      <w:r>
        <w:t xml:space="preserve">A visual representation of the directed trust network is presented in Figure 1. Nodes represent individual elementary agricultural educators, and arrows indicate the direction of trust relationships. Node size corresponds to betweenness centrality, with larger nodes representing educators occupying more prominent brokerage positions within the network. The network was visualized using NetDraw, with rectangular nodes representing educators and arrow thickness indicating the reported strength of trust relationships, such that thicker arrows reflect stronger trust ties. Educators positioned on the left side of the sociogram are </w:t>
      </w:r>
      <w:proofErr w:type="gramStart"/>
      <w:r>
        <w:t>isolates</w:t>
      </w:r>
      <w:proofErr w:type="gramEnd"/>
      <w:r>
        <w:t xml:space="preserve">, indicating </w:t>
      </w:r>
      <w:r>
        <w:lastRenderedPageBreak/>
        <w:t>participants who neither nominated nor were nominated by other educators. Because not all respondents generated network ties, the visualization reflects a bounded network rather than a complete census of Georgia EAE educators.</w:t>
      </w:r>
    </w:p>
    <w:p w14:paraId="02B2E80F" w14:textId="6E8A4C8F" w:rsidR="00D11B2A" w:rsidRPr="005F75FF" w:rsidRDefault="676E3E2C" w:rsidP="76233CE3">
      <w:pPr>
        <w:spacing w:before="240" w:after="240"/>
        <w:rPr>
          <w:b/>
          <w:bCs/>
          <w:color w:val="000000" w:themeColor="text1"/>
        </w:rPr>
      </w:pPr>
      <w:r w:rsidRPr="76233CE3">
        <w:rPr>
          <w:b/>
          <w:bCs/>
          <w:color w:val="000000" w:themeColor="text1"/>
        </w:rPr>
        <w:t xml:space="preserve">Figure </w:t>
      </w:r>
      <w:r w:rsidR="582B95CD" w:rsidRPr="76233CE3">
        <w:rPr>
          <w:b/>
          <w:bCs/>
          <w:color w:val="000000" w:themeColor="text1"/>
        </w:rPr>
        <w:t>1</w:t>
      </w:r>
    </w:p>
    <w:p w14:paraId="30228B70" w14:textId="26D39BE7" w:rsidR="00D0355D" w:rsidRDefault="35B686AC" w:rsidP="76233CE3">
      <w:pPr>
        <w:spacing w:before="240" w:after="240"/>
        <w:rPr>
          <w:i/>
          <w:iCs/>
          <w:color w:val="000000" w:themeColor="text1"/>
        </w:rPr>
      </w:pPr>
      <w:r w:rsidRPr="76233CE3">
        <w:rPr>
          <w:i/>
          <w:iCs/>
          <w:color w:val="000000" w:themeColor="text1"/>
        </w:rPr>
        <w:t>Net</w:t>
      </w:r>
      <w:r w:rsidR="2593110C" w:rsidRPr="76233CE3">
        <w:rPr>
          <w:i/>
          <w:iCs/>
          <w:color w:val="000000" w:themeColor="text1"/>
        </w:rPr>
        <w:t>Draw of Georgia Elementary Agricultural Educators</w:t>
      </w:r>
    </w:p>
    <w:p w14:paraId="2C024C93" w14:textId="342ECDF5" w:rsidR="008E423F" w:rsidRPr="00F14C36" w:rsidRDefault="00D16C2D" w:rsidP="76233CE3">
      <w:pPr>
        <w:spacing w:before="240" w:after="240"/>
        <w:rPr>
          <w:i/>
          <w:iCs/>
          <w:color w:val="000000" w:themeColor="text1"/>
        </w:rPr>
      </w:pPr>
      <w:r>
        <w:rPr>
          <w:i/>
          <w:iCs/>
          <w:noProof/>
          <w:color w:val="000000" w:themeColor="text1"/>
        </w:rPr>
        <w:drawing>
          <wp:inline distT="0" distB="0" distL="0" distR="0" wp14:anchorId="1CEE14B7" wp14:editId="763BAD8E">
            <wp:extent cx="5943600" cy="3585210"/>
            <wp:effectExtent l="0" t="0" r="0" b="0"/>
            <wp:docPr id="1954050473" name="Picture 1" descr="A network of lines an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050473" name="Picture 1" descr="A network of lines and dots&#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3585210"/>
                    </a:xfrm>
                    <a:prstGeom prst="rect">
                      <a:avLst/>
                    </a:prstGeom>
                  </pic:spPr>
                </pic:pic>
              </a:graphicData>
            </a:graphic>
          </wp:inline>
        </w:drawing>
      </w:r>
    </w:p>
    <w:p w14:paraId="2DF765E3" w14:textId="2BBB7EAB" w:rsidR="003A35C3" w:rsidRPr="005F75FF" w:rsidRDefault="64CAFEB1" w:rsidP="76233CE3">
      <w:pPr>
        <w:spacing w:before="240" w:after="240"/>
      </w:pPr>
      <w:r w:rsidRPr="76233CE3">
        <w:rPr>
          <w:i/>
          <w:iCs/>
        </w:rPr>
        <w:t>Note:</w:t>
      </w:r>
      <w:r>
        <w:t xml:space="preserve"> </w:t>
      </w:r>
      <w:r w:rsidR="04320208">
        <w:t xml:space="preserve">Participants </w:t>
      </w:r>
      <w:r>
        <w:t xml:space="preserve">are indicated by their corresponding numerical identifier. </w:t>
      </w:r>
      <w:r w:rsidR="005D25F9">
        <w:rPr>
          <w:color w:val="000000" w:themeColor="text1"/>
        </w:rPr>
        <w:t xml:space="preserve">Nodes are represented for all known EAE educators in Georgia. </w:t>
      </w:r>
    </w:p>
    <w:p w14:paraId="30A66B78" w14:textId="77777777" w:rsidR="00AA0CC2" w:rsidRPr="00F14C36" w:rsidRDefault="00AA0CC2" w:rsidP="00F14C36">
      <w:pPr>
        <w:spacing w:before="240" w:after="240"/>
        <w:jc w:val="center"/>
        <w:rPr>
          <w:b/>
          <w:bCs/>
        </w:rPr>
      </w:pPr>
      <w:r w:rsidRPr="00F14C36">
        <w:rPr>
          <w:b/>
          <w:bCs/>
        </w:rPr>
        <w:t>Discussion, Implications, and Recommendations</w:t>
      </w:r>
    </w:p>
    <w:p w14:paraId="6DA0779B" w14:textId="15125BE7" w:rsidR="00AA0CC2" w:rsidRPr="00AA0CC2" w:rsidRDefault="00AA0CC2" w:rsidP="000F0024">
      <w:pPr>
        <w:spacing w:before="240" w:after="240"/>
        <w:ind w:firstLine="720"/>
      </w:pPr>
      <w:r w:rsidRPr="00AA0CC2">
        <w:t>The findings of this study contribute to the literature on professional relationships in education by applying social network analysis to the emerging context of EAE</w:t>
      </w:r>
      <w:r w:rsidR="000F0024">
        <w:t xml:space="preserve"> </w:t>
      </w:r>
      <w:r w:rsidRPr="00AA0CC2">
        <w:t xml:space="preserve">in Georgia. Grounded in social network theory, this study provides empirical insight into how trust-based relationships structure </w:t>
      </w:r>
      <w:proofErr w:type="gramStart"/>
      <w:r w:rsidRPr="00AA0CC2">
        <w:t>access to</w:t>
      </w:r>
      <w:proofErr w:type="gramEnd"/>
      <w:r w:rsidRPr="00AA0CC2">
        <w:t xml:space="preserve"> information, resources, and professional support during the early stages of EAE program implementation (Borgatti et al., 2009; Wasserman &amp; Faust, 1994).</w:t>
      </w:r>
    </w:p>
    <w:p w14:paraId="4231E0D2" w14:textId="1276730A" w:rsidR="00FE1387" w:rsidRDefault="00AA0CC2" w:rsidP="00FE1387">
      <w:pPr>
        <w:spacing w:before="240" w:after="240"/>
        <w:ind w:firstLine="720"/>
      </w:pPr>
      <w:r w:rsidRPr="00AA0CC2">
        <w:t xml:space="preserve">Consistent with social network theory, trust within the EAE community was not evenly distributed across educators but was concentrated among a small number of highly central individuals. Educators with high in-degree centrality were frequently identified by peers as trusted sources of information, reflecting Katz and </w:t>
      </w:r>
      <w:proofErr w:type="spellStart"/>
      <w:r w:rsidRPr="00AA0CC2">
        <w:t>Lazarsfeld’s</w:t>
      </w:r>
      <w:proofErr w:type="spellEnd"/>
      <w:r w:rsidRPr="00AA0CC2">
        <w:t xml:space="preserve"> (</w:t>
      </w:r>
      <w:r w:rsidR="00D16D8F">
        <w:t>2005</w:t>
      </w:r>
      <w:r w:rsidRPr="00AA0CC2">
        <w:t xml:space="preserve">) conceptualization of opinion leaders as individuals who exert influence through interpersonal relationships rather than formal authority. Similarly, educators occupying brokerage positions, as indicated by high </w:t>
      </w:r>
      <w:r w:rsidRPr="00AA0CC2">
        <w:lastRenderedPageBreak/>
        <w:t>betweenness centrality, align with Burt’s (1992) theory of structural holes, which emphasizes the importance of actors who connect otherwise disconnected individuals or groups. These findings parallel prior research in educational settings demonstrating that informal leaders and brokers often play a critical role in shaping professional learning and knowledge exchange (</w:t>
      </w:r>
      <w:r w:rsidR="00707FD4" w:rsidRPr="00AA0CC2">
        <w:t>Daly, 2010</w:t>
      </w:r>
      <w:r w:rsidR="00707FD4">
        <w:t xml:space="preserve">; </w:t>
      </w:r>
      <w:r w:rsidRPr="00AA0CC2">
        <w:t>Moolenaar, 2012).</w:t>
      </w:r>
      <w:r w:rsidR="00FE1387">
        <w:t xml:space="preserve"> </w:t>
      </w:r>
    </w:p>
    <w:p w14:paraId="6EB421D5" w14:textId="59343068" w:rsidR="00E5792E" w:rsidRDefault="00AA0CC2" w:rsidP="00FE1387">
      <w:pPr>
        <w:spacing w:before="240" w:after="240"/>
        <w:ind w:firstLine="720"/>
      </w:pPr>
      <w:r w:rsidRPr="00AA0CC2">
        <w:t>The presence of peripheral or disconnected educators further reflects patterns documented in the educational social network literature. Prior studies have shown that uneven access to professional relationships can limit opportunities for collaboration, reduce exposure to new instructional practices, and constrain professional learning (</w:t>
      </w:r>
      <w:r w:rsidR="00C55367">
        <w:t>Coburn</w:t>
      </w:r>
      <w:r w:rsidRPr="00AA0CC2">
        <w:t xml:space="preserve"> et al., 201</w:t>
      </w:r>
      <w:r w:rsidR="00C55367">
        <w:t>3</w:t>
      </w:r>
      <w:r w:rsidRPr="00AA0CC2">
        <w:t>). In the context of EAE, where many educators reported relatively limited experience teaching formal agricultural education, the absence of strong professional connections may heighten challenges associated with curriculum implementation and instructional decision-making.</w:t>
      </w:r>
    </w:p>
    <w:p w14:paraId="33F2A869" w14:textId="6B8DEDB0" w:rsidR="00024754" w:rsidRDefault="00024754" w:rsidP="00E5792E">
      <w:pPr>
        <w:spacing w:before="240" w:after="240"/>
        <w:ind w:firstLine="720"/>
      </w:pPr>
      <w:r>
        <w:t>From a practical perspective, these findings have important implications for professional development and program support. Research suggests that professional learning is more likely to be sustained when it is embedded within trusted relationships and existing social structures (Coburn et al., 2013; Daly et al., 2014). The identification of trusted educators within the EAE network highlights a strategically important group of individuals who already function as informal leaders, knowledge brokers, and sources of professional credibility among their peers. State agencies, universities, and partner organizations can intentionally engage these educators as mentors, facilitators, or regional leaders to anchor professional learning within established trust relationships. By leveraging these existing network structures, professional development initiatives may achieve greater legitimacy, participation, and diffusion across the EAE community without the need to construct entirely new support systems.</w:t>
      </w:r>
    </w:p>
    <w:p w14:paraId="21164A9F" w14:textId="0B775730" w:rsidR="00E5792E" w:rsidRDefault="00AA0CC2" w:rsidP="00E5792E">
      <w:pPr>
        <w:spacing w:before="240" w:after="240"/>
        <w:ind w:firstLine="720"/>
      </w:pPr>
      <w:r w:rsidRPr="00AA0CC2">
        <w:t>At the same time, the identification of network gaps</w:t>
      </w:r>
      <w:r w:rsidR="003A429D">
        <w:t xml:space="preserve"> draws attention to a subset of educators who may be structurally marginalized</w:t>
      </w:r>
      <w:r w:rsidR="00C62141">
        <w:t xml:space="preserve"> within the professional community, underscoring the </w:t>
      </w:r>
      <w:r w:rsidRPr="00AA0CC2">
        <w:t>need for targeted interventions to support educators who report limited or no professional connections. Structured mentoring programs, regional EAE networking opportunities, and collaborative professional development experiences may help strengthen professional ties and reduce isolation. These recommendations are consistent with research indicating that intentionally designed network interventions can improve access to social capital and support organizational learning (Daly, 2010; Moolenaar &amp; Daly, 2012). Additionally, the development of a centralized database of EAE programs and contacts may improve communication and coordination across geographically dispersed educators.</w:t>
      </w:r>
    </w:p>
    <w:p w14:paraId="33D35BA4" w14:textId="3744DFD3" w:rsidR="0091774E" w:rsidRPr="00E51B46" w:rsidRDefault="00846BE8" w:rsidP="00E51B46">
      <w:pPr>
        <w:spacing w:before="240" w:after="240"/>
        <w:ind w:firstLine="720"/>
      </w:pPr>
      <w:r>
        <w:t xml:space="preserve">Several limitations should be considered when interpreting these findings. Partial participation in the network portion of the survey limited the ability to construct a complete network and may have affected centrality estimates. Social network measures are sensitive to missing data and rely on self-reported perceptions of trust, which may introduce bias (Wasserman &amp; Faust, 1994). Additionally, this study focused on educator-to-educator trust and did not fully capture the influence of external organizations or informal </w:t>
      </w:r>
      <w:proofErr w:type="gramStart"/>
      <w:r>
        <w:t>supports</w:t>
      </w:r>
      <w:proofErr w:type="gramEnd"/>
      <w:r>
        <w:t>. Despite these limitations, the study demonstrates the value of social network analysis for identifying key actors and structural patterns in emerging educational contexts and provides a foundation for future research as EAE programs continue to expand.</w:t>
      </w:r>
    </w:p>
    <w:p w14:paraId="380C94D3" w14:textId="2B81F651" w:rsidR="005F75FF" w:rsidRPr="00E5792E" w:rsidRDefault="1FD4D946" w:rsidP="00E5792E">
      <w:pPr>
        <w:spacing w:before="240" w:after="240"/>
        <w:jc w:val="center"/>
        <w:rPr>
          <w:b/>
          <w:bCs/>
        </w:rPr>
      </w:pPr>
      <w:r w:rsidRPr="00E5792E">
        <w:rPr>
          <w:b/>
          <w:bCs/>
        </w:rPr>
        <w:lastRenderedPageBreak/>
        <w:t>References</w:t>
      </w:r>
    </w:p>
    <w:p w14:paraId="3EF9AF64" w14:textId="54F60157" w:rsidR="00F55A19" w:rsidRDefault="00F55A19" w:rsidP="5FCB472B">
      <w:pPr>
        <w:spacing w:after="240"/>
        <w:ind w:left="720" w:hanging="720"/>
      </w:pPr>
      <w:r>
        <w:t xml:space="preserve">Abdel-Ghany, M. M. M. (2012). Identifying opinion leaders using social network analysis: A study in an Egyptian village. </w:t>
      </w:r>
      <w:r>
        <w:rPr>
          <w:rStyle w:val="Emphasis"/>
          <w:rFonts w:eastAsiaTheme="majorEastAsia"/>
        </w:rPr>
        <w:t>Russian Journal of Agricultural and Socio-Economic Sciences, 4</w:t>
      </w:r>
      <w:r>
        <w:t>(4), 12–19.</w:t>
      </w:r>
      <w:r w:rsidR="00152BDD" w:rsidRPr="00152BDD">
        <w:t xml:space="preserve"> </w:t>
      </w:r>
      <w:r w:rsidR="00152BDD" w:rsidRPr="5FCB472B">
        <w:t xml:space="preserve">review. </w:t>
      </w:r>
      <w:r w:rsidR="00152BDD" w:rsidRPr="5FCB472B">
        <w:rPr>
          <w:i/>
          <w:iCs/>
        </w:rPr>
        <w:t>Expert Systems with Applications, 115</w:t>
      </w:r>
      <w:r w:rsidR="00152BDD" w:rsidRPr="5FCB472B">
        <w:t xml:space="preserve">(1), 200-222. </w:t>
      </w:r>
      <w:r w:rsidR="00152BDD" w:rsidRPr="00A8028B">
        <w:t>https:/</w:t>
      </w:r>
      <w:r w:rsidR="00152BDD" w:rsidRPr="00152BDD">
        <w:t>/doi.org/</w:t>
      </w:r>
      <w:r w:rsidR="00152BDD" w:rsidRPr="00152BDD">
        <w:rPr>
          <w:rFonts w:eastAsiaTheme="majorEastAsia"/>
          <w:bdr w:val="none" w:sz="0" w:space="0" w:color="auto" w:frame="1"/>
          <w:shd w:val="clear" w:color="auto" w:fill="FFFFFF"/>
        </w:rPr>
        <w:t>0.18551/rjoas.2012-04.02</w:t>
      </w:r>
    </w:p>
    <w:p w14:paraId="6A979510" w14:textId="0C7D5384" w:rsidR="005F75FF" w:rsidRDefault="1009F528" w:rsidP="5FCB472B">
      <w:pPr>
        <w:spacing w:after="240"/>
        <w:ind w:left="720" w:hanging="720"/>
      </w:pPr>
      <w:proofErr w:type="spellStart"/>
      <w:r w:rsidRPr="5FCB472B">
        <w:t>Bamakan</w:t>
      </w:r>
      <w:proofErr w:type="spellEnd"/>
      <w:r w:rsidRPr="5FCB472B">
        <w:t xml:space="preserve">, S. M. H., Nurgaliev, I., &amp; Qu, Q. (2019). Opinion leader detection: A methodological review. </w:t>
      </w:r>
      <w:r w:rsidRPr="5FCB472B">
        <w:rPr>
          <w:i/>
          <w:iCs/>
        </w:rPr>
        <w:t>Expert Systems with Applications, 115</w:t>
      </w:r>
      <w:r w:rsidRPr="5FCB472B">
        <w:t xml:space="preserve">(1), 200-222. </w:t>
      </w:r>
      <w:r w:rsidRPr="00A8028B">
        <w:t>https://doi.org/10.1016/j.eswa.2018.07.069</w:t>
      </w:r>
    </w:p>
    <w:p w14:paraId="7F26C50F" w14:textId="0D6D5E1C" w:rsidR="005F75FF" w:rsidRDefault="1009F528" w:rsidP="5FCB472B">
      <w:pPr>
        <w:spacing w:before="210" w:after="210" w:line="300" w:lineRule="auto"/>
        <w:ind w:left="720" w:hanging="720"/>
      </w:pPr>
      <w:r w:rsidRPr="5FCB472B">
        <w:t xml:space="preserve">Barber, B. (1987). Trust in science. </w:t>
      </w:r>
      <w:r w:rsidRPr="5FCB472B">
        <w:rPr>
          <w:i/>
          <w:iCs/>
        </w:rPr>
        <w:t>Minerva, 25</w:t>
      </w:r>
      <w:r w:rsidRPr="5FCB472B">
        <w:t xml:space="preserve">(1-2), 123-134. </w:t>
      </w:r>
      <w:r w:rsidRPr="00A8028B">
        <w:t>https://doi.org/10.1007/BF01096860</w:t>
      </w:r>
    </w:p>
    <w:p w14:paraId="331ED953" w14:textId="168B991A" w:rsidR="005F75FF" w:rsidRDefault="1009F528" w:rsidP="5FCB472B">
      <w:pPr>
        <w:spacing w:before="210" w:after="210" w:line="300" w:lineRule="auto"/>
        <w:ind w:left="720" w:hanging="720"/>
      </w:pPr>
      <w:r w:rsidRPr="5FCB472B">
        <w:t xml:space="preserve">Borgatti, S. P., Everett, M. G., &amp; Freeman, L. C. (2002). </w:t>
      </w:r>
      <w:proofErr w:type="spellStart"/>
      <w:r w:rsidRPr="5FCB472B">
        <w:rPr>
          <w:i/>
          <w:iCs/>
        </w:rPr>
        <w:t>Ucinet</w:t>
      </w:r>
      <w:proofErr w:type="spellEnd"/>
      <w:r w:rsidRPr="5FCB472B">
        <w:rPr>
          <w:i/>
          <w:iCs/>
        </w:rPr>
        <w:t xml:space="preserve"> 6 for Windows: Software for social network analysis</w:t>
      </w:r>
      <w:r w:rsidRPr="5FCB472B">
        <w:t>. Analytic Technologies.</w:t>
      </w:r>
    </w:p>
    <w:p w14:paraId="4400054C" w14:textId="576AE965" w:rsidR="005F75FF" w:rsidRDefault="1009F528" w:rsidP="5FCB472B">
      <w:pPr>
        <w:spacing w:before="210" w:after="210" w:line="300" w:lineRule="auto"/>
        <w:ind w:left="720" w:hanging="720"/>
      </w:pPr>
      <w:r w:rsidRPr="5FCB472B">
        <w:t xml:space="preserve">Borgatti, S. P., Everett, M. G., &amp; Johnson, J. C. (2018). </w:t>
      </w:r>
      <w:r w:rsidRPr="5FCB472B">
        <w:rPr>
          <w:i/>
          <w:iCs/>
        </w:rPr>
        <w:t>Analyzing social networks</w:t>
      </w:r>
      <w:r w:rsidRPr="5FCB472B">
        <w:t>. Sage.</w:t>
      </w:r>
    </w:p>
    <w:p w14:paraId="39870601" w14:textId="416B73C9" w:rsidR="005F75FF" w:rsidRDefault="1009F528" w:rsidP="5FCB472B">
      <w:pPr>
        <w:spacing w:before="210" w:after="210" w:line="300" w:lineRule="auto"/>
        <w:ind w:left="720" w:hanging="720"/>
      </w:pPr>
      <w:r w:rsidRPr="5FCB472B">
        <w:t xml:space="preserve">Borgatti, S. P., Mehra, A., Brass, D. J., &amp; </w:t>
      </w:r>
      <w:proofErr w:type="spellStart"/>
      <w:r w:rsidRPr="5FCB472B">
        <w:t>Labianca</w:t>
      </w:r>
      <w:proofErr w:type="spellEnd"/>
      <w:r w:rsidRPr="5FCB472B">
        <w:t xml:space="preserve">, G. (2009). Network analysis in the social sciences. </w:t>
      </w:r>
      <w:r w:rsidRPr="5FCB472B">
        <w:rPr>
          <w:i/>
          <w:iCs/>
        </w:rPr>
        <w:t>Science, 323</w:t>
      </w:r>
      <w:r w:rsidRPr="5FCB472B">
        <w:t xml:space="preserve">(5916), 892-895. </w:t>
      </w:r>
      <w:r w:rsidRPr="00A8028B">
        <w:t>https://doi.org/10.1126/science.1165821</w:t>
      </w:r>
    </w:p>
    <w:p w14:paraId="0DBE4E99" w14:textId="5A6C66E4" w:rsidR="005F75FF" w:rsidRDefault="1009F528" w:rsidP="5FCB472B">
      <w:pPr>
        <w:spacing w:before="210" w:after="210" w:line="300" w:lineRule="auto"/>
        <w:ind w:left="720" w:hanging="720"/>
      </w:pPr>
      <w:r w:rsidRPr="5FCB472B">
        <w:t xml:space="preserve">Borgatti, S. P., &amp; Ofem, B. (2010). Social network theory and analysis. In A. J. Daly (Ed.), </w:t>
      </w:r>
      <w:r w:rsidRPr="5FCB472B">
        <w:rPr>
          <w:i/>
          <w:iCs/>
        </w:rPr>
        <w:t>Social network theory and educational change</w:t>
      </w:r>
      <w:r w:rsidRPr="5FCB472B">
        <w:t xml:space="preserve"> (pp. 17-29). Harvard Education Press.</w:t>
      </w:r>
    </w:p>
    <w:p w14:paraId="5098A566" w14:textId="6501B958" w:rsidR="005F75FF" w:rsidRDefault="1009F528" w:rsidP="5FCB472B">
      <w:pPr>
        <w:spacing w:before="210" w:after="210" w:line="300" w:lineRule="auto"/>
        <w:ind w:left="720" w:hanging="720"/>
      </w:pPr>
      <w:r w:rsidRPr="5FCB472B">
        <w:t xml:space="preserve">Brass, D. J., &amp; Borgatti, S. P. (2019). </w:t>
      </w:r>
      <w:r w:rsidRPr="5FCB472B">
        <w:rPr>
          <w:i/>
          <w:iCs/>
        </w:rPr>
        <w:t>Social networks at work</w:t>
      </w:r>
      <w:r w:rsidRPr="5FCB472B">
        <w:t>. Routledge.</w:t>
      </w:r>
    </w:p>
    <w:p w14:paraId="0734A955" w14:textId="3DAD0980" w:rsidR="005F75FF" w:rsidRDefault="1009F528" w:rsidP="5FCB472B">
      <w:pPr>
        <w:spacing w:before="210" w:after="210" w:line="300" w:lineRule="auto"/>
        <w:ind w:left="720" w:hanging="720"/>
      </w:pPr>
      <w:r w:rsidRPr="5FCB472B">
        <w:t xml:space="preserve">Burt, R. S. (1984). Network items and the general social survey. </w:t>
      </w:r>
      <w:r w:rsidRPr="5FCB472B">
        <w:rPr>
          <w:i/>
          <w:iCs/>
        </w:rPr>
        <w:t>Social Networks, 6</w:t>
      </w:r>
      <w:r w:rsidRPr="5FCB472B">
        <w:t xml:space="preserve">(4), 293-339. </w:t>
      </w:r>
      <w:r w:rsidR="00A80843" w:rsidRPr="00A80843">
        <w:t>https://doi.org/10.1016/0378-8733(84)90007-8</w:t>
      </w:r>
    </w:p>
    <w:p w14:paraId="02E2858C" w14:textId="314B6D1F" w:rsidR="00A80843" w:rsidRDefault="00A80843" w:rsidP="00A80843">
      <w:pPr>
        <w:spacing w:before="210" w:after="210" w:line="300" w:lineRule="auto"/>
        <w:ind w:left="720" w:hanging="720"/>
      </w:pPr>
      <w:r>
        <w:t xml:space="preserve">Burt, R. S. (1992). </w:t>
      </w:r>
      <w:r w:rsidRPr="00A80843">
        <w:rPr>
          <w:i/>
          <w:iCs/>
        </w:rPr>
        <w:t>Structural holes: The social structure of competition</w:t>
      </w:r>
      <w:r>
        <w:t>. Harvard University Press.</w:t>
      </w:r>
    </w:p>
    <w:p w14:paraId="0F1DF6B2" w14:textId="7B9350D1" w:rsidR="00152BDD" w:rsidRDefault="00152BDD" w:rsidP="00152BDD">
      <w:pPr>
        <w:spacing w:before="210" w:after="210" w:line="300" w:lineRule="auto"/>
        <w:ind w:left="720" w:hanging="720"/>
      </w:pPr>
      <w:r>
        <w:t xml:space="preserve">Burt, R. S. (2004). Structural holes and good ideas. </w:t>
      </w:r>
      <w:r w:rsidRPr="00152BDD">
        <w:rPr>
          <w:i/>
          <w:iCs/>
        </w:rPr>
        <w:t>American Journal of Sociology, 110</w:t>
      </w:r>
      <w:r>
        <w:t>(2), 349–399. https://doi.org/10.1086/421787</w:t>
      </w:r>
    </w:p>
    <w:p w14:paraId="756E2688" w14:textId="7D19F71A" w:rsidR="00C55367" w:rsidRDefault="00C55367" w:rsidP="004A75EA">
      <w:pPr>
        <w:spacing w:before="210" w:after="210" w:line="300" w:lineRule="auto"/>
        <w:ind w:left="720" w:hanging="720"/>
      </w:pPr>
      <w:r>
        <w:t xml:space="preserve">Butts, C. T. (2008). Social network analysis: A methodological introduction. </w:t>
      </w:r>
      <w:r>
        <w:rPr>
          <w:rStyle w:val="Emphasis"/>
          <w:rFonts w:eastAsiaTheme="majorEastAsia"/>
        </w:rPr>
        <w:t>Asian Journal of Social Psychology, 11</w:t>
      </w:r>
      <w:r>
        <w:t>(1), 13–41. https://doi.org/10.1111/j.1467-839X.2007.00241.x</w:t>
      </w:r>
    </w:p>
    <w:p w14:paraId="0F97F1A7" w14:textId="41BFC826" w:rsidR="004A75EA" w:rsidRDefault="004A75EA" w:rsidP="004A75EA">
      <w:pPr>
        <w:spacing w:before="210" w:after="210" w:line="300" w:lineRule="auto"/>
        <w:ind w:left="720" w:hanging="720"/>
      </w:pPr>
      <w:r>
        <w:t xml:space="preserve">Coburn, C. E., Russell, J. L., Kaufman, J. H., &amp; Stein, M. K. (2013). Supporting sustainability: Teachers’ advice networks and ambitious instructional reform. </w:t>
      </w:r>
      <w:r w:rsidRPr="004A75EA">
        <w:rPr>
          <w:i/>
          <w:iCs/>
        </w:rPr>
        <w:t>American Journal of Education, 119</w:t>
      </w:r>
      <w:r>
        <w:t>(2), 137–182. https://doi.org/10.1086/667699</w:t>
      </w:r>
    </w:p>
    <w:p w14:paraId="74976CC6" w14:textId="4F0CDC3C" w:rsidR="00F55A19" w:rsidRDefault="00F55A19" w:rsidP="005C3A96">
      <w:pPr>
        <w:spacing w:before="210" w:after="210" w:line="300" w:lineRule="auto"/>
        <w:ind w:left="720" w:hanging="720"/>
      </w:pPr>
      <w:r>
        <w:lastRenderedPageBreak/>
        <w:t xml:space="preserve">Cross, R., Parker, A., Prusak, L., &amp; Borgatti, S. P. (2002). Knowing what we know: Supporting knowledge creation and sharing in social networks. </w:t>
      </w:r>
      <w:r>
        <w:rPr>
          <w:rStyle w:val="Emphasis"/>
          <w:rFonts w:eastAsiaTheme="majorEastAsia"/>
        </w:rPr>
        <w:t>Organizational Dynamics, 30</w:t>
      </w:r>
      <w:r>
        <w:t>(2), 100–120. https://doi.org/10.1016/S0090-2616(01)00046-8</w:t>
      </w:r>
    </w:p>
    <w:p w14:paraId="0C1DC720" w14:textId="17961B06" w:rsidR="005C3A96" w:rsidRDefault="005C3A96" w:rsidP="005C3A96">
      <w:pPr>
        <w:spacing w:before="210" w:after="210" w:line="300" w:lineRule="auto"/>
        <w:ind w:left="720" w:hanging="720"/>
      </w:pPr>
      <w:r>
        <w:t xml:space="preserve">Daly, A. J. (2010). </w:t>
      </w:r>
      <w:r w:rsidRPr="005C3A96">
        <w:rPr>
          <w:i/>
          <w:iCs/>
        </w:rPr>
        <w:t>Social network theory and educational change.</w:t>
      </w:r>
      <w:r>
        <w:t xml:space="preserve"> Harvard Education Press.</w:t>
      </w:r>
    </w:p>
    <w:p w14:paraId="0A0B6E94" w14:textId="6AC6F79A" w:rsidR="00ED1D4A" w:rsidRDefault="00ED1D4A" w:rsidP="005C3A96">
      <w:pPr>
        <w:spacing w:before="210" w:after="210" w:line="300" w:lineRule="auto"/>
        <w:ind w:left="720" w:hanging="720"/>
      </w:pPr>
      <w:r w:rsidRPr="00ED1D4A">
        <w:rPr>
          <w:rStyle w:val="Strong"/>
          <w:rFonts w:eastAsiaTheme="majorEastAsia"/>
          <w:b w:val="0"/>
          <w:bCs w:val="0"/>
        </w:rPr>
        <w:t>Daly, A. J., Moolenaar, N. M., Bolívar, J. M., &amp; Burke, P. (2014</w:t>
      </w:r>
      <w:r>
        <w:rPr>
          <w:rStyle w:val="Strong"/>
          <w:rFonts w:eastAsiaTheme="majorEastAsia"/>
        </w:rPr>
        <w:t>).</w:t>
      </w:r>
      <w:r>
        <w:t xml:space="preserve"> Relationships in reform: The role of teachers’ social networks. </w:t>
      </w:r>
      <w:r>
        <w:rPr>
          <w:rStyle w:val="Emphasis"/>
          <w:rFonts w:eastAsiaTheme="majorEastAsia"/>
        </w:rPr>
        <w:t xml:space="preserve">Journal of Educational Administration, </w:t>
      </w:r>
      <w:r w:rsidR="009D7C72">
        <w:rPr>
          <w:rStyle w:val="Emphasis"/>
          <w:rFonts w:eastAsiaTheme="majorEastAsia"/>
        </w:rPr>
        <w:t>48</w:t>
      </w:r>
      <w:r>
        <w:t xml:space="preserve">(3), </w:t>
      </w:r>
      <w:r w:rsidR="009D7C72">
        <w:t>20-49</w:t>
      </w:r>
      <w:r>
        <w:t xml:space="preserve">. </w:t>
      </w:r>
      <w:r w:rsidR="00847B95" w:rsidRPr="00847B95">
        <w:t>https://doi.org/10.1108/09578231011041062</w:t>
      </w:r>
      <w:r w:rsidR="00847B95">
        <w:t xml:space="preserve"> </w:t>
      </w:r>
    </w:p>
    <w:p w14:paraId="5C67F0DA" w14:textId="5AA87859" w:rsidR="005F75FF" w:rsidRDefault="1009F528" w:rsidP="5FCB472B">
      <w:pPr>
        <w:spacing w:before="210" w:after="210" w:line="300" w:lineRule="auto"/>
        <w:ind w:left="720" w:hanging="720"/>
      </w:pPr>
      <w:r w:rsidRPr="5FCB472B">
        <w:t xml:space="preserve">Davis, L. L. (1992). Instrument review: Getting the most from a panel of experts. </w:t>
      </w:r>
      <w:r w:rsidRPr="5FCB472B">
        <w:rPr>
          <w:i/>
          <w:iCs/>
        </w:rPr>
        <w:t>Applied Nursing Research, 5</w:t>
      </w:r>
      <w:r w:rsidRPr="5FCB472B">
        <w:t xml:space="preserve">(4), 194-197. </w:t>
      </w:r>
      <w:r w:rsidRPr="00520108">
        <w:t>https://doi.org/10.1016/S0897-1897(05)80008-4</w:t>
      </w:r>
    </w:p>
    <w:p w14:paraId="27A2C091" w14:textId="3C336628" w:rsidR="005F75FF" w:rsidRDefault="1009F528" w:rsidP="5FCB472B">
      <w:pPr>
        <w:spacing w:before="210" w:after="210" w:line="300" w:lineRule="auto"/>
        <w:ind w:left="720" w:hanging="720"/>
      </w:pPr>
      <w:r w:rsidRPr="5FCB472B">
        <w:t xml:space="preserve">Freeman, L. C. (1978). Centrality in social networks conceptual clarification. </w:t>
      </w:r>
      <w:r w:rsidRPr="5FCB472B">
        <w:rPr>
          <w:i/>
          <w:iCs/>
        </w:rPr>
        <w:t>Social Networks, 1</w:t>
      </w:r>
      <w:r w:rsidRPr="5FCB472B">
        <w:t xml:space="preserve">(3), 215-239. </w:t>
      </w:r>
      <w:r w:rsidRPr="00520108">
        <w:t>https://doi.org/10.1016/0378-8733(78)90021-7</w:t>
      </w:r>
    </w:p>
    <w:p w14:paraId="644C09D9" w14:textId="141D7025" w:rsidR="005F75FF" w:rsidRDefault="1009F528" w:rsidP="5FCB472B">
      <w:pPr>
        <w:spacing w:before="210" w:after="210" w:line="300" w:lineRule="auto"/>
        <w:ind w:left="720" w:hanging="720"/>
      </w:pPr>
      <w:r w:rsidRPr="5FCB472B">
        <w:t xml:space="preserve">Georgia House Bill 1303. (2022). Retrieved March 15, 2024, from </w:t>
      </w:r>
      <w:r w:rsidRPr="00520108">
        <w:t>https://www.legis.ga.gov/api/legislation/document/20212022/211744</w:t>
      </w:r>
    </w:p>
    <w:p w14:paraId="227E0549" w14:textId="4935D6AB" w:rsidR="005F75FF" w:rsidRDefault="1009F528" w:rsidP="5FCB472B">
      <w:pPr>
        <w:spacing w:before="210" w:after="210" w:line="300" w:lineRule="auto"/>
        <w:ind w:left="720" w:hanging="720"/>
      </w:pPr>
      <w:r w:rsidRPr="5FCB472B">
        <w:t xml:space="preserve">Hovland, C. I., Janis, I. L., &amp; Kelley, H. H. (1953). </w:t>
      </w:r>
      <w:r w:rsidRPr="5FCB472B">
        <w:rPr>
          <w:i/>
          <w:iCs/>
        </w:rPr>
        <w:t>Communication and persuasion</w:t>
      </w:r>
      <w:r w:rsidRPr="5FCB472B">
        <w:t>. Yale University Press.</w:t>
      </w:r>
    </w:p>
    <w:p w14:paraId="0AD2558A" w14:textId="00661419" w:rsidR="00F55A19" w:rsidRDefault="00F55A19" w:rsidP="00F55A19">
      <w:pPr>
        <w:spacing w:before="210" w:after="210" w:line="300" w:lineRule="auto"/>
        <w:ind w:left="720" w:hanging="720"/>
      </w:pPr>
      <w:r>
        <w:t xml:space="preserve">Katz, E. (1957). The two-step flow of communication. </w:t>
      </w:r>
      <w:r w:rsidRPr="00F55A19">
        <w:rPr>
          <w:i/>
          <w:iCs/>
        </w:rPr>
        <w:t>Public Opinion Quarterly, 21</w:t>
      </w:r>
      <w:r>
        <w:t>(1), 61-78.</w:t>
      </w:r>
    </w:p>
    <w:p w14:paraId="117465E0" w14:textId="4228344C" w:rsidR="00F55A19" w:rsidRDefault="00F55A19" w:rsidP="00F55A19">
      <w:pPr>
        <w:spacing w:before="210" w:after="210" w:line="300" w:lineRule="auto"/>
        <w:ind w:left="720" w:hanging="720"/>
      </w:pPr>
      <w:r>
        <w:t>https://doi.org/10.1086/266687</w:t>
      </w:r>
    </w:p>
    <w:p w14:paraId="32AA591F" w14:textId="7217ADD3" w:rsidR="005F75FF" w:rsidRDefault="1009F528" w:rsidP="5FCB472B">
      <w:pPr>
        <w:spacing w:before="210" w:after="210" w:line="300" w:lineRule="auto"/>
        <w:ind w:left="720" w:hanging="720"/>
      </w:pPr>
      <w:r w:rsidRPr="5FCB472B">
        <w:t xml:space="preserve">Katz, E., &amp; </w:t>
      </w:r>
      <w:proofErr w:type="spellStart"/>
      <w:r w:rsidRPr="5FCB472B">
        <w:t>Lazarsfeld</w:t>
      </w:r>
      <w:proofErr w:type="spellEnd"/>
      <w:r w:rsidRPr="5FCB472B">
        <w:t>, P. F. (200</w:t>
      </w:r>
      <w:r w:rsidR="00D16D8F">
        <w:t>5</w:t>
      </w:r>
      <w:r w:rsidRPr="5FCB472B">
        <w:t xml:space="preserve">). </w:t>
      </w:r>
      <w:r w:rsidRPr="5FCB472B">
        <w:rPr>
          <w:i/>
          <w:iCs/>
        </w:rPr>
        <w:t>Personal influence: The part played by people in the flow of mass communications</w:t>
      </w:r>
      <w:r w:rsidRPr="5FCB472B">
        <w:t>. Transaction Publishers.</w:t>
      </w:r>
    </w:p>
    <w:p w14:paraId="01B53C57" w14:textId="09A20273" w:rsidR="005F75FF" w:rsidRDefault="1009F528" w:rsidP="5FCB472B">
      <w:pPr>
        <w:spacing w:before="210" w:after="210" w:line="300" w:lineRule="auto"/>
        <w:ind w:left="720" w:hanging="720"/>
      </w:pPr>
      <w:r w:rsidRPr="5FCB472B">
        <w:t xml:space="preserve">Kini, A., &amp; </w:t>
      </w:r>
      <w:proofErr w:type="spellStart"/>
      <w:r w:rsidRPr="5FCB472B">
        <w:t>Choobineh</w:t>
      </w:r>
      <w:proofErr w:type="spellEnd"/>
      <w:r w:rsidRPr="5FCB472B">
        <w:t xml:space="preserve">, J. (1998). </w:t>
      </w:r>
      <w:r w:rsidRPr="5FCB472B">
        <w:rPr>
          <w:i/>
          <w:iCs/>
        </w:rPr>
        <w:t>Trust in electronic commerce: Definition and theoretical considerations</w:t>
      </w:r>
      <w:r w:rsidRPr="5FCB472B">
        <w:t xml:space="preserve"> [</w:t>
      </w:r>
      <w:r w:rsidR="5EF163BD" w:rsidRPr="5FCB472B">
        <w:t>Paper</w:t>
      </w:r>
      <w:r w:rsidRPr="5FCB472B">
        <w:t xml:space="preserve"> presentation]. Proceedings of the Thirty-First Hawaii International Conference, Kohala Coast, </w:t>
      </w:r>
      <w:r w:rsidR="62021049" w:rsidRPr="5FCB472B">
        <w:t>Hawaii, United States.</w:t>
      </w:r>
    </w:p>
    <w:p w14:paraId="4AAF245F" w14:textId="379B0ABE" w:rsidR="005F75FF" w:rsidRDefault="1009F528" w:rsidP="5FCB472B">
      <w:pPr>
        <w:spacing w:before="210" w:after="210" w:line="300" w:lineRule="auto"/>
        <w:ind w:left="720" w:hanging="720"/>
      </w:pPr>
      <w:r w:rsidRPr="5FCB472B">
        <w:t xml:space="preserve">Knobloch, N. A., Ball, A. L., &amp; Allen, C. (2007). The benefits of teaching and learning about agriculture in elementary and junior high schools. </w:t>
      </w:r>
      <w:r w:rsidRPr="5FCB472B">
        <w:rPr>
          <w:i/>
          <w:iCs/>
        </w:rPr>
        <w:t>Journal of Agricultur</w:t>
      </w:r>
      <w:r w:rsidR="00394207">
        <w:rPr>
          <w:i/>
          <w:iCs/>
        </w:rPr>
        <w:t>al</w:t>
      </w:r>
      <w:r w:rsidRPr="5FCB472B">
        <w:rPr>
          <w:i/>
          <w:iCs/>
        </w:rPr>
        <w:t xml:space="preserve"> Education, 48</w:t>
      </w:r>
      <w:r w:rsidRPr="5FCB472B">
        <w:t xml:space="preserve">(3), 25-36. </w:t>
      </w:r>
      <w:r w:rsidRPr="00520108">
        <w:t>https://doi.org/10.5032/jae.2007.03025</w:t>
      </w:r>
    </w:p>
    <w:p w14:paraId="1589B6D5" w14:textId="2EC4A79E" w:rsidR="005F75FF" w:rsidRDefault="1009F528" w:rsidP="5FCB472B">
      <w:pPr>
        <w:spacing w:before="210" w:after="210" w:line="300" w:lineRule="auto"/>
        <w:ind w:left="720" w:hanging="720"/>
      </w:pPr>
      <w:r w:rsidRPr="5FCB472B">
        <w:t xml:space="preserve">Kolleck, N., Schuster, J., Hartmann, U., &amp; </w:t>
      </w:r>
      <w:proofErr w:type="spellStart"/>
      <w:r w:rsidRPr="5FCB472B">
        <w:t>Gräsel</w:t>
      </w:r>
      <w:proofErr w:type="spellEnd"/>
      <w:r w:rsidRPr="5FCB472B">
        <w:t xml:space="preserve">, C. (2021). Teachers' professional collaboration and trust relationships: An inferential social network analysis of teacher teams. </w:t>
      </w:r>
      <w:r w:rsidRPr="5FCB472B">
        <w:rPr>
          <w:i/>
          <w:iCs/>
        </w:rPr>
        <w:t>Research in Education, 111</w:t>
      </w:r>
      <w:r w:rsidRPr="5FCB472B">
        <w:t>(1), 89-107.</w:t>
      </w:r>
      <w:r w:rsidR="00394207">
        <w:t xml:space="preserve"> </w:t>
      </w:r>
      <w:r w:rsidRPr="00520108">
        <w:t>https://doi.org/10.1177/00345237211031585</w:t>
      </w:r>
    </w:p>
    <w:p w14:paraId="6B9B6758" w14:textId="6E999CDF" w:rsidR="005F75FF" w:rsidRDefault="1009F528" w:rsidP="5FCB472B">
      <w:pPr>
        <w:spacing w:before="210" w:after="210" w:line="300" w:lineRule="auto"/>
        <w:ind w:left="720" w:hanging="720"/>
      </w:pPr>
      <w:proofErr w:type="spellStart"/>
      <w:r w:rsidRPr="5FCB472B">
        <w:lastRenderedPageBreak/>
        <w:t>Lazarsfeld</w:t>
      </w:r>
      <w:proofErr w:type="spellEnd"/>
      <w:r w:rsidRPr="5FCB472B">
        <w:t xml:space="preserve">, P., Berelson, B., &amp; Gaudet, H. (1948). </w:t>
      </w:r>
      <w:r w:rsidRPr="5FCB472B">
        <w:rPr>
          <w:i/>
          <w:iCs/>
        </w:rPr>
        <w:t>The people's choice</w:t>
      </w:r>
      <w:r w:rsidRPr="5FCB472B">
        <w:t xml:space="preserve"> (2nd ed.). Columbia University Press.</w:t>
      </w:r>
    </w:p>
    <w:p w14:paraId="685F0175" w14:textId="650D91A2" w:rsidR="007B6549" w:rsidRDefault="007B6549" w:rsidP="5FCB472B">
      <w:pPr>
        <w:spacing w:before="210" w:after="210" w:line="300" w:lineRule="auto"/>
        <w:ind w:left="720" w:hanging="720"/>
      </w:pPr>
      <w:r>
        <w:t xml:space="preserve">Lewis, J. D., &amp; Weigert, A. (1985). Trust as a social reality. </w:t>
      </w:r>
      <w:r>
        <w:rPr>
          <w:rStyle w:val="Emphasis"/>
          <w:rFonts w:eastAsiaTheme="majorEastAsia"/>
        </w:rPr>
        <w:t>Social Forces, 63</w:t>
      </w:r>
      <w:r>
        <w:t>(4), 967–985. https://doi.org/10.1093/sf/63.4.967</w:t>
      </w:r>
    </w:p>
    <w:p w14:paraId="322ACE5A" w14:textId="3CABDA6F" w:rsidR="00F55A19" w:rsidRDefault="00F55A19" w:rsidP="5FCB472B">
      <w:pPr>
        <w:spacing w:before="210" w:after="210" w:line="300" w:lineRule="auto"/>
        <w:ind w:left="720" w:hanging="720"/>
      </w:pPr>
      <w:r>
        <w:t xml:space="preserve">Marin, A., &amp; Wellman, B. (2011). Social network analysis: An introduction. In J. Scott &amp; P. J. Carrington (Eds.), </w:t>
      </w:r>
      <w:r>
        <w:rPr>
          <w:rStyle w:val="Emphasis"/>
          <w:rFonts w:eastAsiaTheme="majorEastAsia"/>
        </w:rPr>
        <w:t>The SAGE handbook of social network analysis</w:t>
      </w:r>
      <w:r>
        <w:t xml:space="preserve"> (pp. 11–25). Sage.</w:t>
      </w:r>
    </w:p>
    <w:p w14:paraId="2763FFE1" w14:textId="5E991796" w:rsidR="007B6549" w:rsidRDefault="007B6549" w:rsidP="5FCB472B">
      <w:pPr>
        <w:spacing w:before="210" w:after="210" w:line="300" w:lineRule="auto"/>
        <w:ind w:left="720" w:hanging="720"/>
      </w:pPr>
      <w:r>
        <w:t xml:space="preserve">Mayer, R. C., Davis, J. H., &amp; </w:t>
      </w:r>
      <w:proofErr w:type="spellStart"/>
      <w:r>
        <w:t>Schoorman</w:t>
      </w:r>
      <w:proofErr w:type="spellEnd"/>
      <w:r>
        <w:t xml:space="preserve">, F. D. (1995). An integrative model of organizational trust. </w:t>
      </w:r>
      <w:r>
        <w:rPr>
          <w:rStyle w:val="Emphasis"/>
          <w:rFonts w:eastAsiaTheme="majorEastAsia"/>
        </w:rPr>
        <w:t>Academy of Management Review, 20</w:t>
      </w:r>
      <w:r>
        <w:t>(3), 709–734. https://doi.org/10.5465/amr.1995.9508080335</w:t>
      </w:r>
    </w:p>
    <w:p w14:paraId="18C22CA2" w14:textId="1C0282E3" w:rsidR="005F75FF" w:rsidRDefault="1009F528" w:rsidP="5FCB472B">
      <w:pPr>
        <w:spacing w:before="210" w:after="210" w:line="300" w:lineRule="auto"/>
        <w:ind w:left="720" w:hanging="720"/>
      </w:pPr>
      <w:r w:rsidRPr="5FCB472B">
        <w:t xml:space="preserve">Merluzzi, J., &amp; Burt, R. S. (2013). How many names are enough? Identifying network effects with the least set of listed contacts. </w:t>
      </w:r>
      <w:r w:rsidRPr="5FCB472B">
        <w:rPr>
          <w:i/>
          <w:iCs/>
        </w:rPr>
        <w:t>Social Networks, 35</w:t>
      </w:r>
      <w:r w:rsidRPr="5FCB472B">
        <w:t xml:space="preserve">(3), 331-337. </w:t>
      </w:r>
      <w:r w:rsidRPr="00520108">
        <w:t>https://doi.org/10.1016/j.socnet.2013.03.004</w:t>
      </w:r>
    </w:p>
    <w:p w14:paraId="1048B0D9" w14:textId="3491EE9B" w:rsidR="00E8682D" w:rsidRDefault="00E8682D" w:rsidP="5FCB472B">
      <w:pPr>
        <w:spacing w:before="210" w:after="210" w:line="300" w:lineRule="auto"/>
        <w:ind w:left="720" w:hanging="720"/>
      </w:pPr>
      <w:r w:rsidRPr="0057422E">
        <w:rPr>
          <w:rStyle w:val="Strong"/>
          <w:rFonts w:eastAsiaTheme="majorEastAsia"/>
          <w:b w:val="0"/>
          <w:bCs w:val="0"/>
        </w:rPr>
        <w:t>Moolenaar, N. M., &amp; Daly, A. J. (2012).</w:t>
      </w:r>
      <w:r w:rsidR="0057422E">
        <w:t xml:space="preserve"> </w:t>
      </w:r>
      <w:r>
        <w:t xml:space="preserve">Social networks in education: Exploring the social side of the reform equation. </w:t>
      </w:r>
      <w:r>
        <w:rPr>
          <w:rStyle w:val="Emphasis"/>
          <w:rFonts w:eastAsiaTheme="majorEastAsia"/>
        </w:rPr>
        <w:t>American Journal of Education, 119</w:t>
      </w:r>
      <w:r>
        <w:t>(1), 1–26.</w:t>
      </w:r>
      <w:r w:rsidR="001F2806">
        <w:t xml:space="preserve"> </w:t>
      </w:r>
      <w:r w:rsidR="001F2806" w:rsidRPr="0057422E">
        <w:t>https://doi.org/10.1086/667762</w:t>
      </w:r>
      <w:r w:rsidR="001F2806">
        <w:t xml:space="preserve"> </w:t>
      </w:r>
    </w:p>
    <w:p w14:paraId="02FAFED4" w14:textId="1631A86A" w:rsidR="00C55367" w:rsidRDefault="00C55367" w:rsidP="007B6549">
      <w:pPr>
        <w:spacing w:before="210" w:after="210" w:line="300" w:lineRule="auto"/>
        <w:ind w:left="720" w:hanging="720"/>
      </w:pPr>
      <w:r w:rsidRPr="00C55367">
        <w:t xml:space="preserve">Mouw, T., &amp; Verdery, A. M. (2012). </w:t>
      </w:r>
      <w:r>
        <w:t>N</w:t>
      </w:r>
      <w:r w:rsidRPr="00C55367">
        <w:t xml:space="preserve">etwork sampling with memory: </w:t>
      </w:r>
      <w:r>
        <w:t>A</w:t>
      </w:r>
      <w:r w:rsidRPr="00C55367">
        <w:t xml:space="preserve"> proposal for more efficient sampling from social networks</w:t>
      </w:r>
      <w:r>
        <w:t>.</w:t>
      </w:r>
      <w:r w:rsidRPr="00C55367">
        <w:t xml:space="preserve"> </w:t>
      </w:r>
      <w:r w:rsidRPr="00C55367">
        <w:rPr>
          <w:i/>
          <w:iCs/>
        </w:rPr>
        <w:t>Sociological Methodology, 42</w:t>
      </w:r>
      <w:r w:rsidRPr="00C55367">
        <w:t>(1), 206-256. https://doi.org/10.1177/0081175012461248</w:t>
      </w:r>
    </w:p>
    <w:p w14:paraId="2F1A5C67" w14:textId="3B5D3D07" w:rsidR="005F75FF" w:rsidRDefault="1009F528" w:rsidP="007B6549">
      <w:pPr>
        <w:spacing w:before="210" w:after="210" w:line="300" w:lineRule="auto"/>
        <w:ind w:left="720" w:hanging="720"/>
      </w:pPr>
      <w:r w:rsidRPr="5FCB472B">
        <w:t xml:space="preserve">Palmer, D., Stough, L., </w:t>
      </w:r>
      <w:proofErr w:type="spellStart"/>
      <w:r w:rsidRPr="5FCB472B">
        <w:t>Burdenski</w:t>
      </w:r>
      <w:proofErr w:type="spellEnd"/>
      <w:r w:rsidRPr="5FCB472B">
        <w:t xml:space="preserve">, T., &amp; Gonzales, M. (2001). Identifying teacher expertise: An examination of researchers' decision-making. </w:t>
      </w:r>
      <w:r w:rsidRPr="5FCB472B">
        <w:rPr>
          <w:i/>
          <w:iCs/>
        </w:rPr>
        <w:t>Educational Psychologist, 40</w:t>
      </w:r>
      <w:r w:rsidRPr="5FCB472B">
        <w:t xml:space="preserve">(1), 13-25. </w:t>
      </w:r>
      <w:r w:rsidRPr="00520108">
        <w:t>https://doi.org/10.1207/s15326985ep4001_2</w:t>
      </w:r>
    </w:p>
    <w:p w14:paraId="62CD0B06" w14:textId="6C24F182" w:rsidR="00F55A19" w:rsidRDefault="00F55A19" w:rsidP="5FCB472B">
      <w:pPr>
        <w:spacing w:before="210" w:after="210" w:line="300" w:lineRule="auto"/>
        <w:ind w:left="720" w:hanging="720"/>
      </w:pPr>
      <w:r w:rsidRPr="00F55A19">
        <w:t>Rousseau, D. M., Sitkin, S. B., Burt, R. S., &amp; Camerer, C. (1998). Not so different after all: A cross-</w:t>
      </w:r>
      <w:proofErr w:type="gramStart"/>
      <w:r w:rsidRPr="00F55A19">
        <w:t>discipline</w:t>
      </w:r>
      <w:proofErr w:type="gramEnd"/>
      <w:r w:rsidRPr="00F55A19">
        <w:t xml:space="preserve"> view of trust. </w:t>
      </w:r>
      <w:r w:rsidRPr="00F55A19">
        <w:rPr>
          <w:i/>
          <w:iCs/>
        </w:rPr>
        <w:t>Academy of Management Review, 23</w:t>
      </w:r>
      <w:r w:rsidRPr="00F55A19">
        <w:t xml:space="preserve">(3), 393–404. </w:t>
      </w:r>
      <w:r w:rsidR="00152BDD" w:rsidRPr="00EE6561">
        <w:t>https://doi.org/10.5465/amr.1998.926617</w:t>
      </w:r>
    </w:p>
    <w:p w14:paraId="797894E4" w14:textId="382E49AC" w:rsidR="005F75FF" w:rsidRDefault="1009F528" w:rsidP="5FCB472B">
      <w:pPr>
        <w:spacing w:before="210" w:after="210" w:line="300" w:lineRule="auto"/>
        <w:ind w:left="720" w:hanging="720"/>
      </w:pPr>
      <w:r w:rsidRPr="5FCB472B">
        <w:t xml:space="preserve">Tschannen-Moran, M., &amp; Hoy, W. K. (2000). A multidisciplinary analysis of </w:t>
      </w:r>
      <w:proofErr w:type="gramStart"/>
      <w:r w:rsidRPr="5FCB472B">
        <w:t>the nature</w:t>
      </w:r>
      <w:proofErr w:type="gramEnd"/>
      <w:r w:rsidRPr="5FCB472B">
        <w:t xml:space="preserve">, meaning, and measurement of trust. </w:t>
      </w:r>
      <w:r w:rsidRPr="5FCB472B">
        <w:rPr>
          <w:i/>
          <w:iCs/>
        </w:rPr>
        <w:t>Review of Educational Research, 70</w:t>
      </w:r>
      <w:r w:rsidRPr="5FCB472B">
        <w:t xml:space="preserve">(4), 547-593. </w:t>
      </w:r>
      <w:r w:rsidRPr="00520108">
        <w:t>https://doi.org/10.3102/00346543070004547</w:t>
      </w:r>
    </w:p>
    <w:p w14:paraId="556EA3C6" w14:textId="44AEE2F5" w:rsidR="00C55367" w:rsidRDefault="00C55367" w:rsidP="00394207">
      <w:pPr>
        <w:spacing w:after="240"/>
        <w:ind w:left="720" w:hanging="720"/>
      </w:pPr>
      <w:r>
        <w:t xml:space="preserve">Wasserman, S., &amp; Faust, K. (1994). </w:t>
      </w:r>
      <w:r>
        <w:rPr>
          <w:rStyle w:val="Emphasis"/>
          <w:rFonts w:eastAsiaTheme="majorEastAsia"/>
        </w:rPr>
        <w:t>Social network analysis: Methods and applications</w:t>
      </w:r>
      <w:r>
        <w:t>. Cambridge University Press.</w:t>
      </w:r>
    </w:p>
    <w:p w14:paraId="3916ECFB" w14:textId="536B4624" w:rsidR="006518C3" w:rsidRDefault="00394207" w:rsidP="00394207">
      <w:pPr>
        <w:spacing w:after="240"/>
        <w:ind w:left="720" w:hanging="720"/>
      </w:pPr>
      <w:r>
        <w:t xml:space="preserve">Valente, T. W. (2012). </w:t>
      </w:r>
      <w:r w:rsidRPr="00394207">
        <w:rPr>
          <w:i/>
          <w:iCs/>
        </w:rPr>
        <w:t>Network interventions. Science, 337</w:t>
      </w:r>
      <w:r>
        <w:t>(6090), 49–53. https://doi.org/10.1126/science.1217330</w:t>
      </w:r>
    </w:p>
    <w:p w14:paraId="5CF5E9D0" w14:textId="08600D8D" w:rsidR="006518C3" w:rsidRPr="003A35C3" w:rsidRDefault="006518C3" w:rsidP="005F75FF">
      <w:pPr>
        <w:spacing w:after="240"/>
      </w:pPr>
    </w:p>
    <w:p w14:paraId="5F8E49DA" w14:textId="0121313D" w:rsidR="003A35C3" w:rsidRDefault="003A35C3" w:rsidP="005F75FF">
      <w:pPr>
        <w:spacing w:after="240"/>
      </w:pPr>
    </w:p>
    <w:p w14:paraId="46116B85" w14:textId="77777777" w:rsidR="003A35C3" w:rsidRPr="003744F1" w:rsidRDefault="003A35C3" w:rsidP="005F75FF">
      <w:pPr>
        <w:spacing w:after="240"/>
      </w:pPr>
    </w:p>
    <w:sectPr w:rsidR="003A35C3" w:rsidRPr="003744F1" w:rsidSect="00CC2B53">
      <w:headerReference w:type="default" r:id="rId8"/>
      <w:footerReference w:type="even" r:id="rId9"/>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7F22B3" w14:textId="77777777" w:rsidR="001117DF" w:rsidRDefault="001117DF">
      <w:r>
        <w:separator/>
      </w:r>
    </w:p>
  </w:endnote>
  <w:endnote w:type="continuationSeparator" w:id="0">
    <w:p w14:paraId="4A4518C1" w14:textId="77777777" w:rsidR="001117DF" w:rsidRDefault="001117DF">
      <w:r>
        <w:continuationSeparator/>
      </w:r>
    </w:p>
  </w:endnote>
  <w:endnote w:type="continuationNotice" w:id="1">
    <w:p w14:paraId="675A4DE6" w14:textId="77777777" w:rsidR="001117DF" w:rsidRDefault="001117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75813361"/>
      <w:docPartObj>
        <w:docPartGallery w:val="Page Numbers (Bottom of Page)"/>
        <w:docPartUnique/>
      </w:docPartObj>
    </w:sdtPr>
    <w:sdtEndPr>
      <w:rPr>
        <w:rStyle w:val="PageNumber"/>
      </w:rPr>
    </w:sdtEndPr>
    <w:sdtContent>
      <w:p w14:paraId="1E19B28D" w14:textId="68ADBA96" w:rsidR="00A53AFD" w:rsidRDefault="00A53AF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A42573E" w14:textId="77777777" w:rsidR="00A53AFD" w:rsidRDefault="00A53A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2611348"/>
      <w:docPartObj>
        <w:docPartGallery w:val="Page Numbers (Bottom of Page)"/>
        <w:docPartUnique/>
      </w:docPartObj>
    </w:sdtPr>
    <w:sdtEndPr>
      <w:rPr>
        <w:noProof/>
      </w:rPr>
    </w:sdtEndPr>
    <w:sdtContent>
      <w:p w14:paraId="66A9B9DE" w14:textId="6FD79657" w:rsidR="000613B6" w:rsidRDefault="000613B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0689B5" w14:textId="5ECFD84C" w:rsidR="5DBB23E9" w:rsidRDefault="5DBB23E9" w:rsidP="5FCB472B">
    <w:pPr>
      <w:pStyle w:val="Footer"/>
      <w:rPr>
        <w:rStyle w:val="PageNumbe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E216C4" w14:textId="77777777" w:rsidR="001117DF" w:rsidRDefault="001117DF">
      <w:r>
        <w:separator/>
      </w:r>
    </w:p>
  </w:footnote>
  <w:footnote w:type="continuationSeparator" w:id="0">
    <w:p w14:paraId="04D440C9" w14:textId="77777777" w:rsidR="001117DF" w:rsidRDefault="001117DF">
      <w:r>
        <w:continuationSeparator/>
      </w:r>
    </w:p>
  </w:footnote>
  <w:footnote w:type="continuationNotice" w:id="1">
    <w:p w14:paraId="1202AC59" w14:textId="77777777" w:rsidR="001117DF" w:rsidRDefault="001117D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DBB23E9" w14:paraId="4D6496AB" w14:textId="77777777" w:rsidTr="5DBB23E9">
      <w:trPr>
        <w:trHeight w:val="300"/>
      </w:trPr>
      <w:tc>
        <w:tcPr>
          <w:tcW w:w="3120" w:type="dxa"/>
        </w:tcPr>
        <w:p w14:paraId="4B52A7BF" w14:textId="3FB98D73" w:rsidR="5DBB23E9" w:rsidRDefault="5DBB23E9" w:rsidP="5DBB23E9">
          <w:pPr>
            <w:pStyle w:val="Header"/>
            <w:ind w:left="-115"/>
          </w:pPr>
        </w:p>
      </w:tc>
      <w:tc>
        <w:tcPr>
          <w:tcW w:w="3120" w:type="dxa"/>
        </w:tcPr>
        <w:p w14:paraId="1A0D204C" w14:textId="42531D66" w:rsidR="5DBB23E9" w:rsidRDefault="5DBB23E9" w:rsidP="5DBB23E9">
          <w:pPr>
            <w:pStyle w:val="Header"/>
            <w:jc w:val="center"/>
          </w:pPr>
        </w:p>
      </w:tc>
      <w:tc>
        <w:tcPr>
          <w:tcW w:w="3120" w:type="dxa"/>
        </w:tcPr>
        <w:p w14:paraId="18CB9A60" w14:textId="3D7870A2" w:rsidR="5DBB23E9" w:rsidRDefault="5DBB23E9" w:rsidP="5DBB23E9">
          <w:pPr>
            <w:pStyle w:val="Header"/>
            <w:ind w:right="-115"/>
            <w:jc w:val="right"/>
          </w:pPr>
        </w:p>
      </w:tc>
    </w:tr>
    <w:tr w:rsidR="001C755E" w14:paraId="794A1097" w14:textId="77777777" w:rsidTr="5DBB23E9">
      <w:trPr>
        <w:trHeight w:val="300"/>
      </w:trPr>
      <w:tc>
        <w:tcPr>
          <w:tcW w:w="3120" w:type="dxa"/>
        </w:tcPr>
        <w:p w14:paraId="54C863C5" w14:textId="77777777" w:rsidR="001C755E" w:rsidRDefault="001C755E" w:rsidP="001C755E">
          <w:pPr>
            <w:pStyle w:val="Header"/>
          </w:pPr>
        </w:p>
      </w:tc>
      <w:tc>
        <w:tcPr>
          <w:tcW w:w="3120" w:type="dxa"/>
        </w:tcPr>
        <w:p w14:paraId="26A8591B" w14:textId="77777777" w:rsidR="001C755E" w:rsidRDefault="001C755E" w:rsidP="5DBB23E9">
          <w:pPr>
            <w:pStyle w:val="Header"/>
            <w:jc w:val="center"/>
          </w:pPr>
        </w:p>
      </w:tc>
      <w:tc>
        <w:tcPr>
          <w:tcW w:w="3120" w:type="dxa"/>
        </w:tcPr>
        <w:p w14:paraId="236F20CD" w14:textId="77777777" w:rsidR="001C755E" w:rsidRDefault="001C755E" w:rsidP="5DBB23E9">
          <w:pPr>
            <w:pStyle w:val="Header"/>
            <w:ind w:right="-115"/>
            <w:jc w:val="right"/>
          </w:pPr>
        </w:p>
      </w:tc>
    </w:tr>
  </w:tbl>
  <w:p w14:paraId="70C02941" w14:textId="1F3A3806" w:rsidR="5DBB23E9" w:rsidRDefault="5DBB23E9" w:rsidP="5DBB23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DE8C1"/>
    <w:multiLevelType w:val="hybridMultilevel"/>
    <w:tmpl w:val="7174CDF6"/>
    <w:lvl w:ilvl="0" w:tplc="E84C6104">
      <w:start w:val="1"/>
      <w:numFmt w:val="bullet"/>
      <w:lvlText w:val=""/>
      <w:lvlJc w:val="left"/>
      <w:pPr>
        <w:ind w:left="720" w:hanging="360"/>
      </w:pPr>
      <w:rPr>
        <w:rFonts w:ascii="Symbol" w:hAnsi="Symbol" w:hint="default"/>
      </w:rPr>
    </w:lvl>
    <w:lvl w:ilvl="1" w:tplc="5B32E9A6">
      <w:start w:val="1"/>
      <w:numFmt w:val="bullet"/>
      <w:lvlText w:val="o"/>
      <w:lvlJc w:val="left"/>
      <w:pPr>
        <w:ind w:left="1440" w:hanging="360"/>
      </w:pPr>
      <w:rPr>
        <w:rFonts w:ascii="Courier New" w:hAnsi="Courier New" w:hint="default"/>
      </w:rPr>
    </w:lvl>
    <w:lvl w:ilvl="2" w:tplc="12220FD6">
      <w:start w:val="1"/>
      <w:numFmt w:val="bullet"/>
      <w:lvlText w:val=""/>
      <w:lvlJc w:val="left"/>
      <w:pPr>
        <w:ind w:left="2160" w:hanging="360"/>
      </w:pPr>
      <w:rPr>
        <w:rFonts w:ascii="Wingdings" w:hAnsi="Wingdings" w:hint="default"/>
      </w:rPr>
    </w:lvl>
    <w:lvl w:ilvl="3" w:tplc="C1FECC90">
      <w:start w:val="1"/>
      <w:numFmt w:val="bullet"/>
      <w:lvlText w:val=""/>
      <w:lvlJc w:val="left"/>
      <w:pPr>
        <w:ind w:left="2880" w:hanging="360"/>
      </w:pPr>
      <w:rPr>
        <w:rFonts w:ascii="Symbol" w:hAnsi="Symbol" w:hint="default"/>
      </w:rPr>
    </w:lvl>
    <w:lvl w:ilvl="4" w:tplc="39B68C5C">
      <w:start w:val="1"/>
      <w:numFmt w:val="bullet"/>
      <w:lvlText w:val="o"/>
      <w:lvlJc w:val="left"/>
      <w:pPr>
        <w:ind w:left="3600" w:hanging="360"/>
      </w:pPr>
      <w:rPr>
        <w:rFonts w:ascii="Courier New" w:hAnsi="Courier New" w:hint="default"/>
      </w:rPr>
    </w:lvl>
    <w:lvl w:ilvl="5" w:tplc="1EB0AD2E">
      <w:start w:val="1"/>
      <w:numFmt w:val="bullet"/>
      <w:lvlText w:val=""/>
      <w:lvlJc w:val="left"/>
      <w:pPr>
        <w:ind w:left="4320" w:hanging="360"/>
      </w:pPr>
      <w:rPr>
        <w:rFonts w:ascii="Wingdings" w:hAnsi="Wingdings" w:hint="default"/>
      </w:rPr>
    </w:lvl>
    <w:lvl w:ilvl="6" w:tplc="2D6602E0">
      <w:start w:val="1"/>
      <w:numFmt w:val="bullet"/>
      <w:lvlText w:val=""/>
      <w:lvlJc w:val="left"/>
      <w:pPr>
        <w:ind w:left="5040" w:hanging="360"/>
      </w:pPr>
      <w:rPr>
        <w:rFonts w:ascii="Symbol" w:hAnsi="Symbol" w:hint="default"/>
      </w:rPr>
    </w:lvl>
    <w:lvl w:ilvl="7" w:tplc="B85AE1F0">
      <w:start w:val="1"/>
      <w:numFmt w:val="bullet"/>
      <w:lvlText w:val="o"/>
      <w:lvlJc w:val="left"/>
      <w:pPr>
        <w:ind w:left="5760" w:hanging="360"/>
      </w:pPr>
      <w:rPr>
        <w:rFonts w:ascii="Courier New" w:hAnsi="Courier New" w:hint="default"/>
      </w:rPr>
    </w:lvl>
    <w:lvl w:ilvl="8" w:tplc="54A6D4F4">
      <w:start w:val="1"/>
      <w:numFmt w:val="bullet"/>
      <w:lvlText w:val=""/>
      <w:lvlJc w:val="left"/>
      <w:pPr>
        <w:ind w:left="6480" w:hanging="360"/>
      </w:pPr>
      <w:rPr>
        <w:rFonts w:ascii="Wingdings" w:hAnsi="Wingdings" w:hint="default"/>
      </w:rPr>
    </w:lvl>
  </w:abstractNum>
  <w:abstractNum w:abstractNumId="1" w15:restartNumberingAfterBreak="0">
    <w:nsid w:val="07950054"/>
    <w:multiLevelType w:val="hybridMultilevel"/>
    <w:tmpl w:val="75ACA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A204E8"/>
    <w:multiLevelType w:val="multilevel"/>
    <w:tmpl w:val="F5D21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6F210A"/>
    <w:multiLevelType w:val="multilevel"/>
    <w:tmpl w:val="5DFC2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DA7786"/>
    <w:multiLevelType w:val="multilevel"/>
    <w:tmpl w:val="3B28D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283DA7"/>
    <w:multiLevelType w:val="multilevel"/>
    <w:tmpl w:val="F9442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70732B4"/>
    <w:multiLevelType w:val="hybridMultilevel"/>
    <w:tmpl w:val="D8584364"/>
    <w:lvl w:ilvl="0" w:tplc="DB12C55A">
      <w:start w:val="1"/>
      <w:numFmt w:val="bullet"/>
      <w:lvlText w:val=""/>
      <w:lvlJc w:val="left"/>
      <w:pPr>
        <w:ind w:left="720" w:hanging="360"/>
      </w:pPr>
      <w:rPr>
        <w:rFonts w:ascii="Symbol" w:hAnsi="Symbol" w:hint="default"/>
      </w:rPr>
    </w:lvl>
    <w:lvl w:ilvl="1" w:tplc="C7407C88">
      <w:start w:val="1"/>
      <w:numFmt w:val="bullet"/>
      <w:lvlText w:val="o"/>
      <w:lvlJc w:val="left"/>
      <w:pPr>
        <w:ind w:left="1440" w:hanging="360"/>
      </w:pPr>
      <w:rPr>
        <w:rFonts w:ascii="Courier New" w:hAnsi="Courier New" w:hint="default"/>
      </w:rPr>
    </w:lvl>
    <w:lvl w:ilvl="2" w:tplc="DDF6CE62">
      <w:start w:val="1"/>
      <w:numFmt w:val="bullet"/>
      <w:lvlText w:val=""/>
      <w:lvlJc w:val="left"/>
      <w:pPr>
        <w:ind w:left="2160" w:hanging="360"/>
      </w:pPr>
      <w:rPr>
        <w:rFonts w:ascii="Wingdings" w:hAnsi="Wingdings" w:hint="default"/>
      </w:rPr>
    </w:lvl>
    <w:lvl w:ilvl="3" w:tplc="0100C820">
      <w:start w:val="1"/>
      <w:numFmt w:val="bullet"/>
      <w:lvlText w:val=""/>
      <w:lvlJc w:val="left"/>
      <w:pPr>
        <w:ind w:left="2880" w:hanging="360"/>
      </w:pPr>
      <w:rPr>
        <w:rFonts w:ascii="Symbol" w:hAnsi="Symbol" w:hint="default"/>
      </w:rPr>
    </w:lvl>
    <w:lvl w:ilvl="4" w:tplc="10A6ED7C">
      <w:start w:val="1"/>
      <w:numFmt w:val="bullet"/>
      <w:lvlText w:val="o"/>
      <w:lvlJc w:val="left"/>
      <w:pPr>
        <w:ind w:left="3600" w:hanging="360"/>
      </w:pPr>
      <w:rPr>
        <w:rFonts w:ascii="Courier New" w:hAnsi="Courier New" w:hint="default"/>
      </w:rPr>
    </w:lvl>
    <w:lvl w:ilvl="5" w:tplc="56267630">
      <w:start w:val="1"/>
      <w:numFmt w:val="bullet"/>
      <w:lvlText w:val=""/>
      <w:lvlJc w:val="left"/>
      <w:pPr>
        <w:ind w:left="4320" w:hanging="360"/>
      </w:pPr>
      <w:rPr>
        <w:rFonts w:ascii="Wingdings" w:hAnsi="Wingdings" w:hint="default"/>
      </w:rPr>
    </w:lvl>
    <w:lvl w:ilvl="6" w:tplc="B566A17A">
      <w:start w:val="1"/>
      <w:numFmt w:val="bullet"/>
      <w:lvlText w:val=""/>
      <w:lvlJc w:val="left"/>
      <w:pPr>
        <w:ind w:left="5040" w:hanging="360"/>
      </w:pPr>
      <w:rPr>
        <w:rFonts w:ascii="Symbol" w:hAnsi="Symbol" w:hint="default"/>
      </w:rPr>
    </w:lvl>
    <w:lvl w:ilvl="7" w:tplc="34C6072A">
      <w:start w:val="1"/>
      <w:numFmt w:val="bullet"/>
      <w:lvlText w:val="o"/>
      <w:lvlJc w:val="left"/>
      <w:pPr>
        <w:ind w:left="5760" w:hanging="360"/>
      </w:pPr>
      <w:rPr>
        <w:rFonts w:ascii="Courier New" w:hAnsi="Courier New" w:hint="default"/>
      </w:rPr>
    </w:lvl>
    <w:lvl w:ilvl="8" w:tplc="32069DEE">
      <w:start w:val="1"/>
      <w:numFmt w:val="bullet"/>
      <w:lvlText w:val=""/>
      <w:lvlJc w:val="left"/>
      <w:pPr>
        <w:ind w:left="6480" w:hanging="360"/>
      </w:pPr>
      <w:rPr>
        <w:rFonts w:ascii="Wingdings" w:hAnsi="Wingdings" w:hint="default"/>
      </w:rPr>
    </w:lvl>
  </w:abstractNum>
  <w:abstractNum w:abstractNumId="7" w15:restartNumberingAfterBreak="0">
    <w:nsid w:val="7A457C33"/>
    <w:multiLevelType w:val="multilevel"/>
    <w:tmpl w:val="F648E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44775472">
    <w:abstractNumId w:val="6"/>
  </w:num>
  <w:num w:numId="2" w16cid:durableId="670062991">
    <w:abstractNumId w:val="0"/>
  </w:num>
  <w:num w:numId="3" w16cid:durableId="1450473940">
    <w:abstractNumId w:val="3"/>
  </w:num>
  <w:num w:numId="4" w16cid:durableId="2131389447">
    <w:abstractNumId w:val="1"/>
  </w:num>
  <w:num w:numId="5" w16cid:durableId="405802055">
    <w:abstractNumId w:val="7"/>
  </w:num>
  <w:num w:numId="6" w16cid:durableId="1000818735">
    <w:abstractNumId w:val="4"/>
  </w:num>
  <w:num w:numId="7" w16cid:durableId="1952199162">
    <w:abstractNumId w:val="5"/>
  </w:num>
  <w:num w:numId="8" w16cid:durableId="20634819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E15BBBE"/>
    <w:rsid w:val="000001BF"/>
    <w:rsid w:val="00010FE0"/>
    <w:rsid w:val="000132D2"/>
    <w:rsid w:val="00014F04"/>
    <w:rsid w:val="0001667A"/>
    <w:rsid w:val="00016DF1"/>
    <w:rsid w:val="00022B8F"/>
    <w:rsid w:val="00024754"/>
    <w:rsid w:val="00025528"/>
    <w:rsid w:val="00025F95"/>
    <w:rsid w:val="00026322"/>
    <w:rsid w:val="00031520"/>
    <w:rsid w:val="000332BD"/>
    <w:rsid w:val="00035BAF"/>
    <w:rsid w:val="0004248C"/>
    <w:rsid w:val="00047B27"/>
    <w:rsid w:val="000507BC"/>
    <w:rsid w:val="0005186F"/>
    <w:rsid w:val="00054704"/>
    <w:rsid w:val="0006009F"/>
    <w:rsid w:val="000613B6"/>
    <w:rsid w:val="0006208B"/>
    <w:rsid w:val="00063E87"/>
    <w:rsid w:val="00067EAA"/>
    <w:rsid w:val="00070A2F"/>
    <w:rsid w:val="00071B82"/>
    <w:rsid w:val="00086CC7"/>
    <w:rsid w:val="00093148"/>
    <w:rsid w:val="00093D6E"/>
    <w:rsid w:val="000A0D04"/>
    <w:rsid w:val="000A24F8"/>
    <w:rsid w:val="000A386F"/>
    <w:rsid w:val="000A3C64"/>
    <w:rsid w:val="000A4A46"/>
    <w:rsid w:val="000A5EF5"/>
    <w:rsid w:val="000A74F1"/>
    <w:rsid w:val="000B1ADC"/>
    <w:rsid w:val="000B4BA5"/>
    <w:rsid w:val="000B4F44"/>
    <w:rsid w:val="000B6596"/>
    <w:rsid w:val="000B6C1E"/>
    <w:rsid w:val="000C283C"/>
    <w:rsid w:val="000C3751"/>
    <w:rsid w:val="000D2BA5"/>
    <w:rsid w:val="000D48CB"/>
    <w:rsid w:val="000E2F78"/>
    <w:rsid w:val="000E6DB9"/>
    <w:rsid w:val="000F0024"/>
    <w:rsid w:val="000F0F78"/>
    <w:rsid w:val="000F1422"/>
    <w:rsid w:val="000F15DB"/>
    <w:rsid w:val="000F7AE6"/>
    <w:rsid w:val="00104852"/>
    <w:rsid w:val="00105431"/>
    <w:rsid w:val="00106A8F"/>
    <w:rsid w:val="00110195"/>
    <w:rsid w:val="001106B9"/>
    <w:rsid w:val="001117DF"/>
    <w:rsid w:val="0011643F"/>
    <w:rsid w:val="00117140"/>
    <w:rsid w:val="00120BD6"/>
    <w:rsid w:val="00124756"/>
    <w:rsid w:val="0013120C"/>
    <w:rsid w:val="00133211"/>
    <w:rsid w:val="0013393F"/>
    <w:rsid w:val="001363D6"/>
    <w:rsid w:val="001401E6"/>
    <w:rsid w:val="00141267"/>
    <w:rsid w:val="0014264C"/>
    <w:rsid w:val="00143138"/>
    <w:rsid w:val="00146157"/>
    <w:rsid w:val="00152BDD"/>
    <w:rsid w:val="0015389D"/>
    <w:rsid w:val="001553CF"/>
    <w:rsid w:val="0016329B"/>
    <w:rsid w:val="001675A7"/>
    <w:rsid w:val="00173C30"/>
    <w:rsid w:val="00182302"/>
    <w:rsid w:val="00185DB5"/>
    <w:rsid w:val="00192146"/>
    <w:rsid w:val="00194710"/>
    <w:rsid w:val="001A0510"/>
    <w:rsid w:val="001A11CB"/>
    <w:rsid w:val="001A181B"/>
    <w:rsid w:val="001A7A64"/>
    <w:rsid w:val="001B31E7"/>
    <w:rsid w:val="001C1A87"/>
    <w:rsid w:val="001C4B7B"/>
    <w:rsid w:val="001C56FD"/>
    <w:rsid w:val="001C5D29"/>
    <w:rsid w:val="001C658B"/>
    <w:rsid w:val="001C755E"/>
    <w:rsid w:val="001C769F"/>
    <w:rsid w:val="001C7782"/>
    <w:rsid w:val="001D726F"/>
    <w:rsid w:val="001E0F59"/>
    <w:rsid w:val="001E2978"/>
    <w:rsid w:val="001E614F"/>
    <w:rsid w:val="001F2806"/>
    <w:rsid w:val="001F4452"/>
    <w:rsid w:val="001F6A65"/>
    <w:rsid w:val="002038AD"/>
    <w:rsid w:val="002042B4"/>
    <w:rsid w:val="0020701D"/>
    <w:rsid w:val="00207067"/>
    <w:rsid w:val="002200BF"/>
    <w:rsid w:val="002220EB"/>
    <w:rsid w:val="00222639"/>
    <w:rsid w:val="002226D1"/>
    <w:rsid w:val="00224FF3"/>
    <w:rsid w:val="00230DAE"/>
    <w:rsid w:val="002313C9"/>
    <w:rsid w:val="00231DD2"/>
    <w:rsid w:val="00233EBC"/>
    <w:rsid w:val="002340D1"/>
    <w:rsid w:val="002420C1"/>
    <w:rsid w:val="002458EB"/>
    <w:rsid w:val="00247EC2"/>
    <w:rsid w:val="00250892"/>
    <w:rsid w:val="00252ACD"/>
    <w:rsid w:val="00253B12"/>
    <w:rsid w:val="00253DFE"/>
    <w:rsid w:val="00257D22"/>
    <w:rsid w:val="00261E11"/>
    <w:rsid w:val="002652E2"/>
    <w:rsid w:val="00267746"/>
    <w:rsid w:val="00273984"/>
    <w:rsid w:val="00273ECD"/>
    <w:rsid w:val="00274761"/>
    <w:rsid w:val="00281E66"/>
    <w:rsid w:val="00291644"/>
    <w:rsid w:val="00293B23"/>
    <w:rsid w:val="00294A3E"/>
    <w:rsid w:val="002956D1"/>
    <w:rsid w:val="00295CF7"/>
    <w:rsid w:val="002A2233"/>
    <w:rsid w:val="002A7E8D"/>
    <w:rsid w:val="002B298A"/>
    <w:rsid w:val="002B68F6"/>
    <w:rsid w:val="002C59AB"/>
    <w:rsid w:val="002E1B62"/>
    <w:rsid w:val="002E277F"/>
    <w:rsid w:val="002E36C4"/>
    <w:rsid w:val="002E4402"/>
    <w:rsid w:val="002E5F97"/>
    <w:rsid w:val="002F15D6"/>
    <w:rsid w:val="002F50F7"/>
    <w:rsid w:val="00304ADB"/>
    <w:rsid w:val="00311725"/>
    <w:rsid w:val="00311B0C"/>
    <w:rsid w:val="00314DDF"/>
    <w:rsid w:val="003172D2"/>
    <w:rsid w:val="00317E29"/>
    <w:rsid w:val="00322F26"/>
    <w:rsid w:val="00323AEC"/>
    <w:rsid w:val="00325BB4"/>
    <w:rsid w:val="00326CAC"/>
    <w:rsid w:val="00330955"/>
    <w:rsid w:val="00331C1D"/>
    <w:rsid w:val="0033326C"/>
    <w:rsid w:val="00335BFD"/>
    <w:rsid w:val="0033636B"/>
    <w:rsid w:val="0033673B"/>
    <w:rsid w:val="00340342"/>
    <w:rsid w:val="00366703"/>
    <w:rsid w:val="003668CA"/>
    <w:rsid w:val="00371BBC"/>
    <w:rsid w:val="003744F1"/>
    <w:rsid w:val="00380F90"/>
    <w:rsid w:val="00381D40"/>
    <w:rsid w:val="003856EF"/>
    <w:rsid w:val="00386FE8"/>
    <w:rsid w:val="00387A62"/>
    <w:rsid w:val="00393982"/>
    <w:rsid w:val="00394207"/>
    <w:rsid w:val="003A35C3"/>
    <w:rsid w:val="003A429D"/>
    <w:rsid w:val="003A536F"/>
    <w:rsid w:val="003B3014"/>
    <w:rsid w:val="003B6C4B"/>
    <w:rsid w:val="003C7967"/>
    <w:rsid w:val="003D04A1"/>
    <w:rsid w:val="003D109D"/>
    <w:rsid w:val="003D56B6"/>
    <w:rsid w:val="003D5B29"/>
    <w:rsid w:val="003E022F"/>
    <w:rsid w:val="003E6502"/>
    <w:rsid w:val="003F4EDF"/>
    <w:rsid w:val="003F6165"/>
    <w:rsid w:val="00400828"/>
    <w:rsid w:val="00402770"/>
    <w:rsid w:val="00403DA3"/>
    <w:rsid w:val="0040495B"/>
    <w:rsid w:val="00405E5D"/>
    <w:rsid w:val="004119D2"/>
    <w:rsid w:val="00413351"/>
    <w:rsid w:val="00414783"/>
    <w:rsid w:val="00414D56"/>
    <w:rsid w:val="00417D32"/>
    <w:rsid w:val="00420AE6"/>
    <w:rsid w:val="00422E5C"/>
    <w:rsid w:val="004236CF"/>
    <w:rsid w:val="004246FC"/>
    <w:rsid w:val="00426C6A"/>
    <w:rsid w:val="00427F03"/>
    <w:rsid w:val="004301DC"/>
    <w:rsid w:val="00431E37"/>
    <w:rsid w:val="004339D8"/>
    <w:rsid w:val="00433BC4"/>
    <w:rsid w:val="0043704C"/>
    <w:rsid w:val="004425BB"/>
    <w:rsid w:val="0044394F"/>
    <w:rsid w:val="00443F0F"/>
    <w:rsid w:val="00444FE6"/>
    <w:rsid w:val="00454678"/>
    <w:rsid w:val="00454B5A"/>
    <w:rsid w:val="004623B0"/>
    <w:rsid w:val="00482248"/>
    <w:rsid w:val="00483479"/>
    <w:rsid w:val="00485867"/>
    <w:rsid w:val="004945B1"/>
    <w:rsid w:val="004A5E4C"/>
    <w:rsid w:val="004A75EA"/>
    <w:rsid w:val="004B517E"/>
    <w:rsid w:val="004B763C"/>
    <w:rsid w:val="004B7C11"/>
    <w:rsid w:val="004D0CD3"/>
    <w:rsid w:val="004D14EB"/>
    <w:rsid w:val="004D3C1E"/>
    <w:rsid w:val="004D48BB"/>
    <w:rsid w:val="004D4BCB"/>
    <w:rsid w:val="004D616A"/>
    <w:rsid w:val="004E1D48"/>
    <w:rsid w:val="004E3D07"/>
    <w:rsid w:val="004E6CC7"/>
    <w:rsid w:val="004E7116"/>
    <w:rsid w:val="004F13B9"/>
    <w:rsid w:val="004F20EE"/>
    <w:rsid w:val="004F484E"/>
    <w:rsid w:val="004F57B0"/>
    <w:rsid w:val="004F5FB6"/>
    <w:rsid w:val="0050174E"/>
    <w:rsid w:val="005026B5"/>
    <w:rsid w:val="005050BB"/>
    <w:rsid w:val="00513429"/>
    <w:rsid w:val="0051549E"/>
    <w:rsid w:val="0051557B"/>
    <w:rsid w:val="00516A05"/>
    <w:rsid w:val="00520108"/>
    <w:rsid w:val="00526F4F"/>
    <w:rsid w:val="005330DD"/>
    <w:rsid w:val="005338CB"/>
    <w:rsid w:val="005369CF"/>
    <w:rsid w:val="00536AA0"/>
    <w:rsid w:val="0053778E"/>
    <w:rsid w:val="005414C3"/>
    <w:rsid w:val="005415C9"/>
    <w:rsid w:val="00541B9A"/>
    <w:rsid w:val="00543292"/>
    <w:rsid w:val="00544E6A"/>
    <w:rsid w:val="00545D13"/>
    <w:rsid w:val="00555833"/>
    <w:rsid w:val="00560C0C"/>
    <w:rsid w:val="00566B77"/>
    <w:rsid w:val="005715EF"/>
    <w:rsid w:val="0057422E"/>
    <w:rsid w:val="00574F71"/>
    <w:rsid w:val="005750D4"/>
    <w:rsid w:val="00580D5B"/>
    <w:rsid w:val="0058190F"/>
    <w:rsid w:val="00581AA8"/>
    <w:rsid w:val="00586907"/>
    <w:rsid w:val="0059197E"/>
    <w:rsid w:val="00595FCF"/>
    <w:rsid w:val="00597050"/>
    <w:rsid w:val="005A0719"/>
    <w:rsid w:val="005A1892"/>
    <w:rsid w:val="005A706C"/>
    <w:rsid w:val="005A7538"/>
    <w:rsid w:val="005B0AD4"/>
    <w:rsid w:val="005B1392"/>
    <w:rsid w:val="005B18BA"/>
    <w:rsid w:val="005C3A96"/>
    <w:rsid w:val="005C40F5"/>
    <w:rsid w:val="005C44BB"/>
    <w:rsid w:val="005C4557"/>
    <w:rsid w:val="005C56A6"/>
    <w:rsid w:val="005D17C5"/>
    <w:rsid w:val="005D1C1A"/>
    <w:rsid w:val="005D25F9"/>
    <w:rsid w:val="005D2F24"/>
    <w:rsid w:val="005E0FA8"/>
    <w:rsid w:val="005E135A"/>
    <w:rsid w:val="005E1C95"/>
    <w:rsid w:val="005E793A"/>
    <w:rsid w:val="005E7E3E"/>
    <w:rsid w:val="005F14A7"/>
    <w:rsid w:val="005F3E57"/>
    <w:rsid w:val="005F5B7A"/>
    <w:rsid w:val="005F75FF"/>
    <w:rsid w:val="00600D16"/>
    <w:rsid w:val="00602298"/>
    <w:rsid w:val="00604DD8"/>
    <w:rsid w:val="006058DB"/>
    <w:rsid w:val="00606CB4"/>
    <w:rsid w:val="00610363"/>
    <w:rsid w:val="0061418C"/>
    <w:rsid w:val="00616CA2"/>
    <w:rsid w:val="00617AC0"/>
    <w:rsid w:val="00620155"/>
    <w:rsid w:val="00621683"/>
    <w:rsid w:val="006240C0"/>
    <w:rsid w:val="00625888"/>
    <w:rsid w:val="006258F9"/>
    <w:rsid w:val="006266C1"/>
    <w:rsid w:val="0062E914"/>
    <w:rsid w:val="006323CF"/>
    <w:rsid w:val="006361CA"/>
    <w:rsid w:val="0064004B"/>
    <w:rsid w:val="0064451E"/>
    <w:rsid w:val="006518C3"/>
    <w:rsid w:val="00652AF7"/>
    <w:rsid w:val="00655710"/>
    <w:rsid w:val="00670BE8"/>
    <w:rsid w:val="006719BD"/>
    <w:rsid w:val="00671AEE"/>
    <w:rsid w:val="0067514D"/>
    <w:rsid w:val="00676074"/>
    <w:rsid w:val="006767E2"/>
    <w:rsid w:val="0068005B"/>
    <w:rsid w:val="00683087"/>
    <w:rsid w:val="00683A12"/>
    <w:rsid w:val="00686780"/>
    <w:rsid w:val="00687120"/>
    <w:rsid w:val="00690803"/>
    <w:rsid w:val="006960C9"/>
    <w:rsid w:val="0069623C"/>
    <w:rsid w:val="006972B9"/>
    <w:rsid w:val="006A39C9"/>
    <w:rsid w:val="006A39EE"/>
    <w:rsid w:val="006A5466"/>
    <w:rsid w:val="006B2517"/>
    <w:rsid w:val="006B3F4B"/>
    <w:rsid w:val="006B582A"/>
    <w:rsid w:val="006C0F0E"/>
    <w:rsid w:val="006C5080"/>
    <w:rsid w:val="006C6552"/>
    <w:rsid w:val="006C6B2A"/>
    <w:rsid w:val="006D303C"/>
    <w:rsid w:val="006D3358"/>
    <w:rsid w:val="006F10E5"/>
    <w:rsid w:val="006F4E52"/>
    <w:rsid w:val="00707FD4"/>
    <w:rsid w:val="007129F8"/>
    <w:rsid w:val="00714867"/>
    <w:rsid w:val="00716673"/>
    <w:rsid w:val="0071742C"/>
    <w:rsid w:val="00725FB3"/>
    <w:rsid w:val="00726751"/>
    <w:rsid w:val="00730DFB"/>
    <w:rsid w:val="00734FAF"/>
    <w:rsid w:val="007443B3"/>
    <w:rsid w:val="00746D2F"/>
    <w:rsid w:val="00750D73"/>
    <w:rsid w:val="00751B7B"/>
    <w:rsid w:val="007552B9"/>
    <w:rsid w:val="0076336E"/>
    <w:rsid w:val="00775987"/>
    <w:rsid w:val="00775B52"/>
    <w:rsid w:val="007861E9"/>
    <w:rsid w:val="0078638B"/>
    <w:rsid w:val="0079398D"/>
    <w:rsid w:val="00795790"/>
    <w:rsid w:val="0079776B"/>
    <w:rsid w:val="007A33EB"/>
    <w:rsid w:val="007B0579"/>
    <w:rsid w:val="007B6549"/>
    <w:rsid w:val="007B70F0"/>
    <w:rsid w:val="007B7156"/>
    <w:rsid w:val="007C110E"/>
    <w:rsid w:val="007C1396"/>
    <w:rsid w:val="007C1F70"/>
    <w:rsid w:val="007C38FA"/>
    <w:rsid w:val="007C3A73"/>
    <w:rsid w:val="007C58DF"/>
    <w:rsid w:val="007C5A16"/>
    <w:rsid w:val="007C5A79"/>
    <w:rsid w:val="007C6C31"/>
    <w:rsid w:val="007D0219"/>
    <w:rsid w:val="007D068F"/>
    <w:rsid w:val="007D13CE"/>
    <w:rsid w:val="007D15EA"/>
    <w:rsid w:val="007D22A6"/>
    <w:rsid w:val="007D4DFF"/>
    <w:rsid w:val="007D75CD"/>
    <w:rsid w:val="007E0982"/>
    <w:rsid w:val="007E32DC"/>
    <w:rsid w:val="007E3D2B"/>
    <w:rsid w:val="007E4077"/>
    <w:rsid w:val="007E63F5"/>
    <w:rsid w:val="007F1BDE"/>
    <w:rsid w:val="007F2AC7"/>
    <w:rsid w:val="007F4C83"/>
    <w:rsid w:val="008018AB"/>
    <w:rsid w:val="00812EDE"/>
    <w:rsid w:val="00815732"/>
    <w:rsid w:val="00820D4B"/>
    <w:rsid w:val="008230F1"/>
    <w:rsid w:val="00827A6A"/>
    <w:rsid w:val="0083061B"/>
    <w:rsid w:val="008308B9"/>
    <w:rsid w:val="0083393F"/>
    <w:rsid w:val="00833F5E"/>
    <w:rsid w:val="0083456B"/>
    <w:rsid w:val="00837015"/>
    <w:rsid w:val="008371CF"/>
    <w:rsid w:val="008374E4"/>
    <w:rsid w:val="00842ED6"/>
    <w:rsid w:val="0084694F"/>
    <w:rsid w:val="00846A2F"/>
    <w:rsid w:val="00846BE8"/>
    <w:rsid w:val="00847B95"/>
    <w:rsid w:val="008509F4"/>
    <w:rsid w:val="00850DBB"/>
    <w:rsid w:val="00855393"/>
    <w:rsid w:val="00856861"/>
    <w:rsid w:val="00857488"/>
    <w:rsid w:val="00860EB8"/>
    <w:rsid w:val="00862D64"/>
    <w:rsid w:val="00863A5E"/>
    <w:rsid w:val="00867F4B"/>
    <w:rsid w:val="008757B0"/>
    <w:rsid w:val="0088081B"/>
    <w:rsid w:val="00881312"/>
    <w:rsid w:val="0088297D"/>
    <w:rsid w:val="008830A2"/>
    <w:rsid w:val="00885312"/>
    <w:rsid w:val="00885984"/>
    <w:rsid w:val="00886B3D"/>
    <w:rsid w:val="0089118A"/>
    <w:rsid w:val="00892A48"/>
    <w:rsid w:val="00893380"/>
    <w:rsid w:val="008936B6"/>
    <w:rsid w:val="00893F46"/>
    <w:rsid w:val="00894545"/>
    <w:rsid w:val="0089549A"/>
    <w:rsid w:val="008962EC"/>
    <w:rsid w:val="0089733A"/>
    <w:rsid w:val="008A3084"/>
    <w:rsid w:val="008A41DB"/>
    <w:rsid w:val="008A4F47"/>
    <w:rsid w:val="008A556D"/>
    <w:rsid w:val="008B1B70"/>
    <w:rsid w:val="008B22D4"/>
    <w:rsid w:val="008B233B"/>
    <w:rsid w:val="008B46B6"/>
    <w:rsid w:val="008B5CB9"/>
    <w:rsid w:val="008B7DA5"/>
    <w:rsid w:val="008C4055"/>
    <w:rsid w:val="008C4204"/>
    <w:rsid w:val="008C5D1E"/>
    <w:rsid w:val="008C6620"/>
    <w:rsid w:val="008C6C30"/>
    <w:rsid w:val="008D642E"/>
    <w:rsid w:val="008D6DBB"/>
    <w:rsid w:val="008E00EC"/>
    <w:rsid w:val="008E1007"/>
    <w:rsid w:val="008E3361"/>
    <w:rsid w:val="008E370A"/>
    <w:rsid w:val="008E423F"/>
    <w:rsid w:val="008E53D2"/>
    <w:rsid w:val="008E6706"/>
    <w:rsid w:val="00900671"/>
    <w:rsid w:val="00900E7A"/>
    <w:rsid w:val="00907230"/>
    <w:rsid w:val="00915574"/>
    <w:rsid w:val="00916E53"/>
    <w:rsid w:val="0091774E"/>
    <w:rsid w:val="009231A1"/>
    <w:rsid w:val="0093336C"/>
    <w:rsid w:val="00936001"/>
    <w:rsid w:val="00940B48"/>
    <w:rsid w:val="00942F98"/>
    <w:rsid w:val="00943EA1"/>
    <w:rsid w:val="00945EA7"/>
    <w:rsid w:val="009471E4"/>
    <w:rsid w:val="009506F0"/>
    <w:rsid w:val="00952229"/>
    <w:rsid w:val="00954891"/>
    <w:rsid w:val="0095587B"/>
    <w:rsid w:val="0095656F"/>
    <w:rsid w:val="00960B69"/>
    <w:rsid w:val="00967848"/>
    <w:rsid w:val="009742CB"/>
    <w:rsid w:val="0097488D"/>
    <w:rsid w:val="0097555E"/>
    <w:rsid w:val="00976162"/>
    <w:rsid w:val="0097646D"/>
    <w:rsid w:val="009769E8"/>
    <w:rsid w:val="009820A6"/>
    <w:rsid w:val="00983A83"/>
    <w:rsid w:val="00985000"/>
    <w:rsid w:val="00987BC8"/>
    <w:rsid w:val="0099109A"/>
    <w:rsid w:val="009941D3"/>
    <w:rsid w:val="0099755A"/>
    <w:rsid w:val="009A158C"/>
    <w:rsid w:val="009A1D76"/>
    <w:rsid w:val="009A28F9"/>
    <w:rsid w:val="009A3224"/>
    <w:rsid w:val="009C1AEC"/>
    <w:rsid w:val="009C529B"/>
    <w:rsid w:val="009C7537"/>
    <w:rsid w:val="009C77C8"/>
    <w:rsid w:val="009D4C38"/>
    <w:rsid w:val="009D59B4"/>
    <w:rsid w:val="009D74D4"/>
    <w:rsid w:val="009D7C72"/>
    <w:rsid w:val="009E0622"/>
    <w:rsid w:val="009E0625"/>
    <w:rsid w:val="009E3DA6"/>
    <w:rsid w:val="009E6450"/>
    <w:rsid w:val="009F127C"/>
    <w:rsid w:val="009F13C5"/>
    <w:rsid w:val="009F3B3B"/>
    <w:rsid w:val="009F532F"/>
    <w:rsid w:val="00A06453"/>
    <w:rsid w:val="00A06679"/>
    <w:rsid w:val="00A11A1F"/>
    <w:rsid w:val="00A12539"/>
    <w:rsid w:val="00A1325F"/>
    <w:rsid w:val="00A146EA"/>
    <w:rsid w:val="00A17823"/>
    <w:rsid w:val="00A25D24"/>
    <w:rsid w:val="00A26CD8"/>
    <w:rsid w:val="00A3284C"/>
    <w:rsid w:val="00A4485C"/>
    <w:rsid w:val="00A44A17"/>
    <w:rsid w:val="00A4705C"/>
    <w:rsid w:val="00A51BD7"/>
    <w:rsid w:val="00A53361"/>
    <w:rsid w:val="00A53AFD"/>
    <w:rsid w:val="00A566C0"/>
    <w:rsid w:val="00A57055"/>
    <w:rsid w:val="00A57B97"/>
    <w:rsid w:val="00A57CFB"/>
    <w:rsid w:val="00A609CD"/>
    <w:rsid w:val="00A61118"/>
    <w:rsid w:val="00A61E5A"/>
    <w:rsid w:val="00A6504A"/>
    <w:rsid w:val="00A65262"/>
    <w:rsid w:val="00A66AF9"/>
    <w:rsid w:val="00A76260"/>
    <w:rsid w:val="00A8028B"/>
    <w:rsid w:val="00A80843"/>
    <w:rsid w:val="00A81B6D"/>
    <w:rsid w:val="00A8225E"/>
    <w:rsid w:val="00A83747"/>
    <w:rsid w:val="00A839D7"/>
    <w:rsid w:val="00A847C9"/>
    <w:rsid w:val="00A85FA5"/>
    <w:rsid w:val="00A92117"/>
    <w:rsid w:val="00A922C0"/>
    <w:rsid w:val="00A9504A"/>
    <w:rsid w:val="00A96C1A"/>
    <w:rsid w:val="00AA0CC2"/>
    <w:rsid w:val="00AA2F5F"/>
    <w:rsid w:val="00AA3549"/>
    <w:rsid w:val="00AB25EE"/>
    <w:rsid w:val="00AB75B7"/>
    <w:rsid w:val="00AC275C"/>
    <w:rsid w:val="00AC369A"/>
    <w:rsid w:val="00AC5F05"/>
    <w:rsid w:val="00AC7668"/>
    <w:rsid w:val="00AC7E09"/>
    <w:rsid w:val="00AD22CB"/>
    <w:rsid w:val="00AD3F35"/>
    <w:rsid w:val="00AE2613"/>
    <w:rsid w:val="00AF4271"/>
    <w:rsid w:val="00AF4D69"/>
    <w:rsid w:val="00AF4F64"/>
    <w:rsid w:val="00AF7054"/>
    <w:rsid w:val="00B04ECD"/>
    <w:rsid w:val="00B12182"/>
    <w:rsid w:val="00B12BBB"/>
    <w:rsid w:val="00B13591"/>
    <w:rsid w:val="00B1668E"/>
    <w:rsid w:val="00B21149"/>
    <w:rsid w:val="00B21D61"/>
    <w:rsid w:val="00B235A4"/>
    <w:rsid w:val="00B2439C"/>
    <w:rsid w:val="00B25DD9"/>
    <w:rsid w:val="00B2628C"/>
    <w:rsid w:val="00B30358"/>
    <w:rsid w:val="00B32ABD"/>
    <w:rsid w:val="00B36667"/>
    <w:rsid w:val="00B416BD"/>
    <w:rsid w:val="00B419AE"/>
    <w:rsid w:val="00B44F84"/>
    <w:rsid w:val="00B5005E"/>
    <w:rsid w:val="00B500CF"/>
    <w:rsid w:val="00B505D8"/>
    <w:rsid w:val="00B5242E"/>
    <w:rsid w:val="00B545D3"/>
    <w:rsid w:val="00B6011F"/>
    <w:rsid w:val="00B60AB5"/>
    <w:rsid w:val="00B61C54"/>
    <w:rsid w:val="00B62B16"/>
    <w:rsid w:val="00B65B82"/>
    <w:rsid w:val="00B66527"/>
    <w:rsid w:val="00B66A7C"/>
    <w:rsid w:val="00B66C2D"/>
    <w:rsid w:val="00B67455"/>
    <w:rsid w:val="00B67DC7"/>
    <w:rsid w:val="00B72F8B"/>
    <w:rsid w:val="00B7428D"/>
    <w:rsid w:val="00B80971"/>
    <w:rsid w:val="00B82F4D"/>
    <w:rsid w:val="00B83B50"/>
    <w:rsid w:val="00B853EF"/>
    <w:rsid w:val="00B87749"/>
    <w:rsid w:val="00B92A4E"/>
    <w:rsid w:val="00B93D6A"/>
    <w:rsid w:val="00B94BF9"/>
    <w:rsid w:val="00BB4A02"/>
    <w:rsid w:val="00BC0580"/>
    <w:rsid w:val="00BC07CD"/>
    <w:rsid w:val="00BC082C"/>
    <w:rsid w:val="00BC2134"/>
    <w:rsid w:val="00BC2395"/>
    <w:rsid w:val="00BC31FF"/>
    <w:rsid w:val="00BC3C0C"/>
    <w:rsid w:val="00BC416F"/>
    <w:rsid w:val="00BC4553"/>
    <w:rsid w:val="00BC4E75"/>
    <w:rsid w:val="00BC5BB3"/>
    <w:rsid w:val="00BC67B1"/>
    <w:rsid w:val="00BD1BA9"/>
    <w:rsid w:val="00BD5542"/>
    <w:rsid w:val="00BF0B02"/>
    <w:rsid w:val="00BF25E4"/>
    <w:rsid w:val="00BF40C4"/>
    <w:rsid w:val="00BF4B12"/>
    <w:rsid w:val="00BF5AEA"/>
    <w:rsid w:val="00C03BAB"/>
    <w:rsid w:val="00C04C14"/>
    <w:rsid w:val="00C06862"/>
    <w:rsid w:val="00C130A4"/>
    <w:rsid w:val="00C16A40"/>
    <w:rsid w:val="00C171F9"/>
    <w:rsid w:val="00C17718"/>
    <w:rsid w:val="00C2371A"/>
    <w:rsid w:val="00C24044"/>
    <w:rsid w:val="00C242EF"/>
    <w:rsid w:val="00C24F1C"/>
    <w:rsid w:val="00C25322"/>
    <w:rsid w:val="00C268DE"/>
    <w:rsid w:val="00C30DBC"/>
    <w:rsid w:val="00C311A5"/>
    <w:rsid w:val="00C31E0F"/>
    <w:rsid w:val="00C42E09"/>
    <w:rsid w:val="00C458B0"/>
    <w:rsid w:val="00C53AE8"/>
    <w:rsid w:val="00C55270"/>
    <w:rsid w:val="00C55367"/>
    <w:rsid w:val="00C62141"/>
    <w:rsid w:val="00C638EC"/>
    <w:rsid w:val="00C667E4"/>
    <w:rsid w:val="00C67854"/>
    <w:rsid w:val="00C74106"/>
    <w:rsid w:val="00C75056"/>
    <w:rsid w:val="00C806B0"/>
    <w:rsid w:val="00C80DD3"/>
    <w:rsid w:val="00C81599"/>
    <w:rsid w:val="00C866B4"/>
    <w:rsid w:val="00C87290"/>
    <w:rsid w:val="00C87881"/>
    <w:rsid w:val="00C9020B"/>
    <w:rsid w:val="00C93946"/>
    <w:rsid w:val="00C94F5F"/>
    <w:rsid w:val="00CA0E30"/>
    <w:rsid w:val="00CA1E3B"/>
    <w:rsid w:val="00CA24EE"/>
    <w:rsid w:val="00CA36C9"/>
    <w:rsid w:val="00CB259F"/>
    <w:rsid w:val="00CB2CD5"/>
    <w:rsid w:val="00CB4A16"/>
    <w:rsid w:val="00CC2B53"/>
    <w:rsid w:val="00CC3C87"/>
    <w:rsid w:val="00CC4981"/>
    <w:rsid w:val="00CC6E40"/>
    <w:rsid w:val="00CD5F3D"/>
    <w:rsid w:val="00CE13A5"/>
    <w:rsid w:val="00CE6B36"/>
    <w:rsid w:val="00CE6C85"/>
    <w:rsid w:val="00CF2A74"/>
    <w:rsid w:val="00CF7A76"/>
    <w:rsid w:val="00CF7AC4"/>
    <w:rsid w:val="00D0023B"/>
    <w:rsid w:val="00D01669"/>
    <w:rsid w:val="00D02B89"/>
    <w:rsid w:val="00D0355D"/>
    <w:rsid w:val="00D03F42"/>
    <w:rsid w:val="00D11B2A"/>
    <w:rsid w:val="00D15798"/>
    <w:rsid w:val="00D16C2D"/>
    <w:rsid w:val="00D16D8F"/>
    <w:rsid w:val="00D17312"/>
    <w:rsid w:val="00D213A6"/>
    <w:rsid w:val="00D24339"/>
    <w:rsid w:val="00D26C91"/>
    <w:rsid w:val="00D3325E"/>
    <w:rsid w:val="00D340D1"/>
    <w:rsid w:val="00D37A07"/>
    <w:rsid w:val="00D4103B"/>
    <w:rsid w:val="00D45A19"/>
    <w:rsid w:val="00D463C2"/>
    <w:rsid w:val="00D52BF6"/>
    <w:rsid w:val="00D54DE9"/>
    <w:rsid w:val="00D57567"/>
    <w:rsid w:val="00D64525"/>
    <w:rsid w:val="00D64A18"/>
    <w:rsid w:val="00D722C2"/>
    <w:rsid w:val="00D80DAC"/>
    <w:rsid w:val="00D8125E"/>
    <w:rsid w:val="00D829D6"/>
    <w:rsid w:val="00D837D9"/>
    <w:rsid w:val="00D8434E"/>
    <w:rsid w:val="00D8499C"/>
    <w:rsid w:val="00D84A54"/>
    <w:rsid w:val="00D8510B"/>
    <w:rsid w:val="00D85D16"/>
    <w:rsid w:val="00D930C5"/>
    <w:rsid w:val="00D93281"/>
    <w:rsid w:val="00D96BA8"/>
    <w:rsid w:val="00DA3970"/>
    <w:rsid w:val="00DA5951"/>
    <w:rsid w:val="00DB2CD1"/>
    <w:rsid w:val="00DB4E85"/>
    <w:rsid w:val="00DB6418"/>
    <w:rsid w:val="00DC0F4B"/>
    <w:rsid w:val="00DC4E28"/>
    <w:rsid w:val="00DC5BB0"/>
    <w:rsid w:val="00DC5DE7"/>
    <w:rsid w:val="00DC76B1"/>
    <w:rsid w:val="00DD0DA7"/>
    <w:rsid w:val="00DD118D"/>
    <w:rsid w:val="00DD21F1"/>
    <w:rsid w:val="00DD35F8"/>
    <w:rsid w:val="00DD5743"/>
    <w:rsid w:val="00DE6247"/>
    <w:rsid w:val="00DF0C74"/>
    <w:rsid w:val="00E00EA9"/>
    <w:rsid w:val="00E02EEA"/>
    <w:rsid w:val="00E04AE8"/>
    <w:rsid w:val="00E04F14"/>
    <w:rsid w:val="00E05078"/>
    <w:rsid w:val="00E10695"/>
    <w:rsid w:val="00E115D2"/>
    <w:rsid w:val="00E13A0C"/>
    <w:rsid w:val="00E16B44"/>
    <w:rsid w:val="00E20B82"/>
    <w:rsid w:val="00E23985"/>
    <w:rsid w:val="00E23E0A"/>
    <w:rsid w:val="00E33971"/>
    <w:rsid w:val="00E42AEC"/>
    <w:rsid w:val="00E473FB"/>
    <w:rsid w:val="00E47770"/>
    <w:rsid w:val="00E51B46"/>
    <w:rsid w:val="00E52289"/>
    <w:rsid w:val="00E52E56"/>
    <w:rsid w:val="00E5792E"/>
    <w:rsid w:val="00E61648"/>
    <w:rsid w:val="00E61C59"/>
    <w:rsid w:val="00E628D8"/>
    <w:rsid w:val="00E66A86"/>
    <w:rsid w:val="00E70217"/>
    <w:rsid w:val="00E76D17"/>
    <w:rsid w:val="00E806D1"/>
    <w:rsid w:val="00E82FC0"/>
    <w:rsid w:val="00E8614F"/>
    <w:rsid w:val="00E8682D"/>
    <w:rsid w:val="00E9051F"/>
    <w:rsid w:val="00E92DA2"/>
    <w:rsid w:val="00E942A7"/>
    <w:rsid w:val="00E9655B"/>
    <w:rsid w:val="00E976FF"/>
    <w:rsid w:val="00EA3F29"/>
    <w:rsid w:val="00EA4393"/>
    <w:rsid w:val="00EB1693"/>
    <w:rsid w:val="00EB5CC9"/>
    <w:rsid w:val="00EC4430"/>
    <w:rsid w:val="00EC4F29"/>
    <w:rsid w:val="00EC6577"/>
    <w:rsid w:val="00EC6F7D"/>
    <w:rsid w:val="00ED1D4A"/>
    <w:rsid w:val="00ED370F"/>
    <w:rsid w:val="00ED418D"/>
    <w:rsid w:val="00EE13A1"/>
    <w:rsid w:val="00EE23EE"/>
    <w:rsid w:val="00EE5604"/>
    <w:rsid w:val="00EE6561"/>
    <w:rsid w:val="00EE74BD"/>
    <w:rsid w:val="00EF07A9"/>
    <w:rsid w:val="00EF3A98"/>
    <w:rsid w:val="00EF3C72"/>
    <w:rsid w:val="00F1041A"/>
    <w:rsid w:val="00F10D29"/>
    <w:rsid w:val="00F10DE3"/>
    <w:rsid w:val="00F11CE1"/>
    <w:rsid w:val="00F12A53"/>
    <w:rsid w:val="00F14C12"/>
    <w:rsid w:val="00F14C36"/>
    <w:rsid w:val="00F14F0C"/>
    <w:rsid w:val="00F14FA5"/>
    <w:rsid w:val="00F16AA7"/>
    <w:rsid w:val="00F21801"/>
    <w:rsid w:val="00F21963"/>
    <w:rsid w:val="00F25DDE"/>
    <w:rsid w:val="00F30AEC"/>
    <w:rsid w:val="00F32550"/>
    <w:rsid w:val="00F33B48"/>
    <w:rsid w:val="00F35540"/>
    <w:rsid w:val="00F35559"/>
    <w:rsid w:val="00F36584"/>
    <w:rsid w:val="00F365BF"/>
    <w:rsid w:val="00F37751"/>
    <w:rsid w:val="00F4289E"/>
    <w:rsid w:val="00F4350C"/>
    <w:rsid w:val="00F47066"/>
    <w:rsid w:val="00F50192"/>
    <w:rsid w:val="00F50E39"/>
    <w:rsid w:val="00F52086"/>
    <w:rsid w:val="00F54911"/>
    <w:rsid w:val="00F55A19"/>
    <w:rsid w:val="00F57687"/>
    <w:rsid w:val="00F62457"/>
    <w:rsid w:val="00F6350A"/>
    <w:rsid w:val="00F63B37"/>
    <w:rsid w:val="00F6618D"/>
    <w:rsid w:val="00F6CFC9"/>
    <w:rsid w:val="00F71538"/>
    <w:rsid w:val="00F76BDA"/>
    <w:rsid w:val="00F77CBB"/>
    <w:rsid w:val="00F850A1"/>
    <w:rsid w:val="00F93DC5"/>
    <w:rsid w:val="00FA1B87"/>
    <w:rsid w:val="00FA1BBB"/>
    <w:rsid w:val="00FA4AE1"/>
    <w:rsid w:val="00FA51F4"/>
    <w:rsid w:val="00FA6814"/>
    <w:rsid w:val="00FC12AE"/>
    <w:rsid w:val="00FC7661"/>
    <w:rsid w:val="00FD087F"/>
    <w:rsid w:val="00FD15A8"/>
    <w:rsid w:val="00FD2D7D"/>
    <w:rsid w:val="00FE1387"/>
    <w:rsid w:val="00FE1762"/>
    <w:rsid w:val="00FE3C9B"/>
    <w:rsid w:val="00FE448A"/>
    <w:rsid w:val="00FF2FE2"/>
    <w:rsid w:val="00FF7366"/>
    <w:rsid w:val="0111265B"/>
    <w:rsid w:val="0166C943"/>
    <w:rsid w:val="01B41431"/>
    <w:rsid w:val="01D8C4D1"/>
    <w:rsid w:val="025B4396"/>
    <w:rsid w:val="02B2201A"/>
    <w:rsid w:val="02B2AA51"/>
    <w:rsid w:val="02DC21C1"/>
    <w:rsid w:val="037C8A53"/>
    <w:rsid w:val="0391B7E3"/>
    <w:rsid w:val="039B726D"/>
    <w:rsid w:val="03FE53D2"/>
    <w:rsid w:val="04320208"/>
    <w:rsid w:val="05EDF7FB"/>
    <w:rsid w:val="061DDC64"/>
    <w:rsid w:val="06A6AE44"/>
    <w:rsid w:val="072D13AC"/>
    <w:rsid w:val="0813F13E"/>
    <w:rsid w:val="0869CCD7"/>
    <w:rsid w:val="091C67B5"/>
    <w:rsid w:val="0958D3A5"/>
    <w:rsid w:val="0971D7BF"/>
    <w:rsid w:val="09BF794D"/>
    <w:rsid w:val="09E28830"/>
    <w:rsid w:val="09EF44B2"/>
    <w:rsid w:val="0A4160C2"/>
    <w:rsid w:val="0ADBBDC1"/>
    <w:rsid w:val="0BFDC11A"/>
    <w:rsid w:val="0C05972D"/>
    <w:rsid w:val="0C379311"/>
    <w:rsid w:val="0C4B5A18"/>
    <w:rsid w:val="0C6628DB"/>
    <w:rsid w:val="0C9296D6"/>
    <w:rsid w:val="0CB0259D"/>
    <w:rsid w:val="0CB2F6A9"/>
    <w:rsid w:val="0D4C4FC5"/>
    <w:rsid w:val="0D52DCCA"/>
    <w:rsid w:val="0D5928BD"/>
    <w:rsid w:val="0D7A561B"/>
    <w:rsid w:val="0DF5E816"/>
    <w:rsid w:val="0E09AD8B"/>
    <w:rsid w:val="0ECC13F4"/>
    <w:rsid w:val="0F367927"/>
    <w:rsid w:val="0F3F2BA9"/>
    <w:rsid w:val="0F4D5A4A"/>
    <w:rsid w:val="0F6E08E5"/>
    <w:rsid w:val="0F92AC62"/>
    <w:rsid w:val="0FAB4A31"/>
    <w:rsid w:val="10002408"/>
    <w:rsid w:val="1009F528"/>
    <w:rsid w:val="105E8212"/>
    <w:rsid w:val="10C02097"/>
    <w:rsid w:val="1196F8C2"/>
    <w:rsid w:val="11BED2B7"/>
    <w:rsid w:val="126901AD"/>
    <w:rsid w:val="12BF02B5"/>
    <w:rsid w:val="12BF27B5"/>
    <w:rsid w:val="13CAAD2E"/>
    <w:rsid w:val="13EC5883"/>
    <w:rsid w:val="1404152A"/>
    <w:rsid w:val="1423BEC8"/>
    <w:rsid w:val="142D2676"/>
    <w:rsid w:val="144ADBCD"/>
    <w:rsid w:val="146A96E2"/>
    <w:rsid w:val="14AC2A9D"/>
    <w:rsid w:val="14B753A0"/>
    <w:rsid w:val="1520F04B"/>
    <w:rsid w:val="1572F876"/>
    <w:rsid w:val="157EF59C"/>
    <w:rsid w:val="15A820E4"/>
    <w:rsid w:val="15D90886"/>
    <w:rsid w:val="15E83BAE"/>
    <w:rsid w:val="1613A992"/>
    <w:rsid w:val="16A31ED8"/>
    <w:rsid w:val="174D3A2B"/>
    <w:rsid w:val="1847D3BC"/>
    <w:rsid w:val="18D93A86"/>
    <w:rsid w:val="195327FC"/>
    <w:rsid w:val="1963217B"/>
    <w:rsid w:val="1989F2F8"/>
    <w:rsid w:val="1A102011"/>
    <w:rsid w:val="1A393F17"/>
    <w:rsid w:val="1A47EA64"/>
    <w:rsid w:val="1A97F70F"/>
    <w:rsid w:val="1A995828"/>
    <w:rsid w:val="1BC3EFD2"/>
    <w:rsid w:val="1BDA0AAF"/>
    <w:rsid w:val="1C057838"/>
    <w:rsid w:val="1C0E092D"/>
    <w:rsid w:val="1CEFF639"/>
    <w:rsid w:val="1DB11C6B"/>
    <w:rsid w:val="1DBD87AC"/>
    <w:rsid w:val="1ECF1E31"/>
    <w:rsid w:val="1FD4D946"/>
    <w:rsid w:val="1FF37C51"/>
    <w:rsid w:val="20B16718"/>
    <w:rsid w:val="2107DB10"/>
    <w:rsid w:val="21B05B35"/>
    <w:rsid w:val="21E2002D"/>
    <w:rsid w:val="228F1E9E"/>
    <w:rsid w:val="22E65B55"/>
    <w:rsid w:val="22EFF250"/>
    <w:rsid w:val="232ED1D3"/>
    <w:rsid w:val="233FB709"/>
    <w:rsid w:val="2340D47D"/>
    <w:rsid w:val="235E4825"/>
    <w:rsid w:val="23DC561C"/>
    <w:rsid w:val="23EC3EDF"/>
    <w:rsid w:val="2455C229"/>
    <w:rsid w:val="24EBE7C4"/>
    <w:rsid w:val="24ED3FE6"/>
    <w:rsid w:val="2593110C"/>
    <w:rsid w:val="2620BB32"/>
    <w:rsid w:val="26A81983"/>
    <w:rsid w:val="272FCC96"/>
    <w:rsid w:val="276C43E1"/>
    <w:rsid w:val="293B01F9"/>
    <w:rsid w:val="29A547CE"/>
    <w:rsid w:val="29C0314E"/>
    <w:rsid w:val="2A131D4C"/>
    <w:rsid w:val="2A2F6CB4"/>
    <w:rsid w:val="2B0981F7"/>
    <w:rsid w:val="2B912614"/>
    <w:rsid w:val="2B9AA9A9"/>
    <w:rsid w:val="2BA84E81"/>
    <w:rsid w:val="2C51D31A"/>
    <w:rsid w:val="2C6B45B7"/>
    <w:rsid w:val="2C71E7B7"/>
    <w:rsid w:val="2C87C437"/>
    <w:rsid w:val="2CCD0131"/>
    <w:rsid w:val="2DDA8EAF"/>
    <w:rsid w:val="2DE76DDA"/>
    <w:rsid w:val="2EC045DF"/>
    <w:rsid w:val="2EDF0ABD"/>
    <w:rsid w:val="2EFC40D8"/>
    <w:rsid w:val="30939133"/>
    <w:rsid w:val="30F85901"/>
    <w:rsid w:val="310DE37C"/>
    <w:rsid w:val="3139EA97"/>
    <w:rsid w:val="313BD350"/>
    <w:rsid w:val="315C0B52"/>
    <w:rsid w:val="31D895AA"/>
    <w:rsid w:val="3241F413"/>
    <w:rsid w:val="326C9267"/>
    <w:rsid w:val="326EE374"/>
    <w:rsid w:val="3286584B"/>
    <w:rsid w:val="32EE087F"/>
    <w:rsid w:val="3395C28C"/>
    <w:rsid w:val="351D6742"/>
    <w:rsid w:val="35B686AC"/>
    <w:rsid w:val="36667415"/>
    <w:rsid w:val="368920B5"/>
    <w:rsid w:val="37129448"/>
    <w:rsid w:val="37351A1E"/>
    <w:rsid w:val="376EF174"/>
    <w:rsid w:val="387E6CF5"/>
    <w:rsid w:val="38B66217"/>
    <w:rsid w:val="38D85A33"/>
    <w:rsid w:val="394FBFBA"/>
    <w:rsid w:val="3980333E"/>
    <w:rsid w:val="39E9AF5A"/>
    <w:rsid w:val="3AA8228A"/>
    <w:rsid w:val="3B481DBC"/>
    <w:rsid w:val="3B7CD103"/>
    <w:rsid w:val="3B9FB8EE"/>
    <w:rsid w:val="3BBAD5CE"/>
    <w:rsid w:val="3BF6C86A"/>
    <w:rsid w:val="3C2987D5"/>
    <w:rsid w:val="3C4ED10F"/>
    <w:rsid w:val="3C7BFA0F"/>
    <w:rsid w:val="3CFD8F10"/>
    <w:rsid w:val="3D06865A"/>
    <w:rsid w:val="3D078AB2"/>
    <w:rsid w:val="3E60EC63"/>
    <w:rsid w:val="3E65A6CE"/>
    <w:rsid w:val="3E9033D1"/>
    <w:rsid w:val="3F68A7DC"/>
    <w:rsid w:val="3FB64242"/>
    <w:rsid w:val="3FE7C112"/>
    <w:rsid w:val="4034B9C7"/>
    <w:rsid w:val="408AA40A"/>
    <w:rsid w:val="40D31B06"/>
    <w:rsid w:val="412B45ED"/>
    <w:rsid w:val="415C51A6"/>
    <w:rsid w:val="415F8800"/>
    <w:rsid w:val="419A6096"/>
    <w:rsid w:val="41A47A80"/>
    <w:rsid w:val="41DC7B87"/>
    <w:rsid w:val="41EA62B1"/>
    <w:rsid w:val="42155C1D"/>
    <w:rsid w:val="423C2355"/>
    <w:rsid w:val="426FBDE5"/>
    <w:rsid w:val="42812302"/>
    <w:rsid w:val="43265105"/>
    <w:rsid w:val="435CA9BE"/>
    <w:rsid w:val="439CB048"/>
    <w:rsid w:val="44A604B3"/>
    <w:rsid w:val="44BD5264"/>
    <w:rsid w:val="44F4D848"/>
    <w:rsid w:val="450F7093"/>
    <w:rsid w:val="45465AF7"/>
    <w:rsid w:val="45944953"/>
    <w:rsid w:val="45F8E079"/>
    <w:rsid w:val="4623F2B5"/>
    <w:rsid w:val="470BF4B0"/>
    <w:rsid w:val="47552395"/>
    <w:rsid w:val="47886742"/>
    <w:rsid w:val="47C71036"/>
    <w:rsid w:val="47DC33D7"/>
    <w:rsid w:val="47E407A4"/>
    <w:rsid w:val="4885AF9E"/>
    <w:rsid w:val="48CF2B44"/>
    <w:rsid w:val="497FDE02"/>
    <w:rsid w:val="49B98E06"/>
    <w:rsid w:val="49DC5B46"/>
    <w:rsid w:val="49E2A9D9"/>
    <w:rsid w:val="49F0F35A"/>
    <w:rsid w:val="4A2287F6"/>
    <w:rsid w:val="4B2CA026"/>
    <w:rsid w:val="4B9E22D7"/>
    <w:rsid w:val="4C127700"/>
    <w:rsid w:val="4C5F09CB"/>
    <w:rsid w:val="4D3E3F6A"/>
    <w:rsid w:val="4DED49F6"/>
    <w:rsid w:val="4E101CA5"/>
    <w:rsid w:val="4E15BBBE"/>
    <w:rsid w:val="4E3F5C0C"/>
    <w:rsid w:val="4E91B4AE"/>
    <w:rsid w:val="4EB3FBF3"/>
    <w:rsid w:val="4ED1C244"/>
    <w:rsid w:val="4EFB4D2D"/>
    <w:rsid w:val="4F19A09F"/>
    <w:rsid w:val="4F804EA5"/>
    <w:rsid w:val="4FD692C9"/>
    <w:rsid w:val="502A5EBD"/>
    <w:rsid w:val="50AE8817"/>
    <w:rsid w:val="50B6FC64"/>
    <w:rsid w:val="50BF4505"/>
    <w:rsid w:val="5189017F"/>
    <w:rsid w:val="51D72874"/>
    <w:rsid w:val="5261E83D"/>
    <w:rsid w:val="5272D08D"/>
    <w:rsid w:val="52A44500"/>
    <w:rsid w:val="52CA5434"/>
    <w:rsid w:val="52F813C6"/>
    <w:rsid w:val="5345830D"/>
    <w:rsid w:val="53FA707E"/>
    <w:rsid w:val="5405A2A8"/>
    <w:rsid w:val="5416B6F5"/>
    <w:rsid w:val="548EC3F2"/>
    <w:rsid w:val="549B2E7C"/>
    <w:rsid w:val="551725F4"/>
    <w:rsid w:val="55A70144"/>
    <w:rsid w:val="55E4CCF9"/>
    <w:rsid w:val="56013F45"/>
    <w:rsid w:val="562ECB50"/>
    <w:rsid w:val="56A31DAA"/>
    <w:rsid w:val="56E731C6"/>
    <w:rsid w:val="5731CCEC"/>
    <w:rsid w:val="57B4C58B"/>
    <w:rsid w:val="57C784A7"/>
    <w:rsid w:val="5812784B"/>
    <w:rsid w:val="581DC04F"/>
    <w:rsid w:val="582B115B"/>
    <w:rsid w:val="582B95CD"/>
    <w:rsid w:val="5834FC03"/>
    <w:rsid w:val="5846653B"/>
    <w:rsid w:val="584BCC4B"/>
    <w:rsid w:val="58F8B008"/>
    <w:rsid w:val="5912E766"/>
    <w:rsid w:val="591D0318"/>
    <w:rsid w:val="59338267"/>
    <w:rsid w:val="594E6525"/>
    <w:rsid w:val="59A3C768"/>
    <w:rsid w:val="59B3D038"/>
    <w:rsid w:val="5A4DC678"/>
    <w:rsid w:val="5A4DEC65"/>
    <w:rsid w:val="5B00D2FE"/>
    <w:rsid w:val="5B58C87A"/>
    <w:rsid w:val="5C6275E5"/>
    <w:rsid w:val="5C843E58"/>
    <w:rsid w:val="5CBAD9A8"/>
    <w:rsid w:val="5D5FB840"/>
    <w:rsid w:val="5DBB23E9"/>
    <w:rsid w:val="5E143EBD"/>
    <w:rsid w:val="5EA5D7CC"/>
    <w:rsid w:val="5EBB39EA"/>
    <w:rsid w:val="5EBEEA9C"/>
    <w:rsid w:val="5ECE27AE"/>
    <w:rsid w:val="5EE18AA7"/>
    <w:rsid w:val="5EF163BD"/>
    <w:rsid w:val="5EFBBA98"/>
    <w:rsid w:val="5FCB472B"/>
    <w:rsid w:val="5FDF27FC"/>
    <w:rsid w:val="6054BCEC"/>
    <w:rsid w:val="6063AB8D"/>
    <w:rsid w:val="60807B6C"/>
    <w:rsid w:val="60DEB655"/>
    <w:rsid w:val="61437E99"/>
    <w:rsid w:val="61B5BE39"/>
    <w:rsid w:val="61E0ED81"/>
    <w:rsid w:val="62021049"/>
    <w:rsid w:val="62169D5C"/>
    <w:rsid w:val="62C2943E"/>
    <w:rsid w:val="62F84276"/>
    <w:rsid w:val="630B7FC1"/>
    <w:rsid w:val="63A114A2"/>
    <w:rsid w:val="63FA24DB"/>
    <w:rsid w:val="64543550"/>
    <w:rsid w:val="64CAFEB1"/>
    <w:rsid w:val="6509D5F0"/>
    <w:rsid w:val="6585EE6E"/>
    <w:rsid w:val="65A8D2E8"/>
    <w:rsid w:val="663F4C3A"/>
    <w:rsid w:val="664CEC86"/>
    <w:rsid w:val="669DBB08"/>
    <w:rsid w:val="67010691"/>
    <w:rsid w:val="672D36BF"/>
    <w:rsid w:val="674F3271"/>
    <w:rsid w:val="675A9EBB"/>
    <w:rsid w:val="67684866"/>
    <w:rsid w:val="676E3E2C"/>
    <w:rsid w:val="67E0529E"/>
    <w:rsid w:val="67EEB737"/>
    <w:rsid w:val="68AD4356"/>
    <w:rsid w:val="68E64657"/>
    <w:rsid w:val="691F2187"/>
    <w:rsid w:val="6981E33F"/>
    <w:rsid w:val="69AE29CF"/>
    <w:rsid w:val="69C939D6"/>
    <w:rsid w:val="6AC361BF"/>
    <w:rsid w:val="6B076373"/>
    <w:rsid w:val="6BC9B2E7"/>
    <w:rsid w:val="6C33AFBA"/>
    <w:rsid w:val="6C418E54"/>
    <w:rsid w:val="6CB4A25D"/>
    <w:rsid w:val="6CB63066"/>
    <w:rsid w:val="6CBB3483"/>
    <w:rsid w:val="6CE7E238"/>
    <w:rsid w:val="6DC3A8BC"/>
    <w:rsid w:val="6E6F3FC9"/>
    <w:rsid w:val="6E9C0B31"/>
    <w:rsid w:val="6F12E552"/>
    <w:rsid w:val="6F43A38B"/>
    <w:rsid w:val="6F8127DD"/>
    <w:rsid w:val="6F864489"/>
    <w:rsid w:val="707B31FC"/>
    <w:rsid w:val="709DF4C8"/>
    <w:rsid w:val="70DFE25D"/>
    <w:rsid w:val="70E22760"/>
    <w:rsid w:val="711CB9B8"/>
    <w:rsid w:val="71228A02"/>
    <w:rsid w:val="71394CC5"/>
    <w:rsid w:val="71D628F3"/>
    <w:rsid w:val="71FB12BF"/>
    <w:rsid w:val="72143584"/>
    <w:rsid w:val="7244C726"/>
    <w:rsid w:val="72463649"/>
    <w:rsid w:val="726C8326"/>
    <w:rsid w:val="72B1F883"/>
    <w:rsid w:val="7353BC2F"/>
    <w:rsid w:val="73863731"/>
    <w:rsid w:val="739BFBDC"/>
    <w:rsid w:val="74CB9BA5"/>
    <w:rsid w:val="7512A459"/>
    <w:rsid w:val="752A748B"/>
    <w:rsid w:val="755FA29B"/>
    <w:rsid w:val="757877F2"/>
    <w:rsid w:val="75BE9AB6"/>
    <w:rsid w:val="760CBB2F"/>
    <w:rsid w:val="760D14C6"/>
    <w:rsid w:val="76233CE3"/>
    <w:rsid w:val="76AD5938"/>
    <w:rsid w:val="76AEA501"/>
    <w:rsid w:val="772F0B4C"/>
    <w:rsid w:val="786FFF0D"/>
    <w:rsid w:val="7896ED3E"/>
    <w:rsid w:val="78BCFC3D"/>
    <w:rsid w:val="78BDC401"/>
    <w:rsid w:val="78EC6612"/>
    <w:rsid w:val="792A210E"/>
    <w:rsid w:val="797BC20B"/>
    <w:rsid w:val="79A7F1D1"/>
    <w:rsid w:val="7ACFA324"/>
    <w:rsid w:val="7B1BCC85"/>
    <w:rsid w:val="7B4315DB"/>
    <w:rsid w:val="7B4AF241"/>
    <w:rsid w:val="7B5BEB78"/>
    <w:rsid w:val="7BA93939"/>
    <w:rsid w:val="7BB67296"/>
    <w:rsid w:val="7BCE28DA"/>
    <w:rsid w:val="7C743C3E"/>
    <w:rsid w:val="7D11381B"/>
    <w:rsid w:val="7D348ED6"/>
    <w:rsid w:val="7D7E9C3D"/>
    <w:rsid w:val="7DD9743F"/>
    <w:rsid w:val="7E9CCA1A"/>
    <w:rsid w:val="7EAE1B81"/>
    <w:rsid w:val="7EBCF4AA"/>
    <w:rsid w:val="7EC45556"/>
    <w:rsid w:val="7F7DD366"/>
    <w:rsid w:val="7FB48863"/>
    <w:rsid w:val="7FDDC2B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15BBBE"/>
  <w15:chartTrackingRefBased/>
  <w15:docId w15:val="{EC33FCEE-7C60-4CDA-91F8-6B5FAD27A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776B"/>
    <w:pPr>
      <w:spacing w:after="0" w:line="240" w:lineRule="auto"/>
    </w:pPr>
    <w:rPr>
      <w:rFonts w:ascii="Times New Roman" w:eastAsia="Times New Roman" w:hAnsi="Times New Roman" w:cs="Times New Roman"/>
      <w:lang w:eastAsia="en-US"/>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uiPriority w:val="99"/>
    <w:unhideWhenUsed/>
    <w:rsid w:val="5DBB23E9"/>
    <w:pPr>
      <w:tabs>
        <w:tab w:val="center" w:pos="4680"/>
        <w:tab w:val="right" w:pos="9360"/>
      </w:tabs>
    </w:pPr>
  </w:style>
  <w:style w:type="paragraph" w:styleId="Footer">
    <w:name w:val="footer"/>
    <w:basedOn w:val="Normal"/>
    <w:link w:val="FooterChar"/>
    <w:uiPriority w:val="99"/>
    <w:unhideWhenUsed/>
    <w:rsid w:val="5DBB23E9"/>
    <w:pPr>
      <w:tabs>
        <w:tab w:val="center" w:pos="4680"/>
        <w:tab w:val="right" w:pos="9360"/>
      </w:tabs>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textrun">
    <w:name w:val="normaltextrun"/>
    <w:basedOn w:val="DefaultParagraphFont"/>
    <w:rsid w:val="000C283C"/>
  </w:style>
  <w:style w:type="character" w:customStyle="1" w:styleId="value">
    <w:name w:val="value"/>
    <w:basedOn w:val="DefaultParagraphFont"/>
    <w:rsid w:val="00D8434E"/>
  </w:style>
  <w:style w:type="character" w:styleId="Hyperlink">
    <w:name w:val="Hyperlink"/>
    <w:basedOn w:val="DefaultParagraphFont"/>
    <w:uiPriority w:val="99"/>
    <w:unhideWhenUsed/>
    <w:rsid w:val="00D8434E"/>
    <w:rPr>
      <w:color w:val="0000FF"/>
      <w:u w:val="single"/>
    </w:rPr>
  </w:style>
  <w:style w:type="character" w:customStyle="1" w:styleId="ff1">
    <w:name w:val="ff1"/>
    <w:basedOn w:val="DefaultParagraphFont"/>
    <w:rsid w:val="00031520"/>
  </w:style>
  <w:style w:type="character" w:customStyle="1" w:styleId="a">
    <w:name w:val="_"/>
    <w:basedOn w:val="DefaultParagraphFont"/>
    <w:rsid w:val="00031520"/>
  </w:style>
  <w:style w:type="character" w:customStyle="1" w:styleId="ls5">
    <w:name w:val="ls5"/>
    <w:basedOn w:val="DefaultParagraphFont"/>
    <w:rsid w:val="00031520"/>
  </w:style>
  <w:style w:type="character" w:customStyle="1" w:styleId="ls6">
    <w:name w:val="ls6"/>
    <w:basedOn w:val="DefaultParagraphFont"/>
    <w:rsid w:val="00031520"/>
  </w:style>
  <w:style w:type="character" w:customStyle="1" w:styleId="lsb">
    <w:name w:val="lsb"/>
    <w:basedOn w:val="DefaultParagraphFont"/>
    <w:rsid w:val="00031520"/>
  </w:style>
  <w:style w:type="character" w:styleId="UnresolvedMention">
    <w:name w:val="Unresolved Mention"/>
    <w:basedOn w:val="DefaultParagraphFont"/>
    <w:uiPriority w:val="99"/>
    <w:semiHidden/>
    <w:unhideWhenUsed/>
    <w:rsid w:val="000D2BA5"/>
    <w:rPr>
      <w:color w:val="605E5C"/>
      <w:shd w:val="clear" w:color="auto" w:fill="E1DFDD"/>
    </w:rPr>
  </w:style>
  <w:style w:type="paragraph" w:customStyle="1" w:styleId="css-1ypebu9">
    <w:name w:val="css-1ypebu9"/>
    <w:basedOn w:val="Normal"/>
    <w:rsid w:val="00CF7A76"/>
    <w:pPr>
      <w:spacing w:before="100" w:beforeAutospacing="1" w:after="100" w:afterAutospacing="1"/>
    </w:pPr>
  </w:style>
  <w:style w:type="character" w:styleId="CommentReference">
    <w:name w:val="annotation reference"/>
    <w:basedOn w:val="DefaultParagraphFont"/>
    <w:uiPriority w:val="99"/>
    <w:semiHidden/>
    <w:unhideWhenUsed/>
    <w:rsid w:val="008B233B"/>
    <w:rPr>
      <w:sz w:val="16"/>
      <w:szCs w:val="16"/>
    </w:rPr>
  </w:style>
  <w:style w:type="paragraph" w:styleId="CommentText">
    <w:name w:val="annotation text"/>
    <w:basedOn w:val="Normal"/>
    <w:link w:val="CommentTextChar"/>
    <w:uiPriority w:val="99"/>
    <w:unhideWhenUsed/>
    <w:rsid w:val="008B233B"/>
    <w:rPr>
      <w:sz w:val="20"/>
      <w:szCs w:val="20"/>
    </w:rPr>
  </w:style>
  <w:style w:type="character" w:customStyle="1" w:styleId="CommentTextChar">
    <w:name w:val="Comment Text Char"/>
    <w:basedOn w:val="DefaultParagraphFont"/>
    <w:link w:val="CommentText"/>
    <w:uiPriority w:val="99"/>
    <w:rsid w:val="008B233B"/>
    <w:rPr>
      <w:sz w:val="20"/>
      <w:szCs w:val="20"/>
    </w:rPr>
  </w:style>
  <w:style w:type="paragraph" w:styleId="CommentSubject">
    <w:name w:val="annotation subject"/>
    <w:basedOn w:val="CommentText"/>
    <w:next w:val="CommentText"/>
    <w:link w:val="CommentSubjectChar"/>
    <w:uiPriority w:val="99"/>
    <w:semiHidden/>
    <w:unhideWhenUsed/>
    <w:rsid w:val="008B233B"/>
    <w:rPr>
      <w:b/>
      <w:bCs/>
    </w:rPr>
  </w:style>
  <w:style w:type="character" w:customStyle="1" w:styleId="CommentSubjectChar">
    <w:name w:val="Comment Subject Char"/>
    <w:basedOn w:val="CommentTextChar"/>
    <w:link w:val="CommentSubject"/>
    <w:uiPriority w:val="99"/>
    <w:semiHidden/>
    <w:rsid w:val="008B233B"/>
    <w:rPr>
      <w:b/>
      <w:bCs/>
      <w:sz w:val="20"/>
      <w:szCs w:val="20"/>
    </w:rPr>
  </w:style>
  <w:style w:type="character" w:styleId="PageNumber">
    <w:name w:val="page number"/>
    <w:basedOn w:val="DefaultParagraphFont"/>
    <w:uiPriority w:val="99"/>
    <w:semiHidden/>
    <w:unhideWhenUsed/>
    <w:rsid w:val="00A53AFD"/>
  </w:style>
  <w:style w:type="paragraph" w:styleId="ListParagraph">
    <w:name w:val="List Paragraph"/>
    <w:basedOn w:val="Normal"/>
    <w:uiPriority w:val="34"/>
    <w:qFormat/>
    <w:rsid w:val="00B6011F"/>
    <w:pPr>
      <w:ind w:left="720"/>
      <w:contextualSpacing/>
    </w:pPr>
  </w:style>
  <w:style w:type="character" w:styleId="FollowedHyperlink">
    <w:name w:val="FollowedHyperlink"/>
    <w:basedOn w:val="DefaultParagraphFont"/>
    <w:uiPriority w:val="99"/>
    <w:semiHidden/>
    <w:unhideWhenUsed/>
    <w:rsid w:val="003A35C3"/>
    <w:rPr>
      <w:color w:val="96607D" w:themeColor="followedHyperlink"/>
      <w:u w:val="single"/>
    </w:rPr>
  </w:style>
  <w:style w:type="paragraph" w:customStyle="1" w:styleId="paragraph">
    <w:name w:val="paragraph"/>
    <w:basedOn w:val="Normal"/>
    <w:rsid w:val="0079776B"/>
    <w:pPr>
      <w:spacing w:before="100" w:beforeAutospacing="1" w:after="100" w:afterAutospacing="1"/>
    </w:pPr>
  </w:style>
  <w:style w:type="character" w:customStyle="1" w:styleId="eop">
    <w:name w:val="eop"/>
    <w:basedOn w:val="DefaultParagraphFont"/>
    <w:rsid w:val="0079776B"/>
  </w:style>
  <w:style w:type="paragraph" w:customStyle="1" w:styleId="css-qffaiu">
    <w:name w:val="css-qffaiu"/>
    <w:basedOn w:val="Normal"/>
    <w:uiPriority w:val="1"/>
    <w:rsid w:val="5FCB472B"/>
    <w:pPr>
      <w:spacing w:beforeAutospacing="1" w:afterAutospacing="1"/>
    </w:pPr>
    <w:rPr>
      <w:rFonts w:asciiTheme="minorHAnsi" w:eastAsiaTheme="minorEastAsia" w:hAnsiTheme="minorHAnsi" w:cstheme="minorBidi"/>
    </w:rPr>
  </w:style>
  <w:style w:type="character" w:customStyle="1" w:styleId="css-lcd2g5">
    <w:name w:val="css-lcd2g5"/>
    <w:basedOn w:val="DefaultParagraphFont"/>
    <w:uiPriority w:val="1"/>
    <w:rsid w:val="5FCB472B"/>
    <w:rPr>
      <w:rFonts w:asciiTheme="minorHAnsi" w:eastAsiaTheme="minorEastAsia" w:hAnsiTheme="minorHAnsi" w:cstheme="minorBidi"/>
      <w:sz w:val="24"/>
      <w:szCs w:val="24"/>
    </w:rPr>
  </w:style>
  <w:style w:type="paragraph" w:styleId="NormalWeb">
    <w:name w:val="Normal (Web)"/>
    <w:basedOn w:val="Normal"/>
    <w:uiPriority w:val="99"/>
    <w:semiHidden/>
    <w:unhideWhenUsed/>
    <w:rsid w:val="00A66AF9"/>
    <w:pPr>
      <w:spacing w:before="100" w:beforeAutospacing="1" w:after="100" w:afterAutospacing="1"/>
    </w:pPr>
  </w:style>
  <w:style w:type="character" w:styleId="Strong">
    <w:name w:val="Strong"/>
    <w:basedOn w:val="DefaultParagraphFont"/>
    <w:uiPriority w:val="22"/>
    <w:qFormat/>
    <w:rsid w:val="00B04ECD"/>
    <w:rPr>
      <w:b/>
      <w:bCs/>
    </w:rPr>
  </w:style>
  <w:style w:type="character" w:styleId="Emphasis">
    <w:name w:val="Emphasis"/>
    <w:basedOn w:val="DefaultParagraphFont"/>
    <w:uiPriority w:val="20"/>
    <w:qFormat/>
    <w:rsid w:val="00ED1D4A"/>
    <w:rPr>
      <w:i/>
      <w:iCs/>
    </w:rPr>
  </w:style>
  <w:style w:type="paragraph" w:styleId="Revision">
    <w:name w:val="Revision"/>
    <w:hidden/>
    <w:uiPriority w:val="99"/>
    <w:semiHidden/>
    <w:rsid w:val="004B763C"/>
    <w:pPr>
      <w:spacing w:after="0" w:line="240" w:lineRule="auto"/>
    </w:pPr>
    <w:rPr>
      <w:rFonts w:ascii="Times New Roman" w:eastAsia="Times New Roman" w:hAnsi="Times New Roman" w:cs="Times New Roman"/>
      <w:lang w:eastAsia="en-US"/>
    </w:rPr>
  </w:style>
  <w:style w:type="table" w:styleId="PlainTable1">
    <w:name w:val="Plain Table 1"/>
    <w:basedOn w:val="TableNormal"/>
    <w:uiPriority w:val="41"/>
    <w:rsid w:val="00545D1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545D1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FooterChar">
    <w:name w:val="Footer Char"/>
    <w:basedOn w:val="DefaultParagraphFont"/>
    <w:link w:val="Footer"/>
    <w:uiPriority w:val="99"/>
    <w:rsid w:val="000613B6"/>
    <w:rPr>
      <w:rFonts w:ascii="Times New Roman" w:eastAsia="Times New Roman" w:hAnsi="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759122">
      <w:bodyDiv w:val="1"/>
      <w:marLeft w:val="0"/>
      <w:marRight w:val="0"/>
      <w:marTop w:val="0"/>
      <w:marBottom w:val="0"/>
      <w:divBdr>
        <w:top w:val="none" w:sz="0" w:space="0" w:color="auto"/>
        <w:left w:val="none" w:sz="0" w:space="0" w:color="auto"/>
        <w:bottom w:val="none" w:sz="0" w:space="0" w:color="auto"/>
        <w:right w:val="none" w:sz="0" w:space="0" w:color="auto"/>
      </w:divBdr>
      <w:divsChild>
        <w:div w:id="201603328">
          <w:marLeft w:val="0"/>
          <w:marRight w:val="0"/>
          <w:marTop w:val="0"/>
          <w:marBottom w:val="240"/>
          <w:divBdr>
            <w:top w:val="none" w:sz="0" w:space="0" w:color="auto"/>
            <w:left w:val="none" w:sz="0" w:space="0" w:color="auto"/>
            <w:bottom w:val="none" w:sz="0" w:space="0" w:color="auto"/>
            <w:right w:val="none" w:sz="0" w:space="0" w:color="auto"/>
          </w:divBdr>
        </w:div>
        <w:div w:id="1400786089">
          <w:marLeft w:val="0"/>
          <w:marRight w:val="0"/>
          <w:marTop w:val="0"/>
          <w:marBottom w:val="240"/>
          <w:divBdr>
            <w:top w:val="none" w:sz="0" w:space="0" w:color="auto"/>
            <w:left w:val="none" w:sz="0" w:space="0" w:color="auto"/>
            <w:bottom w:val="none" w:sz="0" w:space="0" w:color="auto"/>
            <w:right w:val="none" w:sz="0" w:space="0" w:color="auto"/>
          </w:divBdr>
        </w:div>
      </w:divsChild>
    </w:div>
    <w:div w:id="97410655">
      <w:bodyDiv w:val="1"/>
      <w:marLeft w:val="0"/>
      <w:marRight w:val="0"/>
      <w:marTop w:val="0"/>
      <w:marBottom w:val="0"/>
      <w:divBdr>
        <w:top w:val="none" w:sz="0" w:space="0" w:color="auto"/>
        <w:left w:val="none" w:sz="0" w:space="0" w:color="auto"/>
        <w:bottom w:val="none" w:sz="0" w:space="0" w:color="auto"/>
        <w:right w:val="none" w:sz="0" w:space="0" w:color="auto"/>
      </w:divBdr>
      <w:divsChild>
        <w:div w:id="19746041">
          <w:marLeft w:val="0"/>
          <w:marRight w:val="0"/>
          <w:marTop w:val="0"/>
          <w:marBottom w:val="0"/>
          <w:divBdr>
            <w:top w:val="none" w:sz="0" w:space="0" w:color="auto"/>
            <w:left w:val="none" w:sz="0" w:space="0" w:color="auto"/>
            <w:bottom w:val="none" w:sz="0" w:space="0" w:color="auto"/>
            <w:right w:val="none" w:sz="0" w:space="0" w:color="auto"/>
          </w:divBdr>
          <w:divsChild>
            <w:div w:id="56781434">
              <w:marLeft w:val="0"/>
              <w:marRight w:val="0"/>
              <w:marTop w:val="0"/>
              <w:marBottom w:val="0"/>
              <w:divBdr>
                <w:top w:val="none" w:sz="0" w:space="0" w:color="auto"/>
                <w:left w:val="none" w:sz="0" w:space="0" w:color="auto"/>
                <w:bottom w:val="none" w:sz="0" w:space="0" w:color="auto"/>
                <w:right w:val="none" w:sz="0" w:space="0" w:color="auto"/>
              </w:divBdr>
            </w:div>
          </w:divsChild>
        </w:div>
        <w:div w:id="98187636">
          <w:marLeft w:val="0"/>
          <w:marRight w:val="0"/>
          <w:marTop w:val="0"/>
          <w:marBottom w:val="0"/>
          <w:divBdr>
            <w:top w:val="none" w:sz="0" w:space="0" w:color="auto"/>
            <w:left w:val="none" w:sz="0" w:space="0" w:color="auto"/>
            <w:bottom w:val="none" w:sz="0" w:space="0" w:color="auto"/>
            <w:right w:val="none" w:sz="0" w:space="0" w:color="auto"/>
          </w:divBdr>
          <w:divsChild>
            <w:div w:id="110437512">
              <w:marLeft w:val="0"/>
              <w:marRight w:val="0"/>
              <w:marTop w:val="0"/>
              <w:marBottom w:val="0"/>
              <w:divBdr>
                <w:top w:val="none" w:sz="0" w:space="0" w:color="auto"/>
                <w:left w:val="none" w:sz="0" w:space="0" w:color="auto"/>
                <w:bottom w:val="none" w:sz="0" w:space="0" w:color="auto"/>
                <w:right w:val="none" w:sz="0" w:space="0" w:color="auto"/>
              </w:divBdr>
            </w:div>
          </w:divsChild>
        </w:div>
        <w:div w:id="309789520">
          <w:marLeft w:val="0"/>
          <w:marRight w:val="0"/>
          <w:marTop w:val="0"/>
          <w:marBottom w:val="0"/>
          <w:divBdr>
            <w:top w:val="none" w:sz="0" w:space="0" w:color="auto"/>
            <w:left w:val="none" w:sz="0" w:space="0" w:color="auto"/>
            <w:bottom w:val="none" w:sz="0" w:space="0" w:color="auto"/>
            <w:right w:val="none" w:sz="0" w:space="0" w:color="auto"/>
          </w:divBdr>
          <w:divsChild>
            <w:div w:id="335228908">
              <w:marLeft w:val="0"/>
              <w:marRight w:val="0"/>
              <w:marTop w:val="0"/>
              <w:marBottom w:val="0"/>
              <w:divBdr>
                <w:top w:val="none" w:sz="0" w:space="0" w:color="auto"/>
                <w:left w:val="none" w:sz="0" w:space="0" w:color="auto"/>
                <w:bottom w:val="none" w:sz="0" w:space="0" w:color="auto"/>
                <w:right w:val="none" w:sz="0" w:space="0" w:color="auto"/>
              </w:divBdr>
            </w:div>
          </w:divsChild>
        </w:div>
        <w:div w:id="364409040">
          <w:marLeft w:val="0"/>
          <w:marRight w:val="0"/>
          <w:marTop w:val="0"/>
          <w:marBottom w:val="0"/>
          <w:divBdr>
            <w:top w:val="none" w:sz="0" w:space="0" w:color="auto"/>
            <w:left w:val="none" w:sz="0" w:space="0" w:color="auto"/>
            <w:bottom w:val="none" w:sz="0" w:space="0" w:color="auto"/>
            <w:right w:val="none" w:sz="0" w:space="0" w:color="auto"/>
          </w:divBdr>
          <w:divsChild>
            <w:div w:id="814638011">
              <w:marLeft w:val="0"/>
              <w:marRight w:val="0"/>
              <w:marTop w:val="0"/>
              <w:marBottom w:val="0"/>
              <w:divBdr>
                <w:top w:val="none" w:sz="0" w:space="0" w:color="auto"/>
                <w:left w:val="none" w:sz="0" w:space="0" w:color="auto"/>
                <w:bottom w:val="none" w:sz="0" w:space="0" w:color="auto"/>
                <w:right w:val="none" w:sz="0" w:space="0" w:color="auto"/>
              </w:divBdr>
            </w:div>
          </w:divsChild>
        </w:div>
        <w:div w:id="377361775">
          <w:marLeft w:val="0"/>
          <w:marRight w:val="0"/>
          <w:marTop w:val="0"/>
          <w:marBottom w:val="0"/>
          <w:divBdr>
            <w:top w:val="none" w:sz="0" w:space="0" w:color="auto"/>
            <w:left w:val="none" w:sz="0" w:space="0" w:color="auto"/>
            <w:bottom w:val="none" w:sz="0" w:space="0" w:color="auto"/>
            <w:right w:val="none" w:sz="0" w:space="0" w:color="auto"/>
          </w:divBdr>
          <w:divsChild>
            <w:div w:id="1834640001">
              <w:marLeft w:val="0"/>
              <w:marRight w:val="0"/>
              <w:marTop w:val="0"/>
              <w:marBottom w:val="0"/>
              <w:divBdr>
                <w:top w:val="none" w:sz="0" w:space="0" w:color="auto"/>
                <w:left w:val="none" w:sz="0" w:space="0" w:color="auto"/>
                <w:bottom w:val="none" w:sz="0" w:space="0" w:color="auto"/>
                <w:right w:val="none" w:sz="0" w:space="0" w:color="auto"/>
              </w:divBdr>
            </w:div>
          </w:divsChild>
        </w:div>
        <w:div w:id="539785469">
          <w:marLeft w:val="0"/>
          <w:marRight w:val="0"/>
          <w:marTop w:val="0"/>
          <w:marBottom w:val="0"/>
          <w:divBdr>
            <w:top w:val="none" w:sz="0" w:space="0" w:color="auto"/>
            <w:left w:val="none" w:sz="0" w:space="0" w:color="auto"/>
            <w:bottom w:val="none" w:sz="0" w:space="0" w:color="auto"/>
            <w:right w:val="none" w:sz="0" w:space="0" w:color="auto"/>
          </w:divBdr>
          <w:divsChild>
            <w:div w:id="274486202">
              <w:marLeft w:val="0"/>
              <w:marRight w:val="0"/>
              <w:marTop w:val="0"/>
              <w:marBottom w:val="0"/>
              <w:divBdr>
                <w:top w:val="none" w:sz="0" w:space="0" w:color="auto"/>
                <w:left w:val="none" w:sz="0" w:space="0" w:color="auto"/>
                <w:bottom w:val="none" w:sz="0" w:space="0" w:color="auto"/>
                <w:right w:val="none" w:sz="0" w:space="0" w:color="auto"/>
              </w:divBdr>
            </w:div>
          </w:divsChild>
        </w:div>
        <w:div w:id="605771413">
          <w:marLeft w:val="0"/>
          <w:marRight w:val="0"/>
          <w:marTop w:val="0"/>
          <w:marBottom w:val="0"/>
          <w:divBdr>
            <w:top w:val="none" w:sz="0" w:space="0" w:color="auto"/>
            <w:left w:val="none" w:sz="0" w:space="0" w:color="auto"/>
            <w:bottom w:val="none" w:sz="0" w:space="0" w:color="auto"/>
            <w:right w:val="none" w:sz="0" w:space="0" w:color="auto"/>
          </w:divBdr>
          <w:divsChild>
            <w:div w:id="497111090">
              <w:marLeft w:val="0"/>
              <w:marRight w:val="0"/>
              <w:marTop w:val="0"/>
              <w:marBottom w:val="0"/>
              <w:divBdr>
                <w:top w:val="none" w:sz="0" w:space="0" w:color="auto"/>
                <w:left w:val="none" w:sz="0" w:space="0" w:color="auto"/>
                <w:bottom w:val="none" w:sz="0" w:space="0" w:color="auto"/>
                <w:right w:val="none" w:sz="0" w:space="0" w:color="auto"/>
              </w:divBdr>
            </w:div>
          </w:divsChild>
        </w:div>
        <w:div w:id="628628347">
          <w:marLeft w:val="0"/>
          <w:marRight w:val="0"/>
          <w:marTop w:val="0"/>
          <w:marBottom w:val="0"/>
          <w:divBdr>
            <w:top w:val="none" w:sz="0" w:space="0" w:color="auto"/>
            <w:left w:val="none" w:sz="0" w:space="0" w:color="auto"/>
            <w:bottom w:val="none" w:sz="0" w:space="0" w:color="auto"/>
            <w:right w:val="none" w:sz="0" w:space="0" w:color="auto"/>
          </w:divBdr>
          <w:divsChild>
            <w:div w:id="1908421446">
              <w:marLeft w:val="0"/>
              <w:marRight w:val="0"/>
              <w:marTop w:val="0"/>
              <w:marBottom w:val="0"/>
              <w:divBdr>
                <w:top w:val="none" w:sz="0" w:space="0" w:color="auto"/>
                <w:left w:val="none" w:sz="0" w:space="0" w:color="auto"/>
                <w:bottom w:val="none" w:sz="0" w:space="0" w:color="auto"/>
                <w:right w:val="none" w:sz="0" w:space="0" w:color="auto"/>
              </w:divBdr>
            </w:div>
          </w:divsChild>
        </w:div>
        <w:div w:id="637498106">
          <w:marLeft w:val="0"/>
          <w:marRight w:val="0"/>
          <w:marTop w:val="0"/>
          <w:marBottom w:val="0"/>
          <w:divBdr>
            <w:top w:val="none" w:sz="0" w:space="0" w:color="auto"/>
            <w:left w:val="none" w:sz="0" w:space="0" w:color="auto"/>
            <w:bottom w:val="none" w:sz="0" w:space="0" w:color="auto"/>
            <w:right w:val="none" w:sz="0" w:space="0" w:color="auto"/>
          </w:divBdr>
          <w:divsChild>
            <w:div w:id="1765999510">
              <w:marLeft w:val="0"/>
              <w:marRight w:val="0"/>
              <w:marTop w:val="0"/>
              <w:marBottom w:val="0"/>
              <w:divBdr>
                <w:top w:val="none" w:sz="0" w:space="0" w:color="auto"/>
                <w:left w:val="none" w:sz="0" w:space="0" w:color="auto"/>
                <w:bottom w:val="none" w:sz="0" w:space="0" w:color="auto"/>
                <w:right w:val="none" w:sz="0" w:space="0" w:color="auto"/>
              </w:divBdr>
            </w:div>
          </w:divsChild>
        </w:div>
        <w:div w:id="695152346">
          <w:marLeft w:val="0"/>
          <w:marRight w:val="0"/>
          <w:marTop w:val="0"/>
          <w:marBottom w:val="0"/>
          <w:divBdr>
            <w:top w:val="none" w:sz="0" w:space="0" w:color="auto"/>
            <w:left w:val="none" w:sz="0" w:space="0" w:color="auto"/>
            <w:bottom w:val="none" w:sz="0" w:space="0" w:color="auto"/>
            <w:right w:val="none" w:sz="0" w:space="0" w:color="auto"/>
          </w:divBdr>
          <w:divsChild>
            <w:div w:id="1947691760">
              <w:marLeft w:val="0"/>
              <w:marRight w:val="0"/>
              <w:marTop w:val="0"/>
              <w:marBottom w:val="0"/>
              <w:divBdr>
                <w:top w:val="none" w:sz="0" w:space="0" w:color="auto"/>
                <w:left w:val="none" w:sz="0" w:space="0" w:color="auto"/>
                <w:bottom w:val="none" w:sz="0" w:space="0" w:color="auto"/>
                <w:right w:val="none" w:sz="0" w:space="0" w:color="auto"/>
              </w:divBdr>
            </w:div>
          </w:divsChild>
        </w:div>
        <w:div w:id="858199378">
          <w:marLeft w:val="0"/>
          <w:marRight w:val="0"/>
          <w:marTop w:val="0"/>
          <w:marBottom w:val="0"/>
          <w:divBdr>
            <w:top w:val="none" w:sz="0" w:space="0" w:color="auto"/>
            <w:left w:val="none" w:sz="0" w:space="0" w:color="auto"/>
            <w:bottom w:val="none" w:sz="0" w:space="0" w:color="auto"/>
            <w:right w:val="none" w:sz="0" w:space="0" w:color="auto"/>
          </w:divBdr>
          <w:divsChild>
            <w:div w:id="1048649591">
              <w:marLeft w:val="0"/>
              <w:marRight w:val="0"/>
              <w:marTop w:val="0"/>
              <w:marBottom w:val="0"/>
              <w:divBdr>
                <w:top w:val="none" w:sz="0" w:space="0" w:color="auto"/>
                <w:left w:val="none" w:sz="0" w:space="0" w:color="auto"/>
                <w:bottom w:val="none" w:sz="0" w:space="0" w:color="auto"/>
                <w:right w:val="none" w:sz="0" w:space="0" w:color="auto"/>
              </w:divBdr>
            </w:div>
          </w:divsChild>
        </w:div>
        <w:div w:id="912935359">
          <w:marLeft w:val="0"/>
          <w:marRight w:val="0"/>
          <w:marTop w:val="0"/>
          <w:marBottom w:val="0"/>
          <w:divBdr>
            <w:top w:val="none" w:sz="0" w:space="0" w:color="auto"/>
            <w:left w:val="none" w:sz="0" w:space="0" w:color="auto"/>
            <w:bottom w:val="none" w:sz="0" w:space="0" w:color="auto"/>
            <w:right w:val="none" w:sz="0" w:space="0" w:color="auto"/>
          </w:divBdr>
          <w:divsChild>
            <w:div w:id="1486824528">
              <w:marLeft w:val="0"/>
              <w:marRight w:val="0"/>
              <w:marTop w:val="0"/>
              <w:marBottom w:val="0"/>
              <w:divBdr>
                <w:top w:val="none" w:sz="0" w:space="0" w:color="auto"/>
                <w:left w:val="none" w:sz="0" w:space="0" w:color="auto"/>
                <w:bottom w:val="none" w:sz="0" w:space="0" w:color="auto"/>
                <w:right w:val="none" w:sz="0" w:space="0" w:color="auto"/>
              </w:divBdr>
            </w:div>
          </w:divsChild>
        </w:div>
        <w:div w:id="1113944398">
          <w:marLeft w:val="0"/>
          <w:marRight w:val="0"/>
          <w:marTop w:val="0"/>
          <w:marBottom w:val="0"/>
          <w:divBdr>
            <w:top w:val="none" w:sz="0" w:space="0" w:color="auto"/>
            <w:left w:val="none" w:sz="0" w:space="0" w:color="auto"/>
            <w:bottom w:val="none" w:sz="0" w:space="0" w:color="auto"/>
            <w:right w:val="none" w:sz="0" w:space="0" w:color="auto"/>
          </w:divBdr>
          <w:divsChild>
            <w:div w:id="21440997">
              <w:marLeft w:val="0"/>
              <w:marRight w:val="0"/>
              <w:marTop w:val="0"/>
              <w:marBottom w:val="0"/>
              <w:divBdr>
                <w:top w:val="none" w:sz="0" w:space="0" w:color="auto"/>
                <w:left w:val="none" w:sz="0" w:space="0" w:color="auto"/>
                <w:bottom w:val="none" w:sz="0" w:space="0" w:color="auto"/>
                <w:right w:val="none" w:sz="0" w:space="0" w:color="auto"/>
              </w:divBdr>
            </w:div>
          </w:divsChild>
        </w:div>
        <w:div w:id="1305744368">
          <w:marLeft w:val="0"/>
          <w:marRight w:val="0"/>
          <w:marTop w:val="0"/>
          <w:marBottom w:val="0"/>
          <w:divBdr>
            <w:top w:val="none" w:sz="0" w:space="0" w:color="auto"/>
            <w:left w:val="none" w:sz="0" w:space="0" w:color="auto"/>
            <w:bottom w:val="none" w:sz="0" w:space="0" w:color="auto"/>
            <w:right w:val="none" w:sz="0" w:space="0" w:color="auto"/>
          </w:divBdr>
          <w:divsChild>
            <w:div w:id="2117405121">
              <w:marLeft w:val="0"/>
              <w:marRight w:val="0"/>
              <w:marTop w:val="0"/>
              <w:marBottom w:val="0"/>
              <w:divBdr>
                <w:top w:val="none" w:sz="0" w:space="0" w:color="auto"/>
                <w:left w:val="none" w:sz="0" w:space="0" w:color="auto"/>
                <w:bottom w:val="none" w:sz="0" w:space="0" w:color="auto"/>
                <w:right w:val="none" w:sz="0" w:space="0" w:color="auto"/>
              </w:divBdr>
            </w:div>
          </w:divsChild>
        </w:div>
        <w:div w:id="1316759795">
          <w:marLeft w:val="0"/>
          <w:marRight w:val="0"/>
          <w:marTop w:val="0"/>
          <w:marBottom w:val="0"/>
          <w:divBdr>
            <w:top w:val="none" w:sz="0" w:space="0" w:color="auto"/>
            <w:left w:val="none" w:sz="0" w:space="0" w:color="auto"/>
            <w:bottom w:val="none" w:sz="0" w:space="0" w:color="auto"/>
            <w:right w:val="none" w:sz="0" w:space="0" w:color="auto"/>
          </w:divBdr>
          <w:divsChild>
            <w:div w:id="656611275">
              <w:marLeft w:val="0"/>
              <w:marRight w:val="0"/>
              <w:marTop w:val="0"/>
              <w:marBottom w:val="0"/>
              <w:divBdr>
                <w:top w:val="none" w:sz="0" w:space="0" w:color="auto"/>
                <w:left w:val="none" w:sz="0" w:space="0" w:color="auto"/>
                <w:bottom w:val="none" w:sz="0" w:space="0" w:color="auto"/>
                <w:right w:val="none" w:sz="0" w:space="0" w:color="auto"/>
              </w:divBdr>
            </w:div>
          </w:divsChild>
        </w:div>
        <w:div w:id="1330865301">
          <w:marLeft w:val="0"/>
          <w:marRight w:val="0"/>
          <w:marTop w:val="0"/>
          <w:marBottom w:val="0"/>
          <w:divBdr>
            <w:top w:val="none" w:sz="0" w:space="0" w:color="auto"/>
            <w:left w:val="none" w:sz="0" w:space="0" w:color="auto"/>
            <w:bottom w:val="none" w:sz="0" w:space="0" w:color="auto"/>
            <w:right w:val="none" w:sz="0" w:space="0" w:color="auto"/>
          </w:divBdr>
          <w:divsChild>
            <w:div w:id="1201624866">
              <w:marLeft w:val="0"/>
              <w:marRight w:val="0"/>
              <w:marTop w:val="0"/>
              <w:marBottom w:val="0"/>
              <w:divBdr>
                <w:top w:val="none" w:sz="0" w:space="0" w:color="auto"/>
                <w:left w:val="none" w:sz="0" w:space="0" w:color="auto"/>
                <w:bottom w:val="none" w:sz="0" w:space="0" w:color="auto"/>
                <w:right w:val="none" w:sz="0" w:space="0" w:color="auto"/>
              </w:divBdr>
            </w:div>
          </w:divsChild>
        </w:div>
        <w:div w:id="1408453867">
          <w:marLeft w:val="0"/>
          <w:marRight w:val="0"/>
          <w:marTop w:val="0"/>
          <w:marBottom w:val="0"/>
          <w:divBdr>
            <w:top w:val="none" w:sz="0" w:space="0" w:color="auto"/>
            <w:left w:val="none" w:sz="0" w:space="0" w:color="auto"/>
            <w:bottom w:val="none" w:sz="0" w:space="0" w:color="auto"/>
            <w:right w:val="none" w:sz="0" w:space="0" w:color="auto"/>
          </w:divBdr>
          <w:divsChild>
            <w:div w:id="1018628355">
              <w:marLeft w:val="0"/>
              <w:marRight w:val="0"/>
              <w:marTop w:val="0"/>
              <w:marBottom w:val="0"/>
              <w:divBdr>
                <w:top w:val="none" w:sz="0" w:space="0" w:color="auto"/>
                <w:left w:val="none" w:sz="0" w:space="0" w:color="auto"/>
                <w:bottom w:val="none" w:sz="0" w:space="0" w:color="auto"/>
                <w:right w:val="none" w:sz="0" w:space="0" w:color="auto"/>
              </w:divBdr>
            </w:div>
          </w:divsChild>
        </w:div>
        <w:div w:id="1417826543">
          <w:marLeft w:val="0"/>
          <w:marRight w:val="0"/>
          <w:marTop w:val="0"/>
          <w:marBottom w:val="0"/>
          <w:divBdr>
            <w:top w:val="none" w:sz="0" w:space="0" w:color="auto"/>
            <w:left w:val="none" w:sz="0" w:space="0" w:color="auto"/>
            <w:bottom w:val="none" w:sz="0" w:space="0" w:color="auto"/>
            <w:right w:val="none" w:sz="0" w:space="0" w:color="auto"/>
          </w:divBdr>
          <w:divsChild>
            <w:div w:id="1100181397">
              <w:marLeft w:val="0"/>
              <w:marRight w:val="0"/>
              <w:marTop w:val="0"/>
              <w:marBottom w:val="0"/>
              <w:divBdr>
                <w:top w:val="none" w:sz="0" w:space="0" w:color="auto"/>
                <w:left w:val="none" w:sz="0" w:space="0" w:color="auto"/>
                <w:bottom w:val="none" w:sz="0" w:space="0" w:color="auto"/>
                <w:right w:val="none" w:sz="0" w:space="0" w:color="auto"/>
              </w:divBdr>
            </w:div>
          </w:divsChild>
        </w:div>
        <w:div w:id="1427926308">
          <w:marLeft w:val="0"/>
          <w:marRight w:val="0"/>
          <w:marTop w:val="0"/>
          <w:marBottom w:val="0"/>
          <w:divBdr>
            <w:top w:val="none" w:sz="0" w:space="0" w:color="auto"/>
            <w:left w:val="none" w:sz="0" w:space="0" w:color="auto"/>
            <w:bottom w:val="none" w:sz="0" w:space="0" w:color="auto"/>
            <w:right w:val="none" w:sz="0" w:space="0" w:color="auto"/>
          </w:divBdr>
          <w:divsChild>
            <w:div w:id="386611520">
              <w:marLeft w:val="0"/>
              <w:marRight w:val="0"/>
              <w:marTop w:val="0"/>
              <w:marBottom w:val="0"/>
              <w:divBdr>
                <w:top w:val="none" w:sz="0" w:space="0" w:color="auto"/>
                <w:left w:val="none" w:sz="0" w:space="0" w:color="auto"/>
                <w:bottom w:val="none" w:sz="0" w:space="0" w:color="auto"/>
                <w:right w:val="none" w:sz="0" w:space="0" w:color="auto"/>
              </w:divBdr>
            </w:div>
          </w:divsChild>
        </w:div>
        <w:div w:id="1469979596">
          <w:marLeft w:val="0"/>
          <w:marRight w:val="0"/>
          <w:marTop w:val="0"/>
          <w:marBottom w:val="0"/>
          <w:divBdr>
            <w:top w:val="none" w:sz="0" w:space="0" w:color="auto"/>
            <w:left w:val="none" w:sz="0" w:space="0" w:color="auto"/>
            <w:bottom w:val="none" w:sz="0" w:space="0" w:color="auto"/>
            <w:right w:val="none" w:sz="0" w:space="0" w:color="auto"/>
          </w:divBdr>
          <w:divsChild>
            <w:div w:id="262300000">
              <w:marLeft w:val="0"/>
              <w:marRight w:val="0"/>
              <w:marTop w:val="0"/>
              <w:marBottom w:val="0"/>
              <w:divBdr>
                <w:top w:val="none" w:sz="0" w:space="0" w:color="auto"/>
                <w:left w:val="none" w:sz="0" w:space="0" w:color="auto"/>
                <w:bottom w:val="none" w:sz="0" w:space="0" w:color="auto"/>
                <w:right w:val="none" w:sz="0" w:space="0" w:color="auto"/>
              </w:divBdr>
            </w:div>
          </w:divsChild>
        </w:div>
        <w:div w:id="1522358372">
          <w:marLeft w:val="0"/>
          <w:marRight w:val="0"/>
          <w:marTop w:val="0"/>
          <w:marBottom w:val="0"/>
          <w:divBdr>
            <w:top w:val="none" w:sz="0" w:space="0" w:color="auto"/>
            <w:left w:val="none" w:sz="0" w:space="0" w:color="auto"/>
            <w:bottom w:val="none" w:sz="0" w:space="0" w:color="auto"/>
            <w:right w:val="none" w:sz="0" w:space="0" w:color="auto"/>
          </w:divBdr>
          <w:divsChild>
            <w:div w:id="1279987895">
              <w:marLeft w:val="0"/>
              <w:marRight w:val="0"/>
              <w:marTop w:val="0"/>
              <w:marBottom w:val="0"/>
              <w:divBdr>
                <w:top w:val="none" w:sz="0" w:space="0" w:color="auto"/>
                <w:left w:val="none" w:sz="0" w:space="0" w:color="auto"/>
                <w:bottom w:val="none" w:sz="0" w:space="0" w:color="auto"/>
                <w:right w:val="none" w:sz="0" w:space="0" w:color="auto"/>
              </w:divBdr>
            </w:div>
          </w:divsChild>
        </w:div>
        <w:div w:id="1773554453">
          <w:marLeft w:val="0"/>
          <w:marRight w:val="0"/>
          <w:marTop w:val="0"/>
          <w:marBottom w:val="0"/>
          <w:divBdr>
            <w:top w:val="none" w:sz="0" w:space="0" w:color="auto"/>
            <w:left w:val="none" w:sz="0" w:space="0" w:color="auto"/>
            <w:bottom w:val="none" w:sz="0" w:space="0" w:color="auto"/>
            <w:right w:val="none" w:sz="0" w:space="0" w:color="auto"/>
          </w:divBdr>
          <w:divsChild>
            <w:div w:id="444621824">
              <w:marLeft w:val="0"/>
              <w:marRight w:val="0"/>
              <w:marTop w:val="0"/>
              <w:marBottom w:val="0"/>
              <w:divBdr>
                <w:top w:val="none" w:sz="0" w:space="0" w:color="auto"/>
                <w:left w:val="none" w:sz="0" w:space="0" w:color="auto"/>
                <w:bottom w:val="none" w:sz="0" w:space="0" w:color="auto"/>
                <w:right w:val="none" w:sz="0" w:space="0" w:color="auto"/>
              </w:divBdr>
            </w:div>
          </w:divsChild>
        </w:div>
        <w:div w:id="1815635562">
          <w:marLeft w:val="0"/>
          <w:marRight w:val="0"/>
          <w:marTop w:val="0"/>
          <w:marBottom w:val="0"/>
          <w:divBdr>
            <w:top w:val="none" w:sz="0" w:space="0" w:color="auto"/>
            <w:left w:val="none" w:sz="0" w:space="0" w:color="auto"/>
            <w:bottom w:val="none" w:sz="0" w:space="0" w:color="auto"/>
            <w:right w:val="none" w:sz="0" w:space="0" w:color="auto"/>
          </w:divBdr>
          <w:divsChild>
            <w:div w:id="1772311100">
              <w:marLeft w:val="0"/>
              <w:marRight w:val="0"/>
              <w:marTop w:val="0"/>
              <w:marBottom w:val="0"/>
              <w:divBdr>
                <w:top w:val="none" w:sz="0" w:space="0" w:color="auto"/>
                <w:left w:val="none" w:sz="0" w:space="0" w:color="auto"/>
                <w:bottom w:val="none" w:sz="0" w:space="0" w:color="auto"/>
                <w:right w:val="none" w:sz="0" w:space="0" w:color="auto"/>
              </w:divBdr>
            </w:div>
          </w:divsChild>
        </w:div>
        <w:div w:id="1858039314">
          <w:marLeft w:val="0"/>
          <w:marRight w:val="0"/>
          <w:marTop w:val="0"/>
          <w:marBottom w:val="0"/>
          <w:divBdr>
            <w:top w:val="none" w:sz="0" w:space="0" w:color="auto"/>
            <w:left w:val="none" w:sz="0" w:space="0" w:color="auto"/>
            <w:bottom w:val="none" w:sz="0" w:space="0" w:color="auto"/>
            <w:right w:val="none" w:sz="0" w:space="0" w:color="auto"/>
          </w:divBdr>
          <w:divsChild>
            <w:div w:id="607003103">
              <w:marLeft w:val="0"/>
              <w:marRight w:val="0"/>
              <w:marTop w:val="0"/>
              <w:marBottom w:val="0"/>
              <w:divBdr>
                <w:top w:val="none" w:sz="0" w:space="0" w:color="auto"/>
                <w:left w:val="none" w:sz="0" w:space="0" w:color="auto"/>
                <w:bottom w:val="none" w:sz="0" w:space="0" w:color="auto"/>
                <w:right w:val="none" w:sz="0" w:space="0" w:color="auto"/>
              </w:divBdr>
            </w:div>
          </w:divsChild>
        </w:div>
        <w:div w:id="1881699076">
          <w:marLeft w:val="0"/>
          <w:marRight w:val="0"/>
          <w:marTop w:val="0"/>
          <w:marBottom w:val="0"/>
          <w:divBdr>
            <w:top w:val="none" w:sz="0" w:space="0" w:color="auto"/>
            <w:left w:val="none" w:sz="0" w:space="0" w:color="auto"/>
            <w:bottom w:val="none" w:sz="0" w:space="0" w:color="auto"/>
            <w:right w:val="none" w:sz="0" w:space="0" w:color="auto"/>
          </w:divBdr>
          <w:divsChild>
            <w:div w:id="109016539">
              <w:marLeft w:val="0"/>
              <w:marRight w:val="0"/>
              <w:marTop w:val="0"/>
              <w:marBottom w:val="0"/>
              <w:divBdr>
                <w:top w:val="none" w:sz="0" w:space="0" w:color="auto"/>
                <w:left w:val="none" w:sz="0" w:space="0" w:color="auto"/>
                <w:bottom w:val="none" w:sz="0" w:space="0" w:color="auto"/>
                <w:right w:val="none" w:sz="0" w:space="0" w:color="auto"/>
              </w:divBdr>
            </w:div>
          </w:divsChild>
        </w:div>
        <w:div w:id="1893809557">
          <w:marLeft w:val="0"/>
          <w:marRight w:val="0"/>
          <w:marTop w:val="0"/>
          <w:marBottom w:val="0"/>
          <w:divBdr>
            <w:top w:val="none" w:sz="0" w:space="0" w:color="auto"/>
            <w:left w:val="none" w:sz="0" w:space="0" w:color="auto"/>
            <w:bottom w:val="none" w:sz="0" w:space="0" w:color="auto"/>
            <w:right w:val="none" w:sz="0" w:space="0" w:color="auto"/>
          </w:divBdr>
          <w:divsChild>
            <w:div w:id="1692760232">
              <w:marLeft w:val="0"/>
              <w:marRight w:val="0"/>
              <w:marTop w:val="0"/>
              <w:marBottom w:val="0"/>
              <w:divBdr>
                <w:top w:val="none" w:sz="0" w:space="0" w:color="auto"/>
                <w:left w:val="none" w:sz="0" w:space="0" w:color="auto"/>
                <w:bottom w:val="none" w:sz="0" w:space="0" w:color="auto"/>
                <w:right w:val="none" w:sz="0" w:space="0" w:color="auto"/>
              </w:divBdr>
            </w:div>
          </w:divsChild>
        </w:div>
        <w:div w:id="1909226490">
          <w:marLeft w:val="0"/>
          <w:marRight w:val="0"/>
          <w:marTop w:val="0"/>
          <w:marBottom w:val="0"/>
          <w:divBdr>
            <w:top w:val="none" w:sz="0" w:space="0" w:color="auto"/>
            <w:left w:val="none" w:sz="0" w:space="0" w:color="auto"/>
            <w:bottom w:val="none" w:sz="0" w:space="0" w:color="auto"/>
            <w:right w:val="none" w:sz="0" w:space="0" w:color="auto"/>
          </w:divBdr>
          <w:divsChild>
            <w:div w:id="310716271">
              <w:marLeft w:val="0"/>
              <w:marRight w:val="0"/>
              <w:marTop w:val="0"/>
              <w:marBottom w:val="0"/>
              <w:divBdr>
                <w:top w:val="none" w:sz="0" w:space="0" w:color="auto"/>
                <w:left w:val="none" w:sz="0" w:space="0" w:color="auto"/>
                <w:bottom w:val="none" w:sz="0" w:space="0" w:color="auto"/>
                <w:right w:val="none" w:sz="0" w:space="0" w:color="auto"/>
              </w:divBdr>
            </w:div>
          </w:divsChild>
        </w:div>
        <w:div w:id="1945651953">
          <w:marLeft w:val="0"/>
          <w:marRight w:val="0"/>
          <w:marTop w:val="0"/>
          <w:marBottom w:val="0"/>
          <w:divBdr>
            <w:top w:val="none" w:sz="0" w:space="0" w:color="auto"/>
            <w:left w:val="none" w:sz="0" w:space="0" w:color="auto"/>
            <w:bottom w:val="none" w:sz="0" w:space="0" w:color="auto"/>
            <w:right w:val="none" w:sz="0" w:space="0" w:color="auto"/>
          </w:divBdr>
          <w:divsChild>
            <w:div w:id="1075468357">
              <w:marLeft w:val="0"/>
              <w:marRight w:val="0"/>
              <w:marTop w:val="0"/>
              <w:marBottom w:val="0"/>
              <w:divBdr>
                <w:top w:val="none" w:sz="0" w:space="0" w:color="auto"/>
                <w:left w:val="none" w:sz="0" w:space="0" w:color="auto"/>
                <w:bottom w:val="none" w:sz="0" w:space="0" w:color="auto"/>
                <w:right w:val="none" w:sz="0" w:space="0" w:color="auto"/>
              </w:divBdr>
            </w:div>
          </w:divsChild>
        </w:div>
        <w:div w:id="2048873694">
          <w:marLeft w:val="0"/>
          <w:marRight w:val="0"/>
          <w:marTop w:val="0"/>
          <w:marBottom w:val="0"/>
          <w:divBdr>
            <w:top w:val="none" w:sz="0" w:space="0" w:color="auto"/>
            <w:left w:val="none" w:sz="0" w:space="0" w:color="auto"/>
            <w:bottom w:val="none" w:sz="0" w:space="0" w:color="auto"/>
            <w:right w:val="none" w:sz="0" w:space="0" w:color="auto"/>
          </w:divBdr>
          <w:divsChild>
            <w:div w:id="1079600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63035">
      <w:bodyDiv w:val="1"/>
      <w:marLeft w:val="0"/>
      <w:marRight w:val="0"/>
      <w:marTop w:val="0"/>
      <w:marBottom w:val="0"/>
      <w:divBdr>
        <w:top w:val="none" w:sz="0" w:space="0" w:color="auto"/>
        <w:left w:val="none" w:sz="0" w:space="0" w:color="auto"/>
        <w:bottom w:val="none" w:sz="0" w:space="0" w:color="auto"/>
        <w:right w:val="none" w:sz="0" w:space="0" w:color="auto"/>
      </w:divBdr>
      <w:divsChild>
        <w:div w:id="1609120001">
          <w:marLeft w:val="0"/>
          <w:marRight w:val="0"/>
          <w:marTop w:val="0"/>
          <w:marBottom w:val="0"/>
          <w:divBdr>
            <w:top w:val="none" w:sz="0" w:space="0" w:color="auto"/>
            <w:left w:val="none" w:sz="0" w:space="0" w:color="auto"/>
            <w:bottom w:val="none" w:sz="0" w:space="0" w:color="auto"/>
            <w:right w:val="none" w:sz="0" w:space="0" w:color="auto"/>
          </w:divBdr>
        </w:div>
      </w:divsChild>
    </w:div>
    <w:div w:id="162666878">
      <w:bodyDiv w:val="1"/>
      <w:marLeft w:val="0"/>
      <w:marRight w:val="0"/>
      <w:marTop w:val="0"/>
      <w:marBottom w:val="0"/>
      <w:divBdr>
        <w:top w:val="none" w:sz="0" w:space="0" w:color="auto"/>
        <w:left w:val="none" w:sz="0" w:space="0" w:color="auto"/>
        <w:bottom w:val="none" w:sz="0" w:space="0" w:color="auto"/>
        <w:right w:val="none" w:sz="0" w:space="0" w:color="auto"/>
      </w:divBdr>
    </w:div>
    <w:div w:id="171184374">
      <w:bodyDiv w:val="1"/>
      <w:marLeft w:val="0"/>
      <w:marRight w:val="0"/>
      <w:marTop w:val="0"/>
      <w:marBottom w:val="0"/>
      <w:divBdr>
        <w:top w:val="none" w:sz="0" w:space="0" w:color="auto"/>
        <w:left w:val="none" w:sz="0" w:space="0" w:color="auto"/>
        <w:bottom w:val="none" w:sz="0" w:space="0" w:color="auto"/>
        <w:right w:val="none" w:sz="0" w:space="0" w:color="auto"/>
      </w:divBdr>
      <w:divsChild>
        <w:div w:id="2134134273">
          <w:marLeft w:val="0"/>
          <w:marRight w:val="0"/>
          <w:marTop w:val="0"/>
          <w:marBottom w:val="0"/>
          <w:divBdr>
            <w:top w:val="none" w:sz="0" w:space="0" w:color="auto"/>
            <w:left w:val="none" w:sz="0" w:space="0" w:color="auto"/>
            <w:bottom w:val="none" w:sz="0" w:space="0" w:color="auto"/>
            <w:right w:val="none" w:sz="0" w:space="0" w:color="auto"/>
          </w:divBdr>
        </w:div>
      </w:divsChild>
    </w:div>
    <w:div w:id="292322742">
      <w:bodyDiv w:val="1"/>
      <w:marLeft w:val="0"/>
      <w:marRight w:val="0"/>
      <w:marTop w:val="0"/>
      <w:marBottom w:val="0"/>
      <w:divBdr>
        <w:top w:val="none" w:sz="0" w:space="0" w:color="auto"/>
        <w:left w:val="none" w:sz="0" w:space="0" w:color="auto"/>
        <w:bottom w:val="none" w:sz="0" w:space="0" w:color="auto"/>
        <w:right w:val="none" w:sz="0" w:space="0" w:color="auto"/>
      </w:divBdr>
      <w:divsChild>
        <w:div w:id="1231622219">
          <w:marLeft w:val="0"/>
          <w:marRight w:val="0"/>
          <w:marTop w:val="0"/>
          <w:marBottom w:val="0"/>
          <w:divBdr>
            <w:top w:val="none" w:sz="0" w:space="0" w:color="auto"/>
            <w:left w:val="none" w:sz="0" w:space="0" w:color="auto"/>
            <w:bottom w:val="none" w:sz="0" w:space="0" w:color="auto"/>
            <w:right w:val="none" w:sz="0" w:space="0" w:color="auto"/>
          </w:divBdr>
        </w:div>
      </w:divsChild>
    </w:div>
    <w:div w:id="428278837">
      <w:bodyDiv w:val="1"/>
      <w:marLeft w:val="0"/>
      <w:marRight w:val="0"/>
      <w:marTop w:val="0"/>
      <w:marBottom w:val="0"/>
      <w:divBdr>
        <w:top w:val="none" w:sz="0" w:space="0" w:color="auto"/>
        <w:left w:val="none" w:sz="0" w:space="0" w:color="auto"/>
        <w:bottom w:val="none" w:sz="0" w:space="0" w:color="auto"/>
        <w:right w:val="none" w:sz="0" w:space="0" w:color="auto"/>
      </w:divBdr>
      <w:divsChild>
        <w:div w:id="1605921390">
          <w:marLeft w:val="0"/>
          <w:marRight w:val="0"/>
          <w:marTop w:val="0"/>
          <w:marBottom w:val="0"/>
          <w:divBdr>
            <w:top w:val="none" w:sz="0" w:space="0" w:color="auto"/>
            <w:left w:val="none" w:sz="0" w:space="0" w:color="auto"/>
            <w:bottom w:val="none" w:sz="0" w:space="0" w:color="auto"/>
            <w:right w:val="none" w:sz="0" w:space="0" w:color="auto"/>
          </w:divBdr>
        </w:div>
      </w:divsChild>
    </w:div>
    <w:div w:id="474182869">
      <w:bodyDiv w:val="1"/>
      <w:marLeft w:val="0"/>
      <w:marRight w:val="0"/>
      <w:marTop w:val="0"/>
      <w:marBottom w:val="0"/>
      <w:divBdr>
        <w:top w:val="none" w:sz="0" w:space="0" w:color="auto"/>
        <w:left w:val="none" w:sz="0" w:space="0" w:color="auto"/>
        <w:bottom w:val="none" w:sz="0" w:space="0" w:color="auto"/>
        <w:right w:val="none" w:sz="0" w:space="0" w:color="auto"/>
      </w:divBdr>
    </w:div>
    <w:div w:id="476186597">
      <w:bodyDiv w:val="1"/>
      <w:marLeft w:val="0"/>
      <w:marRight w:val="0"/>
      <w:marTop w:val="0"/>
      <w:marBottom w:val="0"/>
      <w:divBdr>
        <w:top w:val="none" w:sz="0" w:space="0" w:color="auto"/>
        <w:left w:val="none" w:sz="0" w:space="0" w:color="auto"/>
        <w:bottom w:val="none" w:sz="0" w:space="0" w:color="auto"/>
        <w:right w:val="none" w:sz="0" w:space="0" w:color="auto"/>
      </w:divBdr>
    </w:div>
    <w:div w:id="551696500">
      <w:bodyDiv w:val="1"/>
      <w:marLeft w:val="0"/>
      <w:marRight w:val="0"/>
      <w:marTop w:val="0"/>
      <w:marBottom w:val="0"/>
      <w:divBdr>
        <w:top w:val="none" w:sz="0" w:space="0" w:color="auto"/>
        <w:left w:val="none" w:sz="0" w:space="0" w:color="auto"/>
        <w:bottom w:val="none" w:sz="0" w:space="0" w:color="auto"/>
        <w:right w:val="none" w:sz="0" w:space="0" w:color="auto"/>
      </w:divBdr>
      <w:divsChild>
        <w:div w:id="15742614">
          <w:marLeft w:val="0"/>
          <w:marRight w:val="0"/>
          <w:marTop w:val="0"/>
          <w:marBottom w:val="0"/>
          <w:divBdr>
            <w:top w:val="single" w:sz="12" w:space="0" w:color="EEEEEE"/>
            <w:left w:val="single" w:sz="12" w:space="0" w:color="EEEEEE"/>
            <w:bottom w:val="single" w:sz="12" w:space="0" w:color="EEEEEE"/>
            <w:right w:val="single" w:sz="12" w:space="0" w:color="EEEEEE"/>
          </w:divBdr>
          <w:divsChild>
            <w:div w:id="380520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876202">
      <w:bodyDiv w:val="1"/>
      <w:marLeft w:val="0"/>
      <w:marRight w:val="0"/>
      <w:marTop w:val="0"/>
      <w:marBottom w:val="0"/>
      <w:divBdr>
        <w:top w:val="none" w:sz="0" w:space="0" w:color="auto"/>
        <w:left w:val="none" w:sz="0" w:space="0" w:color="auto"/>
        <w:bottom w:val="none" w:sz="0" w:space="0" w:color="auto"/>
        <w:right w:val="none" w:sz="0" w:space="0" w:color="auto"/>
      </w:divBdr>
    </w:div>
    <w:div w:id="631180715">
      <w:bodyDiv w:val="1"/>
      <w:marLeft w:val="0"/>
      <w:marRight w:val="0"/>
      <w:marTop w:val="0"/>
      <w:marBottom w:val="0"/>
      <w:divBdr>
        <w:top w:val="none" w:sz="0" w:space="0" w:color="auto"/>
        <w:left w:val="none" w:sz="0" w:space="0" w:color="auto"/>
        <w:bottom w:val="none" w:sz="0" w:space="0" w:color="auto"/>
        <w:right w:val="none" w:sz="0" w:space="0" w:color="auto"/>
      </w:divBdr>
      <w:divsChild>
        <w:div w:id="12994551">
          <w:marLeft w:val="0"/>
          <w:marRight w:val="0"/>
          <w:marTop w:val="0"/>
          <w:marBottom w:val="0"/>
          <w:divBdr>
            <w:top w:val="none" w:sz="0" w:space="0" w:color="auto"/>
            <w:left w:val="none" w:sz="0" w:space="0" w:color="auto"/>
            <w:bottom w:val="none" w:sz="0" w:space="0" w:color="auto"/>
            <w:right w:val="none" w:sz="0" w:space="0" w:color="auto"/>
          </w:divBdr>
          <w:divsChild>
            <w:div w:id="561479509">
              <w:marLeft w:val="0"/>
              <w:marRight w:val="0"/>
              <w:marTop w:val="0"/>
              <w:marBottom w:val="0"/>
              <w:divBdr>
                <w:top w:val="none" w:sz="0" w:space="0" w:color="auto"/>
                <w:left w:val="none" w:sz="0" w:space="0" w:color="auto"/>
                <w:bottom w:val="none" w:sz="0" w:space="0" w:color="auto"/>
                <w:right w:val="none" w:sz="0" w:space="0" w:color="auto"/>
              </w:divBdr>
            </w:div>
          </w:divsChild>
        </w:div>
        <w:div w:id="186413741">
          <w:marLeft w:val="0"/>
          <w:marRight w:val="0"/>
          <w:marTop w:val="0"/>
          <w:marBottom w:val="0"/>
          <w:divBdr>
            <w:top w:val="none" w:sz="0" w:space="0" w:color="auto"/>
            <w:left w:val="none" w:sz="0" w:space="0" w:color="auto"/>
            <w:bottom w:val="none" w:sz="0" w:space="0" w:color="auto"/>
            <w:right w:val="none" w:sz="0" w:space="0" w:color="auto"/>
          </w:divBdr>
          <w:divsChild>
            <w:div w:id="913857309">
              <w:marLeft w:val="0"/>
              <w:marRight w:val="0"/>
              <w:marTop w:val="0"/>
              <w:marBottom w:val="0"/>
              <w:divBdr>
                <w:top w:val="none" w:sz="0" w:space="0" w:color="auto"/>
                <w:left w:val="none" w:sz="0" w:space="0" w:color="auto"/>
                <w:bottom w:val="none" w:sz="0" w:space="0" w:color="auto"/>
                <w:right w:val="none" w:sz="0" w:space="0" w:color="auto"/>
              </w:divBdr>
            </w:div>
          </w:divsChild>
        </w:div>
        <w:div w:id="235669063">
          <w:marLeft w:val="0"/>
          <w:marRight w:val="0"/>
          <w:marTop w:val="0"/>
          <w:marBottom w:val="0"/>
          <w:divBdr>
            <w:top w:val="none" w:sz="0" w:space="0" w:color="auto"/>
            <w:left w:val="none" w:sz="0" w:space="0" w:color="auto"/>
            <w:bottom w:val="none" w:sz="0" w:space="0" w:color="auto"/>
            <w:right w:val="none" w:sz="0" w:space="0" w:color="auto"/>
          </w:divBdr>
          <w:divsChild>
            <w:div w:id="2056394157">
              <w:marLeft w:val="0"/>
              <w:marRight w:val="0"/>
              <w:marTop w:val="0"/>
              <w:marBottom w:val="0"/>
              <w:divBdr>
                <w:top w:val="none" w:sz="0" w:space="0" w:color="auto"/>
                <w:left w:val="none" w:sz="0" w:space="0" w:color="auto"/>
                <w:bottom w:val="none" w:sz="0" w:space="0" w:color="auto"/>
                <w:right w:val="none" w:sz="0" w:space="0" w:color="auto"/>
              </w:divBdr>
            </w:div>
          </w:divsChild>
        </w:div>
        <w:div w:id="277610927">
          <w:marLeft w:val="0"/>
          <w:marRight w:val="0"/>
          <w:marTop w:val="0"/>
          <w:marBottom w:val="0"/>
          <w:divBdr>
            <w:top w:val="none" w:sz="0" w:space="0" w:color="auto"/>
            <w:left w:val="none" w:sz="0" w:space="0" w:color="auto"/>
            <w:bottom w:val="none" w:sz="0" w:space="0" w:color="auto"/>
            <w:right w:val="none" w:sz="0" w:space="0" w:color="auto"/>
          </w:divBdr>
          <w:divsChild>
            <w:div w:id="1659768757">
              <w:marLeft w:val="0"/>
              <w:marRight w:val="0"/>
              <w:marTop w:val="0"/>
              <w:marBottom w:val="0"/>
              <w:divBdr>
                <w:top w:val="none" w:sz="0" w:space="0" w:color="auto"/>
                <w:left w:val="none" w:sz="0" w:space="0" w:color="auto"/>
                <w:bottom w:val="none" w:sz="0" w:space="0" w:color="auto"/>
                <w:right w:val="none" w:sz="0" w:space="0" w:color="auto"/>
              </w:divBdr>
            </w:div>
          </w:divsChild>
        </w:div>
        <w:div w:id="367684628">
          <w:marLeft w:val="0"/>
          <w:marRight w:val="0"/>
          <w:marTop w:val="0"/>
          <w:marBottom w:val="0"/>
          <w:divBdr>
            <w:top w:val="none" w:sz="0" w:space="0" w:color="auto"/>
            <w:left w:val="none" w:sz="0" w:space="0" w:color="auto"/>
            <w:bottom w:val="none" w:sz="0" w:space="0" w:color="auto"/>
            <w:right w:val="none" w:sz="0" w:space="0" w:color="auto"/>
          </w:divBdr>
          <w:divsChild>
            <w:div w:id="1274747316">
              <w:marLeft w:val="0"/>
              <w:marRight w:val="0"/>
              <w:marTop w:val="0"/>
              <w:marBottom w:val="0"/>
              <w:divBdr>
                <w:top w:val="none" w:sz="0" w:space="0" w:color="auto"/>
                <w:left w:val="none" w:sz="0" w:space="0" w:color="auto"/>
                <w:bottom w:val="none" w:sz="0" w:space="0" w:color="auto"/>
                <w:right w:val="none" w:sz="0" w:space="0" w:color="auto"/>
              </w:divBdr>
            </w:div>
          </w:divsChild>
        </w:div>
        <w:div w:id="567689729">
          <w:marLeft w:val="0"/>
          <w:marRight w:val="0"/>
          <w:marTop w:val="0"/>
          <w:marBottom w:val="0"/>
          <w:divBdr>
            <w:top w:val="none" w:sz="0" w:space="0" w:color="auto"/>
            <w:left w:val="none" w:sz="0" w:space="0" w:color="auto"/>
            <w:bottom w:val="none" w:sz="0" w:space="0" w:color="auto"/>
            <w:right w:val="none" w:sz="0" w:space="0" w:color="auto"/>
          </w:divBdr>
          <w:divsChild>
            <w:div w:id="541793112">
              <w:marLeft w:val="0"/>
              <w:marRight w:val="0"/>
              <w:marTop w:val="0"/>
              <w:marBottom w:val="0"/>
              <w:divBdr>
                <w:top w:val="none" w:sz="0" w:space="0" w:color="auto"/>
                <w:left w:val="none" w:sz="0" w:space="0" w:color="auto"/>
                <w:bottom w:val="none" w:sz="0" w:space="0" w:color="auto"/>
                <w:right w:val="none" w:sz="0" w:space="0" w:color="auto"/>
              </w:divBdr>
            </w:div>
          </w:divsChild>
        </w:div>
        <w:div w:id="630479059">
          <w:marLeft w:val="0"/>
          <w:marRight w:val="0"/>
          <w:marTop w:val="0"/>
          <w:marBottom w:val="0"/>
          <w:divBdr>
            <w:top w:val="none" w:sz="0" w:space="0" w:color="auto"/>
            <w:left w:val="none" w:sz="0" w:space="0" w:color="auto"/>
            <w:bottom w:val="none" w:sz="0" w:space="0" w:color="auto"/>
            <w:right w:val="none" w:sz="0" w:space="0" w:color="auto"/>
          </w:divBdr>
          <w:divsChild>
            <w:div w:id="2129081802">
              <w:marLeft w:val="0"/>
              <w:marRight w:val="0"/>
              <w:marTop w:val="0"/>
              <w:marBottom w:val="0"/>
              <w:divBdr>
                <w:top w:val="none" w:sz="0" w:space="0" w:color="auto"/>
                <w:left w:val="none" w:sz="0" w:space="0" w:color="auto"/>
                <w:bottom w:val="none" w:sz="0" w:space="0" w:color="auto"/>
                <w:right w:val="none" w:sz="0" w:space="0" w:color="auto"/>
              </w:divBdr>
            </w:div>
          </w:divsChild>
        </w:div>
        <w:div w:id="657029083">
          <w:marLeft w:val="0"/>
          <w:marRight w:val="0"/>
          <w:marTop w:val="0"/>
          <w:marBottom w:val="0"/>
          <w:divBdr>
            <w:top w:val="none" w:sz="0" w:space="0" w:color="auto"/>
            <w:left w:val="none" w:sz="0" w:space="0" w:color="auto"/>
            <w:bottom w:val="none" w:sz="0" w:space="0" w:color="auto"/>
            <w:right w:val="none" w:sz="0" w:space="0" w:color="auto"/>
          </w:divBdr>
          <w:divsChild>
            <w:div w:id="643895592">
              <w:marLeft w:val="0"/>
              <w:marRight w:val="0"/>
              <w:marTop w:val="0"/>
              <w:marBottom w:val="0"/>
              <w:divBdr>
                <w:top w:val="none" w:sz="0" w:space="0" w:color="auto"/>
                <w:left w:val="none" w:sz="0" w:space="0" w:color="auto"/>
                <w:bottom w:val="none" w:sz="0" w:space="0" w:color="auto"/>
                <w:right w:val="none" w:sz="0" w:space="0" w:color="auto"/>
              </w:divBdr>
            </w:div>
          </w:divsChild>
        </w:div>
        <w:div w:id="679091480">
          <w:marLeft w:val="0"/>
          <w:marRight w:val="0"/>
          <w:marTop w:val="0"/>
          <w:marBottom w:val="0"/>
          <w:divBdr>
            <w:top w:val="none" w:sz="0" w:space="0" w:color="auto"/>
            <w:left w:val="none" w:sz="0" w:space="0" w:color="auto"/>
            <w:bottom w:val="none" w:sz="0" w:space="0" w:color="auto"/>
            <w:right w:val="none" w:sz="0" w:space="0" w:color="auto"/>
          </w:divBdr>
          <w:divsChild>
            <w:div w:id="1829595241">
              <w:marLeft w:val="0"/>
              <w:marRight w:val="0"/>
              <w:marTop w:val="0"/>
              <w:marBottom w:val="0"/>
              <w:divBdr>
                <w:top w:val="none" w:sz="0" w:space="0" w:color="auto"/>
                <w:left w:val="none" w:sz="0" w:space="0" w:color="auto"/>
                <w:bottom w:val="none" w:sz="0" w:space="0" w:color="auto"/>
                <w:right w:val="none" w:sz="0" w:space="0" w:color="auto"/>
              </w:divBdr>
            </w:div>
          </w:divsChild>
        </w:div>
        <w:div w:id="756441242">
          <w:marLeft w:val="0"/>
          <w:marRight w:val="0"/>
          <w:marTop w:val="0"/>
          <w:marBottom w:val="0"/>
          <w:divBdr>
            <w:top w:val="none" w:sz="0" w:space="0" w:color="auto"/>
            <w:left w:val="none" w:sz="0" w:space="0" w:color="auto"/>
            <w:bottom w:val="none" w:sz="0" w:space="0" w:color="auto"/>
            <w:right w:val="none" w:sz="0" w:space="0" w:color="auto"/>
          </w:divBdr>
          <w:divsChild>
            <w:div w:id="785733923">
              <w:marLeft w:val="0"/>
              <w:marRight w:val="0"/>
              <w:marTop w:val="0"/>
              <w:marBottom w:val="0"/>
              <w:divBdr>
                <w:top w:val="none" w:sz="0" w:space="0" w:color="auto"/>
                <w:left w:val="none" w:sz="0" w:space="0" w:color="auto"/>
                <w:bottom w:val="none" w:sz="0" w:space="0" w:color="auto"/>
                <w:right w:val="none" w:sz="0" w:space="0" w:color="auto"/>
              </w:divBdr>
            </w:div>
          </w:divsChild>
        </w:div>
        <w:div w:id="791291379">
          <w:marLeft w:val="0"/>
          <w:marRight w:val="0"/>
          <w:marTop w:val="0"/>
          <w:marBottom w:val="0"/>
          <w:divBdr>
            <w:top w:val="none" w:sz="0" w:space="0" w:color="auto"/>
            <w:left w:val="none" w:sz="0" w:space="0" w:color="auto"/>
            <w:bottom w:val="none" w:sz="0" w:space="0" w:color="auto"/>
            <w:right w:val="none" w:sz="0" w:space="0" w:color="auto"/>
          </w:divBdr>
          <w:divsChild>
            <w:div w:id="38208253">
              <w:marLeft w:val="0"/>
              <w:marRight w:val="0"/>
              <w:marTop w:val="0"/>
              <w:marBottom w:val="0"/>
              <w:divBdr>
                <w:top w:val="none" w:sz="0" w:space="0" w:color="auto"/>
                <w:left w:val="none" w:sz="0" w:space="0" w:color="auto"/>
                <w:bottom w:val="none" w:sz="0" w:space="0" w:color="auto"/>
                <w:right w:val="none" w:sz="0" w:space="0" w:color="auto"/>
              </w:divBdr>
            </w:div>
          </w:divsChild>
        </w:div>
        <w:div w:id="807014687">
          <w:marLeft w:val="0"/>
          <w:marRight w:val="0"/>
          <w:marTop w:val="0"/>
          <w:marBottom w:val="0"/>
          <w:divBdr>
            <w:top w:val="none" w:sz="0" w:space="0" w:color="auto"/>
            <w:left w:val="none" w:sz="0" w:space="0" w:color="auto"/>
            <w:bottom w:val="none" w:sz="0" w:space="0" w:color="auto"/>
            <w:right w:val="none" w:sz="0" w:space="0" w:color="auto"/>
          </w:divBdr>
          <w:divsChild>
            <w:div w:id="1822428325">
              <w:marLeft w:val="0"/>
              <w:marRight w:val="0"/>
              <w:marTop w:val="0"/>
              <w:marBottom w:val="0"/>
              <w:divBdr>
                <w:top w:val="none" w:sz="0" w:space="0" w:color="auto"/>
                <w:left w:val="none" w:sz="0" w:space="0" w:color="auto"/>
                <w:bottom w:val="none" w:sz="0" w:space="0" w:color="auto"/>
                <w:right w:val="none" w:sz="0" w:space="0" w:color="auto"/>
              </w:divBdr>
            </w:div>
          </w:divsChild>
        </w:div>
        <w:div w:id="882641797">
          <w:marLeft w:val="0"/>
          <w:marRight w:val="0"/>
          <w:marTop w:val="0"/>
          <w:marBottom w:val="0"/>
          <w:divBdr>
            <w:top w:val="none" w:sz="0" w:space="0" w:color="auto"/>
            <w:left w:val="none" w:sz="0" w:space="0" w:color="auto"/>
            <w:bottom w:val="none" w:sz="0" w:space="0" w:color="auto"/>
            <w:right w:val="none" w:sz="0" w:space="0" w:color="auto"/>
          </w:divBdr>
          <w:divsChild>
            <w:div w:id="1783720715">
              <w:marLeft w:val="0"/>
              <w:marRight w:val="0"/>
              <w:marTop w:val="0"/>
              <w:marBottom w:val="0"/>
              <w:divBdr>
                <w:top w:val="none" w:sz="0" w:space="0" w:color="auto"/>
                <w:left w:val="none" w:sz="0" w:space="0" w:color="auto"/>
                <w:bottom w:val="none" w:sz="0" w:space="0" w:color="auto"/>
                <w:right w:val="none" w:sz="0" w:space="0" w:color="auto"/>
              </w:divBdr>
            </w:div>
          </w:divsChild>
        </w:div>
        <w:div w:id="894900787">
          <w:marLeft w:val="0"/>
          <w:marRight w:val="0"/>
          <w:marTop w:val="0"/>
          <w:marBottom w:val="0"/>
          <w:divBdr>
            <w:top w:val="none" w:sz="0" w:space="0" w:color="auto"/>
            <w:left w:val="none" w:sz="0" w:space="0" w:color="auto"/>
            <w:bottom w:val="none" w:sz="0" w:space="0" w:color="auto"/>
            <w:right w:val="none" w:sz="0" w:space="0" w:color="auto"/>
          </w:divBdr>
          <w:divsChild>
            <w:div w:id="2078821199">
              <w:marLeft w:val="0"/>
              <w:marRight w:val="0"/>
              <w:marTop w:val="0"/>
              <w:marBottom w:val="0"/>
              <w:divBdr>
                <w:top w:val="none" w:sz="0" w:space="0" w:color="auto"/>
                <w:left w:val="none" w:sz="0" w:space="0" w:color="auto"/>
                <w:bottom w:val="none" w:sz="0" w:space="0" w:color="auto"/>
                <w:right w:val="none" w:sz="0" w:space="0" w:color="auto"/>
              </w:divBdr>
            </w:div>
          </w:divsChild>
        </w:div>
        <w:div w:id="914049700">
          <w:marLeft w:val="0"/>
          <w:marRight w:val="0"/>
          <w:marTop w:val="0"/>
          <w:marBottom w:val="0"/>
          <w:divBdr>
            <w:top w:val="none" w:sz="0" w:space="0" w:color="auto"/>
            <w:left w:val="none" w:sz="0" w:space="0" w:color="auto"/>
            <w:bottom w:val="none" w:sz="0" w:space="0" w:color="auto"/>
            <w:right w:val="none" w:sz="0" w:space="0" w:color="auto"/>
          </w:divBdr>
          <w:divsChild>
            <w:div w:id="1520200419">
              <w:marLeft w:val="0"/>
              <w:marRight w:val="0"/>
              <w:marTop w:val="0"/>
              <w:marBottom w:val="0"/>
              <w:divBdr>
                <w:top w:val="none" w:sz="0" w:space="0" w:color="auto"/>
                <w:left w:val="none" w:sz="0" w:space="0" w:color="auto"/>
                <w:bottom w:val="none" w:sz="0" w:space="0" w:color="auto"/>
                <w:right w:val="none" w:sz="0" w:space="0" w:color="auto"/>
              </w:divBdr>
            </w:div>
          </w:divsChild>
        </w:div>
        <w:div w:id="1029449815">
          <w:marLeft w:val="0"/>
          <w:marRight w:val="0"/>
          <w:marTop w:val="0"/>
          <w:marBottom w:val="0"/>
          <w:divBdr>
            <w:top w:val="none" w:sz="0" w:space="0" w:color="auto"/>
            <w:left w:val="none" w:sz="0" w:space="0" w:color="auto"/>
            <w:bottom w:val="none" w:sz="0" w:space="0" w:color="auto"/>
            <w:right w:val="none" w:sz="0" w:space="0" w:color="auto"/>
          </w:divBdr>
          <w:divsChild>
            <w:div w:id="457339370">
              <w:marLeft w:val="0"/>
              <w:marRight w:val="0"/>
              <w:marTop w:val="0"/>
              <w:marBottom w:val="0"/>
              <w:divBdr>
                <w:top w:val="none" w:sz="0" w:space="0" w:color="auto"/>
                <w:left w:val="none" w:sz="0" w:space="0" w:color="auto"/>
                <w:bottom w:val="none" w:sz="0" w:space="0" w:color="auto"/>
                <w:right w:val="none" w:sz="0" w:space="0" w:color="auto"/>
              </w:divBdr>
            </w:div>
          </w:divsChild>
        </w:div>
        <w:div w:id="1257012796">
          <w:marLeft w:val="0"/>
          <w:marRight w:val="0"/>
          <w:marTop w:val="0"/>
          <w:marBottom w:val="0"/>
          <w:divBdr>
            <w:top w:val="none" w:sz="0" w:space="0" w:color="auto"/>
            <w:left w:val="none" w:sz="0" w:space="0" w:color="auto"/>
            <w:bottom w:val="none" w:sz="0" w:space="0" w:color="auto"/>
            <w:right w:val="none" w:sz="0" w:space="0" w:color="auto"/>
          </w:divBdr>
          <w:divsChild>
            <w:div w:id="2004550148">
              <w:marLeft w:val="0"/>
              <w:marRight w:val="0"/>
              <w:marTop w:val="0"/>
              <w:marBottom w:val="0"/>
              <w:divBdr>
                <w:top w:val="none" w:sz="0" w:space="0" w:color="auto"/>
                <w:left w:val="none" w:sz="0" w:space="0" w:color="auto"/>
                <w:bottom w:val="none" w:sz="0" w:space="0" w:color="auto"/>
                <w:right w:val="none" w:sz="0" w:space="0" w:color="auto"/>
              </w:divBdr>
            </w:div>
          </w:divsChild>
        </w:div>
        <w:div w:id="1314212392">
          <w:marLeft w:val="0"/>
          <w:marRight w:val="0"/>
          <w:marTop w:val="0"/>
          <w:marBottom w:val="0"/>
          <w:divBdr>
            <w:top w:val="none" w:sz="0" w:space="0" w:color="auto"/>
            <w:left w:val="none" w:sz="0" w:space="0" w:color="auto"/>
            <w:bottom w:val="none" w:sz="0" w:space="0" w:color="auto"/>
            <w:right w:val="none" w:sz="0" w:space="0" w:color="auto"/>
          </w:divBdr>
          <w:divsChild>
            <w:div w:id="862745560">
              <w:marLeft w:val="0"/>
              <w:marRight w:val="0"/>
              <w:marTop w:val="0"/>
              <w:marBottom w:val="0"/>
              <w:divBdr>
                <w:top w:val="none" w:sz="0" w:space="0" w:color="auto"/>
                <w:left w:val="none" w:sz="0" w:space="0" w:color="auto"/>
                <w:bottom w:val="none" w:sz="0" w:space="0" w:color="auto"/>
                <w:right w:val="none" w:sz="0" w:space="0" w:color="auto"/>
              </w:divBdr>
            </w:div>
          </w:divsChild>
        </w:div>
        <w:div w:id="1317420713">
          <w:marLeft w:val="0"/>
          <w:marRight w:val="0"/>
          <w:marTop w:val="0"/>
          <w:marBottom w:val="0"/>
          <w:divBdr>
            <w:top w:val="none" w:sz="0" w:space="0" w:color="auto"/>
            <w:left w:val="none" w:sz="0" w:space="0" w:color="auto"/>
            <w:bottom w:val="none" w:sz="0" w:space="0" w:color="auto"/>
            <w:right w:val="none" w:sz="0" w:space="0" w:color="auto"/>
          </w:divBdr>
          <w:divsChild>
            <w:div w:id="480661572">
              <w:marLeft w:val="0"/>
              <w:marRight w:val="0"/>
              <w:marTop w:val="0"/>
              <w:marBottom w:val="0"/>
              <w:divBdr>
                <w:top w:val="none" w:sz="0" w:space="0" w:color="auto"/>
                <w:left w:val="none" w:sz="0" w:space="0" w:color="auto"/>
                <w:bottom w:val="none" w:sz="0" w:space="0" w:color="auto"/>
                <w:right w:val="none" w:sz="0" w:space="0" w:color="auto"/>
              </w:divBdr>
            </w:div>
          </w:divsChild>
        </w:div>
        <w:div w:id="1599095056">
          <w:marLeft w:val="0"/>
          <w:marRight w:val="0"/>
          <w:marTop w:val="0"/>
          <w:marBottom w:val="0"/>
          <w:divBdr>
            <w:top w:val="none" w:sz="0" w:space="0" w:color="auto"/>
            <w:left w:val="none" w:sz="0" w:space="0" w:color="auto"/>
            <w:bottom w:val="none" w:sz="0" w:space="0" w:color="auto"/>
            <w:right w:val="none" w:sz="0" w:space="0" w:color="auto"/>
          </w:divBdr>
          <w:divsChild>
            <w:div w:id="1674138108">
              <w:marLeft w:val="0"/>
              <w:marRight w:val="0"/>
              <w:marTop w:val="0"/>
              <w:marBottom w:val="0"/>
              <w:divBdr>
                <w:top w:val="none" w:sz="0" w:space="0" w:color="auto"/>
                <w:left w:val="none" w:sz="0" w:space="0" w:color="auto"/>
                <w:bottom w:val="none" w:sz="0" w:space="0" w:color="auto"/>
                <w:right w:val="none" w:sz="0" w:space="0" w:color="auto"/>
              </w:divBdr>
            </w:div>
          </w:divsChild>
        </w:div>
        <w:div w:id="1670206734">
          <w:marLeft w:val="0"/>
          <w:marRight w:val="0"/>
          <w:marTop w:val="0"/>
          <w:marBottom w:val="0"/>
          <w:divBdr>
            <w:top w:val="none" w:sz="0" w:space="0" w:color="auto"/>
            <w:left w:val="none" w:sz="0" w:space="0" w:color="auto"/>
            <w:bottom w:val="none" w:sz="0" w:space="0" w:color="auto"/>
            <w:right w:val="none" w:sz="0" w:space="0" w:color="auto"/>
          </w:divBdr>
          <w:divsChild>
            <w:div w:id="2129814050">
              <w:marLeft w:val="0"/>
              <w:marRight w:val="0"/>
              <w:marTop w:val="0"/>
              <w:marBottom w:val="0"/>
              <w:divBdr>
                <w:top w:val="none" w:sz="0" w:space="0" w:color="auto"/>
                <w:left w:val="none" w:sz="0" w:space="0" w:color="auto"/>
                <w:bottom w:val="none" w:sz="0" w:space="0" w:color="auto"/>
                <w:right w:val="none" w:sz="0" w:space="0" w:color="auto"/>
              </w:divBdr>
            </w:div>
          </w:divsChild>
        </w:div>
        <w:div w:id="1678002553">
          <w:marLeft w:val="0"/>
          <w:marRight w:val="0"/>
          <w:marTop w:val="0"/>
          <w:marBottom w:val="0"/>
          <w:divBdr>
            <w:top w:val="none" w:sz="0" w:space="0" w:color="auto"/>
            <w:left w:val="none" w:sz="0" w:space="0" w:color="auto"/>
            <w:bottom w:val="none" w:sz="0" w:space="0" w:color="auto"/>
            <w:right w:val="none" w:sz="0" w:space="0" w:color="auto"/>
          </w:divBdr>
          <w:divsChild>
            <w:div w:id="2120680788">
              <w:marLeft w:val="0"/>
              <w:marRight w:val="0"/>
              <w:marTop w:val="0"/>
              <w:marBottom w:val="0"/>
              <w:divBdr>
                <w:top w:val="none" w:sz="0" w:space="0" w:color="auto"/>
                <w:left w:val="none" w:sz="0" w:space="0" w:color="auto"/>
                <w:bottom w:val="none" w:sz="0" w:space="0" w:color="auto"/>
                <w:right w:val="none" w:sz="0" w:space="0" w:color="auto"/>
              </w:divBdr>
            </w:div>
          </w:divsChild>
        </w:div>
        <w:div w:id="1680935530">
          <w:marLeft w:val="0"/>
          <w:marRight w:val="0"/>
          <w:marTop w:val="0"/>
          <w:marBottom w:val="0"/>
          <w:divBdr>
            <w:top w:val="none" w:sz="0" w:space="0" w:color="auto"/>
            <w:left w:val="none" w:sz="0" w:space="0" w:color="auto"/>
            <w:bottom w:val="none" w:sz="0" w:space="0" w:color="auto"/>
            <w:right w:val="none" w:sz="0" w:space="0" w:color="auto"/>
          </w:divBdr>
          <w:divsChild>
            <w:div w:id="962226046">
              <w:marLeft w:val="0"/>
              <w:marRight w:val="0"/>
              <w:marTop w:val="0"/>
              <w:marBottom w:val="0"/>
              <w:divBdr>
                <w:top w:val="none" w:sz="0" w:space="0" w:color="auto"/>
                <w:left w:val="none" w:sz="0" w:space="0" w:color="auto"/>
                <w:bottom w:val="none" w:sz="0" w:space="0" w:color="auto"/>
                <w:right w:val="none" w:sz="0" w:space="0" w:color="auto"/>
              </w:divBdr>
            </w:div>
          </w:divsChild>
        </w:div>
        <w:div w:id="1785541095">
          <w:marLeft w:val="0"/>
          <w:marRight w:val="0"/>
          <w:marTop w:val="0"/>
          <w:marBottom w:val="0"/>
          <w:divBdr>
            <w:top w:val="none" w:sz="0" w:space="0" w:color="auto"/>
            <w:left w:val="none" w:sz="0" w:space="0" w:color="auto"/>
            <w:bottom w:val="none" w:sz="0" w:space="0" w:color="auto"/>
            <w:right w:val="none" w:sz="0" w:space="0" w:color="auto"/>
          </w:divBdr>
          <w:divsChild>
            <w:div w:id="1942297942">
              <w:marLeft w:val="0"/>
              <w:marRight w:val="0"/>
              <w:marTop w:val="0"/>
              <w:marBottom w:val="0"/>
              <w:divBdr>
                <w:top w:val="none" w:sz="0" w:space="0" w:color="auto"/>
                <w:left w:val="none" w:sz="0" w:space="0" w:color="auto"/>
                <w:bottom w:val="none" w:sz="0" w:space="0" w:color="auto"/>
                <w:right w:val="none" w:sz="0" w:space="0" w:color="auto"/>
              </w:divBdr>
            </w:div>
          </w:divsChild>
        </w:div>
        <w:div w:id="1826505895">
          <w:marLeft w:val="0"/>
          <w:marRight w:val="0"/>
          <w:marTop w:val="0"/>
          <w:marBottom w:val="0"/>
          <w:divBdr>
            <w:top w:val="none" w:sz="0" w:space="0" w:color="auto"/>
            <w:left w:val="none" w:sz="0" w:space="0" w:color="auto"/>
            <w:bottom w:val="none" w:sz="0" w:space="0" w:color="auto"/>
            <w:right w:val="none" w:sz="0" w:space="0" w:color="auto"/>
          </w:divBdr>
          <w:divsChild>
            <w:div w:id="1114906325">
              <w:marLeft w:val="0"/>
              <w:marRight w:val="0"/>
              <w:marTop w:val="0"/>
              <w:marBottom w:val="0"/>
              <w:divBdr>
                <w:top w:val="none" w:sz="0" w:space="0" w:color="auto"/>
                <w:left w:val="none" w:sz="0" w:space="0" w:color="auto"/>
                <w:bottom w:val="none" w:sz="0" w:space="0" w:color="auto"/>
                <w:right w:val="none" w:sz="0" w:space="0" w:color="auto"/>
              </w:divBdr>
            </w:div>
          </w:divsChild>
        </w:div>
        <w:div w:id="1868568411">
          <w:marLeft w:val="0"/>
          <w:marRight w:val="0"/>
          <w:marTop w:val="0"/>
          <w:marBottom w:val="0"/>
          <w:divBdr>
            <w:top w:val="none" w:sz="0" w:space="0" w:color="auto"/>
            <w:left w:val="none" w:sz="0" w:space="0" w:color="auto"/>
            <w:bottom w:val="none" w:sz="0" w:space="0" w:color="auto"/>
            <w:right w:val="none" w:sz="0" w:space="0" w:color="auto"/>
          </w:divBdr>
          <w:divsChild>
            <w:div w:id="1314946583">
              <w:marLeft w:val="0"/>
              <w:marRight w:val="0"/>
              <w:marTop w:val="0"/>
              <w:marBottom w:val="0"/>
              <w:divBdr>
                <w:top w:val="none" w:sz="0" w:space="0" w:color="auto"/>
                <w:left w:val="none" w:sz="0" w:space="0" w:color="auto"/>
                <w:bottom w:val="none" w:sz="0" w:space="0" w:color="auto"/>
                <w:right w:val="none" w:sz="0" w:space="0" w:color="auto"/>
              </w:divBdr>
            </w:div>
          </w:divsChild>
        </w:div>
        <w:div w:id="1932734390">
          <w:marLeft w:val="0"/>
          <w:marRight w:val="0"/>
          <w:marTop w:val="0"/>
          <w:marBottom w:val="0"/>
          <w:divBdr>
            <w:top w:val="none" w:sz="0" w:space="0" w:color="auto"/>
            <w:left w:val="none" w:sz="0" w:space="0" w:color="auto"/>
            <w:bottom w:val="none" w:sz="0" w:space="0" w:color="auto"/>
            <w:right w:val="none" w:sz="0" w:space="0" w:color="auto"/>
          </w:divBdr>
          <w:divsChild>
            <w:div w:id="393820197">
              <w:marLeft w:val="0"/>
              <w:marRight w:val="0"/>
              <w:marTop w:val="0"/>
              <w:marBottom w:val="0"/>
              <w:divBdr>
                <w:top w:val="none" w:sz="0" w:space="0" w:color="auto"/>
                <w:left w:val="none" w:sz="0" w:space="0" w:color="auto"/>
                <w:bottom w:val="none" w:sz="0" w:space="0" w:color="auto"/>
                <w:right w:val="none" w:sz="0" w:space="0" w:color="auto"/>
              </w:divBdr>
            </w:div>
          </w:divsChild>
        </w:div>
        <w:div w:id="2073234397">
          <w:marLeft w:val="0"/>
          <w:marRight w:val="0"/>
          <w:marTop w:val="0"/>
          <w:marBottom w:val="0"/>
          <w:divBdr>
            <w:top w:val="none" w:sz="0" w:space="0" w:color="auto"/>
            <w:left w:val="none" w:sz="0" w:space="0" w:color="auto"/>
            <w:bottom w:val="none" w:sz="0" w:space="0" w:color="auto"/>
            <w:right w:val="none" w:sz="0" w:space="0" w:color="auto"/>
          </w:divBdr>
          <w:divsChild>
            <w:div w:id="1791170995">
              <w:marLeft w:val="0"/>
              <w:marRight w:val="0"/>
              <w:marTop w:val="0"/>
              <w:marBottom w:val="0"/>
              <w:divBdr>
                <w:top w:val="none" w:sz="0" w:space="0" w:color="auto"/>
                <w:left w:val="none" w:sz="0" w:space="0" w:color="auto"/>
                <w:bottom w:val="none" w:sz="0" w:space="0" w:color="auto"/>
                <w:right w:val="none" w:sz="0" w:space="0" w:color="auto"/>
              </w:divBdr>
            </w:div>
          </w:divsChild>
        </w:div>
        <w:div w:id="2117478162">
          <w:marLeft w:val="0"/>
          <w:marRight w:val="0"/>
          <w:marTop w:val="0"/>
          <w:marBottom w:val="0"/>
          <w:divBdr>
            <w:top w:val="none" w:sz="0" w:space="0" w:color="auto"/>
            <w:left w:val="none" w:sz="0" w:space="0" w:color="auto"/>
            <w:bottom w:val="none" w:sz="0" w:space="0" w:color="auto"/>
            <w:right w:val="none" w:sz="0" w:space="0" w:color="auto"/>
          </w:divBdr>
          <w:divsChild>
            <w:div w:id="1733383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778475">
      <w:bodyDiv w:val="1"/>
      <w:marLeft w:val="0"/>
      <w:marRight w:val="0"/>
      <w:marTop w:val="0"/>
      <w:marBottom w:val="0"/>
      <w:divBdr>
        <w:top w:val="none" w:sz="0" w:space="0" w:color="auto"/>
        <w:left w:val="none" w:sz="0" w:space="0" w:color="auto"/>
        <w:bottom w:val="none" w:sz="0" w:space="0" w:color="auto"/>
        <w:right w:val="none" w:sz="0" w:space="0" w:color="auto"/>
      </w:divBdr>
    </w:div>
    <w:div w:id="661546091">
      <w:bodyDiv w:val="1"/>
      <w:marLeft w:val="0"/>
      <w:marRight w:val="0"/>
      <w:marTop w:val="0"/>
      <w:marBottom w:val="0"/>
      <w:divBdr>
        <w:top w:val="none" w:sz="0" w:space="0" w:color="auto"/>
        <w:left w:val="none" w:sz="0" w:space="0" w:color="auto"/>
        <w:bottom w:val="none" w:sz="0" w:space="0" w:color="auto"/>
        <w:right w:val="none" w:sz="0" w:space="0" w:color="auto"/>
      </w:divBdr>
    </w:div>
    <w:div w:id="764882106">
      <w:bodyDiv w:val="1"/>
      <w:marLeft w:val="0"/>
      <w:marRight w:val="0"/>
      <w:marTop w:val="0"/>
      <w:marBottom w:val="0"/>
      <w:divBdr>
        <w:top w:val="none" w:sz="0" w:space="0" w:color="auto"/>
        <w:left w:val="none" w:sz="0" w:space="0" w:color="auto"/>
        <w:bottom w:val="none" w:sz="0" w:space="0" w:color="auto"/>
        <w:right w:val="none" w:sz="0" w:space="0" w:color="auto"/>
      </w:divBdr>
      <w:divsChild>
        <w:div w:id="174074097">
          <w:marLeft w:val="0"/>
          <w:marRight w:val="0"/>
          <w:marTop w:val="0"/>
          <w:marBottom w:val="0"/>
          <w:divBdr>
            <w:top w:val="none" w:sz="0" w:space="0" w:color="auto"/>
            <w:left w:val="none" w:sz="0" w:space="0" w:color="auto"/>
            <w:bottom w:val="none" w:sz="0" w:space="0" w:color="auto"/>
            <w:right w:val="none" w:sz="0" w:space="0" w:color="auto"/>
          </w:divBdr>
        </w:div>
      </w:divsChild>
    </w:div>
    <w:div w:id="802504983">
      <w:bodyDiv w:val="1"/>
      <w:marLeft w:val="0"/>
      <w:marRight w:val="0"/>
      <w:marTop w:val="0"/>
      <w:marBottom w:val="0"/>
      <w:divBdr>
        <w:top w:val="none" w:sz="0" w:space="0" w:color="auto"/>
        <w:left w:val="none" w:sz="0" w:space="0" w:color="auto"/>
        <w:bottom w:val="none" w:sz="0" w:space="0" w:color="auto"/>
        <w:right w:val="none" w:sz="0" w:space="0" w:color="auto"/>
      </w:divBdr>
    </w:div>
    <w:div w:id="821895747">
      <w:bodyDiv w:val="1"/>
      <w:marLeft w:val="0"/>
      <w:marRight w:val="0"/>
      <w:marTop w:val="0"/>
      <w:marBottom w:val="0"/>
      <w:divBdr>
        <w:top w:val="none" w:sz="0" w:space="0" w:color="auto"/>
        <w:left w:val="none" w:sz="0" w:space="0" w:color="auto"/>
        <w:bottom w:val="none" w:sz="0" w:space="0" w:color="auto"/>
        <w:right w:val="none" w:sz="0" w:space="0" w:color="auto"/>
      </w:divBdr>
    </w:div>
    <w:div w:id="943538756">
      <w:bodyDiv w:val="1"/>
      <w:marLeft w:val="0"/>
      <w:marRight w:val="0"/>
      <w:marTop w:val="0"/>
      <w:marBottom w:val="0"/>
      <w:divBdr>
        <w:top w:val="none" w:sz="0" w:space="0" w:color="auto"/>
        <w:left w:val="none" w:sz="0" w:space="0" w:color="auto"/>
        <w:bottom w:val="none" w:sz="0" w:space="0" w:color="auto"/>
        <w:right w:val="none" w:sz="0" w:space="0" w:color="auto"/>
      </w:divBdr>
      <w:divsChild>
        <w:div w:id="403531915">
          <w:marLeft w:val="0"/>
          <w:marRight w:val="0"/>
          <w:marTop w:val="0"/>
          <w:marBottom w:val="240"/>
          <w:divBdr>
            <w:top w:val="none" w:sz="0" w:space="0" w:color="auto"/>
            <w:left w:val="none" w:sz="0" w:space="0" w:color="auto"/>
            <w:bottom w:val="none" w:sz="0" w:space="0" w:color="auto"/>
            <w:right w:val="none" w:sz="0" w:space="0" w:color="auto"/>
          </w:divBdr>
        </w:div>
        <w:div w:id="1942227469">
          <w:marLeft w:val="0"/>
          <w:marRight w:val="0"/>
          <w:marTop w:val="0"/>
          <w:marBottom w:val="240"/>
          <w:divBdr>
            <w:top w:val="none" w:sz="0" w:space="0" w:color="auto"/>
            <w:left w:val="none" w:sz="0" w:space="0" w:color="auto"/>
            <w:bottom w:val="none" w:sz="0" w:space="0" w:color="auto"/>
            <w:right w:val="none" w:sz="0" w:space="0" w:color="auto"/>
          </w:divBdr>
        </w:div>
      </w:divsChild>
    </w:div>
    <w:div w:id="1004210597">
      <w:bodyDiv w:val="1"/>
      <w:marLeft w:val="0"/>
      <w:marRight w:val="0"/>
      <w:marTop w:val="0"/>
      <w:marBottom w:val="0"/>
      <w:divBdr>
        <w:top w:val="none" w:sz="0" w:space="0" w:color="auto"/>
        <w:left w:val="none" w:sz="0" w:space="0" w:color="auto"/>
        <w:bottom w:val="none" w:sz="0" w:space="0" w:color="auto"/>
        <w:right w:val="none" w:sz="0" w:space="0" w:color="auto"/>
      </w:divBdr>
      <w:divsChild>
        <w:div w:id="403458064">
          <w:marLeft w:val="0"/>
          <w:marRight w:val="0"/>
          <w:marTop w:val="0"/>
          <w:marBottom w:val="0"/>
          <w:divBdr>
            <w:top w:val="none" w:sz="0" w:space="0" w:color="auto"/>
            <w:left w:val="none" w:sz="0" w:space="0" w:color="auto"/>
            <w:bottom w:val="none" w:sz="0" w:space="0" w:color="auto"/>
            <w:right w:val="none" w:sz="0" w:space="0" w:color="auto"/>
          </w:divBdr>
        </w:div>
      </w:divsChild>
    </w:div>
    <w:div w:id="1075083261">
      <w:bodyDiv w:val="1"/>
      <w:marLeft w:val="0"/>
      <w:marRight w:val="0"/>
      <w:marTop w:val="0"/>
      <w:marBottom w:val="0"/>
      <w:divBdr>
        <w:top w:val="none" w:sz="0" w:space="0" w:color="auto"/>
        <w:left w:val="none" w:sz="0" w:space="0" w:color="auto"/>
        <w:bottom w:val="none" w:sz="0" w:space="0" w:color="auto"/>
        <w:right w:val="none" w:sz="0" w:space="0" w:color="auto"/>
      </w:divBdr>
      <w:divsChild>
        <w:div w:id="130944339">
          <w:marLeft w:val="0"/>
          <w:marRight w:val="0"/>
          <w:marTop w:val="0"/>
          <w:marBottom w:val="0"/>
          <w:divBdr>
            <w:top w:val="none" w:sz="0" w:space="0" w:color="auto"/>
            <w:left w:val="none" w:sz="0" w:space="0" w:color="auto"/>
            <w:bottom w:val="none" w:sz="0" w:space="0" w:color="auto"/>
            <w:right w:val="none" w:sz="0" w:space="0" w:color="auto"/>
          </w:divBdr>
        </w:div>
      </w:divsChild>
    </w:div>
    <w:div w:id="1136601241">
      <w:bodyDiv w:val="1"/>
      <w:marLeft w:val="0"/>
      <w:marRight w:val="0"/>
      <w:marTop w:val="0"/>
      <w:marBottom w:val="0"/>
      <w:divBdr>
        <w:top w:val="none" w:sz="0" w:space="0" w:color="auto"/>
        <w:left w:val="none" w:sz="0" w:space="0" w:color="auto"/>
        <w:bottom w:val="none" w:sz="0" w:space="0" w:color="auto"/>
        <w:right w:val="none" w:sz="0" w:space="0" w:color="auto"/>
      </w:divBdr>
      <w:divsChild>
        <w:div w:id="386606204">
          <w:marLeft w:val="0"/>
          <w:marRight w:val="0"/>
          <w:marTop w:val="0"/>
          <w:marBottom w:val="0"/>
          <w:divBdr>
            <w:top w:val="none" w:sz="0" w:space="0" w:color="auto"/>
            <w:left w:val="none" w:sz="0" w:space="0" w:color="auto"/>
            <w:bottom w:val="none" w:sz="0" w:space="0" w:color="auto"/>
            <w:right w:val="none" w:sz="0" w:space="0" w:color="auto"/>
          </w:divBdr>
        </w:div>
      </w:divsChild>
    </w:div>
    <w:div w:id="1156798969">
      <w:bodyDiv w:val="1"/>
      <w:marLeft w:val="0"/>
      <w:marRight w:val="0"/>
      <w:marTop w:val="0"/>
      <w:marBottom w:val="0"/>
      <w:divBdr>
        <w:top w:val="none" w:sz="0" w:space="0" w:color="auto"/>
        <w:left w:val="none" w:sz="0" w:space="0" w:color="auto"/>
        <w:bottom w:val="none" w:sz="0" w:space="0" w:color="auto"/>
        <w:right w:val="none" w:sz="0" w:space="0" w:color="auto"/>
      </w:divBdr>
    </w:div>
    <w:div w:id="1315644083">
      <w:bodyDiv w:val="1"/>
      <w:marLeft w:val="0"/>
      <w:marRight w:val="0"/>
      <w:marTop w:val="0"/>
      <w:marBottom w:val="0"/>
      <w:divBdr>
        <w:top w:val="none" w:sz="0" w:space="0" w:color="auto"/>
        <w:left w:val="none" w:sz="0" w:space="0" w:color="auto"/>
        <w:bottom w:val="none" w:sz="0" w:space="0" w:color="auto"/>
        <w:right w:val="none" w:sz="0" w:space="0" w:color="auto"/>
      </w:divBdr>
    </w:div>
    <w:div w:id="1474981142">
      <w:bodyDiv w:val="1"/>
      <w:marLeft w:val="0"/>
      <w:marRight w:val="0"/>
      <w:marTop w:val="0"/>
      <w:marBottom w:val="0"/>
      <w:divBdr>
        <w:top w:val="none" w:sz="0" w:space="0" w:color="auto"/>
        <w:left w:val="none" w:sz="0" w:space="0" w:color="auto"/>
        <w:bottom w:val="none" w:sz="0" w:space="0" w:color="auto"/>
        <w:right w:val="none" w:sz="0" w:space="0" w:color="auto"/>
      </w:divBdr>
      <w:divsChild>
        <w:div w:id="493617311">
          <w:marLeft w:val="0"/>
          <w:marRight w:val="0"/>
          <w:marTop w:val="0"/>
          <w:marBottom w:val="0"/>
          <w:divBdr>
            <w:top w:val="single" w:sz="12" w:space="0" w:color="EEEEEE"/>
            <w:left w:val="single" w:sz="12" w:space="0" w:color="EEEEEE"/>
            <w:bottom w:val="single" w:sz="12" w:space="0" w:color="EEEEEE"/>
            <w:right w:val="single" w:sz="12" w:space="0" w:color="EEEEEE"/>
          </w:divBdr>
          <w:divsChild>
            <w:div w:id="1462843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442610">
      <w:bodyDiv w:val="1"/>
      <w:marLeft w:val="0"/>
      <w:marRight w:val="0"/>
      <w:marTop w:val="0"/>
      <w:marBottom w:val="0"/>
      <w:divBdr>
        <w:top w:val="none" w:sz="0" w:space="0" w:color="auto"/>
        <w:left w:val="none" w:sz="0" w:space="0" w:color="auto"/>
        <w:bottom w:val="none" w:sz="0" w:space="0" w:color="auto"/>
        <w:right w:val="none" w:sz="0" w:space="0" w:color="auto"/>
      </w:divBdr>
    </w:div>
    <w:div w:id="1610354161">
      <w:bodyDiv w:val="1"/>
      <w:marLeft w:val="0"/>
      <w:marRight w:val="0"/>
      <w:marTop w:val="0"/>
      <w:marBottom w:val="0"/>
      <w:divBdr>
        <w:top w:val="none" w:sz="0" w:space="0" w:color="auto"/>
        <w:left w:val="none" w:sz="0" w:space="0" w:color="auto"/>
        <w:bottom w:val="none" w:sz="0" w:space="0" w:color="auto"/>
        <w:right w:val="none" w:sz="0" w:space="0" w:color="auto"/>
      </w:divBdr>
    </w:div>
    <w:div w:id="1611350664">
      <w:bodyDiv w:val="1"/>
      <w:marLeft w:val="0"/>
      <w:marRight w:val="0"/>
      <w:marTop w:val="0"/>
      <w:marBottom w:val="0"/>
      <w:divBdr>
        <w:top w:val="none" w:sz="0" w:space="0" w:color="auto"/>
        <w:left w:val="none" w:sz="0" w:space="0" w:color="auto"/>
        <w:bottom w:val="none" w:sz="0" w:space="0" w:color="auto"/>
        <w:right w:val="none" w:sz="0" w:space="0" w:color="auto"/>
      </w:divBdr>
      <w:divsChild>
        <w:div w:id="1445541170">
          <w:marLeft w:val="0"/>
          <w:marRight w:val="0"/>
          <w:marTop w:val="0"/>
          <w:marBottom w:val="0"/>
          <w:divBdr>
            <w:top w:val="none" w:sz="0" w:space="0" w:color="auto"/>
            <w:left w:val="none" w:sz="0" w:space="0" w:color="auto"/>
            <w:bottom w:val="none" w:sz="0" w:space="0" w:color="auto"/>
            <w:right w:val="none" w:sz="0" w:space="0" w:color="auto"/>
          </w:divBdr>
        </w:div>
      </w:divsChild>
    </w:div>
    <w:div w:id="1671374134">
      <w:bodyDiv w:val="1"/>
      <w:marLeft w:val="0"/>
      <w:marRight w:val="0"/>
      <w:marTop w:val="0"/>
      <w:marBottom w:val="0"/>
      <w:divBdr>
        <w:top w:val="none" w:sz="0" w:space="0" w:color="auto"/>
        <w:left w:val="none" w:sz="0" w:space="0" w:color="auto"/>
        <w:bottom w:val="none" w:sz="0" w:space="0" w:color="auto"/>
        <w:right w:val="none" w:sz="0" w:space="0" w:color="auto"/>
      </w:divBdr>
      <w:divsChild>
        <w:div w:id="3020500">
          <w:marLeft w:val="0"/>
          <w:marRight w:val="0"/>
          <w:marTop w:val="0"/>
          <w:marBottom w:val="0"/>
          <w:divBdr>
            <w:top w:val="none" w:sz="0" w:space="0" w:color="auto"/>
            <w:left w:val="none" w:sz="0" w:space="0" w:color="auto"/>
            <w:bottom w:val="none" w:sz="0" w:space="0" w:color="auto"/>
            <w:right w:val="none" w:sz="0" w:space="0" w:color="auto"/>
          </w:divBdr>
        </w:div>
        <w:div w:id="2094860491">
          <w:marLeft w:val="0"/>
          <w:marRight w:val="0"/>
          <w:marTop w:val="0"/>
          <w:marBottom w:val="0"/>
          <w:divBdr>
            <w:top w:val="none" w:sz="0" w:space="0" w:color="auto"/>
            <w:left w:val="none" w:sz="0" w:space="0" w:color="auto"/>
            <w:bottom w:val="none" w:sz="0" w:space="0" w:color="auto"/>
            <w:right w:val="none" w:sz="0" w:space="0" w:color="auto"/>
          </w:divBdr>
          <w:divsChild>
            <w:div w:id="1809087043">
              <w:marLeft w:val="0"/>
              <w:marRight w:val="0"/>
              <w:marTop w:val="30"/>
              <w:marBottom w:val="30"/>
              <w:divBdr>
                <w:top w:val="none" w:sz="0" w:space="0" w:color="auto"/>
                <w:left w:val="none" w:sz="0" w:space="0" w:color="auto"/>
                <w:bottom w:val="none" w:sz="0" w:space="0" w:color="auto"/>
                <w:right w:val="none" w:sz="0" w:space="0" w:color="auto"/>
              </w:divBdr>
              <w:divsChild>
                <w:div w:id="52971979">
                  <w:marLeft w:val="0"/>
                  <w:marRight w:val="0"/>
                  <w:marTop w:val="0"/>
                  <w:marBottom w:val="0"/>
                  <w:divBdr>
                    <w:top w:val="none" w:sz="0" w:space="0" w:color="auto"/>
                    <w:left w:val="none" w:sz="0" w:space="0" w:color="auto"/>
                    <w:bottom w:val="none" w:sz="0" w:space="0" w:color="auto"/>
                    <w:right w:val="none" w:sz="0" w:space="0" w:color="auto"/>
                  </w:divBdr>
                  <w:divsChild>
                    <w:div w:id="1258831333">
                      <w:marLeft w:val="0"/>
                      <w:marRight w:val="0"/>
                      <w:marTop w:val="0"/>
                      <w:marBottom w:val="0"/>
                      <w:divBdr>
                        <w:top w:val="none" w:sz="0" w:space="0" w:color="auto"/>
                        <w:left w:val="none" w:sz="0" w:space="0" w:color="auto"/>
                        <w:bottom w:val="none" w:sz="0" w:space="0" w:color="auto"/>
                        <w:right w:val="none" w:sz="0" w:space="0" w:color="auto"/>
                      </w:divBdr>
                    </w:div>
                  </w:divsChild>
                </w:div>
                <w:div w:id="65614311">
                  <w:marLeft w:val="0"/>
                  <w:marRight w:val="0"/>
                  <w:marTop w:val="0"/>
                  <w:marBottom w:val="0"/>
                  <w:divBdr>
                    <w:top w:val="none" w:sz="0" w:space="0" w:color="auto"/>
                    <w:left w:val="none" w:sz="0" w:space="0" w:color="auto"/>
                    <w:bottom w:val="none" w:sz="0" w:space="0" w:color="auto"/>
                    <w:right w:val="none" w:sz="0" w:space="0" w:color="auto"/>
                  </w:divBdr>
                  <w:divsChild>
                    <w:div w:id="1802531911">
                      <w:marLeft w:val="0"/>
                      <w:marRight w:val="0"/>
                      <w:marTop w:val="0"/>
                      <w:marBottom w:val="0"/>
                      <w:divBdr>
                        <w:top w:val="none" w:sz="0" w:space="0" w:color="auto"/>
                        <w:left w:val="none" w:sz="0" w:space="0" w:color="auto"/>
                        <w:bottom w:val="none" w:sz="0" w:space="0" w:color="auto"/>
                        <w:right w:val="none" w:sz="0" w:space="0" w:color="auto"/>
                      </w:divBdr>
                    </w:div>
                  </w:divsChild>
                </w:div>
                <w:div w:id="218446505">
                  <w:marLeft w:val="0"/>
                  <w:marRight w:val="0"/>
                  <w:marTop w:val="0"/>
                  <w:marBottom w:val="0"/>
                  <w:divBdr>
                    <w:top w:val="none" w:sz="0" w:space="0" w:color="auto"/>
                    <w:left w:val="none" w:sz="0" w:space="0" w:color="auto"/>
                    <w:bottom w:val="none" w:sz="0" w:space="0" w:color="auto"/>
                    <w:right w:val="none" w:sz="0" w:space="0" w:color="auto"/>
                  </w:divBdr>
                  <w:divsChild>
                    <w:div w:id="491873577">
                      <w:marLeft w:val="0"/>
                      <w:marRight w:val="0"/>
                      <w:marTop w:val="0"/>
                      <w:marBottom w:val="0"/>
                      <w:divBdr>
                        <w:top w:val="none" w:sz="0" w:space="0" w:color="auto"/>
                        <w:left w:val="none" w:sz="0" w:space="0" w:color="auto"/>
                        <w:bottom w:val="none" w:sz="0" w:space="0" w:color="auto"/>
                        <w:right w:val="none" w:sz="0" w:space="0" w:color="auto"/>
                      </w:divBdr>
                    </w:div>
                  </w:divsChild>
                </w:div>
                <w:div w:id="228611095">
                  <w:marLeft w:val="0"/>
                  <w:marRight w:val="0"/>
                  <w:marTop w:val="0"/>
                  <w:marBottom w:val="0"/>
                  <w:divBdr>
                    <w:top w:val="none" w:sz="0" w:space="0" w:color="auto"/>
                    <w:left w:val="none" w:sz="0" w:space="0" w:color="auto"/>
                    <w:bottom w:val="none" w:sz="0" w:space="0" w:color="auto"/>
                    <w:right w:val="none" w:sz="0" w:space="0" w:color="auto"/>
                  </w:divBdr>
                  <w:divsChild>
                    <w:div w:id="1330057915">
                      <w:marLeft w:val="0"/>
                      <w:marRight w:val="0"/>
                      <w:marTop w:val="0"/>
                      <w:marBottom w:val="0"/>
                      <w:divBdr>
                        <w:top w:val="none" w:sz="0" w:space="0" w:color="auto"/>
                        <w:left w:val="none" w:sz="0" w:space="0" w:color="auto"/>
                        <w:bottom w:val="none" w:sz="0" w:space="0" w:color="auto"/>
                        <w:right w:val="none" w:sz="0" w:space="0" w:color="auto"/>
                      </w:divBdr>
                    </w:div>
                  </w:divsChild>
                </w:div>
                <w:div w:id="310407957">
                  <w:marLeft w:val="0"/>
                  <w:marRight w:val="0"/>
                  <w:marTop w:val="0"/>
                  <w:marBottom w:val="0"/>
                  <w:divBdr>
                    <w:top w:val="none" w:sz="0" w:space="0" w:color="auto"/>
                    <w:left w:val="none" w:sz="0" w:space="0" w:color="auto"/>
                    <w:bottom w:val="none" w:sz="0" w:space="0" w:color="auto"/>
                    <w:right w:val="none" w:sz="0" w:space="0" w:color="auto"/>
                  </w:divBdr>
                  <w:divsChild>
                    <w:div w:id="436995006">
                      <w:marLeft w:val="0"/>
                      <w:marRight w:val="0"/>
                      <w:marTop w:val="0"/>
                      <w:marBottom w:val="0"/>
                      <w:divBdr>
                        <w:top w:val="none" w:sz="0" w:space="0" w:color="auto"/>
                        <w:left w:val="none" w:sz="0" w:space="0" w:color="auto"/>
                        <w:bottom w:val="none" w:sz="0" w:space="0" w:color="auto"/>
                        <w:right w:val="none" w:sz="0" w:space="0" w:color="auto"/>
                      </w:divBdr>
                    </w:div>
                  </w:divsChild>
                </w:div>
                <w:div w:id="420109167">
                  <w:marLeft w:val="0"/>
                  <w:marRight w:val="0"/>
                  <w:marTop w:val="0"/>
                  <w:marBottom w:val="0"/>
                  <w:divBdr>
                    <w:top w:val="none" w:sz="0" w:space="0" w:color="auto"/>
                    <w:left w:val="none" w:sz="0" w:space="0" w:color="auto"/>
                    <w:bottom w:val="none" w:sz="0" w:space="0" w:color="auto"/>
                    <w:right w:val="none" w:sz="0" w:space="0" w:color="auto"/>
                  </w:divBdr>
                  <w:divsChild>
                    <w:div w:id="1416978166">
                      <w:marLeft w:val="0"/>
                      <w:marRight w:val="0"/>
                      <w:marTop w:val="0"/>
                      <w:marBottom w:val="0"/>
                      <w:divBdr>
                        <w:top w:val="none" w:sz="0" w:space="0" w:color="auto"/>
                        <w:left w:val="none" w:sz="0" w:space="0" w:color="auto"/>
                        <w:bottom w:val="none" w:sz="0" w:space="0" w:color="auto"/>
                        <w:right w:val="none" w:sz="0" w:space="0" w:color="auto"/>
                      </w:divBdr>
                    </w:div>
                  </w:divsChild>
                </w:div>
                <w:div w:id="468287450">
                  <w:marLeft w:val="0"/>
                  <w:marRight w:val="0"/>
                  <w:marTop w:val="0"/>
                  <w:marBottom w:val="0"/>
                  <w:divBdr>
                    <w:top w:val="none" w:sz="0" w:space="0" w:color="auto"/>
                    <w:left w:val="none" w:sz="0" w:space="0" w:color="auto"/>
                    <w:bottom w:val="none" w:sz="0" w:space="0" w:color="auto"/>
                    <w:right w:val="none" w:sz="0" w:space="0" w:color="auto"/>
                  </w:divBdr>
                  <w:divsChild>
                    <w:div w:id="177504209">
                      <w:marLeft w:val="0"/>
                      <w:marRight w:val="0"/>
                      <w:marTop w:val="0"/>
                      <w:marBottom w:val="0"/>
                      <w:divBdr>
                        <w:top w:val="none" w:sz="0" w:space="0" w:color="auto"/>
                        <w:left w:val="none" w:sz="0" w:space="0" w:color="auto"/>
                        <w:bottom w:val="none" w:sz="0" w:space="0" w:color="auto"/>
                        <w:right w:val="none" w:sz="0" w:space="0" w:color="auto"/>
                      </w:divBdr>
                    </w:div>
                  </w:divsChild>
                </w:div>
                <w:div w:id="557862475">
                  <w:marLeft w:val="0"/>
                  <w:marRight w:val="0"/>
                  <w:marTop w:val="0"/>
                  <w:marBottom w:val="0"/>
                  <w:divBdr>
                    <w:top w:val="none" w:sz="0" w:space="0" w:color="auto"/>
                    <w:left w:val="none" w:sz="0" w:space="0" w:color="auto"/>
                    <w:bottom w:val="none" w:sz="0" w:space="0" w:color="auto"/>
                    <w:right w:val="none" w:sz="0" w:space="0" w:color="auto"/>
                  </w:divBdr>
                  <w:divsChild>
                    <w:div w:id="211890494">
                      <w:marLeft w:val="0"/>
                      <w:marRight w:val="0"/>
                      <w:marTop w:val="0"/>
                      <w:marBottom w:val="0"/>
                      <w:divBdr>
                        <w:top w:val="none" w:sz="0" w:space="0" w:color="auto"/>
                        <w:left w:val="none" w:sz="0" w:space="0" w:color="auto"/>
                        <w:bottom w:val="none" w:sz="0" w:space="0" w:color="auto"/>
                        <w:right w:val="none" w:sz="0" w:space="0" w:color="auto"/>
                      </w:divBdr>
                    </w:div>
                  </w:divsChild>
                </w:div>
                <w:div w:id="615259391">
                  <w:marLeft w:val="0"/>
                  <w:marRight w:val="0"/>
                  <w:marTop w:val="0"/>
                  <w:marBottom w:val="0"/>
                  <w:divBdr>
                    <w:top w:val="none" w:sz="0" w:space="0" w:color="auto"/>
                    <w:left w:val="none" w:sz="0" w:space="0" w:color="auto"/>
                    <w:bottom w:val="none" w:sz="0" w:space="0" w:color="auto"/>
                    <w:right w:val="none" w:sz="0" w:space="0" w:color="auto"/>
                  </w:divBdr>
                  <w:divsChild>
                    <w:div w:id="173420008">
                      <w:marLeft w:val="0"/>
                      <w:marRight w:val="0"/>
                      <w:marTop w:val="0"/>
                      <w:marBottom w:val="0"/>
                      <w:divBdr>
                        <w:top w:val="none" w:sz="0" w:space="0" w:color="auto"/>
                        <w:left w:val="none" w:sz="0" w:space="0" w:color="auto"/>
                        <w:bottom w:val="none" w:sz="0" w:space="0" w:color="auto"/>
                        <w:right w:val="none" w:sz="0" w:space="0" w:color="auto"/>
                      </w:divBdr>
                    </w:div>
                  </w:divsChild>
                </w:div>
                <w:div w:id="660502270">
                  <w:marLeft w:val="0"/>
                  <w:marRight w:val="0"/>
                  <w:marTop w:val="0"/>
                  <w:marBottom w:val="0"/>
                  <w:divBdr>
                    <w:top w:val="none" w:sz="0" w:space="0" w:color="auto"/>
                    <w:left w:val="none" w:sz="0" w:space="0" w:color="auto"/>
                    <w:bottom w:val="none" w:sz="0" w:space="0" w:color="auto"/>
                    <w:right w:val="none" w:sz="0" w:space="0" w:color="auto"/>
                  </w:divBdr>
                </w:div>
                <w:div w:id="735860994">
                  <w:marLeft w:val="0"/>
                  <w:marRight w:val="0"/>
                  <w:marTop w:val="0"/>
                  <w:marBottom w:val="0"/>
                  <w:divBdr>
                    <w:top w:val="none" w:sz="0" w:space="0" w:color="auto"/>
                    <w:left w:val="none" w:sz="0" w:space="0" w:color="auto"/>
                    <w:bottom w:val="none" w:sz="0" w:space="0" w:color="auto"/>
                    <w:right w:val="none" w:sz="0" w:space="0" w:color="auto"/>
                  </w:divBdr>
                  <w:divsChild>
                    <w:div w:id="401290715">
                      <w:marLeft w:val="0"/>
                      <w:marRight w:val="0"/>
                      <w:marTop w:val="0"/>
                      <w:marBottom w:val="0"/>
                      <w:divBdr>
                        <w:top w:val="none" w:sz="0" w:space="0" w:color="auto"/>
                        <w:left w:val="none" w:sz="0" w:space="0" w:color="auto"/>
                        <w:bottom w:val="none" w:sz="0" w:space="0" w:color="auto"/>
                        <w:right w:val="none" w:sz="0" w:space="0" w:color="auto"/>
                      </w:divBdr>
                    </w:div>
                  </w:divsChild>
                </w:div>
                <w:div w:id="850264079">
                  <w:marLeft w:val="0"/>
                  <w:marRight w:val="0"/>
                  <w:marTop w:val="0"/>
                  <w:marBottom w:val="0"/>
                  <w:divBdr>
                    <w:top w:val="none" w:sz="0" w:space="0" w:color="auto"/>
                    <w:left w:val="none" w:sz="0" w:space="0" w:color="auto"/>
                    <w:bottom w:val="none" w:sz="0" w:space="0" w:color="auto"/>
                    <w:right w:val="none" w:sz="0" w:space="0" w:color="auto"/>
                  </w:divBdr>
                  <w:divsChild>
                    <w:div w:id="170069715">
                      <w:marLeft w:val="0"/>
                      <w:marRight w:val="0"/>
                      <w:marTop w:val="0"/>
                      <w:marBottom w:val="0"/>
                      <w:divBdr>
                        <w:top w:val="none" w:sz="0" w:space="0" w:color="auto"/>
                        <w:left w:val="none" w:sz="0" w:space="0" w:color="auto"/>
                        <w:bottom w:val="none" w:sz="0" w:space="0" w:color="auto"/>
                        <w:right w:val="none" w:sz="0" w:space="0" w:color="auto"/>
                      </w:divBdr>
                    </w:div>
                  </w:divsChild>
                </w:div>
                <w:div w:id="934899755">
                  <w:marLeft w:val="0"/>
                  <w:marRight w:val="0"/>
                  <w:marTop w:val="0"/>
                  <w:marBottom w:val="0"/>
                  <w:divBdr>
                    <w:top w:val="none" w:sz="0" w:space="0" w:color="auto"/>
                    <w:left w:val="none" w:sz="0" w:space="0" w:color="auto"/>
                    <w:bottom w:val="none" w:sz="0" w:space="0" w:color="auto"/>
                    <w:right w:val="none" w:sz="0" w:space="0" w:color="auto"/>
                  </w:divBdr>
                  <w:divsChild>
                    <w:div w:id="1326937801">
                      <w:marLeft w:val="0"/>
                      <w:marRight w:val="0"/>
                      <w:marTop w:val="0"/>
                      <w:marBottom w:val="0"/>
                      <w:divBdr>
                        <w:top w:val="none" w:sz="0" w:space="0" w:color="auto"/>
                        <w:left w:val="none" w:sz="0" w:space="0" w:color="auto"/>
                        <w:bottom w:val="none" w:sz="0" w:space="0" w:color="auto"/>
                        <w:right w:val="none" w:sz="0" w:space="0" w:color="auto"/>
                      </w:divBdr>
                    </w:div>
                  </w:divsChild>
                </w:div>
                <w:div w:id="1093624272">
                  <w:marLeft w:val="0"/>
                  <w:marRight w:val="0"/>
                  <w:marTop w:val="0"/>
                  <w:marBottom w:val="0"/>
                  <w:divBdr>
                    <w:top w:val="none" w:sz="0" w:space="0" w:color="auto"/>
                    <w:left w:val="none" w:sz="0" w:space="0" w:color="auto"/>
                    <w:bottom w:val="none" w:sz="0" w:space="0" w:color="auto"/>
                    <w:right w:val="none" w:sz="0" w:space="0" w:color="auto"/>
                  </w:divBdr>
                  <w:divsChild>
                    <w:div w:id="567154491">
                      <w:marLeft w:val="0"/>
                      <w:marRight w:val="0"/>
                      <w:marTop w:val="0"/>
                      <w:marBottom w:val="0"/>
                      <w:divBdr>
                        <w:top w:val="none" w:sz="0" w:space="0" w:color="auto"/>
                        <w:left w:val="none" w:sz="0" w:space="0" w:color="auto"/>
                        <w:bottom w:val="none" w:sz="0" w:space="0" w:color="auto"/>
                        <w:right w:val="none" w:sz="0" w:space="0" w:color="auto"/>
                      </w:divBdr>
                    </w:div>
                  </w:divsChild>
                </w:div>
                <w:div w:id="1112092744">
                  <w:marLeft w:val="0"/>
                  <w:marRight w:val="0"/>
                  <w:marTop w:val="0"/>
                  <w:marBottom w:val="0"/>
                  <w:divBdr>
                    <w:top w:val="none" w:sz="0" w:space="0" w:color="auto"/>
                    <w:left w:val="none" w:sz="0" w:space="0" w:color="auto"/>
                    <w:bottom w:val="none" w:sz="0" w:space="0" w:color="auto"/>
                    <w:right w:val="none" w:sz="0" w:space="0" w:color="auto"/>
                  </w:divBdr>
                  <w:divsChild>
                    <w:div w:id="1121916731">
                      <w:marLeft w:val="0"/>
                      <w:marRight w:val="0"/>
                      <w:marTop w:val="0"/>
                      <w:marBottom w:val="0"/>
                      <w:divBdr>
                        <w:top w:val="none" w:sz="0" w:space="0" w:color="auto"/>
                        <w:left w:val="none" w:sz="0" w:space="0" w:color="auto"/>
                        <w:bottom w:val="none" w:sz="0" w:space="0" w:color="auto"/>
                        <w:right w:val="none" w:sz="0" w:space="0" w:color="auto"/>
                      </w:divBdr>
                    </w:div>
                  </w:divsChild>
                </w:div>
                <w:div w:id="1145897427">
                  <w:marLeft w:val="0"/>
                  <w:marRight w:val="0"/>
                  <w:marTop w:val="0"/>
                  <w:marBottom w:val="0"/>
                  <w:divBdr>
                    <w:top w:val="none" w:sz="0" w:space="0" w:color="auto"/>
                    <w:left w:val="none" w:sz="0" w:space="0" w:color="auto"/>
                    <w:bottom w:val="none" w:sz="0" w:space="0" w:color="auto"/>
                    <w:right w:val="none" w:sz="0" w:space="0" w:color="auto"/>
                  </w:divBdr>
                  <w:divsChild>
                    <w:div w:id="1117480195">
                      <w:marLeft w:val="0"/>
                      <w:marRight w:val="0"/>
                      <w:marTop w:val="0"/>
                      <w:marBottom w:val="0"/>
                      <w:divBdr>
                        <w:top w:val="none" w:sz="0" w:space="0" w:color="auto"/>
                        <w:left w:val="none" w:sz="0" w:space="0" w:color="auto"/>
                        <w:bottom w:val="none" w:sz="0" w:space="0" w:color="auto"/>
                        <w:right w:val="none" w:sz="0" w:space="0" w:color="auto"/>
                      </w:divBdr>
                    </w:div>
                  </w:divsChild>
                </w:div>
                <w:div w:id="1200095606">
                  <w:marLeft w:val="0"/>
                  <w:marRight w:val="0"/>
                  <w:marTop w:val="0"/>
                  <w:marBottom w:val="0"/>
                  <w:divBdr>
                    <w:top w:val="none" w:sz="0" w:space="0" w:color="auto"/>
                    <w:left w:val="none" w:sz="0" w:space="0" w:color="auto"/>
                    <w:bottom w:val="none" w:sz="0" w:space="0" w:color="auto"/>
                    <w:right w:val="none" w:sz="0" w:space="0" w:color="auto"/>
                  </w:divBdr>
                </w:div>
                <w:div w:id="1228566000">
                  <w:marLeft w:val="0"/>
                  <w:marRight w:val="0"/>
                  <w:marTop w:val="0"/>
                  <w:marBottom w:val="0"/>
                  <w:divBdr>
                    <w:top w:val="none" w:sz="0" w:space="0" w:color="auto"/>
                    <w:left w:val="none" w:sz="0" w:space="0" w:color="auto"/>
                    <w:bottom w:val="none" w:sz="0" w:space="0" w:color="auto"/>
                    <w:right w:val="none" w:sz="0" w:space="0" w:color="auto"/>
                  </w:divBdr>
                  <w:divsChild>
                    <w:div w:id="647394884">
                      <w:marLeft w:val="0"/>
                      <w:marRight w:val="0"/>
                      <w:marTop w:val="0"/>
                      <w:marBottom w:val="0"/>
                      <w:divBdr>
                        <w:top w:val="none" w:sz="0" w:space="0" w:color="auto"/>
                        <w:left w:val="none" w:sz="0" w:space="0" w:color="auto"/>
                        <w:bottom w:val="none" w:sz="0" w:space="0" w:color="auto"/>
                        <w:right w:val="none" w:sz="0" w:space="0" w:color="auto"/>
                      </w:divBdr>
                    </w:div>
                  </w:divsChild>
                </w:div>
                <w:div w:id="1250237166">
                  <w:marLeft w:val="0"/>
                  <w:marRight w:val="0"/>
                  <w:marTop w:val="0"/>
                  <w:marBottom w:val="0"/>
                  <w:divBdr>
                    <w:top w:val="none" w:sz="0" w:space="0" w:color="auto"/>
                    <w:left w:val="none" w:sz="0" w:space="0" w:color="auto"/>
                    <w:bottom w:val="none" w:sz="0" w:space="0" w:color="auto"/>
                    <w:right w:val="none" w:sz="0" w:space="0" w:color="auto"/>
                  </w:divBdr>
                </w:div>
                <w:div w:id="1312249719">
                  <w:marLeft w:val="0"/>
                  <w:marRight w:val="0"/>
                  <w:marTop w:val="0"/>
                  <w:marBottom w:val="0"/>
                  <w:divBdr>
                    <w:top w:val="none" w:sz="0" w:space="0" w:color="auto"/>
                    <w:left w:val="none" w:sz="0" w:space="0" w:color="auto"/>
                    <w:bottom w:val="none" w:sz="0" w:space="0" w:color="auto"/>
                    <w:right w:val="none" w:sz="0" w:space="0" w:color="auto"/>
                  </w:divBdr>
                  <w:divsChild>
                    <w:div w:id="1800957795">
                      <w:marLeft w:val="0"/>
                      <w:marRight w:val="0"/>
                      <w:marTop w:val="0"/>
                      <w:marBottom w:val="0"/>
                      <w:divBdr>
                        <w:top w:val="none" w:sz="0" w:space="0" w:color="auto"/>
                        <w:left w:val="none" w:sz="0" w:space="0" w:color="auto"/>
                        <w:bottom w:val="none" w:sz="0" w:space="0" w:color="auto"/>
                        <w:right w:val="none" w:sz="0" w:space="0" w:color="auto"/>
                      </w:divBdr>
                    </w:div>
                  </w:divsChild>
                </w:div>
                <w:div w:id="1347099291">
                  <w:marLeft w:val="0"/>
                  <w:marRight w:val="0"/>
                  <w:marTop w:val="0"/>
                  <w:marBottom w:val="0"/>
                  <w:divBdr>
                    <w:top w:val="none" w:sz="0" w:space="0" w:color="auto"/>
                    <w:left w:val="none" w:sz="0" w:space="0" w:color="auto"/>
                    <w:bottom w:val="none" w:sz="0" w:space="0" w:color="auto"/>
                    <w:right w:val="none" w:sz="0" w:space="0" w:color="auto"/>
                  </w:divBdr>
                  <w:divsChild>
                    <w:div w:id="1189828870">
                      <w:marLeft w:val="0"/>
                      <w:marRight w:val="0"/>
                      <w:marTop w:val="0"/>
                      <w:marBottom w:val="0"/>
                      <w:divBdr>
                        <w:top w:val="none" w:sz="0" w:space="0" w:color="auto"/>
                        <w:left w:val="none" w:sz="0" w:space="0" w:color="auto"/>
                        <w:bottom w:val="none" w:sz="0" w:space="0" w:color="auto"/>
                        <w:right w:val="none" w:sz="0" w:space="0" w:color="auto"/>
                      </w:divBdr>
                    </w:div>
                  </w:divsChild>
                </w:div>
                <w:div w:id="1369917000">
                  <w:marLeft w:val="0"/>
                  <w:marRight w:val="0"/>
                  <w:marTop w:val="0"/>
                  <w:marBottom w:val="0"/>
                  <w:divBdr>
                    <w:top w:val="none" w:sz="0" w:space="0" w:color="auto"/>
                    <w:left w:val="none" w:sz="0" w:space="0" w:color="auto"/>
                    <w:bottom w:val="none" w:sz="0" w:space="0" w:color="auto"/>
                    <w:right w:val="none" w:sz="0" w:space="0" w:color="auto"/>
                  </w:divBdr>
                  <w:divsChild>
                    <w:div w:id="2010525968">
                      <w:marLeft w:val="0"/>
                      <w:marRight w:val="0"/>
                      <w:marTop w:val="0"/>
                      <w:marBottom w:val="0"/>
                      <w:divBdr>
                        <w:top w:val="none" w:sz="0" w:space="0" w:color="auto"/>
                        <w:left w:val="none" w:sz="0" w:space="0" w:color="auto"/>
                        <w:bottom w:val="none" w:sz="0" w:space="0" w:color="auto"/>
                        <w:right w:val="none" w:sz="0" w:space="0" w:color="auto"/>
                      </w:divBdr>
                    </w:div>
                  </w:divsChild>
                </w:div>
                <w:div w:id="1468166052">
                  <w:marLeft w:val="0"/>
                  <w:marRight w:val="0"/>
                  <w:marTop w:val="0"/>
                  <w:marBottom w:val="0"/>
                  <w:divBdr>
                    <w:top w:val="none" w:sz="0" w:space="0" w:color="auto"/>
                    <w:left w:val="none" w:sz="0" w:space="0" w:color="auto"/>
                    <w:bottom w:val="none" w:sz="0" w:space="0" w:color="auto"/>
                    <w:right w:val="none" w:sz="0" w:space="0" w:color="auto"/>
                  </w:divBdr>
                  <w:divsChild>
                    <w:div w:id="917641944">
                      <w:marLeft w:val="0"/>
                      <w:marRight w:val="0"/>
                      <w:marTop w:val="0"/>
                      <w:marBottom w:val="0"/>
                      <w:divBdr>
                        <w:top w:val="none" w:sz="0" w:space="0" w:color="auto"/>
                        <w:left w:val="none" w:sz="0" w:space="0" w:color="auto"/>
                        <w:bottom w:val="none" w:sz="0" w:space="0" w:color="auto"/>
                        <w:right w:val="none" w:sz="0" w:space="0" w:color="auto"/>
                      </w:divBdr>
                    </w:div>
                  </w:divsChild>
                </w:div>
                <w:div w:id="1519194534">
                  <w:marLeft w:val="0"/>
                  <w:marRight w:val="0"/>
                  <w:marTop w:val="0"/>
                  <w:marBottom w:val="0"/>
                  <w:divBdr>
                    <w:top w:val="none" w:sz="0" w:space="0" w:color="auto"/>
                    <w:left w:val="none" w:sz="0" w:space="0" w:color="auto"/>
                    <w:bottom w:val="none" w:sz="0" w:space="0" w:color="auto"/>
                    <w:right w:val="none" w:sz="0" w:space="0" w:color="auto"/>
                  </w:divBdr>
                  <w:divsChild>
                    <w:div w:id="706442681">
                      <w:marLeft w:val="0"/>
                      <w:marRight w:val="0"/>
                      <w:marTop w:val="0"/>
                      <w:marBottom w:val="0"/>
                      <w:divBdr>
                        <w:top w:val="none" w:sz="0" w:space="0" w:color="auto"/>
                        <w:left w:val="none" w:sz="0" w:space="0" w:color="auto"/>
                        <w:bottom w:val="none" w:sz="0" w:space="0" w:color="auto"/>
                        <w:right w:val="none" w:sz="0" w:space="0" w:color="auto"/>
                      </w:divBdr>
                    </w:div>
                  </w:divsChild>
                </w:div>
                <w:div w:id="1621911108">
                  <w:marLeft w:val="0"/>
                  <w:marRight w:val="0"/>
                  <w:marTop w:val="0"/>
                  <w:marBottom w:val="0"/>
                  <w:divBdr>
                    <w:top w:val="none" w:sz="0" w:space="0" w:color="auto"/>
                    <w:left w:val="none" w:sz="0" w:space="0" w:color="auto"/>
                    <w:bottom w:val="none" w:sz="0" w:space="0" w:color="auto"/>
                    <w:right w:val="none" w:sz="0" w:space="0" w:color="auto"/>
                  </w:divBdr>
                </w:div>
                <w:div w:id="1642660468">
                  <w:marLeft w:val="0"/>
                  <w:marRight w:val="0"/>
                  <w:marTop w:val="0"/>
                  <w:marBottom w:val="0"/>
                  <w:divBdr>
                    <w:top w:val="none" w:sz="0" w:space="0" w:color="auto"/>
                    <w:left w:val="none" w:sz="0" w:space="0" w:color="auto"/>
                    <w:bottom w:val="none" w:sz="0" w:space="0" w:color="auto"/>
                    <w:right w:val="none" w:sz="0" w:space="0" w:color="auto"/>
                  </w:divBdr>
                  <w:divsChild>
                    <w:div w:id="1678729459">
                      <w:marLeft w:val="0"/>
                      <w:marRight w:val="0"/>
                      <w:marTop w:val="0"/>
                      <w:marBottom w:val="0"/>
                      <w:divBdr>
                        <w:top w:val="none" w:sz="0" w:space="0" w:color="auto"/>
                        <w:left w:val="none" w:sz="0" w:space="0" w:color="auto"/>
                        <w:bottom w:val="none" w:sz="0" w:space="0" w:color="auto"/>
                        <w:right w:val="none" w:sz="0" w:space="0" w:color="auto"/>
                      </w:divBdr>
                    </w:div>
                  </w:divsChild>
                </w:div>
                <w:div w:id="1683167966">
                  <w:marLeft w:val="0"/>
                  <w:marRight w:val="0"/>
                  <w:marTop w:val="0"/>
                  <w:marBottom w:val="0"/>
                  <w:divBdr>
                    <w:top w:val="none" w:sz="0" w:space="0" w:color="auto"/>
                    <w:left w:val="none" w:sz="0" w:space="0" w:color="auto"/>
                    <w:bottom w:val="none" w:sz="0" w:space="0" w:color="auto"/>
                    <w:right w:val="none" w:sz="0" w:space="0" w:color="auto"/>
                  </w:divBdr>
                  <w:divsChild>
                    <w:div w:id="1506627282">
                      <w:marLeft w:val="0"/>
                      <w:marRight w:val="0"/>
                      <w:marTop w:val="0"/>
                      <w:marBottom w:val="0"/>
                      <w:divBdr>
                        <w:top w:val="none" w:sz="0" w:space="0" w:color="auto"/>
                        <w:left w:val="none" w:sz="0" w:space="0" w:color="auto"/>
                        <w:bottom w:val="none" w:sz="0" w:space="0" w:color="auto"/>
                        <w:right w:val="none" w:sz="0" w:space="0" w:color="auto"/>
                      </w:divBdr>
                    </w:div>
                  </w:divsChild>
                </w:div>
                <w:div w:id="1722901095">
                  <w:marLeft w:val="0"/>
                  <w:marRight w:val="0"/>
                  <w:marTop w:val="0"/>
                  <w:marBottom w:val="0"/>
                  <w:divBdr>
                    <w:top w:val="none" w:sz="0" w:space="0" w:color="auto"/>
                    <w:left w:val="none" w:sz="0" w:space="0" w:color="auto"/>
                    <w:bottom w:val="none" w:sz="0" w:space="0" w:color="auto"/>
                    <w:right w:val="none" w:sz="0" w:space="0" w:color="auto"/>
                  </w:divBdr>
                  <w:divsChild>
                    <w:div w:id="317731092">
                      <w:marLeft w:val="0"/>
                      <w:marRight w:val="0"/>
                      <w:marTop w:val="0"/>
                      <w:marBottom w:val="0"/>
                      <w:divBdr>
                        <w:top w:val="none" w:sz="0" w:space="0" w:color="auto"/>
                        <w:left w:val="none" w:sz="0" w:space="0" w:color="auto"/>
                        <w:bottom w:val="none" w:sz="0" w:space="0" w:color="auto"/>
                        <w:right w:val="none" w:sz="0" w:space="0" w:color="auto"/>
                      </w:divBdr>
                    </w:div>
                  </w:divsChild>
                </w:div>
                <w:div w:id="1820221609">
                  <w:marLeft w:val="0"/>
                  <w:marRight w:val="0"/>
                  <w:marTop w:val="0"/>
                  <w:marBottom w:val="0"/>
                  <w:divBdr>
                    <w:top w:val="none" w:sz="0" w:space="0" w:color="auto"/>
                    <w:left w:val="none" w:sz="0" w:space="0" w:color="auto"/>
                    <w:bottom w:val="none" w:sz="0" w:space="0" w:color="auto"/>
                    <w:right w:val="none" w:sz="0" w:space="0" w:color="auto"/>
                  </w:divBdr>
                  <w:divsChild>
                    <w:div w:id="966935272">
                      <w:marLeft w:val="0"/>
                      <w:marRight w:val="0"/>
                      <w:marTop w:val="0"/>
                      <w:marBottom w:val="0"/>
                      <w:divBdr>
                        <w:top w:val="none" w:sz="0" w:space="0" w:color="auto"/>
                        <w:left w:val="none" w:sz="0" w:space="0" w:color="auto"/>
                        <w:bottom w:val="none" w:sz="0" w:space="0" w:color="auto"/>
                        <w:right w:val="none" w:sz="0" w:space="0" w:color="auto"/>
                      </w:divBdr>
                    </w:div>
                  </w:divsChild>
                </w:div>
                <w:div w:id="1887835743">
                  <w:marLeft w:val="0"/>
                  <w:marRight w:val="0"/>
                  <w:marTop w:val="0"/>
                  <w:marBottom w:val="0"/>
                  <w:divBdr>
                    <w:top w:val="none" w:sz="0" w:space="0" w:color="auto"/>
                    <w:left w:val="none" w:sz="0" w:space="0" w:color="auto"/>
                    <w:bottom w:val="none" w:sz="0" w:space="0" w:color="auto"/>
                    <w:right w:val="none" w:sz="0" w:space="0" w:color="auto"/>
                  </w:divBdr>
                  <w:divsChild>
                    <w:div w:id="144664369">
                      <w:marLeft w:val="0"/>
                      <w:marRight w:val="0"/>
                      <w:marTop w:val="0"/>
                      <w:marBottom w:val="0"/>
                      <w:divBdr>
                        <w:top w:val="none" w:sz="0" w:space="0" w:color="auto"/>
                        <w:left w:val="none" w:sz="0" w:space="0" w:color="auto"/>
                        <w:bottom w:val="none" w:sz="0" w:space="0" w:color="auto"/>
                        <w:right w:val="none" w:sz="0" w:space="0" w:color="auto"/>
                      </w:divBdr>
                    </w:div>
                  </w:divsChild>
                </w:div>
                <w:div w:id="1972127861">
                  <w:marLeft w:val="0"/>
                  <w:marRight w:val="0"/>
                  <w:marTop w:val="0"/>
                  <w:marBottom w:val="0"/>
                  <w:divBdr>
                    <w:top w:val="none" w:sz="0" w:space="0" w:color="auto"/>
                    <w:left w:val="none" w:sz="0" w:space="0" w:color="auto"/>
                    <w:bottom w:val="none" w:sz="0" w:space="0" w:color="auto"/>
                    <w:right w:val="none" w:sz="0" w:space="0" w:color="auto"/>
                  </w:divBdr>
                  <w:divsChild>
                    <w:div w:id="312494855">
                      <w:marLeft w:val="0"/>
                      <w:marRight w:val="0"/>
                      <w:marTop w:val="0"/>
                      <w:marBottom w:val="0"/>
                      <w:divBdr>
                        <w:top w:val="none" w:sz="0" w:space="0" w:color="auto"/>
                        <w:left w:val="none" w:sz="0" w:space="0" w:color="auto"/>
                        <w:bottom w:val="none" w:sz="0" w:space="0" w:color="auto"/>
                        <w:right w:val="none" w:sz="0" w:space="0" w:color="auto"/>
                      </w:divBdr>
                    </w:div>
                  </w:divsChild>
                </w:div>
                <w:div w:id="2088529850">
                  <w:marLeft w:val="0"/>
                  <w:marRight w:val="0"/>
                  <w:marTop w:val="0"/>
                  <w:marBottom w:val="0"/>
                  <w:divBdr>
                    <w:top w:val="none" w:sz="0" w:space="0" w:color="auto"/>
                    <w:left w:val="none" w:sz="0" w:space="0" w:color="auto"/>
                    <w:bottom w:val="none" w:sz="0" w:space="0" w:color="auto"/>
                    <w:right w:val="none" w:sz="0" w:space="0" w:color="auto"/>
                  </w:divBdr>
                  <w:divsChild>
                    <w:div w:id="1270510216">
                      <w:marLeft w:val="0"/>
                      <w:marRight w:val="0"/>
                      <w:marTop w:val="0"/>
                      <w:marBottom w:val="0"/>
                      <w:divBdr>
                        <w:top w:val="none" w:sz="0" w:space="0" w:color="auto"/>
                        <w:left w:val="none" w:sz="0" w:space="0" w:color="auto"/>
                        <w:bottom w:val="none" w:sz="0" w:space="0" w:color="auto"/>
                        <w:right w:val="none" w:sz="0" w:space="0" w:color="auto"/>
                      </w:divBdr>
                    </w:div>
                  </w:divsChild>
                </w:div>
                <w:div w:id="209558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102640">
      <w:bodyDiv w:val="1"/>
      <w:marLeft w:val="0"/>
      <w:marRight w:val="0"/>
      <w:marTop w:val="0"/>
      <w:marBottom w:val="0"/>
      <w:divBdr>
        <w:top w:val="none" w:sz="0" w:space="0" w:color="auto"/>
        <w:left w:val="none" w:sz="0" w:space="0" w:color="auto"/>
        <w:bottom w:val="none" w:sz="0" w:space="0" w:color="auto"/>
        <w:right w:val="none" w:sz="0" w:space="0" w:color="auto"/>
      </w:divBdr>
    </w:div>
    <w:div w:id="1712610337">
      <w:bodyDiv w:val="1"/>
      <w:marLeft w:val="0"/>
      <w:marRight w:val="0"/>
      <w:marTop w:val="0"/>
      <w:marBottom w:val="0"/>
      <w:divBdr>
        <w:top w:val="none" w:sz="0" w:space="0" w:color="auto"/>
        <w:left w:val="none" w:sz="0" w:space="0" w:color="auto"/>
        <w:bottom w:val="none" w:sz="0" w:space="0" w:color="auto"/>
        <w:right w:val="none" w:sz="0" w:space="0" w:color="auto"/>
      </w:divBdr>
    </w:div>
    <w:div w:id="1776362968">
      <w:bodyDiv w:val="1"/>
      <w:marLeft w:val="0"/>
      <w:marRight w:val="0"/>
      <w:marTop w:val="0"/>
      <w:marBottom w:val="0"/>
      <w:divBdr>
        <w:top w:val="none" w:sz="0" w:space="0" w:color="auto"/>
        <w:left w:val="none" w:sz="0" w:space="0" w:color="auto"/>
        <w:bottom w:val="none" w:sz="0" w:space="0" w:color="auto"/>
        <w:right w:val="none" w:sz="0" w:space="0" w:color="auto"/>
      </w:divBdr>
    </w:div>
    <w:div w:id="1914312001">
      <w:bodyDiv w:val="1"/>
      <w:marLeft w:val="0"/>
      <w:marRight w:val="0"/>
      <w:marTop w:val="0"/>
      <w:marBottom w:val="0"/>
      <w:divBdr>
        <w:top w:val="none" w:sz="0" w:space="0" w:color="auto"/>
        <w:left w:val="none" w:sz="0" w:space="0" w:color="auto"/>
        <w:bottom w:val="none" w:sz="0" w:space="0" w:color="auto"/>
        <w:right w:val="none" w:sz="0" w:space="0" w:color="auto"/>
      </w:divBdr>
      <w:divsChild>
        <w:div w:id="1215652233">
          <w:marLeft w:val="0"/>
          <w:marRight w:val="0"/>
          <w:marTop w:val="0"/>
          <w:marBottom w:val="0"/>
          <w:divBdr>
            <w:top w:val="none" w:sz="0" w:space="0" w:color="auto"/>
            <w:left w:val="none" w:sz="0" w:space="0" w:color="auto"/>
            <w:bottom w:val="none" w:sz="0" w:space="0" w:color="auto"/>
            <w:right w:val="none" w:sz="0" w:space="0" w:color="auto"/>
          </w:divBdr>
        </w:div>
      </w:divsChild>
    </w:div>
    <w:div w:id="1947539978">
      <w:bodyDiv w:val="1"/>
      <w:marLeft w:val="0"/>
      <w:marRight w:val="0"/>
      <w:marTop w:val="0"/>
      <w:marBottom w:val="0"/>
      <w:divBdr>
        <w:top w:val="none" w:sz="0" w:space="0" w:color="auto"/>
        <w:left w:val="none" w:sz="0" w:space="0" w:color="auto"/>
        <w:bottom w:val="none" w:sz="0" w:space="0" w:color="auto"/>
        <w:right w:val="none" w:sz="0" w:space="0" w:color="auto"/>
      </w:divBdr>
      <w:divsChild>
        <w:div w:id="831985992">
          <w:marLeft w:val="0"/>
          <w:marRight w:val="0"/>
          <w:marTop w:val="0"/>
          <w:marBottom w:val="0"/>
          <w:divBdr>
            <w:top w:val="none" w:sz="0" w:space="0" w:color="auto"/>
            <w:left w:val="none" w:sz="0" w:space="0" w:color="auto"/>
            <w:bottom w:val="none" w:sz="0" w:space="0" w:color="auto"/>
            <w:right w:val="none" w:sz="0" w:space="0" w:color="auto"/>
          </w:divBdr>
        </w:div>
      </w:divsChild>
    </w:div>
    <w:div w:id="2015451113">
      <w:bodyDiv w:val="1"/>
      <w:marLeft w:val="0"/>
      <w:marRight w:val="0"/>
      <w:marTop w:val="0"/>
      <w:marBottom w:val="0"/>
      <w:divBdr>
        <w:top w:val="none" w:sz="0" w:space="0" w:color="auto"/>
        <w:left w:val="none" w:sz="0" w:space="0" w:color="auto"/>
        <w:bottom w:val="none" w:sz="0" w:space="0" w:color="auto"/>
        <w:right w:val="none" w:sz="0" w:space="0" w:color="auto"/>
      </w:divBdr>
      <w:divsChild>
        <w:div w:id="153381338">
          <w:marLeft w:val="0"/>
          <w:marRight w:val="0"/>
          <w:marTop w:val="0"/>
          <w:marBottom w:val="0"/>
          <w:divBdr>
            <w:top w:val="none" w:sz="0" w:space="0" w:color="auto"/>
            <w:left w:val="none" w:sz="0" w:space="0" w:color="auto"/>
            <w:bottom w:val="none" w:sz="0" w:space="0" w:color="auto"/>
            <w:right w:val="none" w:sz="0" w:space="0" w:color="auto"/>
          </w:divBdr>
        </w:div>
      </w:divsChild>
    </w:div>
    <w:div w:id="2017533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6262</Words>
  <Characters>35699</Characters>
  <Application>Microsoft Office Word</Application>
  <DocSecurity>0</DocSecurity>
  <Lines>297</Lines>
  <Paragraphs>83</Paragraphs>
  <ScaleCrop>false</ScaleCrop>
  <Company/>
  <LinksUpToDate>false</LinksUpToDate>
  <CharactersWithSpaces>41878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Howard Boone</dc:creator>
  <cp:keywords/>
  <dc:description/>
  <cp:lastModifiedBy>Jessica Howard Boone</cp:lastModifiedBy>
  <cp:revision>2</cp:revision>
  <dcterms:created xsi:type="dcterms:W3CDTF">2026-03-30T13:33:00Z</dcterms:created>
  <dcterms:modified xsi:type="dcterms:W3CDTF">2026-03-30T13:33:00Z</dcterms:modified>
</cp:coreProperties>
</file>