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2ACD97" w14:textId="01F0C6CF" w:rsidR="006D539B" w:rsidRDefault="00497D39" w:rsidP="00243B01">
      <w:pPr>
        <w:spacing w:line="240" w:lineRule="auto"/>
        <w:jc w:val="center"/>
        <w:rPr>
          <w:rFonts w:cs="Times New Roman"/>
          <w:b/>
          <w:bCs/>
          <w:szCs w:val="24"/>
        </w:rPr>
      </w:pPr>
      <w:r w:rsidRPr="004F7F85">
        <w:rPr>
          <w:rFonts w:cs="Times New Roman"/>
          <w:b/>
          <w:bCs/>
          <w:szCs w:val="24"/>
        </w:rPr>
        <w:t>Pre</w:t>
      </w:r>
      <w:r w:rsidR="0020236A" w:rsidRPr="004F7F85">
        <w:rPr>
          <w:rFonts w:cs="Times New Roman"/>
          <w:b/>
          <w:bCs/>
          <w:szCs w:val="24"/>
        </w:rPr>
        <w:t>-Service Elementary Teachers’ Perceptions, Confidence, and Willingness to Integrate Agriculture in the Classroom</w:t>
      </w:r>
    </w:p>
    <w:p w14:paraId="5172B68B" w14:textId="77777777" w:rsidR="004F7F85" w:rsidRDefault="004F7F85" w:rsidP="00243B01">
      <w:pPr>
        <w:spacing w:line="240" w:lineRule="auto"/>
        <w:jc w:val="center"/>
        <w:rPr>
          <w:rFonts w:cs="Times New Roman"/>
          <w:b/>
          <w:bCs/>
          <w:szCs w:val="24"/>
        </w:rPr>
      </w:pPr>
    </w:p>
    <w:p w14:paraId="64268E85" w14:textId="77777777" w:rsidR="004F7F85" w:rsidRDefault="004F7F85" w:rsidP="00243B01">
      <w:pPr>
        <w:pStyle w:val="Heading"/>
        <w:rPr>
          <w:sz w:val="24"/>
          <w:szCs w:val="24"/>
        </w:rPr>
      </w:pPr>
      <w:r w:rsidRPr="004F7F85">
        <w:rPr>
          <w:b w:val="0"/>
          <w:bCs w:val="0"/>
          <w:sz w:val="24"/>
          <w:szCs w:val="24"/>
        </w:rPr>
        <w:t>Faith Droszcz, Emily Sewell, Beth Shirley, Michael Walach, and Dustin Perry</w:t>
      </w:r>
    </w:p>
    <w:p w14:paraId="34B98B1F" w14:textId="28A099F9" w:rsidR="00243B01" w:rsidRPr="004F7F85" w:rsidRDefault="004F7F85" w:rsidP="00243B01">
      <w:pPr>
        <w:pStyle w:val="Heading"/>
        <w:rPr>
          <w:b w:val="0"/>
          <w:bCs w:val="0"/>
          <w:sz w:val="24"/>
          <w:szCs w:val="24"/>
        </w:rPr>
      </w:pPr>
      <w:r w:rsidRPr="004F7F85">
        <w:rPr>
          <w:b w:val="0"/>
          <w:bCs w:val="0"/>
          <w:sz w:val="24"/>
          <w:szCs w:val="24"/>
        </w:rPr>
        <w:t>Montana State University</w:t>
      </w:r>
      <w:r w:rsidRPr="004F7F85">
        <w:rPr>
          <w:b w:val="0"/>
          <w:bCs w:val="0"/>
          <w:sz w:val="24"/>
          <w:szCs w:val="24"/>
        </w:rPr>
        <w:br/>
      </w:r>
    </w:p>
    <w:p w14:paraId="6B0DBD50" w14:textId="2702E28A" w:rsidR="006558E8" w:rsidRPr="004F7F85" w:rsidRDefault="00AA347D" w:rsidP="00243B01">
      <w:pPr>
        <w:pStyle w:val="Heading"/>
        <w:rPr>
          <w:sz w:val="24"/>
          <w:szCs w:val="24"/>
        </w:rPr>
      </w:pPr>
      <w:r w:rsidRPr="004F7F85">
        <w:rPr>
          <w:sz w:val="24"/>
          <w:szCs w:val="24"/>
        </w:rPr>
        <w:t>Abstract</w:t>
      </w:r>
    </w:p>
    <w:p w14:paraId="3BA366DA" w14:textId="77777777" w:rsidR="006D539B" w:rsidRPr="004F7F85" w:rsidRDefault="006D539B" w:rsidP="00243B01">
      <w:pPr>
        <w:spacing w:line="240" w:lineRule="auto"/>
        <w:jc w:val="center"/>
        <w:rPr>
          <w:rFonts w:cs="Times New Roman"/>
          <w:b/>
          <w:bCs/>
          <w:szCs w:val="24"/>
        </w:rPr>
      </w:pPr>
    </w:p>
    <w:p w14:paraId="7BE5D6CF" w14:textId="5FE95D51" w:rsidR="00B51710" w:rsidRPr="004F7F85" w:rsidRDefault="00936363" w:rsidP="00243B01">
      <w:pPr>
        <w:spacing w:line="240" w:lineRule="auto"/>
        <w:rPr>
          <w:rFonts w:cs="Times New Roman"/>
          <w:b/>
          <w:bCs/>
          <w:szCs w:val="24"/>
        </w:rPr>
      </w:pPr>
      <w:bookmarkStart w:id="0" w:name="_Toc206401340"/>
      <w:r w:rsidRPr="004F7F85">
        <w:rPr>
          <w:rFonts w:cs="Times New Roman"/>
          <w:i/>
          <w:iCs/>
          <w:szCs w:val="24"/>
        </w:rPr>
        <w:t xml:space="preserve">This study examined agricultural literacy, confidence, and perceptions of pre-service elementary education teachers at </w:t>
      </w:r>
      <w:r w:rsidR="00A12269" w:rsidRPr="004F7F85">
        <w:rPr>
          <w:rFonts w:cs="Times New Roman"/>
          <w:i/>
          <w:iCs/>
          <w:szCs w:val="24"/>
        </w:rPr>
        <w:t>Montana State University</w:t>
      </w:r>
      <w:r w:rsidRPr="004F7F85">
        <w:rPr>
          <w:rFonts w:cs="Times New Roman"/>
          <w:i/>
          <w:iCs/>
          <w:szCs w:val="24"/>
        </w:rPr>
        <w:t xml:space="preserve">. </w:t>
      </w:r>
      <w:r w:rsidR="00886B61" w:rsidRPr="004F7F85">
        <w:rPr>
          <w:rFonts w:cs="Times New Roman"/>
          <w:i/>
          <w:iCs/>
          <w:szCs w:val="24"/>
        </w:rPr>
        <w:t>Participants completed a cross-sectional survey that included a researcher-adapted Agricultural Literacy Instrument measuring knowledge across multiple agricultural constructs, Likert-scale items assessing confidence in teaching agriculture, and open-ended questions examining agriculture’s role in education.</w:t>
      </w:r>
      <w:r w:rsidRPr="004F7F85">
        <w:rPr>
          <w:rFonts w:cs="Times New Roman"/>
          <w:i/>
          <w:iCs/>
          <w:szCs w:val="24"/>
        </w:rPr>
        <w:t xml:space="preserve"> Data </w:t>
      </w:r>
      <w:proofErr w:type="gramStart"/>
      <w:r w:rsidRPr="004F7F85">
        <w:rPr>
          <w:rFonts w:cs="Times New Roman"/>
          <w:i/>
          <w:iCs/>
          <w:szCs w:val="24"/>
        </w:rPr>
        <w:t>were</w:t>
      </w:r>
      <w:proofErr w:type="gramEnd"/>
      <w:r w:rsidRPr="004F7F85">
        <w:rPr>
          <w:rFonts w:cs="Times New Roman"/>
          <w:i/>
          <w:iCs/>
          <w:szCs w:val="24"/>
        </w:rPr>
        <w:t xml:space="preserve"> analyzed using descriptive statistics, correlation analysis, and thematic coding. Results indicated that participants demonstrated moderate agricultural literacy, with stronger understanding of agriculture’s societal role and weaker knowledge of technical production concepts. Confidence in teaching agriculture was generally low but positively correlated with higher literacy scores. Qualitative responses revealed that while participants recognized agriculture’s importance to daily life and sustainability, many viewed it primarily through a food production lens and reported limited prior exposure to agriculture. These findings suggest that pre-service elementary teachers may enter the profession without sufficient content knowledge or confidence to integrate agriculture into their classrooms. Embedding agricultural concepts and experiential learning opportunities into teacher preparation programs may help build both competence and confidence. Improving agricultural literacy at the elementary level has the potential to shape students’ early understanding of and engagement with agriculture.</w:t>
      </w:r>
    </w:p>
    <w:p w14:paraId="0F65543C" w14:textId="77777777" w:rsidR="00514F9D" w:rsidRPr="004F7F85" w:rsidRDefault="00514F9D" w:rsidP="00243B01">
      <w:pPr>
        <w:pStyle w:val="Heading"/>
        <w:rPr>
          <w:sz w:val="24"/>
          <w:szCs w:val="24"/>
        </w:rPr>
      </w:pPr>
    </w:p>
    <w:p w14:paraId="3010BDF3" w14:textId="48B82AD4" w:rsidR="00FC11E9" w:rsidRPr="004F7F85" w:rsidRDefault="004C2FFB" w:rsidP="00243B01">
      <w:pPr>
        <w:pStyle w:val="Heading"/>
        <w:rPr>
          <w:sz w:val="24"/>
          <w:szCs w:val="24"/>
        </w:rPr>
      </w:pPr>
      <w:r w:rsidRPr="004F7F85">
        <w:rPr>
          <w:sz w:val="24"/>
          <w:szCs w:val="24"/>
        </w:rPr>
        <w:t>Introduction</w:t>
      </w:r>
      <w:bookmarkEnd w:id="0"/>
      <w:r w:rsidR="000F751C" w:rsidRPr="004F7F85">
        <w:rPr>
          <w:sz w:val="24"/>
          <w:szCs w:val="24"/>
        </w:rPr>
        <w:t>/Theoretical Framework</w:t>
      </w:r>
    </w:p>
    <w:p w14:paraId="12BBEEA1" w14:textId="77777777" w:rsidR="006D539B" w:rsidRPr="004F7F85" w:rsidRDefault="006D539B" w:rsidP="00243B01">
      <w:pPr>
        <w:spacing w:line="240" w:lineRule="auto"/>
        <w:jc w:val="center"/>
        <w:rPr>
          <w:rFonts w:cs="Times New Roman"/>
          <w:b/>
          <w:bCs/>
          <w:szCs w:val="24"/>
        </w:rPr>
      </w:pPr>
    </w:p>
    <w:p w14:paraId="11D7B14E" w14:textId="3060D397" w:rsidR="0011403D" w:rsidRPr="004F7F85" w:rsidRDefault="0012093F" w:rsidP="00886B61">
      <w:pPr>
        <w:spacing w:line="240" w:lineRule="auto"/>
        <w:rPr>
          <w:rFonts w:cs="Times New Roman"/>
          <w:szCs w:val="24"/>
        </w:rPr>
      </w:pPr>
      <w:r w:rsidRPr="004F7F85">
        <w:rPr>
          <w:rFonts w:cs="Times New Roman"/>
          <w:szCs w:val="24"/>
        </w:rPr>
        <w:t xml:space="preserve">With the widespread popularity of instant communication methods, the ability to share misinformation has never been easier (Danner et al., 2022). While online platforms have removed many barriers, they have also introduced challenges, particularly within agriculture, an industry often misunderstood by the public (Chowdhury, 2023). One of the clearest ways to gauge public understanding is through educational experiences (Dewey, 1986). However, agricultural education is often confined to elective school-based agricultural education (SBAE) programs, limiting broader exposure (Roberts &amp; Ball, 2009). Teachers outside of SBAE are rarely expected to stay current on agricultural practices (Vallera </w:t>
      </w:r>
      <w:r w:rsidR="008C34C6" w:rsidRPr="004F7F85">
        <w:rPr>
          <w:rFonts w:cs="Times New Roman"/>
          <w:szCs w:val="24"/>
        </w:rPr>
        <w:t>&amp; Bodzin</w:t>
      </w:r>
      <w:r w:rsidRPr="004F7F85">
        <w:rPr>
          <w:rFonts w:cs="Times New Roman"/>
          <w:szCs w:val="24"/>
        </w:rPr>
        <w:t>, 20</w:t>
      </w:r>
      <w:r w:rsidR="008C34C6" w:rsidRPr="004F7F85">
        <w:rPr>
          <w:rFonts w:cs="Times New Roman"/>
          <w:szCs w:val="24"/>
        </w:rPr>
        <w:t>19</w:t>
      </w:r>
      <w:r w:rsidRPr="004F7F85">
        <w:rPr>
          <w:rFonts w:cs="Times New Roman"/>
          <w:szCs w:val="24"/>
        </w:rPr>
        <w:t>) and may reflect public misconceptions when discussing agriculture (Ingram et al., 2018). Teachers play a key</w:t>
      </w:r>
      <w:r w:rsidR="00366B22" w:rsidRPr="004F7F85">
        <w:rPr>
          <w:rFonts w:cs="Times New Roman"/>
          <w:szCs w:val="24"/>
        </w:rPr>
        <w:t xml:space="preserve"> </w:t>
      </w:r>
      <w:r w:rsidRPr="004F7F85">
        <w:rPr>
          <w:rFonts w:cs="Times New Roman"/>
          <w:szCs w:val="24"/>
        </w:rPr>
        <w:t>role in shaping students’ perspectives on complex issues like agriculture (Apple, 2009; Skipper</w:t>
      </w:r>
      <w:r w:rsidR="002F2BF1" w:rsidRPr="004F7F85">
        <w:rPr>
          <w:rFonts w:cs="Times New Roman"/>
          <w:szCs w:val="24"/>
        </w:rPr>
        <w:t xml:space="preserve"> </w:t>
      </w:r>
      <w:r w:rsidRPr="004F7F85">
        <w:rPr>
          <w:rFonts w:cs="Times New Roman"/>
          <w:szCs w:val="24"/>
        </w:rPr>
        <w:t>&amp; Douglas, 2015), yet they are also asked to take on roles beyond their training (Van</w:t>
      </w:r>
      <w:r w:rsidR="002F2BF1" w:rsidRPr="004F7F85">
        <w:rPr>
          <w:rFonts w:cs="Times New Roman"/>
          <w:szCs w:val="24"/>
        </w:rPr>
        <w:t xml:space="preserve"> </w:t>
      </w:r>
      <w:r w:rsidRPr="004F7F85">
        <w:rPr>
          <w:rFonts w:cs="Times New Roman"/>
          <w:szCs w:val="24"/>
        </w:rPr>
        <w:t>Droogenbroeck et al., 2014). This raises questions about the accuracy of agricultural content in</w:t>
      </w:r>
      <w:r w:rsidR="002F2BF1" w:rsidRPr="004F7F85">
        <w:rPr>
          <w:rFonts w:cs="Times New Roman"/>
          <w:szCs w:val="24"/>
        </w:rPr>
        <w:t xml:space="preserve"> </w:t>
      </w:r>
      <w:r w:rsidRPr="004F7F85">
        <w:rPr>
          <w:rFonts w:cs="Times New Roman"/>
          <w:szCs w:val="24"/>
        </w:rPr>
        <w:t>non-agriculture classrooms and highlights a pressing need to understand pre-service teachers’</w:t>
      </w:r>
      <w:r w:rsidR="002F2BF1" w:rsidRPr="004F7F85">
        <w:rPr>
          <w:rFonts w:cs="Times New Roman"/>
          <w:szCs w:val="24"/>
        </w:rPr>
        <w:t xml:space="preserve"> </w:t>
      </w:r>
      <w:r w:rsidRPr="004F7F85">
        <w:rPr>
          <w:rFonts w:cs="Times New Roman"/>
          <w:szCs w:val="24"/>
        </w:rPr>
        <w:t>perceptions of agriculture to guide future educational outreach (Burrows et al., 2020)</w:t>
      </w:r>
      <w:bookmarkStart w:id="1" w:name="_Hlk167282595"/>
      <w:r w:rsidR="002F2BF1" w:rsidRPr="004F7F85">
        <w:rPr>
          <w:rFonts w:cs="Times New Roman"/>
          <w:szCs w:val="24"/>
        </w:rPr>
        <w:t xml:space="preserve">. </w:t>
      </w:r>
    </w:p>
    <w:p w14:paraId="18AF5A74" w14:textId="77777777" w:rsidR="00243B01" w:rsidRPr="004F7F85" w:rsidRDefault="00243B01" w:rsidP="00243B01">
      <w:pPr>
        <w:spacing w:line="240" w:lineRule="auto"/>
        <w:ind w:firstLine="720"/>
        <w:rPr>
          <w:rFonts w:cs="Times New Roman"/>
          <w:szCs w:val="24"/>
        </w:rPr>
      </w:pPr>
    </w:p>
    <w:bookmarkEnd w:id="1"/>
    <w:p w14:paraId="3C55E128" w14:textId="7D4276FA" w:rsidR="00514F9D" w:rsidRPr="004F7F85" w:rsidRDefault="00370C5E" w:rsidP="00886B61">
      <w:pPr>
        <w:spacing w:line="240" w:lineRule="auto"/>
        <w:rPr>
          <w:rFonts w:cs="Times New Roman"/>
          <w:szCs w:val="24"/>
        </w:rPr>
      </w:pPr>
      <w:r w:rsidRPr="004F7F85">
        <w:rPr>
          <w:rFonts w:cs="Times New Roman"/>
          <w:szCs w:val="24"/>
        </w:rPr>
        <w:t xml:space="preserve">This study was grounded in Bandura’s (1978) theory of triadic reciprocal determinism, which posits that human behavior results from the continuous interaction among personal, behavioral, and environmental factors. Personal factors include cognitive processes, attitudes, and beliefs; </w:t>
      </w:r>
      <w:r w:rsidRPr="004F7F85">
        <w:rPr>
          <w:rFonts w:cs="Times New Roman"/>
          <w:szCs w:val="24"/>
        </w:rPr>
        <w:lastRenderedPageBreak/>
        <w:t xml:space="preserve">behavioral factors involve individual actions and experiences; and environmental factors encompass social, cultural, and contextual influences. These three dimensions operate interdependently, each shaping and being shaped by the others. Bandura’s </w:t>
      </w:r>
      <w:r w:rsidR="003C6839" w:rsidRPr="004F7F85">
        <w:rPr>
          <w:rFonts w:cs="Times New Roman"/>
          <w:szCs w:val="24"/>
        </w:rPr>
        <w:t>(1978) theory</w:t>
      </w:r>
      <w:r w:rsidRPr="004F7F85">
        <w:rPr>
          <w:rFonts w:cs="Times New Roman"/>
          <w:szCs w:val="24"/>
        </w:rPr>
        <w:t xml:space="preserve"> </w:t>
      </w:r>
      <w:r w:rsidR="00DC35CB" w:rsidRPr="004F7F85">
        <w:rPr>
          <w:rFonts w:cs="Times New Roman"/>
          <w:szCs w:val="24"/>
        </w:rPr>
        <w:t>highlights</w:t>
      </w:r>
      <w:r w:rsidRPr="004F7F85">
        <w:rPr>
          <w:rFonts w:cs="Times New Roman"/>
          <w:szCs w:val="24"/>
        </w:rPr>
        <w:t xml:space="preserve"> that individuals are both products and producers of their environments, meaning that learning and behavioral change emerge from dynamic social contexts rather than linear </w:t>
      </w:r>
      <w:r w:rsidR="00243B01" w:rsidRPr="004F7F85">
        <w:rPr>
          <w:rFonts w:cs="Times New Roman"/>
          <w:szCs w:val="24"/>
        </w:rPr>
        <w:t>cause–and–effect</w:t>
      </w:r>
      <w:r w:rsidRPr="004F7F85">
        <w:rPr>
          <w:rFonts w:cs="Times New Roman"/>
          <w:szCs w:val="24"/>
        </w:rPr>
        <w:t xml:space="preserve"> relationships.</w:t>
      </w:r>
    </w:p>
    <w:p w14:paraId="3CF4F807" w14:textId="77777777" w:rsidR="00243B01" w:rsidRPr="004F7F85" w:rsidRDefault="00243B01" w:rsidP="00243B01">
      <w:pPr>
        <w:spacing w:line="240" w:lineRule="auto"/>
        <w:ind w:firstLine="720"/>
        <w:rPr>
          <w:rFonts w:cs="Times New Roman"/>
          <w:szCs w:val="24"/>
        </w:rPr>
      </w:pPr>
    </w:p>
    <w:p w14:paraId="6BE9EB99" w14:textId="5965C584" w:rsidR="00DC35CB" w:rsidRPr="004F7F85" w:rsidRDefault="00DC35CB" w:rsidP="00886B61">
      <w:pPr>
        <w:spacing w:line="240" w:lineRule="auto"/>
        <w:rPr>
          <w:rFonts w:cs="Times New Roman"/>
          <w:szCs w:val="24"/>
        </w:rPr>
      </w:pPr>
      <w:r w:rsidRPr="004F7F85">
        <w:rPr>
          <w:rFonts w:cs="Times New Roman"/>
          <w:szCs w:val="24"/>
        </w:rPr>
        <w:t>Within teacher education, this theoretical lens provides a useful structure for examining how pre-service teachers’ experiences, beliefs, and external environments interact to shape their teaching self-efficacy and content integration. For instance, pre-service teachers’ personal beliefs about agriculture (personal factors) may influence their willingness to include agricultural topics in lesson plans (behavioral factors), while the support and exposure they receive within teacher preparation programs (environmental factors) may further reinforce or inhibit this process. Consequently, agricultural literacy and teaching confidence can be viewed as outcomes of reciprocal interactions between what pre-service teachers know, what they do, and the learning environments in which they are situated (Bandura, 1997).</w:t>
      </w:r>
    </w:p>
    <w:p w14:paraId="3461ADD7" w14:textId="77777777" w:rsidR="00243B01" w:rsidRPr="004F7F85" w:rsidRDefault="00243B01" w:rsidP="00243B01">
      <w:pPr>
        <w:spacing w:line="240" w:lineRule="auto"/>
        <w:ind w:firstLine="720"/>
        <w:rPr>
          <w:rFonts w:cs="Times New Roman"/>
          <w:szCs w:val="24"/>
        </w:rPr>
      </w:pPr>
    </w:p>
    <w:p w14:paraId="3247F3B7" w14:textId="0AFAEBFA" w:rsidR="003A7133" w:rsidRPr="004F7F85" w:rsidRDefault="003A7133" w:rsidP="00243B01">
      <w:pPr>
        <w:pStyle w:val="Subheading"/>
        <w:rPr>
          <w:sz w:val="24"/>
          <w:szCs w:val="24"/>
        </w:rPr>
      </w:pPr>
      <w:r w:rsidRPr="004F7F85">
        <w:rPr>
          <w:sz w:val="24"/>
          <w:szCs w:val="24"/>
        </w:rPr>
        <w:t>Agricultural Literacy and Its Importance in Education</w:t>
      </w:r>
    </w:p>
    <w:p w14:paraId="793891D6" w14:textId="77777777" w:rsidR="00243B01" w:rsidRPr="004F7F85" w:rsidRDefault="00243B01" w:rsidP="00243B01">
      <w:pPr>
        <w:pStyle w:val="Subheading"/>
        <w:rPr>
          <w:sz w:val="24"/>
          <w:szCs w:val="24"/>
        </w:rPr>
      </w:pPr>
    </w:p>
    <w:p w14:paraId="21F0B27B" w14:textId="176B6FE7" w:rsidR="00B5016F" w:rsidRPr="004F7F85" w:rsidRDefault="003C6839" w:rsidP="00886B61">
      <w:pPr>
        <w:spacing w:line="240" w:lineRule="auto"/>
        <w:rPr>
          <w:rFonts w:cs="Times New Roman"/>
          <w:szCs w:val="24"/>
        </w:rPr>
      </w:pPr>
      <w:r w:rsidRPr="004F7F85">
        <w:rPr>
          <w:rFonts w:cs="Times New Roman"/>
          <w:szCs w:val="24"/>
        </w:rPr>
        <w:t xml:space="preserve">Agricultural literacy, defined as an understanding of agriculture’s role in society, the food and fiber system, and the interdependence of agriculture with natural and social systems, serves as a foundation for informed public decision-making (Frick et al., 1991). Building on this foundation, an agriculturally literate population is better equipped to engage in meaningful dialogue about sustainability, food security, and environmental stewardship (Longhurst et al., 2020). </w:t>
      </w:r>
      <w:r w:rsidR="003A7133" w:rsidRPr="004F7F85">
        <w:rPr>
          <w:rFonts w:cs="Times New Roman"/>
          <w:szCs w:val="24"/>
        </w:rPr>
        <w:t xml:space="preserve">Burrows et al. (2020) expanded upon this framework, </w:t>
      </w:r>
      <w:r w:rsidRPr="004F7F85">
        <w:rPr>
          <w:rFonts w:cs="Times New Roman"/>
          <w:szCs w:val="24"/>
        </w:rPr>
        <w:t xml:space="preserve">positing </w:t>
      </w:r>
      <w:r w:rsidR="003A7133" w:rsidRPr="004F7F85">
        <w:rPr>
          <w:rFonts w:cs="Times New Roman"/>
          <w:szCs w:val="24"/>
        </w:rPr>
        <w:t>that agricultural literacy extends beyond factual knowledge to include the ability to critically analyze agricultural issues and make informed, evidence-based decisions.</w:t>
      </w:r>
      <w:r w:rsidR="00826DDD" w:rsidRPr="004F7F85">
        <w:rPr>
          <w:rFonts w:cs="Times New Roman"/>
          <w:szCs w:val="24"/>
        </w:rPr>
        <w:t xml:space="preserve"> </w:t>
      </w:r>
      <w:r w:rsidR="004263BF" w:rsidRPr="004F7F85">
        <w:rPr>
          <w:rFonts w:cs="Times New Roman"/>
          <w:szCs w:val="24"/>
        </w:rPr>
        <w:t>Agriculture serves as a natural integrator of multiple disciplines,</w:t>
      </w:r>
      <w:r w:rsidR="002D1CF4" w:rsidRPr="004F7F85">
        <w:rPr>
          <w:rFonts w:cs="Times New Roman"/>
          <w:szCs w:val="24"/>
        </w:rPr>
        <w:t xml:space="preserve"> providing authentic contexts for teaching science, social studies, and literacy (Parr et al., 200</w:t>
      </w:r>
      <w:r w:rsidR="0071618F" w:rsidRPr="004F7F85">
        <w:rPr>
          <w:rFonts w:cs="Times New Roman"/>
          <w:szCs w:val="24"/>
        </w:rPr>
        <w:t>8</w:t>
      </w:r>
      <w:r w:rsidR="002D1CF4" w:rsidRPr="004F7F85">
        <w:rPr>
          <w:rFonts w:cs="Times New Roman"/>
          <w:szCs w:val="24"/>
        </w:rPr>
        <w:t xml:space="preserve">). As such, elementary classrooms represent critical spaces for introducing agricultural concepts to students during their formative years. However, many pre-service elementary education teachers lack exposure to agriculture within their own schooling, leading to </w:t>
      </w:r>
      <w:r w:rsidR="00243B01" w:rsidRPr="004F7F85">
        <w:rPr>
          <w:rFonts w:cs="Times New Roman"/>
          <w:szCs w:val="24"/>
        </w:rPr>
        <w:t xml:space="preserve">a </w:t>
      </w:r>
      <w:r w:rsidR="002D1CF4" w:rsidRPr="004F7F85">
        <w:rPr>
          <w:rFonts w:cs="Times New Roman"/>
          <w:szCs w:val="24"/>
        </w:rPr>
        <w:t>limited understanding of food</w:t>
      </w:r>
      <w:r w:rsidR="00731977" w:rsidRPr="004F7F85">
        <w:rPr>
          <w:rFonts w:cs="Times New Roman"/>
          <w:szCs w:val="24"/>
        </w:rPr>
        <w:t xml:space="preserve"> systems and agricultural processes (Terry et al., 1995; Meischen &amp; Trexler, 2003). This lack of foundational knowledge can translate into uncertainty about teaching agricultural content and reliance on misconceptions or outdated information (Powell et al., 2008; </w:t>
      </w:r>
      <w:r w:rsidR="00AD36F2" w:rsidRPr="004F7F85">
        <w:rPr>
          <w:rFonts w:cs="Times New Roman"/>
          <w:szCs w:val="24"/>
        </w:rPr>
        <w:t>Trexler et al., 2013).</w:t>
      </w:r>
    </w:p>
    <w:p w14:paraId="495F4951" w14:textId="77777777" w:rsidR="00243B01" w:rsidRPr="004F7F85" w:rsidRDefault="00243B01" w:rsidP="00243B01">
      <w:pPr>
        <w:spacing w:line="240" w:lineRule="auto"/>
        <w:ind w:firstLine="720"/>
        <w:rPr>
          <w:rFonts w:cs="Times New Roman"/>
          <w:szCs w:val="24"/>
        </w:rPr>
      </w:pPr>
    </w:p>
    <w:p w14:paraId="5C029683" w14:textId="2D9A90B0" w:rsidR="00AD36F2" w:rsidRPr="004F7F85" w:rsidRDefault="00B5016F" w:rsidP="00243B01">
      <w:pPr>
        <w:pStyle w:val="Subheading"/>
        <w:rPr>
          <w:sz w:val="24"/>
          <w:szCs w:val="24"/>
        </w:rPr>
      </w:pPr>
      <w:r w:rsidRPr="004F7F85">
        <w:rPr>
          <w:sz w:val="24"/>
          <w:szCs w:val="24"/>
        </w:rPr>
        <w:t>Self-Efficacy and Teacher Confidence</w:t>
      </w:r>
    </w:p>
    <w:p w14:paraId="124EF4D2" w14:textId="77777777" w:rsidR="00243B01" w:rsidRPr="004F7F85" w:rsidRDefault="00243B01" w:rsidP="00243B01">
      <w:pPr>
        <w:pStyle w:val="Subheading"/>
        <w:rPr>
          <w:sz w:val="24"/>
          <w:szCs w:val="24"/>
        </w:rPr>
      </w:pPr>
    </w:p>
    <w:p w14:paraId="649AAA55" w14:textId="0456E06A" w:rsidR="00984FA1" w:rsidRPr="004F7F85" w:rsidRDefault="00B5016F" w:rsidP="00886B61">
      <w:pPr>
        <w:spacing w:line="240" w:lineRule="auto"/>
        <w:rPr>
          <w:rFonts w:cs="Times New Roman"/>
          <w:szCs w:val="24"/>
        </w:rPr>
      </w:pPr>
      <w:r w:rsidRPr="004F7F85">
        <w:rPr>
          <w:rFonts w:cs="Times New Roman"/>
          <w:szCs w:val="24"/>
        </w:rPr>
        <w:t>Bandura’s (1997) self-efficacy theory, closely linked to triadic reciprocal determinism</w:t>
      </w:r>
      <w:r w:rsidR="003C6839" w:rsidRPr="004F7F85">
        <w:rPr>
          <w:rFonts w:cs="Times New Roman"/>
          <w:szCs w:val="24"/>
        </w:rPr>
        <w:t xml:space="preserve"> (Bandura, 1978)</w:t>
      </w:r>
      <w:r w:rsidRPr="004F7F85">
        <w:rPr>
          <w:rFonts w:cs="Times New Roman"/>
          <w:szCs w:val="24"/>
        </w:rPr>
        <w:t>, emphasizes the role of perceived capability in influencing human action. Self-efficacy refers to an individual’s belief in their ability to successfully perform a specific task. In educational contexts, teachers’ self-efficacy influences instructional decisions, persistence in overcoming challenges, and openness to new pedagogical approaches.</w:t>
      </w:r>
      <w:r w:rsidR="003C6839" w:rsidRPr="004F7F85">
        <w:rPr>
          <w:rFonts w:cs="Times New Roman"/>
          <w:szCs w:val="24"/>
        </w:rPr>
        <w:t xml:space="preserve"> </w:t>
      </w:r>
      <w:r w:rsidR="00A56B31" w:rsidRPr="004F7F85">
        <w:rPr>
          <w:rFonts w:cs="Times New Roman"/>
          <w:szCs w:val="24"/>
        </w:rPr>
        <w:t>Several studies have demonstrated that pre-service teachers’ confidence in teaching agricultural concepts develops as they progress through their programs and gain more experience</w:t>
      </w:r>
      <w:r w:rsidR="00017470" w:rsidRPr="004F7F85">
        <w:rPr>
          <w:rFonts w:cs="Times New Roman"/>
          <w:szCs w:val="24"/>
        </w:rPr>
        <w:t xml:space="preserve"> (Stair et al., 2012; Anderson et al., 2014). Stair et al. (2012) found that increased classroom exposure and pedagogical </w:t>
      </w:r>
      <w:r w:rsidR="00017470" w:rsidRPr="004F7F85">
        <w:rPr>
          <w:rFonts w:cs="Times New Roman"/>
          <w:szCs w:val="24"/>
        </w:rPr>
        <w:lastRenderedPageBreak/>
        <w:t xml:space="preserve">experience </w:t>
      </w:r>
      <w:r w:rsidR="00C85AEC" w:rsidRPr="004F7F85">
        <w:rPr>
          <w:rFonts w:cs="Times New Roman"/>
          <w:szCs w:val="24"/>
        </w:rPr>
        <w:t xml:space="preserve">often improve willingness to integrate agriculture, suggesting that targeted training and structured opportunities for engagement can enhance teaching confidence. </w:t>
      </w:r>
      <w:r w:rsidR="00984FA1" w:rsidRPr="004F7F85">
        <w:rPr>
          <w:rFonts w:cs="Times New Roman"/>
          <w:szCs w:val="24"/>
        </w:rPr>
        <w:t>Similarly, Anderson et al. (2014) noted that institutional context</w:t>
      </w:r>
      <w:r w:rsidR="003C6839" w:rsidRPr="004F7F85">
        <w:rPr>
          <w:rFonts w:cs="Times New Roman"/>
          <w:szCs w:val="24"/>
        </w:rPr>
        <w:t xml:space="preserve">, </w:t>
      </w:r>
      <w:r w:rsidR="00984FA1" w:rsidRPr="004F7F85">
        <w:rPr>
          <w:rFonts w:cs="Times New Roman"/>
          <w:szCs w:val="24"/>
        </w:rPr>
        <w:t>particularly at land-grant universities where agricultural culture is prominent</w:t>
      </w:r>
      <w:r w:rsidR="003C6839" w:rsidRPr="004F7F85">
        <w:rPr>
          <w:rFonts w:cs="Times New Roman"/>
          <w:szCs w:val="24"/>
        </w:rPr>
        <w:t xml:space="preserve">, </w:t>
      </w:r>
      <w:r w:rsidR="00984FA1" w:rsidRPr="004F7F85">
        <w:rPr>
          <w:rFonts w:cs="Times New Roman"/>
          <w:szCs w:val="24"/>
        </w:rPr>
        <w:t>can influence teacher beliefs about the relevance of agriculture in K–12 classrooms.</w:t>
      </w:r>
      <w:r w:rsidR="00C705EC" w:rsidRPr="004F7F85">
        <w:rPr>
          <w:rFonts w:cs="Times New Roman"/>
          <w:szCs w:val="24"/>
        </w:rPr>
        <w:t xml:space="preserve"> </w:t>
      </w:r>
      <w:r w:rsidR="00984FA1" w:rsidRPr="004F7F85">
        <w:rPr>
          <w:rFonts w:cs="Times New Roman"/>
          <w:szCs w:val="24"/>
        </w:rPr>
        <w:t>Bowling et al. (2024) further emphasized that personal experiences and background characteristics, such as growing up in rural communities or participating in agricultural activities, are strongly associated with higher confidence and perceived importance of agricultural literacy. Conversely, pre-service teachers without agricultural exposure tend to feel less capable of teaching agriculture-related topics, even when they recognize its educational value (Meischen &amp; Trexler, 2003; Terry et al., 1995).</w:t>
      </w:r>
    </w:p>
    <w:p w14:paraId="44D5F883" w14:textId="77777777" w:rsidR="00243B01" w:rsidRPr="004F7F85" w:rsidRDefault="00243B01" w:rsidP="00243B01">
      <w:pPr>
        <w:spacing w:line="240" w:lineRule="auto"/>
        <w:ind w:firstLine="720"/>
        <w:rPr>
          <w:rFonts w:cs="Times New Roman"/>
          <w:szCs w:val="24"/>
        </w:rPr>
      </w:pPr>
    </w:p>
    <w:p w14:paraId="457874DF" w14:textId="4D0E1DCD" w:rsidR="00984FA1" w:rsidRPr="004F7F85" w:rsidRDefault="00984FA1" w:rsidP="00243B01">
      <w:pPr>
        <w:pStyle w:val="Subheading"/>
        <w:rPr>
          <w:sz w:val="24"/>
          <w:szCs w:val="24"/>
        </w:rPr>
      </w:pPr>
      <w:r w:rsidRPr="004F7F85">
        <w:rPr>
          <w:sz w:val="24"/>
          <w:szCs w:val="24"/>
        </w:rPr>
        <w:t>Agriculture in the Classroom and Teacher Awareness</w:t>
      </w:r>
    </w:p>
    <w:p w14:paraId="53637EB8" w14:textId="77777777" w:rsidR="00243B01" w:rsidRPr="004F7F85" w:rsidRDefault="00243B01" w:rsidP="00243B01">
      <w:pPr>
        <w:pStyle w:val="Subheading"/>
        <w:rPr>
          <w:sz w:val="24"/>
          <w:szCs w:val="24"/>
        </w:rPr>
      </w:pPr>
    </w:p>
    <w:p w14:paraId="4A12C194" w14:textId="06843E9C" w:rsidR="00244235" w:rsidRPr="004F7F85" w:rsidRDefault="00EF2E6B" w:rsidP="00886B61">
      <w:pPr>
        <w:spacing w:line="240" w:lineRule="auto"/>
        <w:rPr>
          <w:rFonts w:cs="Times New Roman"/>
          <w:szCs w:val="24"/>
        </w:rPr>
      </w:pPr>
      <w:r w:rsidRPr="004F7F85">
        <w:rPr>
          <w:rFonts w:cs="Times New Roman"/>
          <w:szCs w:val="24"/>
        </w:rPr>
        <w:t xml:space="preserve">While self-efficacy research highlights the importance of confidence and experience in shaping teachers’ instructional decisions, less attention has been given to the role of awareness and access to instructional resources that can support agriculture integration in K–12 classrooms. </w:t>
      </w:r>
      <w:r w:rsidR="008D5A78" w:rsidRPr="004F7F85">
        <w:rPr>
          <w:rFonts w:cs="Times New Roman"/>
          <w:szCs w:val="24"/>
        </w:rPr>
        <w:t xml:space="preserve">Agriculture in the Classroom (AITC) is a national initiative that provides educators with free, standards-aligned instructional resources designed to integrate agriculture into K–12 curricula (National AITC, 2023). These materials offer cross-curricular lesson plans that connect agriculture to science, social studies, and language arts, making them highly relevant for elementary classrooms. </w:t>
      </w:r>
      <w:r w:rsidR="004F7F85" w:rsidRPr="004F7F85">
        <w:rPr>
          <w:rFonts w:cs="Times New Roman"/>
          <w:szCs w:val="24"/>
        </w:rPr>
        <w:t>Despite being accessible and well recognized, AITC materials remain underutilized among educators.</w:t>
      </w:r>
      <w:r w:rsidR="004F7F85">
        <w:rPr>
          <w:rFonts w:cs="Times New Roman"/>
          <w:szCs w:val="24"/>
        </w:rPr>
        <w:t xml:space="preserve"> </w:t>
      </w:r>
      <w:r w:rsidR="008D5A78" w:rsidRPr="004F7F85">
        <w:rPr>
          <w:rFonts w:cs="Times New Roman"/>
          <w:szCs w:val="24"/>
        </w:rPr>
        <w:t xml:space="preserve">Burrows et al. (2020) found that while 92% of teachers believed agriculture was an important topic for students to learn, 82% had never heard of AITC. This demonstrates a disconnect between </w:t>
      </w:r>
      <w:proofErr w:type="gramStart"/>
      <w:r w:rsidR="008D5A78" w:rsidRPr="004F7F85">
        <w:rPr>
          <w:rFonts w:cs="Times New Roman"/>
          <w:szCs w:val="24"/>
        </w:rPr>
        <w:t>teachers’</w:t>
      </w:r>
      <w:proofErr w:type="gramEnd"/>
      <w:r w:rsidR="008D5A78" w:rsidRPr="004F7F85">
        <w:rPr>
          <w:rFonts w:cs="Times New Roman"/>
          <w:szCs w:val="24"/>
        </w:rPr>
        <w:t xml:space="preserve"> perceived importance of agriculture and their familiarity with resources that could support its integration. Increased exposure to programs like AITC during teacher preparation may therefore be a key factor in improving agricultural literacy and confidence among pre-service educators.</w:t>
      </w:r>
    </w:p>
    <w:p w14:paraId="0313D724" w14:textId="77777777" w:rsidR="00243B01" w:rsidRPr="004F7F85" w:rsidRDefault="00243B01" w:rsidP="00243B01">
      <w:pPr>
        <w:spacing w:line="240" w:lineRule="auto"/>
        <w:ind w:firstLine="720"/>
        <w:rPr>
          <w:rFonts w:cs="Times New Roman"/>
          <w:szCs w:val="24"/>
        </w:rPr>
      </w:pPr>
    </w:p>
    <w:p w14:paraId="2A0CE0C2" w14:textId="6D6CA701" w:rsidR="00244235" w:rsidRPr="004F7F85" w:rsidRDefault="00244235" w:rsidP="00243B01">
      <w:pPr>
        <w:pStyle w:val="Subheading"/>
        <w:rPr>
          <w:sz w:val="24"/>
          <w:szCs w:val="24"/>
        </w:rPr>
      </w:pPr>
      <w:r w:rsidRPr="004F7F85">
        <w:rPr>
          <w:sz w:val="24"/>
          <w:szCs w:val="24"/>
        </w:rPr>
        <w:t xml:space="preserve">Gaps in </w:t>
      </w:r>
      <w:proofErr w:type="gramStart"/>
      <w:r w:rsidRPr="004F7F85">
        <w:rPr>
          <w:sz w:val="24"/>
          <w:szCs w:val="24"/>
        </w:rPr>
        <w:t>the Literature</w:t>
      </w:r>
      <w:proofErr w:type="gramEnd"/>
    </w:p>
    <w:p w14:paraId="1BBB876F" w14:textId="77777777" w:rsidR="00243B01" w:rsidRPr="004F7F85" w:rsidRDefault="00243B01" w:rsidP="00243B01">
      <w:pPr>
        <w:pStyle w:val="Subheading"/>
        <w:rPr>
          <w:sz w:val="24"/>
          <w:szCs w:val="24"/>
        </w:rPr>
      </w:pPr>
    </w:p>
    <w:p w14:paraId="188C4811" w14:textId="58E400EE" w:rsidR="009226EB" w:rsidRPr="004F7F85" w:rsidRDefault="00747318" w:rsidP="00886B61">
      <w:pPr>
        <w:spacing w:line="240" w:lineRule="auto"/>
        <w:rPr>
          <w:rFonts w:cs="Times New Roman"/>
          <w:szCs w:val="24"/>
        </w:rPr>
      </w:pPr>
      <w:r w:rsidRPr="004F7F85">
        <w:rPr>
          <w:rFonts w:cs="Times New Roman"/>
          <w:szCs w:val="24"/>
        </w:rPr>
        <w:t xml:space="preserve">Although previous studies have examined agricultural literacy and teaching confidence among secondary and in-service teachers </w:t>
      </w:r>
      <w:r w:rsidR="00EF2E6B" w:rsidRPr="004F7F85">
        <w:rPr>
          <w:rFonts w:cs="Times New Roman"/>
          <w:szCs w:val="24"/>
        </w:rPr>
        <w:t>(Anderson et al., 2014; Burrows et al., 2020; Stair et al., 2012)</w:t>
      </w:r>
      <w:r w:rsidRPr="004F7F85">
        <w:rPr>
          <w:rFonts w:cs="Times New Roman"/>
          <w:szCs w:val="24"/>
        </w:rPr>
        <w:t>, limited research has focused specifically on pre-service elementary teachers. These educators play a vital role in introducing agriculture to young learners, yet their agricultural literacy, confidence, and familiarity with teaching resources are not well understood. Additionally, most existing studies have been conducted within land-grant institutions or among students with agricultural backgrounds, leaving gaps in understanding how non-agriculture majors perceive and approach agricultural content.</w:t>
      </w:r>
      <w:r w:rsidR="00EF2E6B" w:rsidRPr="004F7F85">
        <w:rPr>
          <w:rFonts w:cs="Times New Roman"/>
          <w:szCs w:val="24"/>
        </w:rPr>
        <w:t xml:space="preserve"> </w:t>
      </w:r>
      <w:r w:rsidRPr="004F7F85">
        <w:rPr>
          <w:rFonts w:cs="Times New Roman"/>
          <w:szCs w:val="24"/>
        </w:rPr>
        <w:t>Addressing these gaps is essential to improving agricultural literacy at the foundational level of education. By exploring the relationships among pre-service teachers’ perceptions, confidence, and exposure to agricultural education, this study aims to inform both agricultural and general teacher preparation programs. Using Bandura’s (1978, 1997) framework, it examines how personal, behavioral, and environmental factors interact to influence pre-service teachers’ readiness to integrate agriculture into their future classrooms.</w:t>
      </w:r>
    </w:p>
    <w:p w14:paraId="557F53C0" w14:textId="77777777" w:rsidR="00243B01" w:rsidRPr="004F7F85" w:rsidRDefault="00243B01" w:rsidP="00243B01">
      <w:pPr>
        <w:spacing w:line="240" w:lineRule="auto"/>
        <w:ind w:firstLine="720"/>
        <w:rPr>
          <w:rFonts w:cs="Times New Roman"/>
          <w:szCs w:val="24"/>
        </w:rPr>
      </w:pPr>
    </w:p>
    <w:p w14:paraId="5F51E16A" w14:textId="77777777" w:rsidR="0097422D" w:rsidRDefault="0097422D">
      <w:pPr>
        <w:spacing w:after="160" w:line="259" w:lineRule="auto"/>
        <w:rPr>
          <w:rFonts w:cs="Times New Roman"/>
          <w:b/>
          <w:bCs/>
          <w:szCs w:val="24"/>
        </w:rPr>
      </w:pPr>
      <w:bookmarkStart w:id="2" w:name="_Toc206401355"/>
      <w:r>
        <w:rPr>
          <w:szCs w:val="24"/>
        </w:rPr>
        <w:br w:type="page"/>
      </w:r>
    </w:p>
    <w:p w14:paraId="4DF22F1A" w14:textId="0BA1F573" w:rsidR="00500AC0" w:rsidRPr="004F7F85" w:rsidRDefault="00500AC0" w:rsidP="00243B01">
      <w:pPr>
        <w:pStyle w:val="Heading"/>
        <w:rPr>
          <w:sz w:val="24"/>
          <w:szCs w:val="24"/>
        </w:rPr>
      </w:pPr>
      <w:r w:rsidRPr="004F7F85">
        <w:rPr>
          <w:sz w:val="24"/>
          <w:szCs w:val="24"/>
        </w:rPr>
        <w:lastRenderedPageBreak/>
        <w:t>Purpose</w:t>
      </w:r>
      <w:r w:rsidR="000F751C" w:rsidRPr="004F7F85">
        <w:rPr>
          <w:sz w:val="24"/>
          <w:szCs w:val="24"/>
        </w:rPr>
        <w:t>/Objectives</w:t>
      </w:r>
    </w:p>
    <w:p w14:paraId="37490770" w14:textId="77777777" w:rsidR="00243B01" w:rsidRPr="004F7F85" w:rsidRDefault="00243B01" w:rsidP="00243B01">
      <w:pPr>
        <w:pStyle w:val="Heading"/>
        <w:rPr>
          <w:sz w:val="24"/>
          <w:szCs w:val="24"/>
        </w:rPr>
      </w:pPr>
    </w:p>
    <w:p w14:paraId="6034FEBD" w14:textId="06AE0345" w:rsidR="00243B01" w:rsidRPr="004F7F85" w:rsidRDefault="00EF2E6B" w:rsidP="00886B61">
      <w:pPr>
        <w:spacing w:line="240" w:lineRule="auto"/>
        <w:rPr>
          <w:rFonts w:cs="Times New Roman"/>
          <w:szCs w:val="24"/>
        </w:rPr>
      </w:pPr>
      <w:r w:rsidRPr="004F7F85">
        <w:rPr>
          <w:rFonts w:cs="Times New Roman"/>
          <w:szCs w:val="24"/>
        </w:rPr>
        <w:t xml:space="preserve">Given the limited understanding of how pre-service elementary teachers, particularly non-agriculture majors, perceive and approach agricultural content, the purpose of this study was to examine their perceptions of agriculture, confidence in teaching agricultural concepts, and familiarity with available instructional resources influencing classroom integration. </w:t>
      </w:r>
      <w:r w:rsidR="000F751C" w:rsidRPr="004F7F85">
        <w:rPr>
          <w:rFonts w:cs="Times New Roman"/>
          <w:szCs w:val="24"/>
        </w:rPr>
        <w:t>The following research objectives guided this study</w:t>
      </w:r>
      <w:r w:rsidR="00243B01" w:rsidRPr="004F7F85">
        <w:rPr>
          <w:rFonts w:cs="Times New Roman"/>
          <w:szCs w:val="24"/>
        </w:rPr>
        <w:t>:</w:t>
      </w:r>
    </w:p>
    <w:p w14:paraId="13F44EC7" w14:textId="3D10B686" w:rsidR="00243B01" w:rsidRPr="004F7F85" w:rsidRDefault="00243B01" w:rsidP="00243B01">
      <w:pPr>
        <w:pStyle w:val="ListParagraph"/>
        <w:numPr>
          <w:ilvl w:val="0"/>
          <w:numId w:val="11"/>
        </w:numPr>
        <w:spacing w:line="240" w:lineRule="auto"/>
        <w:rPr>
          <w:rFonts w:cs="Times New Roman"/>
          <w:szCs w:val="24"/>
        </w:rPr>
      </w:pPr>
      <w:r w:rsidRPr="004F7F85">
        <w:rPr>
          <w:rFonts w:cs="Times New Roman"/>
          <w:szCs w:val="24"/>
        </w:rPr>
        <w:t>Assess</w:t>
      </w:r>
      <w:r w:rsidR="000F751C" w:rsidRPr="004F7F85">
        <w:rPr>
          <w:rFonts w:cs="Times New Roman"/>
          <w:szCs w:val="24"/>
        </w:rPr>
        <w:t xml:space="preserve"> elementary education pre-service teachers' perceptions of agricultural education</w:t>
      </w:r>
      <w:r w:rsidRPr="004F7F85">
        <w:rPr>
          <w:rFonts w:cs="Times New Roman"/>
          <w:szCs w:val="24"/>
        </w:rPr>
        <w:t>.</w:t>
      </w:r>
    </w:p>
    <w:p w14:paraId="42209591" w14:textId="3550E0E9" w:rsidR="00243B01" w:rsidRPr="004F7F85" w:rsidRDefault="00243B01" w:rsidP="00243B01">
      <w:pPr>
        <w:pStyle w:val="ListParagraph"/>
        <w:numPr>
          <w:ilvl w:val="0"/>
          <w:numId w:val="11"/>
        </w:numPr>
        <w:spacing w:line="240" w:lineRule="auto"/>
        <w:rPr>
          <w:rFonts w:cs="Times New Roman"/>
          <w:szCs w:val="24"/>
        </w:rPr>
      </w:pPr>
      <w:r w:rsidRPr="004F7F85">
        <w:rPr>
          <w:rFonts w:cs="Times New Roman"/>
          <w:szCs w:val="24"/>
        </w:rPr>
        <w:t>Examine</w:t>
      </w:r>
      <w:r w:rsidR="000F751C" w:rsidRPr="004F7F85">
        <w:rPr>
          <w:rFonts w:cs="Times New Roman"/>
          <w:szCs w:val="24"/>
        </w:rPr>
        <w:t xml:space="preserve"> elementary education </w:t>
      </w:r>
      <w:proofErr w:type="gramStart"/>
      <w:r w:rsidR="000F751C" w:rsidRPr="004F7F85">
        <w:rPr>
          <w:rFonts w:cs="Times New Roman"/>
          <w:szCs w:val="24"/>
        </w:rPr>
        <w:t>pre-service</w:t>
      </w:r>
      <w:proofErr w:type="gramEnd"/>
      <w:r w:rsidR="000F751C" w:rsidRPr="004F7F85">
        <w:rPr>
          <w:rFonts w:cs="Times New Roman"/>
          <w:szCs w:val="24"/>
        </w:rPr>
        <w:t xml:space="preserve"> teachers' confidence to deliver agricultural content</w:t>
      </w:r>
      <w:r w:rsidRPr="004F7F85">
        <w:rPr>
          <w:rFonts w:cs="Times New Roman"/>
          <w:szCs w:val="24"/>
        </w:rPr>
        <w:t>.</w:t>
      </w:r>
    </w:p>
    <w:p w14:paraId="3E860BE2" w14:textId="17C6EFDD" w:rsidR="00243B01" w:rsidRPr="004F7F85" w:rsidRDefault="00243B01" w:rsidP="00243B01">
      <w:pPr>
        <w:pStyle w:val="ListParagraph"/>
        <w:numPr>
          <w:ilvl w:val="0"/>
          <w:numId w:val="11"/>
        </w:numPr>
        <w:spacing w:line="240" w:lineRule="auto"/>
        <w:rPr>
          <w:rFonts w:cs="Times New Roman"/>
          <w:szCs w:val="24"/>
        </w:rPr>
      </w:pPr>
      <w:r w:rsidRPr="004F7F85">
        <w:rPr>
          <w:rFonts w:cs="Times New Roman"/>
          <w:szCs w:val="24"/>
        </w:rPr>
        <w:t>Investigate</w:t>
      </w:r>
      <w:r w:rsidR="000F751C" w:rsidRPr="004F7F85">
        <w:rPr>
          <w:rFonts w:cs="Times New Roman"/>
          <w:szCs w:val="24"/>
        </w:rPr>
        <w:t xml:space="preserve"> factors influencing pre-service teachers' willingness to incorporate agricultural education content</w:t>
      </w:r>
      <w:r w:rsidRPr="004F7F85">
        <w:rPr>
          <w:rFonts w:cs="Times New Roman"/>
          <w:szCs w:val="24"/>
        </w:rPr>
        <w:t xml:space="preserve">. </w:t>
      </w:r>
    </w:p>
    <w:p w14:paraId="2B359E4C" w14:textId="6E3D1049" w:rsidR="00243B01" w:rsidRPr="004F7F85" w:rsidRDefault="00243B01" w:rsidP="00243B01">
      <w:pPr>
        <w:pStyle w:val="ListParagraph"/>
        <w:numPr>
          <w:ilvl w:val="0"/>
          <w:numId w:val="11"/>
        </w:numPr>
        <w:spacing w:line="240" w:lineRule="auto"/>
        <w:rPr>
          <w:rFonts w:cs="Times New Roman"/>
          <w:szCs w:val="24"/>
        </w:rPr>
      </w:pPr>
      <w:r w:rsidRPr="004F7F85">
        <w:rPr>
          <w:rFonts w:cs="Times New Roman"/>
          <w:szCs w:val="24"/>
        </w:rPr>
        <w:t>Compare</w:t>
      </w:r>
      <w:r w:rsidR="000F751C" w:rsidRPr="004F7F85">
        <w:rPr>
          <w:rFonts w:cs="Times New Roman"/>
          <w:szCs w:val="24"/>
        </w:rPr>
        <w:t xml:space="preserve"> demographic characteristics associated with variations in pre-service teacher perceptions of agriculture</w:t>
      </w:r>
      <w:r w:rsidRPr="004F7F85">
        <w:rPr>
          <w:rFonts w:cs="Times New Roman"/>
          <w:szCs w:val="24"/>
        </w:rPr>
        <w:t>.</w:t>
      </w:r>
    </w:p>
    <w:p w14:paraId="634EB745" w14:textId="3AE7F33D" w:rsidR="000F751C" w:rsidRPr="004F7F85" w:rsidRDefault="00243B01" w:rsidP="00243B01">
      <w:pPr>
        <w:pStyle w:val="ListParagraph"/>
        <w:numPr>
          <w:ilvl w:val="0"/>
          <w:numId w:val="11"/>
        </w:numPr>
        <w:spacing w:line="240" w:lineRule="auto"/>
        <w:rPr>
          <w:rFonts w:cs="Times New Roman"/>
          <w:szCs w:val="24"/>
        </w:rPr>
      </w:pPr>
      <w:r w:rsidRPr="004F7F85">
        <w:rPr>
          <w:rFonts w:cs="Times New Roman"/>
          <w:szCs w:val="24"/>
        </w:rPr>
        <w:t>E</w:t>
      </w:r>
      <w:r w:rsidR="000F751C" w:rsidRPr="004F7F85">
        <w:rPr>
          <w:rFonts w:cs="Times New Roman"/>
          <w:szCs w:val="24"/>
        </w:rPr>
        <w:t>xplore familiarity and use of AITC resources.</w:t>
      </w:r>
    </w:p>
    <w:p w14:paraId="6BF0BB8A" w14:textId="77777777" w:rsidR="00243B01" w:rsidRPr="004F7F85" w:rsidRDefault="00243B01" w:rsidP="00243B01">
      <w:pPr>
        <w:pStyle w:val="ListParagraph"/>
        <w:spacing w:line="240" w:lineRule="auto"/>
        <w:ind w:left="1140"/>
        <w:rPr>
          <w:rFonts w:cs="Times New Roman"/>
          <w:szCs w:val="24"/>
        </w:rPr>
      </w:pPr>
    </w:p>
    <w:p w14:paraId="10926528" w14:textId="0004A9C9" w:rsidR="00CD4972" w:rsidRPr="004F7F85" w:rsidRDefault="00CD4972" w:rsidP="00243B01">
      <w:pPr>
        <w:pStyle w:val="Heading"/>
        <w:rPr>
          <w:sz w:val="24"/>
          <w:szCs w:val="24"/>
        </w:rPr>
      </w:pPr>
      <w:r w:rsidRPr="004F7F85">
        <w:rPr>
          <w:sz w:val="24"/>
          <w:szCs w:val="24"/>
        </w:rPr>
        <w:t>Method</w:t>
      </w:r>
      <w:bookmarkEnd w:id="2"/>
      <w:r w:rsidRPr="004F7F85">
        <w:rPr>
          <w:sz w:val="24"/>
          <w:szCs w:val="24"/>
        </w:rPr>
        <w:t>s</w:t>
      </w:r>
      <w:r w:rsidR="00500AC0" w:rsidRPr="004F7F85">
        <w:rPr>
          <w:sz w:val="24"/>
          <w:szCs w:val="24"/>
        </w:rPr>
        <w:t>/Procedures</w:t>
      </w:r>
    </w:p>
    <w:p w14:paraId="73CBCE8A" w14:textId="77777777" w:rsidR="00243B01" w:rsidRPr="004F7F85" w:rsidRDefault="00243B01" w:rsidP="00243B01">
      <w:pPr>
        <w:pStyle w:val="Heading"/>
        <w:rPr>
          <w:sz w:val="24"/>
          <w:szCs w:val="24"/>
        </w:rPr>
      </w:pPr>
    </w:p>
    <w:p w14:paraId="2E864422" w14:textId="77777777" w:rsidR="004F7018" w:rsidRPr="004F7F85" w:rsidRDefault="004F7018" w:rsidP="00243B01">
      <w:pPr>
        <w:pStyle w:val="Subheading"/>
        <w:rPr>
          <w:sz w:val="24"/>
          <w:szCs w:val="24"/>
        </w:rPr>
      </w:pPr>
      <w:bookmarkStart w:id="3" w:name="_Toc206401357"/>
      <w:r w:rsidRPr="004F7F85">
        <w:rPr>
          <w:sz w:val="24"/>
          <w:szCs w:val="24"/>
        </w:rPr>
        <w:t>Population and Sampling</w:t>
      </w:r>
      <w:bookmarkEnd w:id="3"/>
    </w:p>
    <w:p w14:paraId="09CECE5F" w14:textId="77777777" w:rsidR="00243B01" w:rsidRPr="004F7F85" w:rsidRDefault="00243B01" w:rsidP="00243B01">
      <w:pPr>
        <w:pStyle w:val="Subheading"/>
        <w:rPr>
          <w:sz w:val="24"/>
          <w:szCs w:val="24"/>
        </w:rPr>
      </w:pPr>
    </w:p>
    <w:p w14:paraId="23C71AEA" w14:textId="29AD01A1" w:rsidR="00487F3B" w:rsidRPr="004F7F85" w:rsidRDefault="004F7018" w:rsidP="00886B61">
      <w:pPr>
        <w:spacing w:line="240" w:lineRule="auto"/>
        <w:rPr>
          <w:rFonts w:cs="Times New Roman"/>
          <w:szCs w:val="24"/>
        </w:rPr>
      </w:pPr>
      <w:r w:rsidRPr="004F7F85">
        <w:rPr>
          <w:rFonts w:cs="Times New Roman"/>
          <w:szCs w:val="24"/>
        </w:rPr>
        <w:t xml:space="preserve">The target population </w:t>
      </w:r>
      <w:r w:rsidR="00EF2E6B" w:rsidRPr="004F7F85">
        <w:rPr>
          <w:rFonts w:cs="Times New Roman"/>
          <w:szCs w:val="24"/>
        </w:rPr>
        <w:t>of this study was</w:t>
      </w:r>
      <w:r w:rsidR="000305B1" w:rsidRPr="004F7F85">
        <w:rPr>
          <w:rFonts w:cs="Times New Roman"/>
          <w:szCs w:val="24"/>
        </w:rPr>
        <w:t xml:space="preserve"> undergraduate students</w:t>
      </w:r>
      <w:r w:rsidRPr="004F7F85">
        <w:rPr>
          <w:rFonts w:cs="Times New Roman"/>
          <w:szCs w:val="24"/>
        </w:rPr>
        <w:t xml:space="preserve"> enrolled in </w:t>
      </w:r>
      <w:r w:rsidR="000305B1" w:rsidRPr="004F7F85">
        <w:rPr>
          <w:rFonts w:cs="Times New Roman"/>
          <w:szCs w:val="24"/>
        </w:rPr>
        <w:t xml:space="preserve">the Teacher Education Program (TEP) at </w:t>
      </w:r>
      <w:r w:rsidR="00A12269" w:rsidRPr="004F7F85">
        <w:rPr>
          <w:rFonts w:cs="Times New Roman"/>
          <w:szCs w:val="24"/>
        </w:rPr>
        <w:t>Montana State University</w:t>
      </w:r>
      <w:r w:rsidR="000305B1" w:rsidRPr="004F7F85">
        <w:rPr>
          <w:rFonts w:cs="Times New Roman"/>
          <w:szCs w:val="24"/>
        </w:rPr>
        <w:t xml:space="preserve"> during</w:t>
      </w:r>
      <w:r w:rsidRPr="004F7F85">
        <w:rPr>
          <w:rFonts w:cs="Times New Roman"/>
          <w:szCs w:val="24"/>
        </w:rPr>
        <w:t xml:space="preserve"> the </w:t>
      </w:r>
      <w:r w:rsidR="00B53707" w:rsidRPr="004F7F85">
        <w:rPr>
          <w:rFonts w:cs="Times New Roman"/>
          <w:szCs w:val="24"/>
        </w:rPr>
        <w:t>S</w:t>
      </w:r>
      <w:r w:rsidRPr="004F7F85">
        <w:rPr>
          <w:rFonts w:cs="Times New Roman"/>
          <w:szCs w:val="24"/>
        </w:rPr>
        <w:t xml:space="preserve">pring 2025 semester. </w:t>
      </w:r>
      <w:r w:rsidR="00004535" w:rsidRPr="004F7F85">
        <w:rPr>
          <w:rFonts w:cs="Times New Roman"/>
          <w:szCs w:val="24"/>
        </w:rPr>
        <w:t xml:space="preserve">Eligible participants included upper-division pre-service elementary education majors enrolled in either practicum or student teaching courses. </w:t>
      </w:r>
      <w:r w:rsidR="00B53707" w:rsidRPr="004F7F85">
        <w:rPr>
          <w:rFonts w:cs="Times New Roman"/>
          <w:szCs w:val="24"/>
        </w:rPr>
        <w:t xml:space="preserve">A list of potential participants was obtained through the Campus Registrar. According to the Registrar’s online course schedule, the target population was enrolled in one of two practicum courses offered during Spring 2025, one for students pursuing K–8 licensure and one for those seeking 5–12 licensure, as well as six student teaching courses. </w:t>
      </w:r>
      <w:r w:rsidR="00004535" w:rsidRPr="004F7F85">
        <w:rPr>
          <w:rFonts w:cs="Times New Roman"/>
          <w:szCs w:val="24"/>
        </w:rPr>
        <w:t>The total population consisted of 93 students (</w:t>
      </w:r>
      <w:r w:rsidR="00004535" w:rsidRPr="004F7F85">
        <w:rPr>
          <w:rFonts w:cs="Times New Roman"/>
          <w:i/>
          <w:iCs/>
          <w:szCs w:val="24"/>
        </w:rPr>
        <w:t>N</w:t>
      </w:r>
      <w:r w:rsidR="00004535" w:rsidRPr="004F7F85">
        <w:rPr>
          <w:rFonts w:cs="Times New Roman"/>
          <w:szCs w:val="24"/>
        </w:rPr>
        <w:t xml:space="preserve"> = 93). Using Dillman et al.’s (2014) tailored design method, five separate contacts were made to encourage participation through personalized emails, classroom visits, and digital reminders. Participation was voluntary, and informed consent was obtained in accordance with Institutional Review Board approval (Protocol #2025-1889)</w:t>
      </w:r>
      <w:r w:rsidRPr="004F7F85">
        <w:rPr>
          <w:rFonts w:cs="Times New Roman"/>
          <w:szCs w:val="24"/>
        </w:rPr>
        <w:t>.</w:t>
      </w:r>
    </w:p>
    <w:p w14:paraId="40432596" w14:textId="77777777" w:rsidR="00243B01" w:rsidRPr="004F7F85" w:rsidRDefault="00243B01" w:rsidP="00243B01">
      <w:pPr>
        <w:spacing w:line="240" w:lineRule="auto"/>
        <w:ind w:firstLine="720"/>
        <w:rPr>
          <w:rFonts w:cs="Times New Roman"/>
          <w:szCs w:val="24"/>
        </w:rPr>
      </w:pPr>
    </w:p>
    <w:p w14:paraId="328F7C3F" w14:textId="69369684" w:rsidR="00487F3B" w:rsidRPr="004F7F85" w:rsidRDefault="00487F3B" w:rsidP="00243B01">
      <w:pPr>
        <w:pStyle w:val="Subheading"/>
        <w:rPr>
          <w:sz w:val="24"/>
          <w:szCs w:val="24"/>
        </w:rPr>
      </w:pPr>
      <w:r w:rsidRPr="004F7F85">
        <w:rPr>
          <w:sz w:val="24"/>
          <w:szCs w:val="24"/>
        </w:rPr>
        <w:t>Instrumentation</w:t>
      </w:r>
    </w:p>
    <w:p w14:paraId="56E91404" w14:textId="77777777" w:rsidR="00243B01" w:rsidRPr="004F7F85" w:rsidRDefault="00243B01" w:rsidP="00243B01">
      <w:pPr>
        <w:pStyle w:val="Subheading"/>
        <w:rPr>
          <w:sz w:val="24"/>
          <w:szCs w:val="24"/>
        </w:rPr>
      </w:pPr>
    </w:p>
    <w:p w14:paraId="6A826A70" w14:textId="564BD50D" w:rsidR="00B53707" w:rsidRPr="004F7F85" w:rsidRDefault="00B53707" w:rsidP="00B53707">
      <w:pPr>
        <w:spacing w:line="240" w:lineRule="auto"/>
        <w:rPr>
          <w:rFonts w:cs="Times New Roman"/>
          <w:szCs w:val="24"/>
        </w:rPr>
      </w:pPr>
      <w:r w:rsidRPr="004F7F85">
        <w:rPr>
          <w:rFonts w:cs="Times New Roman"/>
          <w:szCs w:val="24"/>
        </w:rPr>
        <w:t>Data were collected using a researcher-adapted survey instrument originally developed by Burrows et al. (2020) and modified to align with the unique focus of the current population and research objectives. Specific items were revised to better reflect the experiences of upper-level pre-service elementary teachers, including their perceptions of agricultural education, confidence in teaching agricultural content, willingness to integrate it into classroom instruction, relevant demographic characteristics, and familiarity with AITC resources. Content validity was established through expert review by agricultural education faculty and education researchers to ensure clarity and alignment with the study’s purpose and objectives (Dillman et al., 2009; Mills &amp; Gay, 2019).</w:t>
      </w:r>
    </w:p>
    <w:p w14:paraId="0F04EEB6" w14:textId="77777777" w:rsidR="00B53707" w:rsidRPr="004F7F85" w:rsidRDefault="00B53707" w:rsidP="00886B61">
      <w:pPr>
        <w:spacing w:line="240" w:lineRule="auto"/>
        <w:rPr>
          <w:rFonts w:cs="Times New Roman"/>
          <w:szCs w:val="24"/>
        </w:rPr>
      </w:pPr>
    </w:p>
    <w:p w14:paraId="54136E94" w14:textId="721DDACA" w:rsidR="004B337F" w:rsidRPr="004F7F85" w:rsidRDefault="000B6A14" w:rsidP="00886B61">
      <w:pPr>
        <w:spacing w:line="240" w:lineRule="auto"/>
        <w:rPr>
          <w:rFonts w:cs="Times New Roman"/>
          <w:szCs w:val="24"/>
        </w:rPr>
      </w:pPr>
      <w:r w:rsidRPr="004F7F85">
        <w:rPr>
          <w:rFonts w:cs="Times New Roman"/>
          <w:szCs w:val="24"/>
        </w:rPr>
        <w:lastRenderedPageBreak/>
        <w:t>The survey included Likert-type statements grouped into six constructs: (1) Importance of Agricultural Education, (2) Agricultural Integration, (3) Agricultural Lessons, (4) Confidence, (5) Curriculum and Standards, and (6) Demographics. Respondents rated their agreement with each statement on a four-point scale ranging from Strongly Disagree (1) to Strongly Agree (4). The four-point format was selected to avoid a neutral midpoint, encouraging more decisive responses (Johns, 2005).</w:t>
      </w:r>
      <w:r w:rsidR="001F0738" w:rsidRPr="004F7F85">
        <w:rPr>
          <w:rFonts w:cs="Times New Roman"/>
          <w:szCs w:val="24"/>
        </w:rPr>
        <w:t xml:space="preserve"> </w:t>
      </w:r>
      <w:r w:rsidRPr="004F7F85">
        <w:rPr>
          <w:rFonts w:cs="Times New Roman"/>
          <w:szCs w:val="24"/>
        </w:rPr>
        <w:t>Sample</w:t>
      </w:r>
      <w:r w:rsidR="00D37BF9" w:rsidRPr="004F7F85">
        <w:rPr>
          <w:rFonts w:cs="Times New Roman"/>
          <w:szCs w:val="24"/>
        </w:rPr>
        <w:t xml:space="preserve"> prompt</w:t>
      </w:r>
      <w:r w:rsidRPr="004F7F85">
        <w:rPr>
          <w:rFonts w:cs="Times New Roman"/>
          <w:szCs w:val="24"/>
        </w:rPr>
        <w:t xml:space="preserve"> items included: “Agricultural education is important for elementary students to learn about,” “I would incorporate agricultural topics into my teaching if resources were provided,” and “I feel confident in connecting agriculture topics to current educational standards.” </w:t>
      </w:r>
      <w:r w:rsidR="00D37BF9" w:rsidRPr="004F7F85">
        <w:rPr>
          <w:rFonts w:cs="Times New Roman"/>
          <w:szCs w:val="24"/>
        </w:rPr>
        <w:t>A</w:t>
      </w:r>
      <w:r w:rsidRPr="004F7F85">
        <w:rPr>
          <w:rFonts w:cs="Times New Roman"/>
          <w:szCs w:val="24"/>
        </w:rPr>
        <w:t xml:space="preserve"> demographic section collected data on participants’ gender, year in school, hometown population, and familiarity with AITC resources.</w:t>
      </w:r>
      <w:r w:rsidR="00470F08" w:rsidRPr="004F7F85">
        <w:rPr>
          <w:rFonts w:cs="Times New Roman"/>
          <w:szCs w:val="24"/>
        </w:rPr>
        <w:t xml:space="preserve"> </w:t>
      </w:r>
      <w:r w:rsidRPr="004F7F85">
        <w:rPr>
          <w:rFonts w:cs="Times New Roman"/>
          <w:szCs w:val="24"/>
        </w:rPr>
        <w:t>Internal consistency of the overall instrument was found to be satisfactory (α = 0.86), exceeding the reliability threshold of 0.70 recommended by Nunnally and Bernstein (1994).</w:t>
      </w:r>
    </w:p>
    <w:p w14:paraId="148B9F25" w14:textId="77777777" w:rsidR="00243B01" w:rsidRPr="004F7F85" w:rsidRDefault="00243B01" w:rsidP="00243B01">
      <w:pPr>
        <w:spacing w:line="240" w:lineRule="auto"/>
        <w:ind w:firstLine="720"/>
        <w:rPr>
          <w:rFonts w:cs="Times New Roman"/>
          <w:szCs w:val="24"/>
        </w:rPr>
      </w:pPr>
    </w:p>
    <w:p w14:paraId="72666A67" w14:textId="3140C83E" w:rsidR="004B337F" w:rsidRPr="004F7F85" w:rsidRDefault="004B337F" w:rsidP="00243B01">
      <w:pPr>
        <w:pStyle w:val="Subheading"/>
        <w:rPr>
          <w:sz w:val="24"/>
          <w:szCs w:val="24"/>
        </w:rPr>
      </w:pPr>
      <w:bookmarkStart w:id="4" w:name="_Toc206401359"/>
      <w:r w:rsidRPr="004F7F85">
        <w:rPr>
          <w:sz w:val="24"/>
          <w:szCs w:val="24"/>
        </w:rPr>
        <w:t>Data Collection</w:t>
      </w:r>
      <w:r w:rsidR="001F0738" w:rsidRPr="004F7F85">
        <w:rPr>
          <w:sz w:val="24"/>
          <w:szCs w:val="24"/>
        </w:rPr>
        <w:t xml:space="preserve"> </w:t>
      </w:r>
      <w:r w:rsidR="00BC5844" w:rsidRPr="004F7F85">
        <w:rPr>
          <w:sz w:val="24"/>
          <w:szCs w:val="24"/>
        </w:rPr>
        <w:t xml:space="preserve">&amp; Analysis </w:t>
      </w:r>
      <w:r w:rsidRPr="004F7F85">
        <w:rPr>
          <w:sz w:val="24"/>
          <w:szCs w:val="24"/>
        </w:rPr>
        <w:t>Procedures</w:t>
      </w:r>
      <w:bookmarkEnd w:id="4"/>
    </w:p>
    <w:p w14:paraId="00E4398F" w14:textId="77777777" w:rsidR="00243B01" w:rsidRPr="004F7F85" w:rsidRDefault="00243B01" w:rsidP="00243B01">
      <w:pPr>
        <w:pStyle w:val="Subheading"/>
        <w:rPr>
          <w:sz w:val="24"/>
          <w:szCs w:val="24"/>
        </w:rPr>
      </w:pPr>
    </w:p>
    <w:p w14:paraId="353628A6" w14:textId="2E340FEB" w:rsidR="00BC5844" w:rsidRPr="004F7F85" w:rsidRDefault="00BC5844" w:rsidP="00243B01">
      <w:pPr>
        <w:spacing w:line="240" w:lineRule="auto"/>
        <w:rPr>
          <w:rFonts w:cs="Times New Roman"/>
          <w:szCs w:val="24"/>
        </w:rPr>
      </w:pPr>
      <w:r w:rsidRPr="004F7F85">
        <w:rPr>
          <w:rFonts w:cs="Times New Roman"/>
          <w:szCs w:val="24"/>
        </w:rPr>
        <w:t xml:space="preserve">Data collection followed Dillman et al.’s (2014) five-contact approach. Students were first notified of the upcoming study one week prior to distribution. An invitation containing a survey link </w:t>
      </w:r>
      <w:r w:rsidR="00D37BF9" w:rsidRPr="004F7F85">
        <w:rPr>
          <w:rFonts w:cs="Times New Roman"/>
          <w:szCs w:val="24"/>
        </w:rPr>
        <w:t>and</w:t>
      </w:r>
      <w:r w:rsidRPr="004F7F85">
        <w:rPr>
          <w:rFonts w:cs="Times New Roman"/>
          <w:szCs w:val="24"/>
        </w:rPr>
        <w:t xml:space="preserve"> QR code was then shared in class and via email. Follow-up reminders were sent weekly for four weeks, with both in-person and virtual outreach to maximize response rates. To incentivize participation, respondents had the option to receive a</w:t>
      </w:r>
      <w:r w:rsidR="00D37BF9" w:rsidRPr="004F7F85">
        <w:rPr>
          <w:rFonts w:cs="Times New Roman"/>
          <w:szCs w:val="24"/>
        </w:rPr>
        <w:t xml:space="preserve">n </w:t>
      </w:r>
      <w:r w:rsidRPr="004F7F85">
        <w:rPr>
          <w:rFonts w:cs="Times New Roman"/>
          <w:szCs w:val="24"/>
        </w:rPr>
        <w:t>Amazon gift card.</w:t>
      </w:r>
    </w:p>
    <w:p w14:paraId="47B1DCDA" w14:textId="77777777" w:rsidR="00243B01" w:rsidRPr="004F7F85" w:rsidRDefault="00243B01" w:rsidP="00243B01">
      <w:pPr>
        <w:spacing w:line="240" w:lineRule="auto"/>
        <w:rPr>
          <w:rFonts w:cs="Times New Roman"/>
          <w:szCs w:val="24"/>
        </w:rPr>
      </w:pPr>
    </w:p>
    <w:p w14:paraId="1FD7BAC7" w14:textId="2691114C" w:rsidR="002F57E3" w:rsidRPr="004F7F85" w:rsidRDefault="002F57E3" w:rsidP="00243B01">
      <w:pPr>
        <w:spacing w:line="240" w:lineRule="auto"/>
        <w:rPr>
          <w:rFonts w:cs="Times New Roman"/>
          <w:szCs w:val="24"/>
        </w:rPr>
      </w:pPr>
      <w:r w:rsidRPr="004F7F85">
        <w:rPr>
          <w:rFonts w:cs="Times New Roman"/>
          <w:szCs w:val="24"/>
        </w:rPr>
        <w:t xml:space="preserve">Quantitative data were analyzed using descriptive and inferential statistics following Field’s (2018) recommendations. Descriptive statistics summarized participants’ perceptions and confidence levels, while inferential tests examined relationships among variables. Pearson’s correlation coefficients measured associations between constructs such as confidence, perceived importance, and AITC familiarity. Independent </w:t>
      </w:r>
      <w:r w:rsidRPr="004F7F85">
        <w:rPr>
          <w:rFonts w:cs="Times New Roman"/>
          <w:i/>
          <w:iCs/>
          <w:szCs w:val="24"/>
        </w:rPr>
        <w:t>t</w:t>
      </w:r>
      <w:r w:rsidRPr="004F7F85">
        <w:rPr>
          <w:rFonts w:cs="Times New Roman"/>
          <w:szCs w:val="24"/>
        </w:rPr>
        <w:t>-tests and one-way analyses of variance (ANOVA) explored differences in perceptions based on demographic characteristics (e.g., gender, hometown population). Multiple regression analyses were used to identify predictors of willingness to integrate agriculture into instruction</w:t>
      </w:r>
      <w:r w:rsidR="00D005D1" w:rsidRPr="004F7F85">
        <w:rPr>
          <w:rFonts w:cs="Times New Roman"/>
          <w:szCs w:val="24"/>
        </w:rPr>
        <w:t xml:space="preserve">. </w:t>
      </w:r>
      <w:r w:rsidRPr="004F7F85">
        <w:rPr>
          <w:rFonts w:cs="Times New Roman"/>
          <w:szCs w:val="24"/>
        </w:rPr>
        <w:t>Results were interpreted at the .05 significance level, with reliability, effect size, and direction of relationships reported to ensure robust interpretation.</w:t>
      </w:r>
      <w:bookmarkStart w:id="5" w:name="_Toc206401360"/>
    </w:p>
    <w:p w14:paraId="79FFBC98" w14:textId="77777777" w:rsidR="00243B01" w:rsidRPr="004F7F85" w:rsidRDefault="00243B01" w:rsidP="00243B01">
      <w:pPr>
        <w:spacing w:line="240" w:lineRule="auto"/>
        <w:rPr>
          <w:rFonts w:cs="Times New Roman"/>
          <w:szCs w:val="24"/>
        </w:rPr>
      </w:pPr>
    </w:p>
    <w:p w14:paraId="1A8F33C5" w14:textId="77777777" w:rsidR="00D37BF9" w:rsidRPr="004F7F85" w:rsidRDefault="00DE2F1E" w:rsidP="00D37BF9">
      <w:pPr>
        <w:spacing w:line="240" w:lineRule="auto"/>
        <w:rPr>
          <w:rFonts w:cs="Times New Roman"/>
          <w:szCs w:val="24"/>
        </w:rPr>
      </w:pPr>
      <w:r w:rsidRPr="004F7F85">
        <w:rPr>
          <w:rFonts w:cs="Times New Roman"/>
          <w:szCs w:val="24"/>
        </w:rPr>
        <w:t>Non-response bias was assessed following Lindner et al.</w:t>
      </w:r>
      <w:r w:rsidR="00D37BF9" w:rsidRPr="004F7F85">
        <w:rPr>
          <w:rFonts w:cs="Times New Roman"/>
          <w:szCs w:val="24"/>
        </w:rPr>
        <w:t>’s</w:t>
      </w:r>
      <w:r w:rsidRPr="004F7F85">
        <w:rPr>
          <w:rFonts w:cs="Times New Roman"/>
          <w:szCs w:val="24"/>
        </w:rPr>
        <w:t xml:space="preserve"> (2001) </w:t>
      </w:r>
      <w:r w:rsidR="00D37BF9" w:rsidRPr="004F7F85">
        <w:rPr>
          <w:rFonts w:cs="Times New Roman"/>
          <w:szCs w:val="24"/>
        </w:rPr>
        <w:t xml:space="preserve">recommendation of </w:t>
      </w:r>
      <w:r w:rsidRPr="004F7F85">
        <w:rPr>
          <w:rFonts w:cs="Times New Roman"/>
          <w:szCs w:val="24"/>
        </w:rPr>
        <w:t>comparing respondents (</w:t>
      </w:r>
      <w:r w:rsidRPr="004F7F85">
        <w:rPr>
          <w:rFonts w:cs="Times New Roman"/>
          <w:i/>
          <w:iCs/>
          <w:szCs w:val="24"/>
        </w:rPr>
        <w:t>n</w:t>
      </w:r>
      <w:r w:rsidRPr="004F7F85">
        <w:rPr>
          <w:rFonts w:cs="Times New Roman"/>
          <w:szCs w:val="24"/>
        </w:rPr>
        <w:t xml:space="preserve"> =</w:t>
      </w:r>
      <w:r w:rsidR="00137B73" w:rsidRPr="004F7F85">
        <w:rPr>
          <w:rFonts w:cs="Times New Roman"/>
          <w:szCs w:val="24"/>
        </w:rPr>
        <w:t>25</w:t>
      </w:r>
      <w:r w:rsidRPr="004F7F85">
        <w:rPr>
          <w:rFonts w:cs="Times New Roman"/>
          <w:szCs w:val="24"/>
        </w:rPr>
        <w:t>) and non-respondents (</w:t>
      </w:r>
      <w:r w:rsidRPr="004F7F85">
        <w:rPr>
          <w:rFonts w:cs="Times New Roman"/>
          <w:i/>
          <w:iCs/>
          <w:szCs w:val="24"/>
        </w:rPr>
        <w:t>n</w:t>
      </w:r>
      <w:r w:rsidRPr="004F7F85">
        <w:rPr>
          <w:rFonts w:cs="Times New Roman"/>
          <w:szCs w:val="24"/>
        </w:rPr>
        <w:t xml:space="preserve"> = 67) on available population characteristics, including age, GPA, earned credits, gender, class standing, and course enrollment. Independent </w:t>
      </w:r>
      <w:r w:rsidRPr="004F7F85">
        <w:rPr>
          <w:rFonts w:cs="Times New Roman"/>
          <w:i/>
          <w:iCs/>
          <w:szCs w:val="24"/>
        </w:rPr>
        <w:t>t</w:t>
      </w:r>
      <w:r w:rsidRPr="004F7F85">
        <w:rPr>
          <w:rFonts w:cs="Times New Roman"/>
          <w:szCs w:val="24"/>
        </w:rPr>
        <w:t xml:space="preserve">-tests and chi-square analyses revealed no statistically significant differences for most variables. One significant difference was observed for course enrollment; however, overall results suggested minimal non-response bias. </w:t>
      </w:r>
      <w:r w:rsidR="00D37BF9" w:rsidRPr="004F7F85">
        <w:rPr>
          <w:rFonts w:cs="Times New Roman"/>
          <w:szCs w:val="24"/>
        </w:rPr>
        <w:t>Respondents were generally representative of the target population; however, caution is encouraged when extrapolating findings beyond the study sample.</w:t>
      </w:r>
    </w:p>
    <w:p w14:paraId="2168318E" w14:textId="02C1CFDB" w:rsidR="00243B01" w:rsidRPr="004F7F85" w:rsidRDefault="00243B01" w:rsidP="00243B01">
      <w:pPr>
        <w:spacing w:line="240" w:lineRule="auto"/>
        <w:rPr>
          <w:rFonts w:cs="Times New Roman"/>
          <w:szCs w:val="24"/>
        </w:rPr>
      </w:pPr>
    </w:p>
    <w:p w14:paraId="481F214E" w14:textId="5A013187" w:rsidR="00525630" w:rsidRPr="004F7F85" w:rsidRDefault="00A9159D" w:rsidP="00243B01">
      <w:pPr>
        <w:pStyle w:val="Heading"/>
        <w:rPr>
          <w:sz w:val="24"/>
          <w:szCs w:val="24"/>
        </w:rPr>
      </w:pPr>
      <w:bookmarkStart w:id="6" w:name="_Toc206401363"/>
      <w:bookmarkEnd w:id="5"/>
      <w:r w:rsidRPr="004F7F85">
        <w:rPr>
          <w:sz w:val="24"/>
          <w:szCs w:val="24"/>
        </w:rPr>
        <w:t>Results</w:t>
      </w:r>
      <w:bookmarkEnd w:id="6"/>
      <w:r w:rsidR="00500AC0" w:rsidRPr="004F7F85">
        <w:rPr>
          <w:sz w:val="24"/>
          <w:szCs w:val="24"/>
        </w:rPr>
        <w:t>/Findings</w:t>
      </w:r>
    </w:p>
    <w:p w14:paraId="7FCEBB06" w14:textId="77777777" w:rsidR="00243B01" w:rsidRPr="004F7F85" w:rsidRDefault="00243B01" w:rsidP="00243B01">
      <w:pPr>
        <w:pStyle w:val="Heading"/>
        <w:rPr>
          <w:sz w:val="24"/>
          <w:szCs w:val="24"/>
        </w:rPr>
      </w:pPr>
    </w:p>
    <w:p w14:paraId="13D31522" w14:textId="196B321C" w:rsidR="00B00889" w:rsidRPr="004F7F85" w:rsidRDefault="005B7FDA" w:rsidP="00243B01">
      <w:pPr>
        <w:spacing w:line="240" w:lineRule="auto"/>
        <w:rPr>
          <w:rFonts w:cs="Times New Roman"/>
          <w:szCs w:val="24"/>
        </w:rPr>
      </w:pPr>
      <w:r w:rsidRPr="004F7F85">
        <w:rPr>
          <w:rFonts w:cs="Times New Roman"/>
          <w:szCs w:val="24"/>
        </w:rPr>
        <w:t>A total of 25 pre-service elementary education majors from Montana State University completed the survey. Most participants identified as female</w:t>
      </w:r>
      <w:r w:rsidR="00B579D0" w:rsidRPr="004F7F85">
        <w:rPr>
          <w:rFonts w:cs="Times New Roman"/>
          <w:szCs w:val="24"/>
        </w:rPr>
        <w:t xml:space="preserve"> (</w:t>
      </w:r>
      <w:r w:rsidR="00243B01" w:rsidRPr="004F7F85">
        <w:rPr>
          <w:rFonts w:cs="Times New Roman"/>
          <w:i/>
          <w:iCs/>
          <w:szCs w:val="24"/>
        </w:rPr>
        <w:t xml:space="preserve">n </w:t>
      </w:r>
      <w:r w:rsidR="00243B01" w:rsidRPr="004F7F85">
        <w:rPr>
          <w:rFonts w:cs="Times New Roman"/>
          <w:szCs w:val="24"/>
        </w:rPr>
        <w:t>= 20;</w:t>
      </w:r>
      <w:r w:rsidR="00243B01" w:rsidRPr="004F7F85">
        <w:rPr>
          <w:rFonts w:cs="Times New Roman"/>
          <w:i/>
          <w:iCs/>
          <w:szCs w:val="24"/>
        </w:rPr>
        <w:t xml:space="preserve"> </w:t>
      </w:r>
      <w:r w:rsidR="00B579D0" w:rsidRPr="004F7F85">
        <w:rPr>
          <w:rFonts w:cs="Times New Roman"/>
          <w:szCs w:val="24"/>
        </w:rPr>
        <w:t>80.00%), were enrolled in student teaching (</w:t>
      </w:r>
      <w:r w:rsidR="00243B01" w:rsidRPr="004F7F85">
        <w:rPr>
          <w:rFonts w:cs="Times New Roman"/>
          <w:i/>
          <w:iCs/>
          <w:szCs w:val="24"/>
        </w:rPr>
        <w:t xml:space="preserve">n </w:t>
      </w:r>
      <w:r w:rsidR="00243B01" w:rsidRPr="004F7F85">
        <w:rPr>
          <w:rFonts w:cs="Times New Roman"/>
          <w:szCs w:val="24"/>
        </w:rPr>
        <w:t xml:space="preserve">= </w:t>
      </w:r>
      <w:r w:rsidR="00886B61" w:rsidRPr="004F7F85">
        <w:rPr>
          <w:rFonts w:cs="Times New Roman"/>
          <w:szCs w:val="24"/>
        </w:rPr>
        <w:t>15</w:t>
      </w:r>
      <w:r w:rsidR="00243B01" w:rsidRPr="004F7F85">
        <w:rPr>
          <w:rFonts w:cs="Times New Roman"/>
          <w:szCs w:val="24"/>
        </w:rPr>
        <w:t>;</w:t>
      </w:r>
      <w:r w:rsidR="00243B01" w:rsidRPr="004F7F85">
        <w:rPr>
          <w:rFonts w:cs="Times New Roman"/>
          <w:i/>
          <w:iCs/>
          <w:szCs w:val="24"/>
        </w:rPr>
        <w:t xml:space="preserve"> </w:t>
      </w:r>
      <w:r w:rsidR="00EE6F42" w:rsidRPr="004F7F85">
        <w:rPr>
          <w:rFonts w:cs="Times New Roman"/>
          <w:szCs w:val="24"/>
        </w:rPr>
        <w:t>60.00%), and described their hometown as urban</w:t>
      </w:r>
      <w:r w:rsidR="00886B61" w:rsidRPr="004F7F85">
        <w:rPr>
          <w:rFonts w:cs="Times New Roman"/>
          <w:szCs w:val="24"/>
        </w:rPr>
        <w:t xml:space="preserve"> or suburban</w:t>
      </w:r>
      <w:r w:rsidR="00EE6F42" w:rsidRPr="004F7F85">
        <w:rPr>
          <w:rFonts w:cs="Times New Roman"/>
          <w:szCs w:val="24"/>
        </w:rPr>
        <w:t xml:space="preserve"> (</w:t>
      </w:r>
      <w:r w:rsidR="00243B01" w:rsidRPr="004F7F85">
        <w:rPr>
          <w:rFonts w:cs="Times New Roman"/>
          <w:i/>
          <w:iCs/>
          <w:szCs w:val="24"/>
        </w:rPr>
        <w:t xml:space="preserve">n </w:t>
      </w:r>
      <w:r w:rsidR="00243B01" w:rsidRPr="004F7F85">
        <w:rPr>
          <w:rFonts w:cs="Times New Roman"/>
          <w:szCs w:val="24"/>
        </w:rPr>
        <w:t xml:space="preserve">= </w:t>
      </w:r>
      <w:r w:rsidR="00886B61" w:rsidRPr="004F7F85">
        <w:rPr>
          <w:rFonts w:cs="Times New Roman"/>
          <w:szCs w:val="24"/>
        </w:rPr>
        <w:t>22</w:t>
      </w:r>
      <w:r w:rsidR="00243B01" w:rsidRPr="004F7F85">
        <w:rPr>
          <w:rFonts w:cs="Times New Roman"/>
          <w:szCs w:val="24"/>
        </w:rPr>
        <w:t>;</w:t>
      </w:r>
      <w:r w:rsidR="00243B01" w:rsidRPr="004F7F85">
        <w:rPr>
          <w:rFonts w:cs="Times New Roman"/>
          <w:i/>
          <w:iCs/>
          <w:szCs w:val="24"/>
        </w:rPr>
        <w:t xml:space="preserve"> </w:t>
      </w:r>
      <w:r w:rsidR="00886B61" w:rsidRPr="004F7F85">
        <w:rPr>
          <w:rFonts w:cs="Times New Roman"/>
          <w:szCs w:val="24"/>
        </w:rPr>
        <w:lastRenderedPageBreak/>
        <w:t>8</w:t>
      </w:r>
      <w:r w:rsidR="00EE6F42" w:rsidRPr="004F7F85">
        <w:rPr>
          <w:rFonts w:cs="Times New Roman"/>
          <w:szCs w:val="24"/>
        </w:rPr>
        <w:t>8.00%). Slightly more than half</w:t>
      </w:r>
      <w:r w:rsidR="00B00889" w:rsidRPr="004F7F85">
        <w:rPr>
          <w:rFonts w:cs="Times New Roman"/>
          <w:szCs w:val="24"/>
        </w:rPr>
        <w:t xml:space="preserve"> (</w:t>
      </w:r>
      <w:r w:rsidR="00243B01" w:rsidRPr="004F7F85">
        <w:rPr>
          <w:rFonts w:cs="Times New Roman"/>
          <w:i/>
          <w:iCs/>
          <w:szCs w:val="24"/>
        </w:rPr>
        <w:t xml:space="preserve">n </w:t>
      </w:r>
      <w:r w:rsidR="00243B01" w:rsidRPr="004F7F85">
        <w:rPr>
          <w:rFonts w:cs="Times New Roman"/>
          <w:szCs w:val="24"/>
        </w:rPr>
        <w:t xml:space="preserve">= </w:t>
      </w:r>
      <w:r w:rsidR="00886B61" w:rsidRPr="004F7F85">
        <w:rPr>
          <w:rFonts w:cs="Times New Roman"/>
          <w:szCs w:val="24"/>
        </w:rPr>
        <w:t>13</w:t>
      </w:r>
      <w:r w:rsidR="00243B01" w:rsidRPr="004F7F85">
        <w:rPr>
          <w:rFonts w:cs="Times New Roman"/>
          <w:szCs w:val="24"/>
        </w:rPr>
        <w:t>;</w:t>
      </w:r>
      <w:r w:rsidR="00243B01" w:rsidRPr="004F7F85">
        <w:rPr>
          <w:rFonts w:cs="Times New Roman"/>
          <w:i/>
          <w:iCs/>
          <w:szCs w:val="24"/>
        </w:rPr>
        <w:t xml:space="preserve"> </w:t>
      </w:r>
      <w:r w:rsidR="00B00889" w:rsidRPr="004F7F85">
        <w:rPr>
          <w:rFonts w:cs="Times New Roman"/>
          <w:szCs w:val="24"/>
        </w:rPr>
        <w:t>52.00%) had heard of Agriculture in the Classroom (AITC), though only 16.00%</w:t>
      </w:r>
      <w:r w:rsidR="00243B01" w:rsidRPr="004F7F85">
        <w:rPr>
          <w:rFonts w:cs="Times New Roman"/>
          <w:szCs w:val="24"/>
        </w:rPr>
        <w:t xml:space="preserve"> (</w:t>
      </w:r>
      <w:r w:rsidR="00243B01" w:rsidRPr="004F7F85">
        <w:rPr>
          <w:rFonts w:cs="Times New Roman"/>
          <w:i/>
          <w:iCs/>
          <w:szCs w:val="24"/>
        </w:rPr>
        <w:t xml:space="preserve">n </w:t>
      </w:r>
      <w:r w:rsidR="00243B01" w:rsidRPr="004F7F85">
        <w:rPr>
          <w:rFonts w:cs="Times New Roman"/>
          <w:szCs w:val="24"/>
        </w:rPr>
        <w:t xml:space="preserve">= </w:t>
      </w:r>
      <w:r w:rsidR="00886B61" w:rsidRPr="004F7F85">
        <w:rPr>
          <w:rFonts w:cs="Times New Roman"/>
          <w:szCs w:val="24"/>
        </w:rPr>
        <w:t>4</w:t>
      </w:r>
      <w:r w:rsidR="00243B01" w:rsidRPr="004F7F85">
        <w:rPr>
          <w:rFonts w:cs="Times New Roman"/>
          <w:szCs w:val="24"/>
        </w:rPr>
        <w:t>)</w:t>
      </w:r>
      <w:r w:rsidR="00B00889" w:rsidRPr="004F7F85">
        <w:rPr>
          <w:rFonts w:cs="Times New Roman"/>
          <w:szCs w:val="24"/>
        </w:rPr>
        <w:t xml:space="preserve"> had used AITC resources. Complete demographic information is presented in Table 1.</w:t>
      </w:r>
    </w:p>
    <w:p w14:paraId="51EB1DDD" w14:textId="634198E4" w:rsidR="00C80907" w:rsidRPr="004F7F85" w:rsidRDefault="00C80907" w:rsidP="00243B01">
      <w:pPr>
        <w:spacing w:line="240" w:lineRule="auto"/>
        <w:rPr>
          <w:rFonts w:cs="Times New Roman"/>
          <w:szCs w:val="24"/>
        </w:rPr>
      </w:pPr>
      <w:bookmarkStart w:id="7" w:name="_Toc211932763"/>
    </w:p>
    <w:p w14:paraId="67225C8E" w14:textId="77777777" w:rsidR="00886B61" w:rsidRPr="004F7F85" w:rsidRDefault="00827462" w:rsidP="00243B01">
      <w:pPr>
        <w:spacing w:line="240" w:lineRule="auto"/>
        <w:rPr>
          <w:rFonts w:cs="Times New Roman"/>
          <w:b/>
          <w:bCs/>
          <w:szCs w:val="24"/>
        </w:rPr>
      </w:pPr>
      <w:r w:rsidRPr="004F7F85">
        <w:rPr>
          <w:rFonts w:cs="Times New Roman"/>
          <w:b/>
          <w:bCs/>
          <w:szCs w:val="24"/>
        </w:rPr>
        <w:t xml:space="preserve">Table </w:t>
      </w:r>
      <w:r w:rsidR="00B00889" w:rsidRPr="004F7F85">
        <w:rPr>
          <w:rFonts w:cs="Times New Roman"/>
          <w:b/>
          <w:bCs/>
          <w:szCs w:val="24"/>
        </w:rPr>
        <w:t>1</w:t>
      </w:r>
    </w:p>
    <w:p w14:paraId="42CDF16B" w14:textId="2F44C4D5" w:rsidR="008202B5" w:rsidRPr="004F7F85" w:rsidRDefault="00827462" w:rsidP="00886B61">
      <w:pPr>
        <w:spacing w:line="240" w:lineRule="auto"/>
        <w:rPr>
          <w:rFonts w:cs="Times New Roman"/>
          <w:szCs w:val="24"/>
        </w:rPr>
      </w:pPr>
      <w:r w:rsidRPr="004F7F85">
        <w:rPr>
          <w:rFonts w:cs="Times New Roman"/>
          <w:szCs w:val="24"/>
        </w:rPr>
        <w:t>Pre-Service Elementary Education Teachers’ Descriptive Information (</w:t>
      </w:r>
      <w:r w:rsidRPr="004F7F85">
        <w:rPr>
          <w:rFonts w:cs="Times New Roman"/>
          <w:i/>
          <w:iCs/>
          <w:szCs w:val="24"/>
        </w:rPr>
        <w:t>n</w:t>
      </w:r>
      <w:r w:rsidR="000868E9" w:rsidRPr="004F7F85">
        <w:rPr>
          <w:rFonts w:cs="Times New Roman"/>
          <w:i/>
          <w:iCs/>
          <w:szCs w:val="24"/>
        </w:rPr>
        <w:t xml:space="preserve"> </w:t>
      </w:r>
      <w:r w:rsidRPr="004F7F85">
        <w:rPr>
          <w:rFonts w:cs="Times New Roman"/>
          <w:szCs w:val="24"/>
        </w:rPr>
        <w:t>=</w:t>
      </w:r>
      <w:r w:rsidR="000868E9" w:rsidRPr="004F7F85">
        <w:rPr>
          <w:rFonts w:cs="Times New Roman"/>
          <w:szCs w:val="24"/>
        </w:rPr>
        <w:t xml:space="preserve"> </w:t>
      </w:r>
      <w:r w:rsidRPr="004F7F85">
        <w:rPr>
          <w:rFonts w:cs="Times New Roman"/>
          <w:szCs w:val="24"/>
        </w:rPr>
        <w:t>25)</w:t>
      </w:r>
      <w:bookmarkEnd w:id="7"/>
    </w:p>
    <w:tbl>
      <w:tblPr>
        <w:tblStyle w:val="TableGrid"/>
        <w:tblW w:w="9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0"/>
        <w:gridCol w:w="724"/>
        <w:gridCol w:w="756"/>
        <w:gridCol w:w="918"/>
        <w:gridCol w:w="970"/>
        <w:gridCol w:w="492"/>
        <w:gridCol w:w="876"/>
        <w:gridCol w:w="718"/>
        <w:gridCol w:w="756"/>
      </w:tblGrid>
      <w:tr w:rsidR="004709DB" w:rsidRPr="004F7F85" w14:paraId="7F296997" w14:textId="77777777" w:rsidTr="004709DB">
        <w:tc>
          <w:tcPr>
            <w:tcW w:w="3240" w:type="dxa"/>
            <w:tcBorders>
              <w:top w:val="single" w:sz="4" w:space="0" w:color="auto"/>
            </w:tcBorders>
          </w:tcPr>
          <w:p w14:paraId="25A89D73" w14:textId="7A4A745C" w:rsidR="004709DB" w:rsidRPr="004F7F85" w:rsidRDefault="004709DB" w:rsidP="004709DB">
            <w:pPr>
              <w:pStyle w:val="Subheading"/>
              <w:rPr>
                <w:b w:val="0"/>
                <w:bCs w:val="0"/>
                <w:sz w:val="24"/>
                <w:szCs w:val="24"/>
              </w:rPr>
            </w:pPr>
            <w:bookmarkStart w:id="8" w:name="_Toc206401365"/>
          </w:p>
        </w:tc>
        <w:tc>
          <w:tcPr>
            <w:tcW w:w="1480" w:type="dxa"/>
            <w:gridSpan w:val="2"/>
            <w:tcBorders>
              <w:top w:val="single" w:sz="4" w:space="0" w:color="auto"/>
              <w:bottom w:val="single" w:sz="4" w:space="0" w:color="auto"/>
            </w:tcBorders>
            <w:vAlign w:val="bottom"/>
          </w:tcPr>
          <w:p w14:paraId="7B57C1E5" w14:textId="77777777" w:rsidR="004709DB" w:rsidRPr="004F7F85" w:rsidRDefault="004709DB" w:rsidP="004709DB">
            <w:pPr>
              <w:pStyle w:val="Subheading"/>
              <w:jc w:val="center"/>
              <w:rPr>
                <w:b w:val="0"/>
                <w:bCs w:val="0"/>
                <w:sz w:val="24"/>
                <w:szCs w:val="24"/>
              </w:rPr>
            </w:pPr>
            <w:r w:rsidRPr="004F7F85">
              <w:rPr>
                <w:b w:val="0"/>
                <w:bCs w:val="0"/>
                <w:sz w:val="24"/>
                <w:szCs w:val="24"/>
              </w:rPr>
              <w:t>Enrolled in Practicum</w:t>
            </w:r>
          </w:p>
          <w:p w14:paraId="03D00D60" w14:textId="70B67309" w:rsidR="004709DB" w:rsidRPr="004F7F85" w:rsidRDefault="004709DB" w:rsidP="004709DB">
            <w:pPr>
              <w:pStyle w:val="Subheading"/>
              <w:jc w:val="center"/>
              <w:rPr>
                <w:b w:val="0"/>
                <w:bCs w:val="0"/>
                <w:sz w:val="24"/>
                <w:szCs w:val="24"/>
              </w:rPr>
            </w:pPr>
            <w:r w:rsidRPr="004F7F85">
              <w:rPr>
                <w:b w:val="0"/>
                <w:bCs w:val="0"/>
                <w:sz w:val="24"/>
                <w:szCs w:val="24"/>
              </w:rPr>
              <w:t>(</w:t>
            </w:r>
            <w:r w:rsidRPr="004F7F85">
              <w:rPr>
                <w:b w:val="0"/>
                <w:bCs w:val="0"/>
                <w:i/>
                <w:sz w:val="24"/>
                <w:szCs w:val="24"/>
              </w:rPr>
              <w:t xml:space="preserve">n </w:t>
            </w:r>
            <w:r w:rsidRPr="004F7F85">
              <w:rPr>
                <w:b w:val="0"/>
                <w:bCs w:val="0"/>
                <w:sz w:val="24"/>
                <w:szCs w:val="24"/>
              </w:rPr>
              <w:t>= 9)</w:t>
            </w:r>
          </w:p>
        </w:tc>
        <w:tc>
          <w:tcPr>
            <w:tcW w:w="1888" w:type="dxa"/>
            <w:gridSpan w:val="2"/>
            <w:tcBorders>
              <w:top w:val="single" w:sz="4" w:space="0" w:color="auto"/>
              <w:bottom w:val="single" w:sz="4" w:space="0" w:color="auto"/>
            </w:tcBorders>
            <w:vAlign w:val="bottom"/>
          </w:tcPr>
          <w:p w14:paraId="545B1BD5" w14:textId="163F1520" w:rsidR="004709DB" w:rsidRPr="004F7F85" w:rsidRDefault="004709DB" w:rsidP="004709DB">
            <w:pPr>
              <w:pStyle w:val="Subheading"/>
              <w:jc w:val="center"/>
              <w:rPr>
                <w:b w:val="0"/>
                <w:bCs w:val="0"/>
                <w:sz w:val="24"/>
                <w:szCs w:val="24"/>
              </w:rPr>
            </w:pPr>
            <w:r w:rsidRPr="004F7F85">
              <w:rPr>
                <w:b w:val="0"/>
                <w:bCs w:val="0"/>
                <w:sz w:val="24"/>
                <w:szCs w:val="24"/>
              </w:rPr>
              <w:t>Enrolled in Student Teaching</w:t>
            </w:r>
          </w:p>
          <w:p w14:paraId="181E3761" w14:textId="46479DA9" w:rsidR="004709DB" w:rsidRPr="004F7F85" w:rsidRDefault="004709DB" w:rsidP="004709DB">
            <w:pPr>
              <w:pStyle w:val="Subheading"/>
              <w:jc w:val="center"/>
              <w:rPr>
                <w:b w:val="0"/>
                <w:bCs w:val="0"/>
                <w:sz w:val="24"/>
                <w:szCs w:val="24"/>
              </w:rPr>
            </w:pPr>
            <w:r w:rsidRPr="004F7F85">
              <w:rPr>
                <w:b w:val="0"/>
                <w:bCs w:val="0"/>
                <w:sz w:val="24"/>
                <w:szCs w:val="24"/>
              </w:rPr>
              <w:t>(</w:t>
            </w:r>
            <w:r w:rsidRPr="004F7F85">
              <w:rPr>
                <w:b w:val="0"/>
                <w:bCs w:val="0"/>
                <w:i/>
                <w:sz w:val="24"/>
                <w:szCs w:val="24"/>
              </w:rPr>
              <w:t xml:space="preserve">n </w:t>
            </w:r>
            <w:r w:rsidRPr="004F7F85">
              <w:rPr>
                <w:b w:val="0"/>
                <w:bCs w:val="0"/>
                <w:sz w:val="24"/>
                <w:szCs w:val="24"/>
              </w:rPr>
              <w:t>= 15)</w:t>
            </w:r>
          </w:p>
        </w:tc>
        <w:tc>
          <w:tcPr>
            <w:tcW w:w="1368" w:type="dxa"/>
            <w:gridSpan w:val="2"/>
            <w:tcBorders>
              <w:top w:val="single" w:sz="4" w:space="0" w:color="auto"/>
              <w:bottom w:val="single" w:sz="4" w:space="0" w:color="auto"/>
            </w:tcBorders>
            <w:vAlign w:val="bottom"/>
          </w:tcPr>
          <w:p w14:paraId="534F562B" w14:textId="77777777" w:rsidR="004709DB" w:rsidRPr="004F7F85" w:rsidRDefault="004709DB" w:rsidP="004709DB">
            <w:pPr>
              <w:pStyle w:val="Subheading"/>
              <w:jc w:val="center"/>
              <w:rPr>
                <w:b w:val="0"/>
                <w:bCs w:val="0"/>
                <w:sz w:val="24"/>
                <w:szCs w:val="24"/>
              </w:rPr>
            </w:pPr>
            <w:r w:rsidRPr="004F7F85">
              <w:rPr>
                <w:b w:val="0"/>
                <w:bCs w:val="0"/>
                <w:sz w:val="24"/>
                <w:szCs w:val="24"/>
              </w:rPr>
              <w:t>Enrolled in Other</w:t>
            </w:r>
          </w:p>
          <w:p w14:paraId="4ABE65CF" w14:textId="25A997EC" w:rsidR="004709DB" w:rsidRPr="004F7F85" w:rsidRDefault="004709DB" w:rsidP="004709DB">
            <w:pPr>
              <w:pStyle w:val="Subheading"/>
              <w:jc w:val="center"/>
              <w:rPr>
                <w:b w:val="0"/>
                <w:bCs w:val="0"/>
                <w:sz w:val="24"/>
                <w:szCs w:val="24"/>
              </w:rPr>
            </w:pPr>
            <w:r w:rsidRPr="004F7F85">
              <w:rPr>
                <w:b w:val="0"/>
                <w:bCs w:val="0"/>
                <w:sz w:val="24"/>
                <w:szCs w:val="24"/>
              </w:rPr>
              <w:t>(</w:t>
            </w:r>
            <w:r w:rsidRPr="004F7F85">
              <w:rPr>
                <w:b w:val="0"/>
                <w:bCs w:val="0"/>
                <w:i/>
                <w:sz w:val="24"/>
                <w:szCs w:val="24"/>
              </w:rPr>
              <w:t xml:space="preserve">n </w:t>
            </w:r>
            <w:r w:rsidRPr="004F7F85">
              <w:rPr>
                <w:b w:val="0"/>
                <w:bCs w:val="0"/>
                <w:sz w:val="24"/>
                <w:szCs w:val="24"/>
              </w:rPr>
              <w:t>= 1)</w:t>
            </w:r>
          </w:p>
        </w:tc>
        <w:tc>
          <w:tcPr>
            <w:tcW w:w="1474" w:type="dxa"/>
            <w:gridSpan w:val="2"/>
            <w:tcBorders>
              <w:top w:val="single" w:sz="4" w:space="0" w:color="auto"/>
              <w:bottom w:val="single" w:sz="4" w:space="0" w:color="auto"/>
            </w:tcBorders>
            <w:vAlign w:val="bottom"/>
          </w:tcPr>
          <w:p w14:paraId="329F27F6" w14:textId="3FB59051" w:rsidR="004709DB" w:rsidRPr="004F7F85" w:rsidRDefault="004709DB" w:rsidP="004709DB">
            <w:pPr>
              <w:pStyle w:val="Subheading"/>
              <w:jc w:val="center"/>
              <w:rPr>
                <w:b w:val="0"/>
                <w:bCs w:val="0"/>
                <w:sz w:val="24"/>
                <w:szCs w:val="24"/>
              </w:rPr>
            </w:pPr>
            <w:r w:rsidRPr="004F7F85">
              <w:rPr>
                <w:b w:val="0"/>
                <w:bCs w:val="0"/>
                <w:sz w:val="24"/>
                <w:szCs w:val="24"/>
              </w:rPr>
              <w:t>Combined Groups</w:t>
            </w:r>
          </w:p>
          <w:p w14:paraId="1A1DAAAD" w14:textId="1ECCD0C0" w:rsidR="004709DB" w:rsidRPr="004F7F85" w:rsidRDefault="004709DB" w:rsidP="004709DB">
            <w:pPr>
              <w:pStyle w:val="Subheading"/>
              <w:jc w:val="center"/>
              <w:rPr>
                <w:b w:val="0"/>
                <w:bCs w:val="0"/>
                <w:sz w:val="24"/>
                <w:szCs w:val="24"/>
              </w:rPr>
            </w:pPr>
            <w:r w:rsidRPr="004F7F85">
              <w:rPr>
                <w:b w:val="0"/>
                <w:bCs w:val="0"/>
                <w:sz w:val="24"/>
                <w:szCs w:val="24"/>
              </w:rPr>
              <w:t>(</w:t>
            </w:r>
            <w:r w:rsidRPr="004F7F85">
              <w:rPr>
                <w:b w:val="0"/>
                <w:bCs w:val="0"/>
                <w:i/>
                <w:sz w:val="24"/>
                <w:szCs w:val="24"/>
              </w:rPr>
              <w:t xml:space="preserve">n </w:t>
            </w:r>
            <w:r w:rsidRPr="004F7F85">
              <w:rPr>
                <w:b w:val="0"/>
                <w:bCs w:val="0"/>
                <w:sz w:val="24"/>
                <w:szCs w:val="24"/>
              </w:rPr>
              <w:t>= 25)</w:t>
            </w:r>
          </w:p>
        </w:tc>
      </w:tr>
      <w:tr w:rsidR="004709DB" w:rsidRPr="004F7F85" w14:paraId="5D12207C" w14:textId="77777777" w:rsidTr="004709DB">
        <w:tc>
          <w:tcPr>
            <w:tcW w:w="3240" w:type="dxa"/>
            <w:tcBorders>
              <w:bottom w:val="single" w:sz="4" w:space="0" w:color="auto"/>
            </w:tcBorders>
          </w:tcPr>
          <w:p w14:paraId="26A10C6E" w14:textId="77777777" w:rsidR="004709DB" w:rsidRPr="004F7F85" w:rsidRDefault="004709DB" w:rsidP="004709DB">
            <w:pPr>
              <w:pStyle w:val="Subheading"/>
              <w:rPr>
                <w:b w:val="0"/>
                <w:bCs w:val="0"/>
                <w:sz w:val="24"/>
                <w:szCs w:val="24"/>
              </w:rPr>
            </w:pPr>
          </w:p>
        </w:tc>
        <w:tc>
          <w:tcPr>
            <w:tcW w:w="724" w:type="dxa"/>
            <w:tcBorders>
              <w:top w:val="single" w:sz="4" w:space="0" w:color="auto"/>
              <w:bottom w:val="single" w:sz="4" w:space="0" w:color="auto"/>
            </w:tcBorders>
          </w:tcPr>
          <w:p w14:paraId="0B6699C0" w14:textId="23F1361C" w:rsidR="004709DB" w:rsidRPr="004F7F85" w:rsidRDefault="004709DB" w:rsidP="004709DB">
            <w:pPr>
              <w:pStyle w:val="Subheading"/>
              <w:jc w:val="center"/>
              <w:rPr>
                <w:b w:val="0"/>
                <w:bCs w:val="0"/>
                <w:sz w:val="24"/>
                <w:szCs w:val="24"/>
              </w:rPr>
            </w:pPr>
            <w:r w:rsidRPr="004F7F85">
              <w:rPr>
                <w:b w:val="0"/>
                <w:bCs w:val="0"/>
                <w:i/>
                <w:sz w:val="24"/>
                <w:szCs w:val="24"/>
              </w:rPr>
              <w:t>f</w:t>
            </w:r>
          </w:p>
        </w:tc>
        <w:tc>
          <w:tcPr>
            <w:tcW w:w="756" w:type="dxa"/>
            <w:tcBorders>
              <w:top w:val="single" w:sz="4" w:space="0" w:color="auto"/>
              <w:bottom w:val="single" w:sz="4" w:space="0" w:color="auto"/>
            </w:tcBorders>
          </w:tcPr>
          <w:p w14:paraId="7A2520A8" w14:textId="77B59A93" w:rsidR="004709DB" w:rsidRPr="004F7F85" w:rsidRDefault="004709DB" w:rsidP="004709DB">
            <w:pPr>
              <w:pStyle w:val="Subheading"/>
              <w:jc w:val="center"/>
              <w:rPr>
                <w:b w:val="0"/>
                <w:bCs w:val="0"/>
                <w:sz w:val="24"/>
                <w:szCs w:val="24"/>
              </w:rPr>
            </w:pPr>
            <w:r w:rsidRPr="004F7F85">
              <w:rPr>
                <w:b w:val="0"/>
                <w:bCs w:val="0"/>
                <w:sz w:val="24"/>
                <w:szCs w:val="24"/>
              </w:rPr>
              <w:t>%</w:t>
            </w:r>
          </w:p>
        </w:tc>
        <w:tc>
          <w:tcPr>
            <w:tcW w:w="918" w:type="dxa"/>
            <w:tcBorders>
              <w:top w:val="single" w:sz="4" w:space="0" w:color="auto"/>
              <w:bottom w:val="single" w:sz="4" w:space="0" w:color="auto"/>
            </w:tcBorders>
          </w:tcPr>
          <w:p w14:paraId="7D62B8ED" w14:textId="0CF7E168" w:rsidR="004709DB" w:rsidRPr="004F7F85" w:rsidRDefault="004709DB" w:rsidP="004709DB">
            <w:pPr>
              <w:pStyle w:val="Subheading"/>
              <w:jc w:val="center"/>
              <w:rPr>
                <w:b w:val="0"/>
                <w:bCs w:val="0"/>
                <w:sz w:val="24"/>
                <w:szCs w:val="24"/>
              </w:rPr>
            </w:pPr>
            <w:r w:rsidRPr="004F7F85">
              <w:rPr>
                <w:b w:val="0"/>
                <w:bCs w:val="0"/>
                <w:i/>
                <w:sz w:val="24"/>
                <w:szCs w:val="24"/>
              </w:rPr>
              <w:t>f</w:t>
            </w:r>
          </w:p>
        </w:tc>
        <w:tc>
          <w:tcPr>
            <w:tcW w:w="970" w:type="dxa"/>
            <w:tcBorders>
              <w:top w:val="single" w:sz="4" w:space="0" w:color="auto"/>
              <w:bottom w:val="single" w:sz="4" w:space="0" w:color="auto"/>
            </w:tcBorders>
          </w:tcPr>
          <w:p w14:paraId="4F5D4B84" w14:textId="1C8F0AC1" w:rsidR="004709DB" w:rsidRPr="004F7F85" w:rsidRDefault="004709DB" w:rsidP="004709DB">
            <w:pPr>
              <w:pStyle w:val="Subheading"/>
              <w:jc w:val="center"/>
              <w:rPr>
                <w:b w:val="0"/>
                <w:bCs w:val="0"/>
                <w:sz w:val="24"/>
                <w:szCs w:val="24"/>
              </w:rPr>
            </w:pPr>
            <w:r w:rsidRPr="004F7F85">
              <w:rPr>
                <w:b w:val="0"/>
                <w:bCs w:val="0"/>
                <w:sz w:val="24"/>
                <w:szCs w:val="24"/>
              </w:rPr>
              <w:t>%</w:t>
            </w:r>
          </w:p>
        </w:tc>
        <w:tc>
          <w:tcPr>
            <w:tcW w:w="492" w:type="dxa"/>
            <w:tcBorders>
              <w:bottom w:val="single" w:sz="4" w:space="0" w:color="auto"/>
            </w:tcBorders>
          </w:tcPr>
          <w:p w14:paraId="4926E4B0" w14:textId="369C5BE4" w:rsidR="004709DB" w:rsidRPr="004F7F85" w:rsidRDefault="004709DB" w:rsidP="004709DB">
            <w:pPr>
              <w:pStyle w:val="Subheading"/>
              <w:jc w:val="center"/>
              <w:rPr>
                <w:b w:val="0"/>
                <w:bCs w:val="0"/>
                <w:sz w:val="24"/>
                <w:szCs w:val="24"/>
              </w:rPr>
            </w:pPr>
            <w:r w:rsidRPr="004F7F85">
              <w:rPr>
                <w:b w:val="0"/>
                <w:bCs w:val="0"/>
                <w:i/>
                <w:sz w:val="24"/>
                <w:szCs w:val="24"/>
              </w:rPr>
              <w:t>f</w:t>
            </w:r>
          </w:p>
        </w:tc>
        <w:tc>
          <w:tcPr>
            <w:tcW w:w="876" w:type="dxa"/>
            <w:tcBorders>
              <w:bottom w:val="single" w:sz="4" w:space="0" w:color="auto"/>
            </w:tcBorders>
          </w:tcPr>
          <w:p w14:paraId="742016B1" w14:textId="277E0223" w:rsidR="004709DB" w:rsidRPr="004F7F85" w:rsidRDefault="004709DB" w:rsidP="004709DB">
            <w:pPr>
              <w:pStyle w:val="Subheading"/>
              <w:jc w:val="center"/>
              <w:rPr>
                <w:b w:val="0"/>
                <w:bCs w:val="0"/>
                <w:sz w:val="24"/>
                <w:szCs w:val="24"/>
              </w:rPr>
            </w:pPr>
            <w:r w:rsidRPr="004F7F85">
              <w:rPr>
                <w:b w:val="0"/>
                <w:bCs w:val="0"/>
                <w:sz w:val="24"/>
                <w:szCs w:val="24"/>
              </w:rPr>
              <w:t>%</w:t>
            </w:r>
          </w:p>
        </w:tc>
        <w:tc>
          <w:tcPr>
            <w:tcW w:w="718" w:type="dxa"/>
            <w:tcBorders>
              <w:top w:val="single" w:sz="4" w:space="0" w:color="auto"/>
              <w:bottom w:val="single" w:sz="4" w:space="0" w:color="auto"/>
            </w:tcBorders>
          </w:tcPr>
          <w:p w14:paraId="0E136D94" w14:textId="2824B70F" w:rsidR="004709DB" w:rsidRPr="004F7F85" w:rsidRDefault="004709DB" w:rsidP="004709DB">
            <w:pPr>
              <w:pStyle w:val="Subheading"/>
              <w:jc w:val="center"/>
              <w:rPr>
                <w:b w:val="0"/>
                <w:bCs w:val="0"/>
                <w:sz w:val="24"/>
                <w:szCs w:val="24"/>
              </w:rPr>
            </w:pPr>
            <w:r w:rsidRPr="004F7F85">
              <w:rPr>
                <w:b w:val="0"/>
                <w:bCs w:val="0"/>
                <w:i/>
                <w:sz w:val="24"/>
                <w:szCs w:val="24"/>
              </w:rPr>
              <w:t>f</w:t>
            </w:r>
          </w:p>
        </w:tc>
        <w:tc>
          <w:tcPr>
            <w:tcW w:w="756" w:type="dxa"/>
            <w:tcBorders>
              <w:top w:val="single" w:sz="4" w:space="0" w:color="auto"/>
              <w:bottom w:val="single" w:sz="4" w:space="0" w:color="auto"/>
            </w:tcBorders>
          </w:tcPr>
          <w:p w14:paraId="1A5F8230" w14:textId="238F72B9" w:rsidR="004709DB" w:rsidRPr="004F7F85" w:rsidRDefault="004709DB" w:rsidP="004709DB">
            <w:pPr>
              <w:pStyle w:val="Subheading"/>
              <w:jc w:val="center"/>
              <w:rPr>
                <w:b w:val="0"/>
                <w:bCs w:val="0"/>
                <w:sz w:val="24"/>
                <w:szCs w:val="24"/>
              </w:rPr>
            </w:pPr>
            <w:r w:rsidRPr="004F7F85">
              <w:rPr>
                <w:b w:val="0"/>
                <w:bCs w:val="0"/>
                <w:sz w:val="24"/>
                <w:szCs w:val="24"/>
              </w:rPr>
              <w:t>%</w:t>
            </w:r>
          </w:p>
        </w:tc>
      </w:tr>
      <w:tr w:rsidR="004709DB" w:rsidRPr="004F7F85" w14:paraId="51717BB9" w14:textId="77777777" w:rsidTr="004709DB">
        <w:tc>
          <w:tcPr>
            <w:tcW w:w="3240" w:type="dxa"/>
            <w:tcBorders>
              <w:top w:val="single" w:sz="4" w:space="0" w:color="auto"/>
            </w:tcBorders>
          </w:tcPr>
          <w:p w14:paraId="4F8E1F57" w14:textId="208C2D53" w:rsidR="004709DB" w:rsidRPr="004F7F85" w:rsidRDefault="004709DB" w:rsidP="004709DB">
            <w:pPr>
              <w:pStyle w:val="Subheading"/>
              <w:rPr>
                <w:b w:val="0"/>
                <w:bCs w:val="0"/>
                <w:sz w:val="24"/>
                <w:szCs w:val="24"/>
              </w:rPr>
            </w:pPr>
            <w:r w:rsidRPr="004F7F85">
              <w:rPr>
                <w:b w:val="0"/>
                <w:bCs w:val="0"/>
                <w:sz w:val="24"/>
                <w:szCs w:val="24"/>
              </w:rPr>
              <w:t>Gender</w:t>
            </w:r>
          </w:p>
        </w:tc>
        <w:tc>
          <w:tcPr>
            <w:tcW w:w="724" w:type="dxa"/>
            <w:tcBorders>
              <w:top w:val="single" w:sz="4" w:space="0" w:color="auto"/>
            </w:tcBorders>
          </w:tcPr>
          <w:p w14:paraId="1A553D86" w14:textId="77777777" w:rsidR="004709DB" w:rsidRPr="004F7F85" w:rsidRDefault="004709DB" w:rsidP="004709DB">
            <w:pPr>
              <w:pStyle w:val="Subheading"/>
              <w:rPr>
                <w:b w:val="0"/>
                <w:bCs w:val="0"/>
                <w:sz w:val="24"/>
                <w:szCs w:val="24"/>
              </w:rPr>
            </w:pPr>
          </w:p>
        </w:tc>
        <w:tc>
          <w:tcPr>
            <w:tcW w:w="756" w:type="dxa"/>
            <w:tcBorders>
              <w:top w:val="single" w:sz="4" w:space="0" w:color="auto"/>
            </w:tcBorders>
          </w:tcPr>
          <w:p w14:paraId="53260D41" w14:textId="77777777" w:rsidR="004709DB" w:rsidRPr="004F7F85" w:rsidRDefault="004709DB" w:rsidP="004709DB">
            <w:pPr>
              <w:pStyle w:val="Subheading"/>
              <w:rPr>
                <w:b w:val="0"/>
                <w:bCs w:val="0"/>
                <w:sz w:val="24"/>
                <w:szCs w:val="24"/>
              </w:rPr>
            </w:pPr>
          </w:p>
        </w:tc>
        <w:tc>
          <w:tcPr>
            <w:tcW w:w="918" w:type="dxa"/>
            <w:tcBorders>
              <w:top w:val="single" w:sz="4" w:space="0" w:color="auto"/>
            </w:tcBorders>
          </w:tcPr>
          <w:p w14:paraId="75D74CB4" w14:textId="77777777" w:rsidR="004709DB" w:rsidRPr="004F7F85" w:rsidRDefault="004709DB" w:rsidP="004709DB">
            <w:pPr>
              <w:pStyle w:val="Subheading"/>
              <w:rPr>
                <w:b w:val="0"/>
                <w:bCs w:val="0"/>
                <w:sz w:val="24"/>
                <w:szCs w:val="24"/>
              </w:rPr>
            </w:pPr>
          </w:p>
        </w:tc>
        <w:tc>
          <w:tcPr>
            <w:tcW w:w="970" w:type="dxa"/>
            <w:tcBorders>
              <w:top w:val="single" w:sz="4" w:space="0" w:color="auto"/>
            </w:tcBorders>
          </w:tcPr>
          <w:p w14:paraId="5FA68A47" w14:textId="77777777" w:rsidR="004709DB" w:rsidRPr="004F7F85" w:rsidRDefault="004709DB" w:rsidP="004709DB">
            <w:pPr>
              <w:pStyle w:val="Subheading"/>
              <w:rPr>
                <w:b w:val="0"/>
                <w:bCs w:val="0"/>
                <w:sz w:val="24"/>
                <w:szCs w:val="24"/>
              </w:rPr>
            </w:pPr>
          </w:p>
        </w:tc>
        <w:tc>
          <w:tcPr>
            <w:tcW w:w="492" w:type="dxa"/>
            <w:tcBorders>
              <w:top w:val="single" w:sz="4" w:space="0" w:color="auto"/>
            </w:tcBorders>
          </w:tcPr>
          <w:p w14:paraId="1313AD6C" w14:textId="77777777" w:rsidR="004709DB" w:rsidRPr="004F7F85" w:rsidRDefault="004709DB" w:rsidP="004709DB">
            <w:pPr>
              <w:pStyle w:val="Subheading"/>
              <w:rPr>
                <w:b w:val="0"/>
                <w:bCs w:val="0"/>
                <w:sz w:val="24"/>
                <w:szCs w:val="24"/>
              </w:rPr>
            </w:pPr>
          </w:p>
        </w:tc>
        <w:tc>
          <w:tcPr>
            <w:tcW w:w="876" w:type="dxa"/>
            <w:tcBorders>
              <w:top w:val="single" w:sz="4" w:space="0" w:color="auto"/>
            </w:tcBorders>
          </w:tcPr>
          <w:p w14:paraId="74F0C3B9" w14:textId="77777777" w:rsidR="004709DB" w:rsidRPr="004F7F85" w:rsidRDefault="004709DB" w:rsidP="004709DB">
            <w:pPr>
              <w:pStyle w:val="Subheading"/>
              <w:rPr>
                <w:b w:val="0"/>
                <w:bCs w:val="0"/>
                <w:sz w:val="24"/>
                <w:szCs w:val="24"/>
              </w:rPr>
            </w:pPr>
          </w:p>
        </w:tc>
        <w:tc>
          <w:tcPr>
            <w:tcW w:w="718" w:type="dxa"/>
            <w:tcBorders>
              <w:top w:val="single" w:sz="4" w:space="0" w:color="auto"/>
            </w:tcBorders>
          </w:tcPr>
          <w:p w14:paraId="539198F3" w14:textId="77777777" w:rsidR="004709DB" w:rsidRPr="004F7F85" w:rsidRDefault="004709DB" w:rsidP="004709DB">
            <w:pPr>
              <w:pStyle w:val="Subheading"/>
              <w:rPr>
                <w:b w:val="0"/>
                <w:bCs w:val="0"/>
                <w:sz w:val="24"/>
                <w:szCs w:val="24"/>
              </w:rPr>
            </w:pPr>
          </w:p>
        </w:tc>
        <w:tc>
          <w:tcPr>
            <w:tcW w:w="756" w:type="dxa"/>
            <w:tcBorders>
              <w:top w:val="single" w:sz="4" w:space="0" w:color="auto"/>
            </w:tcBorders>
          </w:tcPr>
          <w:p w14:paraId="13A58F27" w14:textId="77777777" w:rsidR="004709DB" w:rsidRPr="004F7F85" w:rsidRDefault="004709DB" w:rsidP="004709DB">
            <w:pPr>
              <w:pStyle w:val="Subheading"/>
              <w:rPr>
                <w:b w:val="0"/>
                <w:bCs w:val="0"/>
                <w:sz w:val="24"/>
                <w:szCs w:val="24"/>
              </w:rPr>
            </w:pPr>
          </w:p>
        </w:tc>
      </w:tr>
      <w:tr w:rsidR="004709DB" w:rsidRPr="004F7F85" w14:paraId="13318F72" w14:textId="77777777" w:rsidTr="004709DB">
        <w:tc>
          <w:tcPr>
            <w:tcW w:w="3240" w:type="dxa"/>
          </w:tcPr>
          <w:p w14:paraId="72C4AF47" w14:textId="5A523002" w:rsidR="004709DB" w:rsidRPr="004F7F85" w:rsidRDefault="004709DB" w:rsidP="004709DB">
            <w:pPr>
              <w:pStyle w:val="Subheading"/>
              <w:ind w:left="161"/>
              <w:rPr>
                <w:b w:val="0"/>
                <w:bCs w:val="0"/>
                <w:sz w:val="24"/>
                <w:szCs w:val="24"/>
              </w:rPr>
            </w:pPr>
            <w:r w:rsidRPr="004F7F85">
              <w:rPr>
                <w:b w:val="0"/>
                <w:bCs w:val="0"/>
                <w:sz w:val="24"/>
                <w:szCs w:val="24"/>
              </w:rPr>
              <w:t>Male</w:t>
            </w:r>
          </w:p>
        </w:tc>
        <w:tc>
          <w:tcPr>
            <w:tcW w:w="724" w:type="dxa"/>
          </w:tcPr>
          <w:p w14:paraId="77A176A0" w14:textId="1228F37B" w:rsidR="004709DB" w:rsidRPr="004F7F85" w:rsidRDefault="004709DB" w:rsidP="004709DB">
            <w:pPr>
              <w:pStyle w:val="Subheading"/>
              <w:jc w:val="center"/>
              <w:rPr>
                <w:b w:val="0"/>
                <w:bCs w:val="0"/>
                <w:sz w:val="24"/>
                <w:szCs w:val="24"/>
              </w:rPr>
            </w:pPr>
            <w:r w:rsidRPr="004F7F85">
              <w:rPr>
                <w:b w:val="0"/>
                <w:bCs w:val="0"/>
                <w:sz w:val="24"/>
                <w:szCs w:val="24"/>
              </w:rPr>
              <w:t>3</w:t>
            </w:r>
          </w:p>
        </w:tc>
        <w:tc>
          <w:tcPr>
            <w:tcW w:w="756" w:type="dxa"/>
          </w:tcPr>
          <w:p w14:paraId="4428815E" w14:textId="481167CF" w:rsidR="004709DB" w:rsidRPr="004F7F85" w:rsidRDefault="004709DB" w:rsidP="004709DB">
            <w:pPr>
              <w:pStyle w:val="Subheading"/>
              <w:jc w:val="center"/>
              <w:rPr>
                <w:b w:val="0"/>
                <w:bCs w:val="0"/>
                <w:sz w:val="24"/>
                <w:szCs w:val="24"/>
              </w:rPr>
            </w:pPr>
            <w:r w:rsidRPr="004F7F85">
              <w:rPr>
                <w:b w:val="0"/>
                <w:bCs w:val="0"/>
                <w:sz w:val="24"/>
                <w:szCs w:val="24"/>
              </w:rPr>
              <w:t>33.30</w:t>
            </w:r>
          </w:p>
        </w:tc>
        <w:tc>
          <w:tcPr>
            <w:tcW w:w="918" w:type="dxa"/>
          </w:tcPr>
          <w:p w14:paraId="7E852682" w14:textId="5EC85DE5" w:rsidR="004709DB" w:rsidRPr="004F7F85" w:rsidRDefault="004709DB" w:rsidP="004709DB">
            <w:pPr>
              <w:pStyle w:val="Subheading"/>
              <w:jc w:val="center"/>
              <w:rPr>
                <w:b w:val="0"/>
                <w:bCs w:val="0"/>
                <w:sz w:val="24"/>
                <w:szCs w:val="24"/>
              </w:rPr>
            </w:pPr>
            <w:r w:rsidRPr="004F7F85">
              <w:rPr>
                <w:b w:val="0"/>
                <w:bCs w:val="0"/>
                <w:sz w:val="24"/>
                <w:szCs w:val="24"/>
              </w:rPr>
              <w:t>1</w:t>
            </w:r>
          </w:p>
        </w:tc>
        <w:tc>
          <w:tcPr>
            <w:tcW w:w="970" w:type="dxa"/>
          </w:tcPr>
          <w:p w14:paraId="552342D6" w14:textId="47C6F108" w:rsidR="004709DB" w:rsidRPr="004F7F85" w:rsidRDefault="004709DB" w:rsidP="004709DB">
            <w:pPr>
              <w:pStyle w:val="Subheading"/>
              <w:jc w:val="center"/>
              <w:rPr>
                <w:b w:val="0"/>
                <w:bCs w:val="0"/>
                <w:sz w:val="24"/>
                <w:szCs w:val="24"/>
              </w:rPr>
            </w:pPr>
            <w:r w:rsidRPr="004F7F85">
              <w:rPr>
                <w:b w:val="0"/>
                <w:bCs w:val="0"/>
                <w:sz w:val="24"/>
                <w:szCs w:val="24"/>
              </w:rPr>
              <w:t>6.60</w:t>
            </w:r>
          </w:p>
        </w:tc>
        <w:tc>
          <w:tcPr>
            <w:tcW w:w="492" w:type="dxa"/>
          </w:tcPr>
          <w:p w14:paraId="44C7DE17" w14:textId="3619ADC1" w:rsidR="004709DB" w:rsidRPr="004F7F85" w:rsidRDefault="004709DB" w:rsidP="004709DB">
            <w:pPr>
              <w:pStyle w:val="Subheading"/>
              <w:jc w:val="center"/>
              <w:rPr>
                <w:b w:val="0"/>
                <w:bCs w:val="0"/>
                <w:sz w:val="24"/>
                <w:szCs w:val="24"/>
              </w:rPr>
            </w:pPr>
            <w:r w:rsidRPr="004F7F85">
              <w:rPr>
                <w:b w:val="0"/>
                <w:bCs w:val="0"/>
                <w:sz w:val="24"/>
                <w:szCs w:val="24"/>
              </w:rPr>
              <w:t>-</w:t>
            </w:r>
          </w:p>
        </w:tc>
        <w:tc>
          <w:tcPr>
            <w:tcW w:w="876" w:type="dxa"/>
          </w:tcPr>
          <w:p w14:paraId="429FE3BC" w14:textId="122B8388" w:rsidR="004709DB" w:rsidRPr="004F7F85" w:rsidRDefault="004709DB" w:rsidP="004709DB">
            <w:pPr>
              <w:pStyle w:val="Subheading"/>
              <w:jc w:val="center"/>
              <w:rPr>
                <w:b w:val="0"/>
                <w:bCs w:val="0"/>
                <w:sz w:val="24"/>
                <w:szCs w:val="24"/>
              </w:rPr>
            </w:pPr>
            <w:r w:rsidRPr="004F7F85">
              <w:rPr>
                <w:b w:val="0"/>
                <w:bCs w:val="0"/>
                <w:sz w:val="24"/>
                <w:szCs w:val="24"/>
              </w:rPr>
              <w:t>-</w:t>
            </w:r>
          </w:p>
        </w:tc>
        <w:tc>
          <w:tcPr>
            <w:tcW w:w="718" w:type="dxa"/>
          </w:tcPr>
          <w:p w14:paraId="0AF072CD" w14:textId="2A61B7A6" w:rsidR="004709DB" w:rsidRPr="004F7F85" w:rsidRDefault="004709DB" w:rsidP="004709DB">
            <w:pPr>
              <w:pStyle w:val="Subheading"/>
              <w:jc w:val="center"/>
              <w:rPr>
                <w:b w:val="0"/>
                <w:bCs w:val="0"/>
                <w:sz w:val="24"/>
                <w:szCs w:val="24"/>
              </w:rPr>
            </w:pPr>
            <w:r w:rsidRPr="004F7F85">
              <w:rPr>
                <w:b w:val="0"/>
                <w:bCs w:val="0"/>
                <w:sz w:val="24"/>
                <w:szCs w:val="24"/>
              </w:rPr>
              <w:t>4</w:t>
            </w:r>
          </w:p>
        </w:tc>
        <w:tc>
          <w:tcPr>
            <w:tcW w:w="756" w:type="dxa"/>
          </w:tcPr>
          <w:p w14:paraId="4570CB3C" w14:textId="01CF1A79" w:rsidR="004709DB" w:rsidRPr="004F7F85" w:rsidRDefault="004709DB" w:rsidP="004709DB">
            <w:pPr>
              <w:pStyle w:val="Subheading"/>
              <w:jc w:val="center"/>
              <w:rPr>
                <w:b w:val="0"/>
                <w:bCs w:val="0"/>
                <w:sz w:val="24"/>
                <w:szCs w:val="24"/>
              </w:rPr>
            </w:pPr>
            <w:r w:rsidRPr="004F7F85">
              <w:rPr>
                <w:b w:val="0"/>
                <w:bCs w:val="0"/>
                <w:sz w:val="24"/>
                <w:szCs w:val="24"/>
              </w:rPr>
              <w:t>16.00</w:t>
            </w:r>
          </w:p>
        </w:tc>
      </w:tr>
      <w:tr w:rsidR="004709DB" w:rsidRPr="004F7F85" w14:paraId="381E7DFC" w14:textId="77777777" w:rsidTr="004709DB">
        <w:tc>
          <w:tcPr>
            <w:tcW w:w="3240" w:type="dxa"/>
          </w:tcPr>
          <w:p w14:paraId="7E280959" w14:textId="1E089631" w:rsidR="004709DB" w:rsidRPr="004F7F85" w:rsidRDefault="004709DB" w:rsidP="004709DB">
            <w:pPr>
              <w:pStyle w:val="Subheading"/>
              <w:ind w:left="161"/>
              <w:rPr>
                <w:b w:val="0"/>
                <w:bCs w:val="0"/>
                <w:sz w:val="24"/>
                <w:szCs w:val="24"/>
              </w:rPr>
            </w:pPr>
            <w:r w:rsidRPr="004F7F85">
              <w:rPr>
                <w:b w:val="0"/>
                <w:bCs w:val="0"/>
                <w:sz w:val="24"/>
                <w:szCs w:val="24"/>
              </w:rPr>
              <w:t>Female</w:t>
            </w:r>
          </w:p>
        </w:tc>
        <w:tc>
          <w:tcPr>
            <w:tcW w:w="724" w:type="dxa"/>
          </w:tcPr>
          <w:p w14:paraId="60FB94B7" w14:textId="01374C28" w:rsidR="004709DB" w:rsidRPr="004F7F85" w:rsidRDefault="004709DB" w:rsidP="004709DB">
            <w:pPr>
              <w:pStyle w:val="Subheading"/>
              <w:jc w:val="center"/>
              <w:rPr>
                <w:b w:val="0"/>
                <w:bCs w:val="0"/>
                <w:sz w:val="24"/>
                <w:szCs w:val="24"/>
              </w:rPr>
            </w:pPr>
            <w:r w:rsidRPr="004F7F85">
              <w:rPr>
                <w:b w:val="0"/>
                <w:bCs w:val="0"/>
                <w:sz w:val="24"/>
                <w:szCs w:val="24"/>
              </w:rPr>
              <w:t>6</w:t>
            </w:r>
          </w:p>
        </w:tc>
        <w:tc>
          <w:tcPr>
            <w:tcW w:w="756" w:type="dxa"/>
          </w:tcPr>
          <w:p w14:paraId="2E851436" w14:textId="417156DA" w:rsidR="004709DB" w:rsidRPr="004F7F85" w:rsidRDefault="004709DB" w:rsidP="004709DB">
            <w:pPr>
              <w:pStyle w:val="Subheading"/>
              <w:jc w:val="center"/>
              <w:rPr>
                <w:b w:val="0"/>
                <w:bCs w:val="0"/>
                <w:sz w:val="24"/>
                <w:szCs w:val="24"/>
              </w:rPr>
            </w:pPr>
            <w:r w:rsidRPr="004F7F85">
              <w:rPr>
                <w:b w:val="0"/>
                <w:bCs w:val="0"/>
                <w:sz w:val="24"/>
                <w:szCs w:val="24"/>
              </w:rPr>
              <w:t>66.70</w:t>
            </w:r>
          </w:p>
        </w:tc>
        <w:tc>
          <w:tcPr>
            <w:tcW w:w="918" w:type="dxa"/>
          </w:tcPr>
          <w:p w14:paraId="42652C64" w14:textId="341DBC23" w:rsidR="004709DB" w:rsidRPr="004F7F85" w:rsidRDefault="004709DB" w:rsidP="004709DB">
            <w:pPr>
              <w:pStyle w:val="Subheading"/>
              <w:jc w:val="center"/>
              <w:rPr>
                <w:b w:val="0"/>
                <w:bCs w:val="0"/>
                <w:sz w:val="24"/>
                <w:szCs w:val="24"/>
              </w:rPr>
            </w:pPr>
            <w:r w:rsidRPr="004F7F85">
              <w:rPr>
                <w:b w:val="0"/>
                <w:bCs w:val="0"/>
                <w:sz w:val="24"/>
                <w:szCs w:val="24"/>
              </w:rPr>
              <w:t>13</w:t>
            </w:r>
          </w:p>
        </w:tc>
        <w:tc>
          <w:tcPr>
            <w:tcW w:w="970" w:type="dxa"/>
          </w:tcPr>
          <w:p w14:paraId="3E64CAD3" w14:textId="73C7545E" w:rsidR="004709DB" w:rsidRPr="004F7F85" w:rsidRDefault="004709DB" w:rsidP="004709DB">
            <w:pPr>
              <w:pStyle w:val="Subheading"/>
              <w:jc w:val="center"/>
              <w:rPr>
                <w:b w:val="0"/>
                <w:bCs w:val="0"/>
                <w:sz w:val="24"/>
                <w:szCs w:val="24"/>
              </w:rPr>
            </w:pPr>
            <w:r w:rsidRPr="004F7F85">
              <w:rPr>
                <w:b w:val="0"/>
                <w:bCs w:val="0"/>
                <w:sz w:val="24"/>
                <w:szCs w:val="24"/>
              </w:rPr>
              <w:t>86.70</w:t>
            </w:r>
          </w:p>
        </w:tc>
        <w:tc>
          <w:tcPr>
            <w:tcW w:w="492" w:type="dxa"/>
          </w:tcPr>
          <w:p w14:paraId="3BC5D9F8" w14:textId="40FC8931" w:rsidR="004709DB" w:rsidRPr="004F7F85" w:rsidRDefault="004709DB" w:rsidP="004709DB">
            <w:pPr>
              <w:pStyle w:val="Subheading"/>
              <w:jc w:val="center"/>
              <w:rPr>
                <w:b w:val="0"/>
                <w:bCs w:val="0"/>
                <w:sz w:val="24"/>
                <w:szCs w:val="24"/>
              </w:rPr>
            </w:pPr>
            <w:r w:rsidRPr="004F7F85">
              <w:rPr>
                <w:b w:val="0"/>
                <w:bCs w:val="0"/>
                <w:sz w:val="24"/>
                <w:szCs w:val="24"/>
              </w:rPr>
              <w:t>1</w:t>
            </w:r>
          </w:p>
        </w:tc>
        <w:tc>
          <w:tcPr>
            <w:tcW w:w="876" w:type="dxa"/>
          </w:tcPr>
          <w:p w14:paraId="3047C65A" w14:textId="3327FE22" w:rsidR="004709DB" w:rsidRPr="004F7F85" w:rsidRDefault="004709DB" w:rsidP="004709DB">
            <w:pPr>
              <w:pStyle w:val="Subheading"/>
              <w:jc w:val="center"/>
              <w:rPr>
                <w:b w:val="0"/>
                <w:bCs w:val="0"/>
                <w:sz w:val="24"/>
                <w:szCs w:val="24"/>
              </w:rPr>
            </w:pPr>
            <w:r w:rsidRPr="004F7F85">
              <w:rPr>
                <w:b w:val="0"/>
                <w:bCs w:val="0"/>
                <w:sz w:val="24"/>
                <w:szCs w:val="24"/>
              </w:rPr>
              <w:t>100.00</w:t>
            </w:r>
          </w:p>
        </w:tc>
        <w:tc>
          <w:tcPr>
            <w:tcW w:w="718" w:type="dxa"/>
          </w:tcPr>
          <w:p w14:paraId="4C913A92" w14:textId="204D3652" w:rsidR="004709DB" w:rsidRPr="004F7F85" w:rsidRDefault="004709DB" w:rsidP="004709DB">
            <w:pPr>
              <w:pStyle w:val="Subheading"/>
              <w:jc w:val="center"/>
              <w:rPr>
                <w:b w:val="0"/>
                <w:bCs w:val="0"/>
                <w:sz w:val="24"/>
                <w:szCs w:val="24"/>
              </w:rPr>
            </w:pPr>
            <w:r w:rsidRPr="004F7F85">
              <w:rPr>
                <w:b w:val="0"/>
                <w:bCs w:val="0"/>
                <w:sz w:val="24"/>
                <w:szCs w:val="24"/>
              </w:rPr>
              <w:t>20</w:t>
            </w:r>
          </w:p>
        </w:tc>
        <w:tc>
          <w:tcPr>
            <w:tcW w:w="756" w:type="dxa"/>
          </w:tcPr>
          <w:p w14:paraId="7A80BEA3" w14:textId="4D29A4B5" w:rsidR="004709DB" w:rsidRPr="004F7F85" w:rsidRDefault="004709DB" w:rsidP="004709DB">
            <w:pPr>
              <w:pStyle w:val="Subheading"/>
              <w:jc w:val="center"/>
              <w:rPr>
                <w:b w:val="0"/>
                <w:bCs w:val="0"/>
                <w:sz w:val="24"/>
                <w:szCs w:val="24"/>
              </w:rPr>
            </w:pPr>
            <w:r w:rsidRPr="004F7F85">
              <w:rPr>
                <w:b w:val="0"/>
                <w:bCs w:val="0"/>
                <w:sz w:val="24"/>
                <w:szCs w:val="24"/>
              </w:rPr>
              <w:t>80.00</w:t>
            </w:r>
          </w:p>
        </w:tc>
      </w:tr>
      <w:tr w:rsidR="004709DB" w:rsidRPr="004F7F85" w14:paraId="32BFE45C" w14:textId="77777777" w:rsidTr="004709DB">
        <w:tc>
          <w:tcPr>
            <w:tcW w:w="3240" w:type="dxa"/>
          </w:tcPr>
          <w:p w14:paraId="483E9C75" w14:textId="4A76AAFE" w:rsidR="004709DB" w:rsidRPr="004F7F85" w:rsidRDefault="004709DB" w:rsidP="004709DB">
            <w:pPr>
              <w:pStyle w:val="Subheading"/>
              <w:ind w:left="161"/>
              <w:rPr>
                <w:b w:val="0"/>
                <w:bCs w:val="0"/>
                <w:sz w:val="24"/>
                <w:szCs w:val="24"/>
              </w:rPr>
            </w:pPr>
            <w:r w:rsidRPr="004F7F85">
              <w:rPr>
                <w:b w:val="0"/>
                <w:bCs w:val="0"/>
                <w:sz w:val="24"/>
                <w:szCs w:val="24"/>
              </w:rPr>
              <w:t>Non-binary</w:t>
            </w:r>
          </w:p>
        </w:tc>
        <w:tc>
          <w:tcPr>
            <w:tcW w:w="724" w:type="dxa"/>
          </w:tcPr>
          <w:p w14:paraId="2505214D" w14:textId="51A08114" w:rsidR="004709DB" w:rsidRPr="004F7F85" w:rsidRDefault="004709DB" w:rsidP="004709DB">
            <w:pPr>
              <w:pStyle w:val="Subheading"/>
              <w:jc w:val="center"/>
              <w:rPr>
                <w:b w:val="0"/>
                <w:bCs w:val="0"/>
                <w:sz w:val="24"/>
                <w:szCs w:val="24"/>
              </w:rPr>
            </w:pPr>
            <w:r w:rsidRPr="004F7F85">
              <w:rPr>
                <w:b w:val="0"/>
                <w:bCs w:val="0"/>
                <w:sz w:val="24"/>
                <w:szCs w:val="24"/>
              </w:rPr>
              <w:t>-</w:t>
            </w:r>
          </w:p>
        </w:tc>
        <w:tc>
          <w:tcPr>
            <w:tcW w:w="756" w:type="dxa"/>
          </w:tcPr>
          <w:p w14:paraId="50DB56EC" w14:textId="1584C77E" w:rsidR="004709DB" w:rsidRPr="004F7F85" w:rsidRDefault="004709DB" w:rsidP="004709DB">
            <w:pPr>
              <w:pStyle w:val="Subheading"/>
              <w:jc w:val="center"/>
              <w:rPr>
                <w:b w:val="0"/>
                <w:bCs w:val="0"/>
                <w:sz w:val="24"/>
                <w:szCs w:val="24"/>
              </w:rPr>
            </w:pPr>
            <w:r w:rsidRPr="004F7F85">
              <w:rPr>
                <w:b w:val="0"/>
                <w:bCs w:val="0"/>
                <w:sz w:val="24"/>
                <w:szCs w:val="24"/>
              </w:rPr>
              <w:t>-</w:t>
            </w:r>
          </w:p>
        </w:tc>
        <w:tc>
          <w:tcPr>
            <w:tcW w:w="918" w:type="dxa"/>
          </w:tcPr>
          <w:p w14:paraId="09A26E4F" w14:textId="21E5DD7B" w:rsidR="004709DB" w:rsidRPr="004F7F85" w:rsidRDefault="004709DB" w:rsidP="004709DB">
            <w:pPr>
              <w:pStyle w:val="Subheading"/>
              <w:jc w:val="center"/>
              <w:rPr>
                <w:b w:val="0"/>
                <w:bCs w:val="0"/>
                <w:sz w:val="24"/>
                <w:szCs w:val="24"/>
              </w:rPr>
            </w:pPr>
            <w:r w:rsidRPr="004F7F85">
              <w:rPr>
                <w:b w:val="0"/>
                <w:bCs w:val="0"/>
                <w:sz w:val="24"/>
                <w:szCs w:val="24"/>
              </w:rPr>
              <w:t>-</w:t>
            </w:r>
          </w:p>
        </w:tc>
        <w:tc>
          <w:tcPr>
            <w:tcW w:w="970" w:type="dxa"/>
          </w:tcPr>
          <w:p w14:paraId="376E869F" w14:textId="0A6E6DB6" w:rsidR="004709DB" w:rsidRPr="004F7F85" w:rsidRDefault="004709DB" w:rsidP="004709DB">
            <w:pPr>
              <w:pStyle w:val="Subheading"/>
              <w:jc w:val="center"/>
              <w:rPr>
                <w:b w:val="0"/>
                <w:bCs w:val="0"/>
                <w:sz w:val="24"/>
                <w:szCs w:val="24"/>
              </w:rPr>
            </w:pPr>
            <w:r w:rsidRPr="004F7F85">
              <w:rPr>
                <w:b w:val="0"/>
                <w:bCs w:val="0"/>
                <w:sz w:val="24"/>
                <w:szCs w:val="24"/>
              </w:rPr>
              <w:t>-</w:t>
            </w:r>
          </w:p>
        </w:tc>
        <w:tc>
          <w:tcPr>
            <w:tcW w:w="492" w:type="dxa"/>
          </w:tcPr>
          <w:p w14:paraId="262F44E6" w14:textId="4973912B" w:rsidR="004709DB" w:rsidRPr="004F7F85" w:rsidRDefault="004709DB" w:rsidP="004709DB">
            <w:pPr>
              <w:pStyle w:val="Subheading"/>
              <w:jc w:val="center"/>
              <w:rPr>
                <w:b w:val="0"/>
                <w:bCs w:val="0"/>
                <w:sz w:val="24"/>
                <w:szCs w:val="24"/>
              </w:rPr>
            </w:pPr>
            <w:r w:rsidRPr="004F7F85">
              <w:rPr>
                <w:b w:val="0"/>
                <w:bCs w:val="0"/>
                <w:sz w:val="24"/>
                <w:szCs w:val="24"/>
              </w:rPr>
              <w:t>-</w:t>
            </w:r>
          </w:p>
        </w:tc>
        <w:tc>
          <w:tcPr>
            <w:tcW w:w="876" w:type="dxa"/>
          </w:tcPr>
          <w:p w14:paraId="7E72FBCD" w14:textId="71950558" w:rsidR="004709DB" w:rsidRPr="004F7F85" w:rsidRDefault="004709DB" w:rsidP="004709DB">
            <w:pPr>
              <w:pStyle w:val="Subheading"/>
              <w:jc w:val="center"/>
              <w:rPr>
                <w:b w:val="0"/>
                <w:bCs w:val="0"/>
                <w:sz w:val="24"/>
                <w:szCs w:val="24"/>
              </w:rPr>
            </w:pPr>
            <w:r w:rsidRPr="004F7F85">
              <w:rPr>
                <w:b w:val="0"/>
                <w:bCs w:val="0"/>
                <w:sz w:val="24"/>
                <w:szCs w:val="24"/>
              </w:rPr>
              <w:t>-</w:t>
            </w:r>
          </w:p>
        </w:tc>
        <w:tc>
          <w:tcPr>
            <w:tcW w:w="718" w:type="dxa"/>
          </w:tcPr>
          <w:p w14:paraId="1C32D5EB" w14:textId="7CFB024B" w:rsidR="004709DB" w:rsidRPr="004F7F85" w:rsidRDefault="004709DB" w:rsidP="004709DB">
            <w:pPr>
              <w:pStyle w:val="Subheading"/>
              <w:jc w:val="center"/>
              <w:rPr>
                <w:b w:val="0"/>
                <w:bCs w:val="0"/>
                <w:sz w:val="24"/>
                <w:szCs w:val="24"/>
              </w:rPr>
            </w:pPr>
            <w:r w:rsidRPr="004F7F85">
              <w:rPr>
                <w:b w:val="0"/>
                <w:bCs w:val="0"/>
                <w:sz w:val="24"/>
                <w:szCs w:val="24"/>
              </w:rPr>
              <w:t>-</w:t>
            </w:r>
          </w:p>
        </w:tc>
        <w:tc>
          <w:tcPr>
            <w:tcW w:w="756" w:type="dxa"/>
          </w:tcPr>
          <w:p w14:paraId="65456851" w14:textId="4493E4DE" w:rsidR="004709DB" w:rsidRPr="004F7F85" w:rsidRDefault="004709DB" w:rsidP="004709DB">
            <w:pPr>
              <w:pStyle w:val="Subheading"/>
              <w:jc w:val="center"/>
              <w:rPr>
                <w:b w:val="0"/>
                <w:bCs w:val="0"/>
                <w:sz w:val="24"/>
                <w:szCs w:val="24"/>
              </w:rPr>
            </w:pPr>
            <w:r w:rsidRPr="004F7F85">
              <w:rPr>
                <w:b w:val="0"/>
                <w:bCs w:val="0"/>
                <w:sz w:val="24"/>
                <w:szCs w:val="24"/>
              </w:rPr>
              <w:t>-</w:t>
            </w:r>
          </w:p>
        </w:tc>
      </w:tr>
      <w:tr w:rsidR="004709DB" w:rsidRPr="004F7F85" w14:paraId="579F099B" w14:textId="77777777" w:rsidTr="004709DB">
        <w:tc>
          <w:tcPr>
            <w:tcW w:w="3240" w:type="dxa"/>
          </w:tcPr>
          <w:p w14:paraId="0272EC13" w14:textId="458AC045" w:rsidR="004709DB" w:rsidRPr="004F7F85" w:rsidRDefault="004709DB" w:rsidP="004709DB">
            <w:pPr>
              <w:pStyle w:val="Subheading"/>
              <w:ind w:left="161"/>
              <w:rPr>
                <w:b w:val="0"/>
                <w:bCs w:val="0"/>
                <w:sz w:val="24"/>
                <w:szCs w:val="24"/>
              </w:rPr>
            </w:pPr>
            <w:r w:rsidRPr="004F7F85">
              <w:rPr>
                <w:b w:val="0"/>
                <w:bCs w:val="0"/>
                <w:sz w:val="24"/>
                <w:szCs w:val="24"/>
              </w:rPr>
              <w:t>Prefer not to say</w:t>
            </w:r>
          </w:p>
        </w:tc>
        <w:tc>
          <w:tcPr>
            <w:tcW w:w="724" w:type="dxa"/>
          </w:tcPr>
          <w:p w14:paraId="0DD742E9" w14:textId="78BFE898" w:rsidR="004709DB" w:rsidRPr="004F7F85" w:rsidRDefault="004709DB" w:rsidP="004709DB">
            <w:pPr>
              <w:pStyle w:val="Subheading"/>
              <w:jc w:val="center"/>
              <w:rPr>
                <w:b w:val="0"/>
                <w:bCs w:val="0"/>
                <w:sz w:val="24"/>
                <w:szCs w:val="24"/>
              </w:rPr>
            </w:pPr>
            <w:r w:rsidRPr="004F7F85">
              <w:rPr>
                <w:b w:val="0"/>
                <w:bCs w:val="0"/>
                <w:sz w:val="24"/>
                <w:szCs w:val="24"/>
              </w:rPr>
              <w:t>-</w:t>
            </w:r>
          </w:p>
        </w:tc>
        <w:tc>
          <w:tcPr>
            <w:tcW w:w="756" w:type="dxa"/>
          </w:tcPr>
          <w:p w14:paraId="162EAC5B" w14:textId="754B0826" w:rsidR="004709DB" w:rsidRPr="004F7F85" w:rsidRDefault="004709DB" w:rsidP="004709DB">
            <w:pPr>
              <w:pStyle w:val="Subheading"/>
              <w:jc w:val="center"/>
              <w:rPr>
                <w:b w:val="0"/>
                <w:bCs w:val="0"/>
                <w:sz w:val="24"/>
                <w:szCs w:val="24"/>
              </w:rPr>
            </w:pPr>
            <w:r w:rsidRPr="004F7F85">
              <w:rPr>
                <w:b w:val="0"/>
                <w:bCs w:val="0"/>
                <w:sz w:val="24"/>
                <w:szCs w:val="24"/>
              </w:rPr>
              <w:t>-</w:t>
            </w:r>
          </w:p>
        </w:tc>
        <w:tc>
          <w:tcPr>
            <w:tcW w:w="918" w:type="dxa"/>
          </w:tcPr>
          <w:p w14:paraId="1796E305" w14:textId="5A84A099" w:rsidR="004709DB" w:rsidRPr="004F7F85" w:rsidRDefault="004709DB" w:rsidP="004709DB">
            <w:pPr>
              <w:pStyle w:val="Subheading"/>
              <w:jc w:val="center"/>
              <w:rPr>
                <w:b w:val="0"/>
                <w:bCs w:val="0"/>
                <w:sz w:val="24"/>
                <w:szCs w:val="24"/>
              </w:rPr>
            </w:pPr>
            <w:r w:rsidRPr="004F7F85">
              <w:rPr>
                <w:b w:val="0"/>
                <w:bCs w:val="0"/>
                <w:sz w:val="24"/>
                <w:szCs w:val="24"/>
              </w:rPr>
              <w:t>1</w:t>
            </w:r>
          </w:p>
        </w:tc>
        <w:tc>
          <w:tcPr>
            <w:tcW w:w="970" w:type="dxa"/>
          </w:tcPr>
          <w:p w14:paraId="129006FE" w14:textId="2D120518" w:rsidR="004709DB" w:rsidRPr="004F7F85" w:rsidRDefault="004709DB" w:rsidP="004709DB">
            <w:pPr>
              <w:pStyle w:val="Subheading"/>
              <w:jc w:val="center"/>
              <w:rPr>
                <w:b w:val="0"/>
                <w:bCs w:val="0"/>
                <w:sz w:val="24"/>
                <w:szCs w:val="24"/>
              </w:rPr>
            </w:pPr>
            <w:r w:rsidRPr="004F7F85">
              <w:rPr>
                <w:b w:val="0"/>
                <w:bCs w:val="0"/>
                <w:sz w:val="24"/>
                <w:szCs w:val="24"/>
              </w:rPr>
              <w:t>6.60</w:t>
            </w:r>
          </w:p>
        </w:tc>
        <w:tc>
          <w:tcPr>
            <w:tcW w:w="492" w:type="dxa"/>
          </w:tcPr>
          <w:p w14:paraId="3A68FF63" w14:textId="275A38B2" w:rsidR="004709DB" w:rsidRPr="004F7F85" w:rsidRDefault="004709DB" w:rsidP="004709DB">
            <w:pPr>
              <w:pStyle w:val="Subheading"/>
              <w:jc w:val="center"/>
              <w:rPr>
                <w:b w:val="0"/>
                <w:bCs w:val="0"/>
                <w:sz w:val="24"/>
                <w:szCs w:val="24"/>
              </w:rPr>
            </w:pPr>
            <w:r w:rsidRPr="004F7F85">
              <w:rPr>
                <w:b w:val="0"/>
                <w:bCs w:val="0"/>
                <w:sz w:val="24"/>
                <w:szCs w:val="24"/>
              </w:rPr>
              <w:t>-</w:t>
            </w:r>
          </w:p>
        </w:tc>
        <w:tc>
          <w:tcPr>
            <w:tcW w:w="876" w:type="dxa"/>
          </w:tcPr>
          <w:p w14:paraId="691A4CE2" w14:textId="4B3DC95F" w:rsidR="004709DB" w:rsidRPr="004F7F85" w:rsidRDefault="004709DB" w:rsidP="004709DB">
            <w:pPr>
              <w:pStyle w:val="Subheading"/>
              <w:jc w:val="center"/>
              <w:rPr>
                <w:b w:val="0"/>
                <w:bCs w:val="0"/>
                <w:sz w:val="24"/>
                <w:szCs w:val="24"/>
              </w:rPr>
            </w:pPr>
            <w:r w:rsidRPr="004F7F85">
              <w:rPr>
                <w:b w:val="0"/>
                <w:bCs w:val="0"/>
                <w:sz w:val="24"/>
                <w:szCs w:val="24"/>
              </w:rPr>
              <w:t>-</w:t>
            </w:r>
          </w:p>
        </w:tc>
        <w:tc>
          <w:tcPr>
            <w:tcW w:w="718" w:type="dxa"/>
          </w:tcPr>
          <w:p w14:paraId="310464BA" w14:textId="1C633102" w:rsidR="004709DB" w:rsidRPr="004F7F85" w:rsidRDefault="004709DB" w:rsidP="004709DB">
            <w:pPr>
              <w:pStyle w:val="Subheading"/>
              <w:jc w:val="center"/>
              <w:rPr>
                <w:b w:val="0"/>
                <w:bCs w:val="0"/>
                <w:sz w:val="24"/>
                <w:szCs w:val="24"/>
              </w:rPr>
            </w:pPr>
            <w:r w:rsidRPr="004F7F85">
              <w:rPr>
                <w:b w:val="0"/>
                <w:bCs w:val="0"/>
                <w:sz w:val="24"/>
                <w:szCs w:val="24"/>
              </w:rPr>
              <w:t>1</w:t>
            </w:r>
          </w:p>
        </w:tc>
        <w:tc>
          <w:tcPr>
            <w:tcW w:w="756" w:type="dxa"/>
          </w:tcPr>
          <w:p w14:paraId="1098F942" w14:textId="245BD7FE" w:rsidR="004709DB" w:rsidRPr="004F7F85" w:rsidRDefault="004709DB" w:rsidP="004709DB">
            <w:pPr>
              <w:pStyle w:val="Subheading"/>
              <w:jc w:val="center"/>
              <w:rPr>
                <w:b w:val="0"/>
                <w:bCs w:val="0"/>
                <w:sz w:val="24"/>
                <w:szCs w:val="24"/>
              </w:rPr>
            </w:pPr>
            <w:r w:rsidRPr="004F7F85">
              <w:rPr>
                <w:b w:val="0"/>
                <w:bCs w:val="0"/>
                <w:sz w:val="24"/>
                <w:szCs w:val="24"/>
              </w:rPr>
              <w:t>4.00</w:t>
            </w:r>
          </w:p>
        </w:tc>
      </w:tr>
      <w:tr w:rsidR="004709DB" w:rsidRPr="004F7F85" w14:paraId="2E8DF9D9" w14:textId="77777777" w:rsidTr="004709DB">
        <w:tc>
          <w:tcPr>
            <w:tcW w:w="3240" w:type="dxa"/>
          </w:tcPr>
          <w:p w14:paraId="3E5E13D7" w14:textId="324F6090" w:rsidR="004709DB" w:rsidRPr="004F7F85" w:rsidRDefault="004709DB" w:rsidP="004709DB">
            <w:pPr>
              <w:pStyle w:val="Subheading"/>
              <w:rPr>
                <w:b w:val="0"/>
                <w:bCs w:val="0"/>
                <w:sz w:val="24"/>
                <w:szCs w:val="24"/>
              </w:rPr>
            </w:pPr>
            <w:r w:rsidRPr="004F7F85">
              <w:rPr>
                <w:b w:val="0"/>
                <w:bCs w:val="0"/>
                <w:sz w:val="24"/>
                <w:szCs w:val="24"/>
              </w:rPr>
              <w:t xml:space="preserve">Population Density </w:t>
            </w:r>
          </w:p>
        </w:tc>
        <w:tc>
          <w:tcPr>
            <w:tcW w:w="724" w:type="dxa"/>
          </w:tcPr>
          <w:p w14:paraId="3A2BFE57" w14:textId="77777777" w:rsidR="004709DB" w:rsidRPr="004F7F85" w:rsidRDefault="004709DB" w:rsidP="004709DB">
            <w:pPr>
              <w:pStyle w:val="Subheading"/>
              <w:jc w:val="center"/>
              <w:rPr>
                <w:b w:val="0"/>
                <w:bCs w:val="0"/>
                <w:sz w:val="24"/>
                <w:szCs w:val="24"/>
              </w:rPr>
            </w:pPr>
          </w:p>
        </w:tc>
        <w:tc>
          <w:tcPr>
            <w:tcW w:w="756" w:type="dxa"/>
          </w:tcPr>
          <w:p w14:paraId="44C92446" w14:textId="77777777" w:rsidR="004709DB" w:rsidRPr="004F7F85" w:rsidRDefault="004709DB" w:rsidP="004709DB">
            <w:pPr>
              <w:pStyle w:val="Subheading"/>
              <w:jc w:val="center"/>
              <w:rPr>
                <w:b w:val="0"/>
                <w:bCs w:val="0"/>
                <w:sz w:val="24"/>
                <w:szCs w:val="24"/>
              </w:rPr>
            </w:pPr>
          </w:p>
        </w:tc>
        <w:tc>
          <w:tcPr>
            <w:tcW w:w="918" w:type="dxa"/>
          </w:tcPr>
          <w:p w14:paraId="73817502" w14:textId="77777777" w:rsidR="004709DB" w:rsidRPr="004F7F85" w:rsidRDefault="004709DB" w:rsidP="004709DB">
            <w:pPr>
              <w:pStyle w:val="Subheading"/>
              <w:jc w:val="center"/>
              <w:rPr>
                <w:b w:val="0"/>
                <w:bCs w:val="0"/>
                <w:sz w:val="24"/>
                <w:szCs w:val="24"/>
              </w:rPr>
            </w:pPr>
          </w:p>
        </w:tc>
        <w:tc>
          <w:tcPr>
            <w:tcW w:w="970" w:type="dxa"/>
          </w:tcPr>
          <w:p w14:paraId="4872B6ED" w14:textId="77777777" w:rsidR="004709DB" w:rsidRPr="004F7F85" w:rsidRDefault="004709DB" w:rsidP="004709DB">
            <w:pPr>
              <w:pStyle w:val="Subheading"/>
              <w:jc w:val="center"/>
              <w:rPr>
                <w:b w:val="0"/>
                <w:bCs w:val="0"/>
                <w:sz w:val="24"/>
                <w:szCs w:val="24"/>
              </w:rPr>
            </w:pPr>
          </w:p>
        </w:tc>
        <w:tc>
          <w:tcPr>
            <w:tcW w:w="492" w:type="dxa"/>
          </w:tcPr>
          <w:p w14:paraId="73E07CD5" w14:textId="77777777" w:rsidR="004709DB" w:rsidRPr="004F7F85" w:rsidRDefault="004709DB" w:rsidP="004709DB">
            <w:pPr>
              <w:pStyle w:val="Subheading"/>
              <w:jc w:val="center"/>
              <w:rPr>
                <w:b w:val="0"/>
                <w:bCs w:val="0"/>
                <w:sz w:val="24"/>
                <w:szCs w:val="24"/>
              </w:rPr>
            </w:pPr>
          </w:p>
        </w:tc>
        <w:tc>
          <w:tcPr>
            <w:tcW w:w="876" w:type="dxa"/>
          </w:tcPr>
          <w:p w14:paraId="0621F650" w14:textId="77777777" w:rsidR="004709DB" w:rsidRPr="004F7F85" w:rsidRDefault="004709DB" w:rsidP="004709DB">
            <w:pPr>
              <w:pStyle w:val="Subheading"/>
              <w:jc w:val="center"/>
              <w:rPr>
                <w:b w:val="0"/>
                <w:bCs w:val="0"/>
                <w:sz w:val="24"/>
                <w:szCs w:val="24"/>
              </w:rPr>
            </w:pPr>
          </w:p>
        </w:tc>
        <w:tc>
          <w:tcPr>
            <w:tcW w:w="718" w:type="dxa"/>
          </w:tcPr>
          <w:p w14:paraId="5FF30326" w14:textId="77777777" w:rsidR="004709DB" w:rsidRPr="004F7F85" w:rsidRDefault="004709DB" w:rsidP="004709DB">
            <w:pPr>
              <w:pStyle w:val="Subheading"/>
              <w:jc w:val="center"/>
              <w:rPr>
                <w:b w:val="0"/>
                <w:bCs w:val="0"/>
                <w:sz w:val="24"/>
                <w:szCs w:val="24"/>
              </w:rPr>
            </w:pPr>
          </w:p>
        </w:tc>
        <w:tc>
          <w:tcPr>
            <w:tcW w:w="756" w:type="dxa"/>
          </w:tcPr>
          <w:p w14:paraId="08CCA977" w14:textId="77777777" w:rsidR="004709DB" w:rsidRPr="004F7F85" w:rsidRDefault="004709DB" w:rsidP="004709DB">
            <w:pPr>
              <w:pStyle w:val="Subheading"/>
              <w:jc w:val="center"/>
              <w:rPr>
                <w:b w:val="0"/>
                <w:bCs w:val="0"/>
                <w:sz w:val="24"/>
                <w:szCs w:val="24"/>
              </w:rPr>
            </w:pPr>
          </w:p>
        </w:tc>
      </w:tr>
      <w:tr w:rsidR="004709DB" w:rsidRPr="004F7F85" w14:paraId="4BE6E73E" w14:textId="77777777" w:rsidTr="004709DB">
        <w:tc>
          <w:tcPr>
            <w:tcW w:w="3240" w:type="dxa"/>
          </w:tcPr>
          <w:p w14:paraId="62EE349D" w14:textId="2B675D3C" w:rsidR="004709DB" w:rsidRPr="004F7F85" w:rsidRDefault="004709DB" w:rsidP="004709DB">
            <w:pPr>
              <w:pStyle w:val="Subheading"/>
              <w:ind w:left="161"/>
              <w:rPr>
                <w:b w:val="0"/>
                <w:bCs w:val="0"/>
                <w:sz w:val="24"/>
                <w:szCs w:val="24"/>
              </w:rPr>
            </w:pPr>
            <w:r w:rsidRPr="004F7F85">
              <w:rPr>
                <w:b w:val="0"/>
                <w:bCs w:val="0"/>
                <w:sz w:val="24"/>
                <w:szCs w:val="24"/>
              </w:rPr>
              <w:t>Urban</w:t>
            </w:r>
          </w:p>
        </w:tc>
        <w:tc>
          <w:tcPr>
            <w:tcW w:w="724" w:type="dxa"/>
          </w:tcPr>
          <w:p w14:paraId="67654DCA" w14:textId="727A02F0" w:rsidR="004709DB" w:rsidRPr="004F7F85" w:rsidRDefault="004709DB" w:rsidP="004709DB">
            <w:pPr>
              <w:pStyle w:val="Subheading"/>
              <w:jc w:val="center"/>
              <w:rPr>
                <w:b w:val="0"/>
                <w:bCs w:val="0"/>
                <w:sz w:val="24"/>
                <w:szCs w:val="24"/>
              </w:rPr>
            </w:pPr>
            <w:r w:rsidRPr="004F7F85">
              <w:rPr>
                <w:b w:val="0"/>
                <w:bCs w:val="0"/>
                <w:sz w:val="24"/>
                <w:szCs w:val="24"/>
              </w:rPr>
              <w:t>3</w:t>
            </w:r>
          </w:p>
        </w:tc>
        <w:tc>
          <w:tcPr>
            <w:tcW w:w="756" w:type="dxa"/>
          </w:tcPr>
          <w:p w14:paraId="346627A8" w14:textId="4DCF9EF5" w:rsidR="004709DB" w:rsidRPr="004F7F85" w:rsidRDefault="004709DB" w:rsidP="004709DB">
            <w:pPr>
              <w:pStyle w:val="Subheading"/>
              <w:jc w:val="center"/>
              <w:rPr>
                <w:b w:val="0"/>
                <w:bCs w:val="0"/>
                <w:sz w:val="24"/>
                <w:szCs w:val="24"/>
              </w:rPr>
            </w:pPr>
            <w:r w:rsidRPr="004F7F85">
              <w:rPr>
                <w:b w:val="0"/>
                <w:bCs w:val="0"/>
                <w:sz w:val="24"/>
                <w:szCs w:val="24"/>
              </w:rPr>
              <w:t>33.30</w:t>
            </w:r>
          </w:p>
        </w:tc>
        <w:tc>
          <w:tcPr>
            <w:tcW w:w="918" w:type="dxa"/>
          </w:tcPr>
          <w:p w14:paraId="4E0C39BD" w14:textId="3111FAE4" w:rsidR="004709DB" w:rsidRPr="004F7F85" w:rsidRDefault="004709DB" w:rsidP="004709DB">
            <w:pPr>
              <w:pStyle w:val="Subheading"/>
              <w:jc w:val="center"/>
              <w:rPr>
                <w:b w:val="0"/>
                <w:bCs w:val="0"/>
                <w:sz w:val="24"/>
                <w:szCs w:val="24"/>
              </w:rPr>
            </w:pPr>
            <w:r w:rsidRPr="004F7F85">
              <w:rPr>
                <w:b w:val="0"/>
                <w:bCs w:val="0"/>
                <w:sz w:val="24"/>
                <w:szCs w:val="24"/>
              </w:rPr>
              <w:t>8</w:t>
            </w:r>
          </w:p>
        </w:tc>
        <w:tc>
          <w:tcPr>
            <w:tcW w:w="970" w:type="dxa"/>
          </w:tcPr>
          <w:p w14:paraId="460FDC1B" w14:textId="19D2C729" w:rsidR="004709DB" w:rsidRPr="004F7F85" w:rsidRDefault="004709DB" w:rsidP="004709DB">
            <w:pPr>
              <w:pStyle w:val="Subheading"/>
              <w:jc w:val="center"/>
              <w:rPr>
                <w:b w:val="0"/>
                <w:bCs w:val="0"/>
                <w:sz w:val="24"/>
                <w:szCs w:val="24"/>
              </w:rPr>
            </w:pPr>
            <w:r w:rsidRPr="004F7F85">
              <w:rPr>
                <w:b w:val="0"/>
                <w:bCs w:val="0"/>
                <w:sz w:val="24"/>
                <w:szCs w:val="24"/>
              </w:rPr>
              <w:t>53.30</w:t>
            </w:r>
          </w:p>
        </w:tc>
        <w:tc>
          <w:tcPr>
            <w:tcW w:w="492" w:type="dxa"/>
          </w:tcPr>
          <w:p w14:paraId="697BC67B" w14:textId="462F2A90" w:rsidR="004709DB" w:rsidRPr="004F7F85" w:rsidRDefault="004709DB" w:rsidP="004709DB">
            <w:pPr>
              <w:pStyle w:val="Subheading"/>
              <w:jc w:val="center"/>
              <w:rPr>
                <w:b w:val="0"/>
                <w:bCs w:val="0"/>
                <w:sz w:val="24"/>
                <w:szCs w:val="24"/>
              </w:rPr>
            </w:pPr>
            <w:r w:rsidRPr="004F7F85">
              <w:rPr>
                <w:b w:val="0"/>
                <w:bCs w:val="0"/>
                <w:sz w:val="24"/>
                <w:szCs w:val="24"/>
              </w:rPr>
              <w:t>1</w:t>
            </w:r>
          </w:p>
        </w:tc>
        <w:tc>
          <w:tcPr>
            <w:tcW w:w="876" w:type="dxa"/>
          </w:tcPr>
          <w:p w14:paraId="4C7A523F" w14:textId="1A80B8C5" w:rsidR="004709DB" w:rsidRPr="004F7F85" w:rsidRDefault="004709DB" w:rsidP="004709DB">
            <w:pPr>
              <w:pStyle w:val="Subheading"/>
              <w:jc w:val="center"/>
              <w:rPr>
                <w:b w:val="0"/>
                <w:bCs w:val="0"/>
                <w:sz w:val="24"/>
                <w:szCs w:val="24"/>
              </w:rPr>
            </w:pPr>
            <w:r w:rsidRPr="004F7F85">
              <w:rPr>
                <w:b w:val="0"/>
                <w:bCs w:val="0"/>
                <w:sz w:val="24"/>
                <w:szCs w:val="24"/>
              </w:rPr>
              <w:t>100.00</w:t>
            </w:r>
          </w:p>
        </w:tc>
        <w:tc>
          <w:tcPr>
            <w:tcW w:w="718" w:type="dxa"/>
          </w:tcPr>
          <w:p w14:paraId="0BB21481" w14:textId="573D2AF7" w:rsidR="004709DB" w:rsidRPr="004F7F85" w:rsidRDefault="004709DB" w:rsidP="004709DB">
            <w:pPr>
              <w:pStyle w:val="Subheading"/>
              <w:jc w:val="center"/>
              <w:rPr>
                <w:b w:val="0"/>
                <w:bCs w:val="0"/>
                <w:sz w:val="24"/>
                <w:szCs w:val="24"/>
              </w:rPr>
            </w:pPr>
            <w:r w:rsidRPr="004F7F85">
              <w:rPr>
                <w:b w:val="0"/>
                <w:bCs w:val="0"/>
                <w:sz w:val="24"/>
                <w:szCs w:val="24"/>
              </w:rPr>
              <w:t>12</w:t>
            </w:r>
          </w:p>
        </w:tc>
        <w:tc>
          <w:tcPr>
            <w:tcW w:w="756" w:type="dxa"/>
          </w:tcPr>
          <w:p w14:paraId="49C955A1" w14:textId="60A637EB" w:rsidR="004709DB" w:rsidRPr="004F7F85" w:rsidRDefault="004709DB" w:rsidP="004709DB">
            <w:pPr>
              <w:pStyle w:val="Subheading"/>
              <w:jc w:val="center"/>
              <w:rPr>
                <w:b w:val="0"/>
                <w:bCs w:val="0"/>
                <w:sz w:val="24"/>
                <w:szCs w:val="24"/>
              </w:rPr>
            </w:pPr>
            <w:r w:rsidRPr="004F7F85">
              <w:rPr>
                <w:b w:val="0"/>
                <w:bCs w:val="0"/>
                <w:sz w:val="24"/>
                <w:szCs w:val="24"/>
              </w:rPr>
              <w:t>48.00</w:t>
            </w:r>
          </w:p>
        </w:tc>
      </w:tr>
      <w:tr w:rsidR="004709DB" w:rsidRPr="004F7F85" w14:paraId="6C56669E" w14:textId="77777777" w:rsidTr="004709DB">
        <w:tc>
          <w:tcPr>
            <w:tcW w:w="3240" w:type="dxa"/>
          </w:tcPr>
          <w:p w14:paraId="37D134FC" w14:textId="377086DD" w:rsidR="004709DB" w:rsidRPr="004F7F85" w:rsidRDefault="004709DB" w:rsidP="004709DB">
            <w:pPr>
              <w:pStyle w:val="Subheading"/>
              <w:ind w:left="161"/>
              <w:rPr>
                <w:b w:val="0"/>
                <w:bCs w:val="0"/>
                <w:sz w:val="24"/>
                <w:szCs w:val="24"/>
              </w:rPr>
            </w:pPr>
            <w:r w:rsidRPr="004F7F85">
              <w:rPr>
                <w:b w:val="0"/>
                <w:bCs w:val="0"/>
                <w:sz w:val="24"/>
                <w:szCs w:val="24"/>
              </w:rPr>
              <w:t>Suburban</w:t>
            </w:r>
          </w:p>
        </w:tc>
        <w:tc>
          <w:tcPr>
            <w:tcW w:w="724" w:type="dxa"/>
          </w:tcPr>
          <w:p w14:paraId="6FEA68E2" w14:textId="63BC2BAE" w:rsidR="004709DB" w:rsidRPr="004F7F85" w:rsidRDefault="004709DB" w:rsidP="004709DB">
            <w:pPr>
              <w:pStyle w:val="Subheading"/>
              <w:jc w:val="center"/>
              <w:rPr>
                <w:b w:val="0"/>
                <w:bCs w:val="0"/>
                <w:sz w:val="24"/>
                <w:szCs w:val="24"/>
              </w:rPr>
            </w:pPr>
            <w:r w:rsidRPr="004F7F85">
              <w:rPr>
                <w:b w:val="0"/>
                <w:bCs w:val="0"/>
                <w:sz w:val="24"/>
                <w:szCs w:val="24"/>
              </w:rPr>
              <w:t>4</w:t>
            </w:r>
          </w:p>
        </w:tc>
        <w:tc>
          <w:tcPr>
            <w:tcW w:w="756" w:type="dxa"/>
          </w:tcPr>
          <w:p w14:paraId="0EC68EEE" w14:textId="44E48EF9" w:rsidR="004709DB" w:rsidRPr="004F7F85" w:rsidRDefault="004709DB" w:rsidP="004709DB">
            <w:pPr>
              <w:pStyle w:val="Subheading"/>
              <w:jc w:val="center"/>
              <w:rPr>
                <w:b w:val="0"/>
                <w:bCs w:val="0"/>
                <w:sz w:val="24"/>
                <w:szCs w:val="24"/>
              </w:rPr>
            </w:pPr>
            <w:r w:rsidRPr="004F7F85">
              <w:rPr>
                <w:b w:val="0"/>
                <w:bCs w:val="0"/>
                <w:sz w:val="24"/>
                <w:szCs w:val="24"/>
              </w:rPr>
              <w:t>44.40</w:t>
            </w:r>
          </w:p>
        </w:tc>
        <w:tc>
          <w:tcPr>
            <w:tcW w:w="918" w:type="dxa"/>
          </w:tcPr>
          <w:p w14:paraId="7265F86E" w14:textId="0F4DBB5B" w:rsidR="004709DB" w:rsidRPr="004F7F85" w:rsidRDefault="004709DB" w:rsidP="004709DB">
            <w:pPr>
              <w:pStyle w:val="Subheading"/>
              <w:jc w:val="center"/>
              <w:rPr>
                <w:b w:val="0"/>
                <w:bCs w:val="0"/>
                <w:sz w:val="24"/>
                <w:szCs w:val="24"/>
              </w:rPr>
            </w:pPr>
            <w:r w:rsidRPr="004F7F85">
              <w:rPr>
                <w:b w:val="0"/>
                <w:bCs w:val="0"/>
                <w:sz w:val="24"/>
                <w:szCs w:val="24"/>
              </w:rPr>
              <w:t>6</w:t>
            </w:r>
          </w:p>
        </w:tc>
        <w:tc>
          <w:tcPr>
            <w:tcW w:w="970" w:type="dxa"/>
          </w:tcPr>
          <w:p w14:paraId="4CF88819" w14:textId="34193DD1" w:rsidR="004709DB" w:rsidRPr="004F7F85" w:rsidRDefault="004709DB" w:rsidP="004709DB">
            <w:pPr>
              <w:pStyle w:val="Subheading"/>
              <w:jc w:val="center"/>
              <w:rPr>
                <w:b w:val="0"/>
                <w:bCs w:val="0"/>
                <w:sz w:val="24"/>
                <w:szCs w:val="24"/>
              </w:rPr>
            </w:pPr>
            <w:r w:rsidRPr="004F7F85">
              <w:rPr>
                <w:b w:val="0"/>
                <w:bCs w:val="0"/>
                <w:sz w:val="24"/>
                <w:szCs w:val="24"/>
              </w:rPr>
              <w:t>40.00</w:t>
            </w:r>
          </w:p>
        </w:tc>
        <w:tc>
          <w:tcPr>
            <w:tcW w:w="492" w:type="dxa"/>
          </w:tcPr>
          <w:p w14:paraId="758A15E6" w14:textId="476557C3" w:rsidR="004709DB" w:rsidRPr="004F7F85" w:rsidRDefault="004709DB" w:rsidP="004709DB">
            <w:pPr>
              <w:pStyle w:val="Subheading"/>
              <w:jc w:val="center"/>
              <w:rPr>
                <w:b w:val="0"/>
                <w:bCs w:val="0"/>
                <w:sz w:val="24"/>
                <w:szCs w:val="24"/>
              </w:rPr>
            </w:pPr>
            <w:r w:rsidRPr="004F7F85">
              <w:rPr>
                <w:b w:val="0"/>
                <w:bCs w:val="0"/>
                <w:sz w:val="24"/>
                <w:szCs w:val="24"/>
              </w:rPr>
              <w:t>-</w:t>
            </w:r>
          </w:p>
        </w:tc>
        <w:tc>
          <w:tcPr>
            <w:tcW w:w="876" w:type="dxa"/>
          </w:tcPr>
          <w:p w14:paraId="4D770B32" w14:textId="15E4AFB4" w:rsidR="004709DB" w:rsidRPr="004F7F85" w:rsidRDefault="004709DB" w:rsidP="004709DB">
            <w:pPr>
              <w:pStyle w:val="Subheading"/>
              <w:jc w:val="center"/>
              <w:rPr>
                <w:b w:val="0"/>
                <w:bCs w:val="0"/>
                <w:sz w:val="24"/>
                <w:szCs w:val="24"/>
              </w:rPr>
            </w:pPr>
            <w:r w:rsidRPr="004F7F85">
              <w:rPr>
                <w:b w:val="0"/>
                <w:bCs w:val="0"/>
                <w:sz w:val="24"/>
                <w:szCs w:val="24"/>
              </w:rPr>
              <w:t>-</w:t>
            </w:r>
          </w:p>
        </w:tc>
        <w:tc>
          <w:tcPr>
            <w:tcW w:w="718" w:type="dxa"/>
          </w:tcPr>
          <w:p w14:paraId="6AF553B4" w14:textId="01355A65" w:rsidR="004709DB" w:rsidRPr="004F7F85" w:rsidRDefault="004709DB" w:rsidP="004709DB">
            <w:pPr>
              <w:pStyle w:val="Subheading"/>
              <w:jc w:val="center"/>
              <w:rPr>
                <w:b w:val="0"/>
                <w:bCs w:val="0"/>
                <w:sz w:val="24"/>
                <w:szCs w:val="24"/>
              </w:rPr>
            </w:pPr>
            <w:r w:rsidRPr="004F7F85">
              <w:rPr>
                <w:b w:val="0"/>
                <w:bCs w:val="0"/>
                <w:sz w:val="24"/>
                <w:szCs w:val="24"/>
              </w:rPr>
              <w:t>10</w:t>
            </w:r>
          </w:p>
        </w:tc>
        <w:tc>
          <w:tcPr>
            <w:tcW w:w="756" w:type="dxa"/>
          </w:tcPr>
          <w:p w14:paraId="609918B9" w14:textId="76D98B89" w:rsidR="004709DB" w:rsidRPr="004F7F85" w:rsidRDefault="004709DB" w:rsidP="004709DB">
            <w:pPr>
              <w:pStyle w:val="Subheading"/>
              <w:jc w:val="center"/>
              <w:rPr>
                <w:b w:val="0"/>
                <w:bCs w:val="0"/>
                <w:sz w:val="24"/>
                <w:szCs w:val="24"/>
              </w:rPr>
            </w:pPr>
            <w:r w:rsidRPr="004F7F85">
              <w:rPr>
                <w:b w:val="0"/>
                <w:bCs w:val="0"/>
                <w:sz w:val="24"/>
                <w:szCs w:val="24"/>
              </w:rPr>
              <w:t>40.00</w:t>
            </w:r>
          </w:p>
        </w:tc>
      </w:tr>
      <w:tr w:rsidR="004709DB" w:rsidRPr="004F7F85" w14:paraId="455EEC93" w14:textId="77777777" w:rsidTr="004709DB">
        <w:tc>
          <w:tcPr>
            <w:tcW w:w="3240" w:type="dxa"/>
          </w:tcPr>
          <w:p w14:paraId="2101C110" w14:textId="72F28B5F" w:rsidR="004709DB" w:rsidRPr="004F7F85" w:rsidRDefault="004709DB" w:rsidP="004709DB">
            <w:pPr>
              <w:pStyle w:val="Subheading"/>
              <w:ind w:left="161"/>
              <w:rPr>
                <w:b w:val="0"/>
                <w:bCs w:val="0"/>
                <w:sz w:val="24"/>
                <w:szCs w:val="24"/>
              </w:rPr>
            </w:pPr>
            <w:r w:rsidRPr="004F7F85">
              <w:rPr>
                <w:b w:val="0"/>
                <w:bCs w:val="0"/>
                <w:sz w:val="24"/>
                <w:szCs w:val="24"/>
              </w:rPr>
              <w:t>Rural</w:t>
            </w:r>
          </w:p>
        </w:tc>
        <w:tc>
          <w:tcPr>
            <w:tcW w:w="724" w:type="dxa"/>
          </w:tcPr>
          <w:p w14:paraId="5B5843C6" w14:textId="12CB057A" w:rsidR="004709DB" w:rsidRPr="004F7F85" w:rsidRDefault="004709DB" w:rsidP="004709DB">
            <w:pPr>
              <w:pStyle w:val="Subheading"/>
              <w:jc w:val="center"/>
              <w:rPr>
                <w:b w:val="0"/>
                <w:bCs w:val="0"/>
                <w:sz w:val="24"/>
                <w:szCs w:val="24"/>
              </w:rPr>
            </w:pPr>
            <w:r w:rsidRPr="004F7F85">
              <w:rPr>
                <w:b w:val="0"/>
                <w:bCs w:val="0"/>
                <w:sz w:val="24"/>
                <w:szCs w:val="24"/>
              </w:rPr>
              <w:t>2</w:t>
            </w:r>
          </w:p>
        </w:tc>
        <w:tc>
          <w:tcPr>
            <w:tcW w:w="756" w:type="dxa"/>
          </w:tcPr>
          <w:p w14:paraId="642CEF46" w14:textId="119DDE55" w:rsidR="004709DB" w:rsidRPr="004F7F85" w:rsidRDefault="004709DB" w:rsidP="004709DB">
            <w:pPr>
              <w:pStyle w:val="Subheading"/>
              <w:jc w:val="center"/>
              <w:rPr>
                <w:b w:val="0"/>
                <w:bCs w:val="0"/>
                <w:sz w:val="24"/>
                <w:szCs w:val="24"/>
              </w:rPr>
            </w:pPr>
            <w:r w:rsidRPr="004F7F85">
              <w:rPr>
                <w:b w:val="0"/>
                <w:bCs w:val="0"/>
                <w:sz w:val="24"/>
                <w:szCs w:val="24"/>
              </w:rPr>
              <w:t>22.20</w:t>
            </w:r>
          </w:p>
        </w:tc>
        <w:tc>
          <w:tcPr>
            <w:tcW w:w="918" w:type="dxa"/>
          </w:tcPr>
          <w:p w14:paraId="2AE4434C" w14:textId="70672184" w:rsidR="004709DB" w:rsidRPr="004F7F85" w:rsidRDefault="004709DB" w:rsidP="004709DB">
            <w:pPr>
              <w:pStyle w:val="Subheading"/>
              <w:jc w:val="center"/>
              <w:rPr>
                <w:b w:val="0"/>
                <w:bCs w:val="0"/>
                <w:sz w:val="24"/>
                <w:szCs w:val="24"/>
              </w:rPr>
            </w:pPr>
            <w:r w:rsidRPr="004F7F85">
              <w:rPr>
                <w:b w:val="0"/>
                <w:bCs w:val="0"/>
                <w:sz w:val="24"/>
                <w:szCs w:val="24"/>
              </w:rPr>
              <w:t>1</w:t>
            </w:r>
          </w:p>
        </w:tc>
        <w:tc>
          <w:tcPr>
            <w:tcW w:w="970" w:type="dxa"/>
          </w:tcPr>
          <w:p w14:paraId="11F67F8C" w14:textId="3F7DBF76" w:rsidR="004709DB" w:rsidRPr="004F7F85" w:rsidRDefault="004709DB" w:rsidP="004709DB">
            <w:pPr>
              <w:pStyle w:val="Subheading"/>
              <w:jc w:val="center"/>
              <w:rPr>
                <w:b w:val="0"/>
                <w:bCs w:val="0"/>
                <w:sz w:val="24"/>
                <w:szCs w:val="24"/>
              </w:rPr>
            </w:pPr>
            <w:r w:rsidRPr="004F7F85">
              <w:rPr>
                <w:b w:val="0"/>
                <w:bCs w:val="0"/>
                <w:sz w:val="24"/>
                <w:szCs w:val="24"/>
              </w:rPr>
              <w:t>6.70</w:t>
            </w:r>
          </w:p>
        </w:tc>
        <w:tc>
          <w:tcPr>
            <w:tcW w:w="492" w:type="dxa"/>
          </w:tcPr>
          <w:p w14:paraId="3887D588" w14:textId="5626EB1B" w:rsidR="004709DB" w:rsidRPr="004F7F85" w:rsidRDefault="004709DB" w:rsidP="004709DB">
            <w:pPr>
              <w:pStyle w:val="Subheading"/>
              <w:jc w:val="center"/>
              <w:rPr>
                <w:b w:val="0"/>
                <w:bCs w:val="0"/>
                <w:sz w:val="24"/>
                <w:szCs w:val="24"/>
              </w:rPr>
            </w:pPr>
            <w:r w:rsidRPr="004F7F85">
              <w:rPr>
                <w:b w:val="0"/>
                <w:bCs w:val="0"/>
                <w:sz w:val="24"/>
                <w:szCs w:val="24"/>
              </w:rPr>
              <w:t>-</w:t>
            </w:r>
          </w:p>
        </w:tc>
        <w:tc>
          <w:tcPr>
            <w:tcW w:w="876" w:type="dxa"/>
          </w:tcPr>
          <w:p w14:paraId="4E179AAC" w14:textId="2E165176" w:rsidR="004709DB" w:rsidRPr="004F7F85" w:rsidRDefault="004709DB" w:rsidP="004709DB">
            <w:pPr>
              <w:pStyle w:val="Subheading"/>
              <w:jc w:val="center"/>
              <w:rPr>
                <w:b w:val="0"/>
                <w:bCs w:val="0"/>
                <w:sz w:val="24"/>
                <w:szCs w:val="24"/>
              </w:rPr>
            </w:pPr>
            <w:r w:rsidRPr="004F7F85">
              <w:rPr>
                <w:b w:val="0"/>
                <w:bCs w:val="0"/>
                <w:sz w:val="24"/>
                <w:szCs w:val="24"/>
              </w:rPr>
              <w:t>-</w:t>
            </w:r>
          </w:p>
        </w:tc>
        <w:tc>
          <w:tcPr>
            <w:tcW w:w="718" w:type="dxa"/>
          </w:tcPr>
          <w:p w14:paraId="7A959145" w14:textId="293FEFDD" w:rsidR="004709DB" w:rsidRPr="004F7F85" w:rsidRDefault="004709DB" w:rsidP="004709DB">
            <w:pPr>
              <w:pStyle w:val="Subheading"/>
              <w:jc w:val="center"/>
              <w:rPr>
                <w:b w:val="0"/>
                <w:bCs w:val="0"/>
                <w:sz w:val="24"/>
                <w:szCs w:val="24"/>
              </w:rPr>
            </w:pPr>
            <w:r w:rsidRPr="004F7F85">
              <w:rPr>
                <w:b w:val="0"/>
                <w:bCs w:val="0"/>
                <w:sz w:val="24"/>
                <w:szCs w:val="24"/>
              </w:rPr>
              <w:t>3</w:t>
            </w:r>
          </w:p>
        </w:tc>
        <w:tc>
          <w:tcPr>
            <w:tcW w:w="756" w:type="dxa"/>
          </w:tcPr>
          <w:p w14:paraId="56F30DA2" w14:textId="14E1BC84" w:rsidR="004709DB" w:rsidRPr="004F7F85" w:rsidRDefault="004709DB" w:rsidP="004709DB">
            <w:pPr>
              <w:pStyle w:val="Subheading"/>
              <w:jc w:val="center"/>
              <w:rPr>
                <w:b w:val="0"/>
                <w:bCs w:val="0"/>
                <w:sz w:val="24"/>
                <w:szCs w:val="24"/>
              </w:rPr>
            </w:pPr>
            <w:r w:rsidRPr="004F7F85">
              <w:rPr>
                <w:b w:val="0"/>
                <w:bCs w:val="0"/>
                <w:sz w:val="24"/>
                <w:szCs w:val="24"/>
              </w:rPr>
              <w:t>12.00</w:t>
            </w:r>
          </w:p>
        </w:tc>
      </w:tr>
      <w:tr w:rsidR="004709DB" w:rsidRPr="004F7F85" w14:paraId="66E51707" w14:textId="77777777" w:rsidTr="004709DB">
        <w:tc>
          <w:tcPr>
            <w:tcW w:w="3240" w:type="dxa"/>
          </w:tcPr>
          <w:p w14:paraId="58CFC591" w14:textId="5DD9B977" w:rsidR="004709DB" w:rsidRPr="004F7F85" w:rsidRDefault="004709DB" w:rsidP="004709DB">
            <w:pPr>
              <w:pStyle w:val="Subheading"/>
              <w:rPr>
                <w:b w:val="0"/>
                <w:bCs w:val="0"/>
                <w:sz w:val="24"/>
                <w:szCs w:val="24"/>
              </w:rPr>
            </w:pPr>
            <w:r w:rsidRPr="004F7F85">
              <w:rPr>
                <w:b w:val="0"/>
                <w:bCs w:val="0"/>
                <w:sz w:val="24"/>
                <w:szCs w:val="24"/>
              </w:rPr>
              <w:t>Heard of AITC</w:t>
            </w:r>
          </w:p>
        </w:tc>
        <w:tc>
          <w:tcPr>
            <w:tcW w:w="724" w:type="dxa"/>
          </w:tcPr>
          <w:p w14:paraId="35DB3DB8" w14:textId="77777777" w:rsidR="004709DB" w:rsidRPr="004F7F85" w:rsidRDefault="004709DB" w:rsidP="004709DB">
            <w:pPr>
              <w:pStyle w:val="Subheading"/>
              <w:jc w:val="center"/>
              <w:rPr>
                <w:b w:val="0"/>
                <w:bCs w:val="0"/>
                <w:sz w:val="24"/>
                <w:szCs w:val="24"/>
              </w:rPr>
            </w:pPr>
          </w:p>
        </w:tc>
        <w:tc>
          <w:tcPr>
            <w:tcW w:w="756" w:type="dxa"/>
          </w:tcPr>
          <w:p w14:paraId="36DB80DB" w14:textId="77777777" w:rsidR="004709DB" w:rsidRPr="004F7F85" w:rsidRDefault="004709DB" w:rsidP="004709DB">
            <w:pPr>
              <w:pStyle w:val="Subheading"/>
              <w:jc w:val="center"/>
              <w:rPr>
                <w:b w:val="0"/>
                <w:bCs w:val="0"/>
                <w:sz w:val="24"/>
                <w:szCs w:val="24"/>
              </w:rPr>
            </w:pPr>
          </w:p>
        </w:tc>
        <w:tc>
          <w:tcPr>
            <w:tcW w:w="918" w:type="dxa"/>
          </w:tcPr>
          <w:p w14:paraId="1DEB1033" w14:textId="77777777" w:rsidR="004709DB" w:rsidRPr="004F7F85" w:rsidRDefault="004709DB" w:rsidP="004709DB">
            <w:pPr>
              <w:pStyle w:val="Subheading"/>
              <w:jc w:val="center"/>
              <w:rPr>
                <w:b w:val="0"/>
                <w:bCs w:val="0"/>
                <w:sz w:val="24"/>
                <w:szCs w:val="24"/>
              </w:rPr>
            </w:pPr>
          </w:p>
        </w:tc>
        <w:tc>
          <w:tcPr>
            <w:tcW w:w="970" w:type="dxa"/>
          </w:tcPr>
          <w:p w14:paraId="5DD948AC" w14:textId="77777777" w:rsidR="004709DB" w:rsidRPr="004F7F85" w:rsidRDefault="004709DB" w:rsidP="004709DB">
            <w:pPr>
              <w:pStyle w:val="Subheading"/>
              <w:jc w:val="center"/>
              <w:rPr>
                <w:b w:val="0"/>
                <w:bCs w:val="0"/>
                <w:sz w:val="24"/>
                <w:szCs w:val="24"/>
              </w:rPr>
            </w:pPr>
          </w:p>
        </w:tc>
        <w:tc>
          <w:tcPr>
            <w:tcW w:w="492" w:type="dxa"/>
          </w:tcPr>
          <w:p w14:paraId="73C5C7A5" w14:textId="77777777" w:rsidR="004709DB" w:rsidRPr="004F7F85" w:rsidRDefault="004709DB" w:rsidP="004709DB">
            <w:pPr>
              <w:pStyle w:val="Subheading"/>
              <w:jc w:val="center"/>
              <w:rPr>
                <w:b w:val="0"/>
                <w:bCs w:val="0"/>
                <w:sz w:val="24"/>
                <w:szCs w:val="24"/>
              </w:rPr>
            </w:pPr>
          </w:p>
        </w:tc>
        <w:tc>
          <w:tcPr>
            <w:tcW w:w="876" w:type="dxa"/>
          </w:tcPr>
          <w:p w14:paraId="05890AFE" w14:textId="77777777" w:rsidR="004709DB" w:rsidRPr="004F7F85" w:rsidRDefault="004709DB" w:rsidP="004709DB">
            <w:pPr>
              <w:pStyle w:val="Subheading"/>
              <w:jc w:val="center"/>
              <w:rPr>
                <w:b w:val="0"/>
                <w:bCs w:val="0"/>
                <w:sz w:val="24"/>
                <w:szCs w:val="24"/>
              </w:rPr>
            </w:pPr>
          </w:p>
        </w:tc>
        <w:tc>
          <w:tcPr>
            <w:tcW w:w="718" w:type="dxa"/>
          </w:tcPr>
          <w:p w14:paraId="75776419" w14:textId="77777777" w:rsidR="004709DB" w:rsidRPr="004F7F85" w:rsidRDefault="004709DB" w:rsidP="004709DB">
            <w:pPr>
              <w:pStyle w:val="Subheading"/>
              <w:jc w:val="center"/>
              <w:rPr>
                <w:b w:val="0"/>
                <w:bCs w:val="0"/>
                <w:sz w:val="24"/>
                <w:szCs w:val="24"/>
              </w:rPr>
            </w:pPr>
          </w:p>
        </w:tc>
        <w:tc>
          <w:tcPr>
            <w:tcW w:w="756" w:type="dxa"/>
          </w:tcPr>
          <w:p w14:paraId="00480B45" w14:textId="77777777" w:rsidR="004709DB" w:rsidRPr="004F7F85" w:rsidRDefault="004709DB" w:rsidP="004709DB">
            <w:pPr>
              <w:pStyle w:val="Subheading"/>
              <w:jc w:val="center"/>
              <w:rPr>
                <w:b w:val="0"/>
                <w:bCs w:val="0"/>
                <w:sz w:val="24"/>
                <w:szCs w:val="24"/>
              </w:rPr>
            </w:pPr>
          </w:p>
        </w:tc>
      </w:tr>
      <w:tr w:rsidR="004709DB" w:rsidRPr="004F7F85" w14:paraId="188F1F41" w14:textId="77777777" w:rsidTr="004709DB">
        <w:tc>
          <w:tcPr>
            <w:tcW w:w="3240" w:type="dxa"/>
          </w:tcPr>
          <w:p w14:paraId="6F58C94D" w14:textId="04ACF11C" w:rsidR="004709DB" w:rsidRPr="004F7F85" w:rsidRDefault="004709DB" w:rsidP="004709DB">
            <w:pPr>
              <w:pStyle w:val="Subheading"/>
              <w:ind w:left="161"/>
              <w:rPr>
                <w:b w:val="0"/>
                <w:bCs w:val="0"/>
                <w:sz w:val="24"/>
                <w:szCs w:val="24"/>
              </w:rPr>
            </w:pPr>
            <w:r w:rsidRPr="004F7F85">
              <w:rPr>
                <w:b w:val="0"/>
                <w:bCs w:val="0"/>
                <w:sz w:val="24"/>
                <w:szCs w:val="24"/>
              </w:rPr>
              <w:t>Yes</w:t>
            </w:r>
          </w:p>
        </w:tc>
        <w:tc>
          <w:tcPr>
            <w:tcW w:w="724" w:type="dxa"/>
          </w:tcPr>
          <w:p w14:paraId="209BFF6F" w14:textId="3309D584" w:rsidR="004709DB" w:rsidRPr="004F7F85" w:rsidRDefault="004709DB" w:rsidP="004709DB">
            <w:pPr>
              <w:pStyle w:val="Subheading"/>
              <w:jc w:val="center"/>
              <w:rPr>
                <w:b w:val="0"/>
                <w:bCs w:val="0"/>
                <w:sz w:val="24"/>
                <w:szCs w:val="24"/>
              </w:rPr>
            </w:pPr>
            <w:r w:rsidRPr="004F7F85">
              <w:rPr>
                <w:b w:val="0"/>
                <w:bCs w:val="0"/>
                <w:sz w:val="24"/>
                <w:szCs w:val="24"/>
              </w:rPr>
              <w:t>4</w:t>
            </w:r>
          </w:p>
        </w:tc>
        <w:tc>
          <w:tcPr>
            <w:tcW w:w="756" w:type="dxa"/>
          </w:tcPr>
          <w:p w14:paraId="1D6E985C" w14:textId="1B510052" w:rsidR="004709DB" w:rsidRPr="004F7F85" w:rsidRDefault="004709DB" w:rsidP="004709DB">
            <w:pPr>
              <w:pStyle w:val="Subheading"/>
              <w:jc w:val="center"/>
              <w:rPr>
                <w:b w:val="0"/>
                <w:bCs w:val="0"/>
                <w:sz w:val="24"/>
                <w:szCs w:val="24"/>
              </w:rPr>
            </w:pPr>
            <w:r w:rsidRPr="004F7F85">
              <w:rPr>
                <w:b w:val="0"/>
                <w:bCs w:val="0"/>
                <w:sz w:val="24"/>
                <w:szCs w:val="24"/>
              </w:rPr>
              <w:t>44.40</w:t>
            </w:r>
          </w:p>
        </w:tc>
        <w:tc>
          <w:tcPr>
            <w:tcW w:w="918" w:type="dxa"/>
          </w:tcPr>
          <w:p w14:paraId="3C2F745A" w14:textId="0D861BB0" w:rsidR="004709DB" w:rsidRPr="004F7F85" w:rsidRDefault="004709DB" w:rsidP="004709DB">
            <w:pPr>
              <w:pStyle w:val="Subheading"/>
              <w:jc w:val="center"/>
              <w:rPr>
                <w:b w:val="0"/>
                <w:bCs w:val="0"/>
                <w:sz w:val="24"/>
                <w:szCs w:val="24"/>
              </w:rPr>
            </w:pPr>
            <w:r w:rsidRPr="004F7F85">
              <w:rPr>
                <w:b w:val="0"/>
                <w:bCs w:val="0"/>
                <w:sz w:val="24"/>
                <w:szCs w:val="24"/>
              </w:rPr>
              <w:t>8</w:t>
            </w:r>
          </w:p>
        </w:tc>
        <w:tc>
          <w:tcPr>
            <w:tcW w:w="970" w:type="dxa"/>
          </w:tcPr>
          <w:p w14:paraId="038F7166" w14:textId="6CE0F6DE" w:rsidR="004709DB" w:rsidRPr="004F7F85" w:rsidRDefault="004709DB" w:rsidP="004709DB">
            <w:pPr>
              <w:pStyle w:val="Subheading"/>
              <w:jc w:val="center"/>
              <w:rPr>
                <w:b w:val="0"/>
                <w:bCs w:val="0"/>
                <w:sz w:val="24"/>
                <w:szCs w:val="24"/>
              </w:rPr>
            </w:pPr>
            <w:r w:rsidRPr="004F7F85">
              <w:rPr>
                <w:b w:val="0"/>
                <w:bCs w:val="0"/>
                <w:sz w:val="24"/>
                <w:szCs w:val="24"/>
              </w:rPr>
              <w:t>53.30</w:t>
            </w:r>
          </w:p>
        </w:tc>
        <w:tc>
          <w:tcPr>
            <w:tcW w:w="492" w:type="dxa"/>
          </w:tcPr>
          <w:p w14:paraId="30FDFB38" w14:textId="0D6B8AE1" w:rsidR="004709DB" w:rsidRPr="004F7F85" w:rsidRDefault="004709DB" w:rsidP="004709DB">
            <w:pPr>
              <w:pStyle w:val="Subheading"/>
              <w:jc w:val="center"/>
              <w:rPr>
                <w:b w:val="0"/>
                <w:bCs w:val="0"/>
                <w:sz w:val="24"/>
                <w:szCs w:val="24"/>
              </w:rPr>
            </w:pPr>
            <w:r w:rsidRPr="004F7F85">
              <w:rPr>
                <w:b w:val="0"/>
                <w:bCs w:val="0"/>
                <w:sz w:val="24"/>
                <w:szCs w:val="24"/>
              </w:rPr>
              <w:t>1</w:t>
            </w:r>
          </w:p>
        </w:tc>
        <w:tc>
          <w:tcPr>
            <w:tcW w:w="876" w:type="dxa"/>
          </w:tcPr>
          <w:p w14:paraId="1A9B70C8" w14:textId="71BB8053" w:rsidR="004709DB" w:rsidRPr="004F7F85" w:rsidRDefault="004709DB" w:rsidP="004709DB">
            <w:pPr>
              <w:pStyle w:val="Subheading"/>
              <w:jc w:val="center"/>
              <w:rPr>
                <w:b w:val="0"/>
                <w:bCs w:val="0"/>
                <w:sz w:val="24"/>
                <w:szCs w:val="24"/>
              </w:rPr>
            </w:pPr>
            <w:r w:rsidRPr="004F7F85">
              <w:rPr>
                <w:b w:val="0"/>
                <w:bCs w:val="0"/>
                <w:sz w:val="24"/>
                <w:szCs w:val="24"/>
              </w:rPr>
              <w:t>100.00</w:t>
            </w:r>
          </w:p>
        </w:tc>
        <w:tc>
          <w:tcPr>
            <w:tcW w:w="718" w:type="dxa"/>
          </w:tcPr>
          <w:p w14:paraId="58426F8A" w14:textId="4136DEE6" w:rsidR="004709DB" w:rsidRPr="004F7F85" w:rsidRDefault="004709DB" w:rsidP="004709DB">
            <w:pPr>
              <w:pStyle w:val="Subheading"/>
              <w:jc w:val="center"/>
              <w:rPr>
                <w:b w:val="0"/>
                <w:bCs w:val="0"/>
                <w:sz w:val="24"/>
                <w:szCs w:val="24"/>
              </w:rPr>
            </w:pPr>
            <w:r w:rsidRPr="004F7F85">
              <w:rPr>
                <w:b w:val="0"/>
                <w:bCs w:val="0"/>
                <w:sz w:val="24"/>
                <w:szCs w:val="24"/>
              </w:rPr>
              <w:t>13</w:t>
            </w:r>
          </w:p>
        </w:tc>
        <w:tc>
          <w:tcPr>
            <w:tcW w:w="756" w:type="dxa"/>
          </w:tcPr>
          <w:p w14:paraId="07BDD488" w14:textId="7111E303" w:rsidR="004709DB" w:rsidRPr="004F7F85" w:rsidRDefault="004709DB" w:rsidP="004709DB">
            <w:pPr>
              <w:pStyle w:val="Subheading"/>
              <w:jc w:val="center"/>
              <w:rPr>
                <w:b w:val="0"/>
                <w:bCs w:val="0"/>
                <w:sz w:val="24"/>
                <w:szCs w:val="24"/>
              </w:rPr>
            </w:pPr>
            <w:r w:rsidRPr="004F7F85">
              <w:rPr>
                <w:b w:val="0"/>
                <w:bCs w:val="0"/>
                <w:sz w:val="24"/>
                <w:szCs w:val="24"/>
              </w:rPr>
              <w:t>52.00</w:t>
            </w:r>
          </w:p>
        </w:tc>
      </w:tr>
      <w:tr w:rsidR="004709DB" w:rsidRPr="004F7F85" w14:paraId="38726760" w14:textId="77777777" w:rsidTr="004709DB">
        <w:tc>
          <w:tcPr>
            <w:tcW w:w="3240" w:type="dxa"/>
          </w:tcPr>
          <w:p w14:paraId="45AEBCC8" w14:textId="79AA81B4" w:rsidR="004709DB" w:rsidRPr="004F7F85" w:rsidRDefault="004709DB" w:rsidP="004709DB">
            <w:pPr>
              <w:pStyle w:val="Subheading"/>
              <w:ind w:left="161"/>
              <w:rPr>
                <w:b w:val="0"/>
                <w:bCs w:val="0"/>
                <w:sz w:val="24"/>
                <w:szCs w:val="24"/>
              </w:rPr>
            </w:pPr>
            <w:r w:rsidRPr="004F7F85">
              <w:rPr>
                <w:b w:val="0"/>
                <w:bCs w:val="0"/>
                <w:sz w:val="24"/>
                <w:szCs w:val="24"/>
              </w:rPr>
              <w:t>No</w:t>
            </w:r>
          </w:p>
        </w:tc>
        <w:tc>
          <w:tcPr>
            <w:tcW w:w="724" w:type="dxa"/>
          </w:tcPr>
          <w:p w14:paraId="59A21A71" w14:textId="563ED28A" w:rsidR="004709DB" w:rsidRPr="004F7F85" w:rsidRDefault="004709DB" w:rsidP="004709DB">
            <w:pPr>
              <w:pStyle w:val="Subheading"/>
              <w:jc w:val="center"/>
              <w:rPr>
                <w:b w:val="0"/>
                <w:bCs w:val="0"/>
                <w:sz w:val="24"/>
                <w:szCs w:val="24"/>
              </w:rPr>
            </w:pPr>
            <w:r w:rsidRPr="004F7F85">
              <w:rPr>
                <w:b w:val="0"/>
                <w:bCs w:val="0"/>
                <w:sz w:val="24"/>
                <w:szCs w:val="24"/>
              </w:rPr>
              <w:t>5</w:t>
            </w:r>
          </w:p>
        </w:tc>
        <w:tc>
          <w:tcPr>
            <w:tcW w:w="756" w:type="dxa"/>
          </w:tcPr>
          <w:p w14:paraId="0FE70354" w14:textId="431FDA10" w:rsidR="004709DB" w:rsidRPr="004F7F85" w:rsidRDefault="004709DB" w:rsidP="004709DB">
            <w:pPr>
              <w:pStyle w:val="Subheading"/>
              <w:jc w:val="center"/>
              <w:rPr>
                <w:b w:val="0"/>
                <w:bCs w:val="0"/>
                <w:sz w:val="24"/>
                <w:szCs w:val="24"/>
              </w:rPr>
            </w:pPr>
            <w:r w:rsidRPr="004F7F85">
              <w:rPr>
                <w:b w:val="0"/>
                <w:bCs w:val="0"/>
                <w:sz w:val="24"/>
                <w:szCs w:val="24"/>
              </w:rPr>
              <w:t>55.60</w:t>
            </w:r>
          </w:p>
        </w:tc>
        <w:tc>
          <w:tcPr>
            <w:tcW w:w="918" w:type="dxa"/>
          </w:tcPr>
          <w:p w14:paraId="5B8D1906" w14:textId="37FD812A" w:rsidR="004709DB" w:rsidRPr="004F7F85" w:rsidRDefault="004709DB" w:rsidP="004709DB">
            <w:pPr>
              <w:pStyle w:val="Subheading"/>
              <w:jc w:val="center"/>
              <w:rPr>
                <w:b w:val="0"/>
                <w:bCs w:val="0"/>
                <w:sz w:val="24"/>
                <w:szCs w:val="24"/>
              </w:rPr>
            </w:pPr>
            <w:r w:rsidRPr="004F7F85">
              <w:rPr>
                <w:b w:val="0"/>
                <w:bCs w:val="0"/>
                <w:sz w:val="24"/>
                <w:szCs w:val="24"/>
              </w:rPr>
              <w:t>7</w:t>
            </w:r>
          </w:p>
        </w:tc>
        <w:tc>
          <w:tcPr>
            <w:tcW w:w="970" w:type="dxa"/>
          </w:tcPr>
          <w:p w14:paraId="4F05E940" w14:textId="1350EA93" w:rsidR="004709DB" w:rsidRPr="004F7F85" w:rsidRDefault="004709DB" w:rsidP="004709DB">
            <w:pPr>
              <w:pStyle w:val="Subheading"/>
              <w:jc w:val="center"/>
              <w:rPr>
                <w:b w:val="0"/>
                <w:bCs w:val="0"/>
                <w:sz w:val="24"/>
                <w:szCs w:val="24"/>
              </w:rPr>
            </w:pPr>
            <w:r w:rsidRPr="004F7F85">
              <w:rPr>
                <w:b w:val="0"/>
                <w:bCs w:val="0"/>
                <w:sz w:val="24"/>
                <w:szCs w:val="24"/>
              </w:rPr>
              <w:t>46.70</w:t>
            </w:r>
          </w:p>
        </w:tc>
        <w:tc>
          <w:tcPr>
            <w:tcW w:w="492" w:type="dxa"/>
          </w:tcPr>
          <w:p w14:paraId="30D20F92" w14:textId="2243B35D" w:rsidR="004709DB" w:rsidRPr="004F7F85" w:rsidRDefault="004709DB" w:rsidP="004709DB">
            <w:pPr>
              <w:pStyle w:val="Subheading"/>
              <w:jc w:val="center"/>
              <w:rPr>
                <w:b w:val="0"/>
                <w:bCs w:val="0"/>
                <w:sz w:val="24"/>
                <w:szCs w:val="24"/>
              </w:rPr>
            </w:pPr>
            <w:r w:rsidRPr="004F7F85">
              <w:rPr>
                <w:b w:val="0"/>
                <w:bCs w:val="0"/>
                <w:sz w:val="24"/>
                <w:szCs w:val="24"/>
              </w:rPr>
              <w:t>-</w:t>
            </w:r>
          </w:p>
        </w:tc>
        <w:tc>
          <w:tcPr>
            <w:tcW w:w="876" w:type="dxa"/>
          </w:tcPr>
          <w:p w14:paraId="05AC2D48" w14:textId="1A44C5D6" w:rsidR="004709DB" w:rsidRPr="004F7F85" w:rsidRDefault="004709DB" w:rsidP="004709DB">
            <w:pPr>
              <w:pStyle w:val="Subheading"/>
              <w:jc w:val="center"/>
              <w:rPr>
                <w:b w:val="0"/>
                <w:bCs w:val="0"/>
                <w:sz w:val="24"/>
                <w:szCs w:val="24"/>
              </w:rPr>
            </w:pPr>
            <w:r w:rsidRPr="004F7F85">
              <w:rPr>
                <w:b w:val="0"/>
                <w:bCs w:val="0"/>
                <w:sz w:val="24"/>
                <w:szCs w:val="24"/>
              </w:rPr>
              <w:t>-</w:t>
            </w:r>
          </w:p>
        </w:tc>
        <w:tc>
          <w:tcPr>
            <w:tcW w:w="718" w:type="dxa"/>
          </w:tcPr>
          <w:p w14:paraId="3951E372" w14:textId="5B666E6B" w:rsidR="004709DB" w:rsidRPr="004F7F85" w:rsidRDefault="004709DB" w:rsidP="004709DB">
            <w:pPr>
              <w:pStyle w:val="Subheading"/>
              <w:jc w:val="center"/>
              <w:rPr>
                <w:b w:val="0"/>
                <w:bCs w:val="0"/>
                <w:sz w:val="24"/>
                <w:szCs w:val="24"/>
              </w:rPr>
            </w:pPr>
            <w:r w:rsidRPr="004F7F85">
              <w:rPr>
                <w:b w:val="0"/>
                <w:bCs w:val="0"/>
                <w:sz w:val="24"/>
                <w:szCs w:val="24"/>
              </w:rPr>
              <w:t>12</w:t>
            </w:r>
          </w:p>
        </w:tc>
        <w:tc>
          <w:tcPr>
            <w:tcW w:w="756" w:type="dxa"/>
          </w:tcPr>
          <w:p w14:paraId="158F6069" w14:textId="03A6EA3F" w:rsidR="004709DB" w:rsidRPr="004F7F85" w:rsidRDefault="004709DB" w:rsidP="004709DB">
            <w:pPr>
              <w:pStyle w:val="Subheading"/>
              <w:jc w:val="center"/>
              <w:rPr>
                <w:b w:val="0"/>
                <w:bCs w:val="0"/>
                <w:sz w:val="24"/>
                <w:szCs w:val="24"/>
              </w:rPr>
            </w:pPr>
            <w:r w:rsidRPr="004F7F85">
              <w:rPr>
                <w:b w:val="0"/>
                <w:bCs w:val="0"/>
                <w:sz w:val="24"/>
                <w:szCs w:val="24"/>
              </w:rPr>
              <w:t>48.00</w:t>
            </w:r>
          </w:p>
        </w:tc>
      </w:tr>
      <w:tr w:rsidR="004709DB" w:rsidRPr="004F7F85" w14:paraId="3F30600F" w14:textId="77777777" w:rsidTr="004709DB">
        <w:tc>
          <w:tcPr>
            <w:tcW w:w="3240" w:type="dxa"/>
          </w:tcPr>
          <w:p w14:paraId="1CBF56B1" w14:textId="1D1D849E" w:rsidR="004709DB" w:rsidRPr="004F7F85" w:rsidRDefault="004709DB" w:rsidP="004709DB">
            <w:pPr>
              <w:pStyle w:val="Subheading"/>
              <w:rPr>
                <w:b w:val="0"/>
                <w:bCs w:val="0"/>
                <w:sz w:val="24"/>
                <w:szCs w:val="24"/>
              </w:rPr>
            </w:pPr>
            <w:r w:rsidRPr="004F7F85">
              <w:rPr>
                <w:b w:val="0"/>
                <w:bCs w:val="0"/>
                <w:sz w:val="24"/>
                <w:szCs w:val="24"/>
              </w:rPr>
              <w:t>Used AITC</w:t>
            </w:r>
          </w:p>
        </w:tc>
        <w:tc>
          <w:tcPr>
            <w:tcW w:w="724" w:type="dxa"/>
          </w:tcPr>
          <w:p w14:paraId="736D7A3F" w14:textId="77777777" w:rsidR="004709DB" w:rsidRPr="004F7F85" w:rsidRDefault="004709DB" w:rsidP="004709DB">
            <w:pPr>
              <w:pStyle w:val="Subheading"/>
              <w:jc w:val="center"/>
              <w:rPr>
                <w:b w:val="0"/>
                <w:bCs w:val="0"/>
                <w:sz w:val="24"/>
                <w:szCs w:val="24"/>
              </w:rPr>
            </w:pPr>
          </w:p>
        </w:tc>
        <w:tc>
          <w:tcPr>
            <w:tcW w:w="756" w:type="dxa"/>
          </w:tcPr>
          <w:p w14:paraId="49F7BAB2" w14:textId="77777777" w:rsidR="004709DB" w:rsidRPr="004F7F85" w:rsidRDefault="004709DB" w:rsidP="004709DB">
            <w:pPr>
              <w:pStyle w:val="Subheading"/>
              <w:jc w:val="center"/>
              <w:rPr>
                <w:b w:val="0"/>
                <w:bCs w:val="0"/>
                <w:sz w:val="24"/>
                <w:szCs w:val="24"/>
              </w:rPr>
            </w:pPr>
          </w:p>
        </w:tc>
        <w:tc>
          <w:tcPr>
            <w:tcW w:w="918" w:type="dxa"/>
          </w:tcPr>
          <w:p w14:paraId="3FC22996" w14:textId="77777777" w:rsidR="004709DB" w:rsidRPr="004F7F85" w:rsidRDefault="004709DB" w:rsidP="004709DB">
            <w:pPr>
              <w:pStyle w:val="Subheading"/>
              <w:jc w:val="center"/>
              <w:rPr>
                <w:b w:val="0"/>
                <w:bCs w:val="0"/>
                <w:sz w:val="24"/>
                <w:szCs w:val="24"/>
              </w:rPr>
            </w:pPr>
          </w:p>
        </w:tc>
        <w:tc>
          <w:tcPr>
            <w:tcW w:w="970" w:type="dxa"/>
          </w:tcPr>
          <w:p w14:paraId="16C2410D" w14:textId="77777777" w:rsidR="004709DB" w:rsidRPr="004F7F85" w:rsidRDefault="004709DB" w:rsidP="004709DB">
            <w:pPr>
              <w:pStyle w:val="Subheading"/>
              <w:jc w:val="center"/>
              <w:rPr>
                <w:b w:val="0"/>
                <w:bCs w:val="0"/>
                <w:sz w:val="24"/>
                <w:szCs w:val="24"/>
              </w:rPr>
            </w:pPr>
          </w:p>
        </w:tc>
        <w:tc>
          <w:tcPr>
            <w:tcW w:w="492" w:type="dxa"/>
          </w:tcPr>
          <w:p w14:paraId="3546563B" w14:textId="77777777" w:rsidR="004709DB" w:rsidRPr="004F7F85" w:rsidRDefault="004709DB" w:rsidP="004709DB">
            <w:pPr>
              <w:pStyle w:val="Subheading"/>
              <w:jc w:val="center"/>
              <w:rPr>
                <w:b w:val="0"/>
                <w:bCs w:val="0"/>
                <w:sz w:val="24"/>
                <w:szCs w:val="24"/>
              </w:rPr>
            </w:pPr>
          </w:p>
        </w:tc>
        <w:tc>
          <w:tcPr>
            <w:tcW w:w="876" w:type="dxa"/>
          </w:tcPr>
          <w:p w14:paraId="6666EC59" w14:textId="77777777" w:rsidR="004709DB" w:rsidRPr="004F7F85" w:rsidRDefault="004709DB" w:rsidP="004709DB">
            <w:pPr>
              <w:pStyle w:val="Subheading"/>
              <w:jc w:val="center"/>
              <w:rPr>
                <w:b w:val="0"/>
                <w:bCs w:val="0"/>
                <w:sz w:val="24"/>
                <w:szCs w:val="24"/>
              </w:rPr>
            </w:pPr>
          </w:p>
        </w:tc>
        <w:tc>
          <w:tcPr>
            <w:tcW w:w="718" w:type="dxa"/>
          </w:tcPr>
          <w:p w14:paraId="15860726" w14:textId="77777777" w:rsidR="004709DB" w:rsidRPr="004F7F85" w:rsidRDefault="004709DB" w:rsidP="004709DB">
            <w:pPr>
              <w:pStyle w:val="Subheading"/>
              <w:jc w:val="center"/>
              <w:rPr>
                <w:b w:val="0"/>
                <w:bCs w:val="0"/>
                <w:sz w:val="24"/>
                <w:szCs w:val="24"/>
              </w:rPr>
            </w:pPr>
          </w:p>
        </w:tc>
        <w:tc>
          <w:tcPr>
            <w:tcW w:w="756" w:type="dxa"/>
          </w:tcPr>
          <w:p w14:paraId="51CCF719" w14:textId="77777777" w:rsidR="004709DB" w:rsidRPr="004F7F85" w:rsidRDefault="004709DB" w:rsidP="004709DB">
            <w:pPr>
              <w:pStyle w:val="Subheading"/>
              <w:jc w:val="center"/>
              <w:rPr>
                <w:b w:val="0"/>
                <w:bCs w:val="0"/>
                <w:sz w:val="24"/>
                <w:szCs w:val="24"/>
              </w:rPr>
            </w:pPr>
          </w:p>
        </w:tc>
      </w:tr>
      <w:tr w:rsidR="004709DB" w:rsidRPr="004F7F85" w14:paraId="0F2CC4AD" w14:textId="77777777" w:rsidTr="004709DB">
        <w:tc>
          <w:tcPr>
            <w:tcW w:w="3240" w:type="dxa"/>
          </w:tcPr>
          <w:p w14:paraId="7DBD0DA0" w14:textId="10755A92" w:rsidR="004709DB" w:rsidRPr="004F7F85" w:rsidRDefault="004709DB" w:rsidP="004709DB">
            <w:pPr>
              <w:pStyle w:val="Subheading"/>
              <w:ind w:left="161"/>
              <w:rPr>
                <w:b w:val="0"/>
                <w:bCs w:val="0"/>
                <w:sz w:val="24"/>
                <w:szCs w:val="24"/>
              </w:rPr>
            </w:pPr>
            <w:r w:rsidRPr="004F7F85">
              <w:rPr>
                <w:b w:val="0"/>
                <w:bCs w:val="0"/>
                <w:sz w:val="24"/>
                <w:szCs w:val="24"/>
              </w:rPr>
              <w:t>Yes</w:t>
            </w:r>
          </w:p>
        </w:tc>
        <w:tc>
          <w:tcPr>
            <w:tcW w:w="724" w:type="dxa"/>
          </w:tcPr>
          <w:p w14:paraId="58C0ADDB" w14:textId="35753187" w:rsidR="004709DB" w:rsidRPr="004F7F85" w:rsidRDefault="004709DB" w:rsidP="004709DB">
            <w:pPr>
              <w:pStyle w:val="Subheading"/>
              <w:jc w:val="center"/>
              <w:rPr>
                <w:b w:val="0"/>
                <w:bCs w:val="0"/>
                <w:sz w:val="24"/>
                <w:szCs w:val="24"/>
              </w:rPr>
            </w:pPr>
            <w:r w:rsidRPr="004F7F85">
              <w:rPr>
                <w:b w:val="0"/>
                <w:bCs w:val="0"/>
                <w:sz w:val="24"/>
                <w:szCs w:val="24"/>
              </w:rPr>
              <w:t>1</w:t>
            </w:r>
          </w:p>
        </w:tc>
        <w:tc>
          <w:tcPr>
            <w:tcW w:w="756" w:type="dxa"/>
          </w:tcPr>
          <w:p w14:paraId="72DA98C6" w14:textId="6BF9DC2F" w:rsidR="004709DB" w:rsidRPr="004F7F85" w:rsidRDefault="004709DB" w:rsidP="004709DB">
            <w:pPr>
              <w:pStyle w:val="Subheading"/>
              <w:jc w:val="center"/>
              <w:rPr>
                <w:b w:val="0"/>
                <w:bCs w:val="0"/>
                <w:sz w:val="24"/>
                <w:szCs w:val="24"/>
              </w:rPr>
            </w:pPr>
            <w:r w:rsidRPr="004F7F85">
              <w:rPr>
                <w:b w:val="0"/>
                <w:bCs w:val="0"/>
                <w:sz w:val="24"/>
                <w:szCs w:val="24"/>
              </w:rPr>
              <w:t>11.10</w:t>
            </w:r>
          </w:p>
        </w:tc>
        <w:tc>
          <w:tcPr>
            <w:tcW w:w="918" w:type="dxa"/>
          </w:tcPr>
          <w:p w14:paraId="4723EB8D" w14:textId="6B80F69A" w:rsidR="004709DB" w:rsidRPr="004F7F85" w:rsidRDefault="004709DB" w:rsidP="004709DB">
            <w:pPr>
              <w:pStyle w:val="Subheading"/>
              <w:jc w:val="center"/>
              <w:rPr>
                <w:b w:val="0"/>
                <w:bCs w:val="0"/>
                <w:sz w:val="24"/>
                <w:szCs w:val="24"/>
              </w:rPr>
            </w:pPr>
            <w:r w:rsidRPr="004F7F85">
              <w:rPr>
                <w:b w:val="0"/>
                <w:bCs w:val="0"/>
                <w:sz w:val="24"/>
                <w:szCs w:val="24"/>
              </w:rPr>
              <w:t>3</w:t>
            </w:r>
          </w:p>
        </w:tc>
        <w:tc>
          <w:tcPr>
            <w:tcW w:w="970" w:type="dxa"/>
          </w:tcPr>
          <w:p w14:paraId="4810515F" w14:textId="4D8151C7" w:rsidR="004709DB" w:rsidRPr="004F7F85" w:rsidRDefault="004709DB" w:rsidP="004709DB">
            <w:pPr>
              <w:pStyle w:val="Subheading"/>
              <w:jc w:val="center"/>
              <w:rPr>
                <w:b w:val="0"/>
                <w:bCs w:val="0"/>
                <w:sz w:val="24"/>
                <w:szCs w:val="24"/>
              </w:rPr>
            </w:pPr>
            <w:r w:rsidRPr="004F7F85">
              <w:rPr>
                <w:b w:val="0"/>
                <w:bCs w:val="0"/>
                <w:sz w:val="24"/>
                <w:szCs w:val="24"/>
              </w:rPr>
              <w:t>20.00</w:t>
            </w:r>
          </w:p>
        </w:tc>
        <w:tc>
          <w:tcPr>
            <w:tcW w:w="492" w:type="dxa"/>
          </w:tcPr>
          <w:p w14:paraId="350E787D" w14:textId="752B256B" w:rsidR="004709DB" w:rsidRPr="004F7F85" w:rsidRDefault="004709DB" w:rsidP="004709DB">
            <w:pPr>
              <w:pStyle w:val="Subheading"/>
              <w:jc w:val="center"/>
              <w:rPr>
                <w:b w:val="0"/>
                <w:bCs w:val="0"/>
                <w:sz w:val="24"/>
                <w:szCs w:val="24"/>
              </w:rPr>
            </w:pPr>
            <w:r w:rsidRPr="004F7F85">
              <w:rPr>
                <w:b w:val="0"/>
                <w:bCs w:val="0"/>
                <w:sz w:val="24"/>
                <w:szCs w:val="24"/>
              </w:rPr>
              <w:t>-</w:t>
            </w:r>
          </w:p>
        </w:tc>
        <w:tc>
          <w:tcPr>
            <w:tcW w:w="876" w:type="dxa"/>
          </w:tcPr>
          <w:p w14:paraId="07311820" w14:textId="134769D1" w:rsidR="004709DB" w:rsidRPr="004F7F85" w:rsidRDefault="004709DB" w:rsidP="004709DB">
            <w:pPr>
              <w:pStyle w:val="Subheading"/>
              <w:jc w:val="center"/>
              <w:rPr>
                <w:b w:val="0"/>
                <w:bCs w:val="0"/>
                <w:sz w:val="24"/>
                <w:szCs w:val="24"/>
              </w:rPr>
            </w:pPr>
            <w:r w:rsidRPr="004F7F85">
              <w:rPr>
                <w:b w:val="0"/>
                <w:bCs w:val="0"/>
                <w:sz w:val="24"/>
                <w:szCs w:val="24"/>
              </w:rPr>
              <w:t>-</w:t>
            </w:r>
          </w:p>
        </w:tc>
        <w:tc>
          <w:tcPr>
            <w:tcW w:w="718" w:type="dxa"/>
          </w:tcPr>
          <w:p w14:paraId="01772665" w14:textId="35B338CA" w:rsidR="004709DB" w:rsidRPr="004F7F85" w:rsidRDefault="004709DB" w:rsidP="004709DB">
            <w:pPr>
              <w:pStyle w:val="Subheading"/>
              <w:jc w:val="center"/>
              <w:rPr>
                <w:b w:val="0"/>
                <w:bCs w:val="0"/>
                <w:sz w:val="24"/>
                <w:szCs w:val="24"/>
              </w:rPr>
            </w:pPr>
            <w:r w:rsidRPr="004F7F85">
              <w:rPr>
                <w:b w:val="0"/>
                <w:bCs w:val="0"/>
                <w:sz w:val="24"/>
                <w:szCs w:val="24"/>
              </w:rPr>
              <w:t>4</w:t>
            </w:r>
          </w:p>
        </w:tc>
        <w:tc>
          <w:tcPr>
            <w:tcW w:w="756" w:type="dxa"/>
          </w:tcPr>
          <w:p w14:paraId="5308AEF5" w14:textId="37966A43" w:rsidR="004709DB" w:rsidRPr="004F7F85" w:rsidRDefault="004709DB" w:rsidP="004709DB">
            <w:pPr>
              <w:pStyle w:val="Subheading"/>
              <w:jc w:val="center"/>
              <w:rPr>
                <w:b w:val="0"/>
                <w:bCs w:val="0"/>
                <w:sz w:val="24"/>
                <w:szCs w:val="24"/>
              </w:rPr>
            </w:pPr>
            <w:r w:rsidRPr="004F7F85">
              <w:rPr>
                <w:b w:val="0"/>
                <w:bCs w:val="0"/>
                <w:sz w:val="24"/>
                <w:szCs w:val="24"/>
              </w:rPr>
              <w:t>16.00</w:t>
            </w:r>
          </w:p>
        </w:tc>
      </w:tr>
      <w:tr w:rsidR="004709DB" w:rsidRPr="004F7F85" w14:paraId="2E16A2D3" w14:textId="77777777" w:rsidTr="004709DB">
        <w:tc>
          <w:tcPr>
            <w:tcW w:w="3240" w:type="dxa"/>
            <w:tcBorders>
              <w:bottom w:val="single" w:sz="4" w:space="0" w:color="auto"/>
            </w:tcBorders>
          </w:tcPr>
          <w:p w14:paraId="4F6AD635" w14:textId="01205D39" w:rsidR="004709DB" w:rsidRPr="004F7F85" w:rsidRDefault="004709DB" w:rsidP="004709DB">
            <w:pPr>
              <w:pStyle w:val="Subheading"/>
              <w:ind w:left="161"/>
              <w:rPr>
                <w:b w:val="0"/>
                <w:bCs w:val="0"/>
                <w:sz w:val="24"/>
                <w:szCs w:val="24"/>
              </w:rPr>
            </w:pPr>
            <w:r w:rsidRPr="004F7F85">
              <w:rPr>
                <w:b w:val="0"/>
                <w:bCs w:val="0"/>
                <w:sz w:val="24"/>
                <w:szCs w:val="24"/>
              </w:rPr>
              <w:t>No</w:t>
            </w:r>
          </w:p>
        </w:tc>
        <w:tc>
          <w:tcPr>
            <w:tcW w:w="724" w:type="dxa"/>
            <w:tcBorders>
              <w:bottom w:val="single" w:sz="4" w:space="0" w:color="auto"/>
            </w:tcBorders>
          </w:tcPr>
          <w:p w14:paraId="50A89382" w14:textId="20774DC1" w:rsidR="004709DB" w:rsidRPr="004F7F85" w:rsidRDefault="004709DB" w:rsidP="004709DB">
            <w:pPr>
              <w:pStyle w:val="Subheading"/>
              <w:jc w:val="center"/>
              <w:rPr>
                <w:b w:val="0"/>
                <w:bCs w:val="0"/>
                <w:sz w:val="24"/>
                <w:szCs w:val="24"/>
              </w:rPr>
            </w:pPr>
            <w:r w:rsidRPr="004F7F85">
              <w:rPr>
                <w:b w:val="0"/>
                <w:bCs w:val="0"/>
                <w:sz w:val="24"/>
                <w:szCs w:val="24"/>
              </w:rPr>
              <w:t>8</w:t>
            </w:r>
          </w:p>
        </w:tc>
        <w:tc>
          <w:tcPr>
            <w:tcW w:w="756" w:type="dxa"/>
            <w:tcBorders>
              <w:bottom w:val="single" w:sz="4" w:space="0" w:color="auto"/>
            </w:tcBorders>
          </w:tcPr>
          <w:p w14:paraId="6E2FBD69" w14:textId="1BEEAE8C" w:rsidR="004709DB" w:rsidRPr="004F7F85" w:rsidRDefault="004709DB" w:rsidP="004709DB">
            <w:pPr>
              <w:pStyle w:val="Subheading"/>
              <w:jc w:val="center"/>
              <w:rPr>
                <w:b w:val="0"/>
                <w:bCs w:val="0"/>
                <w:sz w:val="24"/>
                <w:szCs w:val="24"/>
              </w:rPr>
            </w:pPr>
            <w:r w:rsidRPr="004F7F85">
              <w:rPr>
                <w:b w:val="0"/>
                <w:bCs w:val="0"/>
                <w:sz w:val="24"/>
                <w:szCs w:val="24"/>
              </w:rPr>
              <w:t>88.90</w:t>
            </w:r>
          </w:p>
        </w:tc>
        <w:tc>
          <w:tcPr>
            <w:tcW w:w="918" w:type="dxa"/>
            <w:tcBorders>
              <w:bottom w:val="single" w:sz="4" w:space="0" w:color="auto"/>
            </w:tcBorders>
          </w:tcPr>
          <w:p w14:paraId="38826785" w14:textId="2EAAE4A3" w:rsidR="004709DB" w:rsidRPr="004F7F85" w:rsidRDefault="004709DB" w:rsidP="004709DB">
            <w:pPr>
              <w:pStyle w:val="Subheading"/>
              <w:jc w:val="center"/>
              <w:rPr>
                <w:b w:val="0"/>
                <w:bCs w:val="0"/>
                <w:sz w:val="24"/>
                <w:szCs w:val="24"/>
              </w:rPr>
            </w:pPr>
            <w:r w:rsidRPr="004F7F85">
              <w:rPr>
                <w:b w:val="0"/>
                <w:bCs w:val="0"/>
                <w:sz w:val="24"/>
                <w:szCs w:val="24"/>
              </w:rPr>
              <w:t>12</w:t>
            </w:r>
          </w:p>
        </w:tc>
        <w:tc>
          <w:tcPr>
            <w:tcW w:w="970" w:type="dxa"/>
            <w:tcBorders>
              <w:bottom w:val="single" w:sz="4" w:space="0" w:color="auto"/>
            </w:tcBorders>
          </w:tcPr>
          <w:p w14:paraId="7DCA3540" w14:textId="6D120865" w:rsidR="004709DB" w:rsidRPr="004F7F85" w:rsidRDefault="004709DB" w:rsidP="004709DB">
            <w:pPr>
              <w:pStyle w:val="Subheading"/>
              <w:jc w:val="center"/>
              <w:rPr>
                <w:b w:val="0"/>
                <w:bCs w:val="0"/>
                <w:sz w:val="24"/>
                <w:szCs w:val="24"/>
              </w:rPr>
            </w:pPr>
            <w:r w:rsidRPr="004F7F85">
              <w:rPr>
                <w:b w:val="0"/>
                <w:bCs w:val="0"/>
                <w:sz w:val="24"/>
                <w:szCs w:val="24"/>
              </w:rPr>
              <w:t>80.00</w:t>
            </w:r>
          </w:p>
        </w:tc>
        <w:tc>
          <w:tcPr>
            <w:tcW w:w="492" w:type="dxa"/>
            <w:tcBorders>
              <w:bottom w:val="single" w:sz="4" w:space="0" w:color="auto"/>
            </w:tcBorders>
          </w:tcPr>
          <w:p w14:paraId="5169D395" w14:textId="67D8F9F5" w:rsidR="004709DB" w:rsidRPr="004F7F85" w:rsidRDefault="004709DB" w:rsidP="004709DB">
            <w:pPr>
              <w:pStyle w:val="Subheading"/>
              <w:jc w:val="center"/>
              <w:rPr>
                <w:b w:val="0"/>
                <w:bCs w:val="0"/>
                <w:sz w:val="24"/>
                <w:szCs w:val="24"/>
              </w:rPr>
            </w:pPr>
            <w:r w:rsidRPr="004F7F85">
              <w:rPr>
                <w:b w:val="0"/>
                <w:bCs w:val="0"/>
                <w:sz w:val="24"/>
                <w:szCs w:val="24"/>
              </w:rPr>
              <w:t>1</w:t>
            </w:r>
          </w:p>
        </w:tc>
        <w:tc>
          <w:tcPr>
            <w:tcW w:w="876" w:type="dxa"/>
            <w:tcBorders>
              <w:bottom w:val="single" w:sz="4" w:space="0" w:color="auto"/>
            </w:tcBorders>
          </w:tcPr>
          <w:p w14:paraId="63E6D45E" w14:textId="09FA222B" w:rsidR="004709DB" w:rsidRPr="004F7F85" w:rsidRDefault="004709DB" w:rsidP="004709DB">
            <w:pPr>
              <w:pStyle w:val="Subheading"/>
              <w:jc w:val="center"/>
              <w:rPr>
                <w:b w:val="0"/>
                <w:bCs w:val="0"/>
                <w:sz w:val="24"/>
                <w:szCs w:val="24"/>
              </w:rPr>
            </w:pPr>
            <w:r w:rsidRPr="004F7F85">
              <w:rPr>
                <w:b w:val="0"/>
                <w:bCs w:val="0"/>
                <w:sz w:val="24"/>
                <w:szCs w:val="24"/>
              </w:rPr>
              <w:t>100.00</w:t>
            </w:r>
          </w:p>
        </w:tc>
        <w:tc>
          <w:tcPr>
            <w:tcW w:w="718" w:type="dxa"/>
            <w:tcBorders>
              <w:bottom w:val="single" w:sz="4" w:space="0" w:color="auto"/>
            </w:tcBorders>
          </w:tcPr>
          <w:p w14:paraId="296E00CD" w14:textId="5BFD9041" w:rsidR="004709DB" w:rsidRPr="004F7F85" w:rsidRDefault="004709DB" w:rsidP="004709DB">
            <w:pPr>
              <w:pStyle w:val="Subheading"/>
              <w:jc w:val="center"/>
              <w:rPr>
                <w:b w:val="0"/>
                <w:bCs w:val="0"/>
                <w:sz w:val="24"/>
                <w:szCs w:val="24"/>
              </w:rPr>
            </w:pPr>
            <w:r w:rsidRPr="004F7F85">
              <w:rPr>
                <w:b w:val="0"/>
                <w:bCs w:val="0"/>
                <w:sz w:val="24"/>
                <w:szCs w:val="24"/>
              </w:rPr>
              <w:t>21</w:t>
            </w:r>
          </w:p>
        </w:tc>
        <w:tc>
          <w:tcPr>
            <w:tcW w:w="756" w:type="dxa"/>
            <w:tcBorders>
              <w:bottom w:val="single" w:sz="4" w:space="0" w:color="auto"/>
            </w:tcBorders>
          </w:tcPr>
          <w:p w14:paraId="7C218C77" w14:textId="2993F624" w:rsidR="004709DB" w:rsidRPr="004F7F85" w:rsidRDefault="004709DB" w:rsidP="004709DB">
            <w:pPr>
              <w:pStyle w:val="Subheading"/>
              <w:jc w:val="center"/>
              <w:rPr>
                <w:b w:val="0"/>
                <w:bCs w:val="0"/>
                <w:sz w:val="24"/>
                <w:szCs w:val="24"/>
              </w:rPr>
            </w:pPr>
            <w:r w:rsidRPr="004F7F85">
              <w:rPr>
                <w:b w:val="0"/>
                <w:bCs w:val="0"/>
                <w:sz w:val="24"/>
                <w:szCs w:val="24"/>
              </w:rPr>
              <w:t>84.00</w:t>
            </w:r>
          </w:p>
        </w:tc>
      </w:tr>
    </w:tbl>
    <w:p w14:paraId="025E30BB" w14:textId="77777777" w:rsidR="00A64FC3" w:rsidRPr="004F7F85" w:rsidRDefault="00A64FC3" w:rsidP="00243B01">
      <w:pPr>
        <w:pStyle w:val="Subheading"/>
        <w:rPr>
          <w:sz w:val="24"/>
          <w:szCs w:val="24"/>
        </w:rPr>
      </w:pPr>
    </w:p>
    <w:p w14:paraId="4E24C66B" w14:textId="0142FFDB" w:rsidR="009A16C9" w:rsidRPr="004F7F85" w:rsidRDefault="009A16C9" w:rsidP="00243B01">
      <w:pPr>
        <w:pStyle w:val="Subheading"/>
        <w:rPr>
          <w:sz w:val="24"/>
          <w:szCs w:val="24"/>
        </w:rPr>
      </w:pPr>
      <w:r w:rsidRPr="004F7F85">
        <w:rPr>
          <w:sz w:val="24"/>
          <w:szCs w:val="24"/>
        </w:rPr>
        <w:t>Objective One</w:t>
      </w:r>
      <w:bookmarkEnd w:id="8"/>
      <w:r w:rsidR="000563D6" w:rsidRPr="004F7F85">
        <w:rPr>
          <w:sz w:val="24"/>
          <w:szCs w:val="24"/>
        </w:rPr>
        <w:t>: Perceptions of Agricultural Education</w:t>
      </w:r>
    </w:p>
    <w:p w14:paraId="777D9956" w14:textId="77777777" w:rsidR="00243B01" w:rsidRPr="004F7F85" w:rsidRDefault="00243B01" w:rsidP="00243B01">
      <w:pPr>
        <w:pStyle w:val="Subheading"/>
        <w:rPr>
          <w:sz w:val="24"/>
          <w:szCs w:val="24"/>
        </w:rPr>
      </w:pPr>
    </w:p>
    <w:p w14:paraId="08B5BE26" w14:textId="1065CB3C" w:rsidR="00CC1AC8" w:rsidRPr="004F7F85" w:rsidRDefault="009A16C9" w:rsidP="00886B61">
      <w:pPr>
        <w:spacing w:line="240" w:lineRule="auto"/>
        <w:rPr>
          <w:rFonts w:cs="Times New Roman"/>
          <w:szCs w:val="24"/>
        </w:rPr>
      </w:pPr>
      <w:r w:rsidRPr="004F7F85">
        <w:rPr>
          <w:rFonts w:cs="Times New Roman"/>
          <w:szCs w:val="24"/>
        </w:rPr>
        <w:t>Objective</w:t>
      </w:r>
      <w:r w:rsidR="006F272C" w:rsidRPr="004F7F85">
        <w:rPr>
          <w:rFonts w:cs="Times New Roman"/>
          <w:szCs w:val="24"/>
        </w:rPr>
        <w:t xml:space="preserve"> One</w:t>
      </w:r>
      <w:r w:rsidRPr="004F7F85">
        <w:rPr>
          <w:rFonts w:cs="Times New Roman"/>
          <w:szCs w:val="24"/>
        </w:rPr>
        <w:t xml:space="preserve"> </w:t>
      </w:r>
      <w:r w:rsidR="006F272C" w:rsidRPr="004F7F85">
        <w:rPr>
          <w:rFonts w:cs="Times New Roman"/>
          <w:szCs w:val="24"/>
        </w:rPr>
        <w:t xml:space="preserve">sought to </w:t>
      </w:r>
      <w:r w:rsidRPr="004F7F85">
        <w:rPr>
          <w:rFonts w:cs="Times New Roman"/>
          <w:szCs w:val="24"/>
        </w:rPr>
        <w:t>assess pre-service teachers' perceptions of agricultural education</w:t>
      </w:r>
      <w:r w:rsidR="000563D6" w:rsidRPr="004F7F85">
        <w:rPr>
          <w:rFonts w:cs="Times New Roman"/>
          <w:szCs w:val="24"/>
        </w:rPr>
        <w:t xml:space="preserve"> across five constructs</w:t>
      </w:r>
      <w:r w:rsidR="003D7FD7" w:rsidRPr="004F7F85">
        <w:rPr>
          <w:rFonts w:cs="Times New Roman"/>
          <w:szCs w:val="24"/>
        </w:rPr>
        <w:t xml:space="preserve">: importance, willingness to integrate, lessons, confidence, and standards </w:t>
      </w:r>
      <w:r w:rsidR="00243B01" w:rsidRPr="004F7F85">
        <w:rPr>
          <w:rFonts w:cs="Times New Roman"/>
          <w:szCs w:val="24"/>
        </w:rPr>
        <w:t>and</w:t>
      </w:r>
      <w:r w:rsidR="003D7FD7" w:rsidRPr="004F7F85">
        <w:rPr>
          <w:rFonts w:cs="Times New Roman"/>
          <w:szCs w:val="24"/>
        </w:rPr>
        <w:t xml:space="preserve"> curriculum.</w:t>
      </w:r>
      <w:r w:rsidRPr="004F7F85">
        <w:rPr>
          <w:rFonts w:cs="Times New Roman"/>
          <w:szCs w:val="24"/>
        </w:rPr>
        <w:t xml:space="preserve"> </w:t>
      </w:r>
      <w:r w:rsidR="009B6F8C" w:rsidRPr="004F7F85">
        <w:rPr>
          <w:rFonts w:cs="Times New Roman"/>
          <w:szCs w:val="24"/>
        </w:rPr>
        <w:t>Overall, participants expressed positive perceptions toward agricultural education. The highest mean score was for the importance construct (</w:t>
      </w:r>
      <w:r w:rsidR="00760AC8" w:rsidRPr="004F7F85">
        <w:rPr>
          <w:rFonts w:cs="Times New Roman"/>
          <w:i/>
          <w:iCs/>
          <w:szCs w:val="24"/>
        </w:rPr>
        <w:t>M</w:t>
      </w:r>
      <w:r w:rsidR="00760AC8" w:rsidRPr="004F7F85">
        <w:rPr>
          <w:rFonts w:cs="Times New Roman"/>
          <w:szCs w:val="24"/>
        </w:rPr>
        <w:t xml:space="preserve"> = 3.34</w:t>
      </w:r>
      <w:r w:rsidR="00E71C8B" w:rsidRPr="004F7F85">
        <w:rPr>
          <w:rFonts w:cs="Times New Roman"/>
          <w:szCs w:val="24"/>
        </w:rPr>
        <w:t xml:space="preserve">, </w:t>
      </w:r>
      <w:r w:rsidR="00E71C8B" w:rsidRPr="004F7F85">
        <w:rPr>
          <w:rFonts w:cs="Times New Roman"/>
          <w:i/>
          <w:iCs/>
          <w:szCs w:val="24"/>
        </w:rPr>
        <w:t>SD</w:t>
      </w:r>
      <w:r w:rsidR="00E71C8B" w:rsidRPr="004F7F85">
        <w:rPr>
          <w:rFonts w:cs="Times New Roman"/>
          <w:szCs w:val="24"/>
        </w:rPr>
        <w:t xml:space="preserve"> = 0.37), followed by willingness to integrate (</w:t>
      </w:r>
      <w:r w:rsidR="00E71C8B" w:rsidRPr="004F7F85">
        <w:rPr>
          <w:rFonts w:cs="Times New Roman"/>
          <w:i/>
          <w:iCs/>
          <w:szCs w:val="24"/>
        </w:rPr>
        <w:t>M</w:t>
      </w:r>
      <w:r w:rsidR="00E71C8B" w:rsidRPr="004F7F85">
        <w:rPr>
          <w:rFonts w:cs="Times New Roman"/>
          <w:szCs w:val="24"/>
        </w:rPr>
        <w:t xml:space="preserve"> = 3.29, </w:t>
      </w:r>
      <w:r w:rsidR="00E71C8B" w:rsidRPr="004F7F85">
        <w:rPr>
          <w:rFonts w:cs="Times New Roman"/>
          <w:i/>
          <w:iCs/>
          <w:szCs w:val="24"/>
        </w:rPr>
        <w:t>SD</w:t>
      </w:r>
      <w:r w:rsidR="00E71C8B" w:rsidRPr="004F7F85">
        <w:rPr>
          <w:rFonts w:cs="Times New Roman"/>
          <w:szCs w:val="24"/>
        </w:rPr>
        <w:t xml:space="preserve"> = 0.33), curriculum and standards (</w:t>
      </w:r>
      <w:r w:rsidR="00E71C8B" w:rsidRPr="004F7F85">
        <w:rPr>
          <w:rFonts w:cs="Times New Roman"/>
          <w:i/>
          <w:iCs/>
          <w:szCs w:val="24"/>
        </w:rPr>
        <w:t xml:space="preserve">M </w:t>
      </w:r>
      <w:r w:rsidR="00E71C8B" w:rsidRPr="004F7F85">
        <w:rPr>
          <w:rFonts w:cs="Times New Roman"/>
          <w:szCs w:val="24"/>
        </w:rPr>
        <w:t xml:space="preserve">= 3.27, </w:t>
      </w:r>
      <w:r w:rsidR="00E71C8B" w:rsidRPr="004F7F85">
        <w:rPr>
          <w:rFonts w:cs="Times New Roman"/>
          <w:i/>
          <w:iCs/>
          <w:szCs w:val="24"/>
        </w:rPr>
        <w:t>SD</w:t>
      </w:r>
      <w:r w:rsidR="00E71C8B" w:rsidRPr="004F7F85">
        <w:rPr>
          <w:rFonts w:cs="Times New Roman"/>
          <w:szCs w:val="24"/>
        </w:rPr>
        <w:t xml:space="preserve"> = 0.39), and lesson perceptions (</w:t>
      </w:r>
      <w:r w:rsidR="00E71C8B" w:rsidRPr="004F7F85">
        <w:rPr>
          <w:rFonts w:cs="Times New Roman"/>
          <w:i/>
          <w:iCs/>
          <w:szCs w:val="24"/>
        </w:rPr>
        <w:t>M</w:t>
      </w:r>
      <w:r w:rsidR="00E71C8B" w:rsidRPr="004F7F85">
        <w:rPr>
          <w:rFonts w:cs="Times New Roman"/>
          <w:szCs w:val="24"/>
        </w:rPr>
        <w:t xml:space="preserve"> = 3.14, </w:t>
      </w:r>
      <w:r w:rsidR="00E71C8B" w:rsidRPr="004F7F85">
        <w:rPr>
          <w:rFonts w:cs="Times New Roman"/>
          <w:i/>
          <w:iCs/>
          <w:szCs w:val="24"/>
        </w:rPr>
        <w:t>SD</w:t>
      </w:r>
      <w:r w:rsidR="00E71C8B" w:rsidRPr="004F7F85">
        <w:rPr>
          <w:rFonts w:cs="Times New Roman"/>
          <w:szCs w:val="24"/>
        </w:rPr>
        <w:t xml:space="preserve"> = 0.41). Confidence in delivering agricultural content was comparatively lower (</w:t>
      </w:r>
      <w:r w:rsidR="00E71C8B" w:rsidRPr="004F7F85">
        <w:rPr>
          <w:rFonts w:cs="Times New Roman"/>
          <w:i/>
          <w:iCs/>
          <w:szCs w:val="24"/>
        </w:rPr>
        <w:t>M</w:t>
      </w:r>
      <w:r w:rsidR="00E71C8B" w:rsidRPr="004F7F85">
        <w:rPr>
          <w:rFonts w:cs="Times New Roman"/>
          <w:szCs w:val="24"/>
        </w:rPr>
        <w:t xml:space="preserve"> = 2.59, </w:t>
      </w:r>
      <w:r w:rsidR="00E71C8B" w:rsidRPr="004F7F85">
        <w:rPr>
          <w:rFonts w:cs="Times New Roman"/>
          <w:i/>
          <w:iCs/>
          <w:szCs w:val="24"/>
        </w:rPr>
        <w:t>SD</w:t>
      </w:r>
      <w:r w:rsidR="00E71C8B" w:rsidRPr="004F7F85">
        <w:rPr>
          <w:rFonts w:cs="Times New Roman"/>
          <w:szCs w:val="24"/>
        </w:rPr>
        <w:t xml:space="preserve"> = 0.40).</w:t>
      </w:r>
    </w:p>
    <w:p w14:paraId="172AA004" w14:textId="77777777" w:rsidR="00A64FC3" w:rsidRPr="004F7F85" w:rsidRDefault="00A64FC3" w:rsidP="00886B61">
      <w:pPr>
        <w:spacing w:line="240" w:lineRule="auto"/>
        <w:rPr>
          <w:rFonts w:cs="Times New Roman"/>
          <w:szCs w:val="24"/>
        </w:rPr>
      </w:pPr>
    </w:p>
    <w:p w14:paraId="6CDE66D1" w14:textId="155B5898" w:rsidR="00E253C1" w:rsidRPr="004F7F85" w:rsidRDefault="00E253C1" w:rsidP="00886B61">
      <w:pPr>
        <w:spacing w:line="240" w:lineRule="auto"/>
        <w:rPr>
          <w:rFonts w:cs="Times New Roman"/>
          <w:szCs w:val="24"/>
        </w:rPr>
      </w:pPr>
      <w:r w:rsidRPr="004F7F85">
        <w:rPr>
          <w:rFonts w:cs="Times New Roman"/>
          <w:szCs w:val="24"/>
        </w:rPr>
        <w:t xml:space="preserve">Within the agricultural lessons construct, participants selected any subjects they felt agriculture could be applied to and taught in. The ones who selected “other” had the opportunity to list subjects to which agriculture could be applied that were not mentioned. </w:t>
      </w:r>
      <w:r w:rsidR="006F272C" w:rsidRPr="004F7F85">
        <w:rPr>
          <w:rFonts w:cs="Times New Roman"/>
          <w:szCs w:val="24"/>
        </w:rPr>
        <w:t>P</w:t>
      </w:r>
      <w:r w:rsidRPr="004F7F85">
        <w:rPr>
          <w:rFonts w:cs="Times New Roman"/>
          <w:szCs w:val="24"/>
        </w:rPr>
        <w:t>articipants who selected “other” listed art as another subject in which agricultural topics could be taught. When selecting a subject to incorporate Agricultural Education, pre-service teachers chose Science 19 times, Social Studies 16, Language Arts 6, Math 7, and Other 5.</w:t>
      </w:r>
    </w:p>
    <w:p w14:paraId="21F5F3E2" w14:textId="77777777" w:rsidR="006F272C" w:rsidRPr="004F7F85" w:rsidRDefault="006F272C" w:rsidP="006F272C">
      <w:pPr>
        <w:spacing w:line="240" w:lineRule="auto"/>
        <w:rPr>
          <w:rFonts w:cs="Times New Roman"/>
          <w:szCs w:val="24"/>
        </w:rPr>
      </w:pPr>
    </w:p>
    <w:p w14:paraId="3B06ACB9" w14:textId="77777777" w:rsidR="0097422D" w:rsidRDefault="0097422D">
      <w:pPr>
        <w:spacing w:after="160" w:line="259" w:lineRule="auto"/>
        <w:rPr>
          <w:rFonts w:cs="Times New Roman"/>
          <w:b/>
          <w:bCs/>
          <w:szCs w:val="24"/>
        </w:rPr>
      </w:pPr>
      <w:bookmarkStart w:id="9" w:name="_Toc206401366"/>
      <w:r>
        <w:rPr>
          <w:szCs w:val="24"/>
        </w:rPr>
        <w:br w:type="page"/>
      </w:r>
    </w:p>
    <w:p w14:paraId="74255833" w14:textId="6693468E" w:rsidR="001B28C0" w:rsidRPr="004F7F85" w:rsidRDefault="001B28C0" w:rsidP="00243B01">
      <w:pPr>
        <w:pStyle w:val="Subheading"/>
        <w:rPr>
          <w:sz w:val="24"/>
          <w:szCs w:val="24"/>
        </w:rPr>
      </w:pPr>
      <w:r w:rsidRPr="004F7F85">
        <w:rPr>
          <w:sz w:val="24"/>
          <w:szCs w:val="24"/>
        </w:rPr>
        <w:lastRenderedPageBreak/>
        <w:t>Objective Two</w:t>
      </w:r>
      <w:bookmarkEnd w:id="9"/>
      <w:r w:rsidR="007B71F9" w:rsidRPr="004F7F85">
        <w:rPr>
          <w:sz w:val="24"/>
          <w:szCs w:val="24"/>
        </w:rPr>
        <w:t>: Confidence in Delivering Agricultural Content</w:t>
      </w:r>
    </w:p>
    <w:p w14:paraId="6F3D5717" w14:textId="77777777" w:rsidR="00243B01" w:rsidRPr="004F7F85" w:rsidRDefault="00243B01" w:rsidP="00243B01">
      <w:pPr>
        <w:pStyle w:val="Subheading"/>
        <w:rPr>
          <w:sz w:val="24"/>
          <w:szCs w:val="24"/>
        </w:rPr>
      </w:pPr>
    </w:p>
    <w:p w14:paraId="2AD67EAE" w14:textId="06A36688" w:rsidR="005937F1" w:rsidRPr="004F7F85" w:rsidRDefault="006F272C" w:rsidP="00243B01">
      <w:pPr>
        <w:spacing w:line="240" w:lineRule="auto"/>
        <w:rPr>
          <w:rFonts w:cs="Times New Roman"/>
          <w:szCs w:val="24"/>
        </w:rPr>
      </w:pPr>
      <w:bookmarkStart w:id="10" w:name="_Toc206401367"/>
      <w:r w:rsidRPr="004F7F85">
        <w:rPr>
          <w:rFonts w:cs="Times New Roman"/>
          <w:szCs w:val="24"/>
        </w:rPr>
        <w:t>The second objective</w:t>
      </w:r>
      <w:r w:rsidR="005937F1" w:rsidRPr="004F7F85">
        <w:rPr>
          <w:rFonts w:cs="Times New Roman"/>
          <w:szCs w:val="24"/>
        </w:rPr>
        <w:t xml:space="preserve"> examined relationships between pre-service teachers’ confidence in teaching agriculture and other constructs. Confidence was positively and moderately correlated with the perceived importance of agricultural education (</w:t>
      </w:r>
      <w:proofErr w:type="gramStart"/>
      <w:r w:rsidR="005937F1" w:rsidRPr="004F7F85">
        <w:rPr>
          <w:rFonts w:cs="Times New Roman"/>
          <w:i/>
          <w:iCs/>
          <w:szCs w:val="24"/>
        </w:rPr>
        <w:t>r</w:t>
      </w:r>
      <w:r w:rsidR="005937F1" w:rsidRPr="004F7F85">
        <w:rPr>
          <w:rFonts w:cs="Times New Roman"/>
          <w:szCs w:val="24"/>
        </w:rPr>
        <w:t>(</w:t>
      </w:r>
      <w:proofErr w:type="gramEnd"/>
      <w:r w:rsidR="005937F1" w:rsidRPr="004F7F85">
        <w:rPr>
          <w:rFonts w:cs="Times New Roman"/>
          <w:szCs w:val="24"/>
        </w:rPr>
        <w:t xml:space="preserve">24) = 0.421, </w:t>
      </w:r>
      <w:r w:rsidR="005937F1" w:rsidRPr="004F7F85">
        <w:rPr>
          <w:rFonts w:cs="Times New Roman"/>
          <w:i/>
          <w:iCs/>
          <w:szCs w:val="24"/>
        </w:rPr>
        <w:t>p</w:t>
      </w:r>
      <w:r w:rsidR="005937F1" w:rsidRPr="004F7F85">
        <w:rPr>
          <w:rFonts w:cs="Times New Roman"/>
          <w:szCs w:val="24"/>
        </w:rPr>
        <w:t xml:space="preserve"> = .03) and strongly correlated with willingness to integrate agriculture (</w:t>
      </w:r>
      <w:proofErr w:type="gramStart"/>
      <w:r w:rsidR="005937F1" w:rsidRPr="004F7F85">
        <w:rPr>
          <w:rFonts w:cs="Times New Roman"/>
          <w:i/>
          <w:iCs/>
          <w:szCs w:val="24"/>
        </w:rPr>
        <w:t>r</w:t>
      </w:r>
      <w:r w:rsidR="005937F1" w:rsidRPr="004F7F85">
        <w:rPr>
          <w:rFonts w:cs="Times New Roman"/>
          <w:szCs w:val="24"/>
        </w:rPr>
        <w:t>(</w:t>
      </w:r>
      <w:proofErr w:type="gramEnd"/>
      <w:r w:rsidR="005937F1" w:rsidRPr="004F7F85">
        <w:rPr>
          <w:rFonts w:cs="Times New Roman"/>
          <w:szCs w:val="24"/>
        </w:rPr>
        <w:t xml:space="preserve">24) = 0.664, </w:t>
      </w:r>
      <w:r w:rsidR="005937F1" w:rsidRPr="004F7F85">
        <w:rPr>
          <w:rFonts w:cs="Times New Roman"/>
          <w:i/>
          <w:iCs/>
          <w:szCs w:val="24"/>
        </w:rPr>
        <w:t>p</w:t>
      </w:r>
      <w:r w:rsidR="005937F1" w:rsidRPr="004F7F85">
        <w:rPr>
          <w:rFonts w:cs="Times New Roman"/>
          <w:szCs w:val="24"/>
        </w:rPr>
        <w:t xml:space="preserve"> &lt; .001). Confidence was also moderately associated with hands-on skill-building perceptions (</w:t>
      </w:r>
      <w:proofErr w:type="gramStart"/>
      <w:r w:rsidR="005937F1" w:rsidRPr="004F7F85">
        <w:rPr>
          <w:rFonts w:cs="Times New Roman"/>
          <w:i/>
          <w:iCs/>
          <w:szCs w:val="24"/>
        </w:rPr>
        <w:t>r</w:t>
      </w:r>
      <w:r w:rsidR="005937F1" w:rsidRPr="004F7F85">
        <w:rPr>
          <w:rFonts w:cs="Times New Roman"/>
          <w:szCs w:val="24"/>
        </w:rPr>
        <w:t>(</w:t>
      </w:r>
      <w:proofErr w:type="gramEnd"/>
      <w:r w:rsidR="005937F1" w:rsidRPr="004F7F85">
        <w:rPr>
          <w:rFonts w:cs="Times New Roman"/>
          <w:szCs w:val="24"/>
        </w:rPr>
        <w:t xml:space="preserve">24) = 0.386, </w:t>
      </w:r>
      <w:r w:rsidR="005937F1" w:rsidRPr="004F7F85">
        <w:rPr>
          <w:rFonts w:cs="Times New Roman"/>
          <w:i/>
          <w:iCs/>
          <w:szCs w:val="24"/>
        </w:rPr>
        <w:t>p</w:t>
      </w:r>
      <w:r w:rsidR="005937F1" w:rsidRPr="004F7F85">
        <w:rPr>
          <w:rFonts w:cs="Times New Roman"/>
          <w:szCs w:val="24"/>
        </w:rPr>
        <w:t xml:space="preserve"> = .05) and strongly related to the belief that agricultural education aligns with STEAM and state standards (</w:t>
      </w:r>
      <w:proofErr w:type="gramStart"/>
      <w:r w:rsidR="005937F1" w:rsidRPr="004F7F85">
        <w:rPr>
          <w:rFonts w:cs="Times New Roman"/>
          <w:i/>
          <w:iCs/>
          <w:szCs w:val="24"/>
        </w:rPr>
        <w:t>r</w:t>
      </w:r>
      <w:r w:rsidR="005937F1" w:rsidRPr="004F7F85">
        <w:rPr>
          <w:rFonts w:cs="Times New Roman"/>
          <w:szCs w:val="24"/>
        </w:rPr>
        <w:t>(</w:t>
      </w:r>
      <w:proofErr w:type="gramEnd"/>
      <w:r w:rsidR="005937F1" w:rsidRPr="004F7F85">
        <w:rPr>
          <w:rFonts w:cs="Times New Roman"/>
          <w:szCs w:val="24"/>
        </w:rPr>
        <w:t xml:space="preserve">24) = 0.561, </w:t>
      </w:r>
      <w:r w:rsidR="005937F1" w:rsidRPr="004F7F85">
        <w:rPr>
          <w:rFonts w:cs="Times New Roman"/>
          <w:i/>
          <w:iCs/>
          <w:szCs w:val="24"/>
        </w:rPr>
        <w:t>p</w:t>
      </w:r>
      <w:r w:rsidR="005937F1" w:rsidRPr="004F7F85">
        <w:rPr>
          <w:rFonts w:cs="Times New Roman"/>
          <w:szCs w:val="24"/>
        </w:rPr>
        <w:t xml:space="preserve"> = .003). These findings</w:t>
      </w:r>
      <w:r w:rsidR="009F5B69" w:rsidRPr="004F7F85">
        <w:rPr>
          <w:rFonts w:cs="Times New Roman"/>
          <w:szCs w:val="24"/>
        </w:rPr>
        <w:t>,</w:t>
      </w:r>
      <w:r w:rsidRPr="004F7F85">
        <w:rPr>
          <w:rFonts w:cs="Times New Roman"/>
          <w:szCs w:val="24"/>
        </w:rPr>
        <w:t xml:space="preserve"> </w:t>
      </w:r>
      <w:r w:rsidR="009F5B69" w:rsidRPr="004F7F85">
        <w:rPr>
          <w:rFonts w:cs="Times New Roman"/>
          <w:szCs w:val="24"/>
        </w:rPr>
        <w:t>displayed</w:t>
      </w:r>
      <w:r w:rsidRPr="004F7F85">
        <w:rPr>
          <w:rFonts w:cs="Times New Roman"/>
          <w:szCs w:val="24"/>
        </w:rPr>
        <w:t xml:space="preserve"> in Table 2</w:t>
      </w:r>
      <w:r w:rsidR="009F5B69" w:rsidRPr="004F7F85">
        <w:rPr>
          <w:rFonts w:cs="Times New Roman"/>
          <w:szCs w:val="24"/>
        </w:rPr>
        <w:t>,</w:t>
      </w:r>
      <w:r w:rsidR="005937F1" w:rsidRPr="004F7F85">
        <w:rPr>
          <w:rFonts w:cs="Times New Roman"/>
          <w:szCs w:val="24"/>
        </w:rPr>
        <w:t xml:space="preserve"> suggest that teachers who felt more confident about agricultural content also perceived it as important, applicable, and </w:t>
      </w:r>
      <w:proofErr w:type="gramStart"/>
      <w:r w:rsidR="005937F1" w:rsidRPr="004F7F85">
        <w:rPr>
          <w:rFonts w:cs="Times New Roman"/>
          <w:szCs w:val="24"/>
        </w:rPr>
        <w:t>standards-aligned</w:t>
      </w:r>
      <w:proofErr w:type="gramEnd"/>
      <w:r w:rsidR="005937F1" w:rsidRPr="004F7F85">
        <w:rPr>
          <w:rFonts w:cs="Times New Roman"/>
          <w:szCs w:val="24"/>
        </w:rPr>
        <w:t>.</w:t>
      </w:r>
    </w:p>
    <w:p w14:paraId="1A83098F" w14:textId="77777777" w:rsidR="006F272C" w:rsidRPr="004F7F85" w:rsidRDefault="006F272C" w:rsidP="00243B01">
      <w:pPr>
        <w:spacing w:line="240" w:lineRule="auto"/>
        <w:rPr>
          <w:rFonts w:cs="Times New Roman"/>
          <w:szCs w:val="24"/>
        </w:rPr>
      </w:pPr>
    </w:p>
    <w:p w14:paraId="3AF76EBD" w14:textId="77777777" w:rsidR="006F272C" w:rsidRPr="004F7F85" w:rsidRDefault="006F272C" w:rsidP="00020823">
      <w:pPr>
        <w:pStyle w:val="TablesCaptionAbove"/>
        <w:spacing w:before="0"/>
        <w:rPr>
          <w:b/>
          <w:bCs/>
        </w:rPr>
      </w:pPr>
      <w:bookmarkStart w:id="11" w:name="_Toc208234472"/>
      <w:bookmarkStart w:id="12" w:name="_Hlk219446879"/>
      <w:r w:rsidRPr="004F7F85">
        <w:rPr>
          <w:b/>
          <w:bCs/>
        </w:rPr>
        <w:t>Table 2</w:t>
      </w:r>
    </w:p>
    <w:p w14:paraId="3C6AC574" w14:textId="7AD32711" w:rsidR="006F272C" w:rsidRPr="004F7F85" w:rsidRDefault="006F272C" w:rsidP="00020823">
      <w:pPr>
        <w:pStyle w:val="TablesCaptionAbove"/>
        <w:spacing w:before="0"/>
        <w:contextualSpacing/>
      </w:pPr>
      <w:r w:rsidRPr="004F7F85">
        <w:t xml:space="preserve">Analysis of Variance </w:t>
      </w:r>
      <w:r w:rsidR="009F5B69" w:rsidRPr="004F7F85">
        <w:t xml:space="preserve">Results </w:t>
      </w:r>
      <w:r w:rsidRPr="004F7F85">
        <w:t xml:space="preserve">for Perceived </w:t>
      </w:r>
      <w:r w:rsidR="009F5B69" w:rsidRPr="004F7F85">
        <w:t>Confidence</w:t>
      </w:r>
      <w:r w:rsidRPr="004F7F85">
        <w:t xml:space="preserve"> (</w:t>
      </w:r>
      <w:r w:rsidRPr="004F7F85">
        <w:rPr>
          <w:i/>
          <w:iCs/>
        </w:rPr>
        <w:t>n</w:t>
      </w:r>
      <w:r w:rsidRPr="004F7F85">
        <w:t xml:space="preserve"> = 2</w:t>
      </w:r>
      <w:r w:rsidR="009F5B69" w:rsidRPr="004F7F85">
        <w:t>5</w:t>
      </w:r>
      <w:r w:rsidRPr="004F7F85">
        <w:t>).</w:t>
      </w:r>
      <w:bookmarkEnd w:id="11"/>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2"/>
        <w:gridCol w:w="1189"/>
        <w:gridCol w:w="1190"/>
        <w:gridCol w:w="1189"/>
        <w:gridCol w:w="1190"/>
        <w:gridCol w:w="1190"/>
      </w:tblGrid>
      <w:tr w:rsidR="0080619E" w:rsidRPr="004F7F85" w14:paraId="4EA1EC33" w14:textId="77777777" w:rsidTr="0080619E">
        <w:tc>
          <w:tcPr>
            <w:tcW w:w="3402" w:type="dxa"/>
            <w:tcBorders>
              <w:top w:val="single" w:sz="4" w:space="0" w:color="auto"/>
              <w:bottom w:val="single" w:sz="4" w:space="0" w:color="auto"/>
            </w:tcBorders>
            <w:vAlign w:val="center"/>
          </w:tcPr>
          <w:bookmarkEnd w:id="12"/>
          <w:p w14:paraId="6B89ED47" w14:textId="5D370CC3" w:rsidR="0080619E" w:rsidRPr="004F7F85" w:rsidRDefault="0080619E" w:rsidP="0080619E">
            <w:pPr>
              <w:spacing w:line="240" w:lineRule="auto"/>
              <w:contextualSpacing/>
              <w:jc w:val="center"/>
              <w:rPr>
                <w:rFonts w:cs="Times New Roman"/>
                <w:szCs w:val="24"/>
              </w:rPr>
            </w:pPr>
            <w:r w:rsidRPr="004F7F85">
              <w:rPr>
                <w:rFonts w:cs="Times New Roman"/>
                <w:szCs w:val="24"/>
              </w:rPr>
              <w:t>Variable</w:t>
            </w:r>
          </w:p>
        </w:tc>
        <w:tc>
          <w:tcPr>
            <w:tcW w:w="1189" w:type="dxa"/>
            <w:tcBorders>
              <w:top w:val="single" w:sz="4" w:space="0" w:color="auto"/>
              <w:bottom w:val="single" w:sz="4" w:space="0" w:color="auto"/>
            </w:tcBorders>
            <w:vAlign w:val="center"/>
          </w:tcPr>
          <w:p w14:paraId="2560A52C" w14:textId="23F17AAB" w:rsidR="0080619E" w:rsidRPr="004F7F85" w:rsidRDefault="0080619E" w:rsidP="0080619E">
            <w:pPr>
              <w:spacing w:line="240" w:lineRule="auto"/>
              <w:contextualSpacing/>
              <w:jc w:val="center"/>
              <w:rPr>
                <w:rFonts w:cs="Times New Roman"/>
                <w:i/>
                <w:iCs/>
                <w:szCs w:val="24"/>
              </w:rPr>
            </w:pPr>
            <w:r w:rsidRPr="004F7F85">
              <w:rPr>
                <w:rFonts w:cs="Times New Roman"/>
                <w:i/>
                <w:iCs/>
                <w:szCs w:val="24"/>
              </w:rPr>
              <w:t>n</w:t>
            </w:r>
          </w:p>
        </w:tc>
        <w:tc>
          <w:tcPr>
            <w:tcW w:w="1190" w:type="dxa"/>
            <w:tcBorders>
              <w:top w:val="single" w:sz="4" w:space="0" w:color="auto"/>
              <w:bottom w:val="single" w:sz="4" w:space="0" w:color="auto"/>
            </w:tcBorders>
            <w:vAlign w:val="center"/>
          </w:tcPr>
          <w:p w14:paraId="07AD3D83" w14:textId="01FBC632" w:rsidR="0080619E" w:rsidRPr="004F7F85" w:rsidRDefault="0080619E" w:rsidP="0080619E">
            <w:pPr>
              <w:spacing w:line="240" w:lineRule="auto"/>
              <w:contextualSpacing/>
              <w:jc w:val="center"/>
              <w:rPr>
                <w:rFonts w:cs="Times New Roman"/>
                <w:i/>
                <w:iCs/>
                <w:szCs w:val="24"/>
              </w:rPr>
            </w:pPr>
            <w:r w:rsidRPr="004F7F85">
              <w:rPr>
                <w:rFonts w:cs="Times New Roman"/>
                <w:i/>
                <w:iCs/>
                <w:szCs w:val="24"/>
              </w:rPr>
              <w:t>M</w:t>
            </w:r>
          </w:p>
        </w:tc>
        <w:tc>
          <w:tcPr>
            <w:tcW w:w="1189" w:type="dxa"/>
            <w:tcBorders>
              <w:top w:val="single" w:sz="4" w:space="0" w:color="auto"/>
              <w:bottom w:val="single" w:sz="4" w:space="0" w:color="auto"/>
            </w:tcBorders>
            <w:vAlign w:val="center"/>
          </w:tcPr>
          <w:p w14:paraId="1C1D8ABB" w14:textId="32EF1800" w:rsidR="0080619E" w:rsidRPr="004F7F85" w:rsidRDefault="0080619E" w:rsidP="0080619E">
            <w:pPr>
              <w:spacing w:line="240" w:lineRule="auto"/>
              <w:contextualSpacing/>
              <w:jc w:val="center"/>
              <w:rPr>
                <w:rFonts w:cs="Times New Roman"/>
                <w:i/>
                <w:iCs/>
                <w:szCs w:val="24"/>
              </w:rPr>
            </w:pPr>
            <w:r w:rsidRPr="004F7F85">
              <w:rPr>
                <w:rFonts w:cs="Times New Roman"/>
                <w:i/>
                <w:iCs/>
                <w:szCs w:val="24"/>
              </w:rPr>
              <w:t>SD</w:t>
            </w:r>
          </w:p>
        </w:tc>
        <w:tc>
          <w:tcPr>
            <w:tcW w:w="1190" w:type="dxa"/>
            <w:tcBorders>
              <w:top w:val="single" w:sz="4" w:space="0" w:color="auto"/>
              <w:bottom w:val="single" w:sz="4" w:space="0" w:color="auto"/>
            </w:tcBorders>
            <w:vAlign w:val="center"/>
          </w:tcPr>
          <w:p w14:paraId="345FEDFE" w14:textId="19787572" w:rsidR="0080619E" w:rsidRPr="004F7F85" w:rsidRDefault="0080619E" w:rsidP="0080619E">
            <w:pPr>
              <w:spacing w:line="240" w:lineRule="auto"/>
              <w:contextualSpacing/>
              <w:jc w:val="center"/>
              <w:rPr>
                <w:rFonts w:cs="Times New Roman"/>
                <w:i/>
                <w:iCs/>
                <w:szCs w:val="24"/>
              </w:rPr>
            </w:pPr>
            <w:r w:rsidRPr="004F7F85">
              <w:rPr>
                <w:rFonts w:cs="Times New Roman"/>
                <w:i/>
                <w:iCs/>
                <w:szCs w:val="24"/>
              </w:rPr>
              <w:t>r</w:t>
            </w:r>
          </w:p>
        </w:tc>
        <w:tc>
          <w:tcPr>
            <w:tcW w:w="1190" w:type="dxa"/>
            <w:tcBorders>
              <w:top w:val="single" w:sz="4" w:space="0" w:color="auto"/>
              <w:bottom w:val="single" w:sz="4" w:space="0" w:color="auto"/>
            </w:tcBorders>
            <w:vAlign w:val="center"/>
          </w:tcPr>
          <w:p w14:paraId="5F39FCBE" w14:textId="3D3E5ECC" w:rsidR="0080619E" w:rsidRPr="004F7F85" w:rsidRDefault="0080619E" w:rsidP="0080619E">
            <w:pPr>
              <w:spacing w:line="240" w:lineRule="auto"/>
              <w:contextualSpacing/>
              <w:jc w:val="center"/>
              <w:rPr>
                <w:rFonts w:cs="Times New Roman"/>
                <w:i/>
                <w:iCs/>
                <w:szCs w:val="24"/>
              </w:rPr>
            </w:pPr>
            <w:r w:rsidRPr="004F7F85">
              <w:rPr>
                <w:rFonts w:cs="Times New Roman"/>
                <w:i/>
                <w:iCs/>
                <w:szCs w:val="24"/>
              </w:rPr>
              <w:t>p</w:t>
            </w:r>
          </w:p>
        </w:tc>
      </w:tr>
      <w:tr w:rsidR="0080619E" w:rsidRPr="004F7F85" w14:paraId="4563E4EC" w14:textId="77777777" w:rsidTr="0080619E">
        <w:tc>
          <w:tcPr>
            <w:tcW w:w="3402" w:type="dxa"/>
            <w:tcBorders>
              <w:top w:val="single" w:sz="4" w:space="0" w:color="auto"/>
            </w:tcBorders>
          </w:tcPr>
          <w:p w14:paraId="34EF3EF0" w14:textId="198F1980" w:rsidR="0080619E" w:rsidRPr="004F7F85" w:rsidRDefault="0080619E" w:rsidP="0080619E">
            <w:pPr>
              <w:spacing w:line="240" w:lineRule="auto"/>
              <w:contextualSpacing/>
              <w:rPr>
                <w:rFonts w:cs="Times New Roman"/>
                <w:szCs w:val="24"/>
              </w:rPr>
            </w:pPr>
            <w:r w:rsidRPr="004F7F85">
              <w:rPr>
                <w:rFonts w:cs="Times New Roman"/>
                <w:szCs w:val="24"/>
              </w:rPr>
              <w:t>Importance of Ag Ed</w:t>
            </w:r>
          </w:p>
        </w:tc>
        <w:tc>
          <w:tcPr>
            <w:tcW w:w="1189" w:type="dxa"/>
            <w:tcBorders>
              <w:top w:val="single" w:sz="4" w:space="0" w:color="auto"/>
            </w:tcBorders>
            <w:vAlign w:val="center"/>
          </w:tcPr>
          <w:p w14:paraId="594E51EE" w14:textId="7241CD82" w:rsidR="0080619E" w:rsidRPr="004F7F85" w:rsidRDefault="0080619E" w:rsidP="0080619E">
            <w:pPr>
              <w:spacing w:line="240" w:lineRule="auto"/>
              <w:contextualSpacing/>
              <w:jc w:val="center"/>
              <w:rPr>
                <w:rFonts w:cs="Times New Roman"/>
                <w:szCs w:val="24"/>
              </w:rPr>
            </w:pPr>
            <w:r w:rsidRPr="004F7F85">
              <w:rPr>
                <w:rFonts w:cs="Times New Roman"/>
                <w:szCs w:val="24"/>
              </w:rPr>
              <w:t>25</w:t>
            </w:r>
          </w:p>
        </w:tc>
        <w:tc>
          <w:tcPr>
            <w:tcW w:w="1190" w:type="dxa"/>
            <w:tcBorders>
              <w:top w:val="single" w:sz="4" w:space="0" w:color="auto"/>
            </w:tcBorders>
            <w:vAlign w:val="center"/>
          </w:tcPr>
          <w:p w14:paraId="2CAA0203" w14:textId="6175DF39" w:rsidR="0080619E" w:rsidRPr="004F7F85" w:rsidRDefault="0080619E" w:rsidP="0080619E">
            <w:pPr>
              <w:spacing w:line="240" w:lineRule="auto"/>
              <w:contextualSpacing/>
              <w:jc w:val="center"/>
              <w:rPr>
                <w:rFonts w:cs="Times New Roman"/>
                <w:szCs w:val="24"/>
              </w:rPr>
            </w:pPr>
            <w:r w:rsidRPr="004F7F85">
              <w:rPr>
                <w:rFonts w:cs="Times New Roman"/>
                <w:szCs w:val="24"/>
              </w:rPr>
              <w:t>3.34</w:t>
            </w:r>
          </w:p>
        </w:tc>
        <w:tc>
          <w:tcPr>
            <w:tcW w:w="1189" w:type="dxa"/>
            <w:tcBorders>
              <w:top w:val="single" w:sz="4" w:space="0" w:color="auto"/>
            </w:tcBorders>
            <w:vAlign w:val="center"/>
          </w:tcPr>
          <w:p w14:paraId="111BEBCF" w14:textId="0201763C" w:rsidR="0080619E" w:rsidRPr="004F7F85" w:rsidRDefault="0080619E" w:rsidP="0080619E">
            <w:pPr>
              <w:spacing w:line="240" w:lineRule="auto"/>
              <w:contextualSpacing/>
              <w:jc w:val="center"/>
              <w:rPr>
                <w:rFonts w:cs="Times New Roman"/>
                <w:szCs w:val="24"/>
              </w:rPr>
            </w:pPr>
            <w:r w:rsidRPr="004F7F85">
              <w:rPr>
                <w:rFonts w:cs="Times New Roman"/>
                <w:szCs w:val="24"/>
              </w:rPr>
              <w:t>0.38</w:t>
            </w:r>
          </w:p>
        </w:tc>
        <w:tc>
          <w:tcPr>
            <w:tcW w:w="1190" w:type="dxa"/>
            <w:tcBorders>
              <w:top w:val="single" w:sz="4" w:space="0" w:color="auto"/>
            </w:tcBorders>
            <w:vAlign w:val="center"/>
          </w:tcPr>
          <w:p w14:paraId="773218F2" w14:textId="0D219E30" w:rsidR="0080619E" w:rsidRPr="004F7F85" w:rsidRDefault="0080619E" w:rsidP="0080619E">
            <w:pPr>
              <w:spacing w:line="240" w:lineRule="auto"/>
              <w:contextualSpacing/>
              <w:jc w:val="center"/>
              <w:rPr>
                <w:rFonts w:cs="Times New Roman"/>
                <w:szCs w:val="24"/>
              </w:rPr>
            </w:pPr>
            <w:r w:rsidRPr="004F7F85">
              <w:rPr>
                <w:rFonts w:cs="Times New Roman"/>
                <w:szCs w:val="24"/>
              </w:rPr>
              <w:t>0.421</w:t>
            </w:r>
          </w:p>
        </w:tc>
        <w:tc>
          <w:tcPr>
            <w:tcW w:w="1190" w:type="dxa"/>
            <w:tcBorders>
              <w:top w:val="single" w:sz="4" w:space="0" w:color="auto"/>
            </w:tcBorders>
            <w:vAlign w:val="center"/>
          </w:tcPr>
          <w:p w14:paraId="57F3F752" w14:textId="5DBE485E" w:rsidR="0080619E" w:rsidRPr="004F7F85" w:rsidRDefault="0080619E" w:rsidP="0080619E">
            <w:pPr>
              <w:spacing w:line="240" w:lineRule="auto"/>
              <w:contextualSpacing/>
              <w:jc w:val="center"/>
              <w:rPr>
                <w:rFonts w:cs="Times New Roman"/>
                <w:szCs w:val="24"/>
              </w:rPr>
            </w:pPr>
            <w:r w:rsidRPr="004F7F85">
              <w:rPr>
                <w:rFonts w:cs="Times New Roman"/>
                <w:szCs w:val="24"/>
              </w:rPr>
              <w:t>0.03</w:t>
            </w:r>
          </w:p>
        </w:tc>
      </w:tr>
      <w:tr w:rsidR="0080619E" w:rsidRPr="004F7F85" w14:paraId="1779DD28" w14:textId="77777777" w:rsidTr="0080619E">
        <w:tc>
          <w:tcPr>
            <w:tcW w:w="3402" w:type="dxa"/>
          </w:tcPr>
          <w:p w14:paraId="24520D4C" w14:textId="21D1F388" w:rsidR="0080619E" w:rsidRPr="004F7F85" w:rsidRDefault="0080619E" w:rsidP="0080619E">
            <w:pPr>
              <w:spacing w:line="240" w:lineRule="auto"/>
              <w:contextualSpacing/>
              <w:rPr>
                <w:rFonts w:cs="Times New Roman"/>
                <w:szCs w:val="24"/>
              </w:rPr>
            </w:pPr>
            <w:r w:rsidRPr="004F7F85">
              <w:rPr>
                <w:rFonts w:cs="Times New Roman"/>
                <w:szCs w:val="24"/>
              </w:rPr>
              <w:t>Ag Integration</w:t>
            </w:r>
          </w:p>
        </w:tc>
        <w:tc>
          <w:tcPr>
            <w:tcW w:w="1189" w:type="dxa"/>
            <w:vAlign w:val="center"/>
          </w:tcPr>
          <w:p w14:paraId="7AD4F519" w14:textId="67EB2011" w:rsidR="0080619E" w:rsidRPr="004F7F85" w:rsidRDefault="0080619E" w:rsidP="0080619E">
            <w:pPr>
              <w:spacing w:line="240" w:lineRule="auto"/>
              <w:contextualSpacing/>
              <w:jc w:val="center"/>
              <w:rPr>
                <w:rFonts w:cs="Times New Roman"/>
                <w:szCs w:val="24"/>
              </w:rPr>
            </w:pPr>
            <w:r w:rsidRPr="004F7F85">
              <w:rPr>
                <w:rFonts w:cs="Times New Roman"/>
                <w:szCs w:val="24"/>
              </w:rPr>
              <w:t>25</w:t>
            </w:r>
          </w:p>
        </w:tc>
        <w:tc>
          <w:tcPr>
            <w:tcW w:w="1190" w:type="dxa"/>
            <w:vAlign w:val="center"/>
          </w:tcPr>
          <w:p w14:paraId="56CBADC7" w14:textId="423A2C9A" w:rsidR="0080619E" w:rsidRPr="004F7F85" w:rsidRDefault="0080619E" w:rsidP="0080619E">
            <w:pPr>
              <w:spacing w:line="240" w:lineRule="auto"/>
              <w:contextualSpacing/>
              <w:jc w:val="center"/>
              <w:rPr>
                <w:rFonts w:cs="Times New Roman"/>
                <w:szCs w:val="24"/>
              </w:rPr>
            </w:pPr>
            <w:r w:rsidRPr="004F7F85">
              <w:rPr>
                <w:rFonts w:cs="Times New Roman"/>
                <w:szCs w:val="24"/>
              </w:rPr>
              <w:t>3.28</w:t>
            </w:r>
          </w:p>
        </w:tc>
        <w:tc>
          <w:tcPr>
            <w:tcW w:w="1189" w:type="dxa"/>
            <w:vAlign w:val="center"/>
          </w:tcPr>
          <w:p w14:paraId="5ED68222" w14:textId="4CCDF686" w:rsidR="0080619E" w:rsidRPr="004F7F85" w:rsidRDefault="0080619E" w:rsidP="0080619E">
            <w:pPr>
              <w:spacing w:line="240" w:lineRule="auto"/>
              <w:contextualSpacing/>
              <w:jc w:val="center"/>
              <w:rPr>
                <w:rFonts w:cs="Times New Roman"/>
                <w:szCs w:val="24"/>
              </w:rPr>
            </w:pPr>
            <w:r w:rsidRPr="004F7F85">
              <w:rPr>
                <w:rFonts w:cs="Times New Roman"/>
                <w:szCs w:val="24"/>
              </w:rPr>
              <w:t>0.34</w:t>
            </w:r>
          </w:p>
        </w:tc>
        <w:tc>
          <w:tcPr>
            <w:tcW w:w="1190" w:type="dxa"/>
            <w:vAlign w:val="center"/>
          </w:tcPr>
          <w:p w14:paraId="664B4032" w14:textId="14773FB5" w:rsidR="0080619E" w:rsidRPr="004F7F85" w:rsidRDefault="0080619E" w:rsidP="0080619E">
            <w:pPr>
              <w:spacing w:line="240" w:lineRule="auto"/>
              <w:contextualSpacing/>
              <w:jc w:val="center"/>
              <w:rPr>
                <w:rFonts w:cs="Times New Roman"/>
                <w:szCs w:val="24"/>
              </w:rPr>
            </w:pPr>
            <w:r w:rsidRPr="004F7F85">
              <w:rPr>
                <w:rFonts w:cs="Times New Roman"/>
                <w:szCs w:val="24"/>
              </w:rPr>
              <w:t>0.664</w:t>
            </w:r>
          </w:p>
        </w:tc>
        <w:tc>
          <w:tcPr>
            <w:tcW w:w="1190" w:type="dxa"/>
            <w:vAlign w:val="center"/>
          </w:tcPr>
          <w:p w14:paraId="6FEAA2F1" w14:textId="3DD3D21A" w:rsidR="0080619E" w:rsidRPr="004F7F85" w:rsidRDefault="0080619E" w:rsidP="0080619E">
            <w:pPr>
              <w:spacing w:line="240" w:lineRule="auto"/>
              <w:contextualSpacing/>
              <w:jc w:val="center"/>
              <w:rPr>
                <w:rFonts w:cs="Times New Roman"/>
                <w:szCs w:val="24"/>
              </w:rPr>
            </w:pPr>
            <w:r w:rsidRPr="004F7F85">
              <w:rPr>
                <w:rFonts w:cs="Times New Roman"/>
                <w:szCs w:val="24"/>
              </w:rPr>
              <w:t>&lt;.001</w:t>
            </w:r>
          </w:p>
        </w:tc>
      </w:tr>
      <w:tr w:rsidR="0080619E" w:rsidRPr="004F7F85" w14:paraId="5B9A3FF8" w14:textId="77777777" w:rsidTr="0080619E">
        <w:tc>
          <w:tcPr>
            <w:tcW w:w="3402" w:type="dxa"/>
          </w:tcPr>
          <w:p w14:paraId="392606B2" w14:textId="0E786C72" w:rsidR="0080619E" w:rsidRPr="004F7F85" w:rsidRDefault="0080619E" w:rsidP="0080619E">
            <w:pPr>
              <w:spacing w:line="240" w:lineRule="auto"/>
              <w:contextualSpacing/>
              <w:rPr>
                <w:rFonts w:cs="Times New Roman"/>
                <w:szCs w:val="24"/>
              </w:rPr>
            </w:pPr>
            <w:r w:rsidRPr="004F7F85">
              <w:rPr>
                <w:rFonts w:cs="Times New Roman"/>
                <w:szCs w:val="24"/>
              </w:rPr>
              <w:t>Ag Lessons</w:t>
            </w:r>
          </w:p>
        </w:tc>
        <w:tc>
          <w:tcPr>
            <w:tcW w:w="1189" w:type="dxa"/>
            <w:vAlign w:val="center"/>
          </w:tcPr>
          <w:p w14:paraId="02DBB93A" w14:textId="02301700" w:rsidR="0080619E" w:rsidRPr="004F7F85" w:rsidRDefault="0080619E" w:rsidP="0080619E">
            <w:pPr>
              <w:spacing w:line="240" w:lineRule="auto"/>
              <w:contextualSpacing/>
              <w:jc w:val="center"/>
              <w:rPr>
                <w:rFonts w:cs="Times New Roman"/>
                <w:szCs w:val="24"/>
              </w:rPr>
            </w:pPr>
            <w:r w:rsidRPr="004F7F85">
              <w:rPr>
                <w:rFonts w:cs="Times New Roman"/>
                <w:szCs w:val="24"/>
              </w:rPr>
              <w:t>25</w:t>
            </w:r>
          </w:p>
        </w:tc>
        <w:tc>
          <w:tcPr>
            <w:tcW w:w="1190" w:type="dxa"/>
            <w:vAlign w:val="center"/>
          </w:tcPr>
          <w:p w14:paraId="425DA263" w14:textId="09EF0F87" w:rsidR="0080619E" w:rsidRPr="004F7F85" w:rsidRDefault="0080619E" w:rsidP="0080619E">
            <w:pPr>
              <w:spacing w:line="240" w:lineRule="auto"/>
              <w:contextualSpacing/>
              <w:jc w:val="center"/>
              <w:rPr>
                <w:rFonts w:cs="Times New Roman"/>
                <w:szCs w:val="24"/>
              </w:rPr>
            </w:pPr>
            <w:r w:rsidRPr="004F7F85">
              <w:rPr>
                <w:rFonts w:cs="Times New Roman"/>
                <w:szCs w:val="24"/>
              </w:rPr>
              <w:t>3.15</w:t>
            </w:r>
          </w:p>
        </w:tc>
        <w:tc>
          <w:tcPr>
            <w:tcW w:w="1189" w:type="dxa"/>
            <w:vAlign w:val="center"/>
          </w:tcPr>
          <w:p w14:paraId="1D2B9247" w14:textId="33336E2F" w:rsidR="0080619E" w:rsidRPr="004F7F85" w:rsidRDefault="0080619E" w:rsidP="0080619E">
            <w:pPr>
              <w:spacing w:line="240" w:lineRule="auto"/>
              <w:contextualSpacing/>
              <w:jc w:val="center"/>
              <w:rPr>
                <w:rFonts w:cs="Times New Roman"/>
                <w:szCs w:val="24"/>
              </w:rPr>
            </w:pPr>
            <w:r w:rsidRPr="004F7F85">
              <w:rPr>
                <w:rFonts w:cs="Times New Roman"/>
                <w:szCs w:val="24"/>
              </w:rPr>
              <w:t>0.42</w:t>
            </w:r>
          </w:p>
        </w:tc>
        <w:tc>
          <w:tcPr>
            <w:tcW w:w="1190" w:type="dxa"/>
            <w:vAlign w:val="center"/>
          </w:tcPr>
          <w:p w14:paraId="2B975DE6" w14:textId="5716DE20" w:rsidR="0080619E" w:rsidRPr="004F7F85" w:rsidRDefault="0080619E" w:rsidP="0080619E">
            <w:pPr>
              <w:spacing w:line="240" w:lineRule="auto"/>
              <w:contextualSpacing/>
              <w:jc w:val="center"/>
              <w:rPr>
                <w:rFonts w:cs="Times New Roman"/>
                <w:szCs w:val="24"/>
              </w:rPr>
            </w:pPr>
            <w:r w:rsidRPr="004F7F85">
              <w:rPr>
                <w:rFonts w:cs="Times New Roman"/>
                <w:szCs w:val="24"/>
              </w:rPr>
              <w:t>0.386</w:t>
            </w:r>
          </w:p>
        </w:tc>
        <w:tc>
          <w:tcPr>
            <w:tcW w:w="1190" w:type="dxa"/>
            <w:vAlign w:val="center"/>
          </w:tcPr>
          <w:p w14:paraId="68FA0B8E" w14:textId="23545325" w:rsidR="0080619E" w:rsidRPr="004F7F85" w:rsidRDefault="0080619E" w:rsidP="0080619E">
            <w:pPr>
              <w:spacing w:line="240" w:lineRule="auto"/>
              <w:contextualSpacing/>
              <w:jc w:val="center"/>
              <w:rPr>
                <w:rFonts w:cs="Times New Roman"/>
                <w:szCs w:val="24"/>
              </w:rPr>
            </w:pPr>
            <w:r w:rsidRPr="004F7F85">
              <w:rPr>
                <w:rFonts w:cs="Times New Roman"/>
                <w:szCs w:val="24"/>
              </w:rPr>
              <w:t>0.05</w:t>
            </w:r>
          </w:p>
        </w:tc>
      </w:tr>
      <w:tr w:rsidR="0080619E" w:rsidRPr="004F7F85" w14:paraId="09DDD9FA" w14:textId="77777777" w:rsidTr="0080619E">
        <w:tc>
          <w:tcPr>
            <w:tcW w:w="3402" w:type="dxa"/>
            <w:tcBorders>
              <w:bottom w:val="single" w:sz="4" w:space="0" w:color="auto"/>
            </w:tcBorders>
          </w:tcPr>
          <w:p w14:paraId="4794F0D3" w14:textId="3CE50231" w:rsidR="0080619E" w:rsidRPr="004F7F85" w:rsidRDefault="0080619E" w:rsidP="0080619E">
            <w:pPr>
              <w:spacing w:line="240" w:lineRule="auto"/>
              <w:contextualSpacing/>
              <w:rPr>
                <w:rFonts w:cs="Times New Roman"/>
                <w:szCs w:val="24"/>
              </w:rPr>
            </w:pPr>
            <w:r w:rsidRPr="004F7F85">
              <w:rPr>
                <w:rFonts w:cs="Times New Roman"/>
                <w:szCs w:val="24"/>
              </w:rPr>
              <w:t>Curriculum &amp; Standards</w:t>
            </w:r>
          </w:p>
        </w:tc>
        <w:tc>
          <w:tcPr>
            <w:tcW w:w="1189" w:type="dxa"/>
            <w:tcBorders>
              <w:bottom w:val="single" w:sz="4" w:space="0" w:color="auto"/>
            </w:tcBorders>
            <w:vAlign w:val="center"/>
          </w:tcPr>
          <w:p w14:paraId="37E79F6D" w14:textId="7506889B" w:rsidR="0080619E" w:rsidRPr="004F7F85" w:rsidRDefault="0080619E" w:rsidP="0080619E">
            <w:pPr>
              <w:spacing w:line="240" w:lineRule="auto"/>
              <w:contextualSpacing/>
              <w:jc w:val="center"/>
              <w:rPr>
                <w:rFonts w:cs="Times New Roman"/>
                <w:szCs w:val="24"/>
              </w:rPr>
            </w:pPr>
            <w:r w:rsidRPr="004F7F85">
              <w:rPr>
                <w:rFonts w:cs="Times New Roman"/>
                <w:szCs w:val="24"/>
              </w:rPr>
              <w:t>25</w:t>
            </w:r>
          </w:p>
        </w:tc>
        <w:tc>
          <w:tcPr>
            <w:tcW w:w="1190" w:type="dxa"/>
            <w:tcBorders>
              <w:bottom w:val="single" w:sz="4" w:space="0" w:color="auto"/>
            </w:tcBorders>
            <w:vAlign w:val="center"/>
          </w:tcPr>
          <w:p w14:paraId="4BDBEB18" w14:textId="16B39E2B" w:rsidR="0080619E" w:rsidRPr="004F7F85" w:rsidRDefault="0080619E" w:rsidP="0080619E">
            <w:pPr>
              <w:spacing w:line="240" w:lineRule="auto"/>
              <w:contextualSpacing/>
              <w:jc w:val="center"/>
              <w:rPr>
                <w:rFonts w:cs="Times New Roman"/>
                <w:szCs w:val="24"/>
              </w:rPr>
            </w:pPr>
            <w:r w:rsidRPr="004F7F85">
              <w:rPr>
                <w:rFonts w:cs="Times New Roman"/>
                <w:szCs w:val="24"/>
              </w:rPr>
              <w:t>3.24</w:t>
            </w:r>
          </w:p>
        </w:tc>
        <w:tc>
          <w:tcPr>
            <w:tcW w:w="1189" w:type="dxa"/>
            <w:tcBorders>
              <w:bottom w:val="single" w:sz="4" w:space="0" w:color="auto"/>
            </w:tcBorders>
            <w:vAlign w:val="center"/>
          </w:tcPr>
          <w:p w14:paraId="4ED6D108" w14:textId="03C794D7" w:rsidR="0080619E" w:rsidRPr="004F7F85" w:rsidRDefault="0080619E" w:rsidP="0080619E">
            <w:pPr>
              <w:spacing w:line="240" w:lineRule="auto"/>
              <w:contextualSpacing/>
              <w:jc w:val="center"/>
              <w:rPr>
                <w:rFonts w:cs="Times New Roman"/>
                <w:szCs w:val="24"/>
              </w:rPr>
            </w:pPr>
            <w:r w:rsidRPr="004F7F85">
              <w:rPr>
                <w:rFonts w:cs="Times New Roman"/>
                <w:szCs w:val="24"/>
              </w:rPr>
              <w:t>0.36</w:t>
            </w:r>
          </w:p>
        </w:tc>
        <w:tc>
          <w:tcPr>
            <w:tcW w:w="1190" w:type="dxa"/>
            <w:tcBorders>
              <w:bottom w:val="single" w:sz="4" w:space="0" w:color="auto"/>
            </w:tcBorders>
            <w:vAlign w:val="center"/>
          </w:tcPr>
          <w:p w14:paraId="221E0D87" w14:textId="1AA5BEF2" w:rsidR="0080619E" w:rsidRPr="004F7F85" w:rsidRDefault="0080619E" w:rsidP="0080619E">
            <w:pPr>
              <w:spacing w:line="240" w:lineRule="auto"/>
              <w:contextualSpacing/>
              <w:jc w:val="center"/>
              <w:rPr>
                <w:rFonts w:cs="Times New Roman"/>
                <w:szCs w:val="24"/>
              </w:rPr>
            </w:pPr>
            <w:r w:rsidRPr="004F7F85">
              <w:rPr>
                <w:rFonts w:cs="Times New Roman"/>
                <w:szCs w:val="24"/>
              </w:rPr>
              <w:t>0.561</w:t>
            </w:r>
          </w:p>
        </w:tc>
        <w:tc>
          <w:tcPr>
            <w:tcW w:w="1190" w:type="dxa"/>
            <w:tcBorders>
              <w:bottom w:val="single" w:sz="4" w:space="0" w:color="auto"/>
            </w:tcBorders>
            <w:vAlign w:val="center"/>
          </w:tcPr>
          <w:p w14:paraId="75F9C3EA" w14:textId="639AFE49" w:rsidR="0080619E" w:rsidRPr="004F7F85" w:rsidRDefault="0080619E" w:rsidP="0080619E">
            <w:pPr>
              <w:spacing w:line="240" w:lineRule="auto"/>
              <w:contextualSpacing/>
              <w:jc w:val="center"/>
              <w:rPr>
                <w:rFonts w:cs="Times New Roman"/>
                <w:szCs w:val="24"/>
              </w:rPr>
            </w:pPr>
            <w:r w:rsidRPr="004F7F85">
              <w:rPr>
                <w:rFonts w:cs="Times New Roman"/>
                <w:szCs w:val="24"/>
              </w:rPr>
              <w:t>0.003</w:t>
            </w:r>
          </w:p>
        </w:tc>
      </w:tr>
    </w:tbl>
    <w:p w14:paraId="464E50A1" w14:textId="351E1CD2" w:rsidR="0080619E" w:rsidRPr="004F7F85" w:rsidRDefault="0080619E" w:rsidP="0080619E">
      <w:pPr>
        <w:tabs>
          <w:tab w:val="left" w:pos="1666"/>
        </w:tabs>
        <w:spacing w:line="240" w:lineRule="auto"/>
        <w:contextualSpacing/>
        <w:rPr>
          <w:rFonts w:cs="Times New Roman"/>
          <w:szCs w:val="24"/>
        </w:rPr>
      </w:pPr>
      <w:r w:rsidRPr="004F7F85">
        <w:rPr>
          <w:rFonts w:cs="Times New Roman"/>
          <w:szCs w:val="24"/>
        </w:rPr>
        <w:tab/>
      </w:r>
    </w:p>
    <w:p w14:paraId="0E8ABD30" w14:textId="5F802DE8" w:rsidR="00D97A5C" w:rsidRPr="004F7F85" w:rsidRDefault="00D97A5C" w:rsidP="00243B01">
      <w:pPr>
        <w:pStyle w:val="Subheading"/>
        <w:rPr>
          <w:sz w:val="24"/>
          <w:szCs w:val="24"/>
        </w:rPr>
      </w:pPr>
      <w:r w:rsidRPr="004F7F85">
        <w:rPr>
          <w:sz w:val="24"/>
          <w:szCs w:val="24"/>
        </w:rPr>
        <w:t>Objective Three</w:t>
      </w:r>
      <w:bookmarkEnd w:id="10"/>
      <w:r w:rsidR="00654CE3" w:rsidRPr="004F7F85">
        <w:rPr>
          <w:sz w:val="24"/>
          <w:szCs w:val="24"/>
        </w:rPr>
        <w:t>: Factors Influencing Willingness to Integrate Agriculture</w:t>
      </w:r>
    </w:p>
    <w:p w14:paraId="07A6780B" w14:textId="77777777" w:rsidR="00243B01" w:rsidRPr="004F7F85" w:rsidRDefault="00243B01" w:rsidP="00243B01">
      <w:pPr>
        <w:pStyle w:val="Subheading"/>
        <w:rPr>
          <w:sz w:val="24"/>
          <w:szCs w:val="24"/>
        </w:rPr>
      </w:pPr>
    </w:p>
    <w:p w14:paraId="6067E5F9" w14:textId="51BDECA0" w:rsidR="00020823" w:rsidRPr="004F7F85" w:rsidRDefault="00020823" w:rsidP="00020823">
      <w:pPr>
        <w:spacing w:line="240" w:lineRule="auto"/>
        <w:rPr>
          <w:rFonts w:cs="Times New Roman"/>
          <w:szCs w:val="24"/>
        </w:rPr>
      </w:pPr>
      <w:r w:rsidRPr="004F7F85">
        <w:rPr>
          <w:rFonts w:cs="Times New Roman"/>
          <w:szCs w:val="24"/>
        </w:rPr>
        <w:t xml:space="preserve">Objective three examined factors influencing pre-service teachers’ willingness to integrate agricultural education into their instruction. Independent </w:t>
      </w:r>
      <w:r w:rsidRPr="004F7F85">
        <w:rPr>
          <w:rFonts w:cs="Times New Roman"/>
          <w:i/>
          <w:iCs/>
          <w:szCs w:val="24"/>
        </w:rPr>
        <w:t>t</w:t>
      </w:r>
      <w:r w:rsidRPr="004F7F85">
        <w:rPr>
          <w:rFonts w:cs="Times New Roman"/>
          <w:szCs w:val="24"/>
        </w:rPr>
        <w:t xml:space="preserve">-tests revealed statistically significant differences in willingness based on program stage, familiarity with AITC resources, hometown population, and confidence in teaching agriculture. Final-stage students reported significantly higher willingness to integrate agriculture than early-stage peers, </w:t>
      </w:r>
      <w:proofErr w:type="gramStart"/>
      <w:r w:rsidRPr="004F7F85">
        <w:rPr>
          <w:rFonts w:cs="Times New Roman"/>
          <w:i/>
          <w:iCs/>
          <w:szCs w:val="24"/>
        </w:rPr>
        <w:t>t</w:t>
      </w:r>
      <w:r w:rsidRPr="004F7F85">
        <w:rPr>
          <w:rFonts w:cs="Times New Roman"/>
          <w:szCs w:val="24"/>
        </w:rPr>
        <w:t>(</w:t>
      </w:r>
      <w:proofErr w:type="gramEnd"/>
      <w:r w:rsidRPr="004F7F85">
        <w:rPr>
          <w:rFonts w:cs="Times New Roman"/>
          <w:szCs w:val="24"/>
        </w:rPr>
        <w:t xml:space="preserve">49) = 14.02, </w:t>
      </w:r>
      <w:r w:rsidRPr="004F7F85">
        <w:rPr>
          <w:rFonts w:cs="Times New Roman"/>
          <w:i/>
          <w:iCs/>
          <w:szCs w:val="24"/>
        </w:rPr>
        <w:t>p</w:t>
      </w:r>
      <w:r w:rsidRPr="004F7F85">
        <w:rPr>
          <w:rFonts w:cs="Times New Roman"/>
          <w:szCs w:val="24"/>
        </w:rPr>
        <w:t xml:space="preserve"> &lt; .001, </w:t>
      </w:r>
      <w:r w:rsidRPr="004F7F85">
        <w:rPr>
          <w:rFonts w:cs="Times New Roman"/>
          <w:i/>
          <w:iCs/>
          <w:szCs w:val="24"/>
        </w:rPr>
        <w:t>d</w:t>
      </w:r>
      <w:r w:rsidRPr="004F7F85">
        <w:rPr>
          <w:rFonts w:cs="Times New Roman"/>
          <w:szCs w:val="24"/>
        </w:rPr>
        <w:t xml:space="preserve"> = 3.93. Greater familiarity with AITC was also associated with higher willingness scores, </w:t>
      </w:r>
      <w:proofErr w:type="gramStart"/>
      <w:r w:rsidRPr="004F7F85">
        <w:rPr>
          <w:rFonts w:cs="Times New Roman"/>
          <w:i/>
          <w:iCs/>
          <w:szCs w:val="24"/>
        </w:rPr>
        <w:t>t</w:t>
      </w:r>
      <w:r w:rsidRPr="004F7F85">
        <w:rPr>
          <w:rFonts w:cs="Times New Roman"/>
          <w:szCs w:val="24"/>
        </w:rPr>
        <w:t>(</w:t>
      </w:r>
      <w:proofErr w:type="gramEnd"/>
      <w:r w:rsidRPr="004F7F85">
        <w:rPr>
          <w:rFonts w:cs="Times New Roman"/>
          <w:szCs w:val="24"/>
        </w:rPr>
        <w:t xml:space="preserve">49) = 14.99, </w:t>
      </w:r>
      <w:r w:rsidRPr="004F7F85">
        <w:rPr>
          <w:rFonts w:cs="Times New Roman"/>
          <w:i/>
          <w:iCs/>
          <w:szCs w:val="24"/>
        </w:rPr>
        <w:t>p</w:t>
      </w:r>
      <w:r w:rsidRPr="004F7F85">
        <w:rPr>
          <w:rFonts w:cs="Times New Roman"/>
          <w:szCs w:val="24"/>
        </w:rPr>
        <w:t xml:space="preserve"> &lt; .001, </w:t>
      </w:r>
      <w:r w:rsidRPr="004F7F85">
        <w:rPr>
          <w:rFonts w:cs="Times New Roman"/>
          <w:i/>
          <w:iCs/>
          <w:szCs w:val="24"/>
        </w:rPr>
        <w:t>d</w:t>
      </w:r>
      <w:r w:rsidRPr="004F7F85">
        <w:rPr>
          <w:rFonts w:cs="Times New Roman"/>
          <w:szCs w:val="24"/>
        </w:rPr>
        <w:t xml:space="preserve"> = 4.23, as was confidence in teaching agricultural content, </w:t>
      </w:r>
      <w:proofErr w:type="gramStart"/>
      <w:r w:rsidRPr="004F7F85">
        <w:rPr>
          <w:rFonts w:cs="Times New Roman"/>
          <w:i/>
          <w:iCs/>
          <w:szCs w:val="24"/>
        </w:rPr>
        <w:t>t</w:t>
      </w:r>
      <w:r w:rsidRPr="004F7F85">
        <w:rPr>
          <w:rFonts w:cs="Times New Roman"/>
          <w:szCs w:val="24"/>
        </w:rPr>
        <w:t>(</w:t>
      </w:r>
      <w:proofErr w:type="gramEnd"/>
      <w:r w:rsidRPr="004F7F85">
        <w:rPr>
          <w:rFonts w:cs="Times New Roman"/>
          <w:szCs w:val="24"/>
        </w:rPr>
        <w:t xml:space="preserve">49) = 6.87, </w:t>
      </w:r>
      <w:r w:rsidRPr="004F7F85">
        <w:rPr>
          <w:rFonts w:cs="Times New Roman"/>
          <w:i/>
          <w:iCs/>
          <w:szCs w:val="24"/>
        </w:rPr>
        <w:t>p</w:t>
      </w:r>
      <w:r w:rsidRPr="004F7F85">
        <w:rPr>
          <w:rFonts w:cs="Times New Roman"/>
          <w:szCs w:val="24"/>
        </w:rPr>
        <w:t xml:space="preserve"> &lt; .001, </w:t>
      </w:r>
      <w:r w:rsidRPr="004F7F85">
        <w:rPr>
          <w:rFonts w:cs="Times New Roman"/>
          <w:i/>
          <w:iCs/>
          <w:szCs w:val="24"/>
        </w:rPr>
        <w:t>d</w:t>
      </w:r>
      <w:r w:rsidRPr="004F7F85">
        <w:rPr>
          <w:rFonts w:cs="Times New Roman"/>
          <w:szCs w:val="24"/>
        </w:rPr>
        <w:t xml:space="preserve"> = 1.91. No significant differences were observed for perceptions of agriculture or alignment with curriculum and standards (</w:t>
      </w:r>
      <w:r w:rsidRPr="004F7F85">
        <w:rPr>
          <w:rFonts w:cs="Times New Roman"/>
          <w:i/>
          <w:iCs/>
          <w:szCs w:val="24"/>
        </w:rPr>
        <w:t>p</w:t>
      </w:r>
      <w:r w:rsidRPr="004F7F85">
        <w:rPr>
          <w:rFonts w:cs="Times New Roman"/>
          <w:szCs w:val="24"/>
        </w:rPr>
        <w:t xml:space="preserve"> &gt; .05). </w:t>
      </w:r>
      <w:proofErr w:type="gramStart"/>
      <w:r w:rsidRPr="004F7F85">
        <w:rPr>
          <w:rFonts w:cs="Times New Roman"/>
          <w:szCs w:val="24"/>
        </w:rPr>
        <w:t xml:space="preserve">Full </w:t>
      </w:r>
      <w:r w:rsidRPr="004F7F85">
        <w:rPr>
          <w:rFonts w:cs="Times New Roman"/>
          <w:i/>
          <w:iCs/>
          <w:szCs w:val="24"/>
        </w:rPr>
        <w:t>t</w:t>
      </w:r>
      <w:proofErr w:type="gramEnd"/>
      <w:r w:rsidRPr="004F7F85">
        <w:rPr>
          <w:rFonts w:cs="Times New Roman"/>
          <w:szCs w:val="24"/>
        </w:rPr>
        <w:t xml:space="preserve">-test results are displayed in </w:t>
      </w:r>
      <w:r w:rsidR="004F7F85">
        <w:rPr>
          <w:rFonts w:cs="Times New Roman"/>
          <w:szCs w:val="24"/>
        </w:rPr>
        <w:t>Table 3</w:t>
      </w:r>
      <w:r w:rsidRPr="004F7F85">
        <w:rPr>
          <w:rFonts w:cs="Times New Roman"/>
          <w:szCs w:val="24"/>
        </w:rPr>
        <w:t>.</w:t>
      </w:r>
    </w:p>
    <w:p w14:paraId="03754280" w14:textId="77777777" w:rsidR="00243B01" w:rsidRPr="004F7F85" w:rsidRDefault="00243B01" w:rsidP="00243B01">
      <w:pPr>
        <w:spacing w:line="240" w:lineRule="auto"/>
        <w:rPr>
          <w:rFonts w:cs="Times New Roman"/>
          <w:szCs w:val="24"/>
        </w:rPr>
      </w:pPr>
    </w:p>
    <w:p w14:paraId="5062BA85" w14:textId="331E2254" w:rsidR="009F5B69" w:rsidRPr="004F7F85" w:rsidRDefault="009F5B69" w:rsidP="009F5B69">
      <w:pPr>
        <w:pStyle w:val="TablesCaptionAbove"/>
        <w:spacing w:before="0"/>
        <w:mirrorIndents/>
        <w:rPr>
          <w:b/>
          <w:bCs/>
        </w:rPr>
      </w:pPr>
      <w:bookmarkStart w:id="13" w:name="_Toc208234473"/>
      <w:bookmarkStart w:id="14" w:name="_Hlk219446863"/>
      <w:r w:rsidRPr="004F7F85">
        <w:rPr>
          <w:b/>
          <w:bCs/>
        </w:rPr>
        <w:t xml:space="preserve">Table 3 </w:t>
      </w:r>
    </w:p>
    <w:p w14:paraId="6CDC8D6B" w14:textId="0228686F" w:rsidR="009F5B69" w:rsidRPr="004F7F85" w:rsidRDefault="009F5B69" w:rsidP="009F5B69">
      <w:pPr>
        <w:pStyle w:val="TablesCaptionAbove"/>
        <w:spacing w:before="0"/>
        <w:mirrorIndents/>
      </w:pPr>
      <w:r w:rsidRPr="004F7F85">
        <w:t xml:space="preserve">Independent </w:t>
      </w:r>
      <w:r w:rsidRPr="004F7F85">
        <w:rPr>
          <w:i/>
          <w:iCs/>
        </w:rPr>
        <w:t>t</w:t>
      </w:r>
      <w:r w:rsidRPr="004F7F85">
        <w:t>-Tests Examining Willingness to Incorporate Agriculture (</w:t>
      </w:r>
      <w:r w:rsidRPr="004F7F85">
        <w:rPr>
          <w:i/>
          <w:iCs/>
        </w:rPr>
        <w:t>n</w:t>
      </w:r>
      <w:r w:rsidRPr="004F7F85">
        <w:t xml:space="preserve"> = 25).</w:t>
      </w:r>
      <w:bookmarkEnd w:id="13"/>
    </w:p>
    <w:tbl>
      <w:tblPr>
        <w:tblStyle w:val="TableGrid"/>
        <w:tblW w:w="9535" w:type="dxa"/>
        <w:tblLook w:val="04A0" w:firstRow="1" w:lastRow="0" w:firstColumn="1" w:lastColumn="0" w:noHBand="0" w:noVBand="1"/>
      </w:tblPr>
      <w:tblGrid>
        <w:gridCol w:w="3145"/>
        <w:gridCol w:w="1350"/>
        <w:gridCol w:w="1260"/>
        <w:gridCol w:w="1440"/>
        <w:gridCol w:w="1080"/>
        <w:gridCol w:w="1260"/>
      </w:tblGrid>
      <w:tr w:rsidR="009F5B69" w:rsidRPr="004F7F85" w14:paraId="6FC4C452" w14:textId="77777777" w:rsidTr="0020236A">
        <w:trPr>
          <w:trHeight w:val="332"/>
        </w:trPr>
        <w:tc>
          <w:tcPr>
            <w:tcW w:w="3145" w:type="dxa"/>
            <w:tcBorders>
              <w:top w:val="single" w:sz="4" w:space="0" w:color="auto"/>
              <w:left w:val="nil"/>
              <w:bottom w:val="nil"/>
              <w:right w:val="nil"/>
            </w:tcBorders>
          </w:tcPr>
          <w:p w14:paraId="642A235A" w14:textId="758BAD18" w:rsidR="009F5B69" w:rsidRPr="004F7F85" w:rsidRDefault="009F5B69" w:rsidP="009F5B69">
            <w:pPr>
              <w:spacing w:line="240" w:lineRule="auto"/>
              <w:mirrorIndents/>
              <w:jc w:val="center"/>
              <w:rPr>
                <w:rFonts w:cs="Times New Roman"/>
                <w:szCs w:val="24"/>
              </w:rPr>
            </w:pPr>
          </w:p>
        </w:tc>
        <w:tc>
          <w:tcPr>
            <w:tcW w:w="2610" w:type="dxa"/>
            <w:gridSpan w:val="2"/>
            <w:tcBorders>
              <w:top w:val="single" w:sz="4" w:space="0" w:color="auto"/>
              <w:left w:val="nil"/>
              <w:bottom w:val="single" w:sz="4" w:space="0" w:color="auto"/>
              <w:right w:val="nil"/>
            </w:tcBorders>
          </w:tcPr>
          <w:p w14:paraId="3F9B19AC" w14:textId="77777777" w:rsidR="009F5B69" w:rsidRPr="004F7F85" w:rsidRDefault="009F5B69" w:rsidP="009F5B69">
            <w:pPr>
              <w:spacing w:line="240" w:lineRule="auto"/>
              <w:mirrorIndents/>
              <w:jc w:val="center"/>
              <w:rPr>
                <w:rFonts w:cs="Times New Roman"/>
                <w:szCs w:val="24"/>
              </w:rPr>
            </w:pPr>
            <w:r w:rsidRPr="004F7F85">
              <w:rPr>
                <w:rFonts w:cs="Times New Roman"/>
                <w:szCs w:val="24"/>
              </w:rPr>
              <w:t>Willingness to Integrate</w:t>
            </w:r>
          </w:p>
        </w:tc>
        <w:tc>
          <w:tcPr>
            <w:tcW w:w="1440" w:type="dxa"/>
            <w:tcBorders>
              <w:top w:val="single" w:sz="4" w:space="0" w:color="auto"/>
              <w:left w:val="nil"/>
              <w:bottom w:val="nil"/>
              <w:right w:val="nil"/>
            </w:tcBorders>
          </w:tcPr>
          <w:p w14:paraId="3C34BD7E" w14:textId="35D3439E" w:rsidR="009F5B69" w:rsidRPr="004F7F85" w:rsidRDefault="009F5B69" w:rsidP="009F5B69">
            <w:pPr>
              <w:spacing w:line="240" w:lineRule="auto"/>
              <w:mirrorIndents/>
              <w:jc w:val="center"/>
              <w:rPr>
                <w:rFonts w:cs="Times New Roman"/>
                <w:szCs w:val="24"/>
              </w:rPr>
            </w:pPr>
          </w:p>
        </w:tc>
        <w:tc>
          <w:tcPr>
            <w:tcW w:w="1080" w:type="dxa"/>
            <w:tcBorders>
              <w:top w:val="single" w:sz="4" w:space="0" w:color="auto"/>
              <w:left w:val="nil"/>
              <w:bottom w:val="nil"/>
              <w:right w:val="nil"/>
            </w:tcBorders>
          </w:tcPr>
          <w:p w14:paraId="4E5654BA" w14:textId="56773258" w:rsidR="009F5B69" w:rsidRPr="004F7F85" w:rsidRDefault="009F5B69" w:rsidP="009F5B69">
            <w:pPr>
              <w:spacing w:line="240" w:lineRule="auto"/>
              <w:mirrorIndents/>
              <w:jc w:val="center"/>
              <w:rPr>
                <w:rFonts w:cs="Times New Roman"/>
                <w:i/>
                <w:iCs/>
                <w:szCs w:val="24"/>
              </w:rPr>
            </w:pPr>
          </w:p>
        </w:tc>
        <w:tc>
          <w:tcPr>
            <w:tcW w:w="1260" w:type="dxa"/>
            <w:tcBorders>
              <w:top w:val="single" w:sz="4" w:space="0" w:color="auto"/>
              <w:left w:val="nil"/>
              <w:bottom w:val="nil"/>
              <w:right w:val="nil"/>
            </w:tcBorders>
          </w:tcPr>
          <w:p w14:paraId="60FD481F" w14:textId="3BFC3B2E" w:rsidR="009F5B69" w:rsidRPr="004F7F85" w:rsidRDefault="009F5B69" w:rsidP="009F5B69">
            <w:pPr>
              <w:spacing w:line="240" w:lineRule="auto"/>
              <w:mirrorIndents/>
              <w:jc w:val="center"/>
              <w:rPr>
                <w:rFonts w:cs="Times New Roman"/>
                <w:i/>
                <w:iCs/>
                <w:szCs w:val="24"/>
              </w:rPr>
            </w:pPr>
          </w:p>
        </w:tc>
      </w:tr>
      <w:tr w:rsidR="0020236A" w:rsidRPr="004F7F85" w14:paraId="4C22B8B2" w14:textId="77777777" w:rsidTr="000572DE">
        <w:trPr>
          <w:trHeight w:val="300"/>
        </w:trPr>
        <w:tc>
          <w:tcPr>
            <w:tcW w:w="3145" w:type="dxa"/>
            <w:tcBorders>
              <w:top w:val="nil"/>
              <w:left w:val="nil"/>
              <w:bottom w:val="single" w:sz="4" w:space="0" w:color="auto"/>
              <w:right w:val="nil"/>
            </w:tcBorders>
          </w:tcPr>
          <w:p w14:paraId="6AAC6FAE" w14:textId="0A7C5B39" w:rsidR="0020236A" w:rsidRPr="004F7F85" w:rsidRDefault="0020236A" w:rsidP="0020236A">
            <w:pPr>
              <w:spacing w:line="240" w:lineRule="auto"/>
              <w:mirrorIndents/>
              <w:rPr>
                <w:rFonts w:cs="Times New Roman"/>
                <w:szCs w:val="24"/>
              </w:rPr>
            </w:pPr>
            <w:r w:rsidRPr="004F7F85">
              <w:rPr>
                <w:rFonts w:cs="Times New Roman"/>
                <w:szCs w:val="24"/>
              </w:rPr>
              <w:t>Variable</w:t>
            </w:r>
          </w:p>
        </w:tc>
        <w:tc>
          <w:tcPr>
            <w:tcW w:w="1350" w:type="dxa"/>
            <w:tcBorders>
              <w:top w:val="single" w:sz="4" w:space="0" w:color="auto"/>
              <w:left w:val="nil"/>
              <w:bottom w:val="single" w:sz="4" w:space="0" w:color="auto"/>
              <w:right w:val="nil"/>
            </w:tcBorders>
          </w:tcPr>
          <w:p w14:paraId="744543A5" w14:textId="77777777" w:rsidR="0020236A" w:rsidRPr="004F7F85" w:rsidRDefault="0020236A" w:rsidP="0020236A">
            <w:pPr>
              <w:spacing w:line="240" w:lineRule="auto"/>
              <w:mirrorIndents/>
              <w:jc w:val="center"/>
              <w:rPr>
                <w:rFonts w:cs="Times New Roman"/>
                <w:i/>
                <w:iCs/>
                <w:szCs w:val="24"/>
              </w:rPr>
            </w:pPr>
            <w:r w:rsidRPr="004F7F85">
              <w:rPr>
                <w:rFonts w:cs="Times New Roman"/>
                <w:i/>
                <w:iCs/>
                <w:szCs w:val="24"/>
              </w:rPr>
              <w:t>M</w:t>
            </w:r>
          </w:p>
        </w:tc>
        <w:tc>
          <w:tcPr>
            <w:tcW w:w="1260" w:type="dxa"/>
            <w:tcBorders>
              <w:top w:val="single" w:sz="4" w:space="0" w:color="auto"/>
              <w:left w:val="nil"/>
              <w:bottom w:val="single" w:sz="4" w:space="0" w:color="auto"/>
              <w:right w:val="nil"/>
            </w:tcBorders>
          </w:tcPr>
          <w:p w14:paraId="2040FE30" w14:textId="77777777" w:rsidR="0020236A" w:rsidRPr="004F7F85" w:rsidRDefault="0020236A" w:rsidP="0020236A">
            <w:pPr>
              <w:spacing w:line="240" w:lineRule="auto"/>
              <w:mirrorIndents/>
              <w:jc w:val="center"/>
              <w:rPr>
                <w:rFonts w:cs="Times New Roman"/>
                <w:i/>
                <w:iCs/>
                <w:szCs w:val="24"/>
              </w:rPr>
            </w:pPr>
            <w:r w:rsidRPr="004F7F85">
              <w:rPr>
                <w:rFonts w:cs="Times New Roman"/>
                <w:i/>
                <w:iCs/>
                <w:szCs w:val="24"/>
              </w:rPr>
              <w:t>SD</w:t>
            </w:r>
          </w:p>
        </w:tc>
        <w:tc>
          <w:tcPr>
            <w:tcW w:w="1440" w:type="dxa"/>
            <w:tcBorders>
              <w:top w:val="nil"/>
              <w:left w:val="nil"/>
              <w:bottom w:val="single" w:sz="4" w:space="0" w:color="auto"/>
              <w:right w:val="nil"/>
            </w:tcBorders>
          </w:tcPr>
          <w:p w14:paraId="78644AFB" w14:textId="3EE108A8" w:rsidR="0020236A" w:rsidRPr="004F7F85" w:rsidRDefault="0020236A" w:rsidP="0020236A">
            <w:pPr>
              <w:spacing w:line="240" w:lineRule="auto"/>
              <w:mirrorIndents/>
              <w:jc w:val="center"/>
              <w:rPr>
                <w:rFonts w:cs="Times New Roman"/>
                <w:szCs w:val="24"/>
              </w:rPr>
            </w:pPr>
            <w:bookmarkStart w:id="15" w:name="_Int_eG2lWtYZ"/>
            <w:proofErr w:type="gramStart"/>
            <w:r w:rsidRPr="004F7F85">
              <w:rPr>
                <w:rFonts w:cs="Times New Roman"/>
                <w:i/>
                <w:iCs/>
                <w:szCs w:val="24"/>
              </w:rPr>
              <w:t>t</w:t>
            </w:r>
            <w:r w:rsidRPr="004F7F85">
              <w:rPr>
                <w:rFonts w:cs="Times New Roman"/>
                <w:szCs w:val="24"/>
              </w:rPr>
              <w:t>(</w:t>
            </w:r>
            <w:bookmarkEnd w:id="15"/>
            <w:proofErr w:type="gramEnd"/>
            <w:r w:rsidRPr="004F7F85">
              <w:rPr>
                <w:rFonts w:cs="Times New Roman"/>
                <w:szCs w:val="24"/>
              </w:rPr>
              <w:t>49)</w:t>
            </w:r>
          </w:p>
        </w:tc>
        <w:tc>
          <w:tcPr>
            <w:tcW w:w="1080" w:type="dxa"/>
            <w:tcBorders>
              <w:top w:val="nil"/>
              <w:left w:val="nil"/>
              <w:bottom w:val="single" w:sz="4" w:space="0" w:color="auto"/>
              <w:right w:val="nil"/>
            </w:tcBorders>
          </w:tcPr>
          <w:p w14:paraId="3A9D6D54" w14:textId="5A15F28A" w:rsidR="0020236A" w:rsidRPr="004F7F85" w:rsidRDefault="0020236A" w:rsidP="0020236A">
            <w:pPr>
              <w:spacing w:line="240" w:lineRule="auto"/>
              <w:mirrorIndents/>
              <w:jc w:val="center"/>
              <w:rPr>
                <w:rFonts w:cs="Times New Roman"/>
                <w:szCs w:val="24"/>
              </w:rPr>
            </w:pPr>
            <w:r w:rsidRPr="004F7F85">
              <w:rPr>
                <w:rFonts w:cs="Times New Roman"/>
                <w:i/>
                <w:iCs/>
                <w:szCs w:val="24"/>
              </w:rPr>
              <w:t>p</w:t>
            </w:r>
          </w:p>
        </w:tc>
        <w:tc>
          <w:tcPr>
            <w:tcW w:w="1260" w:type="dxa"/>
            <w:tcBorders>
              <w:top w:val="nil"/>
              <w:left w:val="nil"/>
              <w:bottom w:val="single" w:sz="4" w:space="0" w:color="auto"/>
              <w:right w:val="nil"/>
            </w:tcBorders>
          </w:tcPr>
          <w:p w14:paraId="447809F4" w14:textId="17068C59" w:rsidR="0020236A" w:rsidRPr="004F7F85" w:rsidRDefault="0020236A" w:rsidP="0020236A">
            <w:pPr>
              <w:spacing w:line="240" w:lineRule="auto"/>
              <w:mirrorIndents/>
              <w:jc w:val="center"/>
              <w:rPr>
                <w:rFonts w:cs="Times New Roman"/>
                <w:szCs w:val="24"/>
              </w:rPr>
            </w:pPr>
            <w:r w:rsidRPr="004F7F85">
              <w:rPr>
                <w:rFonts w:cs="Times New Roman"/>
                <w:szCs w:val="24"/>
              </w:rPr>
              <w:t xml:space="preserve">Cohen’s </w:t>
            </w:r>
            <w:r w:rsidRPr="004F7F85">
              <w:rPr>
                <w:rFonts w:cs="Times New Roman"/>
                <w:i/>
                <w:iCs/>
                <w:szCs w:val="24"/>
              </w:rPr>
              <w:t>d</w:t>
            </w:r>
          </w:p>
        </w:tc>
      </w:tr>
      <w:tr w:rsidR="009F5B69" w:rsidRPr="004F7F85" w14:paraId="4DF79D09" w14:textId="77777777" w:rsidTr="000572DE">
        <w:tc>
          <w:tcPr>
            <w:tcW w:w="3145" w:type="dxa"/>
            <w:tcBorders>
              <w:top w:val="single" w:sz="4" w:space="0" w:color="auto"/>
              <w:left w:val="nil"/>
              <w:bottom w:val="nil"/>
              <w:right w:val="nil"/>
            </w:tcBorders>
          </w:tcPr>
          <w:p w14:paraId="6B146372" w14:textId="77777777" w:rsidR="009F5B69" w:rsidRPr="004F7F85" w:rsidRDefault="009F5B69" w:rsidP="009F5B69">
            <w:pPr>
              <w:spacing w:line="240" w:lineRule="auto"/>
              <w:mirrorIndents/>
              <w:rPr>
                <w:rFonts w:cs="Times New Roman"/>
                <w:szCs w:val="24"/>
              </w:rPr>
            </w:pPr>
            <w:r w:rsidRPr="004F7F85">
              <w:rPr>
                <w:rFonts w:cs="Times New Roman"/>
                <w:szCs w:val="24"/>
              </w:rPr>
              <w:t>Year in TEP</w:t>
            </w:r>
          </w:p>
        </w:tc>
        <w:tc>
          <w:tcPr>
            <w:tcW w:w="1350" w:type="dxa"/>
            <w:tcBorders>
              <w:top w:val="single" w:sz="4" w:space="0" w:color="auto"/>
              <w:left w:val="nil"/>
              <w:bottom w:val="nil"/>
              <w:right w:val="nil"/>
            </w:tcBorders>
          </w:tcPr>
          <w:p w14:paraId="08380401" w14:textId="77777777" w:rsidR="009F5B69" w:rsidRPr="004F7F85" w:rsidRDefault="009F5B69" w:rsidP="009F5B69">
            <w:pPr>
              <w:spacing w:line="240" w:lineRule="auto"/>
              <w:mirrorIndents/>
              <w:jc w:val="center"/>
              <w:rPr>
                <w:rFonts w:cs="Times New Roman"/>
                <w:szCs w:val="24"/>
              </w:rPr>
            </w:pPr>
            <w:r w:rsidRPr="004F7F85">
              <w:rPr>
                <w:rFonts w:cs="Times New Roman"/>
                <w:szCs w:val="24"/>
              </w:rPr>
              <w:t>1.44</w:t>
            </w:r>
          </w:p>
        </w:tc>
        <w:tc>
          <w:tcPr>
            <w:tcW w:w="1260" w:type="dxa"/>
            <w:tcBorders>
              <w:top w:val="single" w:sz="4" w:space="0" w:color="auto"/>
              <w:left w:val="nil"/>
              <w:bottom w:val="nil"/>
              <w:right w:val="nil"/>
            </w:tcBorders>
          </w:tcPr>
          <w:p w14:paraId="67FE49F1" w14:textId="77777777" w:rsidR="009F5B69" w:rsidRPr="004F7F85" w:rsidRDefault="009F5B69" w:rsidP="009F5B69">
            <w:pPr>
              <w:spacing w:line="240" w:lineRule="auto"/>
              <w:mirrorIndents/>
              <w:jc w:val="center"/>
              <w:rPr>
                <w:rFonts w:cs="Times New Roman"/>
                <w:szCs w:val="24"/>
              </w:rPr>
            </w:pPr>
            <w:r w:rsidRPr="004F7F85">
              <w:rPr>
                <w:rFonts w:cs="Times New Roman"/>
                <w:szCs w:val="24"/>
              </w:rPr>
              <w:t>0.58</w:t>
            </w:r>
          </w:p>
        </w:tc>
        <w:tc>
          <w:tcPr>
            <w:tcW w:w="1440" w:type="dxa"/>
            <w:tcBorders>
              <w:top w:val="single" w:sz="4" w:space="0" w:color="auto"/>
              <w:left w:val="nil"/>
              <w:bottom w:val="nil"/>
              <w:right w:val="nil"/>
            </w:tcBorders>
          </w:tcPr>
          <w:p w14:paraId="21678981" w14:textId="77777777" w:rsidR="009F5B69" w:rsidRPr="004F7F85" w:rsidRDefault="009F5B69" w:rsidP="009F5B69">
            <w:pPr>
              <w:spacing w:line="240" w:lineRule="auto"/>
              <w:mirrorIndents/>
              <w:jc w:val="center"/>
              <w:rPr>
                <w:rFonts w:cs="Times New Roman"/>
                <w:szCs w:val="24"/>
              </w:rPr>
            </w:pPr>
            <w:r w:rsidRPr="004F7F85">
              <w:rPr>
                <w:rFonts w:cs="Times New Roman"/>
                <w:szCs w:val="24"/>
              </w:rPr>
              <w:t>14.02</w:t>
            </w:r>
          </w:p>
        </w:tc>
        <w:tc>
          <w:tcPr>
            <w:tcW w:w="1080" w:type="dxa"/>
            <w:tcBorders>
              <w:top w:val="single" w:sz="4" w:space="0" w:color="auto"/>
              <w:left w:val="nil"/>
              <w:bottom w:val="nil"/>
              <w:right w:val="nil"/>
            </w:tcBorders>
          </w:tcPr>
          <w:p w14:paraId="1C12E35F" w14:textId="77777777" w:rsidR="009F5B69" w:rsidRPr="004F7F85" w:rsidRDefault="009F5B69" w:rsidP="009F5B69">
            <w:pPr>
              <w:spacing w:line="240" w:lineRule="auto"/>
              <w:mirrorIndents/>
              <w:jc w:val="center"/>
              <w:rPr>
                <w:rFonts w:cs="Times New Roman"/>
                <w:szCs w:val="24"/>
              </w:rPr>
            </w:pPr>
            <w:r w:rsidRPr="004F7F85">
              <w:rPr>
                <w:rFonts w:cs="Times New Roman"/>
                <w:szCs w:val="24"/>
              </w:rPr>
              <w:t>&lt;.001</w:t>
            </w:r>
          </w:p>
        </w:tc>
        <w:tc>
          <w:tcPr>
            <w:tcW w:w="1260" w:type="dxa"/>
            <w:tcBorders>
              <w:top w:val="single" w:sz="4" w:space="0" w:color="auto"/>
              <w:left w:val="nil"/>
              <w:bottom w:val="nil"/>
              <w:right w:val="nil"/>
            </w:tcBorders>
          </w:tcPr>
          <w:p w14:paraId="1BA96E42" w14:textId="77777777" w:rsidR="009F5B69" w:rsidRPr="004F7F85" w:rsidRDefault="009F5B69" w:rsidP="009F5B69">
            <w:pPr>
              <w:spacing w:line="240" w:lineRule="auto"/>
              <w:mirrorIndents/>
              <w:jc w:val="center"/>
              <w:rPr>
                <w:rFonts w:cs="Times New Roman"/>
                <w:szCs w:val="24"/>
              </w:rPr>
            </w:pPr>
            <w:r w:rsidRPr="004F7F85">
              <w:rPr>
                <w:rFonts w:cs="Times New Roman"/>
                <w:szCs w:val="24"/>
              </w:rPr>
              <w:t>3.93</w:t>
            </w:r>
          </w:p>
        </w:tc>
      </w:tr>
      <w:tr w:rsidR="009F5B69" w:rsidRPr="004F7F85" w14:paraId="5CE87DD1" w14:textId="77777777" w:rsidTr="000572DE">
        <w:tc>
          <w:tcPr>
            <w:tcW w:w="3145" w:type="dxa"/>
            <w:tcBorders>
              <w:top w:val="nil"/>
              <w:left w:val="nil"/>
              <w:bottom w:val="nil"/>
              <w:right w:val="nil"/>
            </w:tcBorders>
          </w:tcPr>
          <w:p w14:paraId="2F5051EA" w14:textId="77777777" w:rsidR="009F5B69" w:rsidRPr="004F7F85" w:rsidRDefault="009F5B69" w:rsidP="009F5B69">
            <w:pPr>
              <w:spacing w:line="240" w:lineRule="auto"/>
              <w:mirrorIndents/>
              <w:rPr>
                <w:rFonts w:cs="Times New Roman"/>
                <w:szCs w:val="24"/>
              </w:rPr>
            </w:pPr>
            <w:r w:rsidRPr="004F7F85">
              <w:rPr>
                <w:rFonts w:cs="Times New Roman"/>
                <w:szCs w:val="24"/>
              </w:rPr>
              <w:t>AITC Familiarity</w:t>
            </w:r>
          </w:p>
        </w:tc>
        <w:tc>
          <w:tcPr>
            <w:tcW w:w="1350" w:type="dxa"/>
            <w:tcBorders>
              <w:top w:val="nil"/>
              <w:left w:val="nil"/>
              <w:bottom w:val="nil"/>
              <w:right w:val="nil"/>
            </w:tcBorders>
          </w:tcPr>
          <w:p w14:paraId="37634A36" w14:textId="77777777" w:rsidR="009F5B69" w:rsidRPr="004F7F85" w:rsidRDefault="009F5B69" w:rsidP="009F5B69">
            <w:pPr>
              <w:spacing w:line="240" w:lineRule="auto"/>
              <w:mirrorIndents/>
              <w:jc w:val="center"/>
              <w:rPr>
                <w:rFonts w:cs="Times New Roman"/>
                <w:szCs w:val="24"/>
              </w:rPr>
            </w:pPr>
            <w:r w:rsidRPr="004F7F85">
              <w:rPr>
                <w:rFonts w:cs="Times New Roman"/>
                <w:szCs w:val="24"/>
              </w:rPr>
              <w:t>1.48</w:t>
            </w:r>
          </w:p>
        </w:tc>
        <w:tc>
          <w:tcPr>
            <w:tcW w:w="1260" w:type="dxa"/>
            <w:tcBorders>
              <w:top w:val="nil"/>
              <w:left w:val="nil"/>
              <w:bottom w:val="nil"/>
              <w:right w:val="nil"/>
            </w:tcBorders>
          </w:tcPr>
          <w:p w14:paraId="7722C90A" w14:textId="77777777" w:rsidR="009F5B69" w:rsidRPr="004F7F85" w:rsidRDefault="009F5B69" w:rsidP="009F5B69">
            <w:pPr>
              <w:spacing w:line="240" w:lineRule="auto"/>
              <w:mirrorIndents/>
              <w:jc w:val="center"/>
              <w:rPr>
                <w:rFonts w:cs="Times New Roman"/>
                <w:szCs w:val="24"/>
              </w:rPr>
            </w:pPr>
            <w:r w:rsidRPr="004F7F85">
              <w:rPr>
                <w:rFonts w:cs="Times New Roman"/>
                <w:szCs w:val="24"/>
              </w:rPr>
              <w:t>0.51</w:t>
            </w:r>
          </w:p>
        </w:tc>
        <w:tc>
          <w:tcPr>
            <w:tcW w:w="1440" w:type="dxa"/>
            <w:tcBorders>
              <w:top w:val="nil"/>
              <w:left w:val="nil"/>
              <w:bottom w:val="nil"/>
              <w:right w:val="nil"/>
            </w:tcBorders>
          </w:tcPr>
          <w:p w14:paraId="0C877328" w14:textId="77777777" w:rsidR="009F5B69" w:rsidRPr="004F7F85" w:rsidRDefault="009F5B69" w:rsidP="009F5B69">
            <w:pPr>
              <w:spacing w:line="240" w:lineRule="auto"/>
              <w:mirrorIndents/>
              <w:jc w:val="center"/>
              <w:rPr>
                <w:rFonts w:cs="Times New Roman"/>
                <w:szCs w:val="24"/>
              </w:rPr>
            </w:pPr>
            <w:r w:rsidRPr="004F7F85">
              <w:rPr>
                <w:rFonts w:cs="Times New Roman"/>
                <w:szCs w:val="24"/>
              </w:rPr>
              <w:t>14.99</w:t>
            </w:r>
          </w:p>
        </w:tc>
        <w:tc>
          <w:tcPr>
            <w:tcW w:w="1080" w:type="dxa"/>
            <w:tcBorders>
              <w:top w:val="nil"/>
              <w:left w:val="nil"/>
              <w:bottom w:val="nil"/>
              <w:right w:val="nil"/>
            </w:tcBorders>
          </w:tcPr>
          <w:p w14:paraId="43597603" w14:textId="77777777" w:rsidR="009F5B69" w:rsidRPr="004F7F85" w:rsidRDefault="009F5B69" w:rsidP="009F5B69">
            <w:pPr>
              <w:spacing w:line="240" w:lineRule="auto"/>
              <w:mirrorIndents/>
              <w:jc w:val="center"/>
              <w:rPr>
                <w:rFonts w:cs="Times New Roman"/>
                <w:szCs w:val="24"/>
              </w:rPr>
            </w:pPr>
            <w:r w:rsidRPr="004F7F85">
              <w:rPr>
                <w:rFonts w:cs="Times New Roman"/>
                <w:szCs w:val="24"/>
              </w:rPr>
              <w:t>&lt;.001</w:t>
            </w:r>
          </w:p>
        </w:tc>
        <w:tc>
          <w:tcPr>
            <w:tcW w:w="1260" w:type="dxa"/>
            <w:tcBorders>
              <w:top w:val="nil"/>
              <w:left w:val="nil"/>
              <w:bottom w:val="nil"/>
              <w:right w:val="nil"/>
            </w:tcBorders>
          </w:tcPr>
          <w:p w14:paraId="5A111892" w14:textId="77777777" w:rsidR="009F5B69" w:rsidRPr="004F7F85" w:rsidRDefault="009F5B69" w:rsidP="009F5B69">
            <w:pPr>
              <w:spacing w:line="240" w:lineRule="auto"/>
              <w:mirrorIndents/>
              <w:jc w:val="center"/>
              <w:rPr>
                <w:rFonts w:cs="Times New Roman"/>
                <w:szCs w:val="24"/>
              </w:rPr>
            </w:pPr>
            <w:r w:rsidRPr="004F7F85">
              <w:rPr>
                <w:rFonts w:cs="Times New Roman"/>
                <w:szCs w:val="24"/>
              </w:rPr>
              <w:t>4.23</w:t>
            </w:r>
          </w:p>
        </w:tc>
      </w:tr>
      <w:tr w:rsidR="009F5B69" w:rsidRPr="004F7F85" w14:paraId="7CE5A7A2" w14:textId="77777777" w:rsidTr="000572DE">
        <w:tc>
          <w:tcPr>
            <w:tcW w:w="3145" w:type="dxa"/>
            <w:tcBorders>
              <w:top w:val="nil"/>
              <w:left w:val="nil"/>
              <w:bottom w:val="nil"/>
              <w:right w:val="nil"/>
            </w:tcBorders>
          </w:tcPr>
          <w:p w14:paraId="5E2FA087" w14:textId="77777777" w:rsidR="009F5B69" w:rsidRPr="004F7F85" w:rsidRDefault="009F5B69" w:rsidP="009F5B69">
            <w:pPr>
              <w:spacing w:line="240" w:lineRule="auto"/>
              <w:mirrorIndents/>
              <w:rPr>
                <w:rFonts w:cs="Times New Roman"/>
                <w:szCs w:val="24"/>
              </w:rPr>
            </w:pPr>
            <w:r w:rsidRPr="004F7F85">
              <w:rPr>
                <w:rFonts w:cs="Times New Roman"/>
                <w:szCs w:val="24"/>
              </w:rPr>
              <w:t>Hometown Population</w:t>
            </w:r>
          </w:p>
        </w:tc>
        <w:tc>
          <w:tcPr>
            <w:tcW w:w="1350" w:type="dxa"/>
            <w:tcBorders>
              <w:top w:val="nil"/>
              <w:left w:val="nil"/>
              <w:bottom w:val="nil"/>
              <w:right w:val="nil"/>
            </w:tcBorders>
          </w:tcPr>
          <w:p w14:paraId="642E4092" w14:textId="77777777" w:rsidR="009F5B69" w:rsidRPr="004F7F85" w:rsidRDefault="009F5B69" w:rsidP="009F5B69">
            <w:pPr>
              <w:spacing w:line="240" w:lineRule="auto"/>
              <w:mirrorIndents/>
              <w:jc w:val="center"/>
              <w:rPr>
                <w:rFonts w:cs="Times New Roman"/>
                <w:szCs w:val="24"/>
              </w:rPr>
            </w:pPr>
            <w:r w:rsidRPr="004F7F85">
              <w:rPr>
                <w:rFonts w:cs="Times New Roman"/>
                <w:szCs w:val="24"/>
              </w:rPr>
              <w:t>1.64</w:t>
            </w:r>
          </w:p>
        </w:tc>
        <w:tc>
          <w:tcPr>
            <w:tcW w:w="1260" w:type="dxa"/>
            <w:tcBorders>
              <w:top w:val="nil"/>
              <w:left w:val="nil"/>
              <w:bottom w:val="nil"/>
              <w:right w:val="nil"/>
            </w:tcBorders>
          </w:tcPr>
          <w:p w14:paraId="5D6FFF99" w14:textId="77777777" w:rsidR="009F5B69" w:rsidRPr="004F7F85" w:rsidRDefault="009F5B69" w:rsidP="009F5B69">
            <w:pPr>
              <w:spacing w:line="240" w:lineRule="auto"/>
              <w:mirrorIndents/>
              <w:jc w:val="center"/>
              <w:rPr>
                <w:rFonts w:cs="Times New Roman"/>
                <w:szCs w:val="24"/>
              </w:rPr>
            </w:pPr>
            <w:r w:rsidRPr="004F7F85">
              <w:rPr>
                <w:rFonts w:cs="Times New Roman"/>
                <w:szCs w:val="24"/>
              </w:rPr>
              <w:t>0.70</w:t>
            </w:r>
          </w:p>
        </w:tc>
        <w:tc>
          <w:tcPr>
            <w:tcW w:w="1440" w:type="dxa"/>
            <w:tcBorders>
              <w:top w:val="nil"/>
              <w:left w:val="nil"/>
              <w:bottom w:val="nil"/>
              <w:right w:val="nil"/>
            </w:tcBorders>
          </w:tcPr>
          <w:p w14:paraId="2CAD7344" w14:textId="77777777" w:rsidR="009F5B69" w:rsidRPr="004F7F85" w:rsidRDefault="009F5B69" w:rsidP="009F5B69">
            <w:pPr>
              <w:spacing w:line="240" w:lineRule="auto"/>
              <w:mirrorIndents/>
              <w:jc w:val="center"/>
              <w:rPr>
                <w:rFonts w:cs="Times New Roman"/>
                <w:szCs w:val="24"/>
              </w:rPr>
            </w:pPr>
            <w:r w:rsidRPr="004F7F85">
              <w:rPr>
                <w:rFonts w:cs="Times New Roman"/>
                <w:szCs w:val="24"/>
              </w:rPr>
              <w:t>10.71</w:t>
            </w:r>
          </w:p>
        </w:tc>
        <w:tc>
          <w:tcPr>
            <w:tcW w:w="1080" w:type="dxa"/>
            <w:tcBorders>
              <w:top w:val="nil"/>
              <w:left w:val="nil"/>
              <w:bottom w:val="nil"/>
              <w:right w:val="nil"/>
            </w:tcBorders>
          </w:tcPr>
          <w:p w14:paraId="152BB3A6" w14:textId="77777777" w:rsidR="009F5B69" w:rsidRPr="004F7F85" w:rsidRDefault="009F5B69" w:rsidP="009F5B69">
            <w:pPr>
              <w:spacing w:line="240" w:lineRule="auto"/>
              <w:mirrorIndents/>
              <w:jc w:val="center"/>
              <w:rPr>
                <w:rFonts w:cs="Times New Roman"/>
                <w:szCs w:val="24"/>
              </w:rPr>
            </w:pPr>
            <w:r w:rsidRPr="004F7F85">
              <w:rPr>
                <w:rFonts w:cs="Times New Roman"/>
                <w:szCs w:val="24"/>
              </w:rPr>
              <w:t>&lt;.001</w:t>
            </w:r>
          </w:p>
        </w:tc>
        <w:tc>
          <w:tcPr>
            <w:tcW w:w="1260" w:type="dxa"/>
            <w:tcBorders>
              <w:top w:val="nil"/>
              <w:left w:val="nil"/>
              <w:bottom w:val="nil"/>
              <w:right w:val="nil"/>
            </w:tcBorders>
          </w:tcPr>
          <w:p w14:paraId="4897A6C5" w14:textId="77777777" w:rsidR="009F5B69" w:rsidRPr="004F7F85" w:rsidRDefault="009F5B69" w:rsidP="009F5B69">
            <w:pPr>
              <w:spacing w:line="240" w:lineRule="auto"/>
              <w:mirrorIndents/>
              <w:jc w:val="center"/>
              <w:rPr>
                <w:rFonts w:cs="Times New Roman"/>
                <w:szCs w:val="24"/>
              </w:rPr>
            </w:pPr>
            <w:r w:rsidRPr="004F7F85">
              <w:rPr>
                <w:rFonts w:cs="Times New Roman"/>
                <w:szCs w:val="24"/>
              </w:rPr>
              <w:t>3.03</w:t>
            </w:r>
          </w:p>
        </w:tc>
      </w:tr>
      <w:tr w:rsidR="009F5B69" w:rsidRPr="004F7F85" w14:paraId="09F9BEC5" w14:textId="77777777" w:rsidTr="000572DE">
        <w:tc>
          <w:tcPr>
            <w:tcW w:w="3145" w:type="dxa"/>
            <w:tcBorders>
              <w:top w:val="nil"/>
              <w:left w:val="nil"/>
              <w:bottom w:val="nil"/>
              <w:right w:val="nil"/>
            </w:tcBorders>
          </w:tcPr>
          <w:p w14:paraId="115CEA6A" w14:textId="77777777" w:rsidR="009F5B69" w:rsidRPr="004F7F85" w:rsidRDefault="009F5B69" w:rsidP="009F5B69">
            <w:pPr>
              <w:spacing w:line="240" w:lineRule="auto"/>
              <w:mirrorIndents/>
              <w:rPr>
                <w:rFonts w:cs="Times New Roman"/>
                <w:szCs w:val="24"/>
              </w:rPr>
            </w:pPr>
            <w:r w:rsidRPr="004F7F85">
              <w:rPr>
                <w:rFonts w:cs="Times New Roman"/>
                <w:szCs w:val="24"/>
              </w:rPr>
              <w:t>Perceptions</w:t>
            </w:r>
          </w:p>
        </w:tc>
        <w:tc>
          <w:tcPr>
            <w:tcW w:w="1350" w:type="dxa"/>
            <w:tcBorders>
              <w:top w:val="nil"/>
              <w:left w:val="nil"/>
              <w:bottom w:val="nil"/>
              <w:right w:val="nil"/>
            </w:tcBorders>
          </w:tcPr>
          <w:p w14:paraId="3499A206" w14:textId="77777777" w:rsidR="009F5B69" w:rsidRPr="004F7F85" w:rsidRDefault="009F5B69" w:rsidP="009F5B69">
            <w:pPr>
              <w:spacing w:line="240" w:lineRule="auto"/>
              <w:mirrorIndents/>
              <w:jc w:val="center"/>
              <w:rPr>
                <w:rFonts w:cs="Times New Roman"/>
                <w:szCs w:val="24"/>
              </w:rPr>
            </w:pPr>
            <w:r w:rsidRPr="004F7F85">
              <w:rPr>
                <w:rFonts w:cs="Times New Roman"/>
                <w:szCs w:val="24"/>
              </w:rPr>
              <w:t>3.34</w:t>
            </w:r>
          </w:p>
        </w:tc>
        <w:tc>
          <w:tcPr>
            <w:tcW w:w="1260" w:type="dxa"/>
            <w:tcBorders>
              <w:top w:val="nil"/>
              <w:left w:val="nil"/>
              <w:bottom w:val="nil"/>
              <w:right w:val="nil"/>
            </w:tcBorders>
          </w:tcPr>
          <w:p w14:paraId="04E99EE5" w14:textId="77777777" w:rsidR="009F5B69" w:rsidRPr="004F7F85" w:rsidRDefault="009F5B69" w:rsidP="009F5B69">
            <w:pPr>
              <w:spacing w:line="240" w:lineRule="auto"/>
              <w:mirrorIndents/>
              <w:jc w:val="center"/>
              <w:rPr>
                <w:rFonts w:cs="Times New Roman"/>
                <w:szCs w:val="24"/>
              </w:rPr>
            </w:pPr>
            <w:r w:rsidRPr="004F7F85">
              <w:rPr>
                <w:rFonts w:cs="Times New Roman"/>
                <w:szCs w:val="24"/>
              </w:rPr>
              <w:t>0.37</w:t>
            </w:r>
          </w:p>
        </w:tc>
        <w:tc>
          <w:tcPr>
            <w:tcW w:w="1440" w:type="dxa"/>
            <w:tcBorders>
              <w:top w:val="nil"/>
              <w:left w:val="nil"/>
              <w:bottom w:val="nil"/>
              <w:right w:val="nil"/>
            </w:tcBorders>
          </w:tcPr>
          <w:p w14:paraId="11815B16" w14:textId="77777777" w:rsidR="009F5B69" w:rsidRPr="004F7F85" w:rsidRDefault="009F5B69" w:rsidP="009F5B69">
            <w:pPr>
              <w:spacing w:line="240" w:lineRule="auto"/>
              <w:mirrorIndents/>
              <w:jc w:val="center"/>
              <w:rPr>
                <w:rFonts w:cs="Times New Roman"/>
                <w:szCs w:val="24"/>
              </w:rPr>
            </w:pPr>
            <w:r w:rsidRPr="004F7F85">
              <w:rPr>
                <w:rFonts w:cs="Times New Roman"/>
                <w:szCs w:val="24"/>
              </w:rPr>
              <w:t>0.50</w:t>
            </w:r>
          </w:p>
        </w:tc>
        <w:tc>
          <w:tcPr>
            <w:tcW w:w="1080" w:type="dxa"/>
            <w:tcBorders>
              <w:top w:val="nil"/>
              <w:left w:val="nil"/>
              <w:bottom w:val="nil"/>
              <w:right w:val="nil"/>
            </w:tcBorders>
          </w:tcPr>
          <w:p w14:paraId="2A900EB2" w14:textId="77777777" w:rsidR="009F5B69" w:rsidRPr="004F7F85" w:rsidRDefault="009F5B69" w:rsidP="009F5B69">
            <w:pPr>
              <w:spacing w:line="240" w:lineRule="auto"/>
              <w:mirrorIndents/>
              <w:jc w:val="center"/>
              <w:rPr>
                <w:rFonts w:cs="Times New Roman"/>
                <w:szCs w:val="24"/>
              </w:rPr>
            </w:pPr>
            <w:r w:rsidRPr="004F7F85">
              <w:rPr>
                <w:rFonts w:cs="Times New Roman"/>
                <w:szCs w:val="24"/>
              </w:rPr>
              <w:t>0.62</w:t>
            </w:r>
          </w:p>
        </w:tc>
        <w:tc>
          <w:tcPr>
            <w:tcW w:w="1260" w:type="dxa"/>
            <w:tcBorders>
              <w:top w:val="nil"/>
              <w:left w:val="nil"/>
              <w:bottom w:val="nil"/>
              <w:right w:val="nil"/>
            </w:tcBorders>
          </w:tcPr>
          <w:p w14:paraId="739082E0" w14:textId="77777777" w:rsidR="009F5B69" w:rsidRPr="004F7F85" w:rsidRDefault="009F5B69" w:rsidP="009F5B69">
            <w:pPr>
              <w:spacing w:line="240" w:lineRule="auto"/>
              <w:mirrorIndents/>
              <w:jc w:val="center"/>
              <w:rPr>
                <w:rFonts w:cs="Times New Roman"/>
                <w:szCs w:val="24"/>
              </w:rPr>
            </w:pPr>
            <w:r w:rsidRPr="004F7F85">
              <w:rPr>
                <w:rFonts w:cs="Times New Roman"/>
                <w:szCs w:val="24"/>
              </w:rPr>
              <w:t>0.13</w:t>
            </w:r>
          </w:p>
        </w:tc>
      </w:tr>
      <w:tr w:rsidR="009F5B69" w:rsidRPr="004F7F85" w14:paraId="1BCAEA92" w14:textId="77777777" w:rsidTr="000572DE">
        <w:tc>
          <w:tcPr>
            <w:tcW w:w="3145" w:type="dxa"/>
            <w:tcBorders>
              <w:top w:val="nil"/>
              <w:left w:val="nil"/>
              <w:bottom w:val="nil"/>
              <w:right w:val="nil"/>
            </w:tcBorders>
          </w:tcPr>
          <w:p w14:paraId="4D18348D" w14:textId="77777777" w:rsidR="009F5B69" w:rsidRPr="004F7F85" w:rsidRDefault="009F5B69" w:rsidP="009F5B69">
            <w:pPr>
              <w:spacing w:line="240" w:lineRule="auto"/>
              <w:mirrorIndents/>
              <w:rPr>
                <w:rFonts w:cs="Times New Roman"/>
                <w:szCs w:val="24"/>
              </w:rPr>
            </w:pPr>
            <w:r w:rsidRPr="004F7F85">
              <w:rPr>
                <w:rFonts w:cs="Times New Roman"/>
                <w:szCs w:val="24"/>
              </w:rPr>
              <w:t>Confidence</w:t>
            </w:r>
          </w:p>
        </w:tc>
        <w:tc>
          <w:tcPr>
            <w:tcW w:w="1350" w:type="dxa"/>
            <w:tcBorders>
              <w:top w:val="nil"/>
              <w:left w:val="nil"/>
              <w:bottom w:val="nil"/>
              <w:right w:val="nil"/>
            </w:tcBorders>
          </w:tcPr>
          <w:p w14:paraId="34A4ECC6" w14:textId="77777777" w:rsidR="009F5B69" w:rsidRPr="004F7F85" w:rsidRDefault="009F5B69" w:rsidP="009F5B69">
            <w:pPr>
              <w:spacing w:line="240" w:lineRule="auto"/>
              <w:mirrorIndents/>
              <w:jc w:val="center"/>
              <w:rPr>
                <w:rFonts w:cs="Times New Roman"/>
                <w:szCs w:val="24"/>
              </w:rPr>
            </w:pPr>
            <w:r w:rsidRPr="004F7F85">
              <w:rPr>
                <w:rFonts w:cs="Times New Roman"/>
                <w:szCs w:val="24"/>
              </w:rPr>
              <w:t>2.58</w:t>
            </w:r>
          </w:p>
        </w:tc>
        <w:tc>
          <w:tcPr>
            <w:tcW w:w="1260" w:type="dxa"/>
            <w:tcBorders>
              <w:top w:val="nil"/>
              <w:left w:val="nil"/>
              <w:bottom w:val="nil"/>
              <w:right w:val="nil"/>
            </w:tcBorders>
          </w:tcPr>
          <w:p w14:paraId="361C42D2" w14:textId="77777777" w:rsidR="009F5B69" w:rsidRPr="004F7F85" w:rsidRDefault="009F5B69" w:rsidP="009F5B69">
            <w:pPr>
              <w:spacing w:line="240" w:lineRule="auto"/>
              <w:mirrorIndents/>
              <w:jc w:val="center"/>
              <w:rPr>
                <w:rFonts w:cs="Times New Roman"/>
                <w:szCs w:val="24"/>
              </w:rPr>
            </w:pPr>
            <w:r w:rsidRPr="004F7F85">
              <w:rPr>
                <w:rFonts w:cs="Times New Roman"/>
                <w:szCs w:val="24"/>
              </w:rPr>
              <w:t>0.40</w:t>
            </w:r>
          </w:p>
        </w:tc>
        <w:tc>
          <w:tcPr>
            <w:tcW w:w="1440" w:type="dxa"/>
            <w:tcBorders>
              <w:top w:val="nil"/>
              <w:left w:val="nil"/>
              <w:bottom w:val="nil"/>
              <w:right w:val="nil"/>
            </w:tcBorders>
          </w:tcPr>
          <w:p w14:paraId="753C326D" w14:textId="77777777" w:rsidR="009F5B69" w:rsidRPr="004F7F85" w:rsidRDefault="009F5B69" w:rsidP="009F5B69">
            <w:pPr>
              <w:spacing w:line="240" w:lineRule="auto"/>
              <w:mirrorIndents/>
              <w:jc w:val="center"/>
              <w:rPr>
                <w:rFonts w:cs="Times New Roman"/>
                <w:szCs w:val="24"/>
              </w:rPr>
            </w:pPr>
            <w:r w:rsidRPr="004F7F85">
              <w:rPr>
                <w:rFonts w:cs="Times New Roman"/>
                <w:szCs w:val="24"/>
              </w:rPr>
              <w:t>6.87</w:t>
            </w:r>
          </w:p>
        </w:tc>
        <w:tc>
          <w:tcPr>
            <w:tcW w:w="1080" w:type="dxa"/>
            <w:tcBorders>
              <w:top w:val="nil"/>
              <w:left w:val="nil"/>
              <w:bottom w:val="nil"/>
              <w:right w:val="nil"/>
            </w:tcBorders>
          </w:tcPr>
          <w:p w14:paraId="21676C05" w14:textId="77777777" w:rsidR="009F5B69" w:rsidRPr="004F7F85" w:rsidRDefault="009F5B69" w:rsidP="009F5B69">
            <w:pPr>
              <w:spacing w:line="240" w:lineRule="auto"/>
              <w:mirrorIndents/>
              <w:jc w:val="center"/>
              <w:rPr>
                <w:rFonts w:cs="Times New Roman"/>
                <w:szCs w:val="24"/>
              </w:rPr>
            </w:pPr>
            <w:r w:rsidRPr="004F7F85">
              <w:rPr>
                <w:rFonts w:cs="Times New Roman"/>
                <w:szCs w:val="24"/>
              </w:rPr>
              <w:t>&lt;.001</w:t>
            </w:r>
          </w:p>
        </w:tc>
        <w:tc>
          <w:tcPr>
            <w:tcW w:w="1260" w:type="dxa"/>
            <w:tcBorders>
              <w:top w:val="nil"/>
              <w:left w:val="nil"/>
              <w:bottom w:val="nil"/>
              <w:right w:val="nil"/>
            </w:tcBorders>
          </w:tcPr>
          <w:p w14:paraId="17A7CF5D" w14:textId="77777777" w:rsidR="009F5B69" w:rsidRPr="004F7F85" w:rsidRDefault="009F5B69" w:rsidP="009F5B69">
            <w:pPr>
              <w:spacing w:line="240" w:lineRule="auto"/>
              <w:mirrorIndents/>
              <w:jc w:val="center"/>
              <w:rPr>
                <w:rFonts w:cs="Times New Roman"/>
                <w:szCs w:val="24"/>
              </w:rPr>
            </w:pPr>
            <w:r w:rsidRPr="004F7F85">
              <w:rPr>
                <w:rFonts w:cs="Times New Roman"/>
                <w:szCs w:val="24"/>
              </w:rPr>
              <w:t>1.91</w:t>
            </w:r>
          </w:p>
        </w:tc>
      </w:tr>
      <w:tr w:rsidR="009F5B69" w:rsidRPr="004F7F85" w14:paraId="0BCA7C11" w14:textId="77777777" w:rsidTr="000572DE">
        <w:tc>
          <w:tcPr>
            <w:tcW w:w="3145" w:type="dxa"/>
            <w:tcBorders>
              <w:top w:val="nil"/>
              <w:left w:val="nil"/>
              <w:bottom w:val="single" w:sz="4" w:space="0" w:color="auto"/>
              <w:right w:val="nil"/>
            </w:tcBorders>
          </w:tcPr>
          <w:p w14:paraId="529596F7" w14:textId="77777777" w:rsidR="009F5B69" w:rsidRPr="004F7F85" w:rsidRDefault="009F5B69" w:rsidP="009F5B69">
            <w:pPr>
              <w:spacing w:line="240" w:lineRule="auto"/>
              <w:mirrorIndents/>
              <w:rPr>
                <w:rFonts w:cs="Times New Roman"/>
                <w:szCs w:val="24"/>
              </w:rPr>
            </w:pPr>
            <w:r w:rsidRPr="004F7F85">
              <w:rPr>
                <w:rFonts w:cs="Times New Roman"/>
                <w:szCs w:val="24"/>
              </w:rPr>
              <w:t>Curriculum &amp; Standards</w:t>
            </w:r>
          </w:p>
        </w:tc>
        <w:tc>
          <w:tcPr>
            <w:tcW w:w="1350" w:type="dxa"/>
            <w:tcBorders>
              <w:top w:val="nil"/>
              <w:left w:val="nil"/>
              <w:bottom w:val="single" w:sz="4" w:space="0" w:color="auto"/>
              <w:right w:val="nil"/>
            </w:tcBorders>
          </w:tcPr>
          <w:p w14:paraId="4FCD56D9" w14:textId="77777777" w:rsidR="009F5B69" w:rsidRPr="004F7F85" w:rsidRDefault="009F5B69" w:rsidP="009F5B69">
            <w:pPr>
              <w:spacing w:line="240" w:lineRule="auto"/>
              <w:mirrorIndents/>
              <w:jc w:val="center"/>
              <w:rPr>
                <w:rFonts w:cs="Times New Roman"/>
                <w:szCs w:val="24"/>
              </w:rPr>
            </w:pPr>
            <w:r w:rsidRPr="004F7F85">
              <w:rPr>
                <w:rFonts w:cs="Times New Roman"/>
                <w:szCs w:val="24"/>
              </w:rPr>
              <w:t>3.27</w:t>
            </w:r>
          </w:p>
        </w:tc>
        <w:tc>
          <w:tcPr>
            <w:tcW w:w="1260" w:type="dxa"/>
            <w:tcBorders>
              <w:top w:val="nil"/>
              <w:left w:val="nil"/>
              <w:bottom w:val="single" w:sz="4" w:space="0" w:color="auto"/>
              <w:right w:val="nil"/>
            </w:tcBorders>
          </w:tcPr>
          <w:p w14:paraId="1389A9DD" w14:textId="77777777" w:rsidR="009F5B69" w:rsidRPr="004F7F85" w:rsidRDefault="009F5B69" w:rsidP="009F5B69">
            <w:pPr>
              <w:spacing w:line="240" w:lineRule="auto"/>
              <w:mirrorIndents/>
              <w:jc w:val="center"/>
              <w:rPr>
                <w:rFonts w:cs="Times New Roman"/>
                <w:szCs w:val="24"/>
              </w:rPr>
            </w:pPr>
            <w:r w:rsidRPr="004F7F85">
              <w:rPr>
                <w:rFonts w:cs="Times New Roman"/>
                <w:szCs w:val="24"/>
              </w:rPr>
              <w:t>0.39</w:t>
            </w:r>
          </w:p>
        </w:tc>
        <w:tc>
          <w:tcPr>
            <w:tcW w:w="1440" w:type="dxa"/>
            <w:tcBorders>
              <w:top w:val="nil"/>
              <w:left w:val="nil"/>
              <w:bottom w:val="single" w:sz="4" w:space="0" w:color="auto"/>
              <w:right w:val="nil"/>
            </w:tcBorders>
          </w:tcPr>
          <w:p w14:paraId="23462D66" w14:textId="77777777" w:rsidR="009F5B69" w:rsidRPr="004F7F85" w:rsidRDefault="009F5B69" w:rsidP="009F5B69">
            <w:pPr>
              <w:spacing w:line="240" w:lineRule="auto"/>
              <w:mirrorIndents/>
              <w:jc w:val="center"/>
              <w:rPr>
                <w:rFonts w:cs="Times New Roman"/>
                <w:szCs w:val="24"/>
              </w:rPr>
            </w:pPr>
            <w:r w:rsidRPr="004F7F85">
              <w:rPr>
                <w:rFonts w:cs="Times New Roman"/>
                <w:szCs w:val="24"/>
              </w:rPr>
              <w:t>0.23</w:t>
            </w:r>
          </w:p>
        </w:tc>
        <w:tc>
          <w:tcPr>
            <w:tcW w:w="1080" w:type="dxa"/>
            <w:tcBorders>
              <w:top w:val="nil"/>
              <w:left w:val="nil"/>
              <w:bottom w:val="single" w:sz="4" w:space="0" w:color="auto"/>
              <w:right w:val="nil"/>
            </w:tcBorders>
          </w:tcPr>
          <w:p w14:paraId="564858AD" w14:textId="77777777" w:rsidR="009F5B69" w:rsidRPr="004F7F85" w:rsidRDefault="009F5B69" w:rsidP="009F5B69">
            <w:pPr>
              <w:spacing w:line="240" w:lineRule="auto"/>
              <w:mirrorIndents/>
              <w:jc w:val="center"/>
              <w:rPr>
                <w:rFonts w:cs="Times New Roman"/>
                <w:szCs w:val="24"/>
              </w:rPr>
            </w:pPr>
            <w:r w:rsidRPr="004F7F85">
              <w:rPr>
                <w:rFonts w:cs="Times New Roman"/>
                <w:szCs w:val="24"/>
              </w:rPr>
              <w:t>0.82</w:t>
            </w:r>
          </w:p>
        </w:tc>
        <w:tc>
          <w:tcPr>
            <w:tcW w:w="1260" w:type="dxa"/>
            <w:tcBorders>
              <w:top w:val="nil"/>
              <w:left w:val="nil"/>
              <w:bottom w:val="single" w:sz="4" w:space="0" w:color="auto"/>
              <w:right w:val="nil"/>
            </w:tcBorders>
          </w:tcPr>
          <w:p w14:paraId="307ECEA6" w14:textId="77777777" w:rsidR="009F5B69" w:rsidRPr="004F7F85" w:rsidRDefault="009F5B69" w:rsidP="009F5B69">
            <w:pPr>
              <w:spacing w:line="240" w:lineRule="auto"/>
              <w:mirrorIndents/>
              <w:jc w:val="center"/>
              <w:rPr>
                <w:rFonts w:cs="Times New Roman"/>
                <w:szCs w:val="24"/>
              </w:rPr>
            </w:pPr>
            <w:r w:rsidRPr="004F7F85">
              <w:rPr>
                <w:rFonts w:cs="Times New Roman"/>
                <w:szCs w:val="24"/>
              </w:rPr>
              <w:t>0.10</w:t>
            </w:r>
          </w:p>
        </w:tc>
      </w:tr>
      <w:bookmarkEnd w:id="14"/>
    </w:tbl>
    <w:p w14:paraId="72064FC5" w14:textId="77777777" w:rsidR="009F5B69" w:rsidRPr="004F7F85" w:rsidRDefault="009F5B69" w:rsidP="009F5B69">
      <w:pPr>
        <w:spacing w:line="240" w:lineRule="auto"/>
        <w:mirrorIndents/>
        <w:rPr>
          <w:rFonts w:cs="Times New Roman"/>
          <w:szCs w:val="24"/>
        </w:rPr>
      </w:pPr>
    </w:p>
    <w:p w14:paraId="74441846" w14:textId="41C3981D" w:rsidR="00CD4972" w:rsidRPr="004F7F85" w:rsidRDefault="004B1BEC" w:rsidP="00886B61">
      <w:pPr>
        <w:spacing w:line="240" w:lineRule="auto"/>
        <w:rPr>
          <w:rFonts w:cs="Times New Roman"/>
          <w:szCs w:val="24"/>
        </w:rPr>
      </w:pPr>
      <w:r w:rsidRPr="004F7F85">
        <w:rPr>
          <w:rFonts w:cs="Times New Roman"/>
          <w:szCs w:val="24"/>
        </w:rPr>
        <w:t xml:space="preserve">However, multiple regression analyses indicated that willingness was not significantly predicted by any of the measured variables, including year in the Teacher Education Program, familiarity with AITC, hometown population, or perceived alignment of agriculture with standards (R = </w:t>
      </w:r>
      <w:r w:rsidRPr="004F7F85">
        <w:rPr>
          <w:rFonts w:cs="Times New Roman"/>
          <w:szCs w:val="24"/>
        </w:rPr>
        <w:lastRenderedPageBreak/>
        <w:t xml:space="preserve">0.02, </w:t>
      </w:r>
      <w:r w:rsidRPr="004F7F85">
        <w:rPr>
          <w:rFonts w:cs="Times New Roman"/>
          <w:i/>
          <w:iCs/>
          <w:szCs w:val="24"/>
        </w:rPr>
        <w:t>p</w:t>
      </w:r>
      <w:r w:rsidRPr="004F7F85">
        <w:rPr>
          <w:rFonts w:cs="Times New Roman"/>
          <w:szCs w:val="24"/>
        </w:rPr>
        <w:t xml:space="preserve"> = .92). While confidence demonstrated a moderate correlation with willingness (R = 0.44, </w:t>
      </w:r>
      <w:r w:rsidRPr="004F7F85">
        <w:rPr>
          <w:rFonts w:cs="Times New Roman"/>
          <w:i/>
          <w:iCs/>
          <w:szCs w:val="24"/>
        </w:rPr>
        <w:t>p</w:t>
      </w:r>
      <w:r w:rsidRPr="004F7F85">
        <w:rPr>
          <w:rFonts w:cs="Times New Roman"/>
          <w:szCs w:val="24"/>
        </w:rPr>
        <w:t xml:space="preserve"> &lt; .001), it did not produce a meaningful regression model. These findings suggest that willingness to integrate agricultural content may be influenced by additional experiential or environmental factors not captured in this model.</w:t>
      </w:r>
      <w:bookmarkStart w:id="16" w:name="_Toc201561081"/>
      <w:bookmarkStart w:id="17" w:name="_Toc206401368"/>
    </w:p>
    <w:p w14:paraId="37BB7A35" w14:textId="77777777" w:rsidR="00243B01" w:rsidRPr="004F7F85" w:rsidRDefault="00243B01" w:rsidP="00243B01">
      <w:pPr>
        <w:spacing w:line="240" w:lineRule="auto"/>
        <w:ind w:firstLine="720"/>
        <w:rPr>
          <w:rFonts w:cs="Times New Roman"/>
          <w:szCs w:val="24"/>
        </w:rPr>
      </w:pPr>
    </w:p>
    <w:p w14:paraId="584B570A" w14:textId="4226C151" w:rsidR="00D5287C" w:rsidRPr="004F7F85" w:rsidRDefault="00D5287C" w:rsidP="00243B01">
      <w:pPr>
        <w:pStyle w:val="Subheading"/>
        <w:rPr>
          <w:sz w:val="24"/>
          <w:szCs w:val="24"/>
        </w:rPr>
      </w:pPr>
      <w:r w:rsidRPr="004F7F85">
        <w:rPr>
          <w:sz w:val="24"/>
          <w:szCs w:val="24"/>
        </w:rPr>
        <w:t>Objective Four</w:t>
      </w:r>
      <w:bookmarkEnd w:id="16"/>
      <w:bookmarkEnd w:id="17"/>
      <w:r w:rsidR="002A332A" w:rsidRPr="004F7F85">
        <w:rPr>
          <w:sz w:val="24"/>
          <w:szCs w:val="24"/>
        </w:rPr>
        <w:t>: Demographic Characteristics and Perception Differences</w:t>
      </w:r>
    </w:p>
    <w:p w14:paraId="3A6C433A" w14:textId="77777777" w:rsidR="00243B01" w:rsidRPr="004F7F85" w:rsidRDefault="00243B01" w:rsidP="00243B01">
      <w:pPr>
        <w:pStyle w:val="Subheading"/>
        <w:rPr>
          <w:sz w:val="24"/>
          <w:szCs w:val="24"/>
        </w:rPr>
      </w:pPr>
    </w:p>
    <w:p w14:paraId="0F2B3B5F" w14:textId="5933BA45" w:rsidR="00F136E9" w:rsidRPr="004F7F85" w:rsidRDefault="00F136E9" w:rsidP="00243B01">
      <w:pPr>
        <w:spacing w:line="240" w:lineRule="auto"/>
        <w:rPr>
          <w:rFonts w:cs="Times New Roman"/>
          <w:szCs w:val="24"/>
        </w:rPr>
      </w:pPr>
      <w:bookmarkStart w:id="18" w:name="_Toc206401369"/>
      <w:r w:rsidRPr="004F7F85">
        <w:rPr>
          <w:rFonts w:cs="Times New Roman"/>
          <w:szCs w:val="24"/>
        </w:rPr>
        <w:t xml:space="preserve">Objective </w:t>
      </w:r>
      <w:r w:rsidR="00020823" w:rsidRPr="004F7F85">
        <w:rPr>
          <w:rFonts w:cs="Times New Roman"/>
          <w:szCs w:val="24"/>
        </w:rPr>
        <w:t>four</w:t>
      </w:r>
      <w:r w:rsidR="00DC59ED" w:rsidRPr="004F7F85">
        <w:rPr>
          <w:rFonts w:cs="Times New Roman"/>
          <w:szCs w:val="24"/>
        </w:rPr>
        <w:t>, results displayed in Table 4,</w:t>
      </w:r>
      <w:r w:rsidRPr="004F7F85">
        <w:rPr>
          <w:rFonts w:cs="Times New Roman"/>
          <w:szCs w:val="24"/>
        </w:rPr>
        <w:t xml:space="preserve"> explored potential demographic differences in participants’ perceptions of agricultural education. No statistically significant differences were found in perceived importance based on hometown population, </w:t>
      </w:r>
      <w:proofErr w:type="gramStart"/>
      <w:r w:rsidRPr="004F7F85">
        <w:rPr>
          <w:rFonts w:cs="Times New Roman"/>
          <w:i/>
          <w:iCs/>
          <w:szCs w:val="24"/>
        </w:rPr>
        <w:t>F</w:t>
      </w:r>
      <w:r w:rsidRPr="004F7F85">
        <w:rPr>
          <w:rFonts w:cs="Times New Roman"/>
          <w:szCs w:val="24"/>
        </w:rPr>
        <w:t>(</w:t>
      </w:r>
      <w:proofErr w:type="gramEnd"/>
      <w:r w:rsidRPr="004F7F85">
        <w:rPr>
          <w:rFonts w:cs="Times New Roman"/>
          <w:szCs w:val="24"/>
        </w:rPr>
        <w:t>2, 22) = 1.1</w:t>
      </w:r>
      <w:r w:rsidR="00DC59ED" w:rsidRPr="004F7F85">
        <w:rPr>
          <w:rFonts w:cs="Times New Roman"/>
          <w:szCs w:val="24"/>
        </w:rPr>
        <w:t>6</w:t>
      </w:r>
      <w:r w:rsidRPr="004F7F85">
        <w:rPr>
          <w:rFonts w:cs="Times New Roman"/>
          <w:szCs w:val="24"/>
        </w:rPr>
        <w:t xml:space="preserve">, </w:t>
      </w:r>
      <w:r w:rsidRPr="004F7F85">
        <w:rPr>
          <w:rFonts w:cs="Times New Roman"/>
          <w:i/>
          <w:iCs/>
          <w:szCs w:val="24"/>
        </w:rPr>
        <w:t>p</w:t>
      </w:r>
      <w:r w:rsidRPr="004F7F85">
        <w:rPr>
          <w:rFonts w:cs="Times New Roman"/>
          <w:szCs w:val="24"/>
        </w:rPr>
        <w:t xml:space="preserve"> = .33, η² = 0.10. Likewise, gender did not yield significant differences in confidence levels (</w:t>
      </w:r>
      <w:r w:rsidRPr="004F7F85">
        <w:rPr>
          <w:rFonts w:cs="Times New Roman"/>
          <w:i/>
          <w:iCs/>
          <w:szCs w:val="24"/>
        </w:rPr>
        <w:t>p</w:t>
      </w:r>
      <w:r w:rsidRPr="004F7F85">
        <w:rPr>
          <w:rFonts w:cs="Times New Roman"/>
          <w:szCs w:val="24"/>
        </w:rPr>
        <w:t xml:space="preserve"> = .51).</w:t>
      </w:r>
    </w:p>
    <w:p w14:paraId="6B6FB66A" w14:textId="77777777" w:rsidR="00243B01" w:rsidRPr="004F7F85" w:rsidRDefault="00243B01" w:rsidP="00243B01">
      <w:pPr>
        <w:spacing w:line="240" w:lineRule="auto"/>
        <w:rPr>
          <w:rFonts w:cs="Times New Roman"/>
          <w:szCs w:val="24"/>
        </w:rPr>
      </w:pPr>
    </w:p>
    <w:p w14:paraId="7D356FF3" w14:textId="77777777" w:rsidR="00020823" w:rsidRPr="004F7F85" w:rsidRDefault="00020823" w:rsidP="00020823">
      <w:pPr>
        <w:spacing w:line="240" w:lineRule="auto"/>
        <w:rPr>
          <w:rFonts w:cs="Times New Roman"/>
          <w:b/>
          <w:bCs/>
          <w:szCs w:val="24"/>
        </w:rPr>
      </w:pPr>
      <w:bookmarkStart w:id="19" w:name="_Toc208234475"/>
      <w:r w:rsidRPr="004F7F85">
        <w:rPr>
          <w:rFonts w:cs="Times New Roman"/>
          <w:b/>
          <w:bCs/>
          <w:szCs w:val="24"/>
        </w:rPr>
        <w:t>Table 4</w:t>
      </w:r>
    </w:p>
    <w:p w14:paraId="2B9C4B5A" w14:textId="784CC86E" w:rsidR="00020823" w:rsidRPr="004F7F85" w:rsidRDefault="00020823" w:rsidP="00020823">
      <w:pPr>
        <w:spacing w:line="240" w:lineRule="auto"/>
        <w:rPr>
          <w:rFonts w:cs="Times New Roman"/>
          <w:szCs w:val="24"/>
        </w:rPr>
      </w:pPr>
      <w:r w:rsidRPr="004F7F85">
        <w:rPr>
          <w:rFonts w:cs="Times New Roman"/>
          <w:szCs w:val="24"/>
        </w:rPr>
        <w:t>Analysis of Variance Results for Perceptions of Agricultural Education (</w:t>
      </w:r>
      <w:r w:rsidRPr="004F7F85">
        <w:rPr>
          <w:rFonts w:cs="Times New Roman"/>
          <w:i/>
          <w:iCs/>
          <w:szCs w:val="24"/>
        </w:rPr>
        <w:t>n</w:t>
      </w:r>
      <w:r w:rsidRPr="004F7F85">
        <w:rPr>
          <w:rFonts w:cs="Times New Roman"/>
          <w:szCs w:val="24"/>
        </w:rPr>
        <w:t xml:space="preserve"> = 25).</w:t>
      </w:r>
      <w:bookmarkEnd w:id="19"/>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5"/>
        <w:gridCol w:w="1368"/>
        <w:gridCol w:w="1368"/>
        <w:gridCol w:w="1368"/>
        <w:gridCol w:w="1368"/>
        <w:gridCol w:w="1368"/>
      </w:tblGrid>
      <w:tr w:rsidR="008000CC" w:rsidRPr="004F7F85" w14:paraId="3BCE04D0" w14:textId="77777777" w:rsidTr="008000CC">
        <w:tc>
          <w:tcPr>
            <w:tcW w:w="2245" w:type="dxa"/>
            <w:tcBorders>
              <w:top w:val="single" w:sz="4" w:space="0" w:color="auto"/>
              <w:bottom w:val="single" w:sz="4" w:space="0" w:color="auto"/>
            </w:tcBorders>
          </w:tcPr>
          <w:p w14:paraId="6BD71CB3" w14:textId="6C7FFE1E" w:rsidR="008000CC" w:rsidRPr="004F7F85" w:rsidRDefault="008000CC" w:rsidP="008000CC">
            <w:pPr>
              <w:spacing w:line="240" w:lineRule="auto"/>
              <w:rPr>
                <w:rFonts w:cs="Times New Roman"/>
                <w:szCs w:val="24"/>
              </w:rPr>
            </w:pPr>
            <w:r w:rsidRPr="004F7F85">
              <w:rPr>
                <w:rFonts w:cs="Times New Roman"/>
                <w:szCs w:val="24"/>
              </w:rPr>
              <w:t>Source</w:t>
            </w:r>
          </w:p>
        </w:tc>
        <w:tc>
          <w:tcPr>
            <w:tcW w:w="1368" w:type="dxa"/>
            <w:tcBorders>
              <w:top w:val="single" w:sz="4" w:space="0" w:color="auto"/>
              <w:bottom w:val="single" w:sz="4" w:space="0" w:color="auto"/>
            </w:tcBorders>
            <w:vAlign w:val="center"/>
          </w:tcPr>
          <w:p w14:paraId="3674E9A7" w14:textId="0544C568" w:rsidR="008000CC" w:rsidRPr="004F7F85" w:rsidRDefault="008000CC" w:rsidP="008000CC">
            <w:pPr>
              <w:spacing w:line="240" w:lineRule="auto"/>
              <w:jc w:val="center"/>
              <w:rPr>
                <w:rFonts w:cs="Times New Roman"/>
                <w:i/>
                <w:iCs/>
                <w:szCs w:val="24"/>
              </w:rPr>
            </w:pPr>
            <w:proofErr w:type="spellStart"/>
            <w:r w:rsidRPr="004F7F85">
              <w:rPr>
                <w:rFonts w:cs="Times New Roman"/>
                <w:i/>
                <w:iCs/>
                <w:szCs w:val="24"/>
              </w:rPr>
              <w:t>df</w:t>
            </w:r>
            <w:proofErr w:type="spellEnd"/>
          </w:p>
        </w:tc>
        <w:tc>
          <w:tcPr>
            <w:tcW w:w="1368" w:type="dxa"/>
            <w:tcBorders>
              <w:top w:val="single" w:sz="4" w:space="0" w:color="auto"/>
              <w:bottom w:val="single" w:sz="4" w:space="0" w:color="auto"/>
            </w:tcBorders>
            <w:vAlign w:val="center"/>
          </w:tcPr>
          <w:p w14:paraId="3E34716D" w14:textId="3A55C7AD" w:rsidR="008000CC" w:rsidRPr="004F7F85" w:rsidRDefault="008000CC" w:rsidP="008000CC">
            <w:pPr>
              <w:spacing w:line="240" w:lineRule="auto"/>
              <w:jc w:val="center"/>
              <w:rPr>
                <w:rFonts w:cs="Times New Roman"/>
                <w:i/>
                <w:iCs/>
                <w:szCs w:val="24"/>
              </w:rPr>
            </w:pPr>
            <w:r w:rsidRPr="004F7F85">
              <w:rPr>
                <w:rFonts w:cs="Times New Roman"/>
                <w:i/>
                <w:iCs/>
                <w:szCs w:val="24"/>
              </w:rPr>
              <w:t>SS</w:t>
            </w:r>
          </w:p>
        </w:tc>
        <w:tc>
          <w:tcPr>
            <w:tcW w:w="1368" w:type="dxa"/>
            <w:tcBorders>
              <w:top w:val="single" w:sz="4" w:space="0" w:color="auto"/>
              <w:bottom w:val="single" w:sz="4" w:space="0" w:color="auto"/>
            </w:tcBorders>
            <w:vAlign w:val="center"/>
          </w:tcPr>
          <w:p w14:paraId="7CF0408E" w14:textId="07DA07BA" w:rsidR="008000CC" w:rsidRPr="004F7F85" w:rsidRDefault="008000CC" w:rsidP="008000CC">
            <w:pPr>
              <w:spacing w:line="240" w:lineRule="auto"/>
              <w:jc w:val="center"/>
              <w:rPr>
                <w:rFonts w:cs="Times New Roman"/>
                <w:i/>
                <w:iCs/>
                <w:szCs w:val="24"/>
              </w:rPr>
            </w:pPr>
            <w:r w:rsidRPr="004F7F85">
              <w:rPr>
                <w:rFonts w:cs="Times New Roman"/>
                <w:i/>
                <w:iCs/>
                <w:szCs w:val="24"/>
              </w:rPr>
              <w:t>MS</w:t>
            </w:r>
          </w:p>
        </w:tc>
        <w:tc>
          <w:tcPr>
            <w:tcW w:w="1368" w:type="dxa"/>
            <w:tcBorders>
              <w:top w:val="single" w:sz="4" w:space="0" w:color="auto"/>
              <w:bottom w:val="single" w:sz="4" w:space="0" w:color="auto"/>
            </w:tcBorders>
            <w:vAlign w:val="center"/>
          </w:tcPr>
          <w:p w14:paraId="27E97F40" w14:textId="52670FCF" w:rsidR="008000CC" w:rsidRPr="004F7F85" w:rsidRDefault="008000CC" w:rsidP="008000CC">
            <w:pPr>
              <w:spacing w:line="240" w:lineRule="auto"/>
              <w:jc w:val="center"/>
              <w:rPr>
                <w:rFonts w:cs="Times New Roman"/>
                <w:i/>
                <w:iCs/>
                <w:szCs w:val="24"/>
              </w:rPr>
            </w:pPr>
            <w:r w:rsidRPr="004F7F85">
              <w:rPr>
                <w:rFonts w:cs="Times New Roman"/>
                <w:i/>
                <w:iCs/>
                <w:szCs w:val="24"/>
              </w:rPr>
              <w:t>F</w:t>
            </w:r>
          </w:p>
        </w:tc>
        <w:tc>
          <w:tcPr>
            <w:tcW w:w="1368" w:type="dxa"/>
            <w:tcBorders>
              <w:top w:val="single" w:sz="4" w:space="0" w:color="auto"/>
              <w:bottom w:val="single" w:sz="4" w:space="0" w:color="auto"/>
            </w:tcBorders>
            <w:vAlign w:val="center"/>
          </w:tcPr>
          <w:p w14:paraId="43C370DF" w14:textId="56D65C9A" w:rsidR="008000CC" w:rsidRPr="004F7F85" w:rsidRDefault="008000CC" w:rsidP="008000CC">
            <w:pPr>
              <w:spacing w:line="240" w:lineRule="auto"/>
              <w:jc w:val="center"/>
              <w:rPr>
                <w:rFonts w:cs="Times New Roman"/>
                <w:i/>
                <w:iCs/>
                <w:szCs w:val="24"/>
              </w:rPr>
            </w:pPr>
            <w:r w:rsidRPr="004F7F85">
              <w:rPr>
                <w:rFonts w:cs="Times New Roman"/>
                <w:i/>
                <w:iCs/>
                <w:szCs w:val="24"/>
              </w:rPr>
              <w:t>p</w:t>
            </w:r>
          </w:p>
        </w:tc>
      </w:tr>
      <w:tr w:rsidR="008000CC" w:rsidRPr="004F7F85" w14:paraId="1B6F6A10" w14:textId="77777777" w:rsidTr="008000CC">
        <w:tc>
          <w:tcPr>
            <w:tcW w:w="2245" w:type="dxa"/>
            <w:tcBorders>
              <w:top w:val="single" w:sz="4" w:space="0" w:color="auto"/>
            </w:tcBorders>
          </w:tcPr>
          <w:p w14:paraId="699B6552" w14:textId="78AB6911" w:rsidR="008000CC" w:rsidRPr="004F7F85" w:rsidRDefault="008000CC" w:rsidP="008000CC">
            <w:pPr>
              <w:spacing w:line="240" w:lineRule="auto"/>
              <w:rPr>
                <w:rFonts w:cs="Times New Roman"/>
                <w:szCs w:val="24"/>
              </w:rPr>
            </w:pPr>
            <w:r w:rsidRPr="004F7F85">
              <w:rPr>
                <w:rFonts w:cs="Times New Roman"/>
                <w:szCs w:val="24"/>
              </w:rPr>
              <w:t>Between groups</w:t>
            </w:r>
          </w:p>
        </w:tc>
        <w:tc>
          <w:tcPr>
            <w:tcW w:w="1368" w:type="dxa"/>
            <w:tcBorders>
              <w:top w:val="single" w:sz="4" w:space="0" w:color="auto"/>
            </w:tcBorders>
            <w:vAlign w:val="center"/>
          </w:tcPr>
          <w:p w14:paraId="098AD8C1" w14:textId="62EAAB4F" w:rsidR="008000CC" w:rsidRPr="004F7F85" w:rsidRDefault="008000CC" w:rsidP="008000CC">
            <w:pPr>
              <w:spacing w:line="240" w:lineRule="auto"/>
              <w:jc w:val="center"/>
              <w:rPr>
                <w:rFonts w:cs="Times New Roman"/>
                <w:szCs w:val="24"/>
              </w:rPr>
            </w:pPr>
            <w:r w:rsidRPr="004F7F85">
              <w:rPr>
                <w:rFonts w:cs="Times New Roman"/>
                <w:szCs w:val="24"/>
              </w:rPr>
              <w:t>2</w:t>
            </w:r>
          </w:p>
        </w:tc>
        <w:tc>
          <w:tcPr>
            <w:tcW w:w="1368" w:type="dxa"/>
            <w:tcBorders>
              <w:top w:val="single" w:sz="4" w:space="0" w:color="auto"/>
            </w:tcBorders>
            <w:vAlign w:val="center"/>
          </w:tcPr>
          <w:p w14:paraId="2EAA0F0C" w14:textId="5FBAD289" w:rsidR="008000CC" w:rsidRPr="004F7F85" w:rsidRDefault="008000CC" w:rsidP="008000CC">
            <w:pPr>
              <w:spacing w:line="240" w:lineRule="auto"/>
              <w:jc w:val="center"/>
              <w:rPr>
                <w:rFonts w:cs="Times New Roman"/>
                <w:szCs w:val="24"/>
              </w:rPr>
            </w:pPr>
            <w:r w:rsidRPr="004F7F85">
              <w:rPr>
                <w:rFonts w:cs="Times New Roman"/>
                <w:szCs w:val="24"/>
              </w:rPr>
              <w:t>0.31</w:t>
            </w:r>
          </w:p>
        </w:tc>
        <w:tc>
          <w:tcPr>
            <w:tcW w:w="1368" w:type="dxa"/>
            <w:tcBorders>
              <w:top w:val="single" w:sz="4" w:space="0" w:color="auto"/>
            </w:tcBorders>
            <w:vAlign w:val="center"/>
          </w:tcPr>
          <w:p w14:paraId="4D101C45" w14:textId="1D2BADA2" w:rsidR="008000CC" w:rsidRPr="004F7F85" w:rsidRDefault="008000CC" w:rsidP="008000CC">
            <w:pPr>
              <w:spacing w:line="240" w:lineRule="auto"/>
              <w:jc w:val="center"/>
              <w:rPr>
                <w:rFonts w:cs="Times New Roman"/>
                <w:szCs w:val="24"/>
              </w:rPr>
            </w:pPr>
            <w:r w:rsidRPr="004F7F85">
              <w:rPr>
                <w:rFonts w:cs="Times New Roman"/>
                <w:szCs w:val="24"/>
              </w:rPr>
              <w:t>9.92</w:t>
            </w:r>
          </w:p>
        </w:tc>
        <w:tc>
          <w:tcPr>
            <w:tcW w:w="1368" w:type="dxa"/>
            <w:tcBorders>
              <w:top w:val="single" w:sz="4" w:space="0" w:color="auto"/>
            </w:tcBorders>
            <w:vAlign w:val="center"/>
          </w:tcPr>
          <w:p w14:paraId="7E1965E5" w14:textId="2FB0EDDA" w:rsidR="008000CC" w:rsidRPr="004F7F85" w:rsidRDefault="008000CC" w:rsidP="008000CC">
            <w:pPr>
              <w:spacing w:line="240" w:lineRule="auto"/>
              <w:jc w:val="center"/>
              <w:rPr>
                <w:rFonts w:cs="Times New Roman"/>
                <w:szCs w:val="24"/>
              </w:rPr>
            </w:pPr>
            <w:r w:rsidRPr="004F7F85">
              <w:rPr>
                <w:rFonts w:cs="Times New Roman"/>
                <w:szCs w:val="24"/>
              </w:rPr>
              <w:t>1.16</w:t>
            </w:r>
          </w:p>
        </w:tc>
        <w:tc>
          <w:tcPr>
            <w:tcW w:w="1368" w:type="dxa"/>
            <w:tcBorders>
              <w:top w:val="single" w:sz="4" w:space="0" w:color="auto"/>
            </w:tcBorders>
            <w:vAlign w:val="center"/>
          </w:tcPr>
          <w:p w14:paraId="2F66F26F" w14:textId="31A1A168" w:rsidR="008000CC" w:rsidRPr="004F7F85" w:rsidRDefault="008000CC" w:rsidP="008000CC">
            <w:pPr>
              <w:spacing w:line="240" w:lineRule="auto"/>
              <w:jc w:val="center"/>
              <w:rPr>
                <w:rFonts w:cs="Times New Roman"/>
                <w:szCs w:val="24"/>
              </w:rPr>
            </w:pPr>
            <w:r w:rsidRPr="004F7F85">
              <w:rPr>
                <w:rFonts w:cs="Times New Roman"/>
                <w:szCs w:val="24"/>
              </w:rPr>
              <w:t>0.33</w:t>
            </w:r>
          </w:p>
        </w:tc>
      </w:tr>
      <w:tr w:rsidR="008000CC" w:rsidRPr="004F7F85" w14:paraId="08CF6499" w14:textId="77777777" w:rsidTr="008000CC">
        <w:tc>
          <w:tcPr>
            <w:tcW w:w="2245" w:type="dxa"/>
          </w:tcPr>
          <w:p w14:paraId="1C44A435" w14:textId="20B9EB20" w:rsidR="008000CC" w:rsidRPr="004F7F85" w:rsidRDefault="008000CC" w:rsidP="008000CC">
            <w:pPr>
              <w:spacing w:line="240" w:lineRule="auto"/>
              <w:rPr>
                <w:rFonts w:cs="Times New Roman"/>
                <w:szCs w:val="24"/>
              </w:rPr>
            </w:pPr>
            <w:r w:rsidRPr="004F7F85">
              <w:rPr>
                <w:rFonts w:cs="Times New Roman"/>
                <w:szCs w:val="24"/>
              </w:rPr>
              <w:t>Within groups</w:t>
            </w:r>
          </w:p>
        </w:tc>
        <w:tc>
          <w:tcPr>
            <w:tcW w:w="1368" w:type="dxa"/>
            <w:vAlign w:val="center"/>
          </w:tcPr>
          <w:p w14:paraId="105C482B" w14:textId="177DE406" w:rsidR="008000CC" w:rsidRPr="004F7F85" w:rsidRDefault="008000CC" w:rsidP="008000CC">
            <w:pPr>
              <w:spacing w:line="240" w:lineRule="auto"/>
              <w:jc w:val="center"/>
              <w:rPr>
                <w:rFonts w:cs="Times New Roman"/>
                <w:szCs w:val="24"/>
              </w:rPr>
            </w:pPr>
            <w:r w:rsidRPr="004F7F85">
              <w:rPr>
                <w:rFonts w:cs="Times New Roman"/>
                <w:szCs w:val="24"/>
              </w:rPr>
              <w:t>22</w:t>
            </w:r>
          </w:p>
        </w:tc>
        <w:tc>
          <w:tcPr>
            <w:tcW w:w="1368" w:type="dxa"/>
            <w:vAlign w:val="center"/>
          </w:tcPr>
          <w:p w14:paraId="3F4954F7" w14:textId="53A172E6" w:rsidR="008000CC" w:rsidRPr="004F7F85" w:rsidRDefault="008000CC" w:rsidP="008000CC">
            <w:pPr>
              <w:spacing w:line="240" w:lineRule="auto"/>
              <w:jc w:val="center"/>
              <w:rPr>
                <w:rFonts w:cs="Times New Roman"/>
                <w:szCs w:val="24"/>
              </w:rPr>
            </w:pPr>
            <w:r w:rsidRPr="004F7F85">
              <w:rPr>
                <w:rFonts w:cs="Times New Roman"/>
                <w:szCs w:val="24"/>
              </w:rPr>
              <w:t>2.89</w:t>
            </w:r>
          </w:p>
        </w:tc>
        <w:tc>
          <w:tcPr>
            <w:tcW w:w="1368" w:type="dxa"/>
            <w:vAlign w:val="center"/>
          </w:tcPr>
          <w:p w14:paraId="7B4D5C2C" w14:textId="73C1CEA6" w:rsidR="008000CC" w:rsidRPr="004F7F85" w:rsidRDefault="008000CC" w:rsidP="008000CC">
            <w:pPr>
              <w:spacing w:line="240" w:lineRule="auto"/>
              <w:jc w:val="center"/>
              <w:rPr>
                <w:rFonts w:cs="Times New Roman"/>
                <w:szCs w:val="24"/>
              </w:rPr>
            </w:pPr>
            <w:r w:rsidRPr="004F7F85">
              <w:rPr>
                <w:rFonts w:cs="Times New Roman"/>
                <w:szCs w:val="24"/>
              </w:rPr>
              <w:t>0.13</w:t>
            </w:r>
          </w:p>
        </w:tc>
        <w:tc>
          <w:tcPr>
            <w:tcW w:w="1368" w:type="dxa"/>
            <w:vAlign w:val="center"/>
          </w:tcPr>
          <w:p w14:paraId="61D5F905" w14:textId="77777777" w:rsidR="008000CC" w:rsidRPr="004F7F85" w:rsidRDefault="008000CC" w:rsidP="008000CC">
            <w:pPr>
              <w:spacing w:line="240" w:lineRule="auto"/>
              <w:jc w:val="center"/>
              <w:rPr>
                <w:rFonts w:cs="Times New Roman"/>
                <w:szCs w:val="24"/>
              </w:rPr>
            </w:pPr>
          </w:p>
        </w:tc>
        <w:tc>
          <w:tcPr>
            <w:tcW w:w="1368" w:type="dxa"/>
            <w:vAlign w:val="center"/>
          </w:tcPr>
          <w:p w14:paraId="68BF2A87" w14:textId="77777777" w:rsidR="008000CC" w:rsidRPr="004F7F85" w:rsidRDefault="008000CC" w:rsidP="008000CC">
            <w:pPr>
              <w:spacing w:line="240" w:lineRule="auto"/>
              <w:jc w:val="center"/>
              <w:rPr>
                <w:rFonts w:cs="Times New Roman"/>
                <w:szCs w:val="24"/>
              </w:rPr>
            </w:pPr>
          </w:p>
        </w:tc>
      </w:tr>
      <w:tr w:rsidR="008000CC" w:rsidRPr="004F7F85" w14:paraId="59F988D1" w14:textId="77777777" w:rsidTr="008000CC">
        <w:tc>
          <w:tcPr>
            <w:tcW w:w="2245" w:type="dxa"/>
            <w:tcBorders>
              <w:bottom w:val="single" w:sz="4" w:space="0" w:color="auto"/>
            </w:tcBorders>
          </w:tcPr>
          <w:p w14:paraId="1752F61C" w14:textId="6D21A220" w:rsidR="008000CC" w:rsidRPr="004F7F85" w:rsidRDefault="008000CC" w:rsidP="008000CC">
            <w:pPr>
              <w:spacing w:line="240" w:lineRule="auto"/>
              <w:rPr>
                <w:rFonts w:cs="Times New Roman"/>
                <w:szCs w:val="24"/>
              </w:rPr>
            </w:pPr>
            <w:r w:rsidRPr="004F7F85">
              <w:rPr>
                <w:rFonts w:cs="Times New Roman"/>
                <w:szCs w:val="24"/>
              </w:rPr>
              <w:t>Total</w:t>
            </w:r>
          </w:p>
        </w:tc>
        <w:tc>
          <w:tcPr>
            <w:tcW w:w="1368" w:type="dxa"/>
            <w:tcBorders>
              <w:bottom w:val="single" w:sz="4" w:space="0" w:color="auto"/>
            </w:tcBorders>
            <w:vAlign w:val="center"/>
          </w:tcPr>
          <w:p w14:paraId="64B8504F" w14:textId="3E558E27" w:rsidR="008000CC" w:rsidRPr="004F7F85" w:rsidRDefault="008000CC" w:rsidP="008000CC">
            <w:pPr>
              <w:spacing w:line="240" w:lineRule="auto"/>
              <w:jc w:val="center"/>
              <w:rPr>
                <w:rFonts w:cs="Times New Roman"/>
                <w:szCs w:val="24"/>
              </w:rPr>
            </w:pPr>
            <w:r w:rsidRPr="004F7F85">
              <w:rPr>
                <w:rFonts w:cs="Times New Roman"/>
                <w:szCs w:val="24"/>
              </w:rPr>
              <w:t>24</w:t>
            </w:r>
          </w:p>
        </w:tc>
        <w:tc>
          <w:tcPr>
            <w:tcW w:w="1368" w:type="dxa"/>
            <w:tcBorders>
              <w:bottom w:val="single" w:sz="4" w:space="0" w:color="auto"/>
            </w:tcBorders>
            <w:vAlign w:val="center"/>
          </w:tcPr>
          <w:p w14:paraId="0DEDD320" w14:textId="733B30A0" w:rsidR="008000CC" w:rsidRPr="004F7F85" w:rsidRDefault="008000CC" w:rsidP="008000CC">
            <w:pPr>
              <w:spacing w:line="240" w:lineRule="auto"/>
              <w:jc w:val="center"/>
              <w:rPr>
                <w:rFonts w:cs="Times New Roman"/>
                <w:szCs w:val="24"/>
              </w:rPr>
            </w:pPr>
            <w:r w:rsidRPr="004F7F85">
              <w:rPr>
                <w:rFonts w:cs="Times New Roman"/>
                <w:szCs w:val="24"/>
              </w:rPr>
              <w:t>3.20</w:t>
            </w:r>
          </w:p>
        </w:tc>
        <w:tc>
          <w:tcPr>
            <w:tcW w:w="1368" w:type="dxa"/>
            <w:tcBorders>
              <w:bottom w:val="single" w:sz="4" w:space="0" w:color="auto"/>
            </w:tcBorders>
            <w:vAlign w:val="center"/>
          </w:tcPr>
          <w:p w14:paraId="77C91FBB" w14:textId="40C56EC0" w:rsidR="008000CC" w:rsidRPr="004F7F85" w:rsidRDefault="008000CC" w:rsidP="008000CC">
            <w:pPr>
              <w:spacing w:line="240" w:lineRule="auto"/>
              <w:jc w:val="center"/>
              <w:rPr>
                <w:rFonts w:cs="Times New Roman"/>
                <w:szCs w:val="24"/>
              </w:rPr>
            </w:pPr>
            <w:r w:rsidRPr="004F7F85">
              <w:rPr>
                <w:rFonts w:cs="Times New Roman"/>
                <w:szCs w:val="24"/>
              </w:rPr>
              <w:t>0.13</w:t>
            </w:r>
          </w:p>
        </w:tc>
        <w:tc>
          <w:tcPr>
            <w:tcW w:w="1368" w:type="dxa"/>
            <w:tcBorders>
              <w:bottom w:val="single" w:sz="4" w:space="0" w:color="auto"/>
            </w:tcBorders>
            <w:vAlign w:val="center"/>
          </w:tcPr>
          <w:p w14:paraId="79D3301B" w14:textId="77777777" w:rsidR="008000CC" w:rsidRPr="004F7F85" w:rsidRDefault="008000CC" w:rsidP="008000CC">
            <w:pPr>
              <w:spacing w:line="240" w:lineRule="auto"/>
              <w:jc w:val="center"/>
              <w:rPr>
                <w:rFonts w:cs="Times New Roman"/>
                <w:szCs w:val="24"/>
              </w:rPr>
            </w:pPr>
          </w:p>
        </w:tc>
        <w:tc>
          <w:tcPr>
            <w:tcW w:w="1368" w:type="dxa"/>
            <w:tcBorders>
              <w:bottom w:val="single" w:sz="4" w:space="0" w:color="auto"/>
            </w:tcBorders>
            <w:vAlign w:val="center"/>
          </w:tcPr>
          <w:p w14:paraId="35E980A8" w14:textId="77777777" w:rsidR="008000CC" w:rsidRPr="004F7F85" w:rsidRDefault="008000CC" w:rsidP="008000CC">
            <w:pPr>
              <w:spacing w:line="240" w:lineRule="auto"/>
              <w:jc w:val="center"/>
              <w:rPr>
                <w:rFonts w:cs="Times New Roman"/>
                <w:szCs w:val="24"/>
              </w:rPr>
            </w:pPr>
          </w:p>
        </w:tc>
      </w:tr>
    </w:tbl>
    <w:p w14:paraId="0D43FBC8" w14:textId="77777777" w:rsidR="008000CC" w:rsidRPr="004F7F85" w:rsidRDefault="008000CC" w:rsidP="00020823">
      <w:pPr>
        <w:spacing w:line="240" w:lineRule="auto"/>
        <w:rPr>
          <w:rFonts w:cs="Times New Roman"/>
          <w:szCs w:val="24"/>
        </w:rPr>
      </w:pPr>
    </w:p>
    <w:p w14:paraId="6DC1A91E" w14:textId="0115C98C" w:rsidR="00F136E9" w:rsidRPr="004F7F85" w:rsidRDefault="00F136E9" w:rsidP="00243B01">
      <w:pPr>
        <w:spacing w:line="240" w:lineRule="auto"/>
        <w:rPr>
          <w:rFonts w:cs="Times New Roman"/>
          <w:szCs w:val="24"/>
        </w:rPr>
      </w:pPr>
      <w:r w:rsidRPr="004F7F85">
        <w:rPr>
          <w:rFonts w:cs="Times New Roman"/>
          <w:szCs w:val="24"/>
        </w:rPr>
        <w:t xml:space="preserve">An independent samples t-test indicated that willingness to integrate agriculture varied significantly by Teacher Education Program year, </w:t>
      </w:r>
      <w:proofErr w:type="gramStart"/>
      <w:r w:rsidRPr="004F7F85">
        <w:rPr>
          <w:rFonts w:cs="Times New Roman"/>
          <w:i/>
          <w:iCs/>
          <w:szCs w:val="24"/>
        </w:rPr>
        <w:t>t</w:t>
      </w:r>
      <w:r w:rsidRPr="004F7F85">
        <w:rPr>
          <w:rFonts w:cs="Times New Roman"/>
          <w:szCs w:val="24"/>
        </w:rPr>
        <w:t>(</w:t>
      </w:r>
      <w:proofErr w:type="gramEnd"/>
      <w:r w:rsidRPr="004F7F85">
        <w:rPr>
          <w:rFonts w:cs="Times New Roman"/>
          <w:szCs w:val="24"/>
        </w:rPr>
        <w:t xml:space="preserve">36.74) = 13.29, </w:t>
      </w:r>
      <w:r w:rsidRPr="004F7F85">
        <w:rPr>
          <w:rFonts w:cs="Times New Roman"/>
          <w:i/>
          <w:iCs/>
          <w:szCs w:val="24"/>
        </w:rPr>
        <w:t>p</w:t>
      </w:r>
      <w:r w:rsidRPr="004F7F85">
        <w:rPr>
          <w:rFonts w:cs="Times New Roman"/>
          <w:szCs w:val="24"/>
        </w:rPr>
        <w:t xml:space="preserve"> &lt; .001, </w:t>
      </w:r>
      <w:r w:rsidRPr="004F7F85">
        <w:rPr>
          <w:rFonts w:cs="Times New Roman"/>
          <w:i/>
          <w:iCs/>
          <w:szCs w:val="24"/>
        </w:rPr>
        <w:t>d</w:t>
      </w:r>
      <w:r w:rsidRPr="004F7F85">
        <w:rPr>
          <w:rFonts w:cs="Times New Roman"/>
          <w:szCs w:val="24"/>
        </w:rPr>
        <w:t xml:space="preserve"> = .89, with student teachers reporting higher willingness than those in earlier stages. While </w:t>
      </w:r>
      <w:r w:rsidR="00243B01" w:rsidRPr="004F7F85">
        <w:rPr>
          <w:rFonts w:cs="Times New Roman"/>
          <w:szCs w:val="24"/>
        </w:rPr>
        <w:t>years</w:t>
      </w:r>
      <w:r w:rsidRPr="004F7F85">
        <w:rPr>
          <w:rFonts w:cs="Times New Roman"/>
          <w:szCs w:val="24"/>
        </w:rPr>
        <w:t xml:space="preserve"> in the program correlated positively with curriculum and standards scores (</w:t>
      </w:r>
      <w:r w:rsidRPr="004F7F85">
        <w:rPr>
          <w:rFonts w:cs="Times New Roman"/>
          <w:i/>
          <w:iCs/>
          <w:szCs w:val="24"/>
        </w:rPr>
        <w:t>r</w:t>
      </w:r>
      <w:r w:rsidRPr="004F7F85">
        <w:rPr>
          <w:rFonts w:cs="Times New Roman"/>
          <w:szCs w:val="24"/>
        </w:rPr>
        <w:t xml:space="preserve"> = 0.69, </w:t>
      </w:r>
      <w:r w:rsidRPr="004F7F85">
        <w:rPr>
          <w:rFonts w:cs="Times New Roman"/>
          <w:i/>
          <w:iCs/>
          <w:szCs w:val="24"/>
        </w:rPr>
        <w:t>p</w:t>
      </w:r>
      <w:r w:rsidRPr="004F7F85">
        <w:rPr>
          <w:rFonts w:cs="Times New Roman"/>
          <w:szCs w:val="24"/>
        </w:rPr>
        <w:t xml:space="preserve"> &lt; .001), it did not significantly predict confidence (</w:t>
      </w:r>
      <w:r w:rsidRPr="004F7F85">
        <w:rPr>
          <w:rFonts w:cs="Times New Roman"/>
          <w:i/>
          <w:iCs/>
          <w:szCs w:val="24"/>
        </w:rPr>
        <w:t>p</w:t>
      </w:r>
      <w:r w:rsidRPr="004F7F85">
        <w:rPr>
          <w:rFonts w:cs="Times New Roman"/>
          <w:szCs w:val="24"/>
        </w:rPr>
        <w:t xml:space="preserve"> = .99). These results suggest that students’ </w:t>
      </w:r>
      <w:proofErr w:type="gramStart"/>
      <w:r w:rsidRPr="004F7F85">
        <w:rPr>
          <w:rFonts w:cs="Times New Roman"/>
          <w:szCs w:val="24"/>
        </w:rPr>
        <w:t>progression</w:t>
      </w:r>
      <w:proofErr w:type="gramEnd"/>
      <w:r w:rsidRPr="004F7F85">
        <w:rPr>
          <w:rFonts w:cs="Times New Roman"/>
          <w:szCs w:val="24"/>
        </w:rPr>
        <w:t xml:space="preserve"> through the program is associated with increased willingness to integrate agriculture but not necessarily higher confidence.</w:t>
      </w:r>
    </w:p>
    <w:p w14:paraId="37B2447B" w14:textId="77777777" w:rsidR="00243B01" w:rsidRPr="004F7F85" w:rsidRDefault="00243B01" w:rsidP="00243B01">
      <w:pPr>
        <w:spacing w:line="240" w:lineRule="auto"/>
        <w:rPr>
          <w:rFonts w:cs="Times New Roman"/>
          <w:szCs w:val="24"/>
        </w:rPr>
      </w:pPr>
    </w:p>
    <w:p w14:paraId="39CF91CB" w14:textId="5995F1EC" w:rsidR="000542C8" w:rsidRPr="004F7F85" w:rsidRDefault="000542C8" w:rsidP="00243B01">
      <w:pPr>
        <w:pStyle w:val="Subheading"/>
        <w:rPr>
          <w:sz w:val="24"/>
          <w:szCs w:val="24"/>
        </w:rPr>
      </w:pPr>
      <w:r w:rsidRPr="004F7F85">
        <w:rPr>
          <w:sz w:val="24"/>
          <w:szCs w:val="24"/>
        </w:rPr>
        <w:t>Objective Five</w:t>
      </w:r>
      <w:bookmarkEnd w:id="18"/>
      <w:r w:rsidR="00F136E9" w:rsidRPr="004F7F85">
        <w:rPr>
          <w:sz w:val="24"/>
          <w:szCs w:val="24"/>
        </w:rPr>
        <w:t>: Familiarity and Use of Agriculture in the Classroom (AITC)</w:t>
      </w:r>
    </w:p>
    <w:p w14:paraId="29AD7CA5" w14:textId="77777777" w:rsidR="00243B01" w:rsidRPr="004F7F85" w:rsidRDefault="00243B01" w:rsidP="00243B01">
      <w:pPr>
        <w:pStyle w:val="Subheading"/>
        <w:rPr>
          <w:sz w:val="24"/>
          <w:szCs w:val="24"/>
        </w:rPr>
      </w:pPr>
    </w:p>
    <w:p w14:paraId="6346E5D1" w14:textId="0096DB28" w:rsidR="002C7BC9" w:rsidRPr="004F7F85" w:rsidRDefault="00AF2C94" w:rsidP="00243B01">
      <w:pPr>
        <w:spacing w:line="240" w:lineRule="auto"/>
        <w:rPr>
          <w:rFonts w:cs="Times New Roman"/>
          <w:szCs w:val="24"/>
        </w:rPr>
      </w:pPr>
      <w:r w:rsidRPr="004F7F85">
        <w:rPr>
          <w:rFonts w:cs="Times New Roman"/>
          <w:szCs w:val="24"/>
        </w:rPr>
        <w:t xml:space="preserve">Objective </w:t>
      </w:r>
      <w:r w:rsidR="00020823" w:rsidRPr="004F7F85">
        <w:rPr>
          <w:rFonts w:cs="Times New Roman"/>
          <w:szCs w:val="24"/>
        </w:rPr>
        <w:t>five</w:t>
      </w:r>
      <w:r w:rsidRPr="004F7F85">
        <w:rPr>
          <w:rFonts w:cs="Times New Roman"/>
          <w:szCs w:val="24"/>
        </w:rPr>
        <w:t xml:space="preserve"> examined relationships between AITC familiarity, lesson interest, and demographic factors. Independent </w:t>
      </w:r>
      <w:r w:rsidRPr="004F7F85">
        <w:rPr>
          <w:rFonts w:cs="Times New Roman"/>
          <w:i/>
          <w:iCs/>
          <w:szCs w:val="24"/>
        </w:rPr>
        <w:t>t</w:t>
      </w:r>
      <w:r w:rsidRPr="004F7F85">
        <w:rPr>
          <w:rFonts w:cs="Times New Roman"/>
          <w:szCs w:val="24"/>
        </w:rPr>
        <w:t>-tests showed no significant difference in lesson interest between participants familiar with AITC</w:t>
      </w:r>
      <w:r w:rsidR="00AE2739" w:rsidRPr="004F7F85">
        <w:rPr>
          <w:rFonts w:cs="Times New Roman"/>
          <w:szCs w:val="24"/>
        </w:rPr>
        <w:t xml:space="preserve">. </w:t>
      </w:r>
      <w:r w:rsidRPr="004F7F85">
        <w:rPr>
          <w:rFonts w:cs="Times New Roman"/>
          <w:szCs w:val="24"/>
        </w:rPr>
        <w:t xml:space="preserve">Likewise, a one-way ANOVA found no significant differences in AITC familiarity across hometown populations, </w:t>
      </w:r>
      <w:proofErr w:type="gramStart"/>
      <w:r w:rsidRPr="004F7F85">
        <w:rPr>
          <w:rFonts w:cs="Times New Roman"/>
          <w:i/>
          <w:iCs/>
          <w:szCs w:val="24"/>
        </w:rPr>
        <w:t>F</w:t>
      </w:r>
      <w:r w:rsidRPr="004F7F85">
        <w:rPr>
          <w:rFonts w:cs="Times New Roman"/>
          <w:szCs w:val="24"/>
        </w:rPr>
        <w:t>(</w:t>
      </w:r>
      <w:proofErr w:type="gramEnd"/>
      <w:r w:rsidRPr="004F7F85">
        <w:rPr>
          <w:rFonts w:cs="Times New Roman"/>
          <w:szCs w:val="24"/>
        </w:rPr>
        <w:t xml:space="preserve">2, 22) = 2.68, </w:t>
      </w:r>
      <w:r w:rsidRPr="004F7F85">
        <w:rPr>
          <w:rFonts w:cs="Times New Roman"/>
          <w:i/>
          <w:iCs/>
          <w:szCs w:val="24"/>
        </w:rPr>
        <w:t>p</w:t>
      </w:r>
      <w:r w:rsidRPr="004F7F85">
        <w:rPr>
          <w:rFonts w:cs="Times New Roman"/>
          <w:szCs w:val="24"/>
        </w:rPr>
        <w:t xml:space="preserve"> = .091</w:t>
      </w:r>
      <w:r w:rsidR="00243B01" w:rsidRPr="004F7F85">
        <w:rPr>
          <w:rFonts w:cs="Times New Roman"/>
          <w:szCs w:val="24"/>
        </w:rPr>
        <w:t>. However,</w:t>
      </w:r>
      <w:r w:rsidRPr="004F7F85">
        <w:rPr>
          <w:rFonts w:cs="Times New Roman"/>
          <w:szCs w:val="24"/>
        </w:rPr>
        <w:t xml:space="preserve"> the moderate effect size (η² = .20) suggested a potential trend toward higher familiarity among rural participants.</w:t>
      </w:r>
      <w:r w:rsidR="00E3440B" w:rsidRPr="004F7F85">
        <w:rPr>
          <w:rFonts w:cs="Times New Roman"/>
          <w:szCs w:val="24"/>
        </w:rPr>
        <w:t xml:space="preserve"> </w:t>
      </w:r>
      <w:r w:rsidRPr="004F7F85">
        <w:rPr>
          <w:rFonts w:cs="Times New Roman"/>
          <w:szCs w:val="24"/>
        </w:rPr>
        <w:t>Only four participants (1</w:t>
      </w:r>
      <w:r w:rsidR="002C7BC9" w:rsidRPr="004F7F85">
        <w:rPr>
          <w:rFonts w:cs="Times New Roman"/>
          <w:szCs w:val="24"/>
        </w:rPr>
        <w:t>6.00</w:t>
      </w:r>
      <w:r w:rsidRPr="004F7F85">
        <w:rPr>
          <w:rFonts w:cs="Times New Roman"/>
          <w:szCs w:val="24"/>
        </w:rPr>
        <w:t>%) reported having used AITC materials. Descriptive data indicated that participants from rural areas tended to be more familiar with AITC than those from suburban or urban environments, though these differences were not statistically significant.</w:t>
      </w:r>
    </w:p>
    <w:p w14:paraId="584F67E9" w14:textId="77777777" w:rsidR="00243B01" w:rsidRPr="004F7F85" w:rsidRDefault="00243B01" w:rsidP="00243B01">
      <w:pPr>
        <w:spacing w:line="240" w:lineRule="auto"/>
        <w:rPr>
          <w:rFonts w:cs="Times New Roman"/>
          <w:szCs w:val="24"/>
        </w:rPr>
      </w:pPr>
    </w:p>
    <w:p w14:paraId="13F22268" w14:textId="1E6C892D" w:rsidR="00C7669A" w:rsidRPr="004F7F85" w:rsidRDefault="00500AC0" w:rsidP="00243B01">
      <w:pPr>
        <w:pStyle w:val="Heading"/>
        <w:rPr>
          <w:sz w:val="24"/>
          <w:szCs w:val="24"/>
        </w:rPr>
      </w:pPr>
      <w:r w:rsidRPr="004F7F85">
        <w:rPr>
          <w:sz w:val="24"/>
          <w:szCs w:val="24"/>
        </w:rPr>
        <w:t>Conclusions/Recommendations/Implications</w:t>
      </w:r>
    </w:p>
    <w:p w14:paraId="64B48E86" w14:textId="77777777" w:rsidR="00243B01" w:rsidRPr="004F7F85" w:rsidRDefault="00243B01" w:rsidP="00243B01">
      <w:pPr>
        <w:pStyle w:val="Heading"/>
        <w:rPr>
          <w:sz w:val="24"/>
          <w:szCs w:val="24"/>
        </w:rPr>
      </w:pPr>
    </w:p>
    <w:p w14:paraId="3FCC2147" w14:textId="307DDCFB" w:rsidR="00EC31E9" w:rsidRPr="004F7F85" w:rsidRDefault="00EC31E9" w:rsidP="00886B61">
      <w:pPr>
        <w:spacing w:line="240" w:lineRule="auto"/>
        <w:rPr>
          <w:rStyle w:val="Style1Char"/>
          <w:rFonts w:cs="Times New Roman"/>
          <w:szCs w:val="24"/>
        </w:rPr>
      </w:pPr>
      <w:r w:rsidRPr="004F7F85">
        <w:rPr>
          <w:rStyle w:val="Style1Char"/>
          <w:rFonts w:cs="Times New Roman"/>
          <w:szCs w:val="24"/>
        </w:rPr>
        <w:t>Findings related to the study’s research objectives revealed meaningful relationships among pre-service elementary teachers’ agricultural perceptions, confidence, and willingness to integrate agricultural content. The following conclusions and implications are organized to reflect how results from each objective informed interpretations within the theoretical framework and prior literature.</w:t>
      </w:r>
      <w:r w:rsidR="00C7669A" w:rsidRPr="004F7F85">
        <w:rPr>
          <w:rStyle w:val="Style1Char"/>
          <w:rFonts w:cs="Times New Roman"/>
          <w:szCs w:val="24"/>
        </w:rPr>
        <w:tab/>
      </w:r>
    </w:p>
    <w:p w14:paraId="7A5CBFB5" w14:textId="54FA16AD" w:rsidR="00272F38" w:rsidRPr="004F7F85" w:rsidRDefault="00A57222" w:rsidP="00886B61">
      <w:pPr>
        <w:spacing w:line="240" w:lineRule="auto"/>
        <w:rPr>
          <w:rFonts w:cs="Times New Roman"/>
          <w:szCs w:val="24"/>
        </w:rPr>
      </w:pPr>
      <w:r w:rsidRPr="004F7F85">
        <w:rPr>
          <w:rStyle w:val="Style1Char"/>
          <w:rFonts w:cs="Times New Roman"/>
          <w:szCs w:val="24"/>
        </w:rPr>
        <w:lastRenderedPageBreak/>
        <w:t>Grounded in Bandura’s theory of triadic reciprocal determinism</w:t>
      </w:r>
      <w:r w:rsidR="00DC59ED" w:rsidRPr="004F7F85">
        <w:rPr>
          <w:rStyle w:val="Style1Char"/>
          <w:rFonts w:cs="Times New Roman"/>
          <w:szCs w:val="24"/>
        </w:rPr>
        <w:t xml:space="preserve"> (1978)</w:t>
      </w:r>
      <w:r w:rsidRPr="004F7F85">
        <w:rPr>
          <w:rStyle w:val="Style1Char"/>
          <w:rFonts w:cs="Times New Roman"/>
          <w:szCs w:val="24"/>
        </w:rPr>
        <w:t xml:space="preserve"> and self-efficacy</w:t>
      </w:r>
      <w:r w:rsidR="00DC59ED" w:rsidRPr="004F7F85">
        <w:rPr>
          <w:rStyle w:val="Style1Char"/>
          <w:rFonts w:cs="Times New Roman"/>
          <w:szCs w:val="24"/>
        </w:rPr>
        <w:t xml:space="preserve"> (1997)</w:t>
      </w:r>
      <w:r w:rsidRPr="004F7F85">
        <w:rPr>
          <w:rStyle w:val="Style1Char"/>
          <w:rFonts w:cs="Times New Roman"/>
          <w:szCs w:val="24"/>
        </w:rPr>
        <w:t>, this study examined how environmental, personal, and behavioral factors shape pre-service elementary teachers’ perceptions of agricultural education. Participants generally perceived agriculture</w:t>
      </w:r>
      <w:r w:rsidRPr="004F7F85">
        <w:rPr>
          <w:rFonts w:cs="Times New Roman"/>
          <w:szCs w:val="24"/>
        </w:rPr>
        <w:t xml:space="preserve"> as relevant and beneficial to their future classrooms, aligning with previous research indicating that teachers view agriculture as valuable but often lack the training to implement it effectively (Kovar &amp; Ball, 2013; Smalley &amp; Rank, 2019). Participants’ willingness to integrate agricultural topics and their perceived importance of agriculture were positively correlated, suggesting that as confidence increases, so does intent to incorporate agricultural content, consistent with Bandura’s assertion that self-efficacy influences behavior through belief in one’s capabilities.</w:t>
      </w:r>
      <w:r w:rsidR="00272F38" w:rsidRPr="004F7F85">
        <w:rPr>
          <w:rFonts w:cs="Times New Roman"/>
          <w:szCs w:val="24"/>
        </w:rPr>
        <w:t xml:space="preserve"> </w:t>
      </w:r>
    </w:p>
    <w:p w14:paraId="410A054B" w14:textId="77777777" w:rsidR="00243B01" w:rsidRPr="004F7F85" w:rsidRDefault="00243B01" w:rsidP="00243B01">
      <w:pPr>
        <w:spacing w:line="240" w:lineRule="auto"/>
        <w:ind w:firstLine="720"/>
        <w:rPr>
          <w:rFonts w:cs="Times New Roman"/>
          <w:szCs w:val="24"/>
        </w:rPr>
      </w:pPr>
    </w:p>
    <w:p w14:paraId="5B0E7F58" w14:textId="634365DB" w:rsidR="00D65C09" w:rsidRPr="004F7F85" w:rsidRDefault="00FD77A2" w:rsidP="00886B61">
      <w:pPr>
        <w:spacing w:line="240" w:lineRule="auto"/>
        <w:rPr>
          <w:rFonts w:cs="Times New Roman"/>
          <w:szCs w:val="24"/>
        </w:rPr>
      </w:pPr>
      <w:r w:rsidRPr="004F7F85">
        <w:rPr>
          <w:rFonts w:cs="Times New Roman"/>
          <w:szCs w:val="24"/>
        </w:rPr>
        <w:t>R</w:t>
      </w:r>
      <w:r w:rsidR="00D65C09" w:rsidRPr="004F7F85">
        <w:rPr>
          <w:rFonts w:cs="Times New Roman"/>
          <w:szCs w:val="24"/>
        </w:rPr>
        <w:t xml:space="preserve">esults </w:t>
      </w:r>
      <w:r w:rsidRPr="004F7F85">
        <w:rPr>
          <w:rFonts w:cs="Times New Roman"/>
          <w:szCs w:val="24"/>
        </w:rPr>
        <w:t xml:space="preserve">from Objectives </w:t>
      </w:r>
      <w:r w:rsidR="00DC59ED" w:rsidRPr="004F7F85">
        <w:rPr>
          <w:rFonts w:cs="Times New Roman"/>
          <w:szCs w:val="24"/>
        </w:rPr>
        <w:t>One</w:t>
      </w:r>
      <w:r w:rsidRPr="004F7F85">
        <w:rPr>
          <w:rFonts w:cs="Times New Roman"/>
          <w:szCs w:val="24"/>
        </w:rPr>
        <w:t xml:space="preserve"> and </w:t>
      </w:r>
      <w:r w:rsidR="00DC59ED" w:rsidRPr="004F7F85">
        <w:rPr>
          <w:rFonts w:cs="Times New Roman"/>
          <w:szCs w:val="24"/>
        </w:rPr>
        <w:t>Two</w:t>
      </w:r>
      <w:r w:rsidRPr="004F7F85">
        <w:rPr>
          <w:rFonts w:cs="Times New Roman"/>
          <w:szCs w:val="24"/>
        </w:rPr>
        <w:t xml:space="preserve"> </w:t>
      </w:r>
      <w:r w:rsidR="00D65C09" w:rsidRPr="004F7F85">
        <w:rPr>
          <w:rFonts w:cs="Times New Roman"/>
          <w:szCs w:val="24"/>
        </w:rPr>
        <w:t>indicated that confidence in teaching agricultural content was strongly associated with willingness to integrate agriculture and moderately correlated with perceived importance and curriculum alignment. This mirrors findings from Stair et al. (2012) and Bowling et al. (2024), who noted that pedagogical experience and exposure to agricultural resources increase both confidence and integration intent. In this study, confidence remained moderate overall, which may reflect limited exposure to agricultural contexts and teaching strategies, echoing Knobloch et al. (2007) and McKim et al. (2021).</w:t>
      </w:r>
    </w:p>
    <w:p w14:paraId="3961934D" w14:textId="77777777" w:rsidR="00243B01" w:rsidRPr="004F7F85" w:rsidRDefault="00243B01" w:rsidP="00243B01">
      <w:pPr>
        <w:spacing w:line="240" w:lineRule="auto"/>
        <w:ind w:firstLine="720"/>
        <w:rPr>
          <w:rFonts w:cs="Times New Roman"/>
          <w:szCs w:val="24"/>
        </w:rPr>
      </w:pPr>
    </w:p>
    <w:p w14:paraId="47ADE9BF" w14:textId="450BB5C4" w:rsidR="00D65C09" w:rsidRPr="004F7F85" w:rsidRDefault="00FD77A2" w:rsidP="00886B61">
      <w:pPr>
        <w:pStyle w:val="Style1"/>
        <w:rPr>
          <w:rFonts w:cs="Times New Roman"/>
          <w:szCs w:val="24"/>
        </w:rPr>
      </w:pPr>
      <w:r w:rsidRPr="004F7F85">
        <w:rPr>
          <w:rFonts w:cs="Times New Roman"/>
          <w:szCs w:val="24"/>
        </w:rPr>
        <w:t xml:space="preserve">Results from Objective </w:t>
      </w:r>
      <w:r w:rsidR="00DC59ED" w:rsidRPr="004F7F85">
        <w:rPr>
          <w:rFonts w:cs="Times New Roman"/>
          <w:szCs w:val="24"/>
        </w:rPr>
        <w:t>Three</w:t>
      </w:r>
      <w:r w:rsidRPr="004F7F85">
        <w:rPr>
          <w:rFonts w:cs="Times New Roman"/>
          <w:szCs w:val="24"/>
        </w:rPr>
        <w:t xml:space="preserve"> demonstrated that p</w:t>
      </w:r>
      <w:r w:rsidR="00D65C09" w:rsidRPr="004F7F85">
        <w:rPr>
          <w:rFonts w:cs="Times New Roman"/>
          <w:szCs w:val="24"/>
        </w:rPr>
        <w:t>re-service teachers in later stages of their preparation program demonstrated greater willingness to integrate agriculture, suggesting that classroom experience, mentorship, and familiarity with standards-based instruction contribute to growing self-efficacy. However, regression analyses revealed that no single factor</w:t>
      </w:r>
      <w:r w:rsidR="00DC59ED" w:rsidRPr="004F7F85">
        <w:rPr>
          <w:rFonts w:cs="Times New Roman"/>
          <w:szCs w:val="24"/>
        </w:rPr>
        <w:t xml:space="preserve">, </w:t>
      </w:r>
      <w:r w:rsidR="00D65C09" w:rsidRPr="004F7F85">
        <w:rPr>
          <w:rFonts w:cs="Times New Roman"/>
          <w:szCs w:val="24"/>
        </w:rPr>
        <w:t>such as year in program, confidence, or familiarity with AITC</w:t>
      </w:r>
      <w:r w:rsidR="00DC59ED" w:rsidRPr="004F7F85">
        <w:rPr>
          <w:rFonts w:cs="Times New Roman"/>
          <w:szCs w:val="24"/>
        </w:rPr>
        <w:t xml:space="preserve">, </w:t>
      </w:r>
      <w:r w:rsidR="00D65C09" w:rsidRPr="004F7F85">
        <w:rPr>
          <w:rFonts w:cs="Times New Roman"/>
          <w:szCs w:val="24"/>
        </w:rPr>
        <w:t>could independently predict willingness to integrate agricultural content. This indicates that multiple interacting factors likely influence integration behavior, including institutional culture, program structure, and perceived relevance of agriculture to the general education curriculum (Anderson et al., 2014; Rice &amp; Kitchel, 2018).</w:t>
      </w:r>
    </w:p>
    <w:p w14:paraId="545670D2" w14:textId="77777777" w:rsidR="00243B01" w:rsidRPr="004F7F85" w:rsidRDefault="00243B01" w:rsidP="00243B01">
      <w:pPr>
        <w:pStyle w:val="Style1"/>
        <w:ind w:firstLine="720"/>
        <w:rPr>
          <w:rFonts w:cs="Times New Roman"/>
          <w:szCs w:val="24"/>
        </w:rPr>
      </w:pPr>
    </w:p>
    <w:p w14:paraId="23B07420" w14:textId="09F5E57C" w:rsidR="00D65C09" w:rsidRPr="004F7F85" w:rsidRDefault="00D65C09" w:rsidP="00886B61">
      <w:pPr>
        <w:pStyle w:val="Style1"/>
        <w:rPr>
          <w:rFonts w:cs="Times New Roman"/>
          <w:szCs w:val="24"/>
        </w:rPr>
      </w:pPr>
      <w:r w:rsidRPr="004F7F85">
        <w:rPr>
          <w:rFonts w:cs="Times New Roman"/>
          <w:szCs w:val="24"/>
        </w:rPr>
        <w:t xml:space="preserve">Familiarity with AITC resources was limited, even though most participants recognized agriculture’s educational value. This finding </w:t>
      </w:r>
      <w:r w:rsidR="000E203E" w:rsidRPr="004F7F85">
        <w:rPr>
          <w:rFonts w:cs="Times New Roman"/>
          <w:szCs w:val="24"/>
        </w:rPr>
        <w:t>from</w:t>
      </w:r>
      <w:r w:rsidR="00DB21AC" w:rsidRPr="004F7F85">
        <w:rPr>
          <w:rFonts w:cs="Times New Roman"/>
          <w:szCs w:val="24"/>
        </w:rPr>
        <w:t xml:space="preserve"> Objective </w:t>
      </w:r>
      <w:r w:rsidR="00DC59ED" w:rsidRPr="004F7F85">
        <w:rPr>
          <w:rFonts w:cs="Times New Roman"/>
          <w:szCs w:val="24"/>
        </w:rPr>
        <w:t>Four</w:t>
      </w:r>
      <w:r w:rsidR="00DB21AC" w:rsidRPr="004F7F85">
        <w:rPr>
          <w:rFonts w:cs="Times New Roman"/>
          <w:szCs w:val="24"/>
        </w:rPr>
        <w:t xml:space="preserve"> </w:t>
      </w:r>
      <w:proofErr w:type="gramStart"/>
      <w:r w:rsidRPr="004F7F85">
        <w:rPr>
          <w:rFonts w:cs="Times New Roman"/>
          <w:szCs w:val="24"/>
        </w:rPr>
        <w:t>echoes</w:t>
      </w:r>
      <w:proofErr w:type="gramEnd"/>
      <w:r w:rsidRPr="004F7F85">
        <w:rPr>
          <w:rFonts w:cs="Times New Roman"/>
          <w:szCs w:val="24"/>
        </w:rPr>
        <w:t xml:space="preserve"> Burrows et al. (2020), who reported that most teachers had never heard of AITC despite high agreement that agriculture is important for students to learn. The disconnect between recognition and resource awareness suggests that teacher preparation programs may not be consistently embedding agricultural literacy opportunities or resource exposure into coursework. As Spielmaker et al. (2014) and Vallera and Bodzin (2019) emphasized, introducing agricultural concepts early and contextually in teacher training can improve confidence and classroom application.</w:t>
      </w:r>
    </w:p>
    <w:p w14:paraId="2A5AD5D4" w14:textId="77777777" w:rsidR="00243B01" w:rsidRPr="004F7F85" w:rsidRDefault="00243B01" w:rsidP="00243B01">
      <w:pPr>
        <w:pStyle w:val="Style1"/>
        <w:ind w:firstLine="720"/>
        <w:rPr>
          <w:rFonts w:cs="Times New Roman"/>
          <w:szCs w:val="24"/>
        </w:rPr>
      </w:pPr>
    </w:p>
    <w:p w14:paraId="5608E713" w14:textId="77B90A61" w:rsidR="00D65C09" w:rsidRPr="004F7F85" w:rsidRDefault="00D65C09" w:rsidP="00886B61">
      <w:pPr>
        <w:pStyle w:val="Style1"/>
        <w:rPr>
          <w:rFonts w:cs="Times New Roman"/>
          <w:szCs w:val="24"/>
        </w:rPr>
      </w:pPr>
      <w:r w:rsidRPr="004F7F85">
        <w:rPr>
          <w:rFonts w:cs="Times New Roman"/>
          <w:szCs w:val="24"/>
        </w:rPr>
        <w:t xml:space="preserve">Although demographic factors such as gender, hometown population, and familiarity with AITC were not statistically significant predictors, trends suggested that participants from rural backgrounds or later in their programs displayed higher willingness and confidence. </w:t>
      </w:r>
      <w:r w:rsidR="000E203E" w:rsidRPr="004F7F85">
        <w:rPr>
          <w:rFonts w:cs="Times New Roman"/>
          <w:szCs w:val="24"/>
        </w:rPr>
        <w:t xml:space="preserve">This finding from Objective </w:t>
      </w:r>
      <w:r w:rsidR="00DC59ED" w:rsidRPr="004F7F85">
        <w:rPr>
          <w:rFonts w:cs="Times New Roman"/>
          <w:szCs w:val="24"/>
        </w:rPr>
        <w:t>Five</w:t>
      </w:r>
      <w:r w:rsidRPr="004F7F85">
        <w:rPr>
          <w:rFonts w:cs="Times New Roman"/>
          <w:szCs w:val="24"/>
        </w:rPr>
        <w:t xml:space="preserve"> aligns with prior research demonstrating that rural upbringing and agricultural exposure influence teacher comfort and knowledge (Knobloch &amp; Martin, 2000; Trexler &amp; Suvedi, 1998). However, the limited sample size in this study constrains the ability to generalize such relationships.</w:t>
      </w:r>
    </w:p>
    <w:p w14:paraId="54D98CB2" w14:textId="77777777" w:rsidR="00243B01" w:rsidRPr="004F7F85" w:rsidRDefault="00243B01" w:rsidP="00243B01">
      <w:pPr>
        <w:pStyle w:val="Style1"/>
        <w:ind w:firstLine="720"/>
        <w:rPr>
          <w:rFonts w:cs="Times New Roman"/>
          <w:szCs w:val="24"/>
        </w:rPr>
      </w:pPr>
    </w:p>
    <w:p w14:paraId="79C0B002" w14:textId="77777777" w:rsidR="0097422D" w:rsidRDefault="0097422D">
      <w:pPr>
        <w:spacing w:after="160" w:line="259" w:lineRule="auto"/>
        <w:rPr>
          <w:rFonts w:cs="Times New Roman"/>
          <w:b/>
          <w:bCs/>
          <w:szCs w:val="24"/>
        </w:rPr>
      </w:pPr>
      <w:r>
        <w:rPr>
          <w:szCs w:val="24"/>
        </w:rPr>
        <w:br w:type="page"/>
      </w:r>
    </w:p>
    <w:p w14:paraId="37AB0763" w14:textId="16BD5DB5" w:rsidR="00D65C09" w:rsidRPr="004F7F85" w:rsidRDefault="00D65C09" w:rsidP="00243B01">
      <w:pPr>
        <w:pStyle w:val="Subheading"/>
        <w:rPr>
          <w:sz w:val="24"/>
          <w:szCs w:val="24"/>
        </w:rPr>
      </w:pPr>
      <w:r w:rsidRPr="004F7F85">
        <w:rPr>
          <w:sz w:val="24"/>
          <w:szCs w:val="24"/>
        </w:rPr>
        <w:lastRenderedPageBreak/>
        <w:t>Implications for Teacher Preparation</w:t>
      </w:r>
    </w:p>
    <w:p w14:paraId="079BA8BE" w14:textId="77777777" w:rsidR="00243B01" w:rsidRPr="004F7F85" w:rsidRDefault="00243B01" w:rsidP="00243B01">
      <w:pPr>
        <w:pStyle w:val="Subheading"/>
        <w:rPr>
          <w:sz w:val="24"/>
          <w:szCs w:val="24"/>
        </w:rPr>
      </w:pPr>
    </w:p>
    <w:p w14:paraId="07D24FB1" w14:textId="0EA46302" w:rsidR="00864053" w:rsidRPr="004F7F85" w:rsidRDefault="00864053" w:rsidP="00886B61">
      <w:pPr>
        <w:pStyle w:val="Style1"/>
        <w:rPr>
          <w:rFonts w:cs="Times New Roman"/>
          <w:szCs w:val="24"/>
        </w:rPr>
      </w:pPr>
      <w:r w:rsidRPr="004F7F85">
        <w:rPr>
          <w:rFonts w:cs="Times New Roman"/>
          <w:szCs w:val="24"/>
        </w:rPr>
        <w:t>These findings emphasize that increasing agricultural literacy among pre-service teachers requires more than simply presenting agricultural topics</w:t>
      </w:r>
      <w:r w:rsidR="000B377B" w:rsidRPr="004F7F85">
        <w:rPr>
          <w:rFonts w:cs="Times New Roman"/>
          <w:szCs w:val="24"/>
        </w:rPr>
        <w:t>;</w:t>
      </w:r>
      <w:r w:rsidRPr="004F7F85">
        <w:rPr>
          <w:rFonts w:cs="Times New Roman"/>
          <w:szCs w:val="24"/>
        </w:rPr>
        <w:t xml:space="preserve"> it demands intentional, scaffolded experiences that build confidence, relevance, and pedagogical competence. Embedding agriculture into foundational courses, methods classes, and practicum experiences could normalize its use as an interdisciplinary teaching tool. Structured exposure to agricultural curricula such as AITC may also help pre-service teachers view agriculture as compatible with core subjects and standards (Rice &amp; Kitchel, 2018; Weeks et al., 2020).</w:t>
      </w:r>
    </w:p>
    <w:p w14:paraId="5323956E" w14:textId="77777777" w:rsidR="00243B01" w:rsidRPr="004F7F85" w:rsidRDefault="00243B01" w:rsidP="00243B01">
      <w:pPr>
        <w:pStyle w:val="Style1"/>
        <w:ind w:firstLine="720"/>
        <w:rPr>
          <w:rFonts w:cs="Times New Roman"/>
          <w:szCs w:val="24"/>
        </w:rPr>
      </w:pPr>
    </w:p>
    <w:p w14:paraId="78C8B088" w14:textId="235D8DF9" w:rsidR="00864053" w:rsidRPr="004F7F85" w:rsidRDefault="00864053" w:rsidP="00886B61">
      <w:pPr>
        <w:pStyle w:val="Style1"/>
        <w:rPr>
          <w:rFonts w:cs="Times New Roman"/>
          <w:szCs w:val="24"/>
        </w:rPr>
      </w:pPr>
      <w:r w:rsidRPr="004F7F85">
        <w:rPr>
          <w:rFonts w:cs="Times New Roman"/>
          <w:szCs w:val="24"/>
        </w:rPr>
        <w:t>Teacher educators should consider modeling agricultural integration in coursework and providing opportunities for reflection and micro-teaching that reinforce positive efficacy beliefs. This aligns with Bandura’s (1997) framework, where mastery experiences, social modeling, and supportive feedback strengthen self-efficacy. Encouraging agricultural literacy not only equips teachers to teach agriculture but also helps prevent the spread of misinformation and promotes informed citizenship (Colbath &amp; Morrish, 2010; Specht et al., 2014).</w:t>
      </w:r>
    </w:p>
    <w:p w14:paraId="04E6F938" w14:textId="77777777" w:rsidR="00243B01" w:rsidRPr="004F7F85" w:rsidRDefault="00243B01" w:rsidP="00243B01">
      <w:pPr>
        <w:pStyle w:val="Style1"/>
        <w:ind w:firstLine="720"/>
        <w:rPr>
          <w:rFonts w:cs="Times New Roman"/>
          <w:szCs w:val="24"/>
        </w:rPr>
      </w:pPr>
    </w:p>
    <w:p w14:paraId="39916667" w14:textId="32F41672" w:rsidR="00864053" w:rsidRPr="004F7F85" w:rsidRDefault="00864053" w:rsidP="00243B01">
      <w:pPr>
        <w:pStyle w:val="Subheading"/>
        <w:rPr>
          <w:sz w:val="24"/>
          <w:szCs w:val="24"/>
        </w:rPr>
      </w:pPr>
      <w:r w:rsidRPr="004F7F85">
        <w:rPr>
          <w:sz w:val="24"/>
          <w:szCs w:val="24"/>
        </w:rPr>
        <w:t>Limitations and Future Research</w:t>
      </w:r>
    </w:p>
    <w:p w14:paraId="3A655AD7" w14:textId="77777777" w:rsidR="00243B01" w:rsidRPr="004F7F85" w:rsidRDefault="00243B01" w:rsidP="00243B01">
      <w:pPr>
        <w:pStyle w:val="Subheading"/>
        <w:rPr>
          <w:sz w:val="24"/>
          <w:szCs w:val="24"/>
        </w:rPr>
      </w:pPr>
    </w:p>
    <w:p w14:paraId="5F59D3EF" w14:textId="607BB11B" w:rsidR="00054005" w:rsidRPr="004F7F85" w:rsidRDefault="00054005" w:rsidP="00886B61">
      <w:pPr>
        <w:pStyle w:val="Style1"/>
        <w:rPr>
          <w:rFonts w:cs="Times New Roman"/>
          <w:szCs w:val="24"/>
        </w:rPr>
      </w:pPr>
      <w:r w:rsidRPr="004F7F85">
        <w:rPr>
          <w:rFonts w:cs="Times New Roman"/>
          <w:szCs w:val="24"/>
        </w:rPr>
        <w:t>The primary limitations of this study were the small sample size, self-reported data, and the cross-sectional design. The sample represented only a subset of one university’s pre-service teacher population, limiting external validity. The gender imbalance typical of elementary education programs also constrained analysis of demographic variation.</w:t>
      </w:r>
    </w:p>
    <w:p w14:paraId="0D5003E6" w14:textId="77777777" w:rsidR="00DC59ED" w:rsidRPr="004F7F85" w:rsidRDefault="00DC59ED" w:rsidP="00886B61">
      <w:pPr>
        <w:pStyle w:val="Style1"/>
        <w:rPr>
          <w:rFonts w:cs="Times New Roman"/>
          <w:szCs w:val="24"/>
        </w:rPr>
      </w:pPr>
    </w:p>
    <w:p w14:paraId="431A52BA" w14:textId="3FEB55A0" w:rsidR="00054005" w:rsidRPr="004F7F85" w:rsidRDefault="00054005" w:rsidP="00886B61">
      <w:pPr>
        <w:pStyle w:val="Style1"/>
        <w:rPr>
          <w:rFonts w:cs="Times New Roman"/>
          <w:szCs w:val="24"/>
        </w:rPr>
      </w:pPr>
      <w:r w:rsidRPr="004F7F85">
        <w:rPr>
          <w:rFonts w:cs="Times New Roman"/>
          <w:szCs w:val="24"/>
        </w:rPr>
        <w:t xml:space="preserve">Future research should expand </w:t>
      </w:r>
      <w:r w:rsidR="00243B01" w:rsidRPr="004F7F85">
        <w:rPr>
          <w:rFonts w:cs="Times New Roman"/>
          <w:szCs w:val="24"/>
        </w:rPr>
        <w:t xml:space="preserve">the </w:t>
      </w:r>
      <w:r w:rsidRPr="004F7F85">
        <w:rPr>
          <w:rFonts w:cs="Times New Roman"/>
          <w:szCs w:val="24"/>
        </w:rPr>
        <w:t xml:space="preserve">sample size and include participants from multiple institutions to explore regional or institutional influences. Longitudinal designs could trace how agricultural perceptions and confidence evolve across teacher preparation and into early teaching careers. Qualitative methods, such as interviews or focus groups, could further explore unmeasured factors like teacher identity, mentor influence, or perceived curriculum constraints. Additionally, future work should assess how structured agricultural literacy interventions, such as AITC-based coursework or experiential </w:t>
      </w:r>
      <w:proofErr w:type="gramStart"/>
      <w:r w:rsidRPr="004F7F85">
        <w:rPr>
          <w:rFonts w:cs="Times New Roman"/>
          <w:szCs w:val="24"/>
        </w:rPr>
        <w:t>learning,</w:t>
      </w:r>
      <w:proofErr w:type="gramEnd"/>
      <w:r w:rsidRPr="004F7F85">
        <w:rPr>
          <w:rFonts w:cs="Times New Roman"/>
          <w:szCs w:val="24"/>
        </w:rPr>
        <w:t xml:space="preserve"> impact self-efficacy and classroom application.</w:t>
      </w:r>
    </w:p>
    <w:p w14:paraId="7CABFD23" w14:textId="77777777" w:rsidR="00243B01" w:rsidRPr="004F7F85" w:rsidRDefault="00243B01" w:rsidP="00243B01">
      <w:pPr>
        <w:pStyle w:val="Style1"/>
        <w:ind w:firstLine="720"/>
        <w:rPr>
          <w:rFonts w:cs="Times New Roman"/>
          <w:szCs w:val="24"/>
        </w:rPr>
      </w:pPr>
    </w:p>
    <w:p w14:paraId="34FEF246" w14:textId="3E85B8F8" w:rsidR="00054005" w:rsidRPr="004F7F85" w:rsidRDefault="00FF4D61" w:rsidP="00886B61">
      <w:pPr>
        <w:pStyle w:val="Style1"/>
        <w:rPr>
          <w:rFonts w:cs="Times New Roman"/>
          <w:szCs w:val="24"/>
        </w:rPr>
      </w:pPr>
      <w:r w:rsidRPr="004F7F85">
        <w:rPr>
          <w:rFonts w:cs="Times New Roman"/>
          <w:szCs w:val="24"/>
        </w:rPr>
        <w:t>Overall, findings suggest that pre-service elementary teachers value agriculture but often lack the confidence and resource familiarity to integrate it effectively. Confidence, willingness, and perception appear interconnected, shaped by exposure, program experience, and access to relevant resources. These insights highlight the importance of intentional agricultural literacy training within teacher preparation programs. By strengthening agricultural education exposure early in pre-service coursework, universities can help ensure that future educators are not only knowledgeable about agriculture but also prepared and motivated to teach it meaningfully across disciplines.</w:t>
      </w:r>
    </w:p>
    <w:p w14:paraId="7197F588" w14:textId="77777777" w:rsidR="00C7669A" w:rsidRPr="004F7F85" w:rsidRDefault="00C7669A" w:rsidP="00243B01">
      <w:pPr>
        <w:pStyle w:val="Heading"/>
        <w:rPr>
          <w:sz w:val="24"/>
          <w:szCs w:val="24"/>
        </w:rPr>
      </w:pPr>
      <w:bookmarkStart w:id="20" w:name="_Toc206401379"/>
    </w:p>
    <w:p w14:paraId="4DECE9C8" w14:textId="77777777" w:rsidR="00243B01" w:rsidRPr="004F7F85" w:rsidRDefault="00243B01">
      <w:pPr>
        <w:spacing w:after="160" w:line="259" w:lineRule="auto"/>
        <w:rPr>
          <w:rFonts w:cs="Times New Roman"/>
          <w:b/>
          <w:bCs/>
          <w:szCs w:val="24"/>
        </w:rPr>
      </w:pPr>
      <w:r w:rsidRPr="004F7F85">
        <w:rPr>
          <w:rFonts w:cs="Times New Roman"/>
          <w:szCs w:val="24"/>
        </w:rPr>
        <w:br w:type="page"/>
      </w:r>
    </w:p>
    <w:p w14:paraId="61694908" w14:textId="331BD5FC" w:rsidR="006922BF" w:rsidRPr="004F7F85" w:rsidRDefault="00CD4972" w:rsidP="00243B01">
      <w:pPr>
        <w:pStyle w:val="Heading"/>
        <w:rPr>
          <w:sz w:val="24"/>
          <w:szCs w:val="24"/>
        </w:rPr>
      </w:pPr>
      <w:r w:rsidRPr="004F7F85">
        <w:rPr>
          <w:sz w:val="24"/>
          <w:szCs w:val="24"/>
        </w:rPr>
        <w:lastRenderedPageBreak/>
        <w:t>References</w:t>
      </w:r>
      <w:bookmarkEnd w:id="20"/>
    </w:p>
    <w:p w14:paraId="037D4267" w14:textId="77777777" w:rsidR="00AC69F0" w:rsidRPr="004F7F85" w:rsidRDefault="00AC69F0" w:rsidP="00243B01">
      <w:pPr>
        <w:pStyle w:val="Heading"/>
        <w:rPr>
          <w:sz w:val="24"/>
          <w:szCs w:val="24"/>
        </w:rPr>
      </w:pPr>
    </w:p>
    <w:p w14:paraId="482049C8" w14:textId="1BE5AE46" w:rsidR="00FE6671" w:rsidRPr="004F7F85" w:rsidRDefault="00FE6671" w:rsidP="00243B01">
      <w:pPr>
        <w:spacing w:line="240" w:lineRule="auto"/>
        <w:ind w:left="720" w:hanging="720"/>
        <w:rPr>
          <w:rFonts w:cs="Times New Roman"/>
          <w:szCs w:val="24"/>
        </w:rPr>
      </w:pPr>
      <w:r w:rsidRPr="004F7F85">
        <w:rPr>
          <w:rFonts w:cs="Times New Roman"/>
          <w:szCs w:val="24"/>
        </w:rPr>
        <w:t xml:space="preserve">Anderson, S. M., Velez, J. J., &amp; Thompson, G. W. (2014). An analysis of K-12 teachers’ conceptions of agriculture prior to and during engagement in an agricultural literacy program. </w:t>
      </w:r>
      <w:r w:rsidRPr="004F7F85">
        <w:rPr>
          <w:rFonts w:cs="Times New Roman"/>
          <w:i/>
          <w:iCs/>
          <w:szCs w:val="24"/>
        </w:rPr>
        <w:t>Journal of Agricultural Education</w:t>
      </w:r>
      <w:r w:rsidRPr="004F7F85">
        <w:rPr>
          <w:rFonts w:cs="Times New Roman"/>
          <w:szCs w:val="24"/>
        </w:rPr>
        <w:t xml:space="preserve">, 55(3), 132–146. </w:t>
      </w:r>
      <w:r w:rsidR="00C70F31" w:rsidRPr="004F7F85">
        <w:rPr>
          <w:rFonts w:cs="Times New Roman"/>
          <w:szCs w:val="24"/>
        </w:rPr>
        <w:t>Https</w:t>
      </w:r>
      <w:r w:rsidRPr="004F7F85">
        <w:rPr>
          <w:rFonts w:cs="Times New Roman"/>
          <w:szCs w:val="24"/>
        </w:rPr>
        <w:t xml:space="preserve">://doi.org/10.5032/jae.2014.03132 </w:t>
      </w:r>
    </w:p>
    <w:p w14:paraId="19BB5E18" w14:textId="2FC99578" w:rsidR="00FE6671" w:rsidRPr="004F7F85" w:rsidRDefault="00FE6671" w:rsidP="00243B01">
      <w:pPr>
        <w:spacing w:line="240" w:lineRule="auto"/>
        <w:ind w:left="720" w:hanging="720"/>
        <w:rPr>
          <w:rFonts w:cs="Times New Roman"/>
          <w:szCs w:val="24"/>
        </w:rPr>
      </w:pPr>
      <w:r w:rsidRPr="004F7F85">
        <w:rPr>
          <w:rFonts w:cs="Times New Roman"/>
          <w:szCs w:val="24"/>
        </w:rPr>
        <w:t xml:space="preserve">Apple, M. W. (2009). </w:t>
      </w:r>
      <w:r w:rsidRPr="004F7F85">
        <w:rPr>
          <w:rFonts w:cs="Times New Roman"/>
          <w:i/>
          <w:iCs/>
          <w:szCs w:val="24"/>
        </w:rPr>
        <w:t>Ideology and curriculum</w:t>
      </w:r>
      <w:r w:rsidRPr="004F7F85">
        <w:rPr>
          <w:rFonts w:cs="Times New Roman"/>
          <w:szCs w:val="24"/>
        </w:rPr>
        <w:t xml:space="preserve">. </w:t>
      </w:r>
      <w:proofErr w:type="spellStart"/>
      <w:r w:rsidR="00C70F31" w:rsidRPr="004F7F85">
        <w:rPr>
          <w:rFonts w:cs="Times New Roman"/>
          <w:szCs w:val="24"/>
        </w:rPr>
        <w:t>Routledgefalmer</w:t>
      </w:r>
      <w:proofErr w:type="spellEnd"/>
      <w:r w:rsidRPr="004F7F85">
        <w:rPr>
          <w:rFonts w:cs="Times New Roman"/>
          <w:szCs w:val="24"/>
        </w:rPr>
        <w:t xml:space="preserve">. </w:t>
      </w:r>
    </w:p>
    <w:p w14:paraId="441577D0" w14:textId="05E7A3FC" w:rsidR="00FE6671" w:rsidRPr="004F7F85" w:rsidRDefault="00FE6671" w:rsidP="00243B01">
      <w:pPr>
        <w:spacing w:line="240" w:lineRule="auto"/>
        <w:ind w:left="720" w:hanging="720"/>
        <w:rPr>
          <w:rFonts w:cs="Times New Roman"/>
          <w:szCs w:val="24"/>
        </w:rPr>
      </w:pPr>
      <w:r w:rsidRPr="004F7F85">
        <w:rPr>
          <w:rFonts w:cs="Times New Roman"/>
          <w:szCs w:val="24"/>
        </w:rPr>
        <w:t xml:space="preserve">Ary, D., Jacobs, L., &amp; Razavieh, A. (1996). </w:t>
      </w:r>
      <w:r w:rsidRPr="004F7F85">
        <w:rPr>
          <w:rFonts w:cs="Times New Roman"/>
          <w:i/>
          <w:iCs/>
          <w:szCs w:val="24"/>
        </w:rPr>
        <w:t>Introduction to research in education</w:t>
      </w:r>
      <w:r w:rsidRPr="004F7F85">
        <w:rPr>
          <w:rFonts w:cs="Times New Roman"/>
          <w:szCs w:val="24"/>
        </w:rPr>
        <w:t>. (5th ed.). Ft Worth, TX: Holt, Rinehart, and Winston, Inc.</w:t>
      </w:r>
    </w:p>
    <w:p w14:paraId="5A6105C8" w14:textId="1A4CF6C2" w:rsidR="00FE6671" w:rsidRPr="004F7F85" w:rsidRDefault="00FE6671" w:rsidP="00243B01">
      <w:pPr>
        <w:spacing w:line="240" w:lineRule="auto"/>
        <w:ind w:left="720" w:hanging="720"/>
        <w:rPr>
          <w:rFonts w:cs="Times New Roman"/>
          <w:szCs w:val="24"/>
        </w:rPr>
      </w:pPr>
      <w:r w:rsidRPr="004F7F85">
        <w:rPr>
          <w:rFonts w:cs="Times New Roman"/>
          <w:szCs w:val="24"/>
        </w:rPr>
        <w:t xml:space="preserve">Ary, D., Jacobs, L., Sorenson, C., &amp; Walker, D. (2014). </w:t>
      </w:r>
      <w:r w:rsidRPr="004F7F85">
        <w:rPr>
          <w:rFonts w:cs="Times New Roman"/>
          <w:i/>
          <w:iCs/>
          <w:szCs w:val="24"/>
        </w:rPr>
        <w:t>Introduction to research in education</w:t>
      </w:r>
      <w:r w:rsidRPr="004F7F85">
        <w:rPr>
          <w:rFonts w:cs="Times New Roman"/>
          <w:szCs w:val="24"/>
        </w:rPr>
        <w:t>. (9th ed.). Belmont, CA: Cengage Learning.</w:t>
      </w:r>
    </w:p>
    <w:p w14:paraId="2B04FF47" w14:textId="0E46D404" w:rsidR="00FE6671" w:rsidRPr="004F7F85" w:rsidRDefault="00FE6671" w:rsidP="00243B01">
      <w:pPr>
        <w:spacing w:line="240" w:lineRule="auto"/>
        <w:ind w:left="720" w:hanging="720"/>
        <w:rPr>
          <w:rFonts w:cs="Times New Roman"/>
          <w:szCs w:val="24"/>
        </w:rPr>
      </w:pPr>
      <w:r w:rsidRPr="004F7F85">
        <w:rPr>
          <w:rFonts w:cs="Times New Roman"/>
          <w:szCs w:val="24"/>
        </w:rPr>
        <w:t xml:space="preserve">Balschweid, M. A., Thompson, G. W., &amp; Cole, R. L. (1998). The effects of an agricultural literacy treatment on participating </w:t>
      </w:r>
      <w:r w:rsidR="00243B01" w:rsidRPr="004F7F85">
        <w:rPr>
          <w:rFonts w:cs="Times New Roman"/>
          <w:szCs w:val="24"/>
        </w:rPr>
        <w:t>K-12</w:t>
      </w:r>
      <w:r w:rsidRPr="004F7F85">
        <w:rPr>
          <w:rFonts w:cs="Times New Roman"/>
          <w:szCs w:val="24"/>
        </w:rPr>
        <w:t xml:space="preserve"> teachers and their curricula. </w:t>
      </w:r>
      <w:r w:rsidRPr="004F7F85">
        <w:rPr>
          <w:rFonts w:cs="Times New Roman"/>
          <w:i/>
          <w:iCs/>
          <w:szCs w:val="24"/>
        </w:rPr>
        <w:t>Journal of Agricultural Education</w:t>
      </w:r>
      <w:r w:rsidRPr="004F7F85">
        <w:rPr>
          <w:rFonts w:cs="Times New Roman"/>
          <w:szCs w:val="24"/>
        </w:rPr>
        <w:t>, 39(4), 43</w:t>
      </w:r>
      <w:r w:rsidR="00243B01" w:rsidRPr="004F7F85">
        <w:rPr>
          <w:rFonts w:cs="Times New Roman"/>
          <w:szCs w:val="24"/>
        </w:rPr>
        <w:t>–</w:t>
      </w:r>
      <w:r w:rsidRPr="004F7F85">
        <w:rPr>
          <w:rFonts w:cs="Times New Roman"/>
          <w:szCs w:val="24"/>
        </w:rPr>
        <w:t xml:space="preserve">55. </w:t>
      </w:r>
      <w:r w:rsidR="00C70F31" w:rsidRPr="004F7F85">
        <w:rPr>
          <w:rFonts w:cs="Times New Roman"/>
          <w:szCs w:val="24"/>
        </w:rPr>
        <w:t>Doi</w:t>
      </w:r>
      <w:r w:rsidRPr="004F7F85">
        <w:rPr>
          <w:rFonts w:cs="Times New Roman"/>
          <w:szCs w:val="24"/>
        </w:rPr>
        <w:t>: 10.5032/jae.1998.04001.</w:t>
      </w:r>
    </w:p>
    <w:p w14:paraId="79C21AB6" w14:textId="2367F215" w:rsidR="00FE6671" w:rsidRPr="004F7F85" w:rsidRDefault="00FE6671" w:rsidP="00243B01">
      <w:pPr>
        <w:spacing w:line="240" w:lineRule="auto"/>
        <w:ind w:left="720" w:hanging="720"/>
        <w:rPr>
          <w:rFonts w:cs="Times New Roman"/>
          <w:szCs w:val="24"/>
        </w:rPr>
      </w:pPr>
      <w:r w:rsidRPr="004F7F85">
        <w:rPr>
          <w:rFonts w:cs="Times New Roman"/>
          <w:szCs w:val="24"/>
        </w:rPr>
        <w:t xml:space="preserve">Balschweid, M.A., Thompson, G.W., Cole, R.L. (2000). Agriculture and science integration: A pre-service prescription for contextual learning. </w:t>
      </w:r>
      <w:r w:rsidRPr="004F7F85">
        <w:rPr>
          <w:rFonts w:cs="Times New Roman"/>
          <w:i/>
          <w:iCs/>
          <w:szCs w:val="24"/>
        </w:rPr>
        <w:t>Journal of Agricultural Education</w:t>
      </w:r>
      <w:r w:rsidRPr="004F7F85">
        <w:rPr>
          <w:rFonts w:cs="Times New Roman"/>
          <w:szCs w:val="24"/>
        </w:rPr>
        <w:t>, 41(2):36</w:t>
      </w:r>
      <w:r w:rsidR="00243B01" w:rsidRPr="004F7F85">
        <w:rPr>
          <w:rFonts w:cs="Times New Roman"/>
          <w:szCs w:val="24"/>
        </w:rPr>
        <w:t>–</w:t>
      </w:r>
      <w:r w:rsidRPr="004F7F85">
        <w:rPr>
          <w:rFonts w:cs="Times New Roman"/>
          <w:szCs w:val="24"/>
        </w:rPr>
        <w:t>45.</w:t>
      </w:r>
    </w:p>
    <w:p w14:paraId="3C7B18C8" w14:textId="7E95C0B4" w:rsidR="00FE6671" w:rsidRPr="004F7F85" w:rsidRDefault="00FE6671" w:rsidP="00243B01">
      <w:pPr>
        <w:spacing w:line="240" w:lineRule="auto"/>
        <w:ind w:left="720" w:hanging="720"/>
        <w:rPr>
          <w:rFonts w:cs="Times New Roman"/>
          <w:szCs w:val="24"/>
        </w:rPr>
      </w:pPr>
      <w:r w:rsidRPr="004F7F85">
        <w:rPr>
          <w:rFonts w:cs="Times New Roman"/>
          <w:szCs w:val="24"/>
        </w:rPr>
        <w:t xml:space="preserve">Bandura, A. (1978). The </w:t>
      </w:r>
      <w:proofErr w:type="spellStart"/>
      <w:r w:rsidRPr="004F7F85">
        <w:rPr>
          <w:rFonts w:cs="Times New Roman"/>
          <w:szCs w:val="24"/>
        </w:rPr>
        <w:t>self system</w:t>
      </w:r>
      <w:proofErr w:type="spellEnd"/>
      <w:r w:rsidRPr="004F7F85">
        <w:rPr>
          <w:rFonts w:cs="Times New Roman"/>
          <w:szCs w:val="24"/>
        </w:rPr>
        <w:t xml:space="preserve"> in reciprocal determinism. </w:t>
      </w:r>
      <w:r w:rsidRPr="004F7F85">
        <w:rPr>
          <w:rFonts w:cs="Times New Roman"/>
          <w:i/>
          <w:iCs/>
          <w:szCs w:val="24"/>
        </w:rPr>
        <w:t xml:space="preserve">American </w:t>
      </w:r>
      <w:r w:rsidR="00E95681" w:rsidRPr="004F7F85">
        <w:rPr>
          <w:rFonts w:cs="Times New Roman"/>
          <w:i/>
          <w:iCs/>
          <w:szCs w:val="24"/>
        </w:rPr>
        <w:t>P</w:t>
      </w:r>
      <w:r w:rsidRPr="004F7F85">
        <w:rPr>
          <w:rFonts w:cs="Times New Roman"/>
          <w:i/>
          <w:iCs/>
          <w:szCs w:val="24"/>
        </w:rPr>
        <w:t>sychologist</w:t>
      </w:r>
      <w:r w:rsidRPr="004F7F85">
        <w:rPr>
          <w:rFonts w:cs="Times New Roman"/>
          <w:szCs w:val="24"/>
        </w:rPr>
        <w:t>, 33(4), 344.</w:t>
      </w:r>
    </w:p>
    <w:p w14:paraId="59728E9D" w14:textId="77777777" w:rsidR="00FE6671" w:rsidRPr="004F7F85" w:rsidRDefault="00FE6671" w:rsidP="00243B01">
      <w:pPr>
        <w:spacing w:line="240" w:lineRule="auto"/>
        <w:ind w:left="720" w:hanging="720"/>
        <w:rPr>
          <w:rFonts w:cs="Times New Roman"/>
          <w:szCs w:val="24"/>
        </w:rPr>
      </w:pPr>
      <w:r w:rsidRPr="004F7F85">
        <w:rPr>
          <w:rFonts w:cs="Times New Roman"/>
          <w:szCs w:val="24"/>
        </w:rPr>
        <w:t xml:space="preserve">Bandura, A. (1997). </w:t>
      </w:r>
      <w:r w:rsidRPr="004F7F85">
        <w:rPr>
          <w:rFonts w:cs="Times New Roman"/>
          <w:i/>
          <w:iCs/>
          <w:szCs w:val="24"/>
        </w:rPr>
        <w:t>Self-efficacy: The exercise of control</w:t>
      </w:r>
      <w:r w:rsidRPr="004F7F85">
        <w:rPr>
          <w:rFonts w:cs="Times New Roman"/>
          <w:szCs w:val="24"/>
        </w:rPr>
        <w:t>. New York: W.H. Freeman.</w:t>
      </w:r>
    </w:p>
    <w:p w14:paraId="3FF0E198" w14:textId="3B339AE1" w:rsidR="00FE6671" w:rsidRPr="004F7F85" w:rsidRDefault="00FE6671" w:rsidP="00243B01">
      <w:pPr>
        <w:spacing w:line="240" w:lineRule="auto"/>
        <w:ind w:left="720" w:hanging="720"/>
        <w:rPr>
          <w:rFonts w:cs="Times New Roman"/>
          <w:szCs w:val="24"/>
        </w:rPr>
      </w:pPr>
      <w:r w:rsidRPr="004F7F85">
        <w:rPr>
          <w:rFonts w:cs="Times New Roman"/>
          <w:szCs w:val="24"/>
        </w:rPr>
        <w:t xml:space="preserve">Bowling, A. M., Klooster, W., &amp; Lindsey, A. J. (2024). Professional development sessions increased teacher knowledge and confidence to include agriculture in core curricular courses. </w:t>
      </w:r>
      <w:r w:rsidRPr="004F7F85">
        <w:rPr>
          <w:rFonts w:cs="Times New Roman"/>
          <w:i/>
          <w:iCs/>
          <w:szCs w:val="24"/>
        </w:rPr>
        <w:t>Natural Sciences Education,</w:t>
      </w:r>
      <w:r w:rsidRPr="004F7F85">
        <w:rPr>
          <w:rFonts w:cs="Times New Roman"/>
          <w:szCs w:val="24"/>
        </w:rPr>
        <w:t xml:space="preserve"> 53(2), e20152.</w:t>
      </w:r>
    </w:p>
    <w:p w14:paraId="170B652E" w14:textId="1963428D" w:rsidR="00FE6671" w:rsidRPr="004F7F85" w:rsidRDefault="00FE6671" w:rsidP="00243B01">
      <w:pPr>
        <w:spacing w:line="240" w:lineRule="auto"/>
        <w:ind w:left="720" w:hanging="720"/>
        <w:rPr>
          <w:rFonts w:cs="Times New Roman"/>
          <w:szCs w:val="24"/>
        </w:rPr>
      </w:pPr>
      <w:r w:rsidRPr="004F7F85">
        <w:rPr>
          <w:rFonts w:cs="Times New Roman"/>
          <w:szCs w:val="24"/>
        </w:rPr>
        <w:t xml:space="preserve">Burrows, M., Sorensen, T., &amp; Spielmaker, D. (2020). </w:t>
      </w:r>
      <w:r w:rsidRPr="004F7F85">
        <w:rPr>
          <w:rFonts w:cs="Times New Roman"/>
          <w:i/>
          <w:iCs/>
          <w:szCs w:val="24"/>
        </w:rPr>
        <w:t>Assessing the Acceptance of Incorporating Agriculture into Elementary School Curriculum</w:t>
      </w:r>
      <w:r w:rsidR="008F0FAA" w:rsidRPr="004F7F85">
        <w:rPr>
          <w:rFonts w:cs="Times New Roman"/>
          <w:szCs w:val="24"/>
        </w:rPr>
        <w:t>.</w:t>
      </w:r>
    </w:p>
    <w:p w14:paraId="69FA0B29" w14:textId="08F9DF50" w:rsidR="00FE6671" w:rsidRPr="004F7F85" w:rsidRDefault="00FE6671" w:rsidP="00243B01">
      <w:pPr>
        <w:spacing w:line="240" w:lineRule="auto"/>
        <w:ind w:left="720" w:hanging="720"/>
        <w:rPr>
          <w:rFonts w:cs="Times New Roman"/>
          <w:szCs w:val="24"/>
        </w:rPr>
      </w:pPr>
      <w:r w:rsidRPr="004F7F85">
        <w:rPr>
          <w:rFonts w:cs="Times New Roman"/>
          <w:szCs w:val="24"/>
        </w:rPr>
        <w:t>Chowdhury, A., Kabir, K. H., Abdulai, A.</w:t>
      </w:r>
      <w:r w:rsidR="00D27BA9" w:rsidRPr="004F7F85">
        <w:rPr>
          <w:rFonts w:cs="Times New Roman"/>
          <w:szCs w:val="24"/>
        </w:rPr>
        <w:t xml:space="preserve"> </w:t>
      </w:r>
      <w:r w:rsidRPr="004F7F85">
        <w:rPr>
          <w:rFonts w:cs="Times New Roman"/>
          <w:szCs w:val="24"/>
        </w:rPr>
        <w:t xml:space="preserve">R., &amp; Alam, F. (2023). Systematic review of misinformation in social and online media for the development of an analytical framework for Agri-Food Sector. </w:t>
      </w:r>
      <w:r w:rsidRPr="004F7F85">
        <w:rPr>
          <w:rFonts w:cs="Times New Roman"/>
          <w:i/>
          <w:iCs/>
          <w:szCs w:val="24"/>
        </w:rPr>
        <w:t>Sustainability</w:t>
      </w:r>
      <w:r w:rsidRPr="004F7F85">
        <w:rPr>
          <w:rFonts w:cs="Times New Roman"/>
          <w:szCs w:val="24"/>
        </w:rPr>
        <w:t xml:space="preserve">, 15(6), 4753. </w:t>
      </w:r>
      <w:r w:rsidR="00C70F31" w:rsidRPr="004F7F85">
        <w:rPr>
          <w:rFonts w:cs="Times New Roman"/>
          <w:szCs w:val="24"/>
        </w:rPr>
        <w:t>Https</w:t>
      </w:r>
      <w:r w:rsidRPr="004F7F85">
        <w:rPr>
          <w:rFonts w:cs="Times New Roman"/>
          <w:szCs w:val="24"/>
        </w:rPr>
        <w:t>://doi.org/10.3390/su15064753</w:t>
      </w:r>
    </w:p>
    <w:p w14:paraId="0E299DAF" w14:textId="020CDDD4" w:rsidR="00FE6671" w:rsidRPr="004F7F85" w:rsidRDefault="00FE6671" w:rsidP="00243B01">
      <w:pPr>
        <w:spacing w:line="240" w:lineRule="auto"/>
        <w:ind w:left="720" w:hanging="720"/>
        <w:rPr>
          <w:rFonts w:cs="Times New Roman"/>
          <w:szCs w:val="24"/>
        </w:rPr>
      </w:pPr>
      <w:r w:rsidRPr="004F7F85">
        <w:rPr>
          <w:rFonts w:cs="Times New Roman"/>
          <w:szCs w:val="24"/>
        </w:rPr>
        <w:t xml:space="preserve">Colbath, S. A., &amp; Morrish, D. G. (2010). What Do College Freshmen Know About Agriculture? An Evaluation of Agricultural Literacy. </w:t>
      </w:r>
      <w:r w:rsidRPr="004F7F85">
        <w:rPr>
          <w:rFonts w:cs="Times New Roman"/>
          <w:i/>
          <w:iCs/>
          <w:szCs w:val="24"/>
        </w:rPr>
        <w:t>NACTA Journal</w:t>
      </w:r>
      <w:r w:rsidRPr="004F7F85">
        <w:rPr>
          <w:rFonts w:cs="Times New Roman"/>
          <w:szCs w:val="24"/>
        </w:rPr>
        <w:t xml:space="preserve">, 54(3), 14–17. </w:t>
      </w:r>
      <w:r w:rsidR="00C70F31" w:rsidRPr="004F7F85">
        <w:rPr>
          <w:rFonts w:cs="Times New Roman"/>
          <w:szCs w:val="24"/>
        </w:rPr>
        <w:t>Http</w:t>
      </w:r>
      <w:r w:rsidRPr="004F7F85">
        <w:rPr>
          <w:rFonts w:cs="Times New Roman"/>
          <w:szCs w:val="24"/>
        </w:rPr>
        <w:t>://www.jstor.org/stable/nactajournal.54.3.14</w:t>
      </w:r>
    </w:p>
    <w:p w14:paraId="6735D245" w14:textId="12FAC935" w:rsidR="00FE6671" w:rsidRPr="004F7F85" w:rsidRDefault="00FE6671" w:rsidP="00243B01">
      <w:pPr>
        <w:spacing w:line="240" w:lineRule="auto"/>
        <w:ind w:left="720" w:hanging="720"/>
        <w:rPr>
          <w:rFonts w:cs="Times New Roman"/>
          <w:szCs w:val="24"/>
        </w:rPr>
      </w:pPr>
      <w:r w:rsidRPr="004F7F85">
        <w:rPr>
          <w:rFonts w:cs="Times New Roman"/>
          <w:szCs w:val="24"/>
        </w:rPr>
        <w:t xml:space="preserve">Dewey, J. (1986). Experience and education. </w:t>
      </w:r>
      <w:r w:rsidRPr="004F7F85">
        <w:rPr>
          <w:rFonts w:cs="Times New Roman"/>
          <w:i/>
          <w:iCs/>
          <w:szCs w:val="24"/>
        </w:rPr>
        <w:t>The Educational Forum</w:t>
      </w:r>
      <w:r w:rsidRPr="004F7F85">
        <w:rPr>
          <w:rFonts w:cs="Times New Roman"/>
          <w:szCs w:val="24"/>
        </w:rPr>
        <w:t xml:space="preserve">, 50(3), 241–252. </w:t>
      </w:r>
      <w:r w:rsidR="00C70F31" w:rsidRPr="004F7F85">
        <w:rPr>
          <w:rFonts w:cs="Times New Roman"/>
          <w:szCs w:val="24"/>
        </w:rPr>
        <w:t>Https</w:t>
      </w:r>
      <w:r w:rsidRPr="004F7F85">
        <w:rPr>
          <w:rFonts w:cs="Times New Roman"/>
          <w:szCs w:val="24"/>
        </w:rPr>
        <w:t>://doi.org/10.1080/00131728609335764</w:t>
      </w:r>
    </w:p>
    <w:p w14:paraId="16D0804E" w14:textId="34B9E5B3" w:rsidR="00FE6671" w:rsidRPr="004F7F85" w:rsidRDefault="00FE6671" w:rsidP="00243B01">
      <w:pPr>
        <w:spacing w:line="240" w:lineRule="auto"/>
        <w:ind w:left="720" w:hanging="720"/>
        <w:rPr>
          <w:rFonts w:cs="Times New Roman"/>
          <w:szCs w:val="24"/>
        </w:rPr>
      </w:pPr>
      <w:r w:rsidRPr="004F7F85">
        <w:rPr>
          <w:rFonts w:cs="Times New Roman"/>
          <w:szCs w:val="24"/>
        </w:rPr>
        <w:t xml:space="preserve">Dillman, D. A., Smyth, J. D., &amp; Christian, L. M. (2008). </w:t>
      </w:r>
      <w:r w:rsidRPr="004F7F85">
        <w:rPr>
          <w:rFonts w:cs="Times New Roman"/>
          <w:i/>
          <w:iCs/>
          <w:szCs w:val="24"/>
        </w:rPr>
        <w:t>Internet, Mail, and Mixed-Mode Surveys: The Tailored Design Method</w:t>
      </w:r>
      <w:r w:rsidRPr="004F7F85">
        <w:rPr>
          <w:rFonts w:cs="Times New Roman"/>
          <w:szCs w:val="24"/>
        </w:rPr>
        <w:t xml:space="preserve"> (</w:t>
      </w:r>
      <w:r w:rsidR="00243B01" w:rsidRPr="004F7F85">
        <w:rPr>
          <w:rFonts w:cs="Times New Roman"/>
          <w:szCs w:val="24"/>
        </w:rPr>
        <w:t>3rd</w:t>
      </w:r>
      <w:r w:rsidRPr="004F7F85">
        <w:rPr>
          <w:rFonts w:cs="Times New Roman"/>
          <w:szCs w:val="24"/>
        </w:rPr>
        <w:t xml:space="preserve"> ed.). Wiley.</w:t>
      </w:r>
    </w:p>
    <w:p w14:paraId="0B0D27CF" w14:textId="12BCE64D" w:rsidR="00D2281E" w:rsidRPr="004F7F85" w:rsidRDefault="00FE6671" w:rsidP="00243B01">
      <w:pPr>
        <w:spacing w:line="240" w:lineRule="auto"/>
        <w:ind w:left="720" w:hanging="720"/>
        <w:rPr>
          <w:rFonts w:cs="Times New Roman"/>
          <w:szCs w:val="24"/>
        </w:rPr>
      </w:pPr>
      <w:r w:rsidRPr="004F7F85">
        <w:rPr>
          <w:rFonts w:cs="Times New Roman"/>
          <w:szCs w:val="24"/>
        </w:rPr>
        <w:t>Dillman, D. A. (20</w:t>
      </w:r>
      <w:r w:rsidR="00FC7178" w:rsidRPr="004F7F85">
        <w:rPr>
          <w:rFonts w:cs="Times New Roman"/>
          <w:szCs w:val="24"/>
        </w:rPr>
        <w:t>14</w:t>
      </w:r>
      <w:r w:rsidRPr="004F7F85">
        <w:rPr>
          <w:rFonts w:cs="Times New Roman"/>
          <w:szCs w:val="24"/>
        </w:rPr>
        <w:t xml:space="preserve">). </w:t>
      </w:r>
      <w:r w:rsidR="00D2281E" w:rsidRPr="004F7F85">
        <w:rPr>
          <w:rFonts w:cs="Times New Roman"/>
          <w:i/>
          <w:iCs/>
          <w:szCs w:val="24"/>
        </w:rPr>
        <w:t xml:space="preserve">Internet, phone, mail, and mixed-mode surveys: The tailored design method </w:t>
      </w:r>
      <w:r w:rsidR="00D2281E" w:rsidRPr="004F7F85">
        <w:rPr>
          <w:rFonts w:cs="Times New Roman"/>
          <w:szCs w:val="24"/>
        </w:rPr>
        <w:t>(4th ed.). Wiley.</w:t>
      </w:r>
    </w:p>
    <w:p w14:paraId="47607CE7" w14:textId="56475ED0" w:rsidR="00FE6671" w:rsidRPr="004F7F85" w:rsidRDefault="00FE6671" w:rsidP="00243B01">
      <w:pPr>
        <w:spacing w:line="240" w:lineRule="auto"/>
        <w:ind w:left="720" w:hanging="720"/>
        <w:rPr>
          <w:rFonts w:cs="Times New Roman"/>
          <w:szCs w:val="24"/>
        </w:rPr>
      </w:pPr>
      <w:r w:rsidRPr="004F7F85">
        <w:rPr>
          <w:rFonts w:cs="Times New Roman"/>
          <w:szCs w:val="24"/>
        </w:rPr>
        <w:t xml:space="preserve">Frick, M. J., Kahler, A. A., &amp; Miller, W. W. (1991). A Definition and Concepts of Agricultural Literacy. </w:t>
      </w:r>
      <w:r w:rsidRPr="004F7F85">
        <w:rPr>
          <w:rFonts w:cs="Times New Roman"/>
          <w:i/>
          <w:iCs/>
          <w:szCs w:val="24"/>
        </w:rPr>
        <w:t>Journal of Agricultural Education</w:t>
      </w:r>
      <w:r w:rsidRPr="004F7F85">
        <w:rPr>
          <w:rFonts w:cs="Times New Roman"/>
          <w:szCs w:val="24"/>
        </w:rPr>
        <w:t>, 32(2), 49–57.</w:t>
      </w:r>
    </w:p>
    <w:p w14:paraId="2D2E40A1" w14:textId="099776B7" w:rsidR="00FE6671" w:rsidRPr="004F7F85" w:rsidRDefault="00FE6671" w:rsidP="00243B01">
      <w:pPr>
        <w:spacing w:line="240" w:lineRule="auto"/>
        <w:ind w:left="720" w:hanging="720"/>
        <w:rPr>
          <w:rFonts w:cs="Times New Roman"/>
          <w:szCs w:val="24"/>
        </w:rPr>
      </w:pPr>
      <w:r w:rsidRPr="004F7F85">
        <w:rPr>
          <w:rFonts w:cs="Times New Roman"/>
          <w:szCs w:val="24"/>
        </w:rPr>
        <w:t xml:space="preserve">Hess, A. J., &amp; Trexler, C. J. (2011). A Qualitative Study of Agricultural Literacy in Urban Youth: What Do Elementary Students Understand about the Agri–food </w:t>
      </w:r>
      <w:proofErr w:type="gramStart"/>
      <w:r w:rsidRPr="004F7F85">
        <w:rPr>
          <w:rFonts w:cs="Times New Roman"/>
          <w:szCs w:val="24"/>
        </w:rPr>
        <w:t>System?.</w:t>
      </w:r>
      <w:proofErr w:type="gramEnd"/>
      <w:r w:rsidRPr="004F7F85">
        <w:rPr>
          <w:rFonts w:cs="Times New Roman"/>
          <w:szCs w:val="24"/>
        </w:rPr>
        <w:t xml:space="preserve"> </w:t>
      </w:r>
      <w:r w:rsidRPr="004F7F85">
        <w:rPr>
          <w:rFonts w:cs="Times New Roman"/>
          <w:i/>
          <w:iCs/>
          <w:szCs w:val="24"/>
        </w:rPr>
        <w:t>Journal of Agricultural Education</w:t>
      </w:r>
      <w:r w:rsidRPr="004F7F85">
        <w:rPr>
          <w:rFonts w:cs="Times New Roman"/>
          <w:szCs w:val="24"/>
        </w:rPr>
        <w:t xml:space="preserve">, 52(4), 1–12. </w:t>
      </w:r>
      <w:r w:rsidR="00C70F31" w:rsidRPr="004F7F85">
        <w:rPr>
          <w:rFonts w:cs="Times New Roman"/>
          <w:szCs w:val="24"/>
        </w:rPr>
        <w:t>Https</w:t>
      </w:r>
      <w:r w:rsidRPr="004F7F85">
        <w:rPr>
          <w:rFonts w:cs="Times New Roman"/>
          <w:szCs w:val="24"/>
        </w:rPr>
        <w:t>://doi.org/10.5032/jae.2011.04001</w:t>
      </w:r>
    </w:p>
    <w:p w14:paraId="7CEEE925" w14:textId="545C6FAA" w:rsidR="00FE6671" w:rsidRPr="004F7F85" w:rsidRDefault="00FE6671" w:rsidP="00243B01">
      <w:pPr>
        <w:spacing w:line="240" w:lineRule="auto"/>
        <w:ind w:left="720" w:hanging="720"/>
        <w:rPr>
          <w:rFonts w:cs="Times New Roman"/>
          <w:szCs w:val="24"/>
        </w:rPr>
      </w:pPr>
      <w:r w:rsidRPr="004F7F85">
        <w:rPr>
          <w:rFonts w:cs="Times New Roman"/>
          <w:szCs w:val="24"/>
        </w:rPr>
        <w:t xml:space="preserve">Ingram, M. L., Sorensen, T. J., &amp; Warnick, B. K. (2018). The influence of school-based agricultural education on Preservice Agriculture Teachers’ choice to teach. </w:t>
      </w:r>
      <w:r w:rsidRPr="004F7F85">
        <w:rPr>
          <w:rFonts w:cs="Times New Roman"/>
          <w:i/>
          <w:iCs/>
          <w:szCs w:val="24"/>
        </w:rPr>
        <w:t>Journal of Agricultural Education</w:t>
      </w:r>
      <w:r w:rsidRPr="004F7F85">
        <w:rPr>
          <w:rFonts w:cs="Times New Roman"/>
          <w:szCs w:val="24"/>
        </w:rPr>
        <w:t xml:space="preserve">, 59(2), 64–78. </w:t>
      </w:r>
      <w:r w:rsidR="00C70F31" w:rsidRPr="004F7F85">
        <w:rPr>
          <w:rFonts w:cs="Times New Roman"/>
          <w:szCs w:val="24"/>
        </w:rPr>
        <w:t>Https</w:t>
      </w:r>
      <w:r w:rsidRPr="004F7F85">
        <w:rPr>
          <w:rFonts w:cs="Times New Roman"/>
          <w:szCs w:val="24"/>
        </w:rPr>
        <w:t>://doi.org/10.5032/jae.2018.02064</w:t>
      </w:r>
    </w:p>
    <w:p w14:paraId="56F93A85" w14:textId="7263FEB6" w:rsidR="00FE6671" w:rsidRPr="004F7F85" w:rsidRDefault="00FE6671" w:rsidP="00243B01">
      <w:pPr>
        <w:spacing w:line="240" w:lineRule="auto"/>
        <w:ind w:left="720" w:hanging="720"/>
        <w:rPr>
          <w:rFonts w:cs="Times New Roman"/>
          <w:szCs w:val="24"/>
        </w:rPr>
      </w:pPr>
      <w:r w:rsidRPr="004F7F85">
        <w:rPr>
          <w:rFonts w:cs="Times New Roman"/>
          <w:szCs w:val="24"/>
        </w:rPr>
        <w:lastRenderedPageBreak/>
        <w:t xml:space="preserve">Johns, R. (2005). One size doesn’t fit all: Selecting response scales for attitude items. </w:t>
      </w:r>
      <w:r w:rsidRPr="004F7F85">
        <w:rPr>
          <w:rFonts w:cs="Times New Roman"/>
          <w:i/>
          <w:iCs/>
          <w:szCs w:val="24"/>
        </w:rPr>
        <w:t>Journal of Elections, Public Opinion &amp; Parties</w:t>
      </w:r>
      <w:r w:rsidRPr="004F7F85">
        <w:rPr>
          <w:rFonts w:cs="Times New Roman"/>
          <w:szCs w:val="24"/>
        </w:rPr>
        <w:t xml:space="preserve">, 15(2), 237–264. </w:t>
      </w:r>
      <w:r w:rsidR="00C70F31" w:rsidRPr="004F7F85">
        <w:rPr>
          <w:rFonts w:cs="Times New Roman"/>
          <w:szCs w:val="24"/>
        </w:rPr>
        <w:t>Https</w:t>
      </w:r>
      <w:r w:rsidRPr="004F7F85">
        <w:rPr>
          <w:rFonts w:cs="Times New Roman"/>
          <w:szCs w:val="24"/>
        </w:rPr>
        <w:t>://doi.org/10.1080/13689880500178849</w:t>
      </w:r>
    </w:p>
    <w:p w14:paraId="44B32E86" w14:textId="153B992A" w:rsidR="00FE6671" w:rsidRPr="004F7F85" w:rsidRDefault="00FE6671" w:rsidP="00243B01">
      <w:pPr>
        <w:spacing w:line="240" w:lineRule="auto"/>
        <w:ind w:left="720" w:hanging="720"/>
        <w:rPr>
          <w:rFonts w:cs="Times New Roman"/>
          <w:szCs w:val="24"/>
        </w:rPr>
      </w:pPr>
      <w:r w:rsidRPr="004F7F85">
        <w:rPr>
          <w:rFonts w:cs="Times New Roman"/>
          <w:szCs w:val="24"/>
        </w:rPr>
        <w:t xml:space="preserve">Knobloch, N. A., &amp; Martin, R. A. (2000). Agricultural awareness activities and their integration into the curriculum as perceived by elementary teachers. </w:t>
      </w:r>
      <w:r w:rsidRPr="004F7F85">
        <w:rPr>
          <w:rFonts w:cs="Times New Roman"/>
          <w:i/>
          <w:iCs/>
          <w:szCs w:val="24"/>
        </w:rPr>
        <w:t>Journal of Agricultural Education</w:t>
      </w:r>
      <w:r w:rsidRPr="004F7F85">
        <w:rPr>
          <w:rFonts w:cs="Times New Roman"/>
          <w:szCs w:val="24"/>
        </w:rPr>
        <w:t xml:space="preserve">, 41(4), 15–26. </w:t>
      </w:r>
      <w:r w:rsidR="00C70F31" w:rsidRPr="004F7F85">
        <w:rPr>
          <w:rFonts w:cs="Times New Roman"/>
          <w:szCs w:val="24"/>
        </w:rPr>
        <w:t>Https</w:t>
      </w:r>
      <w:r w:rsidRPr="004F7F85">
        <w:rPr>
          <w:rFonts w:cs="Times New Roman"/>
          <w:szCs w:val="24"/>
        </w:rPr>
        <w:t xml:space="preserve">://doi.org/10.5032/jae.2000.04015 </w:t>
      </w:r>
    </w:p>
    <w:p w14:paraId="290C9130" w14:textId="161609E1" w:rsidR="00FE6671" w:rsidRPr="004F7F85" w:rsidRDefault="00FE6671" w:rsidP="00243B01">
      <w:pPr>
        <w:spacing w:line="240" w:lineRule="auto"/>
        <w:ind w:left="720" w:hanging="720"/>
        <w:rPr>
          <w:rFonts w:cs="Times New Roman"/>
          <w:szCs w:val="24"/>
        </w:rPr>
      </w:pPr>
      <w:r w:rsidRPr="004F7F85">
        <w:rPr>
          <w:rFonts w:cs="Times New Roman"/>
          <w:szCs w:val="24"/>
        </w:rPr>
        <w:t xml:space="preserve">Knobloch, N. A., Ball, A. L., &amp; Allen, C. (2007). The Benefits </w:t>
      </w:r>
      <w:proofErr w:type="gramStart"/>
      <w:r w:rsidRPr="004F7F85">
        <w:rPr>
          <w:rFonts w:cs="Times New Roman"/>
          <w:szCs w:val="24"/>
        </w:rPr>
        <w:t>Of</w:t>
      </w:r>
      <w:proofErr w:type="gramEnd"/>
      <w:r w:rsidRPr="004F7F85">
        <w:rPr>
          <w:rFonts w:cs="Times New Roman"/>
          <w:szCs w:val="24"/>
        </w:rPr>
        <w:t xml:space="preserve"> Teaching </w:t>
      </w:r>
      <w:proofErr w:type="gramStart"/>
      <w:r w:rsidRPr="004F7F85">
        <w:rPr>
          <w:rFonts w:cs="Times New Roman"/>
          <w:szCs w:val="24"/>
        </w:rPr>
        <w:t>And</w:t>
      </w:r>
      <w:proofErr w:type="gramEnd"/>
      <w:r w:rsidRPr="004F7F85">
        <w:rPr>
          <w:rFonts w:cs="Times New Roman"/>
          <w:szCs w:val="24"/>
        </w:rPr>
        <w:t xml:space="preserve"> Learning About Agriculture </w:t>
      </w:r>
      <w:proofErr w:type="gramStart"/>
      <w:r w:rsidRPr="004F7F85">
        <w:rPr>
          <w:rFonts w:cs="Times New Roman"/>
          <w:szCs w:val="24"/>
        </w:rPr>
        <w:t>In</w:t>
      </w:r>
      <w:proofErr w:type="gramEnd"/>
      <w:r w:rsidRPr="004F7F85">
        <w:rPr>
          <w:rFonts w:cs="Times New Roman"/>
          <w:szCs w:val="24"/>
        </w:rPr>
        <w:t xml:space="preserve"> Elementary </w:t>
      </w:r>
      <w:proofErr w:type="gramStart"/>
      <w:r w:rsidRPr="004F7F85">
        <w:rPr>
          <w:rFonts w:cs="Times New Roman"/>
          <w:szCs w:val="24"/>
        </w:rPr>
        <w:t>And</w:t>
      </w:r>
      <w:proofErr w:type="gramEnd"/>
      <w:r w:rsidRPr="004F7F85">
        <w:rPr>
          <w:rFonts w:cs="Times New Roman"/>
          <w:szCs w:val="24"/>
        </w:rPr>
        <w:t xml:space="preserve"> Junior High Schools. </w:t>
      </w:r>
      <w:r w:rsidRPr="004F7F85">
        <w:rPr>
          <w:rFonts w:cs="Times New Roman"/>
          <w:i/>
          <w:iCs/>
          <w:szCs w:val="24"/>
        </w:rPr>
        <w:t>Journal of Agricultural Education</w:t>
      </w:r>
      <w:r w:rsidRPr="004F7F85">
        <w:rPr>
          <w:rFonts w:cs="Times New Roman"/>
          <w:szCs w:val="24"/>
        </w:rPr>
        <w:t xml:space="preserve">, 48(3), 25–36. </w:t>
      </w:r>
      <w:r w:rsidR="00C70F31" w:rsidRPr="004F7F85">
        <w:rPr>
          <w:rFonts w:cs="Times New Roman"/>
          <w:szCs w:val="24"/>
        </w:rPr>
        <w:t>Https</w:t>
      </w:r>
      <w:r w:rsidRPr="004F7F85">
        <w:rPr>
          <w:rFonts w:cs="Times New Roman"/>
          <w:szCs w:val="24"/>
        </w:rPr>
        <w:t>://doi.org/10.5032/jae.2007.03025</w:t>
      </w:r>
    </w:p>
    <w:p w14:paraId="622AB55A" w14:textId="312676D5" w:rsidR="00FE6671" w:rsidRPr="004F7F85" w:rsidRDefault="00FE6671" w:rsidP="00243B01">
      <w:pPr>
        <w:spacing w:line="240" w:lineRule="auto"/>
        <w:ind w:left="720" w:hanging="720"/>
        <w:rPr>
          <w:rFonts w:cs="Times New Roman"/>
          <w:szCs w:val="24"/>
        </w:rPr>
      </w:pPr>
      <w:r w:rsidRPr="004F7F85">
        <w:rPr>
          <w:rFonts w:cs="Times New Roman"/>
          <w:szCs w:val="24"/>
        </w:rPr>
        <w:t xml:space="preserve">Kovar, K. A., &amp; Ball, A. L. (2013). Two decades of Agricultural Literacy Research: A synthesis of </w:t>
      </w:r>
      <w:proofErr w:type="gramStart"/>
      <w:r w:rsidRPr="004F7F85">
        <w:rPr>
          <w:rFonts w:cs="Times New Roman"/>
          <w:szCs w:val="24"/>
        </w:rPr>
        <w:t>the literature</w:t>
      </w:r>
      <w:proofErr w:type="gramEnd"/>
      <w:r w:rsidRPr="004F7F85">
        <w:rPr>
          <w:rFonts w:cs="Times New Roman"/>
          <w:szCs w:val="24"/>
        </w:rPr>
        <w:t xml:space="preserve">. </w:t>
      </w:r>
      <w:r w:rsidRPr="004F7F85">
        <w:rPr>
          <w:rFonts w:cs="Times New Roman"/>
          <w:i/>
          <w:iCs/>
          <w:szCs w:val="24"/>
        </w:rPr>
        <w:t>Journal of Agricultural Education</w:t>
      </w:r>
      <w:r w:rsidRPr="004F7F85">
        <w:rPr>
          <w:rFonts w:cs="Times New Roman"/>
          <w:szCs w:val="24"/>
        </w:rPr>
        <w:t xml:space="preserve">, 54(1), 167–178. </w:t>
      </w:r>
      <w:r w:rsidR="00C70F31" w:rsidRPr="004F7F85">
        <w:rPr>
          <w:rFonts w:cs="Times New Roman"/>
          <w:szCs w:val="24"/>
        </w:rPr>
        <w:t>Https</w:t>
      </w:r>
      <w:r w:rsidRPr="004F7F85">
        <w:rPr>
          <w:rFonts w:cs="Times New Roman"/>
          <w:szCs w:val="24"/>
        </w:rPr>
        <w:t xml:space="preserve">://doi.org/10.5032/jae.2013.01167 </w:t>
      </w:r>
    </w:p>
    <w:p w14:paraId="296BDC3B" w14:textId="22BFB15C" w:rsidR="00FE6671" w:rsidRPr="004F7F85" w:rsidRDefault="00FE6671" w:rsidP="00243B01">
      <w:pPr>
        <w:spacing w:line="240" w:lineRule="auto"/>
        <w:ind w:left="720" w:hanging="720"/>
        <w:rPr>
          <w:rFonts w:cs="Times New Roman"/>
          <w:szCs w:val="24"/>
        </w:rPr>
      </w:pPr>
      <w:r w:rsidRPr="004F7F85">
        <w:rPr>
          <w:rFonts w:cs="Times New Roman"/>
          <w:szCs w:val="24"/>
        </w:rPr>
        <w:t xml:space="preserve">Lindner, J. R., Murphy, T. H., &amp; Briers, G. E. (2001). Handling nonresponse in Social Research. </w:t>
      </w:r>
      <w:r w:rsidRPr="004F7F85">
        <w:rPr>
          <w:rFonts w:cs="Times New Roman"/>
          <w:i/>
          <w:iCs/>
          <w:szCs w:val="24"/>
        </w:rPr>
        <w:t>Journal of Agricultural Education</w:t>
      </w:r>
      <w:r w:rsidRPr="004F7F85">
        <w:rPr>
          <w:rFonts w:cs="Times New Roman"/>
          <w:szCs w:val="24"/>
        </w:rPr>
        <w:t xml:space="preserve">, 42(4), 43–53. </w:t>
      </w:r>
      <w:r w:rsidR="00C70F31" w:rsidRPr="004F7F85">
        <w:rPr>
          <w:rFonts w:cs="Times New Roman"/>
          <w:szCs w:val="24"/>
        </w:rPr>
        <w:t>Https</w:t>
      </w:r>
      <w:r w:rsidRPr="004F7F85">
        <w:rPr>
          <w:rFonts w:cs="Times New Roman"/>
          <w:szCs w:val="24"/>
        </w:rPr>
        <w:t xml:space="preserve">://doi.org/10.5032/jae.2001.04043 </w:t>
      </w:r>
    </w:p>
    <w:p w14:paraId="29EC8EF7" w14:textId="406522B8" w:rsidR="00FE6671" w:rsidRPr="004F7F85" w:rsidRDefault="00FE6671" w:rsidP="00243B01">
      <w:pPr>
        <w:spacing w:line="240" w:lineRule="auto"/>
        <w:ind w:left="720" w:hanging="720"/>
        <w:rPr>
          <w:rFonts w:cs="Times New Roman"/>
          <w:szCs w:val="24"/>
        </w:rPr>
      </w:pPr>
      <w:r w:rsidRPr="004F7F85">
        <w:rPr>
          <w:rFonts w:cs="Times New Roman"/>
          <w:szCs w:val="24"/>
        </w:rPr>
        <w:t xml:space="preserve">Longhurst, M. L., Judd-Murray, R., Coster, D. C., &amp; Spielmaker, D. M. (2020). Measuring Agricultural Literacy: Grade 3-5 Instrument Development and Validation. </w:t>
      </w:r>
      <w:r w:rsidRPr="004F7F85">
        <w:rPr>
          <w:rFonts w:cs="Times New Roman"/>
          <w:i/>
          <w:iCs/>
          <w:szCs w:val="24"/>
        </w:rPr>
        <w:t>Journal of Agricultural Education</w:t>
      </w:r>
      <w:r w:rsidRPr="004F7F85">
        <w:rPr>
          <w:rFonts w:cs="Times New Roman"/>
          <w:szCs w:val="24"/>
        </w:rPr>
        <w:t xml:space="preserve">, 61(2), 173–192. </w:t>
      </w:r>
      <w:r w:rsidR="00C70F31" w:rsidRPr="004F7F85">
        <w:rPr>
          <w:rFonts w:cs="Times New Roman"/>
          <w:szCs w:val="24"/>
        </w:rPr>
        <w:t>Https</w:t>
      </w:r>
      <w:r w:rsidRPr="004F7F85">
        <w:rPr>
          <w:rFonts w:cs="Times New Roman"/>
          <w:szCs w:val="24"/>
        </w:rPr>
        <w:t>://doi.org/10.5032/jae.2020.02173</w:t>
      </w:r>
    </w:p>
    <w:p w14:paraId="3FCF3AEC" w14:textId="55BE7475" w:rsidR="00FE6671" w:rsidRPr="004F7F85" w:rsidRDefault="00243B01" w:rsidP="00243B01">
      <w:pPr>
        <w:spacing w:line="240" w:lineRule="auto"/>
        <w:ind w:left="720" w:hanging="720"/>
        <w:rPr>
          <w:rFonts w:cs="Times New Roman"/>
          <w:szCs w:val="24"/>
        </w:rPr>
      </w:pPr>
      <w:r w:rsidRPr="004F7F85">
        <w:rPr>
          <w:rFonts w:cs="Times New Roman"/>
          <w:szCs w:val="24"/>
        </w:rPr>
        <w:t>McKim</w:t>
      </w:r>
      <w:r w:rsidR="00FE6671" w:rsidRPr="004F7F85">
        <w:rPr>
          <w:rFonts w:cs="Times New Roman"/>
          <w:szCs w:val="24"/>
        </w:rPr>
        <w:t xml:space="preserve">, A. J., Sorensen, T. J., &amp; Burrows, M. (2021). The </w:t>
      </w:r>
      <w:r w:rsidRPr="004F7F85">
        <w:rPr>
          <w:rFonts w:cs="Times New Roman"/>
          <w:szCs w:val="24"/>
        </w:rPr>
        <w:t>COVID-19</w:t>
      </w:r>
      <w:r w:rsidR="00FE6671" w:rsidRPr="004F7F85">
        <w:rPr>
          <w:rFonts w:cs="Times New Roman"/>
          <w:szCs w:val="24"/>
        </w:rPr>
        <w:t xml:space="preserve"> pandemic and Agricultural Education: An exploration of challenges faced by teachers. </w:t>
      </w:r>
      <w:r w:rsidR="00FE6671" w:rsidRPr="004F7F85">
        <w:rPr>
          <w:rFonts w:cs="Times New Roman"/>
          <w:i/>
          <w:iCs/>
          <w:szCs w:val="24"/>
        </w:rPr>
        <w:t>Natural Sciences Education</w:t>
      </w:r>
      <w:r w:rsidR="00FE6671" w:rsidRPr="004F7F85">
        <w:rPr>
          <w:rFonts w:cs="Times New Roman"/>
          <w:szCs w:val="24"/>
        </w:rPr>
        <w:t xml:space="preserve">, 50(1). </w:t>
      </w:r>
      <w:r w:rsidR="00C70F31" w:rsidRPr="004F7F85">
        <w:rPr>
          <w:rFonts w:cs="Times New Roman"/>
          <w:szCs w:val="24"/>
        </w:rPr>
        <w:t>Https</w:t>
      </w:r>
      <w:r w:rsidR="00FE6671" w:rsidRPr="004F7F85">
        <w:rPr>
          <w:rFonts w:cs="Times New Roman"/>
          <w:szCs w:val="24"/>
        </w:rPr>
        <w:t>://doi.org/10.1002/nse2.20060</w:t>
      </w:r>
    </w:p>
    <w:p w14:paraId="4635595F" w14:textId="72A960A5" w:rsidR="00FE6671" w:rsidRPr="004F7F85" w:rsidRDefault="00FE6671" w:rsidP="00243B01">
      <w:pPr>
        <w:spacing w:line="240" w:lineRule="auto"/>
        <w:ind w:left="720" w:hanging="720"/>
        <w:rPr>
          <w:rFonts w:cs="Times New Roman"/>
          <w:szCs w:val="24"/>
        </w:rPr>
      </w:pPr>
      <w:r w:rsidRPr="004F7F85">
        <w:rPr>
          <w:rFonts w:cs="Times New Roman"/>
          <w:szCs w:val="24"/>
        </w:rPr>
        <w:t xml:space="preserve">Meischen, D. L., &amp; Trexler, C. J. (2003). Rural elementary students’ understanding of science and agricultural education benchmarks related to meat and livestock. </w:t>
      </w:r>
      <w:r w:rsidRPr="004F7F85">
        <w:rPr>
          <w:rFonts w:cs="Times New Roman"/>
          <w:i/>
          <w:iCs/>
          <w:szCs w:val="24"/>
        </w:rPr>
        <w:t>Journal of Agricultural Education</w:t>
      </w:r>
      <w:r w:rsidRPr="004F7F85">
        <w:rPr>
          <w:rFonts w:cs="Times New Roman"/>
          <w:szCs w:val="24"/>
        </w:rPr>
        <w:t xml:space="preserve">, 44, 43–55. </w:t>
      </w:r>
      <w:r w:rsidR="00C70F31" w:rsidRPr="004F7F85">
        <w:rPr>
          <w:rFonts w:cs="Times New Roman"/>
          <w:szCs w:val="24"/>
        </w:rPr>
        <w:t>Http</w:t>
      </w:r>
      <w:r w:rsidRPr="004F7F85">
        <w:rPr>
          <w:rFonts w:cs="Times New Roman"/>
          <w:szCs w:val="24"/>
        </w:rPr>
        <w:t>://www.jae-online.org/attachments/article/351/44-01-43.pdf</w:t>
      </w:r>
    </w:p>
    <w:p w14:paraId="2AB93D88" w14:textId="7A18BD50" w:rsidR="00FE6671" w:rsidRPr="004F7F85" w:rsidRDefault="00FE6671" w:rsidP="00243B01">
      <w:pPr>
        <w:spacing w:line="240" w:lineRule="auto"/>
        <w:ind w:left="720" w:hanging="720"/>
        <w:rPr>
          <w:rFonts w:cs="Times New Roman"/>
          <w:szCs w:val="24"/>
        </w:rPr>
      </w:pPr>
      <w:r w:rsidRPr="004F7F85">
        <w:rPr>
          <w:rFonts w:cs="Times New Roman"/>
          <w:szCs w:val="24"/>
        </w:rPr>
        <w:t xml:space="preserve">Mills, G. E., &amp; Gay, L. R. (2019). </w:t>
      </w:r>
      <w:r w:rsidRPr="004F7F85">
        <w:rPr>
          <w:rFonts w:cs="Times New Roman"/>
          <w:i/>
          <w:iCs/>
          <w:szCs w:val="24"/>
        </w:rPr>
        <w:t>Educational research: Competencies for analysis and applications</w:t>
      </w:r>
      <w:r w:rsidRPr="004F7F85">
        <w:rPr>
          <w:rFonts w:cs="Times New Roman"/>
          <w:szCs w:val="24"/>
        </w:rPr>
        <w:t xml:space="preserve">. Pearson. </w:t>
      </w:r>
    </w:p>
    <w:p w14:paraId="7F5F08EA" w14:textId="433F7AC6" w:rsidR="00FE6671" w:rsidRPr="004F7F85" w:rsidRDefault="00FE6671" w:rsidP="00243B01">
      <w:pPr>
        <w:spacing w:line="240" w:lineRule="auto"/>
        <w:ind w:left="720" w:hanging="720"/>
        <w:rPr>
          <w:rFonts w:cs="Times New Roman"/>
          <w:szCs w:val="24"/>
        </w:rPr>
      </w:pPr>
      <w:r w:rsidRPr="004F7F85">
        <w:rPr>
          <w:rFonts w:cs="Times New Roman"/>
          <w:szCs w:val="24"/>
        </w:rPr>
        <w:t xml:space="preserve">National Agriculture in the Classroom. (2023). </w:t>
      </w:r>
      <w:r w:rsidRPr="004F7F85">
        <w:rPr>
          <w:rFonts w:cs="Times New Roman"/>
          <w:i/>
          <w:iCs/>
          <w:szCs w:val="24"/>
        </w:rPr>
        <w:t>About</w:t>
      </w:r>
      <w:r w:rsidRPr="004F7F85">
        <w:rPr>
          <w:rFonts w:cs="Times New Roman"/>
          <w:szCs w:val="24"/>
        </w:rPr>
        <w:t xml:space="preserve">. </w:t>
      </w:r>
      <w:r w:rsidR="00C70F31" w:rsidRPr="004F7F85">
        <w:rPr>
          <w:rFonts w:cs="Times New Roman"/>
          <w:szCs w:val="24"/>
        </w:rPr>
        <w:t>Https</w:t>
      </w:r>
      <w:r w:rsidRPr="004F7F85">
        <w:rPr>
          <w:rFonts w:cs="Times New Roman"/>
          <w:szCs w:val="24"/>
        </w:rPr>
        <w:t>://agclassroom.org/get/about/</w:t>
      </w:r>
    </w:p>
    <w:p w14:paraId="3B1E5BB5" w14:textId="2A745FB5" w:rsidR="00FE6671" w:rsidRPr="004F7F85" w:rsidRDefault="00FE6671" w:rsidP="00243B01">
      <w:pPr>
        <w:spacing w:line="240" w:lineRule="auto"/>
        <w:ind w:left="720" w:hanging="720"/>
        <w:rPr>
          <w:rFonts w:cs="Times New Roman"/>
          <w:szCs w:val="24"/>
        </w:rPr>
      </w:pPr>
      <w:r w:rsidRPr="004F7F85">
        <w:rPr>
          <w:rFonts w:cs="Times New Roman"/>
          <w:szCs w:val="24"/>
        </w:rPr>
        <w:t>Nunnally, J.C. &amp; Bernstein, I.H. (1994)</w:t>
      </w:r>
      <w:r w:rsidR="00243B01" w:rsidRPr="004F7F85">
        <w:rPr>
          <w:rFonts w:cs="Times New Roman"/>
          <w:szCs w:val="24"/>
        </w:rPr>
        <w:t>.</w:t>
      </w:r>
      <w:r w:rsidRPr="004F7F85">
        <w:rPr>
          <w:rFonts w:cs="Times New Roman"/>
          <w:szCs w:val="24"/>
        </w:rPr>
        <w:t xml:space="preserve"> The Assessment of Reliability. </w:t>
      </w:r>
      <w:r w:rsidRPr="004F7F85">
        <w:rPr>
          <w:rFonts w:cs="Times New Roman"/>
          <w:i/>
          <w:iCs/>
          <w:szCs w:val="24"/>
        </w:rPr>
        <w:t>Psychometric Theory</w:t>
      </w:r>
      <w:r w:rsidRPr="004F7F85">
        <w:rPr>
          <w:rFonts w:cs="Times New Roman"/>
          <w:szCs w:val="24"/>
        </w:rPr>
        <w:t>, 3, 248</w:t>
      </w:r>
      <w:r w:rsidR="00243B01" w:rsidRPr="004F7F85">
        <w:rPr>
          <w:rFonts w:cs="Times New Roman"/>
          <w:szCs w:val="24"/>
        </w:rPr>
        <w:t>–</w:t>
      </w:r>
      <w:r w:rsidRPr="004F7F85">
        <w:rPr>
          <w:rFonts w:cs="Times New Roman"/>
          <w:szCs w:val="24"/>
        </w:rPr>
        <w:t>292.</w:t>
      </w:r>
    </w:p>
    <w:p w14:paraId="515A1CAB" w14:textId="28647326" w:rsidR="00FE6671" w:rsidRPr="004F7F85" w:rsidRDefault="00FE6671" w:rsidP="00243B01">
      <w:pPr>
        <w:spacing w:line="240" w:lineRule="auto"/>
        <w:ind w:left="720" w:hanging="720"/>
        <w:rPr>
          <w:rFonts w:cs="Times New Roman"/>
          <w:szCs w:val="24"/>
        </w:rPr>
      </w:pPr>
      <w:r w:rsidRPr="004F7F85">
        <w:rPr>
          <w:rFonts w:cs="Times New Roman"/>
          <w:szCs w:val="24"/>
        </w:rPr>
        <w:t xml:space="preserve">Parr, B. A., Edwards, M. Craig, &amp; Leising, J. G. (2008). Does a curriculum integration intervention to improve the mathematics achievement of students diminish their acquisition of technical competence? </w:t>
      </w:r>
      <w:r w:rsidR="00C70F31" w:rsidRPr="004F7F85">
        <w:rPr>
          <w:rFonts w:cs="Times New Roman"/>
          <w:szCs w:val="24"/>
        </w:rPr>
        <w:t xml:space="preserve">An </w:t>
      </w:r>
      <w:r w:rsidRPr="004F7F85">
        <w:rPr>
          <w:rFonts w:cs="Times New Roman"/>
          <w:szCs w:val="24"/>
        </w:rPr>
        <w:t xml:space="preserve">experimental study in Agricultural Mechanics. </w:t>
      </w:r>
      <w:r w:rsidRPr="004F7F85">
        <w:rPr>
          <w:rFonts w:cs="Times New Roman"/>
          <w:i/>
          <w:iCs/>
          <w:szCs w:val="24"/>
        </w:rPr>
        <w:t>Journal of Agricultural Education</w:t>
      </w:r>
      <w:r w:rsidRPr="004F7F85">
        <w:rPr>
          <w:rFonts w:cs="Times New Roman"/>
          <w:szCs w:val="24"/>
        </w:rPr>
        <w:t xml:space="preserve">, 49(1), 61–71. </w:t>
      </w:r>
      <w:r w:rsidR="00C70F31" w:rsidRPr="004F7F85">
        <w:rPr>
          <w:rFonts w:cs="Times New Roman"/>
          <w:szCs w:val="24"/>
        </w:rPr>
        <w:t>Https</w:t>
      </w:r>
      <w:r w:rsidRPr="004F7F85">
        <w:rPr>
          <w:rFonts w:cs="Times New Roman"/>
          <w:szCs w:val="24"/>
        </w:rPr>
        <w:t>://doi.org/10.5032/jae.2008.01061</w:t>
      </w:r>
    </w:p>
    <w:p w14:paraId="60DA8CAB" w14:textId="6CC859AF" w:rsidR="00FE6671" w:rsidRPr="004F7F85" w:rsidRDefault="00FE6671" w:rsidP="00243B01">
      <w:pPr>
        <w:spacing w:line="240" w:lineRule="auto"/>
        <w:ind w:left="720" w:hanging="720"/>
        <w:rPr>
          <w:rFonts w:cs="Times New Roman"/>
          <w:szCs w:val="24"/>
        </w:rPr>
      </w:pPr>
      <w:r w:rsidRPr="004F7F85">
        <w:rPr>
          <w:rFonts w:cs="Times New Roman"/>
          <w:szCs w:val="24"/>
        </w:rPr>
        <w:t xml:space="preserve">Rice, A. H., &amp; Kitchel, T. (2018). Agriculture teachers’ integrated belief systems and </w:t>
      </w:r>
      <w:proofErr w:type="gramStart"/>
      <w:r w:rsidRPr="004F7F85">
        <w:rPr>
          <w:rFonts w:cs="Times New Roman"/>
          <w:szCs w:val="24"/>
        </w:rPr>
        <w:t>its</w:t>
      </w:r>
      <w:proofErr w:type="gramEnd"/>
      <w:r w:rsidRPr="004F7F85">
        <w:rPr>
          <w:rFonts w:cs="Times New Roman"/>
          <w:szCs w:val="24"/>
        </w:rPr>
        <w:t xml:space="preserve"> influence on their pedagogical content knowledge</w:t>
      </w:r>
      <w:r w:rsidRPr="004F7F85">
        <w:rPr>
          <w:rFonts w:cs="Times New Roman"/>
          <w:i/>
          <w:iCs/>
          <w:szCs w:val="24"/>
        </w:rPr>
        <w:t>. Journal of Agricultural Education</w:t>
      </w:r>
      <w:r w:rsidRPr="004F7F85">
        <w:rPr>
          <w:rFonts w:cs="Times New Roman"/>
          <w:szCs w:val="24"/>
        </w:rPr>
        <w:t xml:space="preserve">, 59(1), 51–69. </w:t>
      </w:r>
      <w:r w:rsidR="00C70F31" w:rsidRPr="004F7F85">
        <w:rPr>
          <w:rFonts w:cs="Times New Roman"/>
          <w:szCs w:val="24"/>
        </w:rPr>
        <w:t>Https</w:t>
      </w:r>
      <w:r w:rsidRPr="004F7F85">
        <w:rPr>
          <w:rFonts w:cs="Times New Roman"/>
          <w:szCs w:val="24"/>
        </w:rPr>
        <w:t xml:space="preserve">://doi.org/10.5032/jae.2018.01059 </w:t>
      </w:r>
    </w:p>
    <w:p w14:paraId="62911E42" w14:textId="04566075" w:rsidR="00FB0F27" w:rsidRPr="004F7F85" w:rsidRDefault="00FB0F27" w:rsidP="00243B01">
      <w:pPr>
        <w:spacing w:line="240" w:lineRule="auto"/>
        <w:ind w:left="720" w:hanging="720"/>
        <w:rPr>
          <w:rFonts w:cs="Times New Roman"/>
          <w:szCs w:val="24"/>
        </w:rPr>
      </w:pPr>
      <w:r w:rsidRPr="004F7F85">
        <w:rPr>
          <w:rFonts w:cs="Times New Roman"/>
          <w:szCs w:val="24"/>
        </w:rPr>
        <w:t xml:space="preserve">Roberts, T. G., &amp; Ball, A. L. (2009). </w:t>
      </w:r>
      <w:proofErr w:type="gramStart"/>
      <w:r w:rsidRPr="004F7F85">
        <w:rPr>
          <w:rFonts w:cs="Times New Roman"/>
          <w:szCs w:val="24"/>
        </w:rPr>
        <w:t>Secondary</w:t>
      </w:r>
      <w:proofErr w:type="gramEnd"/>
      <w:r w:rsidRPr="004F7F85">
        <w:rPr>
          <w:rFonts w:cs="Times New Roman"/>
          <w:szCs w:val="24"/>
        </w:rPr>
        <w:t xml:space="preserve"> agricultural science </w:t>
      </w:r>
      <w:proofErr w:type="gramStart"/>
      <w:r w:rsidRPr="004F7F85">
        <w:rPr>
          <w:rFonts w:cs="Times New Roman"/>
          <w:szCs w:val="24"/>
        </w:rPr>
        <w:t>as</w:t>
      </w:r>
      <w:proofErr w:type="gramEnd"/>
      <w:r w:rsidRPr="004F7F85">
        <w:rPr>
          <w:rFonts w:cs="Times New Roman"/>
          <w:szCs w:val="24"/>
        </w:rPr>
        <w:t xml:space="preserve"> content and context for teaching. </w:t>
      </w:r>
      <w:r w:rsidRPr="004F7F85">
        <w:rPr>
          <w:rFonts w:cs="Times New Roman"/>
          <w:i/>
          <w:iCs/>
          <w:szCs w:val="24"/>
        </w:rPr>
        <w:t>Journal of Agricultural Education</w:t>
      </w:r>
      <w:r w:rsidRPr="004F7F85">
        <w:rPr>
          <w:rFonts w:cs="Times New Roman"/>
          <w:szCs w:val="24"/>
        </w:rPr>
        <w:t xml:space="preserve">, 50(1), 81–91. </w:t>
      </w:r>
      <w:r w:rsidR="00C70F31" w:rsidRPr="004F7F85">
        <w:rPr>
          <w:rFonts w:cs="Times New Roman"/>
          <w:szCs w:val="24"/>
        </w:rPr>
        <w:t>Https</w:t>
      </w:r>
      <w:r w:rsidRPr="004F7F85">
        <w:rPr>
          <w:rFonts w:cs="Times New Roman"/>
          <w:szCs w:val="24"/>
        </w:rPr>
        <w:t>://doi.org/10.5032/jae.2009.01081</w:t>
      </w:r>
    </w:p>
    <w:p w14:paraId="59EDAD85" w14:textId="3C6AF755" w:rsidR="00FE6671" w:rsidRPr="004F7F85" w:rsidRDefault="00FE6671" w:rsidP="00243B01">
      <w:pPr>
        <w:spacing w:line="240" w:lineRule="auto"/>
        <w:ind w:left="720" w:hanging="720"/>
        <w:rPr>
          <w:rFonts w:cs="Times New Roman"/>
          <w:szCs w:val="24"/>
        </w:rPr>
      </w:pPr>
      <w:r w:rsidRPr="004F7F85">
        <w:rPr>
          <w:rFonts w:cs="Times New Roman"/>
          <w:szCs w:val="24"/>
        </w:rPr>
        <w:t xml:space="preserve">Skipper, Y., &amp; Douglas, K. (2015). The influence of teacher feedback on children’s perceptions of student-teacher relationships. </w:t>
      </w:r>
      <w:r w:rsidRPr="004F7F85">
        <w:rPr>
          <w:rFonts w:cs="Times New Roman"/>
          <w:i/>
          <w:iCs/>
          <w:szCs w:val="24"/>
        </w:rPr>
        <w:t>British Journal of Educational Psychology</w:t>
      </w:r>
      <w:r w:rsidRPr="004F7F85">
        <w:rPr>
          <w:rFonts w:cs="Times New Roman"/>
          <w:szCs w:val="24"/>
        </w:rPr>
        <w:t xml:space="preserve">, 85(3), 276–288. </w:t>
      </w:r>
      <w:r w:rsidR="00C70F31" w:rsidRPr="004F7F85">
        <w:rPr>
          <w:rFonts w:cs="Times New Roman"/>
          <w:szCs w:val="24"/>
        </w:rPr>
        <w:t>Https</w:t>
      </w:r>
      <w:r w:rsidRPr="004F7F85">
        <w:rPr>
          <w:rFonts w:cs="Times New Roman"/>
          <w:szCs w:val="24"/>
        </w:rPr>
        <w:t>://doi.org/10.1111/bjep.12070</w:t>
      </w:r>
    </w:p>
    <w:p w14:paraId="0E26BB75" w14:textId="71EC3305" w:rsidR="00FE6671" w:rsidRPr="004F7F85" w:rsidRDefault="00FE6671" w:rsidP="00243B01">
      <w:pPr>
        <w:spacing w:line="240" w:lineRule="auto"/>
        <w:ind w:left="720" w:hanging="720"/>
        <w:rPr>
          <w:rFonts w:cs="Times New Roman"/>
          <w:szCs w:val="24"/>
        </w:rPr>
      </w:pPr>
      <w:r w:rsidRPr="004F7F85">
        <w:rPr>
          <w:rFonts w:cs="Times New Roman"/>
          <w:szCs w:val="24"/>
        </w:rPr>
        <w:t xml:space="preserve">Smalley, S. W., &amp; Rank, B. D. (2019). Preservice teacher perceptions of the role an agriculture teacher during their early field experience. </w:t>
      </w:r>
      <w:r w:rsidRPr="004F7F85">
        <w:rPr>
          <w:rFonts w:cs="Times New Roman"/>
          <w:i/>
          <w:iCs/>
          <w:szCs w:val="24"/>
        </w:rPr>
        <w:t>Journal of Agricultural Education</w:t>
      </w:r>
      <w:r w:rsidRPr="004F7F85">
        <w:rPr>
          <w:rFonts w:cs="Times New Roman"/>
          <w:szCs w:val="24"/>
        </w:rPr>
        <w:t xml:space="preserve">, 60(2), 99–108. </w:t>
      </w:r>
      <w:r w:rsidR="00C70F31" w:rsidRPr="004F7F85">
        <w:rPr>
          <w:rFonts w:cs="Times New Roman"/>
          <w:szCs w:val="24"/>
        </w:rPr>
        <w:t>Https</w:t>
      </w:r>
      <w:r w:rsidRPr="004F7F85">
        <w:rPr>
          <w:rFonts w:cs="Times New Roman"/>
          <w:szCs w:val="24"/>
        </w:rPr>
        <w:t>://doi.org/10.5032/jae.2019.02099</w:t>
      </w:r>
    </w:p>
    <w:p w14:paraId="483C42DF" w14:textId="33A7B0D9" w:rsidR="00FE6671" w:rsidRPr="004F7F85" w:rsidRDefault="00FE6671" w:rsidP="00243B01">
      <w:pPr>
        <w:spacing w:line="240" w:lineRule="auto"/>
        <w:ind w:left="720" w:hanging="720"/>
        <w:rPr>
          <w:rFonts w:cs="Times New Roman"/>
          <w:szCs w:val="24"/>
        </w:rPr>
      </w:pPr>
      <w:r w:rsidRPr="004F7F85">
        <w:rPr>
          <w:rFonts w:cs="Times New Roman"/>
          <w:szCs w:val="24"/>
        </w:rPr>
        <w:lastRenderedPageBreak/>
        <w:t xml:space="preserve">Specht, A. R., </w:t>
      </w:r>
      <w:r w:rsidR="00243B01" w:rsidRPr="004F7F85">
        <w:rPr>
          <w:rFonts w:cs="Times New Roman"/>
          <w:szCs w:val="24"/>
        </w:rPr>
        <w:t>McKim</w:t>
      </w:r>
      <w:r w:rsidRPr="004F7F85">
        <w:rPr>
          <w:rFonts w:cs="Times New Roman"/>
          <w:szCs w:val="24"/>
        </w:rPr>
        <w:t xml:space="preserve">, B. R., &amp; Rutherford, T. (2014). A little learning is dangerous: The influence of agricultural literacy and experience on young people’s perceptions of agricultural imagery. </w:t>
      </w:r>
      <w:r w:rsidRPr="004F7F85">
        <w:rPr>
          <w:rFonts w:cs="Times New Roman"/>
          <w:i/>
          <w:iCs/>
          <w:szCs w:val="24"/>
        </w:rPr>
        <w:t>Journal of Applied Communications</w:t>
      </w:r>
      <w:r w:rsidRPr="004F7F85">
        <w:rPr>
          <w:rFonts w:cs="Times New Roman"/>
          <w:szCs w:val="24"/>
        </w:rPr>
        <w:t xml:space="preserve">, 98(3). </w:t>
      </w:r>
      <w:r w:rsidR="00C70F31" w:rsidRPr="004F7F85">
        <w:rPr>
          <w:rFonts w:cs="Times New Roman"/>
          <w:szCs w:val="24"/>
        </w:rPr>
        <w:t>Https</w:t>
      </w:r>
      <w:r w:rsidRPr="004F7F85">
        <w:rPr>
          <w:rFonts w:cs="Times New Roman"/>
          <w:szCs w:val="24"/>
        </w:rPr>
        <w:t xml:space="preserve">://doi.org/10.4148/1051-0834.1086 </w:t>
      </w:r>
    </w:p>
    <w:p w14:paraId="4BC4BB5E" w14:textId="7118981C" w:rsidR="00FE6671" w:rsidRPr="004F7F85" w:rsidRDefault="00FE6671" w:rsidP="00243B01">
      <w:pPr>
        <w:spacing w:line="240" w:lineRule="auto"/>
        <w:ind w:left="720" w:hanging="720"/>
        <w:rPr>
          <w:rFonts w:cs="Times New Roman"/>
          <w:szCs w:val="24"/>
        </w:rPr>
      </w:pPr>
      <w:r w:rsidRPr="004F7F85">
        <w:rPr>
          <w:rFonts w:cs="Times New Roman"/>
          <w:szCs w:val="24"/>
        </w:rPr>
        <w:t xml:space="preserve">Spielmaker, D. M., Pastor, M., &amp; Stewardson, D. M. (2014). A logic model for agricultural literacy </w:t>
      </w:r>
      <w:proofErr w:type="gramStart"/>
      <w:r w:rsidRPr="004F7F85">
        <w:rPr>
          <w:rFonts w:cs="Times New Roman"/>
          <w:szCs w:val="24"/>
        </w:rPr>
        <w:t>programming[</w:t>
      </w:r>
      <w:proofErr w:type="gramEnd"/>
      <w:r w:rsidRPr="004F7F85">
        <w:rPr>
          <w:rFonts w:cs="Times New Roman"/>
          <w:szCs w:val="24"/>
        </w:rPr>
        <w:t>Poster session</w:t>
      </w:r>
      <w:proofErr w:type="gramStart"/>
      <w:r w:rsidRPr="004F7F85">
        <w:rPr>
          <w:rFonts w:cs="Times New Roman"/>
          <w:szCs w:val="24"/>
        </w:rPr>
        <w:t>].</w:t>
      </w:r>
      <w:r w:rsidRPr="004F7F85">
        <w:rPr>
          <w:rFonts w:cs="Times New Roman"/>
          <w:i/>
          <w:iCs/>
          <w:szCs w:val="24"/>
        </w:rPr>
        <w:t>American</w:t>
      </w:r>
      <w:proofErr w:type="gramEnd"/>
      <w:r w:rsidRPr="004F7F85">
        <w:rPr>
          <w:rFonts w:cs="Times New Roman"/>
          <w:i/>
          <w:iCs/>
          <w:szCs w:val="24"/>
        </w:rPr>
        <w:t xml:space="preserve"> Association for Agricultural Education</w:t>
      </w:r>
      <w:r w:rsidRPr="004F7F85">
        <w:rPr>
          <w:rFonts w:cs="Times New Roman"/>
          <w:szCs w:val="24"/>
        </w:rPr>
        <w:t xml:space="preserve">, Snowbird, Utah, United States. </w:t>
      </w:r>
      <w:r w:rsidR="00C70F31" w:rsidRPr="004F7F85">
        <w:rPr>
          <w:rFonts w:cs="Times New Roman"/>
          <w:szCs w:val="24"/>
        </w:rPr>
        <w:t>Http</w:t>
      </w:r>
      <w:r w:rsidRPr="004F7F85">
        <w:rPr>
          <w:rFonts w:cs="Times New Roman"/>
          <w:szCs w:val="24"/>
        </w:rPr>
        <w:t>://agliteracy.wikispaces.com/file/view/</w:t>
      </w:r>
      <w:r w:rsidR="00C70F31" w:rsidRPr="004F7F85">
        <w:rPr>
          <w:rFonts w:cs="Times New Roman"/>
          <w:szCs w:val="24"/>
        </w:rPr>
        <w:t>posteraaae</w:t>
      </w:r>
      <w:r w:rsidRPr="004F7F85">
        <w:rPr>
          <w:rFonts w:cs="Times New Roman"/>
          <w:szCs w:val="24"/>
        </w:rPr>
        <w:t>_2014.docx/560217289/</w:t>
      </w:r>
      <w:r w:rsidR="00C70F31" w:rsidRPr="004F7F85">
        <w:rPr>
          <w:rFonts w:cs="Times New Roman"/>
          <w:szCs w:val="24"/>
        </w:rPr>
        <w:t>posteraaae</w:t>
      </w:r>
      <w:r w:rsidRPr="004F7F85">
        <w:rPr>
          <w:rFonts w:cs="Times New Roman"/>
          <w:szCs w:val="24"/>
        </w:rPr>
        <w:t>_2014.docx</w:t>
      </w:r>
    </w:p>
    <w:p w14:paraId="5554D5B2" w14:textId="57D27347" w:rsidR="00FE6671" w:rsidRPr="004F7F85" w:rsidRDefault="00FE6671" w:rsidP="00243B01">
      <w:pPr>
        <w:spacing w:line="240" w:lineRule="auto"/>
        <w:ind w:left="720" w:hanging="720"/>
        <w:rPr>
          <w:rFonts w:cs="Times New Roman"/>
          <w:szCs w:val="24"/>
        </w:rPr>
      </w:pPr>
      <w:r w:rsidRPr="004F7F85">
        <w:rPr>
          <w:rFonts w:cs="Times New Roman"/>
          <w:szCs w:val="24"/>
        </w:rPr>
        <w:t xml:space="preserve">Stair, K. S., Warner, W. J., &amp; Moore, G. E. (2012). Identifying concerns of preservice and in–service teachers in agricultural education. </w:t>
      </w:r>
      <w:r w:rsidRPr="004F7F85">
        <w:rPr>
          <w:rFonts w:cs="Times New Roman"/>
          <w:i/>
          <w:iCs/>
          <w:szCs w:val="24"/>
        </w:rPr>
        <w:t>Journal of Agricultural Education</w:t>
      </w:r>
      <w:r w:rsidRPr="004F7F85">
        <w:rPr>
          <w:rFonts w:cs="Times New Roman"/>
          <w:szCs w:val="24"/>
        </w:rPr>
        <w:t xml:space="preserve">, 53(2), 153–164. </w:t>
      </w:r>
      <w:r w:rsidR="00C70F31" w:rsidRPr="004F7F85">
        <w:rPr>
          <w:rFonts w:cs="Times New Roman"/>
          <w:szCs w:val="24"/>
        </w:rPr>
        <w:t>Https</w:t>
      </w:r>
      <w:r w:rsidRPr="004F7F85">
        <w:rPr>
          <w:rFonts w:cs="Times New Roman"/>
          <w:szCs w:val="24"/>
        </w:rPr>
        <w:t xml:space="preserve">://doi.org/10.5032/jae.2012.02153 </w:t>
      </w:r>
    </w:p>
    <w:p w14:paraId="7463CD26" w14:textId="552C0EBD" w:rsidR="00FE6671" w:rsidRPr="004F7F85" w:rsidRDefault="00FE6671" w:rsidP="00243B01">
      <w:pPr>
        <w:spacing w:line="240" w:lineRule="auto"/>
        <w:ind w:left="720" w:hanging="720"/>
        <w:rPr>
          <w:rFonts w:cs="Times New Roman"/>
          <w:szCs w:val="24"/>
        </w:rPr>
      </w:pPr>
      <w:r w:rsidRPr="004F7F85">
        <w:rPr>
          <w:rFonts w:cs="Times New Roman"/>
          <w:szCs w:val="24"/>
        </w:rPr>
        <w:t xml:space="preserve">Trexler, C. </w:t>
      </w:r>
      <w:r w:rsidR="007871C8" w:rsidRPr="004F7F85">
        <w:rPr>
          <w:rFonts w:cs="Times New Roman"/>
          <w:szCs w:val="24"/>
        </w:rPr>
        <w:t>J</w:t>
      </w:r>
      <w:r w:rsidRPr="004F7F85">
        <w:rPr>
          <w:rFonts w:cs="Times New Roman"/>
          <w:szCs w:val="24"/>
        </w:rPr>
        <w:t xml:space="preserve">. &amp; Suvedi, M. (1998). Perception of Agriculture as a context for elementary science teaching: A case of change in Sanilac County, Michigan. </w:t>
      </w:r>
      <w:r w:rsidRPr="004F7F85">
        <w:rPr>
          <w:rFonts w:cs="Times New Roman"/>
          <w:i/>
          <w:iCs/>
          <w:szCs w:val="24"/>
        </w:rPr>
        <w:t>Journal of Agricultural Education</w:t>
      </w:r>
      <w:r w:rsidRPr="004F7F85">
        <w:rPr>
          <w:rFonts w:cs="Times New Roman"/>
          <w:szCs w:val="24"/>
        </w:rPr>
        <w:t>, 39(4), 43</w:t>
      </w:r>
      <w:r w:rsidR="00243B01" w:rsidRPr="004F7F85">
        <w:rPr>
          <w:rFonts w:cs="Times New Roman"/>
          <w:szCs w:val="24"/>
        </w:rPr>
        <w:t>–</w:t>
      </w:r>
      <w:r w:rsidRPr="004F7F85">
        <w:rPr>
          <w:rFonts w:cs="Times New Roman"/>
          <w:szCs w:val="24"/>
        </w:rPr>
        <w:t xml:space="preserve">55. </w:t>
      </w:r>
      <w:r w:rsidR="00C70F31" w:rsidRPr="004F7F85">
        <w:rPr>
          <w:rFonts w:cs="Times New Roman"/>
          <w:szCs w:val="24"/>
        </w:rPr>
        <w:t>Doi</w:t>
      </w:r>
      <w:r w:rsidRPr="004F7F85">
        <w:rPr>
          <w:rFonts w:cs="Times New Roman"/>
          <w:szCs w:val="24"/>
        </w:rPr>
        <w:t>: 10.5032/jae.1998.04028.</w:t>
      </w:r>
    </w:p>
    <w:p w14:paraId="3345BB3B" w14:textId="04BA3CC8" w:rsidR="00FE6671" w:rsidRPr="004F7F85" w:rsidRDefault="00FE6671" w:rsidP="00243B01">
      <w:pPr>
        <w:spacing w:line="240" w:lineRule="auto"/>
        <w:ind w:left="720" w:hanging="720"/>
        <w:rPr>
          <w:rFonts w:cs="Times New Roman"/>
          <w:szCs w:val="24"/>
        </w:rPr>
      </w:pPr>
      <w:r w:rsidRPr="004F7F85">
        <w:rPr>
          <w:rFonts w:cs="Times New Roman"/>
          <w:szCs w:val="24"/>
        </w:rPr>
        <w:t xml:space="preserve">Vallera, F. L., &amp; Bodzin, A. M. (2019). Integrating </w:t>
      </w:r>
      <w:r w:rsidR="00243B01" w:rsidRPr="004F7F85">
        <w:rPr>
          <w:rFonts w:cs="Times New Roman"/>
          <w:szCs w:val="24"/>
        </w:rPr>
        <w:t>STEM</w:t>
      </w:r>
      <w:r w:rsidRPr="004F7F85">
        <w:rPr>
          <w:rFonts w:cs="Times New Roman"/>
          <w:szCs w:val="24"/>
        </w:rPr>
        <w:t xml:space="preserve"> with </w:t>
      </w:r>
      <w:proofErr w:type="spellStart"/>
      <w:r w:rsidR="00C70F31" w:rsidRPr="004F7F85">
        <w:rPr>
          <w:rFonts w:cs="Times New Roman"/>
          <w:szCs w:val="24"/>
        </w:rPr>
        <w:t>aglit</w:t>
      </w:r>
      <w:proofErr w:type="spellEnd"/>
      <w:r w:rsidR="00C70F31" w:rsidRPr="004F7F85">
        <w:rPr>
          <w:rFonts w:cs="Times New Roman"/>
          <w:szCs w:val="24"/>
        </w:rPr>
        <w:t xml:space="preserve"> </w:t>
      </w:r>
      <w:r w:rsidRPr="004F7F85">
        <w:rPr>
          <w:rFonts w:cs="Times New Roman"/>
          <w:szCs w:val="24"/>
        </w:rPr>
        <w:t xml:space="preserve">(agricultural literacy through Innovative </w:t>
      </w:r>
      <w:proofErr w:type="gramStart"/>
      <w:r w:rsidRPr="004F7F85">
        <w:rPr>
          <w:rFonts w:cs="Times New Roman"/>
          <w:szCs w:val="24"/>
        </w:rPr>
        <w:t>Technology):</w:t>
      </w:r>
      <w:proofErr w:type="gramEnd"/>
      <w:r w:rsidRPr="004F7F85">
        <w:rPr>
          <w:rFonts w:cs="Times New Roman"/>
          <w:szCs w:val="24"/>
        </w:rPr>
        <w:t xml:space="preserve"> The efficacy of a project-based curriculum for upper-primary students. </w:t>
      </w:r>
      <w:r w:rsidRPr="004F7F85">
        <w:rPr>
          <w:rFonts w:cs="Times New Roman"/>
          <w:i/>
          <w:iCs/>
          <w:szCs w:val="24"/>
        </w:rPr>
        <w:t>International Journal of Science and Mathematics Education</w:t>
      </w:r>
      <w:r w:rsidRPr="004F7F85">
        <w:rPr>
          <w:rFonts w:cs="Times New Roman"/>
          <w:szCs w:val="24"/>
        </w:rPr>
        <w:t xml:space="preserve">, 18(3), 419–439. </w:t>
      </w:r>
      <w:r w:rsidR="00243B01" w:rsidRPr="004F7F85">
        <w:rPr>
          <w:rFonts w:cs="Times New Roman"/>
          <w:szCs w:val="24"/>
        </w:rPr>
        <w:t>https</w:t>
      </w:r>
      <w:r w:rsidRPr="004F7F85">
        <w:rPr>
          <w:rFonts w:cs="Times New Roman"/>
          <w:szCs w:val="24"/>
        </w:rPr>
        <w:t xml:space="preserve">://doi.org/10.1007/s10763-019-09979-y </w:t>
      </w:r>
    </w:p>
    <w:p w14:paraId="154D805B" w14:textId="63568883" w:rsidR="00FE6671" w:rsidRPr="004F7F85" w:rsidRDefault="00FE6671" w:rsidP="00243B01">
      <w:pPr>
        <w:spacing w:line="240" w:lineRule="auto"/>
        <w:ind w:left="720" w:hanging="720"/>
        <w:rPr>
          <w:rFonts w:cs="Times New Roman"/>
          <w:szCs w:val="24"/>
        </w:rPr>
      </w:pPr>
      <w:r w:rsidRPr="004F7F85">
        <w:rPr>
          <w:rFonts w:cs="Times New Roman"/>
          <w:szCs w:val="24"/>
        </w:rPr>
        <w:t xml:space="preserve">Van Droogenbroeck, F., Spruyt, B., &amp; Vanroelen, C. (2014). Burnout among senior teachers: Investigating the role of workload and interpersonal relationships at work. </w:t>
      </w:r>
      <w:r w:rsidRPr="004F7F85">
        <w:rPr>
          <w:rFonts w:cs="Times New Roman"/>
          <w:i/>
          <w:iCs/>
          <w:szCs w:val="24"/>
        </w:rPr>
        <w:t>Teaching and Teacher Education</w:t>
      </w:r>
      <w:r w:rsidRPr="004F7F85">
        <w:rPr>
          <w:rFonts w:cs="Times New Roman"/>
          <w:szCs w:val="24"/>
        </w:rPr>
        <w:t xml:space="preserve">, 43, 99–109. </w:t>
      </w:r>
      <w:r w:rsidR="00C70F31" w:rsidRPr="004F7F85">
        <w:rPr>
          <w:rFonts w:cs="Times New Roman"/>
          <w:szCs w:val="24"/>
        </w:rPr>
        <w:t>Https</w:t>
      </w:r>
      <w:r w:rsidRPr="004F7F85">
        <w:rPr>
          <w:rFonts w:cs="Times New Roman"/>
          <w:szCs w:val="24"/>
        </w:rPr>
        <w:t xml:space="preserve">://doi.org/10.1016/j.tate.2014.07.005 </w:t>
      </w:r>
    </w:p>
    <w:p w14:paraId="55679CFA" w14:textId="58407BB2" w:rsidR="009C77C7" w:rsidRPr="004F7F85" w:rsidRDefault="00FE6671" w:rsidP="00243B01">
      <w:pPr>
        <w:spacing w:line="240" w:lineRule="auto"/>
        <w:ind w:left="720" w:hanging="720"/>
        <w:rPr>
          <w:rFonts w:cs="Times New Roman"/>
          <w:szCs w:val="24"/>
        </w:rPr>
      </w:pPr>
      <w:r w:rsidRPr="004F7F85">
        <w:rPr>
          <w:rFonts w:cs="Times New Roman"/>
          <w:szCs w:val="24"/>
        </w:rPr>
        <w:t xml:space="preserve">Weeks, K. J., Lawver, R. G., Sorensen, T. J., &amp; Warnick, B. K. (2020). Do teachers have the skills: 21st Century skills in the Agricultural Education </w:t>
      </w:r>
      <w:proofErr w:type="gramStart"/>
      <w:r w:rsidRPr="004F7F85">
        <w:rPr>
          <w:rFonts w:cs="Times New Roman"/>
          <w:szCs w:val="24"/>
        </w:rPr>
        <w:t>Classroom?</w:t>
      </w:r>
      <w:r w:rsidR="00883029" w:rsidRPr="004F7F85">
        <w:rPr>
          <w:rFonts w:cs="Times New Roman"/>
          <w:szCs w:val="24"/>
        </w:rPr>
        <w:t>.</w:t>
      </w:r>
      <w:proofErr w:type="gramEnd"/>
      <w:r w:rsidRPr="004F7F85">
        <w:rPr>
          <w:rFonts w:cs="Times New Roman"/>
          <w:szCs w:val="24"/>
        </w:rPr>
        <w:t xml:space="preserve"> </w:t>
      </w:r>
      <w:r w:rsidRPr="004F7F85">
        <w:rPr>
          <w:rFonts w:cs="Times New Roman"/>
          <w:i/>
          <w:iCs/>
          <w:szCs w:val="24"/>
        </w:rPr>
        <w:t>Journal of Agricultural Education</w:t>
      </w:r>
      <w:r w:rsidRPr="004F7F85">
        <w:rPr>
          <w:rFonts w:cs="Times New Roman"/>
          <w:szCs w:val="24"/>
        </w:rPr>
        <w:t xml:space="preserve">, 61(4), 127–142. </w:t>
      </w:r>
      <w:r w:rsidR="00C70F31" w:rsidRPr="004F7F85">
        <w:rPr>
          <w:rFonts w:cs="Times New Roman"/>
          <w:szCs w:val="24"/>
        </w:rPr>
        <w:t>Https</w:t>
      </w:r>
      <w:r w:rsidRPr="004F7F85">
        <w:rPr>
          <w:rFonts w:cs="Times New Roman"/>
          <w:szCs w:val="24"/>
        </w:rPr>
        <w:t>://doi.org/10.5032/jae.2020.04127</w:t>
      </w:r>
    </w:p>
    <w:sectPr w:rsidR="009C77C7" w:rsidRPr="004F7F85" w:rsidSect="00997530">
      <w:footerReference w:type="default" r:id="rId8"/>
      <w:pgSz w:w="12240" w:h="15840"/>
      <w:pgMar w:top="1440" w:right="1440" w:bottom="1440" w:left="1440" w:header="144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4E7B46" w14:textId="77777777" w:rsidR="00EF411D" w:rsidRDefault="00EF411D" w:rsidP="006558E8">
      <w:pPr>
        <w:spacing w:line="240" w:lineRule="auto"/>
      </w:pPr>
      <w:r>
        <w:separator/>
      </w:r>
    </w:p>
  </w:endnote>
  <w:endnote w:type="continuationSeparator" w:id="0">
    <w:p w14:paraId="50D17E39" w14:textId="77777777" w:rsidR="00EF411D" w:rsidRDefault="00EF411D" w:rsidP="006558E8">
      <w:pPr>
        <w:spacing w:line="240" w:lineRule="auto"/>
      </w:pPr>
      <w:r>
        <w:continuationSeparator/>
      </w:r>
    </w:p>
  </w:endnote>
  <w:endnote w:type="continuationNotice" w:id="1">
    <w:p w14:paraId="3F832B8F" w14:textId="77777777" w:rsidR="00EF411D" w:rsidRDefault="00EF411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131110"/>
      <w:docPartObj>
        <w:docPartGallery w:val="Page Numbers (Bottom of Page)"/>
        <w:docPartUnique/>
      </w:docPartObj>
    </w:sdtPr>
    <w:sdtEndPr>
      <w:rPr>
        <w:noProof/>
      </w:rPr>
    </w:sdtEndPr>
    <w:sdtContent>
      <w:p w14:paraId="26D0F9AC" w14:textId="37F9B4E1" w:rsidR="00EE3FEC" w:rsidRDefault="00EE3FE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792870" w14:textId="77777777" w:rsidR="00EE3FEC" w:rsidRDefault="00EE3F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0F0330" w14:textId="77777777" w:rsidR="00EF411D" w:rsidRDefault="00EF411D" w:rsidP="006558E8">
      <w:pPr>
        <w:spacing w:line="240" w:lineRule="auto"/>
      </w:pPr>
      <w:r>
        <w:separator/>
      </w:r>
    </w:p>
  </w:footnote>
  <w:footnote w:type="continuationSeparator" w:id="0">
    <w:p w14:paraId="06F112C6" w14:textId="77777777" w:rsidR="00EF411D" w:rsidRDefault="00EF411D" w:rsidP="006558E8">
      <w:pPr>
        <w:spacing w:line="240" w:lineRule="auto"/>
      </w:pPr>
      <w:r>
        <w:continuationSeparator/>
      </w:r>
    </w:p>
  </w:footnote>
  <w:footnote w:type="continuationNotice" w:id="1">
    <w:p w14:paraId="20FAD7A2" w14:textId="77777777" w:rsidR="00EF411D" w:rsidRDefault="00EF411D">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82487"/>
    <w:multiLevelType w:val="hybridMultilevel"/>
    <w:tmpl w:val="19506FCA"/>
    <w:lvl w:ilvl="0" w:tplc="0409000F">
      <w:start w:val="1"/>
      <w:numFmt w:val="decimal"/>
      <w:lvlText w:val="%1."/>
      <w:lvlJc w:val="left"/>
      <w:pPr>
        <w:ind w:left="1140" w:hanging="360"/>
      </w:pPr>
      <w:rPr>
        <w:rFonts w:hint="default"/>
      </w:rPr>
    </w:lvl>
    <w:lvl w:ilvl="1" w:tplc="FFFFFFFF" w:tentative="1">
      <w:start w:val="1"/>
      <w:numFmt w:val="lowerLetter"/>
      <w:lvlText w:val="%2."/>
      <w:lvlJc w:val="left"/>
      <w:pPr>
        <w:ind w:left="1860" w:hanging="360"/>
      </w:pPr>
    </w:lvl>
    <w:lvl w:ilvl="2" w:tplc="FFFFFFFF" w:tentative="1">
      <w:start w:val="1"/>
      <w:numFmt w:val="lowerRoman"/>
      <w:lvlText w:val="%3."/>
      <w:lvlJc w:val="right"/>
      <w:pPr>
        <w:ind w:left="2580" w:hanging="180"/>
      </w:pPr>
    </w:lvl>
    <w:lvl w:ilvl="3" w:tplc="FFFFFFFF" w:tentative="1">
      <w:start w:val="1"/>
      <w:numFmt w:val="decimal"/>
      <w:lvlText w:val="%4."/>
      <w:lvlJc w:val="left"/>
      <w:pPr>
        <w:ind w:left="3300" w:hanging="360"/>
      </w:pPr>
    </w:lvl>
    <w:lvl w:ilvl="4" w:tplc="FFFFFFFF" w:tentative="1">
      <w:start w:val="1"/>
      <w:numFmt w:val="lowerLetter"/>
      <w:lvlText w:val="%5."/>
      <w:lvlJc w:val="left"/>
      <w:pPr>
        <w:ind w:left="4020" w:hanging="360"/>
      </w:pPr>
    </w:lvl>
    <w:lvl w:ilvl="5" w:tplc="FFFFFFFF" w:tentative="1">
      <w:start w:val="1"/>
      <w:numFmt w:val="lowerRoman"/>
      <w:lvlText w:val="%6."/>
      <w:lvlJc w:val="right"/>
      <w:pPr>
        <w:ind w:left="4740" w:hanging="180"/>
      </w:pPr>
    </w:lvl>
    <w:lvl w:ilvl="6" w:tplc="FFFFFFFF" w:tentative="1">
      <w:start w:val="1"/>
      <w:numFmt w:val="decimal"/>
      <w:lvlText w:val="%7."/>
      <w:lvlJc w:val="left"/>
      <w:pPr>
        <w:ind w:left="5460" w:hanging="360"/>
      </w:pPr>
    </w:lvl>
    <w:lvl w:ilvl="7" w:tplc="FFFFFFFF" w:tentative="1">
      <w:start w:val="1"/>
      <w:numFmt w:val="lowerLetter"/>
      <w:lvlText w:val="%8."/>
      <w:lvlJc w:val="left"/>
      <w:pPr>
        <w:ind w:left="6180" w:hanging="360"/>
      </w:pPr>
    </w:lvl>
    <w:lvl w:ilvl="8" w:tplc="FFFFFFFF" w:tentative="1">
      <w:start w:val="1"/>
      <w:numFmt w:val="lowerRoman"/>
      <w:lvlText w:val="%9."/>
      <w:lvlJc w:val="right"/>
      <w:pPr>
        <w:ind w:left="6900" w:hanging="180"/>
      </w:pPr>
    </w:lvl>
  </w:abstractNum>
  <w:abstractNum w:abstractNumId="1" w15:restartNumberingAfterBreak="0">
    <w:nsid w:val="0B2410D4"/>
    <w:multiLevelType w:val="hybridMultilevel"/>
    <w:tmpl w:val="4D9CCBDE"/>
    <w:lvl w:ilvl="0" w:tplc="9CF4B7CC">
      <w:start w:val="1"/>
      <w:numFmt w:val="decimal"/>
      <w:pStyle w:val="TableofFigures"/>
      <w:lvlText w:val="%1."/>
      <w:lvlJc w:val="left"/>
      <w:pPr>
        <w:ind w:left="720" w:hanging="360"/>
      </w:pPr>
      <w:rPr>
        <w:rFonts w:ascii="Times New Roman" w:hAnsi="Times New Roman"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CA566D1"/>
    <w:multiLevelType w:val="hybridMultilevel"/>
    <w:tmpl w:val="2316726C"/>
    <w:lvl w:ilvl="0" w:tplc="F440E88A">
      <w:start w:val="1"/>
      <w:numFmt w:val="decimal"/>
      <w:pStyle w:val="TOC1"/>
      <w:lvlText w:val="%1."/>
      <w:lvlJc w:val="left"/>
      <w:pPr>
        <w:ind w:left="720" w:hanging="360"/>
      </w:pPr>
      <w:rPr>
        <w:rFonts w:ascii="Times New Roman" w:hAnsi="Times New Roman"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1E53AC3"/>
    <w:multiLevelType w:val="multilevel"/>
    <w:tmpl w:val="81D8AD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50656F4F"/>
    <w:multiLevelType w:val="hybridMultilevel"/>
    <w:tmpl w:val="C2223558"/>
    <w:lvl w:ilvl="0" w:tplc="1764D32C">
      <w:start w:val="1"/>
      <w:numFmt w:val="decimal"/>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5" w15:restartNumberingAfterBreak="0">
    <w:nsid w:val="69912E2C"/>
    <w:multiLevelType w:val="hybridMultilevel"/>
    <w:tmpl w:val="EE908C40"/>
    <w:lvl w:ilvl="0" w:tplc="0409000F">
      <w:start w:val="1"/>
      <w:numFmt w:val="decimal"/>
      <w:lvlText w:val="%1."/>
      <w:lvlJc w:val="left"/>
      <w:pPr>
        <w:ind w:left="1496" w:hanging="360"/>
      </w:pPr>
    </w:lvl>
    <w:lvl w:ilvl="1" w:tplc="04090019" w:tentative="1">
      <w:start w:val="1"/>
      <w:numFmt w:val="lowerLetter"/>
      <w:lvlText w:val="%2."/>
      <w:lvlJc w:val="left"/>
      <w:pPr>
        <w:ind w:left="2216" w:hanging="360"/>
      </w:pPr>
    </w:lvl>
    <w:lvl w:ilvl="2" w:tplc="0409001B" w:tentative="1">
      <w:start w:val="1"/>
      <w:numFmt w:val="lowerRoman"/>
      <w:lvlText w:val="%3."/>
      <w:lvlJc w:val="right"/>
      <w:pPr>
        <w:ind w:left="2936" w:hanging="180"/>
      </w:pPr>
    </w:lvl>
    <w:lvl w:ilvl="3" w:tplc="0409000F" w:tentative="1">
      <w:start w:val="1"/>
      <w:numFmt w:val="decimal"/>
      <w:lvlText w:val="%4."/>
      <w:lvlJc w:val="left"/>
      <w:pPr>
        <w:ind w:left="3656" w:hanging="360"/>
      </w:pPr>
    </w:lvl>
    <w:lvl w:ilvl="4" w:tplc="04090019" w:tentative="1">
      <w:start w:val="1"/>
      <w:numFmt w:val="lowerLetter"/>
      <w:lvlText w:val="%5."/>
      <w:lvlJc w:val="left"/>
      <w:pPr>
        <w:ind w:left="4376" w:hanging="360"/>
      </w:pPr>
    </w:lvl>
    <w:lvl w:ilvl="5" w:tplc="0409001B" w:tentative="1">
      <w:start w:val="1"/>
      <w:numFmt w:val="lowerRoman"/>
      <w:lvlText w:val="%6."/>
      <w:lvlJc w:val="right"/>
      <w:pPr>
        <w:ind w:left="5096" w:hanging="180"/>
      </w:pPr>
    </w:lvl>
    <w:lvl w:ilvl="6" w:tplc="0409000F" w:tentative="1">
      <w:start w:val="1"/>
      <w:numFmt w:val="decimal"/>
      <w:lvlText w:val="%7."/>
      <w:lvlJc w:val="left"/>
      <w:pPr>
        <w:ind w:left="5816" w:hanging="360"/>
      </w:pPr>
    </w:lvl>
    <w:lvl w:ilvl="7" w:tplc="04090019" w:tentative="1">
      <w:start w:val="1"/>
      <w:numFmt w:val="lowerLetter"/>
      <w:lvlText w:val="%8."/>
      <w:lvlJc w:val="left"/>
      <w:pPr>
        <w:ind w:left="6536" w:hanging="360"/>
      </w:pPr>
    </w:lvl>
    <w:lvl w:ilvl="8" w:tplc="0409001B" w:tentative="1">
      <w:start w:val="1"/>
      <w:numFmt w:val="lowerRoman"/>
      <w:lvlText w:val="%9."/>
      <w:lvlJc w:val="right"/>
      <w:pPr>
        <w:ind w:left="7256" w:hanging="180"/>
      </w:pPr>
    </w:lvl>
  </w:abstractNum>
  <w:num w:numId="1" w16cid:durableId="510266616">
    <w:abstractNumId w:val="2"/>
  </w:num>
  <w:num w:numId="2" w16cid:durableId="1687057245">
    <w:abstractNumId w:val="1"/>
  </w:num>
  <w:num w:numId="3" w16cid:durableId="184758423">
    <w:abstractNumId w:val="2"/>
    <w:lvlOverride w:ilvl="0">
      <w:startOverride w:val="1"/>
    </w:lvlOverride>
  </w:num>
  <w:num w:numId="4" w16cid:durableId="1601374698">
    <w:abstractNumId w:val="2"/>
    <w:lvlOverride w:ilvl="0">
      <w:startOverride w:val="1"/>
    </w:lvlOverride>
  </w:num>
  <w:num w:numId="5" w16cid:durableId="1347099629">
    <w:abstractNumId w:val="3"/>
  </w:num>
  <w:num w:numId="6" w16cid:durableId="1568763284">
    <w:abstractNumId w:val="2"/>
    <w:lvlOverride w:ilvl="0">
      <w:startOverride w:val="1"/>
    </w:lvlOverride>
  </w:num>
  <w:num w:numId="7" w16cid:durableId="1585334669">
    <w:abstractNumId w:val="2"/>
    <w:lvlOverride w:ilvl="0">
      <w:startOverride w:val="1"/>
    </w:lvlOverride>
  </w:num>
  <w:num w:numId="8" w16cid:durableId="1736388196">
    <w:abstractNumId w:val="2"/>
    <w:lvlOverride w:ilvl="0">
      <w:startOverride w:val="1"/>
    </w:lvlOverride>
  </w:num>
  <w:num w:numId="9" w16cid:durableId="1163813927">
    <w:abstractNumId w:val="5"/>
  </w:num>
  <w:num w:numId="10" w16cid:durableId="530728060">
    <w:abstractNumId w:val="4"/>
  </w:num>
  <w:num w:numId="11" w16cid:durableId="420968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882"/>
    <w:rsid w:val="000019C7"/>
    <w:rsid w:val="00004535"/>
    <w:rsid w:val="00005E95"/>
    <w:rsid w:val="00006037"/>
    <w:rsid w:val="00006691"/>
    <w:rsid w:val="00007A7B"/>
    <w:rsid w:val="00007EEC"/>
    <w:rsid w:val="00010E3D"/>
    <w:rsid w:val="00011A71"/>
    <w:rsid w:val="00015AB6"/>
    <w:rsid w:val="00015E17"/>
    <w:rsid w:val="00017470"/>
    <w:rsid w:val="0002035E"/>
    <w:rsid w:val="00020823"/>
    <w:rsid w:val="000260A1"/>
    <w:rsid w:val="000305B1"/>
    <w:rsid w:val="00031D00"/>
    <w:rsid w:val="0004291A"/>
    <w:rsid w:val="00044156"/>
    <w:rsid w:val="00054005"/>
    <w:rsid w:val="000542C8"/>
    <w:rsid w:val="000563D6"/>
    <w:rsid w:val="000600F7"/>
    <w:rsid w:val="000612A2"/>
    <w:rsid w:val="00061435"/>
    <w:rsid w:val="00061B7B"/>
    <w:rsid w:val="00064152"/>
    <w:rsid w:val="000643D9"/>
    <w:rsid w:val="00070836"/>
    <w:rsid w:val="00074741"/>
    <w:rsid w:val="000757F7"/>
    <w:rsid w:val="00085E24"/>
    <w:rsid w:val="000868E9"/>
    <w:rsid w:val="00093C76"/>
    <w:rsid w:val="00095588"/>
    <w:rsid w:val="0009587E"/>
    <w:rsid w:val="000970AB"/>
    <w:rsid w:val="00097A04"/>
    <w:rsid w:val="000A785F"/>
    <w:rsid w:val="000B1B5C"/>
    <w:rsid w:val="000B377B"/>
    <w:rsid w:val="000B5035"/>
    <w:rsid w:val="000B51CE"/>
    <w:rsid w:val="000B6A14"/>
    <w:rsid w:val="000C0D10"/>
    <w:rsid w:val="000C11C1"/>
    <w:rsid w:val="000C2472"/>
    <w:rsid w:val="000C3BE2"/>
    <w:rsid w:val="000C4BA7"/>
    <w:rsid w:val="000C785C"/>
    <w:rsid w:val="000D3E59"/>
    <w:rsid w:val="000D71FB"/>
    <w:rsid w:val="000D7913"/>
    <w:rsid w:val="000E070D"/>
    <w:rsid w:val="000E0ECB"/>
    <w:rsid w:val="000E203E"/>
    <w:rsid w:val="000E3704"/>
    <w:rsid w:val="000E6E1F"/>
    <w:rsid w:val="000F0E07"/>
    <w:rsid w:val="000F1DD1"/>
    <w:rsid w:val="000F25CC"/>
    <w:rsid w:val="000F2635"/>
    <w:rsid w:val="000F40A1"/>
    <w:rsid w:val="000F751C"/>
    <w:rsid w:val="0010434E"/>
    <w:rsid w:val="00106870"/>
    <w:rsid w:val="00111144"/>
    <w:rsid w:val="00111B7B"/>
    <w:rsid w:val="0011246A"/>
    <w:rsid w:val="0011403D"/>
    <w:rsid w:val="00115A9E"/>
    <w:rsid w:val="00116083"/>
    <w:rsid w:val="00116D7A"/>
    <w:rsid w:val="0012093F"/>
    <w:rsid w:val="00121846"/>
    <w:rsid w:val="00122005"/>
    <w:rsid w:val="0013518F"/>
    <w:rsid w:val="00137B73"/>
    <w:rsid w:val="00143C7B"/>
    <w:rsid w:val="001459C9"/>
    <w:rsid w:val="0016124E"/>
    <w:rsid w:val="00173966"/>
    <w:rsid w:val="00174109"/>
    <w:rsid w:val="00175667"/>
    <w:rsid w:val="001758D4"/>
    <w:rsid w:val="00175D11"/>
    <w:rsid w:val="00180957"/>
    <w:rsid w:val="001819CA"/>
    <w:rsid w:val="00183659"/>
    <w:rsid w:val="001852FC"/>
    <w:rsid w:val="00186B26"/>
    <w:rsid w:val="001904AE"/>
    <w:rsid w:val="001910D8"/>
    <w:rsid w:val="001A2AC2"/>
    <w:rsid w:val="001A5058"/>
    <w:rsid w:val="001A675C"/>
    <w:rsid w:val="001B02C8"/>
    <w:rsid w:val="001B066B"/>
    <w:rsid w:val="001B28C0"/>
    <w:rsid w:val="001B2F48"/>
    <w:rsid w:val="001B56B5"/>
    <w:rsid w:val="001B56C0"/>
    <w:rsid w:val="001C1549"/>
    <w:rsid w:val="001C503A"/>
    <w:rsid w:val="001D3148"/>
    <w:rsid w:val="001D3345"/>
    <w:rsid w:val="001D5C38"/>
    <w:rsid w:val="001D5D4A"/>
    <w:rsid w:val="001D60D5"/>
    <w:rsid w:val="001E0E65"/>
    <w:rsid w:val="001E3FC7"/>
    <w:rsid w:val="001E5C80"/>
    <w:rsid w:val="001F0738"/>
    <w:rsid w:val="001F3345"/>
    <w:rsid w:val="001F4559"/>
    <w:rsid w:val="001F4975"/>
    <w:rsid w:val="001F54AB"/>
    <w:rsid w:val="001F5746"/>
    <w:rsid w:val="00201C95"/>
    <w:rsid w:val="0020236A"/>
    <w:rsid w:val="002126FC"/>
    <w:rsid w:val="00217F60"/>
    <w:rsid w:val="00221E07"/>
    <w:rsid w:val="00222B86"/>
    <w:rsid w:val="002263EC"/>
    <w:rsid w:val="002320F0"/>
    <w:rsid w:val="00232934"/>
    <w:rsid w:val="0023349D"/>
    <w:rsid w:val="002334D3"/>
    <w:rsid w:val="00233BA8"/>
    <w:rsid w:val="002345A8"/>
    <w:rsid w:val="00237138"/>
    <w:rsid w:val="002425C0"/>
    <w:rsid w:val="002430B0"/>
    <w:rsid w:val="00243B01"/>
    <w:rsid w:val="00244235"/>
    <w:rsid w:val="0025177F"/>
    <w:rsid w:val="002528E8"/>
    <w:rsid w:val="00252DF3"/>
    <w:rsid w:val="00261FBB"/>
    <w:rsid w:val="00262D9A"/>
    <w:rsid w:val="00262F4D"/>
    <w:rsid w:val="002653E8"/>
    <w:rsid w:val="00272F38"/>
    <w:rsid w:val="00275B5C"/>
    <w:rsid w:val="002817E4"/>
    <w:rsid w:val="00283712"/>
    <w:rsid w:val="00285603"/>
    <w:rsid w:val="00295878"/>
    <w:rsid w:val="002A11FC"/>
    <w:rsid w:val="002A332A"/>
    <w:rsid w:val="002A3B89"/>
    <w:rsid w:val="002A5CB5"/>
    <w:rsid w:val="002B0E2D"/>
    <w:rsid w:val="002B2F2F"/>
    <w:rsid w:val="002B7CDB"/>
    <w:rsid w:val="002C1333"/>
    <w:rsid w:val="002C2E71"/>
    <w:rsid w:val="002C7589"/>
    <w:rsid w:val="002C7879"/>
    <w:rsid w:val="002C7BC9"/>
    <w:rsid w:val="002D1CF4"/>
    <w:rsid w:val="002D37DA"/>
    <w:rsid w:val="002D498E"/>
    <w:rsid w:val="002D6113"/>
    <w:rsid w:val="002E49D8"/>
    <w:rsid w:val="002E569C"/>
    <w:rsid w:val="002E7F24"/>
    <w:rsid w:val="002F0A12"/>
    <w:rsid w:val="002F0C6A"/>
    <w:rsid w:val="002F10B0"/>
    <w:rsid w:val="002F2BF1"/>
    <w:rsid w:val="002F44E3"/>
    <w:rsid w:val="002F57E3"/>
    <w:rsid w:val="00300044"/>
    <w:rsid w:val="003009B2"/>
    <w:rsid w:val="003048E2"/>
    <w:rsid w:val="003062AF"/>
    <w:rsid w:val="00311C22"/>
    <w:rsid w:val="00311C3F"/>
    <w:rsid w:val="00311C67"/>
    <w:rsid w:val="003167B0"/>
    <w:rsid w:val="00320EF7"/>
    <w:rsid w:val="003215C5"/>
    <w:rsid w:val="0033244A"/>
    <w:rsid w:val="00343BDB"/>
    <w:rsid w:val="00344970"/>
    <w:rsid w:val="003510C9"/>
    <w:rsid w:val="003571D4"/>
    <w:rsid w:val="003654AD"/>
    <w:rsid w:val="00366B22"/>
    <w:rsid w:val="00370C5E"/>
    <w:rsid w:val="00372457"/>
    <w:rsid w:val="00374535"/>
    <w:rsid w:val="00380B86"/>
    <w:rsid w:val="00383DAC"/>
    <w:rsid w:val="003852F1"/>
    <w:rsid w:val="00385AE0"/>
    <w:rsid w:val="003A02A0"/>
    <w:rsid w:val="003A19C6"/>
    <w:rsid w:val="003A2B50"/>
    <w:rsid w:val="003A5254"/>
    <w:rsid w:val="003A5BB3"/>
    <w:rsid w:val="003A7133"/>
    <w:rsid w:val="003B0470"/>
    <w:rsid w:val="003B3800"/>
    <w:rsid w:val="003B3BDD"/>
    <w:rsid w:val="003B45E6"/>
    <w:rsid w:val="003C0BDD"/>
    <w:rsid w:val="003C2B75"/>
    <w:rsid w:val="003C6839"/>
    <w:rsid w:val="003C7AFD"/>
    <w:rsid w:val="003D0378"/>
    <w:rsid w:val="003D2149"/>
    <w:rsid w:val="003D4AC1"/>
    <w:rsid w:val="003D5945"/>
    <w:rsid w:val="003D7FD7"/>
    <w:rsid w:val="003E1CC0"/>
    <w:rsid w:val="003E4027"/>
    <w:rsid w:val="003F0008"/>
    <w:rsid w:val="003F0BF4"/>
    <w:rsid w:val="003F3FDD"/>
    <w:rsid w:val="003F4474"/>
    <w:rsid w:val="004011E2"/>
    <w:rsid w:val="00401D0D"/>
    <w:rsid w:val="00402BC7"/>
    <w:rsid w:val="0041116C"/>
    <w:rsid w:val="00412BF4"/>
    <w:rsid w:val="00413984"/>
    <w:rsid w:val="00413BD8"/>
    <w:rsid w:val="004144C5"/>
    <w:rsid w:val="004263BF"/>
    <w:rsid w:val="004306AA"/>
    <w:rsid w:val="00430892"/>
    <w:rsid w:val="004347CB"/>
    <w:rsid w:val="004371FA"/>
    <w:rsid w:val="0043739C"/>
    <w:rsid w:val="00440ECB"/>
    <w:rsid w:val="0044116B"/>
    <w:rsid w:val="00443E3D"/>
    <w:rsid w:val="004449E7"/>
    <w:rsid w:val="00446A62"/>
    <w:rsid w:val="00451734"/>
    <w:rsid w:val="004579B1"/>
    <w:rsid w:val="00465444"/>
    <w:rsid w:val="00467425"/>
    <w:rsid w:val="004676BA"/>
    <w:rsid w:val="00467EC6"/>
    <w:rsid w:val="004709DB"/>
    <w:rsid w:val="00470F08"/>
    <w:rsid w:val="00473B3B"/>
    <w:rsid w:val="004746FB"/>
    <w:rsid w:val="004801C2"/>
    <w:rsid w:val="00483C69"/>
    <w:rsid w:val="00487F3B"/>
    <w:rsid w:val="0049126D"/>
    <w:rsid w:val="00492BCA"/>
    <w:rsid w:val="00492D7D"/>
    <w:rsid w:val="00496E1D"/>
    <w:rsid w:val="00497646"/>
    <w:rsid w:val="00497677"/>
    <w:rsid w:val="004976B1"/>
    <w:rsid w:val="00497D39"/>
    <w:rsid w:val="004A0DEB"/>
    <w:rsid w:val="004A1A74"/>
    <w:rsid w:val="004A6DCF"/>
    <w:rsid w:val="004B1BEC"/>
    <w:rsid w:val="004B2847"/>
    <w:rsid w:val="004B337F"/>
    <w:rsid w:val="004B6E2B"/>
    <w:rsid w:val="004C005D"/>
    <w:rsid w:val="004C2FFB"/>
    <w:rsid w:val="004C3D2A"/>
    <w:rsid w:val="004C7069"/>
    <w:rsid w:val="004C7DE7"/>
    <w:rsid w:val="004D10B8"/>
    <w:rsid w:val="004D1BFD"/>
    <w:rsid w:val="004D2E9F"/>
    <w:rsid w:val="004D4274"/>
    <w:rsid w:val="004D50D9"/>
    <w:rsid w:val="004D7BBA"/>
    <w:rsid w:val="004E0366"/>
    <w:rsid w:val="004E1592"/>
    <w:rsid w:val="004E625C"/>
    <w:rsid w:val="004E7124"/>
    <w:rsid w:val="004E72AA"/>
    <w:rsid w:val="004F0512"/>
    <w:rsid w:val="004F7018"/>
    <w:rsid w:val="004F7A0B"/>
    <w:rsid w:val="004F7F85"/>
    <w:rsid w:val="00500AC0"/>
    <w:rsid w:val="00514F9D"/>
    <w:rsid w:val="005202FA"/>
    <w:rsid w:val="00523634"/>
    <w:rsid w:val="0052447D"/>
    <w:rsid w:val="00525630"/>
    <w:rsid w:val="00526BCF"/>
    <w:rsid w:val="00526C27"/>
    <w:rsid w:val="005303A8"/>
    <w:rsid w:val="005345DB"/>
    <w:rsid w:val="00542844"/>
    <w:rsid w:val="0054653D"/>
    <w:rsid w:val="00546F1A"/>
    <w:rsid w:val="005532EE"/>
    <w:rsid w:val="00556D36"/>
    <w:rsid w:val="0056159F"/>
    <w:rsid w:val="00577847"/>
    <w:rsid w:val="0058239A"/>
    <w:rsid w:val="00583191"/>
    <w:rsid w:val="005832B9"/>
    <w:rsid w:val="00587AB6"/>
    <w:rsid w:val="005925DC"/>
    <w:rsid w:val="005937F1"/>
    <w:rsid w:val="005965B4"/>
    <w:rsid w:val="00597427"/>
    <w:rsid w:val="00597BC0"/>
    <w:rsid w:val="005A15D1"/>
    <w:rsid w:val="005A1EC3"/>
    <w:rsid w:val="005A4157"/>
    <w:rsid w:val="005A474B"/>
    <w:rsid w:val="005A59ED"/>
    <w:rsid w:val="005B7BBF"/>
    <w:rsid w:val="005B7FDA"/>
    <w:rsid w:val="005C11FD"/>
    <w:rsid w:val="005C76AE"/>
    <w:rsid w:val="005C7D7D"/>
    <w:rsid w:val="005D46DF"/>
    <w:rsid w:val="005E1D9C"/>
    <w:rsid w:val="005E2EBC"/>
    <w:rsid w:val="005E753E"/>
    <w:rsid w:val="005F0967"/>
    <w:rsid w:val="005F1536"/>
    <w:rsid w:val="005F2808"/>
    <w:rsid w:val="00602A1B"/>
    <w:rsid w:val="00602ED8"/>
    <w:rsid w:val="006068BD"/>
    <w:rsid w:val="00611323"/>
    <w:rsid w:val="00614CBB"/>
    <w:rsid w:val="006151E0"/>
    <w:rsid w:val="006205B7"/>
    <w:rsid w:val="00622998"/>
    <w:rsid w:val="00624211"/>
    <w:rsid w:val="00624CF7"/>
    <w:rsid w:val="006278FB"/>
    <w:rsid w:val="00635D5E"/>
    <w:rsid w:val="00636669"/>
    <w:rsid w:val="00641121"/>
    <w:rsid w:val="00646586"/>
    <w:rsid w:val="0064697C"/>
    <w:rsid w:val="00646DDA"/>
    <w:rsid w:val="00652F2D"/>
    <w:rsid w:val="00654CE3"/>
    <w:rsid w:val="006558E8"/>
    <w:rsid w:val="00657C91"/>
    <w:rsid w:val="006601E8"/>
    <w:rsid w:val="00662E8E"/>
    <w:rsid w:val="0066330D"/>
    <w:rsid w:val="00664D71"/>
    <w:rsid w:val="00665480"/>
    <w:rsid w:val="006725DB"/>
    <w:rsid w:val="00673EAE"/>
    <w:rsid w:val="00675A9D"/>
    <w:rsid w:val="006766ED"/>
    <w:rsid w:val="0067701A"/>
    <w:rsid w:val="006853B5"/>
    <w:rsid w:val="006855B4"/>
    <w:rsid w:val="00686515"/>
    <w:rsid w:val="006922BF"/>
    <w:rsid w:val="00695BF3"/>
    <w:rsid w:val="00697AE3"/>
    <w:rsid w:val="006A3623"/>
    <w:rsid w:val="006A7BF3"/>
    <w:rsid w:val="006B0920"/>
    <w:rsid w:val="006B09C3"/>
    <w:rsid w:val="006B3838"/>
    <w:rsid w:val="006C04FA"/>
    <w:rsid w:val="006C0FC4"/>
    <w:rsid w:val="006C192F"/>
    <w:rsid w:val="006C4086"/>
    <w:rsid w:val="006C415C"/>
    <w:rsid w:val="006C5D4C"/>
    <w:rsid w:val="006D279A"/>
    <w:rsid w:val="006D46BF"/>
    <w:rsid w:val="006D539B"/>
    <w:rsid w:val="006E111A"/>
    <w:rsid w:val="006E1CDA"/>
    <w:rsid w:val="006E2691"/>
    <w:rsid w:val="006E3257"/>
    <w:rsid w:val="006E51EB"/>
    <w:rsid w:val="006E5451"/>
    <w:rsid w:val="006F272C"/>
    <w:rsid w:val="006F41FC"/>
    <w:rsid w:val="007115EB"/>
    <w:rsid w:val="00712E0B"/>
    <w:rsid w:val="00714824"/>
    <w:rsid w:val="0071618F"/>
    <w:rsid w:val="00720C06"/>
    <w:rsid w:val="007309B2"/>
    <w:rsid w:val="00730ADF"/>
    <w:rsid w:val="00731977"/>
    <w:rsid w:val="00731FAA"/>
    <w:rsid w:val="00736080"/>
    <w:rsid w:val="0073644C"/>
    <w:rsid w:val="00737C6E"/>
    <w:rsid w:val="007406FD"/>
    <w:rsid w:val="007449F9"/>
    <w:rsid w:val="00746294"/>
    <w:rsid w:val="00747318"/>
    <w:rsid w:val="00754E29"/>
    <w:rsid w:val="00760AC8"/>
    <w:rsid w:val="00761953"/>
    <w:rsid w:val="007620D8"/>
    <w:rsid w:val="00762B16"/>
    <w:rsid w:val="0077237C"/>
    <w:rsid w:val="00772C3F"/>
    <w:rsid w:val="00774A4F"/>
    <w:rsid w:val="00777D38"/>
    <w:rsid w:val="00783125"/>
    <w:rsid w:val="0078322B"/>
    <w:rsid w:val="00785E89"/>
    <w:rsid w:val="007871C8"/>
    <w:rsid w:val="007A22C1"/>
    <w:rsid w:val="007A6455"/>
    <w:rsid w:val="007A7704"/>
    <w:rsid w:val="007B3192"/>
    <w:rsid w:val="007B71F9"/>
    <w:rsid w:val="007C5B38"/>
    <w:rsid w:val="007C6FE1"/>
    <w:rsid w:val="007C7F4C"/>
    <w:rsid w:val="007D107A"/>
    <w:rsid w:val="007D1C8D"/>
    <w:rsid w:val="007D43A0"/>
    <w:rsid w:val="007E3C58"/>
    <w:rsid w:val="007E5426"/>
    <w:rsid w:val="007F235D"/>
    <w:rsid w:val="007F4250"/>
    <w:rsid w:val="007F60E1"/>
    <w:rsid w:val="008000CC"/>
    <w:rsid w:val="0080067C"/>
    <w:rsid w:val="00801F45"/>
    <w:rsid w:val="00802EAE"/>
    <w:rsid w:val="00804BB5"/>
    <w:rsid w:val="0080619E"/>
    <w:rsid w:val="00807D47"/>
    <w:rsid w:val="00815418"/>
    <w:rsid w:val="008202B5"/>
    <w:rsid w:val="00826DDD"/>
    <w:rsid w:val="00827462"/>
    <w:rsid w:val="0083357A"/>
    <w:rsid w:val="00834BF6"/>
    <w:rsid w:val="008351EA"/>
    <w:rsid w:val="00840808"/>
    <w:rsid w:val="00840B3D"/>
    <w:rsid w:val="00843B77"/>
    <w:rsid w:val="008539A5"/>
    <w:rsid w:val="00860682"/>
    <w:rsid w:val="00864053"/>
    <w:rsid w:val="00865A7A"/>
    <w:rsid w:val="00866BC0"/>
    <w:rsid w:val="00876CAB"/>
    <w:rsid w:val="0087775D"/>
    <w:rsid w:val="00877C25"/>
    <w:rsid w:val="00880637"/>
    <w:rsid w:val="00883029"/>
    <w:rsid w:val="00883122"/>
    <w:rsid w:val="008839C8"/>
    <w:rsid w:val="00883A58"/>
    <w:rsid w:val="008851D1"/>
    <w:rsid w:val="0088593B"/>
    <w:rsid w:val="00886B61"/>
    <w:rsid w:val="00896177"/>
    <w:rsid w:val="00897046"/>
    <w:rsid w:val="008A0019"/>
    <w:rsid w:val="008A2B4B"/>
    <w:rsid w:val="008A31EE"/>
    <w:rsid w:val="008A32FD"/>
    <w:rsid w:val="008A3D5C"/>
    <w:rsid w:val="008A6320"/>
    <w:rsid w:val="008A72D0"/>
    <w:rsid w:val="008A7593"/>
    <w:rsid w:val="008B25BD"/>
    <w:rsid w:val="008B54C6"/>
    <w:rsid w:val="008B665A"/>
    <w:rsid w:val="008B7550"/>
    <w:rsid w:val="008C0278"/>
    <w:rsid w:val="008C0C9C"/>
    <w:rsid w:val="008C34C6"/>
    <w:rsid w:val="008C393B"/>
    <w:rsid w:val="008C4299"/>
    <w:rsid w:val="008C4337"/>
    <w:rsid w:val="008C7F3D"/>
    <w:rsid w:val="008D0D2E"/>
    <w:rsid w:val="008D1AA4"/>
    <w:rsid w:val="008D24F5"/>
    <w:rsid w:val="008D5A78"/>
    <w:rsid w:val="008D76D8"/>
    <w:rsid w:val="008E56E3"/>
    <w:rsid w:val="008E70AC"/>
    <w:rsid w:val="008F0FAA"/>
    <w:rsid w:val="008F3FB0"/>
    <w:rsid w:val="008F4B07"/>
    <w:rsid w:val="008F5B97"/>
    <w:rsid w:val="008F6E8F"/>
    <w:rsid w:val="00900D61"/>
    <w:rsid w:val="00903A41"/>
    <w:rsid w:val="00903B9F"/>
    <w:rsid w:val="00921BD9"/>
    <w:rsid w:val="009226EB"/>
    <w:rsid w:val="00922EB8"/>
    <w:rsid w:val="00926F46"/>
    <w:rsid w:val="00926F6D"/>
    <w:rsid w:val="00930695"/>
    <w:rsid w:val="0093071F"/>
    <w:rsid w:val="00936061"/>
    <w:rsid w:val="00936363"/>
    <w:rsid w:val="009365FD"/>
    <w:rsid w:val="00941CAF"/>
    <w:rsid w:val="0094319E"/>
    <w:rsid w:val="009514C5"/>
    <w:rsid w:val="0095595D"/>
    <w:rsid w:val="009563A0"/>
    <w:rsid w:val="00956DD1"/>
    <w:rsid w:val="009570B5"/>
    <w:rsid w:val="009613BD"/>
    <w:rsid w:val="0096420E"/>
    <w:rsid w:val="00967EE0"/>
    <w:rsid w:val="00973841"/>
    <w:rsid w:val="0097422D"/>
    <w:rsid w:val="00981303"/>
    <w:rsid w:val="00981416"/>
    <w:rsid w:val="0098213A"/>
    <w:rsid w:val="00983B17"/>
    <w:rsid w:val="00983EDB"/>
    <w:rsid w:val="009847A1"/>
    <w:rsid w:val="00984FA1"/>
    <w:rsid w:val="00992154"/>
    <w:rsid w:val="00993CE5"/>
    <w:rsid w:val="00994600"/>
    <w:rsid w:val="00996600"/>
    <w:rsid w:val="00997530"/>
    <w:rsid w:val="009A012D"/>
    <w:rsid w:val="009A02A7"/>
    <w:rsid w:val="009A16C9"/>
    <w:rsid w:val="009A550E"/>
    <w:rsid w:val="009A6A4A"/>
    <w:rsid w:val="009B2046"/>
    <w:rsid w:val="009B5D33"/>
    <w:rsid w:val="009B6477"/>
    <w:rsid w:val="009B6F8C"/>
    <w:rsid w:val="009C1E87"/>
    <w:rsid w:val="009C3376"/>
    <w:rsid w:val="009C59CF"/>
    <w:rsid w:val="009C70DD"/>
    <w:rsid w:val="009C77C7"/>
    <w:rsid w:val="009D7D04"/>
    <w:rsid w:val="009E0383"/>
    <w:rsid w:val="009E2441"/>
    <w:rsid w:val="009E5789"/>
    <w:rsid w:val="009F1877"/>
    <w:rsid w:val="009F5B69"/>
    <w:rsid w:val="009F750F"/>
    <w:rsid w:val="00A01D5F"/>
    <w:rsid w:val="00A04B1B"/>
    <w:rsid w:val="00A06B72"/>
    <w:rsid w:val="00A105F4"/>
    <w:rsid w:val="00A12269"/>
    <w:rsid w:val="00A1396E"/>
    <w:rsid w:val="00A1416B"/>
    <w:rsid w:val="00A21692"/>
    <w:rsid w:val="00A23C5B"/>
    <w:rsid w:val="00A27E83"/>
    <w:rsid w:val="00A30EAC"/>
    <w:rsid w:val="00A35882"/>
    <w:rsid w:val="00A379AB"/>
    <w:rsid w:val="00A4028D"/>
    <w:rsid w:val="00A507BF"/>
    <w:rsid w:val="00A5506F"/>
    <w:rsid w:val="00A56B31"/>
    <w:rsid w:val="00A5717B"/>
    <w:rsid w:val="00A57222"/>
    <w:rsid w:val="00A61C54"/>
    <w:rsid w:val="00A64FC3"/>
    <w:rsid w:val="00A7049A"/>
    <w:rsid w:val="00A761DA"/>
    <w:rsid w:val="00A77C50"/>
    <w:rsid w:val="00A840F9"/>
    <w:rsid w:val="00A86E27"/>
    <w:rsid w:val="00A90F59"/>
    <w:rsid w:val="00A9159D"/>
    <w:rsid w:val="00A91B4D"/>
    <w:rsid w:val="00A91F27"/>
    <w:rsid w:val="00A92668"/>
    <w:rsid w:val="00A95C0A"/>
    <w:rsid w:val="00A961C8"/>
    <w:rsid w:val="00A966F3"/>
    <w:rsid w:val="00AA347D"/>
    <w:rsid w:val="00AA6109"/>
    <w:rsid w:val="00AA6471"/>
    <w:rsid w:val="00AB0959"/>
    <w:rsid w:val="00AB5472"/>
    <w:rsid w:val="00AC04E6"/>
    <w:rsid w:val="00AC482A"/>
    <w:rsid w:val="00AC69F0"/>
    <w:rsid w:val="00AC751F"/>
    <w:rsid w:val="00AC761A"/>
    <w:rsid w:val="00AC7D4D"/>
    <w:rsid w:val="00AD1DE4"/>
    <w:rsid w:val="00AD36F2"/>
    <w:rsid w:val="00AD7342"/>
    <w:rsid w:val="00AE219B"/>
    <w:rsid w:val="00AE2739"/>
    <w:rsid w:val="00AE2AE1"/>
    <w:rsid w:val="00AE3668"/>
    <w:rsid w:val="00AE3BBE"/>
    <w:rsid w:val="00AE5A4B"/>
    <w:rsid w:val="00AF2C94"/>
    <w:rsid w:val="00AF3861"/>
    <w:rsid w:val="00B00889"/>
    <w:rsid w:val="00B0304D"/>
    <w:rsid w:val="00B03091"/>
    <w:rsid w:val="00B0504A"/>
    <w:rsid w:val="00B06612"/>
    <w:rsid w:val="00B07A12"/>
    <w:rsid w:val="00B11CEE"/>
    <w:rsid w:val="00B24AFA"/>
    <w:rsid w:val="00B5016F"/>
    <w:rsid w:val="00B51710"/>
    <w:rsid w:val="00B5250E"/>
    <w:rsid w:val="00B53171"/>
    <w:rsid w:val="00B53707"/>
    <w:rsid w:val="00B53DF5"/>
    <w:rsid w:val="00B54F39"/>
    <w:rsid w:val="00B552B0"/>
    <w:rsid w:val="00B579D0"/>
    <w:rsid w:val="00B663AD"/>
    <w:rsid w:val="00B71706"/>
    <w:rsid w:val="00B7489B"/>
    <w:rsid w:val="00B80374"/>
    <w:rsid w:val="00B81A8B"/>
    <w:rsid w:val="00B821E8"/>
    <w:rsid w:val="00B86313"/>
    <w:rsid w:val="00B86948"/>
    <w:rsid w:val="00B906D5"/>
    <w:rsid w:val="00BA2DB9"/>
    <w:rsid w:val="00BB23E9"/>
    <w:rsid w:val="00BB3D02"/>
    <w:rsid w:val="00BC52EB"/>
    <w:rsid w:val="00BC5844"/>
    <w:rsid w:val="00BE2122"/>
    <w:rsid w:val="00BF0D6D"/>
    <w:rsid w:val="00BF238D"/>
    <w:rsid w:val="00BF3C79"/>
    <w:rsid w:val="00BF5115"/>
    <w:rsid w:val="00BF5677"/>
    <w:rsid w:val="00C01463"/>
    <w:rsid w:val="00C0304D"/>
    <w:rsid w:val="00C11B93"/>
    <w:rsid w:val="00C12F74"/>
    <w:rsid w:val="00C20991"/>
    <w:rsid w:val="00C212CC"/>
    <w:rsid w:val="00C23FD5"/>
    <w:rsid w:val="00C24164"/>
    <w:rsid w:val="00C36E85"/>
    <w:rsid w:val="00C40254"/>
    <w:rsid w:val="00C40D41"/>
    <w:rsid w:val="00C5227F"/>
    <w:rsid w:val="00C5647A"/>
    <w:rsid w:val="00C637B1"/>
    <w:rsid w:val="00C705EC"/>
    <w:rsid w:val="00C70F31"/>
    <w:rsid w:val="00C71FDF"/>
    <w:rsid w:val="00C7669A"/>
    <w:rsid w:val="00C80907"/>
    <w:rsid w:val="00C854BB"/>
    <w:rsid w:val="00C85AEC"/>
    <w:rsid w:val="00C87469"/>
    <w:rsid w:val="00C90A2D"/>
    <w:rsid w:val="00C93F95"/>
    <w:rsid w:val="00C952F2"/>
    <w:rsid w:val="00C95323"/>
    <w:rsid w:val="00CA07DF"/>
    <w:rsid w:val="00CA4FB4"/>
    <w:rsid w:val="00CA6024"/>
    <w:rsid w:val="00CB4D5C"/>
    <w:rsid w:val="00CC1AC8"/>
    <w:rsid w:val="00CC64E3"/>
    <w:rsid w:val="00CD4972"/>
    <w:rsid w:val="00CD6AEE"/>
    <w:rsid w:val="00CE541D"/>
    <w:rsid w:val="00CE585B"/>
    <w:rsid w:val="00CF4CE8"/>
    <w:rsid w:val="00CF6FC7"/>
    <w:rsid w:val="00CF799C"/>
    <w:rsid w:val="00CF7F45"/>
    <w:rsid w:val="00D0036D"/>
    <w:rsid w:val="00D005D1"/>
    <w:rsid w:val="00D0197B"/>
    <w:rsid w:val="00D02B1C"/>
    <w:rsid w:val="00D03394"/>
    <w:rsid w:val="00D0760F"/>
    <w:rsid w:val="00D0785E"/>
    <w:rsid w:val="00D11B35"/>
    <w:rsid w:val="00D162D2"/>
    <w:rsid w:val="00D172D3"/>
    <w:rsid w:val="00D20924"/>
    <w:rsid w:val="00D20B98"/>
    <w:rsid w:val="00D2281E"/>
    <w:rsid w:val="00D253EB"/>
    <w:rsid w:val="00D25B2A"/>
    <w:rsid w:val="00D2654D"/>
    <w:rsid w:val="00D27BA9"/>
    <w:rsid w:val="00D301CD"/>
    <w:rsid w:val="00D327CE"/>
    <w:rsid w:val="00D34D69"/>
    <w:rsid w:val="00D3608F"/>
    <w:rsid w:val="00D37BF9"/>
    <w:rsid w:val="00D46A93"/>
    <w:rsid w:val="00D5287C"/>
    <w:rsid w:val="00D52DDD"/>
    <w:rsid w:val="00D554DF"/>
    <w:rsid w:val="00D5610B"/>
    <w:rsid w:val="00D57EB7"/>
    <w:rsid w:val="00D64330"/>
    <w:rsid w:val="00D64808"/>
    <w:rsid w:val="00D65C09"/>
    <w:rsid w:val="00D72BAE"/>
    <w:rsid w:val="00D7309F"/>
    <w:rsid w:val="00D74431"/>
    <w:rsid w:val="00D778EE"/>
    <w:rsid w:val="00D81087"/>
    <w:rsid w:val="00D83F1E"/>
    <w:rsid w:val="00D9039B"/>
    <w:rsid w:val="00D97A5C"/>
    <w:rsid w:val="00D97B82"/>
    <w:rsid w:val="00DA2A9C"/>
    <w:rsid w:val="00DA4D28"/>
    <w:rsid w:val="00DA7374"/>
    <w:rsid w:val="00DB182C"/>
    <w:rsid w:val="00DB21AC"/>
    <w:rsid w:val="00DB264A"/>
    <w:rsid w:val="00DB30C3"/>
    <w:rsid w:val="00DC35CB"/>
    <w:rsid w:val="00DC5656"/>
    <w:rsid w:val="00DC59ED"/>
    <w:rsid w:val="00DD3C9C"/>
    <w:rsid w:val="00DE1B6F"/>
    <w:rsid w:val="00DE2F1E"/>
    <w:rsid w:val="00DE784E"/>
    <w:rsid w:val="00DF45A8"/>
    <w:rsid w:val="00DF4924"/>
    <w:rsid w:val="00DF665A"/>
    <w:rsid w:val="00E01B96"/>
    <w:rsid w:val="00E02490"/>
    <w:rsid w:val="00E02BDA"/>
    <w:rsid w:val="00E03AC6"/>
    <w:rsid w:val="00E04D50"/>
    <w:rsid w:val="00E05064"/>
    <w:rsid w:val="00E058EF"/>
    <w:rsid w:val="00E06AE9"/>
    <w:rsid w:val="00E15C6B"/>
    <w:rsid w:val="00E17337"/>
    <w:rsid w:val="00E22130"/>
    <w:rsid w:val="00E22BFD"/>
    <w:rsid w:val="00E23AAE"/>
    <w:rsid w:val="00E244E6"/>
    <w:rsid w:val="00E253C1"/>
    <w:rsid w:val="00E2658F"/>
    <w:rsid w:val="00E31F52"/>
    <w:rsid w:val="00E33D30"/>
    <w:rsid w:val="00E3440B"/>
    <w:rsid w:val="00E34CBD"/>
    <w:rsid w:val="00E372F7"/>
    <w:rsid w:val="00E37491"/>
    <w:rsid w:val="00E41761"/>
    <w:rsid w:val="00E42200"/>
    <w:rsid w:val="00E42D1E"/>
    <w:rsid w:val="00E43008"/>
    <w:rsid w:val="00E4609F"/>
    <w:rsid w:val="00E472E2"/>
    <w:rsid w:val="00E54636"/>
    <w:rsid w:val="00E6058C"/>
    <w:rsid w:val="00E60F0B"/>
    <w:rsid w:val="00E62A57"/>
    <w:rsid w:val="00E645F9"/>
    <w:rsid w:val="00E71C8B"/>
    <w:rsid w:val="00E72AE9"/>
    <w:rsid w:val="00E774D1"/>
    <w:rsid w:val="00E848BD"/>
    <w:rsid w:val="00E877C0"/>
    <w:rsid w:val="00E90314"/>
    <w:rsid w:val="00E92EAF"/>
    <w:rsid w:val="00E93C84"/>
    <w:rsid w:val="00E95681"/>
    <w:rsid w:val="00E97508"/>
    <w:rsid w:val="00EA010F"/>
    <w:rsid w:val="00EA381A"/>
    <w:rsid w:val="00EA73DA"/>
    <w:rsid w:val="00EC0743"/>
    <w:rsid w:val="00EC27E9"/>
    <w:rsid w:val="00EC31E9"/>
    <w:rsid w:val="00EC3DFB"/>
    <w:rsid w:val="00EC598C"/>
    <w:rsid w:val="00EC72A1"/>
    <w:rsid w:val="00ED236A"/>
    <w:rsid w:val="00ED586B"/>
    <w:rsid w:val="00ED7C9D"/>
    <w:rsid w:val="00EE3FEC"/>
    <w:rsid w:val="00EE53E1"/>
    <w:rsid w:val="00EE6F42"/>
    <w:rsid w:val="00EE785F"/>
    <w:rsid w:val="00EF2E6B"/>
    <w:rsid w:val="00EF411D"/>
    <w:rsid w:val="00EF4A86"/>
    <w:rsid w:val="00EF747B"/>
    <w:rsid w:val="00F005DA"/>
    <w:rsid w:val="00F03845"/>
    <w:rsid w:val="00F06714"/>
    <w:rsid w:val="00F131A4"/>
    <w:rsid w:val="00F136E9"/>
    <w:rsid w:val="00F14FE6"/>
    <w:rsid w:val="00F16E22"/>
    <w:rsid w:val="00F2509F"/>
    <w:rsid w:val="00F26210"/>
    <w:rsid w:val="00F268EA"/>
    <w:rsid w:val="00F30B12"/>
    <w:rsid w:val="00F34D60"/>
    <w:rsid w:val="00F40AE7"/>
    <w:rsid w:val="00F42BDB"/>
    <w:rsid w:val="00F42D02"/>
    <w:rsid w:val="00F45686"/>
    <w:rsid w:val="00F52985"/>
    <w:rsid w:val="00F54895"/>
    <w:rsid w:val="00F62F9C"/>
    <w:rsid w:val="00F6539E"/>
    <w:rsid w:val="00F65753"/>
    <w:rsid w:val="00F709F3"/>
    <w:rsid w:val="00F719C6"/>
    <w:rsid w:val="00F724A8"/>
    <w:rsid w:val="00F72BAC"/>
    <w:rsid w:val="00F77E54"/>
    <w:rsid w:val="00F8045E"/>
    <w:rsid w:val="00F85C5C"/>
    <w:rsid w:val="00F92C41"/>
    <w:rsid w:val="00F9388E"/>
    <w:rsid w:val="00F97FC9"/>
    <w:rsid w:val="00FA01AB"/>
    <w:rsid w:val="00FA1C5E"/>
    <w:rsid w:val="00FA2827"/>
    <w:rsid w:val="00FA3A77"/>
    <w:rsid w:val="00FB026D"/>
    <w:rsid w:val="00FB0F27"/>
    <w:rsid w:val="00FB2474"/>
    <w:rsid w:val="00FB27C1"/>
    <w:rsid w:val="00FB434C"/>
    <w:rsid w:val="00FB5806"/>
    <w:rsid w:val="00FB676C"/>
    <w:rsid w:val="00FB7B84"/>
    <w:rsid w:val="00FC0DFD"/>
    <w:rsid w:val="00FC11E9"/>
    <w:rsid w:val="00FC18DF"/>
    <w:rsid w:val="00FC405B"/>
    <w:rsid w:val="00FC6A41"/>
    <w:rsid w:val="00FC7178"/>
    <w:rsid w:val="00FC76EB"/>
    <w:rsid w:val="00FC7BF3"/>
    <w:rsid w:val="00FD1736"/>
    <w:rsid w:val="00FD6806"/>
    <w:rsid w:val="00FD77A2"/>
    <w:rsid w:val="00FE28F5"/>
    <w:rsid w:val="00FE40FF"/>
    <w:rsid w:val="00FE6671"/>
    <w:rsid w:val="00FE6730"/>
    <w:rsid w:val="00FE689C"/>
    <w:rsid w:val="00FE730F"/>
    <w:rsid w:val="00FF4D61"/>
    <w:rsid w:val="00FF514F"/>
    <w:rsid w:val="029D7ABD"/>
    <w:rsid w:val="03697AE9"/>
    <w:rsid w:val="0491D2E4"/>
    <w:rsid w:val="055DB810"/>
    <w:rsid w:val="05E279B7"/>
    <w:rsid w:val="0D3DF1DB"/>
    <w:rsid w:val="0E54DBFF"/>
    <w:rsid w:val="0F5D8A05"/>
    <w:rsid w:val="1108B3BE"/>
    <w:rsid w:val="114523C7"/>
    <w:rsid w:val="11E8ECC6"/>
    <w:rsid w:val="1535A07A"/>
    <w:rsid w:val="162E33B1"/>
    <w:rsid w:val="166A07FA"/>
    <w:rsid w:val="174FDAE5"/>
    <w:rsid w:val="19529DE3"/>
    <w:rsid w:val="19833B74"/>
    <w:rsid w:val="1B8510FF"/>
    <w:rsid w:val="1D420702"/>
    <w:rsid w:val="1DB13F52"/>
    <w:rsid w:val="2146A563"/>
    <w:rsid w:val="216EE42F"/>
    <w:rsid w:val="250AABB5"/>
    <w:rsid w:val="26427E2D"/>
    <w:rsid w:val="2CC908E7"/>
    <w:rsid w:val="2D490207"/>
    <w:rsid w:val="2DC1F0AC"/>
    <w:rsid w:val="30BC79CF"/>
    <w:rsid w:val="312F8F1B"/>
    <w:rsid w:val="32F298CD"/>
    <w:rsid w:val="331558D3"/>
    <w:rsid w:val="3453B498"/>
    <w:rsid w:val="348A9E9E"/>
    <w:rsid w:val="354C3CBD"/>
    <w:rsid w:val="36B3C3C6"/>
    <w:rsid w:val="37193589"/>
    <w:rsid w:val="3849A1C0"/>
    <w:rsid w:val="3AF92516"/>
    <w:rsid w:val="3D4FB590"/>
    <w:rsid w:val="3DDA0129"/>
    <w:rsid w:val="3E451266"/>
    <w:rsid w:val="3F443E8F"/>
    <w:rsid w:val="411375AD"/>
    <w:rsid w:val="4373540D"/>
    <w:rsid w:val="45B625EF"/>
    <w:rsid w:val="468280AA"/>
    <w:rsid w:val="4855F704"/>
    <w:rsid w:val="49BFCE2A"/>
    <w:rsid w:val="49C92A15"/>
    <w:rsid w:val="4AB27B39"/>
    <w:rsid w:val="4B2886F4"/>
    <w:rsid w:val="4B38EAE9"/>
    <w:rsid w:val="4CA97B4A"/>
    <w:rsid w:val="4D914B3B"/>
    <w:rsid w:val="503DA68D"/>
    <w:rsid w:val="51D6492F"/>
    <w:rsid w:val="52BCC320"/>
    <w:rsid w:val="54023658"/>
    <w:rsid w:val="54363743"/>
    <w:rsid w:val="564364BA"/>
    <w:rsid w:val="565D52A8"/>
    <w:rsid w:val="56749EF4"/>
    <w:rsid w:val="5A6FD29C"/>
    <w:rsid w:val="5AD0F7B3"/>
    <w:rsid w:val="5DA09AD9"/>
    <w:rsid w:val="60589DB9"/>
    <w:rsid w:val="6058AA1F"/>
    <w:rsid w:val="60A7B644"/>
    <w:rsid w:val="615A49FA"/>
    <w:rsid w:val="62777C4C"/>
    <w:rsid w:val="66B384B0"/>
    <w:rsid w:val="674875F3"/>
    <w:rsid w:val="681D8460"/>
    <w:rsid w:val="6823C258"/>
    <w:rsid w:val="68A04500"/>
    <w:rsid w:val="6A2A8C62"/>
    <w:rsid w:val="6A7E27E5"/>
    <w:rsid w:val="6BBE43C2"/>
    <w:rsid w:val="6D33E2A5"/>
    <w:rsid w:val="6D5DA73C"/>
    <w:rsid w:val="711D2019"/>
    <w:rsid w:val="71BC06D7"/>
    <w:rsid w:val="729AB12D"/>
    <w:rsid w:val="743D35DD"/>
    <w:rsid w:val="757972FA"/>
    <w:rsid w:val="757DAC05"/>
    <w:rsid w:val="769E835F"/>
    <w:rsid w:val="76B4AD9E"/>
    <w:rsid w:val="7789DDDA"/>
    <w:rsid w:val="79EE80B7"/>
    <w:rsid w:val="7E3DDC25"/>
    <w:rsid w:val="7FE1A7F8"/>
    <w:rsid w:val="7FE3349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71BDEC"/>
  <w15:chartTrackingRefBased/>
  <w15:docId w15:val="{AFE49274-0C66-410C-9AB3-F3A3BCC55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131A4"/>
    <w:pPr>
      <w:spacing w:after="0" w:line="480" w:lineRule="auto"/>
    </w:pPr>
    <w:rPr>
      <w:rFonts w:ascii="Times New Roman" w:hAnsi="Times New Roman"/>
      <w:sz w:val="24"/>
    </w:rPr>
  </w:style>
  <w:style w:type="paragraph" w:styleId="Heading1">
    <w:name w:val="heading 1"/>
    <w:basedOn w:val="Normal"/>
    <w:next w:val="Normal"/>
    <w:link w:val="Heading1Char"/>
    <w:uiPriority w:val="9"/>
    <w:rsid w:val="006558E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rsid w:val="0013518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558E8"/>
    <w:pPr>
      <w:keepNext/>
      <w:keepLines/>
      <w:spacing w:before="4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6558E8"/>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93C84"/>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urthLevelHeading">
    <w:name w:val="Fourth Level Heading"/>
    <w:basedOn w:val="Normal"/>
    <w:next w:val="Normal"/>
    <w:link w:val="FourthLevelHeadingChar"/>
    <w:rsid w:val="00840808"/>
    <w:pPr>
      <w:spacing w:before="240"/>
      <w:ind w:firstLine="720"/>
      <w:outlineLvl w:val="4"/>
    </w:pPr>
    <w:rPr>
      <w:rFonts w:cs="Times New Roman"/>
      <w:i/>
      <w:iCs/>
      <w:color w:val="000000" w:themeColor="text1"/>
      <w:szCs w:val="24"/>
    </w:rPr>
  </w:style>
  <w:style w:type="character" w:customStyle="1" w:styleId="FourthLevelHeadingChar">
    <w:name w:val="Fourth Level Heading Char"/>
    <w:basedOn w:val="Heading5Char"/>
    <w:link w:val="FourthLevelHeading"/>
    <w:rsid w:val="00840808"/>
    <w:rPr>
      <w:rFonts w:ascii="Times New Roman" w:eastAsiaTheme="majorEastAsia" w:hAnsi="Times New Roman" w:cs="Times New Roman"/>
      <w:i/>
      <w:iCs/>
      <w:color w:val="000000" w:themeColor="text1"/>
      <w:sz w:val="24"/>
      <w:szCs w:val="24"/>
    </w:rPr>
  </w:style>
  <w:style w:type="character" w:customStyle="1" w:styleId="Heading5Char">
    <w:name w:val="Heading 5 Char"/>
    <w:basedOn w:val="DefaultParagraphFont"/>
    <w:link w:val="Heading5"/>
    <w:uiPriority w:val="9"/>
    <w:semiHidden/>
    <w:rsid w:val="00E93C84"/>
    <w:rPr>
      <w:rFonts w:asciiTheme="majorHAnsi" w:eastAsiaTheme="majorEastAsia" w:hAnsiTheme="majorHAnsi" w:cstheme="majorBidi"/>
      <w:color w:val="2F5496" w:themeColor="accent1" w:themeShade="BF"/>
    </w:rPr>
  </w:style>
  <w:style w:type="paragraph" w:styleId="BodyText">
    <w:name w:val="Body Text"/>
    <w:basedOn w:val="Normal"/>
    <w:link w:val="BodyTextChar"/>
    <w:uiPriority w:val="99"/>
    <w:semiHidden/>
    <w:unhideWhenUsed/>
    <w:rsid w:val="00E93C84"/>
    <w:pPr>
      <w:spacing w:after="120"/>
    </w:pPr>
  </w:style>
  <w:style w:type="character" w:customStyle="1" w:styleId="BodyTextChar">
    <w:name w:val="Body Text Char"/>
    <w:basedOn w:val="DefaultParagraphFont"/>
    <w:link w:val="BodyText"/>
    <w:uiPriority w:val="99"/>
    <w:semiHidden/>
    <w:rsid w:val="00E93C84"/>
  </w:style>
  <w:style w:type="paragraph" w:customStyle="1" w:styleId="FrontMatterTitle">
    <w:name w:val="Front Matter Title"/>
    <w:basedOn w:val="Normal"/>
    <w:next w:val="Normal"/>
    <w:link w:val="FrontMatterTitleChar"/>
    <w:rsid w:val="00646586"/>
    <w:pPr>
      <w:spacing w:after="480" w:line="240" w:lineRule="auto"/>
      <w:jc w:val="center"/>
      <w:outlineLvl w:val="0"/>
    </w:pPr>
  </w:style>
  <w:style w:type="character" w:customStyle="1" w:styleId="FrontMatterTitleChar">
    <w:name w:val="Front Matter Title Char"/>
    <w:basedOn w:val="DefaultParagraphFont"/>
    <w:link w:val="FrontMatterTitle"/>
    <w:rsid w:val="00646586"/>
    <w:rPr>
      <w:rFonts w:ascii="Times New Roman" w:hAnsi="Times New Roman"/>
      <w:sz w:val="24"/>
    </w:rPr>
  </w:style>
  <w:style w:type="paragraph" w:customStyle="1" w:styleId="ChapterTitle">
    <w:name w:val="Chapter Title"/>
    <w:basedOn w:val="Normal"/>
    <w:link w:val="ChapterTitleChar"/>
    <w:rsid w:val="00C71FDF"/>
    <w:pPr>
      <w:spacing w:after="240"/>
      <w:ind w:left="1440" w:right="1440"/>
      <w:jc w:val="center"/>
      <w:outlineLvl w:val="0"/>
    </w:pPr>
    <w:rPr>
      <w:rFonts w:cs="Times New Roman"/>
      <w:szCs w:val="24"/>
    </w:rPr>
  </w:style>
  <w:style w:type="character" w:customStyle="1" w:styleId="ChapterTitleChar">
    <w:name w:val="Chapter Title Char"/>
    <w:basedOn w:val="FrontMatterTitleChar"/>
    <w:link w:val="ChapterTitle"/>
    <w:rsid w:val="00C71FDF"/>
    <w:rPr>
      <w:rFonts w:ascii="Times New Roman" w:hAnsi="Times New Roman" w:cs="Times New Roman"/>
      <w:sz w:val="24"/>
      <w:szCs w:val="24"/>
    </w:rPr>
  </w:style>
  <w:style w:type="paragraph" w:customStyle="1" w:styleId="EndMatterTitle">
    <w:name w:val="End Matter Title"/>
    <w:basedOn w:val="Normal"/>
    <w:next w:val="Normal"/>
    <w:link w:val="EndMatterTitleChar"/>
    <w:rsid w:val="00344970"/>
    <w:pPr>
      <w:spacing w:after="480" w:line="240" w:lineRule="auto"/>
      <w:jc w:val="center"/>
      <w:outlineLvl w:val="0"/>
    </w:pPr>
    <w:rPr>
      <w:rFonts w:cs="Times New Roman"/>
      <w:szCs w:val="24"/>
    </w:rPr>
  </w:style>
  <w:style w:type="character" w:customStyle="1" w:styleId="EndMatterTitleChar">
    <w:name w:val="End Matter Title Char"/>
    <w:basedOn w:val="ChapterTitleChar"/>
    <w:link w:val="EndMatterTitle"/>
    <w:rsid w:val="00344970"/>
    <w:rPr>
      <w:rFonts w:ascii="Times New Roman" w:hAnsi="Times New Roman" w:cs="Times New Roman"/>
      <w:sz w:val="24"/>
      <w:szCs w:val="24"/>
    </w:rPr>
  </w:style>
  <w:style w:type="paragraph" w:customStyle="1" w:styleId="AppendixTitle">
    <w:name w:val="Appendix Title"/>
    <w:basedOn w:val="Normal"/>
    <w:next w:val="Normal"/>
    <w:link w:val="AppendixTitleChar"/>
    <w:rsid w:val="00C71FDF"/>
    <w:pPr>
      <w:spacing w:after="240"/>
      <w:ind w:left="1440" w:right="1440"/>
      <w:jc w:val="center"/>
      <w:outlineLvl w:val="1"/>
    </w:pPr>
    <w:rPr>
      <w:rFonts w:cs="Times New Roman"/>
      <w:szCs w:val="24"/>
    </w:rPr>
  </w:style>
  <w:style w:type="character" w:customStyle="1" w:styleId="AppendixTitleChar">
    <w:name w:val="Appendix Title Char"/>
    <w:basedOn w:val="EndMatterTitleChar"/>
    <w:link w:val="AppendixTitle"/>
    <w:rsid w:val="00C71FDF"/>
    <w:rPr>
      <w:rFonts w:ascii="Times New Roman" w:hAnsi="Times New Roman" w:cs="Times New Roman"/>
      <w:sz w:val="24"/>
      <w:szCs w:val="24"/>
    </w:rPr>
  </w:style>
  <w:style w:type="paragraph" w:customStyle="1" w:styleId="FirstLevelHeading">
    <w:name w:val="First Level Heading"/>
    <w:basedOn w:val="Normal"/>
    <w:link w:val="FirstLevelHeadingChar"/>
    <w:rsid w:val="00C71FDF"/>
    <w:pPr>
      <w:spacing w:before="240" w:after="480" w:line="240" w:lineRule="auto"/>
      <w:ind w:left="1440" w:right="1440"/>
      <w:jc w:val="center"/>
      <w:outlineLvl w:val="1"/>
    </w:pPr>
    <w:rPr>
      <w:rFonts w:cs="Times New Roman"/>
      <w:color w:val="000000" w:themeColor="text1"/>
      <w:szCs w:val="24"/>
      <w:u w:val="single"/>
    </w:rPr>
  </w:style>
  <w:style w:type="character" w:customStyle="1" w:styleId="FirstLevelHeadingChar">
    <w:name w:val="First Level Heading Char"/>
    <w:basedOn w:val="AppendixTitleChar"/>
    <w:link w:val="FirstLevelHeading"/>
    <w:rsid w:val="00C71FDF"/>
    <w:rPr>
      <w:rFonts w:ascii="Times New Roman" w:hAnsi="Times New Roman" w:cs="Times New Roman"/>
      <w:color w:val="000000" w:themeColor="text1"/>
      <w:sz w:val="24"/>
      <w:szCs w:val="24"/>
      <w:u w:val="single"/>
    </w:rPr>
  </w:style>
  <w:style w:type="paragraph" w:customStyle="1" w:styleId="SecondLevelHeading">
    <w:name w:val="Second Level Heading"/>
    <w:basedOn w:val="Normal"/>
    <w:link w:val="SecondLevelHeadingChar"/>
    <w:rsid w:val="00686515"/>
    <w:pPr>
      <w:spacing w:before="240" w:after="240" w:line="240" w:lineRule="auto"/>
      <w:ind w:right="3600"/>
      <w:outlineLvl w:val="2"/>
    </w:pPr>
    <w:rPr>
      <w:rFonts w:cs="Times New Roman"/>
      <w:color w:val="000000" w:themeColor="text1"/>
      <w:szCs w:val="24"/>
      <w:u w:val="single"/>
    </w:rPr>
  </w:style>
  <w:style w:type="character" w:customStyle="1" w:styleId="SecondLevelHeadingChar">
    <w:name w:val="Second Level Heading Char"/>
    <w:basedOn w:val="FirstLevelHeadingChar"/>
    <w:link w:val="SecondLevelHeading"/>
    <w:rsid w:val="00686515"/>
    <w:rPr>
      <w:rFonts w:ascii="Times New Roman" w:hAnsi="Times New Roman" w:cs="Times New Roman"/>
      <w:color w:val="000000" w:themeColor="text1"/>
      <w:sz w:val="24"/>
      <w:szCs w:val="24"/>
      <w:u w:val="single"/>
    </w:rPr>
  </w:style>
  <w:style w:type="paragraph" w:customStyle="1" w:styleId="ThirdLevelHeading">
    <w:name w:val="Third Level Heading"/>
    <w:basedOn w:val="Normal"/>
    <w:next w:val="Normal"/>
    <w:link w:val="ThirdLevelHeadingChar"/>
    <w:qFormat/>
    <w:rsid w:val="00686515"/>
    <w:pPr>
      <w:spacing w:before="240"/>
      <w:outlineLvl w:val="3"/>
    </w:pPr>
    <w:rPr>
      <w:color w:val="000000" w:themeColor="text1"/>
      <w:u w:val="single"/>
    </w:rPr>
  </w:style>
  <w:style w:type="character" w:customStyle="1" w:styleId="ThirdLevelHeadingChar">
    <w:name w:val="Third Level Heading Char"/>
    <w:basedOn w:val="SecondLevelHeadingChar"/>
    <w:link w:val="ThirdLevelHeading"/>
    <w:rsid w:val="00686515"/>
    <w:rPr>
      <w:rFonts w:ascii="Times New Roman" w:hAnsi="Times New Roman" w:cs="Times New Roman"/>
      <w:color w:val="000000" w:themeColor="text1"/>
      <w:sz w:val="24"/>
      <w:szCs w:val="24"/>
      <w:u w:val="single"/>
    </w:rPr>
  </w:style>
  <w:style w:type="paragraph" w:customStyle="1" w:styleId="TablesCaptionAbove">
    <w:name w:val="Table's Caption Above"/>
    <w:basedOn w:val="Normal"/>
    <w:link w:val="TablesCaptionAboveChar"/>
    <w:qFormat/>
    <w:rsid w:val="00344970"/>
    <w:pPr>
      <w:spacing w:before="240" w:line="240" w:lineRule="auto"/>
    </w:pPr>
    <w:rPr>
      <w:rFonts w:cs="Times New Roman"/>
      <w:szCs w:val="24"/>
    </w:rPr>
  </w:style>
  <w:style w:type="character" w:customStyle="1" w:styleId="TablesCaptionAboveChar">
    <w:name w:val="Table's Caption Above Char"/>
    <w:basedOn w:val="ThirdLevelHeadingChar"/>
    <w:link w:val="TablesCaptionAbove"/>
    <w:rsid w:val="00344970"/>
    <w:rPr>
      <w:rFonts w:ascii="Times New Roman" w:hAnsi="Times New Roman" w:cs="Times New Roman"/>
      <w:color w:val="000000" w:themeColor="text1"/>
      <w:sz w:val="24"/>
      <w:szCs w:val="24"/>
      <w:u w:val="single"/>
    </w:rPr>
  </w:style>
  <w:style w:type="paragraph" w:customStyle="1" w:styleId="TablesCaptionBelow">
    <w:name w:val="Table's Caption Below"/>
    <w:basedOn w:val="Normal"/>
    <w:link w:val="TablesCaptionBelowChar"/>
    <w:qFormat/>
    <w:rsid w:val="00344970"/>
    <w:pPr>
      <w:spacing w:after="480" w:line="240" w:lineRule="auto"/>
    </w:pPr>
    <w:rPr>
      <w:rFonts w:cs="Times New Roman"/>
      <w:szCs w:val="24"/>
    </w:rPr>
  </w:style>
  <w:style w:type="character" w:customStyle="1" w:styleId="TablesCaptionBelowChar">
    <w:name w:val="Table's Caption Below Char"/>
    <w:basedOn w:val="TablesCaptionAboveChar"/>
    <w:link w:val="TablesCaptionBelow"/>
    <w:rsid w:val="00344970"/>
    <w:rPr>
      <w:rFonts w:ascii="Times New Roman" w:hAnsi="Times New Roman" w:cs="Times New Roman"/>
      <w:color w:val="000000" w:themeColor="text1"/>
      <w:sz w:val="24"/>
      <w:szCs w:val="24"/>
      <w:u w:val="single"/>
    </w:rPr>
  </w:style>
  <w:style w:type="paragraph" w:customStyle="1" w:styleId="FiguresCaptionAbove">
    <w:name w:val="Figure's Caption Above"/>
    <w:basedOn w:val="Normal"/>
    <w:link w:val="FiguresCaptionAboveChar"/>
    <w:rsid w:val="00344970"/>
    <w:pPr>
      <w:spacing w:before="240" w:line="240" w:lineRule="auto"/>
    </w:pPr>
    <w:rPr>
      <w:rFonts w:cs="Times New Roman"/>
      <w:szCs w:val="24"/>
    </w:rPr>
  </w:style>
  <w:style w:type="character" w:customStyle="1" w:styleId="FiguresCaptionAboveChar">
    <w:name w:val="Figure's Caption Above Char"/>
    <w:basedOn w:val="TablesCaptionBelowChar"/>
    <w:link w:val="FiguresCaptionAbove"/>
    <w:rsid w:val="00344970"/>
    <w:rPr>
      <w:rFonts w:ascii="Times New Roman" w:hAnsi="Times New Roman" w:cs="Times New Roman"/>
      <w:color w:val="000000" w:themeColor="text1"/>
      <w:sz w:val="24"/>
      <w:szCs w:val="24"/>
      <w:u w:val="single"/>
    </w:rPr>
  </w:style>
  <w:style w:type="paragraph" w:customStyle="1" w:styleId="FiguresCaptionBelow">
    <w:name w:val="Figure's Caption Below"/>
    <w:basedOn w:val="Normal"/>
    <w:link w:val="FiguresCaptionBelowChar"/>
    <w:rsid w:val="00344970"/>
    <w:pPr>
      <w:spacing w:after="480" w:line="240" w:lineRule="auto"/>
    </w:pPr>
    <w:rPr>
      <w:rFonts w:cs="Times New Roman"/>
      <w:szCs w:val="24"/>
    </w:rPr>
  </w:style>
  <w:style w:type="character" w:customStyle="1" w:styleId="FiguresCaptionBelowChar">
    <w:name w:val="Figure's Caption Below Char"/>
    <w:basedOn w:val="FiguresCaptionAboveChar"/>
    <w:link w:val="FiguresCaptionBelow"/>
    <w:rsid w:val="00344970"/>
    <w:rPr>
      <w:rFonts w:ascii="Times New Roman" w:hAnsi="Times New Roman" w:cs="Times New Roman"/>
      <w:color w:val="000000" w:themeColor="text1"/>
      <w:sz w:val="24"/>
      <w:szCs w:val="24"/>
      <w:u w:val="single"/>
    </w:rPr>
  </w:style>
  <w:style w:type="paragraph" w:customStyle="1" w:styleId="LongQuote">
    <w:name w:val="Long Quote"/>
    <w:basedOn w:val="Normal"/>
    <w:next w:val="Normal"/>
    <w:link w:val="LongQuoteChar"/>
    <w:rsid w:val="002320F0"/>
    <w:pPr>
      <w:spacing w:after="240" w:line="240" w:lineRule="auto"/>
      <w:ind w:left="720" w:right="720"/>
      <w:jc w:val="both"/>
    </w:pPr>
    <w:rPr>
      <w:rFonts w:cs="Times New Roman"/>
      <w:szCs w:val="24"/>
    </w:rPr>
  </w:style>
  <w:style w:type="character" w:customStyle="1" w:styleId="LongQuoteChar">
    <w:name w:val="Long Quote Char"/>
    <w:basedOn w:val="FiguresCaptionBelowChar"/>
    <w:link w:val="LongQuote"/>
    <w:rsid w:val="002320F0"/>
    <w:rPr>
      <w:rFonts w:ascii="Times New Roman" w:hAnsi="Times New Roman" w:cs="Times New Roman"/>
      <w:color w:val="000000" w:themeColor="text1"/>
      <w:sz w:val="24"/>
      <w:szCs w:val="24"/>
      <w:u w:val="single"/>
    </w:rPr>
  </w:style>
  <w:style w:type="character" w:customStyle="1" w:styleId="Heading1Char">
    <w:name w:val="Heading 1 Char"/>
    <w:basedOn w:val="DefaultParagraphFont"/>
    <w:link w:val="Heading1"/>
    <w:uiPriority w:val="9"/>
    <w:rsid w:val="006558E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558E8"/>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6558E8"/>
    <w:rPr>
      <w:rFonts w:asciiTheme="majorHAnsi" w:eastAsiaTheme="majorEastAsia" w:hAnsiTheme="majorHAnsi" w:cstheme="majorBidi"/>
      <w:i/>
      <w:iCs/>
      <w:color w:val="2F5496" w:themeColor="accent1" w:themeShade="BF"/>
      <w:sz w:val="24"/>
    </w:rPr>
  </w:style>
  <w:style w:type="paragraph" w:styleId="Header">
    <w:name w:val="header"/>
    <w:basedOn w:val="Normal"/>
    <w:link w:val="HeaderChar"/>
    <w:uiPriority w:val="99"/>
    <w:unhideWhenUsed/>
    <w:rsid w:val="00496E1D"/>
    <w:pPr>
      <w:tabs>
        <w:tab w:val="center" w:pos="4680"/>
        <w:tab w:val="right" w:pos="9360"/>
      </w:tabs>
      <w:spacing w:line="240" w:lineRule="auto"/>
    </w:pPr>
  </w:style>
  <w:style w:type="character" w:customStyle="1" w:styleId="HeaderChar">
    <w:name w:val="Header Char"/>
    <w:basedOn w:val="DefaultParagraphFont"/>
    <w:link w:val="Header"/>
    <w:uiPriority w:val="99"/>
    <w:rsid w:val="00496E1D"/>
    <w:rPr>
      <w:rFonts w:ascii="Times New Roman" w:hAnsi="Times New Roman"/>
      <w:sz w:val="24"/>
    </w:rPr>
  </w:style>
  <w:style w:type="paragraph" w:styleId="Footer">
    <w:name w:val="footer"/>
    <w:basedOn w:val="Normal"/>
    <w:link w:val="FooterChar"/>
    <w:uiPriority w:val="99"/>
    <w:unhideWhenUsed/>
    <w:rsid w:val="00496E1D"/>
    <w:pPr>
      <w:tabs>
        <w:tab w:val="center" w:pos="4680"/>
        <w:tab w:val="right" w:pos="9360"/>
      </w:tabs>
      <w:spacing w:line="240" w:lineRule="auto"/>
    </w:pPr>
  </w:style>
  <w:style w:type="character" w:customStyle="1" w:styleId="FooterChar">
    <w:name w:val="Footer Char"/>
    <w:basedOn w:val="DefaultParagraphFont"/>
    <w:link w:val="Footer"/>
    <w:uiPriority w:val="99"/>
    <w:rsid w:val="00496E1D"/>
    <w:rPr>
      <w:rFonts w:ascii="Times New Roman" w:hAnsi="Times New Roman"/>
      <w:sz w:val="24"/>
    </w:rPr>
  </w:style>
  <w:style w:type="paragraph" w:styleId="FootnoteText">
    <w:name w:val="footnote text"/>
    <w:basedOn w:val="Normal"/>
    <w:link w:val="FootnoteTextChar"/>
    <w:uiPriority w:val="99"/>
    <w:semiHidden/>
    <w:unhideWhenUsed/>
    <w:rsid w:val="00F131A4"/>
    <w:pPr>
      <w:spacing w:line="240" w:lineRule="auto"/>
    </w:pPr>
    <w:rPr>
      <w:sz w:val="20"/>
      <w:szCs w:val="20"/>
    </w:rPr>
  </w:style>
  <w:style w:type="character" w:customStyle="1" w:styleId="FootnoteTextChar">
    <w:name w:val="Footnote Text Char"/>
    <w:basedOn w:val="DefaultParagraphFont"/>
    <w:link w:val="FootnoteText"/>
    <w:uiPriority w:val="99"/>
    <w:semiHidden/>
    <w:rsid w:val="00F131A4"/>
    <w:rPr>
      <w:rFonts w:ascii="Times New Roman" w:hAnsi="Times New Roman"/>
      <w:sz w:val="20"/>
      <w:szCs w:val="20"/>
    </w:rPr>
  </w:style>
  <w:style w:type="character" w:styleId="FootnoteReference">
    <w:name w:val="footnote reference"/>
    <w:basedOn w:val="DefaultParagraphFont"/>
    <w:uiPriority w:val="99"/>
    <w:semiHidden/>
    <w:unhideWhenUsed/>
    <w:rsid w:val="00F131A4"/>
    <w:rPr>
      <w:vertAlign w:val="superscript"/>
    </w:rPr>
  </w:style>
  <w:style w:type="paragraph" w:customStyle="1" w:styleId="FigureorTablewithCaptionAbove">
    <w:name w:val="Figure or Table with Caption Above"/>
    <w:basedOn w:val="Normal"/>
    <w:link w:val="FigureorTablewithCaptionAboveChar"/>
    <w:rsid w:val="00D83F1E"/>
    <w:pPr>
      <w:spacing w:before="480" w:after="480" w:line="240" w:lineRule="auto"/>
      <w:jc w:val="center"/>
    </w:pPr>
    <w:rPr>
      <w:kern w:val="0"/>
      <w14:ligatures w14:val="none"/>
    </w:rPr>
  </w:style>
  <w:style w:type="character" w:customStyle="1" w:styleId="FigureorTablewithCaptionAboveChar">
    <w:name w:val="Figure or Table with Caption Above Char"/>
    <w:basedOn w:val="DefaultParagraphFont"/>
    <w:link w:val="FigureorTablewithCaptionAbove"/>
    <w:rsid w:val="00D83F1E"/>
    <w:rPr>
      <w:rFonts w:ascii="Times New Roman" w:hAnsi="Times New Roman"/>
      <w:kern w:val="0"/>
      <w:sz w:val="24"/>
      <w14:ligatures w14:val="none"/>
    </w:rPr>
  </w:style>
  <w:style w:type="character" w:styleId="Hyperlink">
    <w:name w:val="Hyperlink"/>
    <w:basedOn w:val="DefaultParagraphFont"/>
    <w:uiPriority w:val="99"/>
    <w:unhideWhenUsed/>
    <w:rsid w:val="00CA4FB4"/>
    <w:rPr>
      <w:color w:val="0563C1" w:themeColor="hyperlink"/>
      <w:u w:val="single"/>
    </w:rPr>
  </w:style>
  <w:style w:type="character" w:styleId="UnresolvedMention">
    <w:name w:val="Unresolved Mention"/>
    <w:basedOn w:val="DefaultParagraphFont"/>
    <w:uiPriority w:val="99"/>
    <w:semiHidden/>
    <w:unhideWhenUsed/>
    <w:rsid w:val="00CA4FB4"/>
    <w:rPr>
      <w:color w:val="605E5C"/>
      <w:shd w:val="clear" w:color="auto" w:fill="E1DFDD"/>
    </w:rPr>
  </w:style>
  <w:style w:type="table" w:styleId="TableGrid">
    <w:name w:val="Table Grid"/>
    <w:basedOn w:val="TableNormal"/>
    <w:uiPriority w:val="39"/>
    <w:rsid w:val="00662E8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383DAC"/>
    <w:pPr>
      <w:numPr>
        <w:numId w:val="1"/>
      </w:numPr>
      <w:tabs>
        <w:tab w:val="right" w:leader="dot" w:pos="9350"/>
      </w:tabs>
      <w:spacing w:before="240" w:after="240" w:line="240" w:lineRule="auto"/>
      <w:ind w:right="1440"/>
      <w:jc w:val="both"/>
    </w:pPr>
  </w:style>
  <w:style w:type="paragraph" w:styleId="TOC2">
    <w:name w:val="toc 2"/>
    <w:basedOn w:val="Normal"/>
    <w:next w:val="Normal"/>
    <w:autoRedefine/>
    <w:uiPriority w:val="39"/>
    <w:unhideWhenUsed/>
    <w:rsid w:val="000970AB"/>
    <w:pPr>
      <w:spacing w:line="240" w:lineRule="auto"/>
      <w:ind w:left="720" w:right="1440"/>
    </w:pPr>
  </w:style>
  <w:style w:type="paragraph" w:styleId="TOC3">
    <w:name w:val="toc 3"/>
    <w:basedOn w:val="Normal"/>
    <w:next w:val="Normal"/>
    <w:autoRedefine/>
    <w:uiPriority w:val="39"/>
    <w:unhideWhenUsed/>
    <w:rsid w:val="000970AB"/>
    <w:pPr>
      <w:spacing w:line="240" w:lineRule="auto"/>
      <w:ind w:left="1440" w:right="1440"/>
    </w:pPr>
  </w:style>
  <w:style w:type="paragraph" w:styleId="TOC4">
    <w:name w:val="toc 4"/>
    <w:basedOn w:val="Normal"/>
    <w:next w:val="Normal"/>
    <w:autoRedefine/>
    <w:uiPriority w:val="39"/>
    <w:unhideWhenUsed/>
    <w:rsid w:val="00C71FDF"/>
    <w:pPr>
      <w:tabs>
        <w:tab w:val="right" w:leader="dot" w:pos="9350"/>
      </w:tabs>
      <w:spacing w:line="240" w:lineRule="auto"/>
      <w:ind w:left="2160" w:right="1440"/>
    </w:pPr>
  </w:style>
  <w:style w:type="character" w:customStyle="1" w:styleId="Heading2Char">
    <w:name w:val="Heading 2 Char"/>
    <w:basedOn w:val="DefaultParagraphFont"/>
    <w:link w:val="Heading2"/>
    <w:uiPriority w:val="9"/>
    <w:semiHidden/>
    <w:rsid w:val="0013518F"/>
    <w:rPr>
      <w:rFonts w:asciiTheme="majorHAnsi" w:eastAsiaTheme="majorEastAsia" w:hAnsiTheme="majorHAnsi" w:cstheme="majorBidi"/>
      <w:color w:val="2F5496" w:themeColor="accent1" w:themeShade="BF"/>
      <w:sz w:val="26"/>
      <w:szCs w:val="26"/>
    </w:rPr>
  </w:style>
  <w:style w:type="paragraph" w:styleId="TOC5">
    <w:name w:val="toc 5"/>
    <w:basedOn w:val="Normal"/>
    <w:next w:val="Normal"/>
    <w:autoRedefine/>
    <w:uiPriority w:val="39"/>
    <w:unhideWhenUsed/>
    <w:rsid w:val="000970AB"/>
    <w:pPr>
      <w:spacing w:line="240" w:lineRule="auto"/>
      <w:ind w:left="2880" w:right="1440"/>
    </w:pPr>
  </w:style>
  <w:style w:type="paragraph" w:styleId="TOC6">
    <w:name w:val="toc 6"/>
    <w:basedOn w:val="Normal"/>
    <w:next w:val="Normal"/>
    <w:autoRedefine/>
    <w:uiPriority w:val="39"/>
    <w:unhideWhenUsed/>
    <w:rsid w:val="000B1B5C"/>
    <w:pPr>
      <w:spacing w:before="240" w:line="240" w:lineRule="auto"/>
      <w:ind w:left="1080" w:right="1440" w:hanging="720"/>
    </w:pPr>
  </w:style>
  <w:style w:type="paragraph" w:styleId="TOC7">
    <w:name w:val="toc 7"/>
    <w:basedOn w:val="Normal"/>
    <w:next w:val="Normal"/>
    <w:autoRedefine/>
    <w:uiPriority w:val="39"/>
    <w:unhideWhenUsed/>
    <w:rsid w:val="000B1B5C"/>
    <w:pPr>
      <w:spacing w:before="240" w:line="240" w:lineRule="auto"/>
      <w:ind w:left="1440" w:right="1440" w:hanging="720"/>
    </w:pPr>
  </w:style>
  <w:style w:type="paragraph" w:styleId="TableofFigures">
    <w:name w:val="table of figures"/>
    <w:basedOn w:val="Normal"/>
    <w:next w:val="Normal"/>
    <w:uiPriority w:val="99"/>
    <w:unhideWhenUsed/>
    <w:rsid w:val="00EA381A"/>
    <w:pPr>
      <w:numPr>
        <w:numId w:val="2"/>
      </w:numPr>
      <w:spacing w:after="240" w:line="240" w:lineRule="auto"/>
      <w:ind w:right="1440"/>
      <w:jc w:val="both"/>
    </w:pPr>
  </w:style>
  <w:style w:type="character" w:styleId="FollowedHyperlink">
    <w:name w:val="FollowedHyperlink"/>
    <w:basedOn w:val="DefaultParagraphFont"/>
    <w:uiPriority w:val="99"/>
    <w:semiHidden/>
    <w:unhideWhenUsed/>
    <w:rsid w:val="00E54636"/>
    <w:rPr>
      <w:color w:val="954F72" w:themeColor="followedHyperlink"/>
      <w:u w:val="single"/>
    </w:rPr>
  </w:style>
  <w:style w:type="paragraph" w:styleId="Revision">
    <w:name w:val="Revision"/>
    <w:hidden/>
    <w:uiPriority w:val="99"/>
    <w:semiHidden/>
    <w:rsid w:val="002A3B89"/>
    <w:pPr>
      <w:spacing w:after="0" w:line="240" w:lineRule="auto"/>
    </w:pPr>
    <w:rPr>
      <w:rFonts w:ascii="Times New Roman" w:hAnsi="Times New Roman"/>
      <w:sz w:val="24"/>
    </w:rPr>
  </w:style>
  <w:style w:type="character" w:styleId="CommentReference">
    <w:name w:val="annotation reference"/>
    <w:basedOn w:val="DefaultParagraphFont"/>
    <w:uiPriority w:val="99"/>
    <w:semiHidden/>
    <w:unhideWhenUsed/>
    <w:rsid w:val="007A6455"/>
    <w:rPr>
      <w:sz w:val="16"/>
      <w:szCs w:val="16"/>
    </w:rPr>
  </w:style>
  <w:style w:type="paragraph" w:styleId="CommentText">
    <w:name w:val="annotation text"/>
    <w:basedOn w:val="Normal"/>
    <w:link w:val="CommentTextChar"/>
    <w:uiPriority w:val="99"/>
    <w:unhideWhenUsed/>
    <w:rsid w:val="007A6455"/>
    <w:pPr>
      <w:spacing w:line="240" w:lineRule="auto"/>
    </w:pPr>
    <w:rPr>
      <w:sz w:val="20"/>
      <w:szCs w:val="20"/>
    </w:rPr>
  </w:style>
  <w:style w:type="character" w:customStyle="1" w:styleId="CommentTextChar">
    <w:name w:val="Comment Text Char"/>
    <w:basedOn w:val="DefaultParagraphFont"/>
    <w:link w:val="CommentText"/>
    <w:uiPriority w:val="99"/>
    <w:rsid w:val="007A6455"/>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7A6455"/>
    <w:rPr>
      <w:b/>
      <w:bCs/>
    </w:rPr>
  </w:style>
  <w:style w:type="character" w:customStyle="1" w:styleId="CommentSubjectChar">
    <w:name w:val="Comment Subject Char"/>
    <w:basedOn w:val="CommentTextChar"/>
    <w:link w:val="CommentSubject"/>
    <w:uiPriority w:val="99"/>
    <w:semiHidden/>
    <w:rsid w:val="007A6455"/>
    <w:rPr>
      <w:rFonts w:ascii="Times New Roman" w:hAnsi="Times New Roman"/>
      <w:b/>
      <w:bCs/>
      <w:sz w:val="20"/>
      <w:szCs w:val="20"/>
    </w:rPr>
  </w:style>
  <w:style w:type="character" w:styleId="Mention">
    <w:name w:val="Mention"/>
    <w:basedOn w:val="DefaultParagraphFont"/>
    <w:uiPriority w:val="99"/>
    <w:unhideWhenUsed/>
    <w:rsid w:val="008851D1"/>
    <w:rPr>
      <w:color w:val="2B579A"/>
      <w:shd w:val="clear" w:color="auto" w:fill="E1DFDD"/>
    </w:rPr>
  </w:style>
  <w:style w:type="paragraph" w:customStyle="1" w:styleId="Heading">
    <w:name w:val="Heading"/>
    <w:basedOn w:val="Normal"/>
    <w:link w:val="HeadingChar"/>
    <w:qFormat/>
    <w:rsid w:val="00CD4972"/>
    <w:pPr>
      <w:spacing w:line="240" w:lineRule="auto"/>
      <w:jc w:val="center"/>
    </w:pPr>
    <w:rPr>
      <w:rFonts w:cs="Times New Roman"/>
      <w:b/>
      <w:bCs/>
      <w:sz w:val="22"/>
    </w:rPr>
  </w:style>
  <w:style w:type="character" w:customStyle="1" w:styleId="HeadingChar">
    <w:name w:val="Heading Char"/>
    <w:basedOn w:val="DefaultParagraphFont"/>
    <w:link w:val="Heading"/>
    <w:rsid w:val="00CD4972"/>
    <w:rPr>
      <w:rFonts w:ascii="Times New Roman" w:hAnsi="Times New Roman" w:cs="Times New Roman"/>
      <w:b/>
      <w:bCs/>
    </w:rPr>
  </w:style>
  <w:style w:type="paragraph" w:customStyle="1" w:styleId="Subheading">
    <w:name w:val="Subheading"/>
    <w:basedOn w:val="Normal"/>
    <w:link w:val="SubheadingChar"/>
    <w:qFormat/>
    <w:rsid w:val="000E3704"/>
    <w:pPr>
      <w:spacing w:line="240" w:lineRule="auto"/>
    </w:pPr>
    <w:rPr>
      <w:rFonts w:cs="Times New Roman"/>
      <w:b/>
      <w:bCs/>
      <w:sz w:val="22"/>
    </w:rPr>
  </w:style>
  <w:style w:type="character" w:customStyle="1" w:styleId="SubheadingChar">
    <w:name w:val="Subheading Char"/>
    <w:basedOn w:val="DefaultParagraphFont"/>
    <w:link w:val="Subheading"/>
    <w:rsid w:val="000E3704"/>
    <w:rPr>
      <w:rFonts w:ascii="Times New Roman" w:hAnsi="Times New Roman" w:cs="Times New Roman"/>
      <w:b/>
      <w:bCs/>
    </w:rPr>
  </w:style>
  <w:style w:type="paragraph" w:customStyle="1" w:styleId="Style1">
    <w:name w:val="Style1"/>
    <w:basedOn w:val="Normal"/>
    <w:link w:val="Style1Char"/>
    <w:qFormat/>
    <w:rsid w:val="00A57222"/>
    <w:pPr>
      <w:spacing w:line="240" w:lineRule="auto"/>
    </w:pPr>
  </w:style>
  <w:style w:type="character" w:customStyle="1" w:styleId="Style1Char">
    <w:name w:val="Style1 Char"/>
    <w:basedOn w:val="DefaultParagraphFont"/>
    <w:link w:val="Style1"/>
    <w:rsid w:val="00A57222"/>
    <w:rPr>
      <w:rFonts w:ascii="Times New Roman" w:hAnsi="Times New Roman"/>
      <w:sz w:val="24"/>
    </w:rPr>
  </w:style>
  <w:style w:type="paragraph" w:styleId="ListParagraph">
    <w:name w:val="List Paragraph"/>
    <w:basedOn w:val="Normal"/>
    <w:uiPriority w:val="34"/>
    <w:rsid w:val="00243B01"/>
    <w:pPr>
      <w:ind w:left="720"/>
      <w:contextualSpacing/>
    </w:pPr>
  </w:style>
  <w:style w:type="paragraph" w:styleId="NormalWeb">
    <w:name w:val="Normal (Web)"/>
    <w:basedOn w:val="Normal"/>
    <w:uiPriority w:val="99"/>
    <w:semiHidden/>
    <w:unhideWhenUsed/>
    <w:rsid w:val="00B53707"/>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C9A82E-6F04-45C7-AEBC-EA01295800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13</Pages>
  <Words>4311</Words>
  <Characters>34878</Characters>
  <Application>Microsoft Office Word</Application>
  <DocSecurity>0</DocSecurity>
  <Lines>1341</Lines>
  <Paragraphs>955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Perry, Dustin</cp:lastModifiedBy>
  <cp:revision>4</cp:revision>
  <dcterms:created xsi:type="dcterms:W3CDTF">2026-01-16T16:56:00Z</dcterms:created>
  <dcterms:modified xsi:type="dcterms:W3CDTF">2026-03-23T16:21:00Z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33b8873d-ab8f-4272-af2a-1f7a60521f3b</vt:lpwstr>
  </property>
</Properties>
</file>