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443BF" w14:textId="76FECC34" w:rsidR="006B5D36" w:rsidRDefault="00FA16AD" w:rsidP="006B5D36">
      <w:pPr>
        <w:spacing w:after="0" w:line="24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Impact of International Student Teaching Experience</w:t>
      </w:r>
      <w:r w:rsidR="007B0DED">
        <w:rPr>
          <w:rFonts w:ascii="Times New Roman" w:eastAsia="Times New Roman" w:hAnsi="Times New Roman" w:cs="Times New Roman"/>
          <w:b/>
          <w:bCs/>
          <w:color w:val="000000"/>
          <w:kern w:val="0"/>
          <w14:ligatures w14:val="none"/>
        </w:rPr>
        <w:t>s</w:t>
      </w:r>
      <w:r>
        <w:rPr>
          <w:rFonts w:ascii="Times New Roman" w:eastAsia="Times New Roman" w:hAnsi="Times New Roman" w:cs="Times New Roman"/>
          <w:b/>
          <w:bCs/>
          <w:color w:val="000000"/>
          <w:kern w:val="0"/>
          <w14:ligatures w14:val="none"/>
        </w:rPr>
        <w:t xml:space="preserve"> on Career and Technical Education Pre-service Teachers</w:t>
      </w:r>
    </w:p>
    <w:p w14:paraId="685169FA" w14:textId="77777777" w:rsidR="00AE4A7F" w:rsidRDefault="00AE4A7F" w:rsidP="006B5D36">
      <w:pPr>
        <w:spacing w:after="0" w:line="240" w:lineRule="auto"/>
        <w:jc w:val="center"/>
        <w:rPr>
          <w:rFonts w:ascii="Times New Roman" w:eastAsia="Times New Roman" w:hAnsi="Times New Roman" w:cs="Times New Roman"/>
          <w:b/>
          <w:bCs/>
          <w:color w:val="000000"/>
          <w:kern w:val="0"/>
          <w14:ligatures w14:val="none"/>
        </w:rPr>
      </w:pPr>
    </w:p>
    <w:p w14:paraId="71CADFCA" w14:textId="0044996A" w:rsidR="00AE4A7F" w:rsidRPr="00AE4A7F" w:rsidRDefault="00AE4A7F" w:rsidP="00AE4A7F">
      <w:pPr>
        <w:spacing w:after="0" w:line="240" w:lineRule="auto"/>
        <w:jc w:val="center"/>
        <w:rPr>
          <w:rFonts w:ascii="Times New Roman" w:eastAsia="Times New Roman" w:hAnsi="Times New Roman" w:cs="Times New Roman"/>
          <w:color w:val="000000"/>
          <w:kern w:val="0"/>
          <w14:ligatures w14:val="none"/>
        </w:rPr>
      </w:pPr>
      <w:r w:rsidRPr="00AE4A7F">
        <w:rPr>
          <w:rFonts w:ascii="Times New Roman" w:eastAsia="Times New Roman" w:hAnsi="Times New Roman" w:cs="Times New Roman"/>
          <w:color w:val="000000"/>
          <w:kern w:val="0"/>
          <w14:ligatures w14:val="none"/>
        </w:rPr>
        <w:t xml:space="preserve">Kassidy M. Allred, Saydee Longhurst, Tyson J. Sorensen, Lacee Boschetto, Joseph Furse, </w:t>
      </w:r>
      <w:r>
        <w:rPr>
          <w:rFonts w:ascii="Times New Roman" w:eastAsia="Times New Roman" w:hAnsi="Times New Roman" w:cs="Times New Roman"/>
          <w:color w:val="000000"/>
          <w:kern w:val="0"/>
          <w14:ligatures w14:val="none"/>
        </w:rPr>
        <w:t xml:space="preserve">&amp; </w:t>
      </w:r>
      <w:r w:rsidRPr="00AE4A7F">
        <w:rPr>
          <w:rFonts w:ascii="Times New Roman" w:eastAsia="Times New Roman" w:hAnsi="Times New Roman" w:cs="Times New Roman"/>
          <w:color w:val="000000"/>
          <w:kern w:val="0"/>
          <w14:ligatures w14:val="none"/>
        </w:rPr>
        <w:t>Michelle M. Burrows</w:t>
      </w:r>
      <w:r>
        <w:rPr>
          <w:rFonts w:ascii="Times New Roman" w:eastAsia="Times New Roman" w:hAnsi="Times New Roman" w:cs="Times New Roman"/>
          <w:color w:val="000000"/>
          <w:kern w:val="0"/>
          <w14:ligatures w14:val="none"/>
        </w:rPr>
        <w:t>, Utah State University</w:t>
      </w:r>
    </w:p>
    <w:p w14:paraId="63BFB256" w14:textId="77777777" w:rsidR="006B5D36" w:rsidRDefault="006B5D36" w:rsidP="006B5D36">
      <w:pPr>
        <w:spacing w:after="0" w:line="240" w:lineRule="auto"/>
        <w:jc w:val="center"/>
        <w:rPr>
          <w:rFonts w:ascii="Times New Roman" w:eastAsia="Times New Roman" w:hAnsi="Times New Roman" w:cs="Times New Roman"/>
          <w:b/>
          <w:bCs/>
          <w:color w:val="000000"/>
          <w:kern w:val="0"/>
          <w14:ligatures w14:val="none"/>
        </w:rPr>
      </w:pPr>
    </w:p>
    <w:p w14:paraId="37D797B0" w14:textId="2E2A8354" w:rsidR="00AE4A7F" w:rsidRDefault="00AE4A7F" w:rsidP="006B5D36">
      <w:pPr>
        <w:spacing w:after="0" w:line="24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Abstract</w:t>
      </w:r>
    </w:p>
    <w:p w14:paraId="34D4539A" w14:textId="77777777" w:rsidR="00AE4A7F" w:rsidRDefault="00AE4A7F" w:rsidP="006B5D36">
      <w:pPr>
        <w:spacing w:after="0" w:line="240" w:lineRule="auto"/>
        <w:jc w:val="center"/>
        <w:rPr>
          <w:rFonts w:ascii="Times New Roman" w:eastAsia="Times New Roman" w:hAnsi="Times New Roman" w:cs="Times New Roman"/>
          <w:b/>
          <w:bCs/>
          <w:color w:val="000000"/>
          <w:kern w:val="0"/>
          <w14:ligatures w14:val="none"/>
        </w:rPr>
      </w:pPr>
    </w:p>
    <w:p w14:paraId="66B2ED68" w14:textId="23FFE324" w:rsidR="00224A5A" w:rsidRPr="00751E01" w:rsidRDefault="00224A5A" w:rsidP="006B5D36">
      <w:pPr>
        <w:spacing w:after="0" w:line="240" w:lineRule="auto"/>
        <w:rPr>
          <w:rFonts w:ascii="Times New Roman" w:eastAsia="Times New Roman" w:hAnsi="Times New Roman" w:cs="Times New Roman"/>
          <w:i/>
          <w:iCs/>
          <w:color w:val="222222"/>
          <w:kern w:val="0"/>
          <w14:ligatures w14:val="none"/>
        </w:rPr>
      </w:pPr>
      <w:r w:rsidRPr="00751E01">
        <w:rPr>
          <w:rFonts w:ascii="Times New Roman" w:eastAsia="Times New Roman" w:hAnsi="Times New Roman" w:cs="Times New Roman"/>
          <w:i/>
          <w:iCs/>
          <w:color w:val="222222"/>
          <w:kern w:val="0"/>
          <w14:ligatures w14:val="none"/>
        </w:rPr>
        <w:t>This study examined the impact of an international student teaching experience on Career and Technical Education (CTE) pre-service teachers. Specifically, it focused on a student teaching placement in CTE schools in Italy and how the experience influenced participants’ professional perspectives, instructional practices, and long-term engagement with teaching. Using a qualitative case study approach, we conducted semi-structured interviews with 10 program completers from three cohorts (2023–2025) and analyzed transcripts using iterative coding procedures. Analysis revealed six themes describing how the experience shaped participants’ development: perspective shifts, teacher identity, adaptive instruction, language and cultural empathy, relational management, and system comparisons. Findings suggest that immersive international student teaching can serve as a meaningful context for professional learning and may inform the design of teacher preparation experiences that support reflective, adaptive, and globally minded CTE educators.</w:t>
      </w:r>
    </w:p>
    <w:p w14:paraId="79D121BE" w14:textId="77777777" w:rsidR="00751E01" w:rsidRPr="00224A5A" w:rsidRDefault="00751E01" w:rsidP="006B5D36">
      <w:pPr>
        <w:spacing w:after="0" w:line="240" w:lineRule="auto"/>
        <w:rPr>
          <w:rFonts w:ascii="Times New Roman" w:eastAsia="Times New Roman" w:hAnsi="Times New Roman" w:cs="Times New Roman"/>
          <w:kern w:val="0"/>
          <w14:ligatures w14:val="none"/>
        </w:rPr>
      </w:pPr>
    </w:p>
    <w:p w14:paraId="794A9761" w14:textId="30067B3F" w:rsidR="00224A5A" w:rsidRDefault="00224A5A" w:rsidP="006B5D36">
      <w:pPr>
        <w:spacing w:after="0" w:line="240" w:lineRule="auto"/>
        <w:jc w:val="center"/>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Introduction</w:t>
      </w:r>
    </w:p>
    <w:p w14:paraId="5A39DAA0" w14:textId="466495B9" w:rsidR="006234B3" w:rsidRPr="006234B3" w:rsidRDefault="006234B3" w:rsidP="006234B3">
      <w:pPr>
        <w:spacing w:before="240" w:after="240" w:line="240" w:lineRule="auto"/>
        <w:ind w:firstLine="720"/>
        <w:rPr>
          <w:rFonts w:ascii="Times New Roman" w:eastAsia="Times New Roman" w:hAnsi="Times New Roman" w:cs="Times New Roman"/>
          <w:kern w:val="0"/>
          <w14:ligatures w14:val="none"/>
        </w:rPr>
      </w:pPr>
      <w:r w:rsidRPr="006234B3">
        <w:rPr>
          <w:rFonts w:ascii="Times New Roman" w:eastAsia="Times New Roman" w:hAnsi="Times New Roman" w:cs="Times New Roman"/>
          <w:color w:val="000000"/>
          <w:kern w:val="0"/>
          <w14:ligatures w14:val="none"/>
        </w:rPr>
        <w:t>Teacher education programs increasingly seek to develop globally competent educators who can navigate cultural diversity, adapt pedagogy across contexts, and connect classroom learning to real-world social and workforce conditions. International experiences</w:t>
      </w:r>
      <w:r w:rsidR="00F77F69">
        <w:rPr>
          <w:rFonts w:ascii="Times New Roman" w:eastAsia="Times New Roman" w:hAnsi="Times New Roman" w:cs="Times New Roman"/>
          <w:color w:val="000000"/>
          <w:kern w:val="0"/>
          <w14:ligatures w14:val="none"/>
        </w:rPr>
        <w:t xml:space="preserve">, </w:t>
      </w:r>
      <w:r w:rsidRPr="006234B3">
        <w:rPr>
          <w:rFonts w:ascii="Times New Roman" w:eastAsia="Times New Roman" w:hAnsi="Times New Roman" w:cs="Times New Roman"/>
          <w:color w:val="000000"/>
          <w:kern w:val="0"/>
          <w14:ligatures w14:val="none"/>
        </w:rPr>
        <w:t>such as study abroad and student teaching placements</w:t>
      </w:r>
      <w:r w:rsidR="00F77F69">
        <w:rPr>
          <w:rFonts w:ascii="Times New Roman" w:eastAsia="Times New Roman" w:hAnsi="Times New Roman" w:cs="Times New Roman"/>
          <w:color w:val="000000"/>
          <w:kern w:val="0"/>
          <w14:ligatures w14:val="none"/>
        </w:rPr>
        <w:t xml:space="preserve">, </w:t>
      </w:r>
      <w:r w:rsidRPr="006234B3">
        <w:rPr>
          <w:rFonts w:ascii="Times New Roman" w:eastAsia="Times New Roman" w:hAnsi="Times New Roman" w:cs="Times New Roman"/>
          <w:color w:val="000000"/>
          <w:kern w:val="0"/>
          <w14:ligatures w14:val="none"/>
        </w:rPr>
        <w:t>have emerged as powerful, high</w:t>
      </w:r>
      <w:r>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impact practices that foster pre</w:t>
      </w:r>
      <w:r w:rsidR="007B0DE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service teachers’ intercultural awareness, reflective capacity, and professional growth (Morley et al., 2019; Moorhouse, 2022). A critical synthesis of research from 2000–2019 demonstrates consistent gains in pre</w:t>
      </w:r>
      <w:r w:rsidR="007B0DE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service teachers’ global competence and pedagogical flexibility across diverse program designs and destinations (Morley et al., 2019). Likewise, teaching</w:t>
      </w:r>
      <w:r w:rsidRPr="006234B3">
        <w:rPr>
          <w:rFonts w:ascii="Times New Roman" w:eastAsia="Times New Roman" w:hAnsi="Times New Roman" w:cs="Times New Roman"/>
          <w:color w:val="000000"/>
          <w:kern w:val="0"/>
          <w14:ligatures w14:val="none"/>
        </w:rPr>
        <w:noBreakHyphen/>
        <w:t>abroad experiences in teacher education have been shown to support development across multiple knowledge domains for quality teaching in global contexts, provided programs incorporate intentional design and guided reflection (Moorhouse, 2022).</w:t>
      </w:r>
    </w:p>
    <w:p w14:paraId="788500DE" w14:textId="32CE488E" w:rsidR="006234B3" w:rsidRPr="006234B3" w:rsidRDefault="006234B3" w:rsidP="006234B3">
      <w:pPr>
        <w:spacing w:before="240" w:after="240" w:line="240" w:lineRule="auto"/>
        <w:ind w:firstLine="720"/>
        <w:rPr>
          <w:rFonts w:ascii="Times New Roman" w:eastAsia="Times New Roman" w:hAnsi="Times New Roman" w:cs="Times New Roman"/>
          <w:kern w:val="0"/>
          <w14:ligatures w14:val="none"/>
        </w:rPr>
      </w:pPr>
      <w:r w:rsidRPr="006234B3">
        <w:rPr>
          <w:rFonts w:ascii="Times New Roman" w:eastAsia="Times New Roman" w:hAnsi="Times New Roman" w:cs="Times New Roman"/>
          <w:color w:val="000000"/>
          <w:kern w:val="0"/>
          <w14:ligatures w14:val="none"/>
        </w:rPr>
        <w:t>Empirical studies further indicate that pre-service teachers’ international experiences shape attitudes and practices related to culturally and linguistically diverse learners. For instance, study abroad participation is associated with more positive perceptions of English learners, heightened empathy, and a broader repertoire of culturally responsive strategies (Medina et al., 2015). Systematic reviews of international teacher and student exchanges also document benefits at multiple levels—participants, classrooms, schools, and systems—including enhanced intercultural competencies, personal development, and innovative pedagogy that pre</w:t>
      </w:r>
      <w:r w:rsidR="007B0DE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service teachers subsequently share with their students upon return (Dressler et al., 2021; Lane &amp; Murphrey, 2020). These findings underscore that the value of international experiences extends beyond the individual pre</w:t>
      </w:r>
      <w:r w:rsidR="007B0DE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service teacher; when teachers intentionally integrate and narrate their experiences in instruction, students gain global perspectives, disciplinary relevance, and transferable skills (Dressler et al., 2021; Lane &amp; Murphrey, 2020).</w:t>
      </w:r>
    </w:p>
    <w:p w14:paraId="217F2F33" w14:textId="58A82FCF" w:rsidR="006234B3" w:rsidRPr="006234B3" w:rsidRDefault="006234B3" w:rsidP="006234B3">
      <w:pPr>
        <w:spacing w:after="0" w:line="240" w:lineRule="auto"/>
        <w:ind w:firstLine="720"/>
        <w:rPr>
          <w:rFonts w:ascii="Times New Roman" w:eastAsia="Times New Roman" w:hAnsi="Times New Roman" w:cs="Times New Roman"/>
          <w:kern w:val="0"/>
          <w14:ligatures w14:val="none"/>
        </w:rPr>
      </w:pPr>
      <w:r w:rsidRPr="006234B3">
        <w:rPr>
          <w:rFonts w:ascii="Times New Roman" w:eastAsia="Times New Roman" w:hAnsi="Times New Roman" w:cs="Times New Roman"/>
          <w:color w:val="000000"/>
          <w:kern w:val="0"/>
          <w14:ligatures w14:val="none"/>
        </w:rPr>
        <w:lastRenderedPageBreak/>
        <w:t>Within career and technical education (CTE), the case for international experiential learning is particularly compelling. CTE emphasizes applied learning, industry alignment, and workforce readiness</w:t>
      </w:r>
      <w:r w:rsidR="00287F7C">
        <w:rPr>
          <w:rFonts w:ascii="Times New Roman" w:eastAsia="Times New Roman" w:hAnsi="Times New Roman" w:cs="Times New Roman"/>
          <w:color w:val="000000"/>
          <w:kern w:val="0"/>
          <w14:ligatures w14:val="none"/>
        </w:rPr>
        <w:t xml:space="preserve">, </w:t>
      </w:r>
      <w:r w:rsidRPr="006234B3">
        <w:rPr>
          <w:rFonts w:ascii="Times New Roman" w:eastAsia="Times New Roman" w:hAnsi="Times New Roman" w:cs="Times New Roman"/>
          <w:color w:val="000000"/>
          <w:kern w:val="0"/>
          <w14:ligatures w14:val="none"/>
        </w:rPr>
        <w:t>areas inherently shaped by global economic structures</w:t>
      </w:r>
      <w:r w:rsidR="00287F7C">
        <w:rPr>
          <w:rFonts w:ascii="Times New Roman" w:eastAsia="Times New Roman" w:hAnsi="Times New Roman" w:cs="Times New Roman"/>
          <w:color w:val="000000"/>
          <w:kern w:val="0"/>
          <w14:ligatures w14:val="none"/>
        </w:rPr>
        <w:t xml:space="preserve"> </w:t>
      </w:r>
      <w:r w:rsidRPr="006234B3">
        <w:rPr>
          <w:rFonts w:ascii="Times New Roman" w:eastAsia="Times New Roman" w:hAnsi="Times New Roman" w:cs="Times New Roman"/>
          <w:color w:val="000000"/>
          <w:kern w:val="0"/>
          <w14:ligatures w14:val="none"/>
        </w:rPr>
        <w:t>and cross</w:t>
      </w:r>
      <w:r w:rsidRPr="006234B3">
        <w:rPr>
          <w:rFonts w:ascii="Times New Roman" w:eastAsia="Times New Roman" w:hAnsi="Times New Roman" w:cs="Times New Roman"/>
          <w:color w:val="000000"/>
          <w:kern w:val="0"/>
          <w14:ligatures w14:val="none"/>
        </w:rPr>
        <w:noBreakHyphen/>
        <w:t>cultural professional practices (Smalley &amp; Sands, 2018). Research on CTE teacher preparation highlights the centrality of structured field experiences to connect theory and practice, develop professional identity, and build instructional capacity for authentic, real</w:t>
      </w:r>
      <w:r w:rsidRPr="006234B3">
        <w:rPr>
          <w:rFonts w:ascii="Times New Roman" w:eastAsia="Times New Roman" w:hAnsi="Times New Roman" w:cs="Times New Roman"/>
          <w:color w:val="000000"/>
          <w:kern w:val="0"/>
          <w14:ligatures w14:val="none"/>
        </w:rPr>
        <w:noBreakHyphen/>
        <w:t xml:space="preserve">world contexts (Retallick &amp; Miller, 2017). </w:t>
      </w:r>
      <w:r w:rsidR="00F77F69">
        <w:rPr>
          <w:rFonts w:ascii="Times New Roman" w:eastAsia="Times New Roman" w:hAnsi="Times New Roman" w:cs="Times New Roman"/>
          <w:color w:val="000000"/>
          <w:kern w:val="0"/>
          <w14:ligatures w14:val="none"/>
        </w:rPr>
        <w:t>Yet,</w:t>
      </w:r>
      <w:r w:rsidRPr="006234B3">
        <w:rPr>
          <w:rFonts w:ascii="Times New Roman" w:eastAsia="Times New Roman" w:hAnsi="Times New Roman" w:cs="Times New Roman"/>
          <w:color w:val="000000"/>
          <w:kern w:val="0"/>
          <w14:ligatures w14:val="none"/>
        </w:rPr>
        <w:t xml:space="preserve"> international student teaching remains underexamined in CTE specifically</w:t>
      </w:r>
      <w:r w:rsidR="00F77F69">
        <w:rPr>
          <w:rFonts w:ascii="Times New Roman" w:eastAsia="Times New Roman" w:hAnsi="Times New Roman" w:cs="Times New Roman"/>
          <w:color w:val="000000"/>
          <w:kern w:val="0"/>
          <w14:ligatures w14:val="none"/>
        </w:rPr>
        <w:t>. This study aims to fill this literature gap by examining the impacts of CTE student teaching abroad.</w:t>
      </w:r>
    </w:p>
    <w:p w14:paraId="2EF5EE50"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p>
    <w:p w14:paraId="2BC439F2" w14:textId="77777777" w:rsidR="00224A5A" w:rsidRDefault="00224A5A" w:rsidP="006B5D36">
      <w:pPr>
        <w:spacing w:after="0" w:line="240" w:lineRule="auto"/>
        <w:jc w:val="center"/>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Theoretical Framework</w:t>
      </w:r>
    </w:p>
    <w:p w14:paraId="56C4AEAF" w14:textId="77777777" w:rsidR="006B5D36" w:rsidRPr="00224A5A" w:rsidRDefault="006B5D36" w:rsidP="006B5D36">
      <w:pPr>
        <w:spacing w:after="0" w:line="240" w:lineRule="auto"/>
        <w:jc w:val="center"/>
        <w:rPr>
          <w:rFonts w:ascii="Times New Roman" w:eastAsia="Times New Roman" w:hAnsi="Times New Roman" w:cs="Times New Roman"/>
          <w:b/>
          <w:bCs/>
          <w:kern w:val="0"/>
          <w14:ligatures w14:val="none"/>
        </w:rPr>
      </w:pPr>
    </w:p>
    <w:p w14:paraId="21EFCC50" w14:textId="6C925FBB" w:rsidR="00224A5A" w:rsidRDefault="00224A5A" w:rsidP="006B5D36">
      <w:pPr>
        <w:spacing w:after="0" w:line="240" w:lineRule="auto"/>
        <w:ind w:firstLine="720"/>
        <w:rPr>
          <w:rFonts w:ascii="Times New Roman" w:eastAsia="Times New Roman" w:hAnsi="Times New Roman" w:cs="Times New Roman"/>
          <w:color w:val="000000"/>
          <w:kern w:val="0"/>
          <w14:ligatures w14:val="none"/>
        </w:rPr>
      </w:pPr>
      <w:r w:rsidRPr="00224A5A">
        <w:rPr>
          <w:rFonts w:ascii="Times New Roman" w:eastAsia="Times New Roman" w:hAnsi="Times New Roman" w:cs="Times New Roman"/>
          <w:color w:val="000000"/>
          <w:kern w:val="0"/>
          <w14:ligatures w14:val="none"/>
        </w:rPr>
        <w:t>In the context of this study, the Transformative Learning Theory provides a framework for understanding how pre-service educators develop professionally through immersive international experiences. The Transformative Learning Theory asserts that meaningful learning occurs when individuals critically examine and revise their existing assumptions in response to experiences that challenge their established ways of thinking, resulting in lasting changes to their perspectives, beliefs, and actions (Degreenia et al., 2023; Mezirow, 1997). When teaching in an unfamiliar cultural, educational, and social environment, pre-service teachers often encounter practices and perspectives that challenge their existing assumptions about teaching and learning. These disorienting experiences prompt critical reflection on their own beliefs, capacity, and instructional approaches (Freed et al., 2021). Through guided reflection, dialogue with mentors and peers, and active engagement in international classrooms, pre-service educators reconstruct their understanding of effective teaching and learner diversity (Freed et al., 2021; Mezirow, 1997). As a result, they develop greater cultural competence, adaptability, empathy, and instructional flexibility, which serve as key dispositions for effective educators. </w:t>
      </w:r>
    </w:p>
    <w:p w14:paraId="6A8F1038" w14:textId="77777777" w:rsidR="006B5D36" w:rsidRPr="00224A5A" w:rsidRDefault="006B5D36" w:rsidP="006B5D36">
      <w:pPr>
        <w:spacing w:after="0" w:line="240" w:lineRule="auto"/>
        <w:ind w:firstLine="720"/>
        <w:rPr>
          <w:rFonts w:ascii="Times New Roman" w:eastAsia="Times New Roman" w:hAnsi="Times New Roman" w:cs="Times New Roman"/>
          <w:kern w:val="0"/>
          <w14:ligatures w14:val="none"/>
        </w:rPr>
      </w:pPr>
    </w:p>
    <w:p w14:paraId="077DD2E9" w14:textId="77777777" w:rsidR="00224A5A" w:rsidRPr="00224A5A" w:rsidRDefault="00224A5A" w:rsidP="006B5D36">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This theoretical framework provides a foundation for understanding how educators develop a coherent and evolving teacher identity that aligns with the effective teaching practices identified by </w:t>
      </w:r>
      <w:proofErr w:type="spellStart"/>
      <w:r w:rsidRPr="00224A5A">
        <w:rPr>
          <w:rFonts w:ascii="Times New Roman" w:eastAsia="Times New Roman" w:hAnsi="Times New Roman" w:cs="Times New Roman"/>
          <w:color w:val="000000"/>
          <w:kern w:val="0"/>
          <w14:ligatures w14:val="none"/>
        </w:rPr>
        <w:t>Rosenshine</w:t>
      </w:r>
      <w:proofErr w:type="spellEnd"/>
      <w:r w:rsidRPr="00224A5A">
        <w:rPr>
          <w:rFonts w:ascii="Times New Roman" w:eastAsia="Times New Roman" w:hAnsi="Times New Roman" w:cs="Times New Roman"/>
          <w:color w:val="000000"/>
          <w:kern w:val="0"/>
          <w14:ligatures w14:val="none"/>
        </w:rPr>
        <w:t xml:space="preserve"> and Furst (1971). Through critical reflection on disorienting experiences and the application of instructional best practices, pre-service teachers who gain experience in foreign classrooms reconstruct their beliefs about teaching and learning, leading to increased instructional clarity, purposeful task orientation, and strategic variability. This identity development process supports the implementation of effective teaching behaviors by fostering professional confidence, reinforcing enthusiasm for teaching, and fostering a commitment to creating meaningful learning environments that promote student success. Consequently, transformative learning serves as a critical framework for understanding how CTE teachers prepare learners for workforce, family, and community success, while cultivating the dispositions necessary for global mindedness (Hendrickson, 2015).</w:t>
      </w:r>
    </w:p>
    <w:p w14:paraId="0110F0D1"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p>
    <w:p w14:paraId="01F32FF0" w14:textId="75CE3BAD" w:rsidR="00224A5A" w:rsidRDefault="00224A5A" w:rsidP="006B5D36">
      <w:pPr>
        <w:spacing w:after="0" w:line="240" w:lineRule="auto"/>
        <w:jc w:val="center"/>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Purpose and Research Question</w:t>
      </w:r>
    </w:p>
    <w:p w14:paraId="49840A47" w14:textId="77777777" w:rsidR="006B5D36" w:rsidRPr="00224A5A" w:rsidRDefault="006B5D36" w:rsidP="006B5D36">
      <w:pPr>
        <w:spacing w:after="0" w:line="240" w:lineRule="auto"/>
        <w:jc w:val="center"/>
        <w:rPr>
          <w:rFonts w:ascii="Times New Roman" w:eastAsia="Times New Roman" w:hAnsi="Times New Roman" w:cs="Times New Roman"/>
          <w:b/>
          <w:bCs/>
          <w:kern w:val="0"/>
          <w14:ligatures w14:val="none"/>
        </w:rPr>
      </w:pPr>
    </w:p>
    <w:p w14:paraId="6982AB88" w14:textId="082C5AFE" w:rsidR="00224A5A" w:rsidRDefault="00224A5A" w:rsidP="00AD57EE">
      <w:pPr>
        <w:spacing w:after="0" w:line="240" w:lineRule="auto"/>
        <w:ind w:right="600" w:firstLine="720"/>
        <w:rPr>
          <w:rFonts w:ascii="Times New Roman" w:eastAsia="Times New Roman" w:hAnsi="Times New Roman" w:cs="Times New Roman"/>
          <w:color w:val="000000"/>
          <w:kern w:val="0"/>
          <w14:ligatures w14:val="none"/>
        </w:rPr>
      </w:pPr>
      <w:r w:rsidRPr="00224A5A">
        <w:rPr>
          <w:rFonts w:ascii="Times New Roman" w:eastAsia="Times New Roman" w:hAnsi="Times New Roman" w:cs="Times New Roman"/>
          <w:color w:val="000000"/>
          <w:kern w:val="0"/>
          <w14:ligatures w14:val="none"/>
        </w:rPr>
        <w:t xml:space="preserve">The purpose of this study was to examine the impact of a global student teaching experience on pre-service </w:t>
      </w:r>
      <w:r w:rsidR="00AD57EE">
        <w:rPr>
          <w:rFonts w:ascii="Times New Roman" w:eastAsia="Times New Roman" w:hAnsi="Times New Roman" w:cs="Times New Roman"/>
          <w:color w:val="000000"/>
          <w:kern w:val="0"/>
          <w14:ligatures w14:val="none"/>
        </w:rPr>
        <w:t xml:space="preserve">CTE </w:t>
      </w:r>
      <w:r w:rsidRPr="00224A5A">
        <w:rPr>
          <w:rFonts w:ascii="Times New Roman" w:eastAsia="Times New Roman" w:hAnsi="Times New Roman" w:cs="Times New Roman"/>
          <w:color w:val="000000"/>
          <w:kern w:val="0"/>
          <w14:ligatures w14:val="none"/>
        </w:rPr>
        <w:t>teachers’ professional perspectives and teaching practices. The study addressed the following research question: How does student teaching in Italy influence pre-service teachers’ professional perspectives</w:t>
      </w:r>
      <w:r w:rsidR="00AD57EE">
        <w:rPr>
          <w:rFonts w:ascii="Times New Roman" w:eastAsia="Times New Roman" w:hAnsi="Times New Roman" w:cs="Times New Roman"/>
          <w:color w:val="000000"/>
          <w:kern w:val="0"/>
          <w14:ligatures w14:val="none"/>
        </w:rPr>
        <w:t xml:space="preserve"> and practices? </w:t>
      </w:r>
    </w:p>
    <w:p w14:paraId="7B91BA4B" w14:textId="77777777" w:rsidR="006B5D36" w:rsidRPr="00224A5A" w:rsidRDefault="006B5D36" w:rsidP="006B5D36">
      <w:pPr>
        <w:spacing w:after="0" w:line="240" w:lineRule="auto"/>
        <w:ind w:right="600"/>
        <w:rPr>
          <w:rFonts w:ascii="Times New Roman" w:eastAsia="Times New Roman" w:hAnsi="Times New Roman" w:cs="Times New Roman"/>
          <w:kern w:val="0"/>
          <w14:ligatures w14:val="none"/>
        </w:rPr>
      </w:pPr>
    </w:p>
    <w:p w14:paraId="54FB5F3A" w14:textId="7FFEEB3D" w:rsidR="00224A5A" w:rsidRPr="00224A5A" w:rsidRDefault="00224A5A" w:rsidP="006B5D36">
      <w:pPr>
        <w:spacing w:after="0" w:line="240" w:lineRule="auto"/>
        <w:jc w:val="center"/>
        <w:rPr>
          <w:rFonts w:ascii="Times New Roman" w:eastAsia="Times New Roman" w:hAnsi="Times New Roman" w:cs="Times New Roman"/>
          <w:b/>
          <w:bCs/>
          <w:kern w:val="0"/>
          <w14:ligatures w14:val="none"/>
        </w:rPr>
      </w:pPr>
      <w:r w:rsidRPr="00224A5A">
        <w:rPr>
          <w:rFonts w:ascii="Times New Roman" w:eastAsia="Times New Roman" w:hAnsi="Times New Roman" w:cs="Times New Roman"/>
          <w:b/>
          <w:bCs/>
          <w:color w:val="000000"/>
          <w:kern w:val="0"/>
          <w14:ligatures w14:val="none"/>
        </w:rPr>
        <w:lastRenderedPageBreak/>
        <w:t xml:space="preserve">Methods </w:t>
      </w:r>
    </w:p>
    <w:p w14:paraId="532CAFD7" w14:textId="77777777" w:rsidR="00AD57EE" w:rsidRDefault="00AD57EE" w:rsidP="00AD57EE">
      <w:pPr>
        <w:spacing w:after="0" w:line="240" w:lineRule="auto"/>
        <w:ind w:firstLine="720"/>
        <w:rPr>
          <w:rFonts w:ascii="Times New Roman" w:eastAsia="Times New Roman" w:hAnsi="Times New Roman" w:cs="Times New Roman"/>
          <w:color w:val="000000"/>
          <w:kern w:val="0"/>
          <w14:ligatures w14:val="none"/>
        </w:rPr>
      </w:pPr>
    </w:p>
    <w:p w14:paraId="478944D4" w14:textId="05ACD9D0" w:rsidR="00224A5A" w:rsidRPr="00AD57EE" w:rsidRDefault="00224A5A" w:rsidP="00AD57EE">
      <w:pPr>
        <w:spacing w:after="0" w:line="240" w:lineRule="auto"/>
        <w:ind w:firstLine="720"/>
        <w:rPr>
          <w:rFonts w:ascii="Times New Roman" w:eastAsia="Times New Roman" w:hAnsi="Times New Roman" w:cs="Times New Roman"/>
          <w:color w:val="000000"/>
          <w:kern w:val="0"/>
          <w14:ligatures w14:val="none"/>
        </w:rPr>
      </w:pPr>
      <w:r w:rsidRPr="00224A5A">
        <w:rPr>
          <w:rFonts w:ascii="Times New Roman" w:eastAsia="Times New Roman" w:hAnsi="Times New Roman" w:cs="Times New Roman"/>
          <w:color w:val="000000"/>
          <w:kern w:val="0"/>
          <w14:ligatures w14:val="none"/>
        </w:rPr>
        <w:t xml:space="preserve">This study explored the impacts of global teaching experiences on </w:t>
      </w:r>
      <w:r w:rsidR="00A452A5">
        <w:rPr>
          <w:rFonts w:ascii="Times New Roman" w:eastAsia="Times New Roman" w:hAnsi="Times New Roman" w:cs="Times New Roman"/>
          <w:color w:val="000000"/>
          <w:kern w:val="0"/>
          <w14:ligatures w14:val="none"/>
        </w:rPr>
        <w:t>CTE</w:t>
      </w:r>
      <w:r w:rsidRPr="00A452A5">
        <w:rPr>
          <w:rFonts w:ascii="Times New Roman" w:eastAsia="Times New Roman" w:hAnsi="Times New Roman" w:cs="Times New Roman"/>
          <w:color w:val="000000"/>
          <w:kern w:val="0"/>
          <w14:ligatures w14:val="none"/>
        </w:rPr>
        <w:t xml:space="preserve"> educators’ teaching practices</w:t>
      </w:r>
      <w:r w:rsidRPr="00224A5A">
        <w:rPr>
          <w:rFonts w:ascii="Times New Roman" w:eastAsia="Times New Roman" w:hAnsi="Times New Roman" w:cs="Times New Roman"/>
          <w:color w:val="000000"/>
          <w:kern w:val="0"/>
          <w14:ligatures w14:val="none"/>
        </w:rPr>
        <w:t xml:space="preserve"> and career decisions. Guided by a constructivist lens, we viewed the participants as actively constructing knowledge from their unique experiences and backgrounds (Fosnot, 2013). This perspective enabled us to explore and interpret the meanings participants attributed to their Italy student teaching experiences.</w:t>
      </w:r>
      <w:r w:rsidR="00AD57EE">
        <w:rPr>
          <w:rFonts w:ascii="Times New Roman" w:eastAsia="Times New Roman" w:hAnsi="Times New Roman" w:cs="Times New Roman"/>
          <w:color w:val="000000"/>
          <w:kern w:val="0"/>
          <w14:ligatures w14:val="none"/>
        </w:rPr>
        <w:t xml:space="preserve"> We employed a</w:t>
      </w:r>
      <w:r w:rsidRPr="00224A5A">
        <w:rPr>
          <w:rFonts w:ascii="Times New Roman" w:eastAsia="Times New Roman" w:hAnsi="Times New Roman" w:cs="Times New Roman"/>
          <w:color w:val="000000"/>
          <w:kern w:val="0"/>
          <w14:ligatures w14:val="none"/>
        </w:rPr>
        <w:t xml:space="preserve"> qualitative case study design (Stake 1995) to closely examine the Italy student teaching program’s influence on participants’ teaching practices and perspectives. A case study approach was appropriate because it allowed for an in-depth exploration of the experiences, activities, people, and contextual factors that shaped the global teaching experience.</w:t>
      </w:r>
    </w:p>
    <w:p w14:paraId="5CDE9505" w14:textId="77777777" w:rsidR="006B5D36" w:rsidRDefault="006B5D36" w:rsidP="006B5D36">
      <w:pPr>
        <w:spacing w:after="0" w:line="240" w:lineRule="auto"/>
        <w:rPr>
          <w:rFonts w:ascii="Times New Roman" w:eastAsia="Times New Roman" w:hAnsi="Times New Roman" w:cs="Times New Roman"/>
          <w:b/>
          <w:bCs/>
          <w:color w:val="000000"/>
          <w:kern w:val="0"/>
          <w14:ligatures w14:val="none"/>
        </w:rPr>
      </w:pPr>
    </w:p>
    <w:p w14:paraId="78224105" w14:textId="456FA9F9" w:rsidR="00224A5A" w:rsidRDefault="00224A5A" w:rsidP="006B5D36">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Program Context</w:t>
      </w:r>
      <w:r w:rsidR="00751E01">
        <w:rPr>
          <w:rFonts w:ascii="Times New Roman" w:eastAsia="Times New Roman" w:hAnsi="Times New Roman" w:cs="Times New Roman"/>
          <w:b/>
          <w:bCs/>
          <w:color w:val="000000"/>
          <w:kern w:val="0"/>
          <w14:ligatures w14:val="none"/>
        </w:rPr>
        <w:t xml:space="preserve"> and Participants</w:t>
      </w:r>
    </w:p>
    <w:p w14:paraId="7D22619E" w14:textId="6567EF6B" w:rsidR="00224A5A" w:rsidRPr="00224A5A" w:rsidRDefault="00224A5A" w:rsidP="00AD57EE">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The site of this study was the Italy student teaching program offered to CTE pre-service teachers at </w:t>
      </w:r>
      <w:r w:rsidR="00517CEE">
        <w:rPr>
          <w:rFonts w:ascii="Times New Roman" w:eastAsia="Times New Roman" w:hAnsi="Times New Roman" w:cs="Times New Roman"/>
          <w:color w:val="000000"/>
          <w:kern w:val="0"/>
          <w14:ligatures w14:val="none"/>
        </w:rPr>
        <w:t>Utah State University</w:t>
      </w:r>
      <w:r w:rsidRPr="00224A5A">
        <w:rPr>
          <w:rFonts w:ascii="Times New Roman" w:eastAsia="Times New Roman" w:hAnsi="Times New Roman" w:cs="Times New Roman"/>
          <w:color w:val="000000"/>
          <w:kern w:val="0"/>
          <w14:ligatures w14:val="none"/>
        </w:rPr>
        <w:t>. The first cohort participated in Spring 2023. The program span</w:t>
      </w:r>
      <w:r w:rsidR="00AD57EE">
        <w:rPr>
          <w:rFonts w:ascii="Times New Roman" w:eastAsia="Times New Roman" w:hAnsi="Times New Roman" w:cs="Times New Roman"/>
          <w:color w:val="000000"/>
          <w:kern w:val="0"/>
          <w14:ligatures w14:val="none"/>
        </w:rPr>
        <w:t>ned</w:t>
      </w:r>
      <w:r w:rsidRPr="00224A5A">
        <w:rPr>
          <w:rFonts w:ascii="Times New Roman" w:eastAsia="Times New Roman" w:hAnsi="Times New Roman" w:cs="Times New Roman"/>
          <w:color w:val="000000"/>
          <w:kern w:val="0"/>
          <w14:ligatures w14:val="none"/>
        </w:rPr>
        <w:t xml:space="preserve"> 15 weeks</w:t>
      </w:r>
      <w:r w:rsidR="00751E01">
        <w:rPr>
          <w:rFonts w:ascii="Times New Roman" w:eastAsia="Times New Roman" w:hAnsi="Times New Roman" w:cs="Times New Roman"/>
          <w:color w:val="000000"/>
          <w:kern w:val="0"/>
          <w14:ligatures w14:val="none"/>
        </w:rPr>
        <w:t xml:space="preserve">; </w:t>
      </w:r>
      <w:r w:rsidRPr="00224A5A">
        <w:rPr>
          <w:rFonts w:ascii="Times New Roman" w:eastAsia="Times New Roman" w:hAnsi="Times New Roman" w:cs="Times New Roman"/>
          <w:color w:val="000000"/>
          <w:kern w:val="0"/>
          <w14:ligatures w14:val="none"/>
        </w:rPr>
        <w:t xml:space="preserve">10 weeks of student teaching in the United States, followed by </w:t>
      </w:r>
      <w:r w:rsidR="00F77F69">
        <w:rPr>
          <w:rFonts w:ascii="Times New Roman" w:eastAsia="Times New Roman" w:hAnsi="Times New Roman" w:cs="Times New Roman"/>
          <w:color w:val="000000"/>
          <w:kern w:val="0"/>
          <w14:ligatures w14:val="none"/>
        </w:rPr>
        <w:t>five</w:t>
      </w:r>
      <w:r w:rsidRPr="00224A5A">
        <w:rPr>
          <w:rFonts w:ascii="Times New Roman" w:eastAsia="Times New Roman" w:hAnsi="Times New Roman" w:cs="Times New Roman"/>
          <w:color w:val="000000"/>
          <w:kern w:val="0"/>
          <w14:ligatures w14:val="none"/>
        </w:rPr>
        <w:t xml:space="preserve"> weeks in Northern Italy, primarily in Milan and surrounding towns within the </w:t>
      </w:r>
      <w:proofErr w:type="spellStart"/>
      <w:r w:rsidRPr="00224A5A">
        <w:rPr>
          <w:rFonts w:ascii="Times New Roman" w:eastAsia="Times New Roman" w:hAnsi="Times New Roman" w:cs="Times New Roman"/>
          <w:color w:val="000000"/>
          <w:kern w:val="0"/>
          <w14:ligatures w14:val="none"/>
        </w:rPr>
        <w:t>Lombardia</w:t>
      </w:r>
      <w:proofErr w:type="spellEnd"/>
      <w:r w:rsidRPr="00224A5A">
        <w:rPr>
          <w:rFonts w:ascii="Times New Roman" w:eastAsia="Times New Roman" w:hAnsi="Times New Roman" w:cs="Times New Roman"/>
          <w:color w:val="000000"/>
          <w:kern w:val="0"/>
          <w14:ligatures w14:val="none"/>
        </w:rPr>
        <w:t xml:space="preserve"> region.</w:t>
      </w:r>
      <w:r w:rsidR="00AD57EE">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The Italy school network consist</w:t>
      </w:r>
      <w:r w:rsidR="00AD57EE">
        <w:rPr>
          <w:rFonts w:ascii="Times New Roman" w:eastAsia="Times New Roman" w:hAnsi="Times New Roman" w:cs="Times New Roman"/>
          <w:color w:val="000000"/>
          <w:kern w:val="0"/>
          <w14:ligatures w14:val="none"/>
        </w:rPr>
        <w:t>ed</w:t>
      </w:r>
      <w:r w:rsidRPr="00224A5A">
        <w:rPr>
          <w:rFonts w:ascii="Times New Roman" w:eastAsia="Times New Roman" w:hAnsi="Times New Roman" w:cs="Times New Roman"/>
          <w:color w:val="000000"/>
          <w:kern w:val="0"/>
          <w14:ligatures w14:val="none"/>
        </w:rPr>
        <w:t xml:space="preserve"> of seven partner schools: three agrarian schools, two scientific schools, and two technical schools. </w:t>
      </w:r>
      <w:r w:rsidR="00AD57EE">
        <w:rPr>
          <w:rFonts w:ascii="Times New Roman" w:eastAsia="Times New Roman" w:hAnsi="Times New Roman" w:cs="Times New Roman"/>
          <w:color w:val="000000"/>
          <w:kern w:val="0"/>
          <w14:ligatures w14:val="none"/>
        </w:rPr>
        <w:t xml:space="preserve">In each </w:t>
      </w:r>
      <w:r w:rsidR="00F77F69">
        <w:rPr>
          <w:rFonts w:ascii="Times New Roman" w:eastAsia="Times New Roman" w:hAnsi="Times New Roman" w:cs="Times New Roman"/>
          <w:color w:val="000000"/>
          <w:kern w:val="0"/>
          <w14:ligatures w14:val="none"/>
        </w:rPr>
        <w:t>school</w:t>
      </w:r>
      <w:r w:rsidR="00AD57EE">
        <w:rPr>
          <w:rFonts w:ascii="Times New Roman" w:eastAsia="Times New Roman" w:hAnsi="Times New Roman" w:cs="Times New Roman"/>
          <w:color w:val="000000"/>
          <w:kern w:val="0"/>
          <w14:ligatures w14:val="none"/>
        </w:rPr>
        <w:t>, student teachers taught</w:t>
      </w:r>
      <w:r w:rsidR="00F77F69">
        <w:rPr>
          <w:rFonts w:ascii="Times New Roman" w:eastAsia="Times New Roman" w:hAnsi="Times New Roman" w:cs="Times New Roman"/>
          <w:color w:val="000000"/>
          <w:kern w:val="0"/>
          <w14:ligatures w14:val="none"/>
        </w:rPr>
        <w:t xml:space="preserve"> </w:t>
      </w:r>
      <w:r w:rsidR="00AD57EE">
        <w:rPr>
          <w:rFonts w:ascii="Times New Roman" w:eastAsia="Times New Roman" w:hAnsi="Times New Roman" w:cs="Times New Roman"/>
          <w:color w:val="000000"/>
          <w:kern w:val="0"/>
          <w14:ligatures w14:val="none"/>
        </w:rPr>
        <w:t xml:space="preserve">subjects matching their CTE disciplines. </w:t>
      </w:r>
      <w:r w:rsidRPr="00224A5A">
        <w:rPr>
          <w:rFonts w:ascii="Times New Roman" w:eastAsia="Times New Roman" w:hAnsi="Times New Roman" w:cs="Times New Roman"/>
          <w:color w:val="000000"/>
          <w:kern w:val="0"/>
          <w14:ligatures w14:val="none"/>
        </w:rPr>
        <w:t xml:space="preserve">The program </w:t>
      </w:r>
      <w:r w:rsidR="00AD57EE">
        <w:rPr>
          <w:rFonts w:ascii="Times New Roman" w:eastAsia="Times New Roman" w:hAnsi="Times New Roman" w:cs="Times New Roman"/>
          <w:color w:val="000000"/>
          <w:kern w:val="0"/>
          <w14:ligatures w14:val="none"/>
        </w:rPr>
        <w:t>was</w:t>
      </w:r>
      <w:r w:rsidRPr="00224A5A">
        <w:rPr>
          <w:rFonts w:ascii="Times New Roman" w:eastAsia="Times New Roman" w:hAnsi="Times New Roman" w:cs="Times New Roman"/>
          <w:color w:val="000000"/>
          <w:kern w:val="0"/>
          <w14:ligatures w14:val="none"/>
        </w:rPr>
        <w:t xml:space="preserve"> administered by CTE teacher educators at the university in partnership with a designated cooperating teacher at each Italian school, who </w:t>
      </w:r>
      <w:r w:rsidR="00F77F69">
        <w:rPr>
          <w:rFonts w:ascii="Times New Roman" w:eastAsia="Times New Roman" w:hAnsi="Times New Roman" w:cs="Times New Roman"/>
          <w:color w:val="000000"/>
          <w:kern w:val="0"/>
          <w14:ligatures w14:val="none"/>
        </w:rPr>
        <w:t xml:space="preserve">also </w:t>
      </w:r>
      <w:r w:rsidRPr="00224A5A">
        <w:rPr>
          <w:rFonts w:ascii="Times New Roman" w:eastAsia="Times New Roman" w:hAnsi="Times New Roman" w:cs="Times New Roman"/>
          <w:color w:val="000000"/>
          <w:kern w:val="0"/>
          <w14:ligatures w14:val="none"/>
        </w:rPr>
        <w:t>serve</w:t>
      </w:r>
      <w:r w:rsidR="00AD57EE">
        <w:rPr>
          <w:rFonts w:ascii="Times New Roman" w:eastAsia="Times New Roman" w:hAnsi="Times New Roman" w:cs="Times New Roman"/>
          <w:color w:val="000000"/>
          <w:kern w:val="0"/>
          <w14:ligatures w14:val="none"/>
        </w:rPr>
        <w:t>d</w:t>
      </w:r>
      <w:r w:rsidRPr="00224A5A">
        <w:rPr>
          <w:rFonts w:ascii="Times New Roman" w:eastAsia="Times New Roman" w:hAnsi="Times New Roman" w:cs="Times New Roman"/>
          <w:color w:val="000000"/>
          <w:kern w:val="0"/>
          <w14:ligatures w14:val="none"/>
        </w:rPr>
        <w:t xml:space="preserve"> as the school-level program administrator. </w:t>
      </w:r>
      <w:r w:rsidR="00AD57EE">
        <w:rPr>
          <w:rFonts w:ascii="Times New Roman" w:eastAsia="Times New Roman" w:hAnsi="Times New Roman" w:cs="Times New Roman"/>
          <w:color w:val="000000"/>
          <w:kern w:val="0"/>
          <w14:ligatures w14:val="none"/>
        </w:rPr>
        <w:t>Italian c</w:t>
      </w:r>
      <w:r w:rsidRPr="00224A5A">
        <w:rPr>
          <w:rFonts w:ascii="Times New Roman" w:eastAsia="Times New Roman" w:hAnsi="Times New Roman" w:cs="Times New Roman"/>
          <w:color w:val="000000"/>
          <w:kern w:val="0"/>
          <w14:ligatures w14:val="none"/>
        </w:rPr>
        <w:t xml:space="preserve">ooperating teachers </w:t>
      </w:r>
      <w:r w:rsidR="00AD57EE">
        <w:rPr>
          <w:rFonts w:ascii="Times New Roman" w:eastAsia="Times New Roman" w:hAnsi="Times New Roman" w:cs="Times New Roman"/>
          <w:color w:val="000000"/>
          <w:kern w:val="0"/>
          <w14:ligatures w14:val="none"/>
        </w:rPr>
        <w:t>were</w:t>
      </w:r>
      <w:r w:rsidRPr="00224A5A">
        <w:rPr>
          <w:rFonts w:ascii="Times New Roman" w:eastAsia="Times New Roman" w:hAnsi="Times New Roman" w:cs="Times New Roman"/>
          <w:color w:val="000000"/>
          <w:kern w:val="0"/>
          <w14:ligatures w14:val="none"/>
        </w:rPr>
        <w:t xml:space="preserve"> proficient in English and often t</w:t>
      </w:r>
      <w:r w:rsidR="00AD57EE">
        <w:rPr>
          <w:rFonts w:ascii="Times New Roman" w:eastAsia="Times New Roman" w:hAnsi="Times New Roman" w:cs="Times New Roman"/>
          <w:color w:val="000000"/>
          <w:kern w:val="0"/>
          <w14:ligatures w14:val="none"/>
        </w:rPr>
        <w:t>aught</w:t>
      </w:r>
      <w:r w:rsidRPr="00224A5A">
        <w:rPr>
          <w:rFonts w:ascii="Times New Roman" w:eastAsia="Times New Roman" w:hAnsi="Times New Roman" w:cs="Times New Roman"/>
          <w:color w:val="000000"/>
          <w:kern w:val="0"/>
          <w14:ligatures w14:val="none"/>
        </w:rPr>
        <w:t xml:space="preserve"> English or English-medium disciplinary courses. Because Italian students must pass an English proficiency exam in their fifth year, teachers integrate</w:t>
      </w:r>
      <w:r w:rsidR="00AD57EE">
        <w:rPr>
          <w:rFonts w:ascii="Times New Roman" w:eastAsia="Times New Roman" w:hAnsi="Times New Roman" w:cs="Times New Roman"/>
          <w:color w:val="000000"/>
          <w:kern w:val="0"/>
          <w14:ligatures w14:val="none"/>
        </w:rPr>
        <w:t>d</w:t>
      </w:r>
      <w:r w:rsidRPr="00224A5A">
        <w:rPr>
          <w:rFonts w:ascii="Times New Roman" w:eastAsia="Times New Roman" w:hAnsi="Times New Roman" w:cs="Times New Roman"/>
          <w:color w:val="000000"/>
          <w:kern w:val="0"/>
          <w14:ligatures w14:val="none"/>
        </w:rPr>
        <w:t xml:space="preserve"> English instruction into their disciplinary teaching to support language development within content areas.</w:t>
      </w:r>
    </w:p>
    <w:p w14:paraId="2B07D6AC"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w:t>
      </w:r>
    </w:p>
    <w:p w14:paraId="6CFE4ABD" w14:textId="473EF0FD" w:rsidR="00224A5A" w:rsidRDefault="00224A5A" w:rsidP="006B5D36">
      <w:pPr>
        <w:spacing w:after="0" w:line="240" w:lineRule="auto"/>
        <w:ind w:firstLine="720"/>
        <w:rPr>
          <w:rFonts w:ascii="Times New Roman" w:eastAsia="Times New Roman" w:hAnsi="Times New Roman" w:cs="Times New Roman"/>
          <w:color w:val="000000"/>
          <w:kern w:val="0"/>
          <w14:ligatures w14:val="none"/>
        </w:rPr>
      </w:pPr>
      <w:r w:rsidRPr="00224A5A">
        <w:rPr>
          <w:rFonts w:ascii="Times New Roman" w:eastAsia="Times New Roman" w:hAnsi="Times New Roman" w:cs="Times New Roman"/>
          <w:color w:val="000000"/>
          <w:kern w:val="0"/>
          <w14:ligatures w14:val="none"/>
        </w:rPr>
        <w:t xml:space="preserve">Participants were recruited from all student teachers who completed the Italy student teaching program in 2023, 2024, or 2025. Recruitment emails were sent to all </w:t>
      </w:r>
      <w:r w:rsidR="004D408F">
        <w:rPr>
          <w:rFonts w:ascii="Times New Roman" w:eastAsia="Times New Roman" w:hAnsi="Times New Roman" w:cs="Times New Roman"/>
          <w:color w:val="000000"/>
          <w:kern w:val="0"/>
          <w14:ligatures w14:val="none"/>
        </w:rPr>
        <w:t xml:space="preserve">19 </w:t>
      </w:r>
      <w:r w:rsidRPr="00224A5A">
        <w:rPr>
          <w:rFonts w:ascii="Times New Roman" w:eastAsia="Times New Roman" w:hAnsi="Times New Roman" w:cs="Times New Roman"/>
          <w:color w:val="000000"/>
          <w:kern w:val="0"/>
          <w14:ligatures w14:val="none"/>
        </w:rPr>
        <w:t xml:space="preserve">program completers from these three cohorts. In total, 10 individuals participated in the study. Participants represented multiple CTE disciplines: 1 taught Technology and Engineering Education (TEE), 5 taught Agricultural Education, and 4 taught Family and Consumer Sciences Education (FCSE). Current occupations and year of participation for </w:t>
      </w:r>
      <w:proofErr w:type="gramStart"/>
      <w:r w:rsidRPr="00224A5A">
        <w:rPr>
          <w:rFonts w:ascii="Times New Roman" w:eastAsia="Times New Roman" w:hAnsi="Times New Roman" w:cs="Times New Roman"/>
          <w:color w:val="000000"/>
          <w:kern w:val="0"/>
          <w14:ligatures w14:val="none"/>
        </w:rPr>
        <w:t>each individual</w:t>
      </w:r>
      <w:proofErr w:type="gramEnd"/>
      <w:r w:rsidRPr="00224A5A">
        <w:rPr>
          <w:rFonts w:ascii="Times New Roman" w:eastAsia="Times New Roman" w:hAnsi="Times New Roman" w:cs="Times New Roman"/>
          <w:color w:val="000000"/>
          <w:kern w:val="0"/>
          <w14:ligatures w14:val="none"/>
        </w:rPr>
        <w:t xml:space="preserve"> are shown in Table 1.</w:t>
      </w:r>
    </w:p>
    <w:p w14:paraId="39D1A2D3" w14:textId="77777777" w:rsidR="00A64CC0" w:rsidRDefault="00A64CC0" w:rsidP="00A64CC0">
      <w:pPr>
        <w:spacing w:after="0" w:line="240" w:lineRule="auto"/>
        <w:rPr>
          <w:rFonts w:ascii="Times New Roman" w:eastAsia="Times New Roman" w:hAnsi="Times New Roman" w:cs="Times New Roman"/>
          <w:color w:val="000000"/>
          <w:kern w:val="0"/>
          <w14:ligatures w14:val="none"/>
        </w:rPr>
      </w:pPr>
    </w:p>
    <w:p w14:paraId="1D26D37D" w14:textId="349BCB57" w:rsidR="00A64CC0" w:rsidRPr="00A64CC0" w:rsidRDefault="00A64CC0" w:rsidP="00A64CC0">
      <w:pPr>
        <w:spacing w:after="0" w:line="240" w:lineRule="auto"/>
        <w:rPr>
          <w:rFonts w:ascii="Times New Roman" w:eastAsia="Times New Roman" w:hAnsi="Times New Roman" w:cs="Times New Roman"/>
          <w:b/>
          <w:bCs/>
          <w:color w:val="000000"/>
          <w:kern w:val="0"/>
          <w14:ligatures w14:val="none"/>
        </w:rPr>
      </w:pPr>
      <w:r w:rsidRPr="00A64CC0">
        <w:rPr>
          <w:rFonts w:ascii="Times New Roman" w:eastAsia="Times New Roman" w:hAnsi="Times New Roman" w:cs="Times New Roman"/>
          <w:b/>
          <w:bCs/>
          <w:color w:val="000000"/>
          <w:kern w:val="0"/>
          <w14:ligatures w14:val="none"/>
        </w:rPr>
        <w:t>Table 1</w:t>
      </w:r>
    </w:p>
    <w:p w14:paraId="5F076FC6" w14:textId="0344CDB7" w:rsidR="00224A5A" w:rsidRPr="00B60CB9" w:rsidRDefault="00A64CC0" w:rsidP="00A64CC0">
      <w:pPr>
        <w:spacing w:after="0" w:line="240" w:lineRule="auto"/>
        <w:rPr>
          <w:rFonts w:ascii="Times New Roman" w:eastAsia="Times New Roman" w:hAnsi="Times New Roman" w:cs="Times New Roman"/>
          <w:i/>
          <w:iCs/>
          <w:kern w:val="0"/>
          <w14:ligatures w14:val="none"/>
        </w:rPr>
      </w:pPr>
      <w:r w:rsidRPr="00D70E65">
        <w:rPr>
          <w:rFonts w:ascii="Times New Roman" w:eastAsia="Times New Roman" w:hAnsi="Times New Roman" w:cs="Times New Roman"/>
          <w:i/>
          <w:iCs/>
          <w:color w:val="000000"/>
          <w:kern w:val="0"/>
          <w14:ligatures w14:val="none"/>
        </w:rPr>
        <w:t>Participant Information</w:t>
      </w:r>
    </w:p>
    <w:tbl>
      <w:tblPr>
        <w:tblW w:w="0" w:type="auto"/>
        <w:tblCellMar>
          <w:top w:w="15" w:type="dxa"/>
          <w:left w:w="15" w:type="dxa"/>
          <w:bottom w:w="15" w:type="dxa"/>
          <w:right w:w="15" w:type="dxa"/>
        </w:tblCellMar>
        <w:tblLook w:val="04A0" w:firstRow="1" w:lastRow="0" w:firstColumn="1" w:lastColumn="0" w:noHBand="0" w:noVBand="1"/>
      </w:tblPr>
      <w:tblGrid>
        <w:gridCol w:w="2420"/>
        <w:gridCol w:w="907"/>
        <w:gridCol w:w="1700"/>
        <w:gridCol w:w="1393"/>
        <w:gridCol w:w="2139"/>
      </w:tblGrid>
      <w:tr w:rsidR="00224A5A" w:rsidRPr="00D70E65" w14:paraId="3992514D" w14:textId="77777777" w:rsidTr="00F77F69">
        <w:trPr>
          <w:trHeight w:val="323"/>
        </w:trPr>
        <w:tc>
          <w:tcPr>
            <w:tcW w:w="0" w:type="auto"/>
            <w:tcBorders>
              <w:top w:val="single" w:sz="4" w:space="0" w:color="auto"/>
              <w:bottom w:val="single" w:sz="4" w:space="0" w:color="auto"/>
            </w:tcBorders>
            <w:tcMar>
              <w:top w:w="0" w:type="dxa"/>
              <w:left w:w="100" w:type="dxa"/>
              <w:bottom w:w="0" w:type="dxa"/>
              <w:right w:w="100" w:type="dxa"/>
            </w:tcMar>
            <w:hideMark/>
          </w:tcPr>
          <w:p w14:paraId="3B57F4DE"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Participant Pseudonym</w:t>
            </w:r>
          </w:p>
        </w:tc>
        <w:tc>
          <w:tcPr>
            <w:tcW w:w="0" w:type="auto"/>
            <w:tcBorders>
              <w:top w:val="single" w:sz="4" w:space="0" w:color="auto"/>
              <w:bottom w:val="single" w:sz="4" w:space="0" w:color="auto"/>
            </w:tcBorders>
            <w:tcMar>
              <w:top w:w="0" w:type="dxa"/>
              <w:left w:w="100" w:type="dxa"/>
              <w:bottom w:w="0" w:type="dxa"/>
              <w:right w:w="100" w:type="dxa"/>
            </w:tcMar>
            <w:hideMark/>
          </w:tcPr>
          <w:p w14:paraId="3859BEBE"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Gender</w:t>
            </w:r>
          </w:p>
        </w:tc>
        <w:tc>
          <w:tcPr>
            <w:tcW w:w="0" w:type="auto"/>
            <w:tcBorders>
              <w:top w:val="single" w:sz="4" w:space="0" w:color="auto"/>
              <w:bottom w:val="single" w:sz="4" w:space="0" w:color="auto"/>
            </w:tcBorders>
            <w:tcMar>
              <w:top w:w="0" w:type="dxa"/>
              <w:left w:w="100" w:type="dxa"/>
              <w:bottom w:w="0" w:type="dxa"/>
              <w:right w:w="100" w:type="dxa"/>
            </w:tcMar>
            <w:hideMark/>
          </w:tcPr>
          <w:p w14:paraId="65F74D8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CTE Discipline</w:t>
            </w:r>
          </w:p>
        </w:tc>
        <w:tc>
          <w:tcPr>
            <w:tcW w:w="0" w:type="auto"/>
            <w:tcBorders>
              <w:top w:val="single" w:sz="4" w:space="0" w:color="auto"/>
              <w:bottom w:val="single" w:sz="4" w:space="0" w:color="auto"/>
            </w:tcBorders>
            <w:tcMar>
              <w:top w:w="0" w:type="dxa"/>
              <w:left w:w="100" w:type="dxa"/>
              <w:bottom w:w="0" w:type="dxa"/>
              <w:right w:w="100" w:type="dxa"/>
            </w:tcMar>
            <w:hideMark/>
          </w:tcPr>
          <w:p w14:paraId="5B66DB7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Cohort Year</w:t>
            </w:r>
          </w:p>
        </w:tc>
        <w:tc>
          <w:tcPr>
            <w:tcW w:w="0" w:type="auto"/>
            <w:tcBorders>
              <w:top w:val="single" w:sz="4" w:space="0" w:color="auto"/>
              <w:bottom w:val="single" w:sz="4" w:space="0" w:color="auto"/>
            </w:tcBorders>
            <w:tcMar>
              <w:top w:w="0" w:type="dxa"/>
              <w:left w:w="100" w:type="dxa"/>
              <w:bottom w:w="0" w:type="dxa"/>
              <w:right w:w="100" w:type="dxa"/>
            </w:tcMar>
            <w:hideMark/>
          </w:tcPr>
          <w:p w14:paraId="13FF05E8"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Current Position</w:t>
            </w:r>
          </w:p>
        </w:tc>
      </w:tr>
      <w:tr w:rsidR="00224A5A" w:rsidRPr="00D70E65" w14:paraId="5A4154CC" w14:textId="77777777" w:rsidTr="00F77F69">
        <w:trPr>
          <w:trHeight w:val="260"/>
        </w:trPr>
        <w:tc>
          <w:tcPr>
            <w:tcW w:w="0" w:type="auto"/>
            <w:tcBorders>
              <w:top w:val="single" w:sz="4" w:space="0" w:color="auto"/>
            </w:tcBorders>
            <w:tcMar>
              <w:top w:w="0" w:type="dxa"/>
              <w:left w:w="100" w:type="dxa"/>
              <w:bottom w:w="0" w:type="dxa"/>
              <w:right w:w="100" w:type="dxa"/>
            </w:tcMar>
            <w:hideMark/>
          </w:tcPr>
          <w:p w14:paraId="3D45BD68"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Alexa</w:t>
            </w:r>
          </w:p>
        </w:tc>
        <w:tc>
          <w:tcPr>
            <w:tcW w:w="0" w:type="auto"/>
            <w:tcBorders>
              <w:top w:val="single" w:sz="4" w:space="0" w:color="auto"/>
            </w:tcBorders>
            <w:tcMar>
              <w:top w:w="0" w:type="dxa"/>
              <w:left w:w="100" w:type="dxa"/>
              <w:bottom w:w="0" w:type="dxa"/>
              <w:right w:w="100" w:type="dxa"/>
            </w:tcMar>
            <w:hideMark/>
          </w:tcPr>
          <w:p w14:paraId="37800EBB"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Borders>
              <w:top w:val="single" w:sz="4" w:space="0" w:color="auto"/>
            </w:tcBorders>
            <w:tcMar>
              <w:top w:w="0" w:type="dxa"/>
              <w:left w:w="100" w:type="dxa"/>
              <w:bottom w:w="0" w:type="dxa"/>
              <w:right w:w="100" w:type="dxa"/>
            </w:tcMar>
            <w:hideMark/>
          </w:tcPr>
          <w:p w14:paraId="46C1EE81"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TEE </w:t>
            </w:r>
          </w:p>
        </w:tc>
        <w:tc>
          <w:tcPr>
            <w:tcW w:w="0" w:type="auto"/>
            <w:tcBorders>
              <w:top w:val="single" w:sz="4" w:space="0" w:color="auto"/>
            </w:tcBorders>
            <w:tcMar>
              <w:top w:w="0" w:type="dxa"/>
              <w:left w:w="100" w:type="dxa"/>
              <w:bottom w:w="0" w:type="dxa"/>
              <w:right w:w="100" w:type="dxa"/>
            </w:tcMar>
            <w:hideMark/>
          </w:tcPr>
          <w:p w14:paraId="18E7AB26"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2023</w:t>
            </w:r>
          </w:p>
        </w:tc>
        <w:tc>
          <w:tcPr>
            <w:tcW w:w="0" w:type="auto"/>
            <w:tcBorders>
              <w:top w:val="single" w:sz="4" w:space="0" w:color="auto"/>
            </w:tcBorders>
            <w:tcMar>
              <w:top w:w="0" w:type="dxa"/>
              <w:left w:w="100" w:type="dxa"/>
              <w:bottom w:w="0" w:type="dxa"/>
              <w:right w:w="100" w:type="dxa"/>
            </w:tcMar>
            <w:hideMark/>
          </w:tcPr>
          <w:p w14:paraId="0A9D93F2" w14:textId="132C190A"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Grad</w:t>
            </w:r>
            <w:r w:rsidR="00D70E65" w:rsidRPr="00D70E65">
              <w:rPr>
                <w:rFonts w:ascii="Times New Roman" w:eastAsia="Times New Roman" w:hAnsi="Times New Roman" w:cs="Times New Roman"/>
                <w:color w:val="000000"/>
                <w:kern w:val="0"/>
                <w14:ligatures w14:val="none"/>
              </w:rPr>
              <w:t>uate</w:t>
            </w:r>
            <w:r w:rsidRPr="00D70E65">
              <w:rPr>
                <w:rFonts w:ascii="Times New Roman" w:eastAsia="Times New Roman" w:hAnsi="Times New Roman" w:cs="Times New Roman"/>
                <w:color w:val="000000"/>
                <w:kern w:val="0"/>
                <w14:ligatures w14:val="none"/>
              </w:rPr>
              <w:t xml:space="preserve"> Student</w:t>
            </w:r>
          </w:p>
        </w:tc>
      </w:tr>
      <w:tr w:rsidR="00173267" w:rsidRPr="00D70E65" w14:paraId="49D15CE4" w14:textId="77777777" w:rsidTr="00F77F69">
        <w:trPr>
          <w:trHeight w:val="252"/>
        </w:trPr>
        <w:tc>
          <w:tcPr>
            <w:tcW w:w="0" w:type="auto"/>
            <w:tcMar>
              <w:top w:w="0" w:type="dxa"/>
              <w:left w:w="100" w:type="dxa"/>
              <w:bottom w:w="0" w:type="dxa"/>
              <w:right w:w="100" w:type="dxa"/>
            </w:tcMar>
          </w:tcPr>
          <w:p w14:paraId="6BEA9454" w14:textId="4B0C7188" w:rsidR="00173267" w:rsidRPr="00D70E65" w:rsidRDefault="00173267" w:rsidP="006B5D36">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Avery</w:t>
            </w:r>
          </w:p>
        </w:tc>
        <w:tc>
          <w:tcPr>
            <w:tcW w:w="0" w:type="auto"/>
            <w:tcMar>
              <w:top w:w="0" w:type="dxa"/>
              <w:left w:w="100" w:type="dxa"/>
              <w:bottom w:w="0" w:type="dxa"/>
              <w:right w:w="100" w:type="dxa"/>
            </w:tcMar>
          </w:tcPr>
          <w:p w14:paraId="21494AD6" w14:textId="376C3F7B" w:rsidR="00173267" w:rsidRPr="00D70E65" w:rsidRDefault="00173267" w:rsidP="006B5D36">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tcPr>
          <w:p w14:paraId="13C8B203" w14:textId="0C588B55" w:rsidR="00173267" w:rsidRPr="00D70E65" w:rsidRDefault="00173267" w:rsidP="006B5D36">
            <w:pPr>
              <w:spacing w:after="0" w:line="240" w:lineRule="auto"/>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AgEd</w:t>
            </w:r>
            <w:proofErr w:type="spellEnd"/>
          </w:p>
        </w:tc>
        <w:tc>
          <w:tcPr>
            <w:tcW w:w="0" w:type="auto"/>
            <w:tcMar>
              <w:top w:w="0" w:type="dxa"/>
              <w:left w:w="100" w:type="dxa"/>
              <w:bottom w:w="0" w:type="dxa"/>
              <w:right w:w="100" w:type="dxa"/>
            </w:tcMar>
          </w:tcPr>
          <w:p w14:paraId="1561CE65" w14:textId="5773523D" w:rsidR="00173267" w:rsidRPr="00D70E65" w:rsidRDefault="00173267" w:rsidP="006B5D36">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2023</w:t>
            </w:r>
          </w:p>
        </w:tc>
        <w:tc>
          <w:tcPr>
            <w:tcW w:w="0" w:type="auto"/>
            <w:tcMar>
              <w:top w:w="0" w:type="dxa"/>
              <w:left w:w="100" w:type="dxa"/>
              <w:bottom w:w="0" w:type="dxa"/>
              <w:right w:w="100" w:type="dxa"/>
            </w:tcMar>
          </w:tcPr>
          <w:p w14:paraId="6437C019" w14:textId="75122B6C" w:rsidR="00173267" w:rsidRPr="00D70E65" w:rsidRDefault="00173267" w:rsidP="006B5D36">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Agriculture Teacher</w:t>
            </w:r>
          </w:p>
        </w:tc>
      </w:tr>
      <w:tr w:rsidR="00224A5A" w:rsidRPr="00D70E65" w14:paraId="487A77BE" w14:textId="77777777" w:rsidTr="00F77F69">
        <w:trPr>
          <w:trHeight w:val="243"/>
        </w:trPr>
        <w:tc>
          <w:tcPr>
            <w:tcW w:w="0" w:type="auto"/>
            <w:tcMar>
              <w:top w:w="0" w:type="dxa"/>
              <w:left w:w="100" w:type="dxa"/>
              <w:bottom w:w="0" w:type="dxa"/>
              <w:right w:w="100" w:type="dxa"/>
            </w:tcMar>
            <w:hideMark/>
          </w:tcPr>
          <w:p w14:paraId="175F048E"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Sophie</w:t>
            </w:r>
          </w:p>
        </w:tc>
        <w:tc>
          <w:tcPr>
            <w:tcW w:w="0" w:type="auto"/>
            <w:tcMar>
              <w:top w:w="0" w:type="dxa"/>
              <w:left w:w="100" w:type="dxa"/>
              <w:bottom w:w="0" w:type="dxa"/>
              <w:right w:w="100" w:type="dxa"/>
            </w:tcMar>
            <w:hideMark/>
          </w:tcPr>
          <w:p w14:paraId="333E8B63"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hideMark/>
          </w:tcPr>
          <w:p w14:paraId="0176199A"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proofErr w:type="spellStart"/>
            <w:r w:rsidRPr="00D70E65">
              <w:rPr>
                <w:rFonts w:ascii="Times New Roman" w:eastAsia="Times New Roman" w:hAnsi="Times New Roman" w:cs="Times New Roman"/>
                <w:color w:val="000000"/>
                <w:kern w:val="0"/>
                <w14:ligatures w14:val="none"/>
              </w:rPr>
              <w:t>AgEd</w:t>
            </w:r>
            <w:proofErr w:type="spellEnd"/>
          </w:p>
        </w:tc>
        <w:tc>
          <w:tcPr>
            <w:tcW w:w="0" w:type="auto"/>
            <w:tcMar>
              <w:top w:w="0" w:type="dxa"/>
              <w:left w:w="100" w:type="dxa"/>
              <w:bottom w:w="0" w:type="dxa"/>
              <w:right w:w="100" w:type="dxa"/>
            </w:tcMar>
            <w:hideMark/>
          </w:tcPr>
          <w:p w14:paraId="2AC0EB1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2023</w:t>
            </w:r>
          </w:p>
        </w:tc>
        <w:tc>
          <w:tcPr>
            <w:tcW w:w="0" w:type="auto"/>
            <w:tcMar>
              <w:top w:w="0" w:type="dxa"/>
              <w:left w:w="100" w:type="dxa"/>
              <w:bottom w:w="0" w:type="dxa"/>
              <w:right w:w="100" w:type="dxa"/>
            </w:tcMar>
            <w:hideMark/>
          </w:tcPr>
          <w:p w14:paraId="4608538F" w14:textId="23370F81"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Grad</w:t>
            </w:r>
            <w:r w:rsidR="00D70E65" w:rsidRPr="00D70E65">
              <w:rPr>
                <w:rFonts w:ascii="Times New Roman" w:eastAsia="Times New Roman" w:hAnsi="Times New Roman" w:cs="Times New Roman"/>
                <w:color w:val="000000"/>
                <w:kern w:val="0"/>
                <w14:ligatures w14:val="none"/>
              </w:rPr>
              <w:t>uate</w:t>
            </w:r>
            <w:r w:rsidRPr="00D70E65">
              <w:rPr>
                <w:rFonts w:ascii="Times New Roman" w:eastAsia="Times New Roman" w:hAnsi="Times New Roman" w:cs="Times New Roman"/>
                <w:color w:val="000000"/>
                <w:kern w:val="0"/>
                <w14:ligatures w14:val="none"/>
              </w:rPr>
              <w:t xml:space="preserve"> Student</w:t>
            </w:r>
          </w:p>
        </w:tc>
      </w:tr>
      <w:tr w:rsidR="00224A5A" w:rsidRPr="00D70E65" w14:paraId="5920CDE2" w14:textId="77777777" w:rsidTr="00F77F69">
        <w:trPr>
          <w:trHeight w:val="243"/>
        </w:trPr>
        <w:tc>
          <w:tcPr>
            <w:tcW w:w="0" w:type="auto"/>
            <w:tcMar>
              <w:top w:w="0" w:type="dxa"/>
              <w:left w:w="100" w:type="dxa"/>
              <w:bottom w:w="0" w:type="dxa"/>
              <w:right w:w="100" w:type="dxa"/>
            </w:tcMar>
            <w:hideMark/>
          </w:tcPr>
          <w:p w14:paraId="1D508DA4"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Derek</w:t>
            </w:r>
          </w:p>
        </w:tc>
        <w:tc>
          <w:tcPr>
            <w:tcW w:w="0" w:type="auto"/>
            <w:tcMar>
              <w:top w:w="0" w:type="dxa"/>
              <w:left w:w="100" w:type="dxa"/>
              <w:bottom w:w="0" w:type="dxa"/>
              <w:right w:w="100" w:type="dxa"/>
            </w:tcMar>
            <w:hideMark/>
          </w:tcPr>
          <w:p w14:paraId="36568959"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M</w:t>
            </w:r>
          </w:p>
        </w:tc>
        <w:tc>
          <w:tcPr>
            <w:tcW w:w="0" w:type="auto"/>
            <w:tcMar>
              <w:top w:w="0" w:type="dxa"/>
              <w:left w:w="100" w:type="dxa"/>
              <w:bottom w:w="0" w:type="dxa"/>
              <w:right w:w="100" w:type="dxa"/>
            </w:tcMar>
            <w:hideMark/>
          </w:tcPr>
          <w:p w14:paraId="30DFDAB9"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proofErr w:type="spellStart"/>
            <w:r w:rsidRPr="00D70E65">
              <w:rPr>
                <w:rFonts w:ascii="Times New Roman" w:eastAsia="Times New Roman" w:hAnsi="Times New Roman" w:cs="Times New Roman"/>
                <w:color w:val="000000"/>
                <w:kern w:val="0"/>
                <w14:ligatures w14:val="none"/>
              </w:rPr>
              <w:t>AgEd</w:t>
            </w:r>
            <w:proofErr w:type="spellEnd"/>
          </w:p>
        </w:tc>
        <w:tc>
          <w:tcPr>
            <w:tcW w:w="0" w:type="auto"/>
            <w:tcMar>
              <w:top w:w="0" w:type="dxa"/>
              <w:left w:w="100" w:type="dxa"/>
              <w:bottom w:w="0" w:type="dxa"/>
              <w:right w:w="100" w:type="dxa"/>
            </w:tcMar>
            <w:hideMark/>
          </w:tcPr>
          <w:p w14:paraId="16D6B850"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2023</w:t>
            </w:r>
          </w:p>
        </w:tc>
        <w:tc>
          <w:tcPr>
            <w:tcW w:w="0" w:type="auto"/>
            <w:tcMar>
              <w:top w:w="0" w:type="dxa"/>
              <w:left w:w="100" w:type="dxa"/>
              <w:bottom w:w="0" w:type="dxa"/>
              <w:right w:w="100" w:type="dxa"/>
            </w:tcMar>
            <w:hideMark/>
          </w:tcPr>
          <w:p w14:paraId="46698504" w14:textId="0F33E3D4"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Ag</w:t>
            </w:r>
            <w:r w:rsidR="00D70E65" w:rsidRPr="00D70E65">
              <w:rPr>
                <w:rFonts w:ascii="Times New Roman" w:eastAsia="Times New Roman" w:hAnsi="Times New Roman" w:cs="Times New Roman"/>
                <w:color w:val="000000"/>
                <w:kern w:val="0"/>
                <w14:ligatures w14:val="none"/>
              </w:rPr>
              <w:t xml:space="preserve">riculture </w:t>
            </w:r>
            <w:r w:rsidRPr="00D70E65">
              <w:rPr>
                <w:rFonts w:ascii="Times New Roman" w:eastAsia="Times New Roman" w:hAnsi="Times New Roman" w:cs="Times New Roman"/>
                <w:color w:val="000000"/>
                <w:kern w:val="0"/>
                <w14:ligatures w14:val="none"/>
              </w:rPr>
              <w:t>Teacher</w:t>
            </w:r>
          </w:p>
        </w:tc>
      </w:tr>
      <w:tr w:rsidR="00224A5A" w:rsidRPr="00D70E65" w14:paraId="48DA3757" w14:textId="77777777" w:rsidTr="00F77F69">
        <w:trPr>
          <w:trHeight w:val="243"/>
        </w:trPr>
        <w:tc>
          <w:tcPr>
            <w:tcW w:w="0" w:type="auto"/>
            <w:tcMar>
              <w:top w:w="0" w:type="dxa"/>
              <w:left w:w="100" w:type="dxa"/>
              <w:bottom w:w="0" w:type="dxa"/>
              <w:right w:w="100" w:type="dxa"/>
            </w:tcMar>
            <w:hideMark/>
          </w:tcPr>
          <w:p w14:paraId="5A87325D"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Harper</w:t>
            </w:r>
          </w:p>
        </w:tc>
        <w:tc>
          <w:tcPr>
            <w:tcW w:w="0" w:type="auto"/>
            <w:tcMar>
              <w:top w:w="0" w:type="dxa"/>
              <w:left w:w="100" w:type="dxa"/>
              <w:bottom w:w="0" w:type="dxa"/>
              <w:right w:w="100" w:type="dxa"/>
            </w:tcMar>
            <w:hideMark/>
          </w:tcPr>
          <w:p w14:paraId="0FA3FCC5"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hideMark/>
          </w:tcPr>
          <w:p w14:paraId="2124C305"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proofErr w:type="spellStart"/>
            <w:r w:rsidRPr="00D70E65">
              <w:rPr>
                <w:rFonts w:ascii="Times New Roman" w:eastAsia="Times New Roman" w:hAnsi="Times New Roman" w:cs="Times New Roman"/>
                <w:color w:val="000000"/>
                <w:kern w:val="0"/>
                <w14:ligatures w14:val="none"/>
              </w:rPr>
              <w:t>AgEd</w:t>
            </w:r>
            <w:proofErr w:type="spellEnd"/>
          </w:p>
        </w:tc>
        <w:tc>
          <w:tcPr>
            <w:tcW w:w="0" w:type="auto"/>
            <w:tcMar>
              <w:top w:w="0" w:type="dxa"/>
              <w:left w:w="100" w:type="dxa"/>
              <w:bottom w:w="0" w:type="dxa"/>
              <w:right w:w="100" w:type="dxa"/>
            </w:tcMar>
            <w:hideMark/>
          </w:tcPr>
          <w:p w14:paraId="1A5A6C2A"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2024</w:t>
            </w:r>
          </w:p>
        </w:tc>
        <w:tc>
          <w:tcPr>
            <w:tcW w:w="0" w:type="auto"/>
            <w:tcMar>
              <w:top w:w="0" w:type="dxa"/>
              <w:left w:w="100" w:type="dxa"/>
              <w:bottom w:w="0" w:type="dxa"/>
              <w:right w:w="100" w:type="dxa"/>
            </w:tcMar>
            <w:hideMark/>
          </w:tcPr>
          <w:p w14:paraId="19F43677" w14:textId="5F3F16AA"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Grad</w:t>
            </w:r>
            <w:r w:rsidR="00D70E65" w:rsidRPr="00D70E65">
              <w:rPr>
                <w:rFonts w:ascii="Times New Roman" w:eastAsia="Times New Roman" w:hAnsi="Times New Roman" w:cs="Times New Roman"/>
                <w:color w:val="000000"/>
                <w:kern w:val="0"/>
                <w14:ligatures w14:val="none"/>
              </w:rPr>
              <w:t>uate</w:t>
            </w:r>
            <w:r w:rsidRPr="00D70E65">
              <w:rPr>
                <w:rFonts w:ascii="Times New Roman" w:eastAsia="Times New Roman" w:hAnsi="Times New Roman" w:cs="Times New Roman"/>
                <w:color w:val="000000"/>
                <w:kern w:val="0"/>
                <w14:ligatures w14:val="none"/>
              </w:rPr>
              <w:t xml:space="preserve"> Student</w:t>
            </w:r>
          </w:p>
        </w:tc>
      </w:tr>
      <w:tr w:rsidR="00224A5A" w:rsidRPr="00D70E65" w14:paraId="1FE7D26A" w14:textId="77777777" w:rsidTr="00F77F69">
        <w:trPr>
          <w:trHeight w:val="225"/>
        </w:trPr>
        <w:tc>
          <w:tcPr>
            <w:tcW w:w="0" w:type="auto"/>
            <w:tcMar>
              <w:top w:w="0" w:type="dxa"/>
              <w:left w:w="100" w:type="dxa"/>
              <w:bottom w:w="0" w:type="dxa"/>
              <w:right w:w="100" w:type="dxa"/>
            </w:tcMar>
            <w:hideMark/>
          </w:tcPr>
          <w:p w14:paraId="7689E2B6"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Claire</w:t>
            </w:r>
          </w:p>
        </w:tc>
        <w:tc>
          <w:tcPr>
            <w:tcW w:w="0" w:type="auto"/>
            <w:tcMar>
              <w:top w:w="0" w:type="dxa"/>
              <w:left w:w="100" w:type="dxa"/>
              <w:bottom w:w="0" w:type="dxa"/>
              <w:right w:w="100" w:type="dxa"/>
            </w:tcMar>
            <w:hideMark/>
          </w:tcPr>
          <w:p w14:paraId="22CB65B7"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hideMark/>
          </w:tcPr>
          <w:p w14:paraId="7009F239"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w:t>
            </w:r>
          </w:p>
        </w:tc>
        <w:tc>
          <w:tcPr>
            <w:tcW w:w="0" w:type="auto"/>
            <w:tcMar>
              <w:top w:w="0" w:type="dxa"/>
              <w:left w:w="100" w:type="dxa"/>
              <w:bottom w:w="0" w:type="dxa"/>
              <w:right w:w="100" w:type="dxa"/>
            </w:tcMar>
            <w:hideMark/>
          </w:tcPr>
          <w:p w14:paraId="489E5F41"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2024</w:t>
            </w:r>
          </w:p>
        </w:tc>
        <w:tc>
          <w:tcPr>
            <w:tcW w:w="0" w:type="auto"/>
            <w:tcMar>
              <w:top w:w="0" w:type="dxa"/>
              <w:left w:w="100" w:type="dxa"/>
              <w:bottom w:w="0" w:type="dxa"/>
              <w:right w:w="100" w:type="dxa"/>
            </w:tcMar>
            <w:hideMark/>
          </w:tcPr>
          <w:p w14:paraId="7EB925B0"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 Teacher</w:t>
            </w:r>
          </w:p>
        </w:tc>
      </w:tr>
      <w:tr w:rsidR="00224A5A" w:rsidRPr="00D70E65" w14:paraId="27787777" w14:textId="77777777" w:rsidTr="00F77F69">
        <w:trPr>
          <w:trHeight w:val="225"/>
        </w:trPr>
        <w:tc>
          <w:tcPr>
            <w:tcW w:w="0" w:type="auto"/>
            <w:tcMar>
              <w:top w:w="0" w:type="dxa"/>
              <w:left w:w="100" w:type="dxa"/>
              <w:bottom w:w="0" w:type="dxa"/>
              <w:right w:w="100" w:type="dxa"/>
            </w:tcMar>
            <w:hideMark/>
          </w:tcPr>
          <w:p w14:paraId="1B80018E"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Caleb</w:t>
            </w:r>
          </w:p>
        </w:tc>
        <w:tc>
          <w:tcPr>
            <w:tcW w:w="0" w:type="auto"/>
            <w:tcMar>
              <w:top w:w="0" w:type="dxa"/>
              <w:left w:w="100" w:type="dxa"/>
              <w:bottom w:w="0" w:type="dxa"/>
              <w:right w:w="100" w:type="dxa"/>
            </w:tcMar>
            <w:hideMark/>
          </w:tcPr>
          <w:p w14:paraId="18C85E49"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M</w:t>
            </w:r>
          </w:p>
        </w:tc>
        <w:tc>
          <w:tcPr>
            <w:tcW w:w="0" w:type="auto"/>
            <w:tcMar>
              <w:top w:w="0" w:type="dxa"/>
              <w:left w:w="100" w:type="dxa"/>
              <w:bottom w:w="0" w:type="dxa"/>
              <w:right w:w="100" w:type="dxa"/>
            </w:tcMar>
            <w:hideMark/>
          </w:tcPr>
          <w:p w14:paraId="59D5C4C0"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proofErr w:type="spellStart"/>
            <w:r w:rsidRPr="00D70E65">
              <w:rPr>
                <w:rFonts w:ascii="Times New Roman" w:eastAsia="Times New Roman" w:hAnsi="Times New Roman" w:cs="Times New Roman"/>
                <w:color w:val="000000"/>
                <w:kern w:val="0"/>
                <w14:ligatures w14:val="none"/>
              </w:rPr>
              <w:t>AgEd</w:t>
            </w:r>
            <w:proofErr w:type="spellEnd"/>
          </w:p>
        </w:tc>
        <w:tc>
          <w:tcPr>
            <w:tcW w:w="0" w:type="auto"/>
            <w:tcMar>
              <w:top w:w="0" w:type="dxa"/>
              <w:left w:w="100" w:type="dxa"/>
              <w:bottom w:w="0" w:type="dxa"/>
              <w:right w:w="100" w:type="dxa"/>
            </w:tcMar>
            <w:hideMark/>
          </w:tcPr>
          <w:p w14:paraId="78E9D65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2025</w:t>
            </w:r>
          </w:p>
        </w:tc>
        <w:tc>
          <w:tcPr>
            <w:tcW w:w="0" w:type="auto"/>
            <w:tcMar>
              <w:top w:w="0" w:type="dxa"/>
              <w:left w:w="100" w:type="dxa"/>
              <w:bottom w:w="0" w:type="dxa"/>
              <w:right w:w="100" w:type="dxa"/>
            </w:tcMar>
            <w:hideMark/>
          </w:tcPr>
          <w:p w14:paraId="3DD174BE" w14:textId="0CA8B13E"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Ag</w:t>
            </w:r>
            <w:r w:rsidR="00D70E65" w:rsidRPr="00D70E65">
              <w:rPr>
                <w:rFonts w:ascii="Times New Roman" w:eastAsia="Times New Roman" w:hAnsi="Times New Roman" w:cs="Times New Roman"/>
                <w:color w:val="000000"/>
                <w:kern w:val="0"/>
                <w14:ligatures w14:val="none"/>
              </w:rPr>
              <w:t>riculture</w:t>
            </w:r>
            <w:r w:rsidRPr="00D70E65">
              <w:rPr>
                <w:rFonts w:ascii="Times New Roman" w:eastAsia="Times New Roman" w:hAnsi="Times New Roman" w:cs="Times New Roman"/>
                <w:color w:val="000000"/>
                <w:kern w:val="0"/>
                <w14:ligatures w14:val="none"/>
              </w:rPr>
              <w:t xml:space="preserve"> Teacher</w:t>
            </w:r>
          </w:p>
        </w:tc>
      </w:tr>
      <w:tr w:rsidR="00224A5A" w:rsidRPr="00D70E65" w14:paraId="1CA13511" w14:textId="77777777" w:rsidTr="00B60CB9">
        <w:trPr>
          <w:trHeight w:val="207"/>
        </w:trPr>
        <w:tc>
          <w:tcPr>
            <w:tcW w:w="0" w:type="auto"/>
            <w:tcMar>
              <w:top w:w="0" w:type="dxa"/>
              <w:left w:w="100" w:type="dxa"/>
              <w:bottom w:w="0" w:type="dxa"/>
              <w:right w:w="100" w:type="dxa"/>
            </w:tcMar>
            <w:hideMark/>
          </w:tcPr>
          <w:p w14:paraId="538BCCE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Maya</w:t>
            </w:r>
          </w:p>
        </w:tc>
        <w:tc>
          <w:tcPr>
            <w:tcW w:w="0" w:type="auto"/>
            <w:tcMar>
              <w:top w:w="0" w:type="dxa"/>
              <w:left w:w="100" w:type="dxa"/>
              <w:bottom w:w="0" w:type="dxa"/>
              <w:right w:w="100" w:type="dxa"/>
            </w:tcMar>
            <w:hideMark/>
          </w:tcPr>
          <w:p w14:paraId="35415885"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hideMark/>
          </w:tcPr>
          <w:p w14:paraId="26EDB78A"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w:t>
            </w:r>
          </w:p>
        </w:tc>
        <w:tc>
          <w:tcPr>
            <w:tcW w:w="0" w:type="auto"/>
            <w:tcMar>
              <w:top w:w="0" w:type="dxa"/>
              <w:left w:w="100" w:type="dxa"/>
              <w:bottom w:w="0" w:type="dxa"/>
              <w:right w:w="100" w:type="dxa"/>
            </w:tcMar>
            <w:hideMark/>
          </w:tcPr>
          <w:p w14:paraId="08A6FF14"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2025</w:t>
            </w:r>
          </w:p>
        </w:tc>
        <w:tc>
          <w:tcPr>
            <w:tcW w:w="0" w:type="auto"/>
            <w:tcMar>
              <w:top w:w="0" w:type="dxa"/>
              <w:left w:w="100" w:type="dxa"/>
              <w:bottom w:w="0" w:type="dxa"/>
              <w:right w:w="100" w:type="dxa"/>
            </w:tcMar>
            <w:hideMark/>
          </w:tcPr>
          <w:p w14:paraId="099462D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 Teacher</w:t>
            </w:r>
          </w:p>
        </w:tc>
      </w:tr>
      <w:tr w:rsidR="00224A5A" w:rsidRPr="00D70E65" w14:paraId="09945DBE" w14:textId="77777777" w:rsidTr="00B60CB9">
        <w:trPr>
          <w:trHeight w:val="207"/>
        </w:trPr>
        <w:tc>
          <w:tcPr>
            <w:tcW w:w="0" w:type="auto"/>
            <w:tcMar>
              <w:top w:w="0" w:type="dxa"/>
              <w:left w:w="100" w:type="dxa"/>
              <w:bottom w:w="0" w:type="dxa"/>
              <w:right w:w="100" w:type="dxa"/>
            </w:tcMar>
            <w:hideMark/>
          </w:tcPr>
          <w:p w14:paraId="6F7D87EB"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Anna</w:t>
            </w:r>
          </w:p>
        </w:tc>
        <w:tc>
          <w:tcPr>
            <w:tcW w:w="0" w:type="auto"/>
            <w:tcMar>
              <w:top w:w="0" w:type="dxa"/>
              <w:left w:w="100" w:type="dxa"/>
              <w:bottom w:w="0" w:type="dxa"/>
              <w:right w:w="100" w:type="dxa"/>
            </w:tcMar>
            <w:hideMark/>
          </w:tcPr>
          <w:p w14:paraId="3DD42BCC"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Mar>
              <w:top w:w="0" w:type="dxa"/>
              <w:left w:w="100" w:type="dxa"/>
              <w:bottom w:w="0" w:type="dxa"/>
              <w:right w:w="100" w:type="dxa"/>
            </w:tcMar>
            <w:hideMark/>
          </w:tcPr>
          <w:p w14:paraId="0FA0FA78"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 </w:t>
            </w:r>
          </w:p>
        </w:tc>
        <w:tc>
          <w:tcPr>
            <w:tcW w:w="0" w:type="auto"/>
            <w:tcMar>
              <w:top w:w="0" w:type="dxa"/>
              <w:left w:w="100" w:type="dxa"/>
              <w:bottom w:w="0" w:type="dxa"/>
              <w:right w:w="100" w:type="dxa"/>
            </w:tcMar>
            <w:hideMark/>
          </w:tcPr>
          <w:p w14:paraId="2DB57A67"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2025</w:t>
            </w:r>
          </w:p>
        </w:tc>
        <w:tc>
          <w:tcPr>
            <w:tcW w:w="0" w:type="auto"/>
            <w:tcMar>
              <w:top w:w="0" w:type="dxa"/>
              <w:left w:w="100" w:type="dxa"/>
              <w:bottom w:w="0" w:type="dxa"/>
              <w:right w:w="100" w:type="dxa"/>
            </w:tcMar>
            <w:hideMark/>
          </w:tcPr>
          <w:p w14:paraId="26258CB9" w14:textId="3EA44AB3"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 Teacher</w:t>
            </w:r>
          </w:p>
        </w:tc>
      </w:tr>
      <w:tr w:rsidR="00224A5A" w:rsidRPr="00D70E65" w14:paraId="670E3CBC" w14:textId="77777777" w:rsidTr="00B60CB9">
        <w:trPr>
          <w:trHeight w:val="80"/>
        </w:trPr>
        <w:tc>
          <w:tcPr>
            <w:tcW w:w="0" w:type="auto"/>
            <w:tcBorders>
              <w:bottom w:val="single" w:sz="4" w:space="0" w:color="auto"/>
            </w:tcBorders>
            <w:tcMar>
              <w:top w:w="0" w:type="dxa"/>
              <w:left w:w="100" w:type="dxa"/>
              <w:bottom w:w="0" w:type="dxa"/>
              <w:right w:w="100" w:type="dxa"/>
            </w:tcMar>
            <w:hideMark/>
          </w:tcPr>
          <w:p w14:paraId="1BDCEEE8"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Taylor</w:t>
            </w:r>
          </w:p>
        </w:tc>
        <w:tc>
          <w:tcPr>
            <w:tcW w:w="0" w:type="auto"/>
            <w:tcBorders>
              <w:bottom w:val="single" w:sz="4" w:space="0" w:color="auto"/>
            </w:tcBorders>
            <w:tcMar>
              <w:top w:w="0" w:type="dxa"/>
              <w:left w:w="100" w:type="dxa"/>
              <w:bottom w:w="0" w:type="dxa"/>
              <w:right w:w="100" w:type="dxa"/>
            </w:tcMar>
            <w:hideMark/>
          </w:tcPr>
          <w:p w14:paraId="05C60C8E"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w:t>
            </w:r>
          </w:p>
        </w:tc>
        <w:tc>
          <w:tcPr>
            <w:tcW w:w="0" w:type="auto"/>
            <w:tcBorders>
              <w:bottom w:val="single" w:sz="4" w:space="0" w:color="auto"/>
            </w:tcBorders>
            <w:tcMar>
              <w:top w:w="0" w:type="dxa"/>
              <w:left w:w="100" w:type="dxa"/>
              <w:bottom w:w="0" w:type="dxa"/>
              <w:right w:w="100" w:type="dxa"/>
            </w:tcMar>
            <w:hideMark/>
          </w:tcPr>
          <w:p w14:paraId="19DC6800"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w:t>
            </w:r>
          </w:p>
        </w:tc>
        <w:tc>
          <w:tcPr>
            <w:tcW w:w="0" w:type="auto"/>
            <w:tcBorders>
              <w:bottom w:val="single" w:sz="4" w:space="0" w:color="auto"/>
            </w:tcBorders>
            <w:tcMar>
              <w:top w:w="0" w:type="dxa"/>
              <w:left w:w="100" w:type="dxa"/>
              <w:bottom w:w="0" w:type="dxa"/>
              <w:right w:w="100" w:type="dxa"/>
            </w:tcMar>
            <w:hideMark/>
          </w:tcPr>
          <w:p w14:paraId="378E7542"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2025</w:t>
            </w:r>
          </w:p>
        </w:tc>
        <w:tc>
          <w:tcPr>
            <w:tcW w:w="0" w:type="auto"/>
            <w:tcBorders>
              <w:bottom w:val="single" w:sz="4" w:space="0" w:color="auto"/>
            </w:tcBorders>
            <w:tcMar>
              <w:top w:w="0" w:type="dxa"/>
              <w:left w:w="100" w:type="dxa"/>
              <w:bottom w:w="0" w:type="dxa"/>
              <w:right w:w="100" w:type="dxa"/>
            </w:tcMar>
            <w:hideMark/>
          </w:tcPr>
          <w:p w14:paraId="6F3533B9" w14:textId="77777777" w:rsidR="00224A5A" w:rsidRPr="00D70E65" w:rsidRDefault="00224A5A" w:rsidP="006B5D36">
            <w:pPr>
              <w:spacing w:after="0" w:line="240" w:lineRule="auto"/>
              <w:rPr>
                <w:rFonts w:ascii="Times New Roman" w:eastAsia="Times New Roman" w:hAnsi="Times New Roman" w:cs="Times New Roman"/>
                <w:kern w:val="0"/>
                <w14:ligatures w14:val="none"/>
              </w:rPr>
            </w:pPr>
            <w:r w:rsidRPr="00D70E65">
              <w:rPr>
                <w:rFonts w:ascii="Times New Roman" w:eastAsia="Times New Roman" w:hAnsi="Times New Roman" w:cs="Times New Roman"/>
                <w:color w:val="000000"/>
                <w:kern w:val="0"/>
                <w14:ligatures w14:val="none"/>
              </w:rPr>
              <w:t>FCSE Teacher</w:t>
            </w:r>
          </w:p>
        </w:tc>
      </w:tr>
    </w:tbl>
    <w:p w14:paraId="283CF428"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lastRenderedPageBreak/>
        <w:t> </w:t>
      </w:r>
    </w:p>
    <w:p w14:paraId="456F5FAC" w14:textId="77777777" w:rsidR="00224A5A" w:rsidRDefault="00224A5A" w:rsidP="006B5D36">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Data Collection</w:t>
      </w:r>
    </w:p>
    <w:p w14:paraId="5B2BA3DB" w14:textId="77777777" w:rsidR="004D408F" w:rsidRDefault="004D408F" w:rsidP="00A64CC0">
      <w:pPr>
        <w:spacing w:after="0" w:line="240" w:lineRule="auto"/>
        <w:ind w:firstLine="720"/>
        <w:rPr>
          <w:rFonts w:ascii="Times New Roman" w:eastAsia="Times New Roman" w:hAnsi="Times New Roman" w:cs="Times New Roman"/>
          <w:color w:val="000000"/>
          <w:kern w:val="0"/>
          <w14:ligatures w14:val="none"/>
        </w:rPr>
      </w:pPr>
      <w:r w:rsidRPr="004D408F">
        <w:rPr>
          <w:rFonts w:ascii="Times New Roman" w:eastAsia="Times New Roman" w:hAnsi="Times New Roman" w:cs="Times New Roman"/>
          <w:color w:val="000000"/>
          <w:kern w:val="0"/>
          <w14:ligatures w14:val="none"/>
        </w:rPr>
        <w:t xml:space="preserve">Data </w:t>
      </w:r>
      <w:proofErr w:type="gramStart"/>
      <w:r w:rsidRPr="004D408F">
        <w:rPr>
          <w:rFonts w:ascii="Times New Roman" w:eastAsia="Times New Roman" w:hAnsi="Times New Roman" w:cs="Times New Roman"/>
          <w:color w:val="000000"/>
          <w:kern w:val="0"/>
          <w14:ligatures w14:val="none"/>
        </w:rPr>
        <w:t>were</w:t>
      </w:r>
      <w:proofErr w:type="gramEnd"/>
      <w:r w:rsidRPr="004D408F">
        <w:rPr>
          <w:rFonts w:ascii="Times New Roman" w:eastAsia="Times New Roman" w:hAnsi="Times New Roman" w:cs="Times New Roman"/>
          <w:color w:val="000000"/>
          <w:kern w:val="0"/>
          <w14:ligatures w14:val="none"/>
        </w:rPr>
        <w:t xml:space="preserve"> collected in Fall 2025 using multiple sources to enable triangulation and deepen understanding of participant experiences. Three data sources were used: one-on-one semi-structured interviews, observations, and online surveys. One-on-one semi-structured interviews served as the primary source of data for analysis, while observations and online surveys functioned as secondary sources. The secondary sources were not analyzed for thematic content; however, they provided contextual information to support and triangulate findings from the primary data source. These secondary data sources were used to contextualize interview responses, corroborate emerging patterns, and inform the interpretation of themes during analysis.</w:t>
      </w:r>
    </w:p>
    <w:p w14:paraId="2DFF5A16" w14:textId="77777777" w:rsidR="004D408F" w:rsidRDefault="004D408F" w:rsidP="00A64CC0">
      <w:pPr>
        <w:spacing w:after="0" w:line="240" w:lineRule="auto"/>
        <w:ind w:firstLine="720"/>
        <w:rPr>
          <w:rFonts w:ascii="Times New Roman" w:eastAsia="Times New Roman" w:hAnsi="Times New Roman" w:cs="Times New Roman"/>
          <w:color w:val="000000"/>
          <w:kern w:val="0"/>
          <w14:ligatures w14:val="none"/>
        </w:rPr>
      </w:pPr>
    </w:p>
    <w:p w14:paraId="6420DAEE" w14:textId="3439F1D5"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One-on-one semi-structured interviews served as the primary data source. Participants were asked to reflect on their global teaching experience and articulate how it shaped their views, perspectives, and teaching practices. Interviews were conducted online via Zoom and lasted approximately 30–60 minutes. The interviews with each participant were audio-recorded with permission. Two researchers conducted the interviews, with one serving as the moderator and the other taking observational notes and managing the technology. A moderator guide containing nine core questions and potential probes was developed (Denzin &amp; Lincoln, 2011). Sample questions included: How impactful has this experience been on you professionally? What skills/knowledge did you gain because of this program? How did your teaching experiences in Italy influence your own approach to teaching now? </w:t>
      </w:r>
    </w:p>
    <w:p w14:paraId="5B7BC3C9"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w:t>
      </w:r>
    </w:p>
    <w:p w14:paraId="67E48CFA" w14:textId="6122938F" w:rsidR="00224A5A" w:rsidRPr="00224A5A" w:rsidRDefault="00224A5A" w:rsidP="003F55A1">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A 43-item descriptive survey served as an important secondary data source for this study. The survey comprised three components: program evaluation, perceived impacts, and demographics. </w:t>
      </w:r>
      <w:r w:rsidR="00B60CB9">
        <w:rPr>
          <w:rFonts w:ascii="Times New Roman" w:eastAsia="Times New Roman" w:hAnsi="Times New Roman" w:cs="Times New Roman"/>
          <w:color w:val="000000"/>
          <w:kern w:val="0"/>
          <w14:ligatures w14:val="none"/>
        </w:rPr>
        <w:t>Further, w</w:t>
      </w:r>
      <w:r w:rsidRPr="00224A5A">
        <w:rPr>
          <w:rFonts w:ascii="Times New Roman" w:eastAsia="Times New Roman" w:hAnsi="Times New Roman" w:cs="Times New Roman"/>
          <w:color w:val="000000"/>
          <w:kern w:val="0"/>
          <w14:ligatures w14:val="none"/>
        </w:rPr>
        <w:t>e collected evaluation forms and written feedback from cooperating teachers in Italy. We also conducted observations at each partner school, examining school infrastructure, leadership, teaching practices, and facilities. Observations also included discussions with school personnel and students, tours of the schools and labs, and observations of the school day. We kept detailed field notes for each site visit.</w:t>
      </w:r>
    </w:p>
    <w:p w14:paraId="46015186"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w:t>
      </w:r>
    </w:p>
    <w:p w14:paraId="3BA16170" w14:textId="77777777" w:rsidR="00224A5A" w:rsidRDefault="00224A5A" w:rsidP="006B5D36">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Data Analysis</w:t>
      </w:r>
    </w:p>
    <w:p w14:paraId="3EFFAD37" w14:textId="40153A8D" w:rsidR="00224A5A" w:rsidRPr="00224A5A" w:rsidRDefault="00224A5A" w:rsidP="00D70E65">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The goal of data analysis was to identify patterns in the data and discover relationships between ideas and concepts related to </w:t>
      </w:r>
      <w:proofErr w:type="gramStart"/>
      <w:r w:rsidRPr="00224A5A">
        <w:rPr>
          <w:rFonts w:ascii="Times New Roman" w:eastAsia="Times New Roman" w:hAnsi="Times New Roman" w:cs="Times New Roman"/>
          <w:color w:val="000000"/>
          <w:kern w:val="0"/>
          <w14:ligatures w14:val="none"/>
        </w:rPr>
        <w:t>the research</w:t>
      </w:r>
      <w:proofErr w:type="gramEnd"/>
      <w:r w:rsidRPr="00224A5A">
        <w:rPr>
          <w:rFonts w:ascii="Times New Roman" w:eastAsia="Times New Roman" w:hAnsi="Times New Roman" w:cs="Times New Roman"/>
          <w:color w:val="000000"/>
          <w:kern w:val="0"/>
          <w14:ligatures w14:val="none"/>
        </w:rPr>
        <w:t xml:space="preserve"> questions. The data collected were analyzed and coded for thematic content using coding protocols outlined by Auerbach and Silverstein (2003). Two separate researchers performed the coding process with constant checks for accuracy and reliability in coding.</w:t>
      </w:r>
      <w:r w:rsidR="00D70E65">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All interviews were transcribed verbatim prior to analysis. Data were read, re-read, and iteratively coded using open and axial coding procedures (Creswell &amp; Poth, 2017; Merriam, 2009). Observational field notes and survey data were referenced during analysis to strengthen contextual understanding and triangulate findings. We maintained reflective journals throughout the data collection and analysis process to capture impressions, emerging insights, and potential biases.</w:t>
      </w:r>
    </w:p>
    <w:p w14:paraId="71A4FF6E"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w:t>
      </w:r>
    </w:p>
    <w:p w14:paraId="61E800BE" w14:textId="7C27D173" w:rsidR="00224A5A" w:rsidRPr="00224A5A" w:rsidRDefault="00224A5A" w:rsidP="00D70E65">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Three rounds of analysis were conducted to transform the data into themes and sub-themes. The first round consisted of reading through and </w:t>
      </w:r>
      <w:r w:rsidR="003F55A1" w:rsidRPr="00224A5A">
        <w:rPr>
          <w:rFonts w:ascii="Times New Roman" w:eastAsia="Times New Roman" w:hAnsi="Times New Roman" w:cs="Times New Roman"/>
          <w:color w:val="000000"/>
          <w:kern w:val="0"/>
          <w14:ligatures w14:val="none"/>
        </w:rPr>
        <w:t>open coding</w:t>
      </w:r>
      <w:r w:rsidRPr="00224A5A">
        <w:rPr>
          <w:rFonts w:ascii="Times New Roman" w:eastAsia="Times New Roman" w:hAnsi="Times New Roman" w:cs="Times New Roman"/>
          <w:color w:val="000000"/>
          <w:kern w:val="0"/>
          <w14:ligatures w14:val="none"/>
        </w:rPr>
        <w:t xml:space="preserve"> the data from the one-on-one semi-structured interviews to help us understand the case. During this round, we analyzed </w:t>
      </w:r>
      <w:r w:rsidRPr="00224A5A">
        <w:rPr>
          <w:rFonts w:ascii="Times New Roman" w:eastAsia="Times New Roman" w:hAnsi="Times New Roman" w:cs="Times New Roman"/>
          <w:color w:val="000000"/>
          <w:kern w:val="0"/>
          <w14:ligatures w14:val="none"/>
        </w:rPr>
        <w:lastRenderedPageBreak/>
        <w:t>the data separately, and then collectively we were able to identify common topics and themes.</w:t>
      </w:r>
      <w:r w:rsidR="00173267">
        <w:rPr>
          <w:rFonts w:ascii="Times New Roman" w:eastAsia="Times New Roman" w:hAnsi="Times New Roman" w:cs="Times New Roman"/>
          <w:color w:val="000000"/>
          <w:kern w:val="0"/>
          <w14:ligatures w14:val="none"/>
        </w:rPr>
        <w:t xml:space="preserve"> 149 themes </w:t>
      </w:r>
      <w:r w:rsidRPr="00173267">
        <w:rPr>
          <w:rFonts w:ascii="Times New Roman" w:eastAsia="Times New Roman" w:hAnsi="Times New Roman" w:cs="Times New Roman"/>
          <w:color w:val="000000"/>
          <w:kern w:val="0"/>
          <w14:ligatures w14:val="none"/>
        </w:rPr>
        <w:t xml:space="preserve">emerged from this first round of analysis. During round two of data analysis, we read through </w:t>
      </w:r>
      <w:proofErr w:type="gramStart"/>
      <w:r w:rsidRPr="00173267">
        <w:rPr>
          <w:rFonts w:ascii="Times New Roman" w:eastAsia="Times New Roman" w:hAnsi="Times New Roman" w:cs="Times New Roman"/>
          <w:color w:val="000000"/>
          <w:kern w:val="0"/>
          <w14:ligatures w14:val="none"/>
        </w:rPr>
        <w:t>all of</w:t>
      </w:r>
      <w:proofErr w:type="gramEnd"/>
      <w:r w:rsidRPr="00173267">
        <w:rPr>
          <w:rFonts w:ascii="Times New Roman" w:eastAsia="Times New Roman" w:hAnsi="Times New Roman" w:cs="Times New Roman"/>
          <w:color w:val="000000"/>
          <w:kern w:val="0"/>
          <w14:ligatures w14:val="none"/>
        </w:rPr>
        <w:t xml:space="preserve"> the data and utilized our research questions to condense and group the data into themes and categories.</w:t>
      </w:r>
      <w:r w:rsidR="00173267">
        <w:rPr>
          <w:rFonts w:ascii="Times New Roman" w:eastAsia="Times New Roman" w:hAnsi="Times New Roman" w:cs="Times New Roman"/>
          <w:color w:val="000000"/>
          <w:kern w:val="0"/>
          <w14:ligatures w14:val="none"/>
        </w:rPr>
        <w:t xml:space="preserve"> 23 themes</w:t>
      </w:r>
      <w:r w:rsidRPr="00224A5A">
        <w:rPr>
          <w:rFonts w:ascii="Times New Roman" w:eastAsia="Times New Roman" w:hAnsi="Times New Roman" w:cs="Times New Roman"/>
          <w:color w:val="000000"/>
          <w:kern w:val="0"/>
          <w14:ligatures w14:val="none"/>
        </w:rPr>
        <w:t xml:space="preserve"> emerged from this phase of data analysis. The third round consisted of further identifying common themes and narrowing them down further while also connecting them to the theoretical framework. This phase also consisted of analyzing the entire data set again to refine the themes and review them for accuracy. In the end, </w:t>
      </w:r>
      <w:r w:rsidR="003F55A1" w:rsidRPr="00B60CB9">
        <w:rPr>
          <w:rFonts w:ascii="Times New Roman" w:eastAsia="Times New Roman" w:hAnsi="Times New Roman" w:cs="Times New Roman"/>
          <w:color w:val="000000"/>
          <w:kern w:val="0"/>
          <w14:ligatures w14:val="none"/>
        </w:rPr>
        <w:t>six</w:t>
      </w:r>
      <w:r w:rsidRPr="00B60CB9">
        <w:rPr>
          <w:rFonts w:ascii="Times New Roman" w:eastAsia="Times New Roman" w:hAnsi="Times New Roman" w:cs="Times New Roman"/>
          <w:color w:val="000000"/>
          <w:kern w:val="0"/>
          <w14:ligatures w14:val="none"/>
        </w:rPr>
        <w:t xml:space="preserve"> themes emerged</w:t>
      </w:r>
      <w:r w:rsidRPr="00224A5A">
        <w:rPr>
          <w:rFonts w:ascii="Times New Roman" w:eastAsia="Times New Roman" w:hAnsi="Times New Roman" w:cs="Times New Roman"/>
          <w:color w:val="000000"/>
          <w:kern w:val="0"/>
          <w14:ligatures w14:val="none"/>
        </w:rPr>
        <w:t xml:space="preserve"> from the data. </w:t>
      </w:r>
    </w:p>
    <w:p w14:paraId="1C715483"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w:t>
      </w:r>
    </w:p>
    <w:p w14:paraId="72EBDEFC" w14:textId="4BCC02C0"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We established rigor and trustworthiness with a focus on credibility, transferability, dependability, and confirmability (Harrison </w:t>
      </w:r>
      <w:r w:rsidR="0047749E">
        <w:rPr>
          <w:rFonts w:ascii="Times New Roman" w:eastAsia="Times New Roman" w:hAnsi="Times New Roman" w:cs="Times New Roman"/>
          <w:color w:val="000000"/>
          <w:kern w:val="0"/>
          <w14:ligatures w14:val="none"/>
        </w:rPr>
        <w:t>et al.</w:t>
      </w:r>
      <w:r w:rsidRPr="00224A5A">
        <w:rPr>
          <w:rFonts w:ascii="Times New Roman" w:eastAsia="Times New Roman" w:hAnsi="Times New Roman" w:cs="Times New Roman"/>
          <w:color w:val="000000"/>
          <w:kern w:val="0"/>
          <w14:ligatures w14:val="none"/>
        </w:rPr>
        <w:t xml:space="preserve">, 2001). To establish credibility, triangulation of various data sources, member checking, and peer debriefing were utilized. </w:t>
      </w:r>
      <w:proofErr w:type="gramStart"/>
      <w:r w:rsidRPr="00224A5A">
        <w:rPr>
          <w:rFonts w:ascii="Times New Roman" w:eastAsia="Times New Roman" w:hAnsi="Times New Roman" w:cs="Times New Roman"/>
          <w:color w:val="000000"/>
          <w:kern w:val="0"/>
          <w14:ligatures w14:val="none"/>
        </w:rPr>
        <w:t>Through the use of</w:t>
      </w:r>
      <w:proofErr w:type="gramEnd"/>
      <w:r w:rsidRPr="00224A5A">
        <w:rPr>
          <w:rFonts w:ascii="Times New Roman" w:eastAsia="Times New Roman" w:hAnsi="Times New Roman" w:cs="Times New Roman"/>
          <w:color w:val="000000"/>
          <w:kern w:val="0"/>
          <w14:ligatures w14:val="none"/>
        </w:rPr>
        <w:t xml:space="preserve"> rich descriptions of the participants and the case, we established transferability (Guba &amp; Lincoln, 2005). We established dependability and confirmability through triangulation, confirmation of themes by researchers, and maintaining an audit trail (Denzin &amp; Lincoln, 2011).</w:t>
      </w:r>
    </w:p>
    <w:p w14:paraId="5DD66660"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p>
    <w:p w14:paraId="0522623F" w14:textId="6A5E21A1" w:rsidR="00224A5A" w:rsidRPr="00224A5A" w:rsidRDefault="00224A5A" w:rsidP="006B5D36">
      <w:pPr>
        <w:spacing w:after="0" w:line="240" w:lineRule="auto"/>
        <w:jc w:val="center"/>
        <w:rPr>
          <w:rFonts w:ascii="Times New Roman" w:eastAsia="Times New Roman" w:hAnsi="Times New Roman" w:cs="Times New Roman"/>
          <w:kern w:val="0"/>
          <w14:ligatures w14:val="none"/>
        </w:rPr>
      </w:pPr>
      <w:r w:rsidRPr="00224A5A">
        <w:rPr>
          <w:rFonts w:ascii="Times New Roman" w:eastAsia="Times New Roman" w:hAnsi="Times New Roman" w:cs="Times New Roman"/>
          <w:b/>
          <w:bCs/>
          <w:color w:val="000000"/>
          <w:kern w:val="0"/>
          <w14:ligatures w14:val="none"/>
        </w:rPr>
        <w:t>Findings</w:t>
      </w:r>
    </w:p>
    <w:p w14:paraId="1889C4EE"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42D1333A" w14:textId="2D16F7C0" w:rsidR="00224A5A" w:rsidRPr="00224A5A" w:rsidRDefault="00224A5A" w:rsidP="00D70E65">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Analysis of the interview data revealed six major themes describing how participation in the Italy student teaching experience influenced participants’ professional perspectives, instructional practices, and long-term engagement with teaching. These themes reflect both personal and professional transformations consistent with Transformative Learning Theory and were evident across participants regardless of cohort year or current career status. While all themes were present across multiple interviews, their depth and emphasis varied based on participants’ experiences and professional trajectories.</w:t>
      </w:r>
      <w:r w:rsidR="00D70E65">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The six themes identified were: (a) Perspective Shifts, (b) Teacher Identity, (c) Adaptive Instruction, (d) Language and Cultural Empathy, (e) Relational Management, and (f) System Comparisons.</w:t>
      </w:r>
    </w:p>
    <w:p w14:paraId="4FFFC5E0" w14:textId="77777777" w:rsidR="00A64CC0" w:rsidRDefault="00A64CC0" w:rsidP="00D25814">
      <w:pPr>
        <w:spacing w:after="0" w:line="240" w:lineRule="auto"/>
        <w:rPr>
          <w:rFonts w:ascii="Times New Roman" w:eastAsia="Times New Roman" w:hAnsi="Times New Roman" w:cs="Times New Roman"/>
          <w:color w:val="000000"/>
          <w:kern w:val="0"/>
          <w14:ligatures w14:val="none"/>
        </w:rPr>
      </w:pPr>
    </w:p>
    <w:p w14:paraId="6EA708D7" w14:textId="1521E2A0"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Perspective Shifts</w:t>
      </w:r>
    </w:p>
    <w:p w14:paraId="59C9951E" w14:textId="6561CD7A"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Participants consistently described experiencing substantial shifts in perspective </w:t>
      </w:r>
      <w:r w:rsidR="00A64CC0" w:rsidRPr="00224A5A">
        <w:rPr>
          <w:rFonts w:ascii="Times New Roman" w:eastAsia="Times New Roman" w:hAnsi="Times New Roman" w:cs="Times New Roman"/>
          <w:color w:val="000000"/>
          <w:kern w:val="0"/>
          <w14:ligatures w14:val="none"/>
        </w:rPr>
        <w:t>because of</w:t>
      </w:r>
      <w:r w:rsidRPr="00224A5A">
        <w:rPr>
          <w:rFonts w:ascii="Times New Roman" w:eastAsia="Times New Roman" w:hAnsi="Times New Roman" w:cs="Times New Roman"/>
          <w:color w:val="000000"/>
          <w:kern w:val="0"/>
          <w14:ligatures w14:val="none"/>
        </w:rPr>
        <w:t xml:space="preserve"> sustained immersion in an unfamiliar cultural and educational context. These shifts were not limited to awareness of cultural difference, but instead reflected deeper reconsiderations of personal assumptions, professional expectations, and perceived limitations related to education and opportunity.</w:t>
      </w:r>
      <w:r w:rsidR="00A64CC0">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Several participants emphasized that the length and depth of immersion</w:t>
      </w:r>
      <w:r w:rsidR="00A14DB5">
        <w:rPr>
          <w:rFonts w:ascii="Times New Roman" w:eastAsia="Times New Roman" w:hAnsi="Times New Roman" w:cs="Times New Roman"/>
          <w:color w:val="000000"/>
          <w:kern w:val="0"/>
          <w14:ligatures w14:val="none"/>
        </w:rPr>
        <w:t xml:space="preserve">, </w:t>
      </w:r>
      <w:r w:rsidRPr="00224A5A">
        <w:rPr>
          <w:rFonts w:ascii="Times New Roman" w:eastAsia="Times New Roman" w:hAnsi="Times New Roman" w:cs="Times New Roman"/>
          <w:color w:val="000000"/>
          <w:kern w:val="0"/>
          <w14:ligatures w14:val="none"/>
        </w:rPr>
        <w:t>rather than travel itself</w:t>
      </w:r>
      <w:r w:rsidR="00A14DB5">
        <w:rPr>
          <w:rFonts w:ascii="Times New Roman" w:eastAsia="Times New Roman" w:hAnsi="Times New Roman" w:cs="Times New Roman"/>
          <w:color w:val="000000"/>
          <w:kern w:val="0"/>
          <w14:ligatures w14:val="none"/>
        </w:rPr>
        <w:t xml:space="preserve">, </w:t>
      </w:r>
      <w:r w:rsidRPr="00224A5A">
        <w:rPr>
          <w:rFonts w:ascii="Times New Roman" w:eastAsia="Times New Roman" w:hAnsi="Times New Roman" w:cs="Times New Roman"/>
          <w:color w:val="000000"/>
          <w:kern w:val="0"/>
          <w14:ligatures w14:val="none"/>
        </w:rPr>
        <w:t>was central to this transformation. Harper described the distinction between visiting and living abroad, explaining:</w:t>
      </w:r>
    </w:p>
    <w:p w14:paraId="256A947D" w14:textId="5083ABB7"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I think anytime you go to like a different country or different culture, and especially like getting to somewhat live there for a month and a half, that really allows you to be a part of that place instead of just visiting there</w:t>
      </w:r>
      <w:r w:rsidR="00A14DB5">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it’s a lot more impactful if you get to live there and see the day-to-day.</w:t>
      </w:r>
    </w:p>
    <w:p w14:paraId="04CF4B2B" w14:textId="5D2B0568"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Similarly, Maya reflected on how navigating daily life independently altered her sense of capability and self-efficacy, “I've been fortunate to travel other than when I was in Italy. But it was my first time really being on my own and being there for a purpose other than just to have fun.” Anna described this shift as emerging from everyday exposure rather than formal instruction, stating, “Travel just broadened my views, and you just learn so much about yourself </w:t>
      </w:r>
      <w:r w:rsidRPr="00224A5A">
        <w:rPr>
          <w:rFonts w:ascii="Times New Roman" w:eastAsia="Times New Roman" w:hAnsi="Times New Roman" w:cs="Times New Roman"/>
          <w:color w:val="000000"/>
          <w:kern w:val="0"/>
          <w14:ligatures w14:val="none"/>
        </w:rPr>
        <w:lastRenderedPageBreak/>
        <w:t xml:space="preserve">and culture, and just how different people are. It was my </w:t>
      </w:r>
      <w:r w:rsidR="00A14DB5">
        <w:rPr>
          <w:rFonts w:ascii="Times New Roman" w:eastAsia="Times New Roman" w:hAnsi="Times New Roman" w:cs="Times New Roman"/>
          <w:color w:val="000000"/>
          <w:kern w:val="0"/>
          <w14:ligatures w14:val="none"/>
        </w:rPr>
        <w:t>first</w:t>
      </w:r>
      <w:r w:rsidRPr="00224A5A">
        <w:rPr>
          <w:rFonts w:ascii="Times New Roman" w:eastAsia="Times New Roman" w:hAnsi="Times New Roman" w:cs="Times New Roman"/>
          <w:color w:val="000000"/>
          <w:kern w:val="0"/>
          <w14:ligatures w14:val="none"/>
        </w:rPr>
        <w:t xml:space="preserve"> time out of the country, and so that was </w:t>
      </w:r>
      <w:proofErr w:type="gramStart"/>
      <w:r w:rsidRPr="00224A5A">
        <w:rPr>
          <w:rFonts w:ascii="Times New Roman" w:eastAsia="Times New Roman" w:hAnsi="Times New Roman" w:cs="Times New Roman"/>
          <w:color w:val="000000"/>
          <w:kern w:val="0"/>
          <w14:ligatures w14:val="none"/>
        </w:rPr>
        <w:t>really cool</w:t>
      </w:r>
      <w:proofErr w:type="gramEnd"/>
      <w:r w:rsidRPr="00224A5A">
        <w:rPr>
          <w:rFonts w:ascii="Times New Roman" w:eastAsia="Times New Roman" w:hAnsi="Times New Roman" w:cs="Times New Roman"/>
          <w:color w:val="000000"/>
          <w:kern w:val="0"/>
          <w14:ligatures w14:val="none"/>
        </w:rPr>
        <w:t xml:space="preserve"> for me personally.”</w:t>
      </w:r>
    </w:p>
    <w:p w14:paraId="6BA1791A"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1F83563D" w14:textId="30529817"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Other participants framed this perspective shift in terms of expanded possibility. Sophie repeatedly described the experience as “making the world smaller,” noting how it reshaped her understanding of what she could do professionally and personally:</w:t>
      </w:r>
    </w:p>
    <w:p w14:paraId="0C901CAF" w14:textId="33C6EF6E"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“It </w:t>
      </w:r>
      <w:proofErr w:type="gramStart"/>
      <w:r w:rsidRPr="00224A5A">
        <w:rPr>
          <w:rFonts w:ascii="Times New Roman" w:eastAsia="Times New Roman" w:hAnsi="Times New Roman" w:cs="Times New Roman"/>
          <w:color w:val="000000"/>
          <w:kern w:val="0"/>
          <w14:ligatures w14:val="none"/>
        </w:rPr>
        <w:t>definitely impacted</w:t>
      </w:r>
      <w:proofErr w:type="gramEnd"/>
      <w:r w:rsidRPr="00224A5A">
        <w:rPr>
          <w:rFonts w:ascii="Times New Roman" w:eastAsia="Times New Roman" w:hAnsi="Times New Roman" w:cs="Times New Roman"/>
          <w:color w:val="000000"/>
          <w:kern w:val="0"/>
          <w14:ligatures w14:val="none"/>
        </w:rPr>
        <w:t xml:space="preserve"> me personally, like, just made the world way smaller, which has been super exciting to, know that I can leave small town, </w:t>
      </w:r>
      <w:r w:rsidR="00517CEE">
        <w:rPr>
          <w:rFonts w:ascii="Times New Roman" w:eastAsia="Times New Roman" w:hAnsi="Times New Roman" w:cs="Times New Roman"/>
          <w:color w:val="000000"/>
          <w:kern w:val="0"/>
          <w14:ligatures w14:val="none"/>
        </w:rPr>
        <w:t>Idaho</w:t>
      </w:r>
      <w:r w:rsidRPr="00224A5A">
        <w:rPr>
          <w:rFonts w:ascii="Times New Roman" w:eastAsia="Times New Roman" w:hAnsi="Times New Roman" w:cs="Times New Roman"/>
          <w:color w:val="000000"/>
          <w:kern w:val="0"/>
          <w14:ligatures w14:val="none"/>
        </w:rPr>
        <w:t xml:space="preserve">, and see cool things, but also professionally, with teaching. It's allowed me to just really feel confident in any type of classroom I step into, because that experience </w:t>
      </w:r>
      <w:proofErr w:type="gramStart"/>
      <w:r w:rsidRPr="00224A5A">
        <w:rPr>
          <w:rFonts w:ascii="Times New Roman" w:eastAsia="Times New Roman" w:hAnsi="Times New Roman" w:cs="Times New Roman"/>
          <w:color w:val="000000"/>
          <w:kern w:val="0"/>
          <w14:ligatures w14:val="none"/>
        </w:rPr>
        <w:t>definitely forces</w:t>
      </w:r>
      <w:proofErr w:type="gramEnd"/>
      <w:r w:rsidRPr="00224A5A">
        <w:rPr>
          <w:rFonts w:ascii="Times New Roman" w:eastAsia="Times New Roman" w:hAnsi="Times New Roman" w:cs="Times New Roman"/>
          <w:color w:val="000000"/>
          <w:kern w:val="0"/>
          <w14:ligatures w14:val="none"/>
        </w:rPr>
        <w:t xml:space="preserve"> you to be comfortable and to just go for </w:t>
      </w:r>
      <w:proofErr w:type="gramStart"/>
      <w:r w:rsidRPr="00224A5A">
        <w:rPr>
          <w:rFonts w:ascii="Times New Roman" w:eastAsia="Times New Roman" w:hAnsi="Times New Roman" w:cs="Times New Roman"/>
          <w:color w:val="000000"/>
          <w:kern w:val="0"/>
          <w14:ligatures w14:val="none"/>
        </w:rPr>
        <w:t>it.”</w:t>
      </w:r>
      <w:proofErr w:type="gramEnd"/>
    </w:p>
    <w:p w14:paraId="70D70A50"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0FA913BC" w14:textId="2CAFD6FA"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Perspective shifts also extended to participants’ views of students and global inequity. Maya described how working with refugee and immigrant students reframed her understanding of global conflict and its proximity to education:</w:t>
      </w:r>
    </w:p>
    <w:p w14:paraId="6466C293" w14:textId="5206D7FF"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“Having worked with a lot of students that were refugees or immigrants from countries that were still experiencing, like war, which we have refugees in </w:t>
      </w:r>
      <w:r w:rsidR="00517CEE">
        <w:rPr>
          <w:rFonts w:ascii="Times New Roman" w:eastAsia="Times New Roman" w:hAnsi="Times New Roman" w:cs="Times New Roman"/>
          <w:color w:val="000000"/>
          <w:kern w:val="0"/>
          <w14:ligatures w14:val="none"/>
        </w:rPr>
        <w:t>Utah.</w:t>
      </w:r>
      <w:r w:rsidRPr="00224A5A">
        <w:rPr>
          <w:rFonts w:ascii="Times New Roman" w:eastAsia="Times New Roman" w:hAnsi="Times New Roman" w:cs="Times New Roman"/>
          <w:color w:val="000000"/>
          <w:kern w:val="0"/>
          <w14:ligatures w14:val="none"/>
        </w:rPr>
        <w:t xml:space="preserve"> But it seems, kind of separated from our daily lives. I think I realized just how much influence it has on individuals’ lives.”</w:t>
      </w:r>
    </w:p>
    <w:p w14:paraId="75A4D6E7"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554372D8" w14:textId="04B38292"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Consistent with Transformative Learning Theory, participants described these experiences as catalysts for critical reflection that resulted in lasting changes to how they viewed themselves, their students, and the broader educational landscape.</w:t>
      </w:r>
    </w:p>
    <w:p w14:paraId="47FC7A45" w14:textId="77777777" w:rsidR="00A64CC0" w:rsidRPr="00D25814" w:rsidRDefault="00A64CC0" w:rsidP="00D25814">
      <w:pPr>
        <w:spacing w:after="0" w:line="240" w:lineRule="auto"/>
        <w:rPr>
          <w:rFonts w:ascii="Times New Roman" w:eastAsia="Times New Roman" w:hAnsi="Times New Roman" w:cs="Times New Roman"/>
          <w:b/>
          <w:bCs/>
          <w:color w:val="000000"/>
          <w:kern w:val="0"/>
          <w14:ligatures w14:val="none"/>
        </w:rPr>
      </w:pPr>
    </w:p>
    <w:p w14:paraId="1799A276" w14:textId="4FD56124"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Teacher Identity</w:t>
      </w:r>
    </w:p>
    <w:p w14:paraId="4AC723AF" w14:textId="645E846F"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The Italy student teaching experience played a significant role in shaping, reinforcing, or clarifying participants’ teacher identities. For some participants, the experience affirmed an already-established commitment to teaching, while for others it reshaped how they understood teaching as a relational and purpose-driven practice, even when they did not immediately enter traditional classroom roles.</w:t>
      </w:r>
      <w:r w:rsidR="00A64CC0">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Several participants described the experience as confirming their identity as educators. Caleb reflected on how working with students in Italy reinforced his sense of belonging in the profession: </w:t>
      </w:r>
    </w:p>
    <w:p w14:paraId="54B0BF9F" w14:textId="77777777"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“I think it just gave me the confirmation of like that's what I enjoy doing and affirming my teaching identity through meaningful connections with students, seeing them light up when they grasp the concept. Things like that, that even if it's not like my own culture that it still felt right.”</w:t>
      </w:r>
    </w:p>
    <w:p w14:paraId="69788ECB"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1BB428CE" w14:textId="190B81A0"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Others described a shift in how they conceptualized teaching itself. Harper explained that the experience helped her recognize the relational impact she had on students, even when she did not initially view herself as pursuing a long-term teaching career:</w:t>
      </w:r>
    </w:p>
    <w:p w14:paraId="698E2BD8" w14:textId="08704C5E"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“You just like don't realize the impact you have on other people until it's like, oh, you're spending money and time with me, and I've just kind of been here thinking this was about me, you know? I came here like this is an experience for me to learn something. But you don't realize</w:t>
      </w:r>
      <w:r w:rsidR="006F07FE">
        <w:rPr>
          <w:rFonts w:ascii="Times New Roman" w:eastAsia="Times New Roman" w:hAnsi="Times New Roman" w:cs="Times New Roman"/>
          <w:color w:val="000000"/>
          <w:kern w:val="0"/>
          <w14:ligatures w14:val="none"/>
        </w:rPr>
        <w:t xml:space="preserve"> </w:t>
      </w:r>
      <w:r w:rsidRPr="00224A5A">
        <w:rPr>
          <w:rFonts w:ascii="Times New Roman" w:eastAsia="Times New Roman" w:hAnsi="Times New Roman" w:cs="Times New Roman"/>
          <w:color w:val="000000"/>
          <w:kern w:val="0"/>
          <w14:ligatures w14:val="none"/>
        </w:rPr>
        <w:t>the kind of impact you have sometimes. And that was one of those moments where I realized, oh, I have had an impact here.”</w:t>
      </w:r>
    </w:p>
    <w:p w14:paraId="2E1A3BAB"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1DE1101B" w14:textId="61D2D245"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lastRenderedPageBreak/>
        <w:t xml:space="preserve">Teacher identity was frequently described as extending beyond content delivery and toward relational presence. Alexa emphasized this shift, reflecting that the biggest thing was making sure the </w:t>
      </w:r>
      <w:r w:rsidR="00B60CB9">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students felt seen.</w:t>
      </w:r>
      <w:r w:rsidR="00B60CB9">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Maya emphasized that teaching became about advocacy and affirmation rather than subject matter alone: “So it made me really excited to be a teacher to help those students that might not feel worth it at all, to be able to show what they know, and be a person themselves.” Even participants who did not immediately pursue classroom teaching reported that the experience reshaped their understanding of teaching as a transferable identity rather than a fixed job title. Harper noted: “So much of teaching isn’t about the subject. It’s about getting people to trust you first. That’s something I still use even though I’m not teaching ag right now.”</w:t>
      </w:r>
      <w:r w:rsidR="00A64CC0">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Across interviews, teacher identity emerged as dynamic, relational, and deeply connected to perceived impact rather than professional status alone.</w:t>
      </w:r>
    </w:p>
    <w:p w14:paraId="21A823F5" w14:textId="77777777" w:rsidR="00A64CC0" w:rsidRPr="00D25814" w:rsidRDefault="00A64CC0" w:rsidP="00D25814">
      <w:pPr>
        <w:spacing w:after="0" w:line="240" w:lineRule="auto"/>
        <w:rPr>
          <w:rFonts w:ascii="Times New Roman" w:eastAsia="Times New Roman" w:hAnsi="Times New Roman" w:cs="Times New Roman"/>
          <w:b/>
          <w:bCs/>
          <w:color w:val="000000"/>
          <w:kern w:val="0"/>
          <w14:ligatures w14:val="none"/>
        </w:rPr>
      </w:pPr>
    </w:p>
    <w:p w14:paraId="5E338E9C" w14:textId="1606E5BC"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Adaptive Instruction</w:t>
      </w:r>
    </w:p>
    <w:p w14:paraId="7AF2D65A" w14:textId="56FF2E4B"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Participants consistently described growth in their ability to adapt instruction in real time, particularly in unpredictable and resource-constrained environments</w:t>
      </w:r>
      <w:r w:rsidR="00B60CB9">
        <w:rPr>
          <w:rFonts w:ascii="Times New Roman" w:eastAsia="Times New Roman" w:hAnsi="Times New Roman" w:cs="Times New Roman"/>
          <w:color w:val="000000"/>
          <w:kern w:val="0"/>
          <w14:ligatures w14:val="none"/>
        </w:rPr>
        <w:t xml:space="preserve"> </w:t>
      </w:r>
      <w:proofErr w:type="gramStart"/>
      <w:r w:rsidR="00B60CB9">
        <w:rPr>
          <w:rFonts w:ascii="Times New Roman" w:eastAsia="Times New Roman" w:hAnsi="Times New Roman" w:cs="Times New Roman"/>
          <w:color w:val="000000"/>
          <w:kern w:val="0"/>
          <w14:ligatures w14:val="none"/>
        </w:rPr>
        <w:t>as a result of</w:t>
      </w:r>
      <w:proofErr w:type="gramEnd"/>
      <w:r w:rsidR="00B60CB9">
        <w:rPr>
          <w:rFonts w:ascii="Times New Roman" w:eastAsia="Times New Roman" w:hAnsi="Times New Roman" w:cs="Times New Roman"/>
          <w:color w:val="000000"/>
          <w:kern w:val="0"/>
          <w14:ligatures w14:val="none"/>
        </w:rPr>
        <w:t xml:space="preserve"> this program</w:t>
      </w:r>
      <w:r w:rsidRPr="00224A5A">
        <w:rPr>
          <w:rFonts w:ascii="Times New Roman" w:eastAsia="Times New Roman" w:hAnsi="Times New Roman" w:cs="Times New Roman"/>
          <w:color w:val="000000"/>
          <w:kern w:val="0"/>
          <w14:ligatures w14:val="none"/>
        </w:rPr>
        <w:t>. Teaching in Italy required flexibility, improvisation, and responsiveness to student needs, often without the materials</w:t>
      </w:r>
      <w:r w:rsidR="00B60CB9">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structure, or preparation time participants were accustomed to in </w:t>
      </w:r>
      <w:r w:rsidR="00B60CB9">
        <w:rPr>
          <w:rFonts w:ascii="Times New Roman" w:eastAsia="Times New Roman" w:hAnsi="Times New Roman" w:cs="Times New Roman"/>
          <w:color w:val="000000"/>
          <w:kern w:val="0"/>
          <w14:ligatures w14:val="none"/>
        </w:rPr>
        <w:t xml:space="preserve">the </w:t>
      </w:r>
      <w:r w:rsidRPr="00224A5A">
        <w:rPr>
          <w:rFonts w:ascii="Times New Roman" w:eastAsia="Times New Roman" w:hAnsi="Times New Roman" w:cs="Times New Roman"/>
          <w:color w:val="000000"/>
          <w:kern w:val="0"/>
          <w14:ligatures w14:val="none"/>
        </w:rPr>
        <w:t>U.S.</w:t>
      </w:r>
    </w:p>
    <w:p w14:paraId="5116392C"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Several participants highlighted how the lack of familiar resources forced creative problem-solving. Avery described adapting instruction using whatever materials were available:</w:t>
      </w:r>
    </w:p>
    <w:p w14:paraId="5C9C3E33" w14:textId="77777777"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“I didn't have any access to like any floral stuff like I do here. I didn't know where to go to find it. I just knew there was a grocery store in the town I was in, and I'd seen fake flowers in it, so just being able to come up with like activities and stuff and using your resources efficiently.”</w:t>
      </w:r>
    </w:p>
    <w:p w14:paraId="710B15F9" w14:textId="20EC353D" w:rsidR="00224A5A" w:rsidRPr="00224A5A" w:rsidRDefault="00224A5A" w:rsidP="00A64CC0">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Others emphasized </w:t>
      </w:r>
      <w:r w:rsidR="00A5076F">
        <w:rPr>
          <w:rFonts w:ascii="Times New Roman" w:eastAsia="Times New Roman" w:hAnsi="Times New Roman" w:cs="Times New Roman"/>
          <w:color w:val="000000"/>
          <w:kern w:val="0"/>
          <w14:ligatures w14:val="none"/>
        </w:rPr>
        <w:t xml:space="preserve">that Italy student teaching helped him </w:t>
      </w:r>
      <w:r w:rsidRPr="00224A5A">
        <w:rPr>
          <w:rFonts w:ascii="Times New Roman" w:eastAsia="Times New Roman" w:hAnsi="Times New Roman" w:cs="Times New Roman"/>
          <w:color w:val="000000"/>
          <w:kern w:val="0"/>
          <w14:ligatures w14:val="none"/>
        </w:rPr>
        <w:t>learning to adjust instruction when lessons did not go as planned. Derek explained how the experience shifted his approach to communication and planning: “</w:t>
      </w:r>
      <w:proofErr w:type="gramStart"/>
      <w:r w:rsidRPr="00224A5A">
        <w:rPr>
          <w:rFonts w:ascii="Times New Roman" w:eastAsia="Times New Roman" w:hAnsi="Times New Roman" w:cs="Times New Roman"/>
          <w:color w:val="000000"/>
          <w:kern w:val="0"/>
          <w14:ligatures w14:val="none"/>
        </w:rPr>
        <w:t>You</w:t>
      </w:r>
      <w:proofErr w:type="gramEnd"/>
      <w:r w:rsidRPr="00224A5A">
        <w:rPr>
          <w:rFonts w:ascii="Times New Roman" w:eastAsia="Times New Roman" w:hAnsi="Times New Roman" w:cs="Times New Roman"/>
          <w:color w:val="000000"/>
          <w:kern w:val="0"/>
          <w14:ligatures w14:val="none"/>
        </w:rPr>
        <w:t xml:space="preserve"> kind of just </w:t>
      </w:r>
      <w:proofErr w:type="gramStart"/>
      <w:r w:rsidRPr="00224A5A">
        <w:rPr>
          <w:rFonts w:ascii="Times New Roman" w:eastAsia="Times New Roman" w:hAnsi="Times New Roman" w:cs="Times New Roman"/>
          <w:color w:val="000000"/>
          <w:kern w:val="0"/>
          <w14:ligatures w14:val="none"/>
        </w:rPr>
        <w:t>have to</w:t>
      </w:r>
      <w:proofErr w:type="gramEnd"/>
      <w:r w:rsidRPr="00224A5A">
        <w:rPr>
          <w:rFonts w:ascii="Times New Roman" w:eastAsia="Times New Roman" w:hAnsi="Times New Roman" w:cs="Times New Roman"/>
          <w:color w:val="000000"/>
          <w:kern w:val="0"/>
          <w14:ligatures w14:val="none"/>
        </w:rPr>
        <w:t xml:space="preserve"> buck up and figure it out. You’re aways from home, and you don’t have anyone there to fix it for you.”</w:t>
      </w:r>
    </w:p>
    <w:p w14:paraId="167BB320"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5156DD6E" w14:textId="051BCC5D"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Participants also described a shift away from rigid lesson planning toward outcome-focused instruction. Sophie reflected on how Italy changed her priorities as a teacher:</w:t>
      </w:r>
    </w:p>
    <w:p w14:paraId="0C799510" w14:textId="1B9DA295"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“Now it just gives me, like the confidence and ability to do that in a much quicker and more efficient manner</w:t>
      </w:r>
      <w:r w:rsidR="006F07FE">
        <w:rPr>
          <w:rFonts w:ascii="Times New Roman" w:eastAsia="Times New Roman" w:hAnsi="Times New Roman" w:cs="Times New Roman"/>
          <w:color w:val="000000"/>
          <w:kern w:val="0"/>
          <w14:ligatures w14:val="none"/>
        </w:rPr>
        <w:t xml:space="preserve"> </w:t>
      </w:r>
      <w:r w:rsidRPr="00224A5A">
        <w:rPr>
          <w:rFonts w:ascii="Times New Roman" w:eastAsia="Times New Roman" w:hAnsi="Times New Roman" w:cs="Times New Roman"/>
          <w:color w:val="000000"/>
          <w:kern w:val="0"/>
          <w14:ligatures w14:val="none"/>
        </w:rPr>
        <w:t xml:space="preserve">and really </w:t>
      </w:r>
      <w:proofErr w:type="gramStart"/>
      <w:r w:rsidRPr="00224A5A">
        <w:rPr>
          <w:rFonts w:ascii="Times New Roman" w:eastAsia="Times New Roman" w:hAnsi="Times New Roman" w:cs="Times New Roman"/>
          <w:color w:val="000000"/>
          <w:kern w:val="0"/>
          <w14:ligatures w14:val="none"/>
        </w:rPr>
        <w:t>honing in</w:t>
      </w:r>
      <w:proofErr w:type="gramEnd"/>
      <w:r w:rsidRPr="00224A5A">
        <w:rPr>
          <w:rFonts w:ascii="Times New Roman" w:eastAsia="Times New Roman" w:hAnsi="Times New Roman" w:cs="Times New Roman"/>
          <w:color w:val="000000"/>
          <w:kern w:val="0"/>
          <w14:ligatures w14:val="none"/>
        </w:rPr>
        <w:t xml:space="preserve"> on student needs a lot faster versus getting into the weeds of. you know, writing a perfectly worded objective. When, like, what do I want students to leave this classroom knowing I can get to that a lot faster, because I was forced to do that in Italy.”</w:t>
      </w:r>
    </w:p>
    <w:p w14:paraId="2F5840F5" w14:textId="08B05DC2"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Taylor described learning to adjust instruction across different classes and readiness levels, “Knowing when a lesson isn't going the way I want it, and kind of working on the fly and getting things to how I want it.” Overall, participants framed adaptive instruction as a skill developed through necessity </w:t>
      </w:r>
      <w:r w:rsidR="006F07FE">
        <w:rPr>
          <w:rFonts w:ascii="Times New Roman" w:eastAsia="Times New Roman" w:hAnsi="Times New Roman" w:cs="Times New Roman"/>
          <w:color w:val="000000"/>
          <w:kern w:val="0"/>
          <w14:ligatures w14:val="none"/>
        </w:rPr>
        <w:t xml:space="preserve">while in Italy that they did not get during their U.S. student teaching experience and </w:t>
      </w:r>
      <w:r w:rsidRPr="00224A5A">
        <w:rPr>
          <w:rFonts w:ascii="Times New Roman" w:eastAsia="Times New Roman" w:hAnsi="Times New Roman" w:cs="Times New Roman"/>
          <w:color w:val="000000"/>
          <w:kern w:val="0"/>
          <w14:ligatures w14:val="none"/>
        </w:rPr>
        <w:t>that became central to their teaching practice moving forward.</w:t>
      </w:r>
    </w:p>
    <w:p w14:paraId="12A02D32" w14:textId="77777777" w:rsidR="00A64CC0" w:rsidRPr="00D25814" w:rsidRDefault="00A64CC0" w:rsidP="00D25814">
      <w:pPr>
        <w:spacing w:after="0" w:line="240" w:lineRule="auto"/>
        <w:rPr>
          <w:rFonts w:ascii="Times New Roman" w:eastAsia="Times New Roman" w:hAnsi="Times New Roman" w:cs="Times New Roman"/>
          <w:b/>
          <w:bCs/>
          <w:color w:val="000000"/>
          <w:kern w:val="0"/>
          <w14:ligatures w14:val="none"/>
        </w:rPr>
      </w:pPr>
    </w:p>
    <w:p w14:paraId="67C0CF0B" w14:textId="229393F7"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Language and Cultural Empathy</w:t>
      </w:r>
    </w:p>
    <w:p w14:paraId="58F61117" w14:textId="47FC8CC4"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Teaching in multilingual classrooms prompted participants to develop deeper empathy for English language learners and individuals navigating second-language environments. Many participants described experiencing, often for the first time, what it felt like to be the language </w:t>
      </w:r>
      <w:r w:rsidRPr="00224A5A">
        <w:rPr>
          <w:rFonts w:ascii="Times New Roman" w:eastAsia="Times New Roman" w:hAnsi="Times New Roman" w:cs="Times New Roman"/>
          <w:color w:val="000000"/>
          <w:kern w:val="0"/>
          <w14:ligatures w14:val="none"/>
        </w:rPr>
        <w:lastRenderedPageBreak/>
        <w:t>learner rather than the language authority.</w:t>
      </w:r>
      <w:r w:rsidR="00A64CC0">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Several participants discussed becoming more intentional with pacing and word choice. Sophie explained:</w:t>
      </w:r>
    </w:p>
    <w:p w14:paraId="72FA8B06" w14:textId="7B15FAA5"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“As a teacher and as just a person, it made me a lot more aware to people that are learning a new language and just having some grace and slowing down and checking in, and my vocabulary got really</w:t>
      </w:r>
      <w:r w:rsidR="009068B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really simple when I was teaching in Italy.”</w:t>
      </w:r>
    </w:p>
    <w:p w14:paraId="10B4660F" w14:textId="07B9996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Others described how misunderstanding language forced them to rethink communication itself. Harper </w:t>
      </w:r>
      <w:r w:rsidR="003A790D">
        <w:rPr>
          <w:rFonts w:ascii="Times New Roman" w:eastAsia="Times New Roman" w:hAnsi="Times New Roman" w:cs="Times New Roman"/>
          <w:color w:val="000000"/>
          <w:kern w:val="0"/>
          <w14:ligatures w14:val="none"/>
        </w:rPr>
        <w:t>reflected on</w:t>
      </w:r>
      <w:r w:rsidRPr="00224A5A">
        <w:rPr>
          <w:rFonts w:ascii="Times New Roman" w:eastAsia="Times New Roman" w:hAnsi="Times New Roman" w:cs="Times New Roman"/>
          <w:color w:val="000000"/>
          <w:kern w:val="0"/>
          <w14:ligatures w14:val="none"/>
        </w:rPr>
        <w:t xml:space="preserve"> interpret</w:t>
      </w:r>
      <w:r w:rsidR="003A790D">
        <w:rPr>
          <w:rFonts w:ascii="Times New Roman" w:eastAsia="Times New Roman" w:hAnsi="Times New Roman" w:cs="Times New Roman"/>
          <w:color w:val="000000"/>
          <w:kern w:val="0"/>
          <w14:ligatures w14:val="none"/>
        </w:rPr>
        <w:t>ing</w:t>
      </w:r>
      <w:r w:rsidRPr="00224A5A">
        <w:rPr>
          <w:rFonts w:ascii="Times New Roman" w:eastAsia="Times New Roman" w:hAnsi="Times New Roman" w:cs="Times New Roman"/>
          <w:color w:val="000000"/>
          <w:kern w:val="0"/>
          <w14:ligatures w14:val="none"/>
        </w:rPr>
        <w:t xml:space="preserve"> meaning beyond</w:t>
      </w:r>
      <w:r w:rsidR="003A790D">
        <w:rPr>
          <w:rFonts w:ascii="Times New Roman" w:eastAsia="Times New Roman" w:hAnsi="Times New Roman" w:cs="Times New Roman"/>
          <w:color w:val="000000"/>
          <w:kern w:val="0"/>
          <w14:ligatures w14:val="none"/>
        </w:rPr>
        <w:t xml:space="preserve"> exact</w:t>
      </w:r>
      <w:r w:rsidRPr="00224A5A">
        <w:rPr>
          <w:rFonts w:ascii="Times New Roman" w:eastAsia="Times New Roman" w:hAnsi="Times New Roman" w:cs="Times New Roman"/>
          <w:color w:val="000000"/>
          <w:kern w:val="0"/>
          <w14:ligatures w14:val="none"/>
        </w:rPr>
        <w:t xml:space="preserve"> words: </w:t>
      </w:r>
      <w:r w:rsidR="009068B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Instead of focusing on the exact words someone was saying, I </w:t>
      </w:r>
      <w:r w:rsidR="003A790D">
        <w:rPr>
          <w:rFonts w:ascii="Times New Roman" w:eastAsia="Times New Roman" w:hAnsi="Times New Roman" w:cs="Times New Roman"/>
          <w:color w:val="000000"/>
          <w:kern w:val="0"/>
          <w14:ligatures w14:val="none"/>
        </w:rPr>
        <w:t>would</w:t>
      </w:r>
      <w:r w:rsidRPr="00224A5A">
        <w:rPr>
          <w:rFonts w:ascii="Times New Roman" w:eastAsia="Times New Roman" w:hAnsi="Times New Roman" w:cs="Times New Roman"/>
          <w:color w:val="000000"/>
          <w:kern w:val="0"/>
          <w14:ligatures w14:val="none"/>
        </w:rPr>
        <w:t xml:space="preserve"> think about what they were actually trying to get across.</w:t>
      </w:r>
      <w:r w:rsidR="003A790D">
        <w:rPr>
          <w:rFonts w:ascii="Times New Roman" w:eastAsia="Times New Roman" w:hAnsi="Times New Roman" w:cs="Times New Roman"/>
          <w:color w:val="000000"/>
          <w:kern w:val="0"/>
          <w14:ligatures w14:val="none"/>
        </w:rPr>
        <w:t>”</w:t>
      </w:r>
    </w:p>
    <w:p w14:paraId="2BC02A50"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73BC111B" w14:textId="3EB11D5C" w:rsidR="00224A5A" w:rsidRPr="00224A5A" w:rsidRDefault="00224A5A" w:rsidP="00A64CC0">
      <w:pPr>
        <w:spacing w:after="0" w:line="240" w:lineRule="auto"/>
        <w:ind w:firstLine="60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Participants also emphasized the emotional dimensions of language learning and how isolating second-language environments can feel. Claire described how personally experiencing language barriers reshaped her compassion for English language learners:</w:t>
      </w:r>
    </w:p>
    <w:p w14:paraId="10E939D7" w14:textId="20C32680" w:rsidR="00224A5A" w:rsidRPr="00224A5A" w:rsidRDefault="00224A5A" w:rsidP="006B5D36">
      <w:pPr>
        <w:spacing w:after="0" w:line="240" w:lineRule="auto"/>
        <w:ind w:left="600" w:right="60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“I think I’m a lot more compassionate to English language learners, second language learners, and I </w:t>
      </w:r>
      <w:proofErr w:type="gramStart"/>
      <w:r w:rsidRPr="00224A5A">
        <w:rPr>
          <w:rFonts w:ascii="Times New Roman" w:eastAsia="Times New Roman" w:hAnsi="Times New Roman" w:cs="Times New Roman"/>
          <w:color w:val="000000"/>
          <w:kern w:val="0"/>
          <w14:ligatures w14:val="none"/>
        </w:rPr>
        <w:t>definitely had</w:t>
      </w:r>
      <w:proofErr w:type="gramEnd"/>
      <w:r w:rsidRPr="00224A5A">
        <w:rPr>
          <w:rFonts w:ascii="Times New Roman" w:eastAsia="Times New Roman" w:hAnsi="Times New Roman" w:cs="Times New Roman"/>
          <w:color w:val="000000"/>
          <w:kern w:val="0"/>
          <w14:ligatures w14:val="none"/>
        </w:rPr>
        <w:t xml:space="preserve"> a couple of them in my </w:t>
      </w:r>
      <w:r w:rsidR="009068BD">
        <w:rPr>
          <w:rFonts w:ascii="Times New Roman" w:eastAsia="Times New Roman" w:hAnsi="Times New Roman" w:cs="Times New Roman"/>
          <w:color w:val="000000"/>
          <w:kern w:val="0"/>
          <w14:ligatures w14:val="none"/>
        </w:rPr>
        <w:t>U.S.</w:t>
      </w:r>
      <w:r w:rsidRPr="00224A5A">
        <w:rPr>
          <w:rFonts w:ascii="Times New Roman" w:eastAsia="Times New Roman" w:hAnsi="Times New Roman" w:cs="Times New Roman"/>
          <w:color w:val="000000"/>
          <w:kern w:val="0"/>
          <w14:ligatures w14:val="none"/>
        </w:rPr>
        <w:t xml:space="preserve"> classes, students who didn’t know any English, and I did try to help them quite a bit. But I think it’s made me a lot more aware, on a more personal level, of how isolating it is, and how it just makes you feel like an idiot, even though you know you’re not</w:t>
      </w:r>
      <w:r w:rsidR="009068B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in that situation you feel so dumb. And so, I think it’s made me a lot more compassionate, made me a lot more interested in different cultures</w:t>
      </w:r>
      <w:r w:rsidR="00F963F7">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just being able to have that human-centered focus on teaching, I think, is </w:t>
      </w:r>
      <w:proofErr w:type="gramStart"/>
      <w:r w:rsidRPr="00224A5A">
        <w:rPr>
          <w:rFonts w:ascii="Times New Roman" w:eastAsia="Times New Roman" w:hAnsi="Times New Roman" w:cs="Times New Roman"/>
          <w:color w:val="000000"/>
          <w:kern w:val="0"/>
          <w14:ligatures w14:val="none"/>
        </w:rPr>
        <w:t>really important</w:t>
      </w:r>
      <w:proofErr w:type="gramEnd"/>
      <w:r w:rsidRPr="00224A5A">
        <w:rPr>
          <w:rFonts w:ascii="Times New Roman" w:eastAsia="Times New Roman" w:hAnsi="Times New Roman" w:cs="Times New Roman"/>
          <w:color w:val="000000"/>
          <w:kern w:val="0"/>
          <w14:ligatures w14:val="none"/>
        </w:rPr>
        <w:t>.”</w:t>
      </w:r>
    </w:p>
    <w:p w14:paraId="5E5C9856"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Participants further highlighted how validation influenced student participation. Maya described observing immigrant students being marginalized and how intentional listening shifted classroom dynamics:</w:t>
      </w:r>
    </w:p>
    <w:p w14:paraId="214D1407" w14:textId="3620C4C2"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“There were a couple of students that I remember during certain times in classes. They wanted to share things or share their ideas about things, or answer questions or participate, and other students would tell them to shut up and call them derogatory names. But as time went on, the students saw that we were still listening. I was still listening to them and the other teachers I was working with were still listening to them. They kept speaking up and kept participating, even though all the other students around them were telling them to shut up. So</w:t>
      </w:r>
      <w:r w:rsidR="009068B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it made me really excited to be a teacher to help those students who might not feel worth it at all, to be able to show what they know, and be a person themselves.”</w:t>
      </w:r>
    </w:p>
    <w:p w14:paraId="250622E4" w14:textId="39BB0472"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For Taylor, working with students who struggled with English reshaped her approach</w:t>
      </w:r>
      <w:r w:rsidR="00A5076F">
        <w:rPr>
          <w:rFonts w:ascii="Times New Roman" w:eastAsia="Times New Roman" w:hAnsi="Times New Roman" w:cs="Times New Roman"/>
          <w:color w:val="000000"/>
          <w:kern w:val="0"/>
          <w14:ligatures w14:val="none"/>
        </w:rPr>
        <w:t>es</w:t>
      </w:r>
      <w:r w:rsidRPr="00224A5A">
        <w:rPr>
          <w:rFonts w:ascii="Times New Roman" w:eastAsia="Times New Roman" w:hAnsi="Times New Roman" w:cs="Times New Roman"/>
          <w:color w:val="000000"/>
          <w:kern w:val="0"/>
          <w14:ligatures w14:val="none"/>
        </w:rPr>
        <w:t>:</w:t>
      </w:r>
    </w:p>
    <w:p w14:paraId="77755034" w14:textId="77777777"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w:t>
      </w:r>
      <w:proofErr w:type="gramStart"/>
      <w:r w:rsidRPr="00224A5A">
        <w:rPr>
          <w:rFonts w:ascii="Times New Roman" w:eastAsia="Times New Roman" w:hAnsi="Times New Roman" w:cs="Times New Roman"/>
          <w:color w:val="000000"/>
          <w:kern w:val="0"/>
          <w14:ligatures w14:val="none"/>
        </w:rPr>
        <w:t>So</w:t>
      </w:r>
      <w:proofErr w:type="gramEnd"/>
      <w:r w:rsidRPr="00224A5A">
        <w:rPr>
          <w:rFonts w:ascii="Times New Roman" w:eastAsia="Times New Roman" w:hAnsi="Times New Roman" w:cs="Times New Roman"/>
          <w:color w:val="000000"/>
          <w:kern w:val="0"/>
          <w14:ligatures w14:val="none"/>
        </w:rPr>
        <w:t xml:space="preserve"> for me. I know what upcycling is, but my Italian students didn't know what that was entirely. </w:t>
      </w:r>
      <w:proofErr w:type="gramStart"/>
      <w:r w:rsidRPr="00224A5A">
        <w:rPr>
          <w:rFonts w:ascii="Times New Roman" w:eastAsia="Times New Roman" w:hAnsi="Times New Roman" w:cs="Times New Roman"/>
          <w:color w:val="000000"/>
          <w:kern w:val="0"/>
          <w14:ligatures w14:val="none"/>
        </w:rPr>
        <w:t>So</w:t>
      </w:r>
      <w:proofErr w:type="gramEnd"/>
      <w:r w:rsidRPr="00224A5A">
        <w:rPr>
          <w:rFonts w:ascii="Times New Roman" w:eastAsia="Times New Roman" w:hAnsi="Times New Roman" w:cs="Times New Roman"/>
          <w:color w:val="000000"/>
          <w:kern w:val="0"/>
          <w14:ligatures w14:val="none"/>
        </w:rPr>
        <w:t xml:space="preserve"> I had to kind of take a step back and be like, </w:t>
      </w:r>
      <w:proofErr w:type="gramStart"/>
      <w:r w:rsidRPr="00224A5A">
        <w:rPr>
          <w:rFonts w:ascii="Times New Roman" w:eastAsia="Times New Roman" w:hAnsi="Times New Roman" w:cs="Times New Roman"/>
          <w:color w:val="000000"/>
          <w:kern w:val="0"/>
          <w14:ligatures w14:val="none"/>
        </w:rPr>
        <w:t>Okay</w:t>
      </w:r>
      <w:proofErr w:type="gramEnd"/>
      <w:r w:rsidRPr="00224A5A">
        <w:rPr>
          <w:rFonts w:ascii="Times New Roman" w:eastAsia="Times New Roman" w:hAnsi="Times New Roman" w:cs="Times New Roman"/>
          <w:color w:val="000000"/>
          <w:kern w:val="0"/>
          <w14:ligatures w14:val="none"/>
        </w:rPr>
        <w:t xml:space="preserve"> what don't you understand? And how can I make it so you can understand more?”</w:t>
      </w:r>
    </w:p>
    <w:p w14:paraId="784146C5"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6A92D0C0" w14:textId="3CED5777"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These experiences led participants to view language learning as both a cognitive and emotional process, shaping how they approached communication, inclusion, and instruction.</w:t>
      </w:r>
    </w:p>
    <w:p w14:paraId="1E1ACBD2" w14:textId="77777777" w:rsidR="00A64CC0" w:rsidRPr="00D25814" w:rsidRDefault="00A64CC0" w:rsidP="00D25814">
      <w:pPr>
        <w:spacing w:after="0" w:line="240" w:lineRule="auto"/>
        <w:rPr>
          <w:rFonts w:ascii="Times New Roman" w:eastAsia="Times New Roman" w:hAnsi="Times New Roman" w:cs="Times New Roman"/>
          <w:b/>
          <w:bCs/>
          <w:color w:val="000000"/>
          <w:kern w:val="0"/>
          <w14:ligatures w14:val="none"/>
        </w:rPr>
      </w:pPr>
    </w:p>
    <w:p w14:paraId="1D5F4B51" w14:textId="7B44EBE6"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Relational Management</w:t>
      </w:r>
    </w:p>
    <w:p w14:paraId="57F80CA6" w14:textId="1896AC35" w:rsidR="00224A5A" w:rsidRPr="00224A5A" w:rsidRDefault="00224A5A" w:rsidP="009068BD">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Participants consistently framed classroom management as relational, situational, and grounded in trust rather than control. Italian classrooms were frequently described </w:t>
      </w:r>
      <w:r w:rsidR="00A5076F">
        <w:rPr>
          <w:rFonts w:ascii="Times New Roman" w:eastAsia="Times New Roman" w:hAnsi="Times New Roman" w:cs="Times New Roman"/>
          <w:color w:val="000000"/>
          <w:kern w:val="0"/>
          <w14:ligatures w14:val="none"/>
        </w:rPr>
        <w:t xml:space="preserve">by participants </w:t>
      </w:r>
      <w:r w:rsidRPr="00224A5A">
        <w:rPr>
          <w:rFonts w:ascii="Times New Roman" w:eastAsia="Times New Roman" w:hAnsi="Times New Roman" w:cs="Times New Roman"/>
          <w:color w:val="000000"/>
          <w:kern w:val="0"/>
          <w14:ligatures w14:val="none"/>
        </w:rPr>
        <w:t>as louder, less structured, and more informal than U.S. classrooms, requiring participants to reconsider traditional notions of authority and discipline.</w:t>
      </w:r>
      <w:r w:rsidR="009068BD">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 xml:space="preserve">Several participants emphasized the importance of expectation-setting while maintaining flexibility. Caleb explained, </w:t>
      </w:r>
      <w:r w:rsidRPr="00224A5A">
        <w:rPr>
          <w:rFonts w:ascii="Times New Roman" w:eastAsia="Times New Roman" w:hAnsi="Times New Roman" w:cs="Times New Roman"/>
          <w:color w:val="000000"/>
          <w:kern w:val="0"/>
          <w14:ligatures w14:val="none"/>
        </w:rPr>
        <w:lastRenderedPageBreak/>
        <w:t>“Setting the expectation early is crucial. In Italy just since they're older students, they almost treated me more like a peer than a teacher. So</w:t>
      </w:r>
      <w:r w:rsidR="009068B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I think that's just a different experience then I would have</w:t>
      </w:r>
      <w:r w:rsidR="00A5076F">
        <w:rPr>
          <w:rFonts w:ascii="Times New Roman" w:eastAsia="Times New Roman" w:hAnsi="Times New Roman" w:cs="Times New Roman"/>
          <w:color w:val="000000"/>
          <w:kern w:val="0"/>
          <w14:ligatures w14:val="none"/>
        </w:rPr>
        <w:t xml:space="preserve"> in the U.S</w:t>
      </w:r>
      <w:r w:rsidRPr="00224A5A">
        <w:rPr>
          <w:rFonts w:ascii="Times New Roman" w:eastAsia="Times New Roman" w:hAnsi="Times New Roman" w:cs="Times New Roman"/>
          <w:color w:val="000000"/>
          <w:kern w:val="0"/>
          <w14:ligatures w14:val="none"/>
        </w:rPr>
        <w:t>.”</w:t>
      </w:r>
      <w:r w:rsidR="00A64CC0">
        <w:rPr>
          <w:rFonts w:ascii="Times New Roman" w:eastAsia="Times New Roman" w:hAnsi="Times New Roman" w:cs="Times New Roman"/>
          <w:kern w:val="0"/>
          <w14:ligatures w14:val="none"/>
        </w:rPr>
        <w:t xml:space="preserve"> </w:t>
      </w:r>
      <w:r w:rsidRPr="00224A5A">
        <w:rPr>
          <w:rFonts w:ascii="Times New Roman" w:eastAsia="Times New Roman" w:hAnsi="Times New Roman" w:cs="Times New Roman"/>
          <w:color w:val="000000"/>
          <w:kern w:val="0"/>
          <w14:ligatures w14:val="none"/>
        </w:rPr>
        <w:t>Others described adopting a relaxed management style. Derek reflected:</w:t>
      </w:r>
    </w:p>
    <w:p w14:paraId="620A1060" w14:textId="493A50CB" w:rsidR="00224A5A" w:rsidRPr="00224A5A" w:rsidRDefault="00224A5A" w:rsidP="006B5D36">
      <w:pPr>
        <w:spacing w:after="0" w:line="240" w:lineRule="auto"/>
        <w:ind w:left="600" w:right="60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w:t>
      </w:r>
      <w:r w:rsidR="009068BD">
        <w:rPr>
          <w:rFonts w:ascii="Times New Roman" w:eastAsia="Times New Roman" w:hAnsi="Times New Roman" w:cs="Times New Roman"/>
          <w:color w:val="000000"/>
          <w:kern w:val="0"/>
          <w14:ligatures w14:val="none"/>
        </w:rPr>
        <w:t>L</w:t>
      </w:r>
      <w:r w:rsidRPr="00224A5A">
        <w:rPr>
          <w:rFonts w:ascii="Times New Roman" w:eastAsia="Times New Roman" w:hAnsi="Times New Roman" w:cs="Times New Roman"/>
          <w:color w:val="000000"/>
          <w:kern w:val="0"/>
          <w14:ligatures w14:val="none"/>
        </w:rPr>
        <w:t>etting the ch</w:t>
      </w:r>
      <w:r w:rsidR="009068BD">
        <w:rPr>
          <w:rFonts w:ascii="Times New Roman" w:eastAsia="Times New Roman" w:hAnsi="Times New Roman" w:cs="Times New Roman"/>
          <w:color w:val="000000"/>
          <w:kern w:val="0"/>
          <w14:ligatures w14:val="none"/>
        </w:rPr>
        <w:t>i</w:t>
      </w:r>
      <w:r w:rsidRPr="00224A5A">
        <w:rPr>
          <w:rFonts w:ascii="Times New Roman" w:eastAsia="Times New Roman" w:hAnsi="Times New Roman" w:cs="Times New Roman"/>
          <w:color w:val="000000"/>
          <w:kern w:val="0"/>
          <w14:ligatures w14:val="none"/>
        </w:rPr>
        <w:t>t chatting go a little bit, not having to worry about every little thing. In some ways it was a little more relaxed there, and it is</w:t>
      </w:r>
      <w:r w:rsidR="00A5076F">
        <w:rPr>
          <w:rFonts w:ascii="Times New Roman" w:eastAsia="Times New Roman" w:hAnsi="Times New Roman" w:cs="Times New Roman"/>
          <w:color w:val="000000"/>
          <w:kern w:val="0"/>
          <w14:ligatures w14:val="none"/>
        </w:rPr>
        <w:t>. It j</w:t>
      </w:r>
      <w:r w:rsidRPr="00224A5A">
        <w:rPr>
          <w:rFonts w:ascii="Times New Roman" w:eastAsia="Times New Roman" w:hAnsi="Times New Roman" w:cs="Times New Roman"/>
          <w:color w:val="000000"/>
          <w:kern w:val="0"/>
          <w14:ligatures w14:val="none"/>
        </w:rPr>
        <w:t>ust help</w:t>
      </w:r>
      <w:r w:rsidR="00A5076F">
        <w:rPr>
          <w:rFonts w:ascii="Times New Roman" w:eastAsia="Times New Roman" w:hAnsi="Times New Roman" w:cs="Times New Roman"/>
          <w:color w:val="000000"/>
          <w:kern w:val="0"/>
          <w14:ligatures w14:val="none"/>
        </w:rPr>
        <w:t>ed</w:t>
      </w:r>
      <w:r w:rsidRPr="00224A5A">
        <w:rPr>
          <w:rFonts w:ascii="Times New Roman" w:eastAsia="Times New Roman" w:hAnsi="Times New Roman" w:cs="Times New Roman"/>
          <w:color w:val="000000"/>
          <w:kern w:val="0"/>
          <w14:ligatures w14:val="none"/>
        </w:rPr>
        <w:t xml:space="preserve"> me learn to let things go, and the</w:t>
      </w:r>
      <w:r w:rsidR="00A5076F">
        <w:rPr>
          <w:rFonts w:ascii="Times New Roman" w:eastAsia="Times New Roman" w:hAnsi="Times New Roman" w:cs="Times New Roman"/>
          <w:color w:val="000000"/>
          <w:kern w:val="0"/>
          <w14:ligatures w14:val="none"/>
        </w:rPr>
        <w:t>n</w:t>
      </w:r>
      <w:r w:rsidRPr="00224A5A">
        <w:rPr>
          <w:rFonts w:ascii="Times New Roman" w:eastAsia="Times New Roman" w:hAnsi="Times New Roman" w:cs="Times New Roman"/>
          <w:color w:val="000000"/>
          <w:kern w:val="0"/>
          <w14:ligatures w14:val="none"/>
        </w:rPr>
        <w:t xml:space="preserve"> be confident with my decisions, and not make sure that </w:t>
      </w:r>
      <w:proofErr w:type="gramStart"/>
      <w:r w:rsidRPr="00224A5A">
        <w:rPr>
          <w:rFonts w:ascii="Times New Roman" w:eastAsia="Times New Roman" w:hAnsi="Times New Roman" w:cs="Times New Roman"/>
          <w:color w:val="000000"/>
          <w:kern w:val="0"/>
          <w14:ligatures w14:val="none"/>
        </w:rPr>
        <w:t>every single thing</w:t>
      </w:r>
      <w:proofErr w:type="gramEnd"/>
      <w:r w:rsidRPr="00224A5A">
        <w:rPr>
          <w:rFonts w:ascii="Times New Roman" w:eastAsia="Times New Roman" w:hAnsi="Times New Roman" w:cs="Times New Roman"/>
          <w:color w:val="000000"/>
          <w:kern w:val="0"/>
          <w14:ligatures w14:val="none"/>
        </w:rPr>
        <w:t>, every time is perfect.”</w:t>
      </w:r>
    </w:p>
    <w:p w14:paraId="2C4A4D8C"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37231C13" w14:textId="6815EDA2" w:rsidR="00224A5A" w:rsidRPr="00224A5A" w:rsidRDefault="00224A5A" w:rsidP="00A64CC0">
      <w:pPr>
        <w:spacing w:after="0" w:line="240" w:lineRule="auto"/>
        <w:ind w:firstLine="60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Participants also emphasized presence and movement as central to effective management. Avery described how observing Italian classrooms shaped her own approach:</w:t>
      </w:r>
    </w:p>
    <w:p w14:paraId="58F8DFA4" w14:textId="5D3A5FB3"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“I'm always moving around my classroom. I have my desk set up in a way that I could just move around. I'm interacting with the students. So</w:t>
      </w:r>
      <w:r w:rsidR="007D7CD1">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I think from anything it's I've learned things not to do by going to Italy. Yeah. </w:t>
      </w:r>
      <w:proofErr w:type="gramStart"/>
      <w:r w:rsidRPr="00224A5A">
        <w:rPr>
          <w:rFonts w:ascii="Times New Roman" w:eastAsia="Times New Roman" w:hAnsi="Times New Roman" w:cs="Times New Roman"/>
          <w:color w:val="000000"/>
          <w:kern w:val="0"/>
          <w14:ligatures w14:val="none"/>
        </w:rPr>
        <w:t>So</w:t>
      </w:r>
      <w:proofErr w:type="gramEnd"/>
      <w:r w:rsidRPr="00224A5A">
        <w:rPr>
          <w:rFonts w:ascii="Times New Roman" w:eastAsia="Times New Roman" w:hAnsi="Times New Roman" w:cs="Times New Roman"/>
          <w:color w:val="000000"/>
          <w:kern w:val="0"/>
          <w14:ligatures w14:val="none"/>
        </w:rPr>
        <w:t xml:space="preserve"> to not just be a teacher that sits at a desk and just clicks through </w:t>
      </w:r>
      <w:proofErr w:type="gramStart"/>
      <w:r w:rsidRPr="00224A5A">
        <w:rPr>
          <w:rFonts w:ascii="Times New Roman" w:eastAsia="Times New Roman" w:hAnsi="Times New Roman" w:cs="Times New Roman"/>
          <w:color w:val="000000"/>
          <w:kern w:val="0"/>
          <w14:ligatures w14:val="none"/>
        </w:rPr>
        <w:t>slides.”</w:t>
      </w:r>
      <w:proofErr w:type="gramEnd"/>
    </w:p>
    <w:p w14:paraId="5EA86F24" w14:textId="0B6E13DC"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Sophie described </w:t>
      </w:r>
      <w:r w:rsidR="00007E2D">
        <w:rPr>
          <w:rFonts w:ascii="Times New Roman" w:eastAsia="Times New Roman" w:hAnsi="Times New Roman" w:cs="Times New Roman"/>
          <w:color w:val="000000"/>
          <w:kern w:val="0"/>
          <w14:ligatures w14:val="none"/>
        </w:rPr>
        <w:t xml:space="preserve">her classroom </w:t>
      </w:r>
      <w:r w:rsidRPr="00224A5A">
        <w:rPr>
          <w:rFonts w:ascii="Times New Roman" w:eastAsia="Times New Roman" w:hAnsi="Times New Roman" w:cs="Times New Roman"/>
          <w:color w:val="000000"/>
          <w:kern w:val="0"/>
          <w14:ligatures w14:val="none"/>
        </w:rPr>
        <w:t>management</w:t>
      </w:r>
      <w:r w:rsidR="00007E2D">
        <w:rPr>
          <w:rFonts w:ascii="Times New Roman" w:eastAsia="Times New Roman" w:hAnsi="Times New Roman" w:cs="Times New Roman"/>
          <w:color w:val="000000"/>
          <w:kern w:val="0"/>
          <w14:ligatures w14:val="none"/>
        </w:rPr>
        <w:t xml:space="preserve"> from Italy</w:t>
      </w:r>
      <w:r w:rsidRPr="00224A5A">
        <w:rPr>
          <w:rFonts w:ascii="Times New Roman" w:eastAsia="Times New Roman" w:hAnsi="Times New Roman" w:cs="Times New Roman"/>
          <w:color w:val="000000"/>
          <w:kern w:val="0"/>
          <w14:ligatures w14:val="none"/>
        </w:rPr>
        <w:t xml:space="preserve"> as an extension of care:</w:t>
      </w:r>
    </w:p>
    <w:p w14:paraId="7EBCACBD" w14:textId="670D95DD" w:rsidR="00224A5A" w:rsidRPr="00224A5A" w:rsidRDefault="00224A5A" w:rsidP="006B5D36">
      <w:pPr>
        <w:spacing w:after="0" w:line="240" w:lineRule="auto"/>
        <w:ind w:left="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“I think as a teacher I would rather be in my students</w:t>
      </w:r>
      <w:r w:rsidR="00A5076F">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space and help them know, </w:t>
      </w:r>
      <w:proofErr w:type="gramStart"/>
      <w:r w:rsidRPr="00224A5A">
        <w:rPr>
          <w:rFonts w:ascii="Times New Roman" w:eastAsia="Times New Roman" w:hAnsi="Times New Roman" w:cs="Times New Roman"/>
          <w:color w:val="000000"/>
          <w:kern w:val="0"/>
          <w14:ligatures w14:val="none"/>
        </w:rPr>
        <w:t>Hey</w:t>
      </w:r>
      <w:proofErr w:type="gramEnd"/>
      <w:r w:rsidRPr="00224A5A">
        <w:rPr>
          <w:rFonts w:ascii="Times New Roman" w:eastAsia="Times New Roman" w:hAnsi="Times New Roman" w:cs="Times New Roman"/>
          <w:color w:val="000000"/>
          <w:kern w:val="0"/>
          <w14:ligatures w14:val="none"/>
        </w:rPr>
        <w:t>, I care. So</w:t>
      </w:r>
      <w:r w:rsidR="007D7CD1">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I need you to tell me what's going on…just aware of student needs</w:t>
      </w:r>
      <w:r w:rsidR="00A5076F">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more engaged with their needs. If they are acting up, it's usually because maybe they don't understand or weren't listening. And so, just being more empathetic.”</w:t>
      </w:r>
    </w:p>
    <w:p w14:paraId="273BC7BF"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Across interviews, relational management emerged as responsive, empathetic, and particularly effective in culturally and linguistically diverse classrooms.</w:t>
      </w:r>
    </w:p>
    <w:p w14:paraId="0FA622E0" w14:textId="77777777" w:rsidR="00A64CC0" w:rsidRPr="00D25814" w:rsidRDefault="00A64CC0" w:rsidP="00D25814">
      <w:pPr>
        <w:spacing w:after="0" w:line="240" w:lineRule="auto"/>
        <w:rPr>
          <w:rFonts w:ascii="Times New Roman" w:eastAsia="Times New Roman" w:hAnsi="Times New Roman" w:cs="Times New Roman"/>
          <w:b/>
          <w:bCs/>
          <w:color w:val="000000"/>
          <w:kern w:val="0"/>
          <w14:ligatures w14:val="none"/>
        </w:rPr>
      </w:pPr>
    </w:p>
    <w:p w14:paraId="3B6AB23E" w14:textId="398DCAB4" w:rsidR="00224A5A" w:rsidRDefault="00224A5A" w:rsidP="00D25814">
      <w:pPr>
        <w:spacing w:after="0" w:line="240" w:lineRule="auto"/>
        <w:rPr>
          <w:rFonts w:ascii="Times New Roman" w:eastAsia="Times New Roman" w:hAnsi="Times New Roman" w:cs="Times New Roman"/>
          <w:b/>
          <w:bCs/>
          <w:color w:val="000000"/>
          <w:kern w:val="0"/>
          <w14:ligatures w14:val="none"/>
        </w:rPr>
      </w:pPr>
      <w:r w:rsidRPr="00224A5A">
        <w:rPr>
          <w:rFonts w:ascii="Times New Roman" w:eastAsia="Times New Roman" w:hAnsi="Times New Roman" w:cs="Times New Roman"/>
          <w:b/>
          <w:bCs/>
          <w:color w:val="000000"/>
          <w:kern w:val="0"/>
          <w14:ligatures w14:val="none"/>
        </w:rPr>
        <w:t>System Comparisons</w:t>
      </w:r>
    </w:p>
    <w:p w14:paraId="0744D5C9" w14:textId="28BB10EA"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 xml:space="preserve">Participants frequently compared Italian and U.S. educational systems, using these contrasts to critically examine assumptions about rigor, motivation, assessment, and opportunity. These comparisons were complex and nuanced rather than idealized. Several participants noted the academic rigor of Italian schools while also recognizing limited postsecondary and workforce pathways. Derek reflected that, despite students </w:t>
      </w:r>
      <w:r w:rsidR="00007E2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working intensely</w:t>
      </w:r>
      <w:r w:rsidR="00007E2D">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toward academic success, the Italian system appeared to offer fewer differentiated options beyond traditional academic trajectories. This comparison prompted participants to reconsider assumptions about college-for-all models and to question whether highly rigorous schooling without flexible </w:t>
      </w:r>
      <w:r w:rsidR="00007E2D">
        <w:rPr>
          <w:rFonts w:ascii="Times New Roman" w:eastAsia="Times New Roman" w:hAnsi="Times New Roman" w:cs="Times New Roman"/>
          <w:color w:val="000000"/>
          <w:kern w:val="0"/>
          <w14:ligatures w14:val="none"/>
        </w:rPr>
        <w:t xml:space="preserve">career </w:t>
      </w:r>
      <w:r w:rsidRPr="00224A5A">
        <w:rPr>
          <w:rFonts w:ascii="Times New Roman" w:eastAsia="Times New Roman" w:hAnsi="Times New Roman" w:cs="Times New Roman"/>
          <w:color w:val="000000"/>
          <w:kern w:val="0"/>
          <w14:ligatures w14:val="none"/>
        </w:rPr>
        <w:t>pathways may limit long-term opportunities for some students.</w:t>
      </w:r>
    </w:p>
    <w:p w14:paraId="3B626376" w14:textId="77777777" w:rsidR="00A64CC0" w:rsidRDefault="00A64CC0" w:rsidP="006B5D36">
      <w:pPr>
        <w:spacing w:after="0" w:line="240" w:lineRule="auto"/>
        <w:rPr>
          <w:rFonts w:ascii="Times New Roman" w:eastAsia="Times New Roman" w:hAnsi="Times New Roman" w:cs="Times New Roman"/>
          <w:color w:val="000000"/>
          <w:kern w:val="0"/>
          <w14:ligatures w14:val="none"/>
        </w:rPr>
      </w:pPr>
    </w:p>
    <w:p w14:paraId="7B8E21B5" w14:textId="02F3BFA3" w:rsidR="009C20E0" w:rsidRDefault="00224A5A" w:rsidP="00A64CC0">
      <w:pPr>
        <w:spacing w:after="0" w:line="240" w:lineRule="auto"/>
        <w:ind w:firstLine="720"/>
        <w:rPr>
          <w:rFonts w:ascii="Times New Roman" w:eastAsia="Times New Roman" w:hAnsi="Times New Roman" w:cs="Times New Roman"/>
          <w:color w:val="000000"/>
          <w:kern w:val="0"/>
          <w14:ligatures w14:val="none"/>
        </w:rPr>
      </w:pPr>
      <w:r w:rsidRPr="006234B3">
        <w:rPr>
          <w:rFonts w:ascii="Times New Roman" w:eastAsia="Times New Roman" w:hAnsi="Times New Roman" w:cs="Times New Roman"/>
          <w:color w:val="000000"/>
          <w:kern w:val="0"/>
          <w14:ligatures w14:val="none"/>
        </w:rPr>
        <w:t>Participants</w:t>
      </w:r>
      <w:r w:rsidR="00A64CC0" w:rsidRPr="006234B3">
        <w:rPr>
          <w:rFonts w:ascii="Times New Roman" w:eastAsia="Times New Roman" w:hAnsi="Times New Roman" w:cs="Times New Roman"/>
          <w:color w:val="000000"/>
          <w:kern w:val="0"/>
          <w14:ligatures w14:val="none"/>
        </w:rPr>
        <w:t xml:space="preserve"> also</w:t>
      </w:r>
      <w:r w:rsidRPr="006234B3">
        <w:rPr>
          <w:rFonts w:ascii="Times New Roman" w:eastAsia="Times New Roman" w:hAnsi="Times New Roman" w:cs="Times New Roman"/>
          <w:color w:val="000000"/>
          <w:kern w:val="0"/>
          <w14:ligatures w14:val="none"/>
        </w:rPr>
        <w:t xml:space="preserve"> contrasted Italian and U.S. educational systems in ways that prompted critical reflection on student motivation, opportunity, and access to future pathways. Sophie described strong emotional responses when observing Italian students’ high levels of </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academic seriousness</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 xml:space="preserve"> and </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aspiration</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 xml:space="preserve"> alongside structural limitations that restricted postsecondary and workforce mobility. In contrast, she reflected on how U.S. students often </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have greater access</w:t>
      </w:r>
      <w:r w:rsidR="00007E2D">
        <w:rPr>
          <w:rFonts w:ascii="Times New Roman" w:eastAsia="Times New Roman" w:hAnsi="Times New Roman" w:cs="Times New Roman"/>
          <w:color w:val="000000"/>
          <w:kern w:val="0"/>
          <w14:ligatures w14:val="none"/>
        </w:rPr>
        <w:t>”</w:t>
      </w:r>
      <w:r w:rsidRPr="006234B3">
        <w:rPr>
          <w:rFonts w:ascii="Times New Roman" w:eastAsia="Times New Roman" w:hAnsi="Times New Roman" w:cs="Times New Roman"/>
          <w:color w:val="000000"/>
          <w:kern w:val="0"/>
          <w14:ligatures w14:val="none"/>
        </w:rPr>
        <w:t xml:space="preserve"> to educational and career opportunities</w:t>
      </w:r>
      <w:r w:rsidR="00007E2D">
        <w:rPr>
          <w:rFonts w:ascii="Times New Roman" w:eastAsia="Times New Roman" w:hAnsi="Times New Roman" w:cs="Times New Roman"/>
          <w:color w:val="000000"/>
          <w:kern w:val="0"/>
          <w14:ligatures w14:val="none"/>
        </w:rPr>
        <w:t xml:space="preserve"> </w:t>
      </w:r>
      <w:r w:rsidRPr="006234B3">
        <w:rPr>
          <w:rFonts w:ascii="Times New Roman" w:eastAsia="Times New Roman" w:hAnsi="Times New Roman" w:cs="Times New Roman"/>
          <w:color w:val="000000"/>
          <w:kern w:val="0"/>
          <w14:ligatures w14:val="none"/>
        </w:rPr>
        <w:t>yet may not fully recognize those advantages.</w:t>
      </w:r>
      <w:r w:rsidR="006234B3" w:rsidRPr="006234B3">
        <w:rPr>
          <w:rFonts w:ascii="Times New Roman" w:eastAsia="Times New Roman" w:hAnsi="Times New Roman" w:cs="Times New Roman"/>
          <w:color w:val="000000"/>
          <w:kern w:val="0"/>
          <w14:ligatures w14:val="none"/>
        </w:rPr>
        <w:t xml:space="preserve"> </w:t>
      </w:r>
    </w:p>
    <w:p w14:paraId="37C3372E" w14:textId="77777777" w:rsidR="00A64CC0" w:rsidRPr="00224A5A" w:rsidRDefault="00A64CC0" w:rsidP="00A64CC0">
      <w:pPr>
        <w:spacing w:after="0" w:line="240" w:lineRule="auto"/>
        <w:ind w:firstLine="720"/>
        <w:rPr>
          <w:rFonts w:ascii="Times New Roman" w:eastAsia="Times New Roman" w:hAnsi="Times New Roman" w:cs="Times New Roman"/>
          <w:kern w:val="0"/>
          <w14:ligatures w14:val="none"/>
        </w:rPr>
      </w:pPr>
    </w:p>
    <w:p w14:paraId="44D33012" w14:textId="77777777" w:rsidR="00224A5A" w:rsidRPr="00224A5A" w:rsidRDefault="00224A5A" w:rsidP="00A64CC0">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Observing these disparities led participants to reconsider how opportunity, rather than effort alone, shapes educational outcomes. These comparisons encouraged participants to critically examine assumptions about rigor, motivation, and equity, and to reflect on their responsibility as educators to help students recognize and leverage available opportunities.</w:t>
      </w:r>
    </w:p>
    <w:p w14:paraId="74E7EF7D" w14:textId="6CD005AE"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lastRenderedPageBreak/>
        <w:t>Participants also discussed assessment practices. Taylor explained, “[The Italian Students] want it to where [classes] are not so study</w:t>
      </w:r>
      <w:r w:rsidR="007418A1">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based and having more hands</w:t>
      </w:r>
      <w:r w:rsidR="007418A1">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on</w:t>
      </w:r>
      <w:r w:rsidR="007418A1">
        <w:rPr>
          <w:rFonts w:ascii="Times New Roman" w:eastAsia="Times New Roman" w:hAnsi="Times New Roman" w:cs="Times New Roman"/>
          <w:color w:val="000000"/>
          <w:kern w:val="0"/>
          <w14:ligatures w14:val="none"/>
        </w:rPr>
        <w:t>,</w:t>
      </w:r>
      <w:r w:rsidRPr="00224A5A">
        <w:rPr>
          <w:rFonts w:ascii="Times New Roman" w:eastAsia="Times New Roman" w:hAnsi="Times New Roman" w:cs="Times New Roman"/>
          <w:color w:val="000000"/>
          <w:kern w:val="0"/>
          <w14:ligatures w14:val="none"/>
        </w:rPr>
        <w:t xml:space="preserve"> like having more field trips, having the teachers care about them rather than care about their grades and such.”</w:t>
      </w:r>
    </w:p>
    <w:p w14:paraId="00DB7D29"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These comparisons prompted participants to reconsider how rigor, engagement, and equity might be balanced more effectively across systems.</w:t>
      </w:r>
    </w:p>
    <w:p w14:paraId="505D6827" w14:textId="77777777" w:rsidR="00A64CC0" w:rsidRDefault="00A64CC0" w:rsidP="00D25814">
      <w:pPr>
        <w:spacing w:after="0" w:line="240" w:lineRule="auto"/>
        <w:rPr>
          <w:rFonts w:ascii="Times New Roman" w:eastAsia="Times New Roman" w:hAnsi="Times New Roman" w:cs="Times New Roman"/>
          <w:color w:val="000000"/>
          <w:kern w:val="0"/>
          <w14:ligatures w14:val="none"/>
        </w:rPr>
      </w:pPr>
    </w:p>
    <w:p w14:paraId="348E0E9F" w14:textId="77777777" w:rsidR="00224A5A" w:rsidRPr="00224A5A" w:rsidRDefault="00224A5A" w:rsidP="00F963F7">
      <w:pPr>
        <w:spacing w:after="0" w:line="240" w:lineRule="auto"/>
        <w:ind w:firstLine="720"/>
        <w:rPr>
          <w:rFonts w:ascii="Times New Roman" w:eastAsia="Times New Roman" w:hAnsi="Times New Roman" w:cs="Times New Roman"/>
          <w:kern w:val="0"/>
          <w14:ligatures w14:val="none"/>
        </w:rPr>
      </w:pPr>
      <w:r w:rsidRPr="00224A5A">
        <w:rPr>
          <w:rFonts w:ascii="Times New Roman" w:eastAsia="Times New Roman" w:hAnsi="Times New Roman" w:cs="Times New Roman"/>
          <w:color w:val="000000"/>
          <w:kern w:val="0"/>
          <w14:ligatures w14:val="none"/>
        </w:rPr>
        <w:t>Together, these six themes illustrate how immersive international student teaching experiences can function as powerful sites of professional learning. Participants described shifts in perspective, strengthened teacher identity, increased instructional adaptability, heightened language and cultural empathy, relational approaches to classroom management, and critical examination of educational systems. These findings highlight the multifaceted impact of international teaching experiences and provide insight into how such programs contribute to the development of reflective, adaptive, and globally minded educators.</w:t>
      </w:r>
    </w:p>
    <w:p w14:paraId="48D3B8F6" w14:textId="77777777" w:rsidR="00224A5A" w:rsidRPr="00224A5A" w:rsidRDefault="00224A5A" w:rsidP="006B5D36">
      <w:pPr>
        <w:spacing w:after="0" w:line="240" w:lineRule="auto"/>
        <w:rPr>
          <w:rFonts w:ascii="Times New Roman" w:eastAsia="Times New Roman" w:hAnsi="Times New Roman" w:cs="Times New Roman"/>
          <w:kern w:val="0"/>
          <w14:ligatures w14:val="none"/>
        </w:rPr>
      </w:pPr>
    </w:p>
    <w:p w14:paraId="36F5C442" w14:textId="6AB0E602" w:rsidR="007418A1" w:rsidRDefault="007418A1" w:rsidP="007418A1">
      <w:pPr>
        <w:spacing w:after="0" w:line="240" w:lineRule="auto"/>
        <w:ind w:firstLine="720"/>
        <w:jc w:val="center"/>
        <w:rPr>
          <w:rFonts w:ascii="Times New Roman" w:eastAsia="Times New Roman" w:hAnsi="Times New Roman" w:cs="Times New Roman"/>
          <w:b/>
          <w:bCs/>
          <w:color w:val="000000"/>
          <w:kern w:val="0"/>
          <w14:ligatures w14:val="none"/>
        </w:rPr>
      </w:pPr>
      <w:r w:rsidRPr="007418A1">
        <w:rPr>
          <w:rFonts w:ascii="Times New Roman" w:eastAsia="Times New Roman" w:hAnsi="Times New Roman" w:cs="Times New Roman"/>
          <w:b/>
          <w:bCs/>
          <w:color w:val="000000"/>
          <w:kern w:val="0"/>
          <w14:ligatures w14:val="none"/>
        </w:rPr>
        <w:t>Discussion</w:t>
      </w:r>
      <w:r w:rsidR="00007E2D">
        <w:rPr>
          <w:rFonts w:ascii="Times New Roman" w:eastAsia="Times New Roman" w:hAnsi="Times New Roman" w:cs="Times New Roman"/>
          <w:b/>
          <w:bCs/>
          <w:color w:val="000000"/>
          <w:kern w:val="0"/>
          <w14:ligatures w14:val="none"/>
        </w:rPr>
        <w:t xml:space="preserve"> and Conclusions</w:t>
      </w:r>
    </w:p>
    <w:p w14:paraId="09A38EC7" w14:textId="77777777" w:rsidR="007418A1" w:rsidRPr="007418A1" w:rsidRDefault="007418A1" w:rsidP="007418A1">
      <w:pPr>
        <w:spacing w:after="0" w:line="240" w:lineRule="auto"/>
        <w:ind w:firstLine="720"/>
        <w:jc w:val="center"/>
        <w:rPr>
          <w:rFonts w:ascii="Times New Roman" w:eastAsia="Times New Roman" w:hAnsi="Times New Roman" w:cs="Times New Roman"/>
          <w:b/>
          <w:bCs/>
          <w:color w:val="000000"/>
          <w:kern w:val="0"/>
          <w14:ligatures w14:val="none"/>
        </w:rPr>
      </w:pPr>
    </w:p>
    <w:p w14:paraId="62516692" w14:textId="0192590B" w:rsidR="007418A1" w:rsidRPr="007418A1" w:rsidRDefault="007418A1" w:rsidP="005A6C99">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The purpose of this research study was to examine the impact of a global teaching experience on pre-service teachers. Transformative Learning Theory holds that learning occurs when individuals critically examine and revise their existing assumptions in response to experiences that challenge their established ways of thinking, resulting in lasting changes to their perspectives, beliefs, and actions (Degreenia, et al., 2023; Mezirow, 1997). Consistent with this theory, student teachers in this program were placed in a situation that was in many ways strikingly different from what they had come to expect</w:t>
      </w:r>
      <w:r w:rsidR="00007E2D">
        <w:rPr>
          <w:rFonts w:ascii="Times New Roman" w:eastAsia="Times New Roman" w:hAnsi="Times New Roman" w:cs="Times New Roman"/>
          <w:color w:val="000000"/>
          <w:kern w:val="0"/>
          <w14:ligatures w14:val="none"/>
        </w:rPr>
        <w:t xml:space="preserve"> in</w:t>
      </w:r>
      <w:r w:rsidRPr="007418A1">
        <w:rPr>
          <w:rFonts w:ascii="Times New Roman" w:eastAsia="Times New Roman" w:hAnsi="Times New Roman" w:cs="Times New Roman"/>
          <w:color w:val="000000"/>
          <w:kern w:val="0"/>
          <w14:ligatures w14:val="none"/>
        </w:rPr>
        <w:t xml:space="preserve"> U.S. CTE classrooms during their previous 10 weeks of student teaching. These differences ranged from structural differences in how Italian schools function compared to U.S. schools to cultural differences in how students interact with their teachers, and so on. As posited in Transformative Learning Theory, these structural and cultural differences between Italian schools and U.S. schools proved to be disorienting for participants (Freed, et al., 2021) and catalyzed change to their professional identities, instructional practices, and engagement with teaching. </w:t>
      </w:r>
    </w:p>
    <w:p w14:paraId="67D8CE92"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5273BF67" w14:textId="77777777"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One major goal of the student teaching experience in teacher preparation programs is the formation of a professional identity as teachers. While traditional student teaching experiences promote identity development (Joseph &amp; Heading, 2010) by providing opportunities for personal reflection on beliefs, values, goals, and experiences in a safe environment (Hong et al., 2016), our findings suggested that student teaching abroad may result in deeper engagement with the process of forming these beliefs, values, and goals. </w:t>
      </w:r>
    </w:p>
    <w:p w14:paraId="3D82C56F"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264381F5" w14:textId="69AA64F3" w:rsidR="007418A1" w:rsidRDefault="005A2A2C" w:rsidP="005A2A2C">
      <w:pPr>
        <w:spacing w:after="0" w:line="240" w:lineRule="auto"/>
        <w:ind w:firstLine="720"/>
        <w:rPr>
          <w:rFonts w:ascii="Times New Roman" w:eastAsia="Times New Roman" w:hAnsi="Times New Roman" w:cs="Times New Roman"/>
          <w:color w:val="000000"/>
          <w:kern w:val="0"/>
          <w14:ligatures w14:val="none"/>
        </w:rPr>
      </w:pPr>
      <w:r w:rsidRPr="005A2A2C">
        <w:rPr>
          <w:rFonts w:ascii="Times New Roman" w:eastAsia="Times New Roman" w:hAnsi="Times New Roman" w:cs="Times New Roman"/>
          <w:color w:val="000000"/>
          <w:kern w:val="0"/>
          <w14:ligatures w14:val="none"/>
        </w:rPr>
        <w:t>Participants commonly emphasized the need to build trust and engagement more quickly in Italian classrooms than in U.S. schools, where longer-term relationships with students are typical. These differences prompted participants to critically examine their approaches to teaching and learning, with positive student interactions reinforcing a commitment to student-centered instruction. As a result of their student teaching abroad, participants developed a broader professional identity, viewing teaching as more than a job and gaining confidence in their ability to adapt to diverse classroom contexts while prioritizing student needs.</w:t>
      </w:r>
    </w:p>
    <w:p w14:paraId="30A4C3C5" w14:textId="77777777" w:rsidR="005A2A2C" w:rsidRPr="007418A1" w:rsidRDefault="005A2A2C" w:rsidP="005A2A2C">
      <w:pPr>
        <w:spacing w:after="0" w:line="240" w:lineRule="auto"/>
        <w:ind w:firstLine="720"/>
        <w:rPr>
          <w:rFonts w:ascii="Times New Roman" w:eastAsia="Times New Roman" w:hAnsi="Times New Roman" w:cs="Times New Roman"/>
          <w:kern w:val="0"/>
          <w14:ligatures w14:val="none"/>
        </w:rPr>
      </w:pPr>
    </w:p>
    <w:p w14:paraId="12FEDD2C" w14:textId="031E915A" w:rsidR="001C0045" w:rsidRDefault="001C0045" w:rsidP="005A6C99">
      <w:pPr>
        <w:spacing w:after="0" w:line="240" w:lineRule="auto"/>
        <w:ind w:firstLine="720"/>
        <w:rPr>
          <w:rFonts w:ascii="Times New Roman" w:eastAsia="Times New Roman" w:hAnsi="Times New Roman" w:cs="Times New Roman"/>
          <w:color w:val="000000"/>
          <w:kern w:val="0"/>
          <w14:ligatures w14:val="none"/>
        </w:rPr>
      </w:pPr>
      <w:r w:rsidRPr="001C0045">
        <w:rPr>
          <w:rFonts w:ascii="Times New Roman" w:eastAsia="Times New Roman" w:hAnsi="Times New Roman" w:cs="Times New Roman"/>
          <w:color w:val="000000"/>
          <w:kern w:val="0"/>
          <w14:ligatures w14:val="none"/>
        </w:rPr>
        <w:lastRenderedPageBreak/>
        <w:t>In addition to strengthening their teacher identity, participants transformed their instructional skills, including classroom management, adaptive instruction, and teaching for English language learners (ELLs). Several participants noted changes in their classroom management styles influenced by cultural differences in Italian schools, where classrooms were described as less structured and noisier than those in the U.S. These differences challenged participants to shift from a control-oriented approach to a more relationship-based model of classroom management. Through this process, participants developed greater confidence in decision-making, setting expectations, and building trusting relationships, which improved their ability to manage classrooms despite cultural differences.</w:t>
      </w:r>
    </w:p>
    <w:p w14:paraId="5ADC8E0D" w14:textId="77777777" w:rsidR="001C0045" w:rsidRDefault="001C0045" w:rsidP="005A6C99">
      <w:pPr>
        <w:spacing w:after="0" w:line="240" w:lineRule="auto"/>
        <w:ind w:firstLine="720"/>
        <w:rPr>
          <w:rFonts w:ascii="Times New Roman" w:eastAsia="Times New Roman" w:hAnsi="Times New Roman" w:cs="Times New Roman"/>
          <w:color w:val="000000"/>
          <w:kern w:val="0"/>
          <w14:ligatures w14:val="none"/>
        </w:rPr>
      </w:pPr>
    </w:p>
    <w:p w14:paraId="48ECE321" w14:textId="77777777" w:rsidR="001C0045" w:rsidRPr="001C0045" w:rsidRDefault="001C0045" w:rsidP="001C0045">
      <w:pPr>
        <w:spacing w:after="0" w:line="240" w:lineRule="auto"/>
        <w:ind w:firstLine="720"/>
        <w:rPr>
          <w:rFonts w:ascii="Times New Roman" w:eastAsia="Times New Roman" w:hAnsi="Times New Roman" w:cs="Times New Roman"/>
          <w:kern w:val="0"/>
          <w14:ligatures w14:val="none"/>
        </w:rPr>
      </w:pPr>
      <w:r w:rsidRPr="001C0045">
        <w:rPr>
          <w:rFonts w:ascii="Times New Roman" w:eastAsia="Times New Roman" w:hAnsi="Times New Roman" w:cs="Times New Roman"/>
          <w:kern w:val="0"/>
          <w14:ligatures w14:val="none"/>
        </w:rPr>
        <w:t>Participants emphasized the need to adapt instruction in real time when teaching in Italian schools, which they found to be far less structured than U.S. schools. Scheduling and instructional goals frequently changed with little notice and varied by teacher, and resources were often limited compared to U.S. CTE classrooms. The inability to plan detailed lessons in advance was initially challenging but ultimately fostered greater flexibility, adaptability to different teaching styles, and a stronger focus on meeting students’ immediate needs rather than strictly adhering to predetermined content goals.</w:t>
      </w:r>
    </w:p>
    <w:p w14:paraId="42D24E84" w14:textId="77777777" w:rsidR="001C0045" w:rsidRPr="001C0045" w:rsidRDefault="001C0045" w:rsidP="001C0045">
      <w:pPr>
        <w:spacing w:after="0" w:line="240" w:lineRule="auto"/>
        <w:ind w:firstLine="720"/>
        <w:rPr>
          <w:rFonts w:ascii="Times New Roman" w:eastAsia="Times New Roman" w:hAnsi="Times New Roman" w:cs="Times New Roman"/>
          <w:kern w:val="0"/>
          <w14:ligatures w14:val="none"/>
        </w:rPr>
      </w:pPr>
    </w:p>
    <w:p w14:paraId="409536EF" w14:textId="7DC5A1B1" w:rsidR="001C0045" w:rsidRPr="007418A1" w:rsidRDefault="001C0045" w:rsidP="001C0045">
      <w:pPr>
        <w:spacing w:after="0" w:line="240" w:lineRule="auto"/>
        <w:ind w:firstLine="720"/>
        <w:rPr>
          <w:rFonts w:ascii="Times New Roman" w:eastAsia="Times New Roman" w:hAnsi="Times New Roman" w:cs="Times New Roman"/>
          <w:kern w:val="0"/>
          <w14:ligatures w14:val="none"/>
        </w:rPr>
      </w:pPr>
      <w:r w:rsidRPr="001C0045">
        <w:rPr>
          <w:rFonts w:ascii="Times New Roman" w:eastAsia="Times New Roman" w:hAnsi="Times New Roman" w:cs="Times New Roman"/>
          <w:kern w:val="0"/>
          <w14:ligatures w14:val="none"/>
        </w:rPr>
        <w:t>Participants also highlighted how teaching in a primarily non-English-speaking environment transformed their perspectives on</w:t>
      </w:r>
      <w:r w:rsidR="00287F7C">
        <w:rPr>
          <w:rFonts w:ascii="Times New Roman" w:eastAsia="Times New Roman" w:hAnsi="Times New Roman" w:cs="Times New Roman"/>
          <w:kern w:val="0"/>
          <w14:ligatures w14:val="none"/>
        </w:rPr>
        <w:t xml:space="preserve"> </w:t>
      </w:r>
      <w:r w:rsidRPr="001C0045">
        <w:rPr>
          <w:rFonts w:ascii="Times New Roman" w:eastAsia="Times New Roman" w:hAnsi="Times New Roman" w:cs="Times New Roman"/>
          <w:kern w:val="0"/>
          <w14:ligatures w14:val="none"/>
        </w:rPr>
        <w:t>ELLs. Although English instruction is emphasized in Italian schools, participants’ experiences as second-language learners led to increased empathy for ELL students in the U.S., including greater awareness of feelings of isolation and self-doubt. These experiences prompted participants to reconsider past interactions with ELL students and</w:t>
      </w:r>
      <w:r w:rsidR="003A790D">
        <w:rPr>
          <w:rFonts w:ascii="Times New Roman" w:eastAsia="Times New Roman" w:hAnsi="Times New Roman" w:cs="Times New Roman"/>
          <w:kern w:val="0"/>
          <w14:ligatures w14:val="none"/>
        </w:rPr>
        <w:t xml:space="preserve"> to</w:t>
      </w:r>
      <w:r w:rsidRPr="001C0045">
        <w:rPr>
          <w:rFonts w:ascii="Times New Roman" w:eastAsia="Times New Roman" w:hAnsi="Times New Roman" w:cs="Times New Roman"/>
          <w:kern w:val="0"/>
          <w14:ligatures w14:val="none"/>
        </w:rPr>
        <w:t xml:space="preserve"> develop more effective instructional strategies, such as simplifying language, slowing speech, and regular check</w:t>
      </w:r>
      <w:r w:rsidR="003A790D">
        <w:rPr>
          <w:rFonts w:ascii="Times New Roman" w:eastAsia="Times New Roman" w:hAnsi="Times New Roman" w:cs="Times New Roman"/>
          <w:kern w:val="0"/>
          <w14:ligatures w14:val="none"/>
        </w:rPr>
        <w:t>s</w:t>
      </w:r>
      <w:r w:rsidRPr="001C0045">
        <w:rPr>
          <w:rFonts w:ascii="Times New Roman" w:eastAsia="Times New Roman" w:hAnsi="Times New Roman" w:cs="Times New Roman"/>
          <w:kern w:val="0"/>
          <w14:ligatures w14:val="none"/>
        </w:rPr>
        <w:t xml:space="preserve"> for understanding.</w:t>
      </w:r>
    </w:p>
    <w:p w14:paraId="50D63FFC"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5097FF84" w14:textId="13539ED6" w:rsidR="007418A1" w:rsidRDefault="007418A1" w:rsidP="007418A1">
      <w:pPr>
        <w:spacing w:after="0" w:line="240" w:lineRule="auto"/>
        <w:ind w:firstLine="720"/>
        <w:rPr>
          <w:rFonts w:ascii="Times New Roman" w:eastAsia="Times New Roman" w:hAnsi="Times New Roman" w:cs="Times New Roman"/>
          <w:color w:val="000000"/>
          <w:kern w:val="0"/>
          <w14:ligatures w14:val="none"/>
        </w:rPr>
      </w:pPr>
      <w:r w:rsidRPr="007418A1">
        <w:rPr>
          <w:rFonts w:ascii="Times New Roman" w:eastAsia="Times New Roman" w:hAnsi="Times New Roman" w:cs="Times New Roman"/>
          <w:color w:val="000000"/>
          <w:kern w:val="0"/>
          <w14:ligatures w14:val="none"/>
        </w:rPr>
        <w:t xml:space="preserve">Our research question also focused on long-term engagement with teaching. While most </w:t>
      </w:r>
      <w:r w:rsidR="00794AFC" w:rsidRPr="007418A1">
        <w:rPr>
          <w:rFonts w:ascii="Times New Roman" w:eastAsia="Times New Roman" w:hAnsi="Times New Roman" w:cs="Times New Roman"/>
          <w:color w:val="000000"/>
          <w:kern w:val="0"/>
          <w14:ligatures w14:val="none"/>
        </w:rPr>
        <w:t>participants</w:t>
      </w:r>
      <w:r w:rsidR="00794AFC">
        <w:rPr>
          <w:rFonts w:ascii="Times New Roman" w:eastAsia="Times New Roman" w:hAnsi="Times New Roman" w:cs="Times New Roman"/>
          <w:color w:val="000000"/>
          <w:kern w:val="0"/>
          <w14:ligatures w14:val="none"/>
        </w:rPr>
        <w:t>’</w:t>
      </w:r>
      <w:r w:rsidRPr="007418A1">
        <w:rPr>
          <w:rFonts w:ascii="Times New Roman" w:eastAsia="Times New Roman" w:hAnsi="Times New Roman" w:cs="Times New Roman"/>
          <w:color w:val="000000"/>
          <w:kern w:val="0"/>
          <w14:ligatures w14:val="none"/>
        </w:rPr>
        <w:t xml:space="preserve"> interview responses and the resulting themes did not directly address </w:t>
      </w:r>
      <w:proofErr w:type="gramStart"/>
      <w:r w:rsidRPr="007418A1">
        <w:rPr>
          <w:rFonts w:ascii="Times New Roman" w:eastAsia="Times New Roman" w:hAnsi="Times New Roman" w:cs="Times New Roman"/>
          <w:color w:val="000000"/>
          <w:kern w:val="0"/>
          <w14:ligatures w14:val="none"/>
        </w:rPr>
        <w:t>future plans</w:t>
      </w:r>
      <w:proofErr w:type="gramEnd"/>
      <w:r w:rsidRPr="007418A1">
        <w:rPr>
          <w:rFonts w:ascii="Times New Roman" w:eastAsia="Times New Roman" w:hAnsi="Times New Roman" w:cs="Times New Roman"/>
          <w:color w:val="000000"/>
          <w:kern w:val="0"/>
          <w14:ligatures w14:val="none"/>
        </w:rPr>
        <w:t xml:space="preserve"> related to teaching, several participants described experiencing feelings of confirmation regarding their choice to pursue teaching as a career, and the development of a stronger identity as teachers. Interestingly, some participants who did not immediately pursue careers in teaching upon graduation still considered teaching an important part of their identity, independent of job title. Further research </w:t>
      </w:r>
      <w:r w:rsidR="003A790D">
        <w:rPr>
          <w:rFonts w:ascii="Times New Roman" w:eastAsia="Times New Roman" w:hAnsi="Times New Roman" w:cs="Times New Roman"/>
          <w:color w:val="000000"/>
          <w:kern w:val="0"/>
          <w14:ligatures w14:val="none"/>
        </w:rPr>
        <w:t>is</w:t>
      </w:r>
      <w:r w:rsidRPr="007418A1">
        <w:rPr>
          <w:rFonts w:ascii="Times New Roman" w:eastAsia="Times New Roman" w:hAnsi="Times New Roman" w:cs="Times New Roman"/>
          <w:color w:val="000000"/>
          <w:kern w:val="0"/>
          <w14:ligatures w14:val="none"/>
        </w:rPr>
        <w:t xml:space="preserve"> needed to determine whether these perspective shifts are associated with improved long-term engagement with teaching; however, these results do offer some indication that a relationship between this experience and long-term commitment to teaching may exist.</w:t>
      </w:r>
    </w:p>
    <w:p w14:paraId="3EF9467F" w14:textId="77777777" w:rsidR="004D408F" w:rsidRDefault="004D408F" w:rsidP="007418A1">
      <w:pPr>
        <w:spacing w:after="0" w:line="240" w:lineRule="auto"/>
        <w:ind w:firstLine="720"/>
        <w:rPr>
          <w:rFonts w:ascii="Times New Roman" w:eastAsia="Times New Roman" w:hAnsi="Times New Roman" w:cs="Times New Roman"/>
          <w:color w:val="000000"/>
          <w:kern w:val="0"/>
          <w14:ligatures w14:val="none"/>
        </w:rPr>
      </w:pPr>
    </w:p>
    <w:p w14:paraId="6536FFA1" w14:textId="553B23F2" w:rsidR="004D408F" w:rsidRPr="007418A1" w:rsidRDefault="004D408F" w:rsidP="007418A1">
      <w:pPr>
        <w:spacing w:after="0" w:line="240" w:lineRule="auto"/>
        <w:ind w:firstLine="720"/>
        <w:rPr>
          <w:rFonts w:ascii="Times New Roman" w:eastAsia="Times New Roman" w:hAnsi="Times New Roman" w:cs="Times New Roman"/>
          <w:kern w:val="0"/>
          <w14:ligatures w14:val="none"/>
        </w:rPr>
      </w:pPr>
      <w:r w:rsidRPr="004D408F">
        <w:rPr>
          <w:rFonts w:ascii="Times New Roman" w:eastAsia="Times New Roman" w:hAnsi="Times New Roman" w:cs="Times New Roman"/>
          <w:kern w:val="0"/>
          <w14:ligatures w14:val="none"/>
        </w:rPr>
        <w:t>This study has several limitations that should be considered when interpreting the findings. First, the sample consisted of 10 participants from a single university program, which may limit the transferability of findings to other contexts. Second, participation in both the Italy student teaching program and this study was voluntary, introducing the potential for self-selection bias, as individuals with more positive or impactful experiences may have been more likely to participate. Third, data were collected retrospectively through self-reported interviews, which may be influenced by participants’ memory and perceptions over time. Finally, although multiple data sources were used to support triangulation, only interview data were analyzed thematically, which may limit the depth of insights drawn from secondary sources.</w:t>
      </w:r>
    </w:p>
    <w:p w14:paraId="72325E7D"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26E34FD6" w14:textId="3B23217F" w:rsidR="007418A1" w:rsidRDefault="007418A1" w:rsidP="007418A1">
      <w:pPr>
        <w:spacing w:after="0" w:line="240" w:lineRule="auto"/>
        <w:rPr>
          <w:rFonts w:ascii="Times New Roman" w:eastAsia="Times New Roman" w:hAnsi="Times New Roman" w:cs="Times New Roman"/>
          <w:b/>
          <w:bCs/>
          <w:color w:val="000000"/>
          <w:kern w:val="0"/>
          <w14:ligatures w14:val="none"/>
        </w:rPr>
      </w:pPr>
      <w:r w:rsidRPr="007418A1">
        <w:rPr>
          <w:rFonts w:ascii="Times New Roman" w:eastAsia="Times New Roman" w:hAnsi="Times New Roman" w:cs="Times New Roman"/>
          <w:b/>
          <w:bCs/>
          <w:color w:val="000000"/>
          <w:kern w:val="0"/>
          <w14:ligatures w14:val="none"/>
        </w:rPr>
        <w:lastRenderedPageBreak/>
        <w:t xml:space="preserve">Recommendations </w:t>
      </w:r>
    </w:p>
    <w:p w14:paraId="797A80FB" w14:textId="3CEFF1A6"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 xml:space="preserve">The results of this study suggest that the participants developed professional perspectives and </w:t>
      </w:r>
      <w:r w:rsidR="005A2A2C">
        <w:rPr>
          <w:rFonts w:ascii="Times New Roman" w:eastAsia="Times New Roman" w:hAnsi="Times New Roman" w:cs="Times New Roman"/>
          <w:color w:val="000000"/>
          <w:kern w:val="0"/>
          <w14:ligatures w14:val="none"/>
        </w:rPr>
        <w:t xml:space="preserve">valuable </w:t>
      </w:r>
      <w:r w:rsidRPr="007418A1">
        <w:rPr>
          <w:rFonts w:ascii="Times New Roman" w:eastAsia="Times New Roman" w:hAnsi="Times New Roman" w:cs="Times New Roman"/>
          <w:color w:val="000000"/>
          <w:kern w:val="0"/>
          <w14:ligatures w14:val="none"/>
        </w:rPr>
        <w:t xml:space="preserve">instructional skills related to </w:t>
      </w:r>
      <w:r w:rsidR="005A2A2C">
        <w:rPr>
          <w:rFonts w:ascii="Times New Roman" w:eastAsia="Times New Roman" w:hAnsi="Times New Roman" w:cs="Times New Roman"/>
          <w:color w:val="000000"/>
          <w:kern w:val="0"/>
          <w14:ligatures w14:val="none"/>
        </w:rPr>
        <w:t>CTE</w:t>
      </w:r>
      <w:r w:rsidRPr="007418A1">
        <w:rPr>
          <w:rFonts w:ascii="Times New Roman" w:eastAsia="Times New Roman" w:hAnsi="Times New Roman" w:cs="Times New Roman"/>
          <w:color w:val="000000"/>
          <w:kern w:val="0"/>
          <w14:ligatures w14:val="none"/>
        </w:rPr>
        <w:t xml:space="preserve"> in ways unique to their experience of student teaching outside the U.S. These perspectives and skills may also have an impact on their long-term commitment to teaching. Because of these results, along with other research on similar programs in other disciplines, we recommend that administrators of teacher preparation programs support faculty and stakeholder efforts to provide similar experiences for interested pre-service CTE teachers. This could come in the form of support (e.g., travel, etc.) for teacher preparation faculty mentors to plan, implement, and evaluate international student teaching experiences for pre-service CTE teachers, facilitating need-based financial support, such as scholarships for pre-service teachers who would qualify for the experience but who are financially unable to participate, or other administrative support.</w:t>
      </w:r>
    </w:p>
    <w:p w14:paraId="6BB31EE2"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6C7AB459" w14:textId="77777777"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The findings of this study also suggest additional avenues for future research. First, while the results of this study reflected that these participants developed perspectives and skills that were likely unique to the experience of student teaching in Italy, we did not attempt to quantify these changes or compare them to more traditional student teaching experiences. A quantitative comparison between international and traditional student teaching in CTE with respect to professional identity development, development of instructional skills, and long-term engagement with teaching would provide more generalizable conclusions.</w:t>
      </w:r>
    </w:p>
    <w:p w14:paraId="3A65AEFF"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69F73F6E" w14:textId="45EAA14F"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 xml:space="preserve">Many of the specific shifts in perspective, skills developed, etc., were directly related to the specific cultural context of Italian schools. It seems likely that pre-service CTE teachers </w:t>
      </w:r>
      <w:r w:rsidR="005A2A2C" w:rsidRPr="007418A1">
        <w:rPr>
          <w:rFonts w:ascii="Times New Roman" w:eastAsia="Times New Roman" w:hAnsi="Times New Roman" w:cs="Times New Roman"/>
          <w:color w:val="000000"/>
          <w:kern w:val="0"/>
          <w14:ligatures w14:val="none"/>
        </w:rPr>
        <w:t>who</w:t>
      </w:r>
      <w:r w:rsidRPr="007418A1">
        <w:rPr>
          <w:rFonts w:ascii="Times New Roman" w:eastAsia="Times New Roman" w:hAnsi="Times New Roman" w:cs="Times New Roman"/>
          <w:color w:val="000000"/>
          <w:kern w:val="0"/>
          <w14:ligatures w14:val="none"/>
        </w:rPr>
        <w:t xml:space="preserve"> teach in different cultural contexts would have a different</w:t>
      </w:r>
      <w:r w:rsidR="005A2A2C">
        <w:rPr>
          <w:rFonts w:ascii="Times New Roman" w:eastAsia="Times New Roman" w:hAnsi="Times New Roman" w:cs="Times New Roman"/>
          <w:color w:val="000000"/>
          <w:kern w:val="0"/>
          <w14:ligatures w14:val="none"/>
        </w:rPr>
        <w:t xml:space="preserve">, </w:t>
      </w:r>
      <w:r w:rsidRPr="007418A1">
        <w:rPr>
          <w:rFonts w:ascii="Times New Roman" w:eastAsia="Times New Roman" w:hAnsi="Times New Roman" w:cs="Times New Roman"/>
          <w:color w:val="000000"/>
          <w:kern w:val="0"/>
          <w14:ligatures w14:val="none"/>
        </w:rPr>
        <w:t>if no less impactful</w:t>
      </w:r>
      <w:r w:rsidR="005A2A2C">
        <w:rPr>
          <w:rFonts w:ascii="Times New Roman" w:eastAsia="Times New Roman" w:hAnsi="Times New Roman" w:cs="Times New Roman"/>
          <w:color w:val="000000"/>
          <w:kern w:val="0"/>
          <w14:ligatures w14:val="none"/>
        </w:rPr>
        <w:t>,</w:t>
      </w:r>
      <w:r w:rsidRPr="007418A1">
        <w:rPr>
          <w:rFonts w:ascii="Times New Roman" w:eastAsia="Times New Roman" w:hAnsi="Times New Roman" w:cs="Times New Roman"/>
          <w:color w:val="000000"/>
          <w:kern w:val="0"/>
          <w14:ligatures w14:val="none"/>
        </w:rPr>
        <w:t xml:space="preserve"> experience and concomitant shifts in perspective and skill development to the specific cultural context. Future studies could investigate the similarities and differences among similar teaching experiences in other countries, or other study-abroad experiences targeted toward pre-service CTE teachers.</w:t>
      </w:r>
    </w:p>
    <w:p w14:paraId="4D495426"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112E12F2" w14:textId="74A3AB2C"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 xml:space="preserve">Finally, we recommend further study on the impact of international student teaching experiences on long-term teaching among pre-service CTE teachers. Retention of highly qualified CTE teachers is a critical issue in the field, and experiences that improve pre-service CTE teachers' long-term commitment to teaching are crucial to </w:t>
      </w:r>
      <w:r w:rsidR="003A790D" w:rsidRPr="007418A1">
        <w:rPr>
          <w:rFonts w:ascii="Times New Roman" w:eastAsia="Times New Roman" w:hAnsi="Times New Roman" w:cs="Times New Roman"/>
          <w:color w:val="000000"/>
          <w:kern w:val="0"/>
          <w14:ligatures w14:val="none"/>
        </w:rPr>
        <w:t>easing</w:t>
      </w:r>
      <w:r w:rsidRPr="007418A1">
        <w:rPr>
          <w:rFonts w:ascii="Times New Roman" w:eastAsia="Times New Roman" w:hAnsi="Times New Roman" w:cs="Times New Roman"/>
          <w:color w:val="000000"/>
          <w:kern w:val="0"/>
          <w14:ligatures w14:val="none"/>
        </w:rPr>
        <w:t xml:space="preserve"> this issue. The results of this study suggest that student teaching in Italy provided unique opportunities for participants to develop their identity as a teacher in profound ways, which may impact their long-term engagement with teaching. Future studies examining the potential impact of international experiences on teacher identity and long-term engagement in teaching could </w:t>
      </w:r>
      <w:r w:rsidR="003A790D">
        <w:rPr>
          <w:rFonts w:ascii="Times New Roman" w:eastAsia="Times New Roman" w:hAnsi="Times New Roman" w:cs="Times New Roman"/>
          <w:color w:val="000000"/>
          <w:kern w:val="0"/>
          <w14:ligatures w14:val="none"/>
        </w:rPr>
        <w:t>be</w:t>
      </w:r>
      <w:r w:rsidRPr="007418A1">
        <w:rPr>
          <w:rFonts w:ascii="Times New Roman" w:eastAsia="Times New Roman" w:hAnsi="Times New Roman" w:cs="Times New Roman"/>
          <w:color w:val="000000"/>
          <w:kern w:val="0"/>
          <w14:ligatures w14:val="none"/>
        </w:rPr>
        <w:t xml:space="preserve"> valuable</w:t>
      </w:r>
      <w:r w:rsidR="003A790D">
        <w:rPr>
          <w:rFonts w:ascii="Times New Roman" w:eastAsia="Times New Roman" w:hAnsi="Times New Roman" w:cs="Times New Roman"/>
          <w:color w:val="000000"/>
          <w:kern w:val="0"/>
          <w14:ligatures w14:val="none"/>
        </w:rPr>
        <w:t>.</w:t>
      </w:r>
    </w:p>
    <w:p w14:paraId="2F9978ED" w14:textId="77777777" w:rsidR="007418A1" w:rsidRPr="007418A1" w:rsidRDefault="007418A1" w:rsidP="007418A1">
      <w:pPr>
        <w:spacing w:after="0" w:line="240" w:lineRule="auto"/>
        <w:rPr>
          <w:rFonts w:ascii="Times New Roman" w:eastAsia="Times New Roman" w:hAnsi="Times New Roman" w:cs="Times New Roman"/>
          <w:kern w:val="0"/>
          <w14:ligatures w14:val="none"/>
        </w:rPr>
      </w:pPr>
    </w:p>
    <w:p w14:paraId="11FF7BA5" w14:textId="42276DC9" w:rsidR="007418A1" w:rsidRPr="007418A1" w:rsidRDefault="007418A1" w:rsidP="007418A1">
      <w:pPr>
        <w:spacing w:after="0" w:line="240" w:lineRule="auto"/>
        <w:ind w:firstLine="720"/>
        <w:rPr>
          <w:rFonts w:ascii="Times New Roman" w:eastAsia="Times New Roman" w:hAnsi="Times New Roman" w:cs="Times New Roman"/>
          <w:kern w:val="0"/>
          <w14:ligatures w14:val="none"/>
        </w:rPr>
      </w:pPr>
      <w:r w:rsidRPr="007418A1">
        <w:rPr>
          <w:rFonts w:ascii="Times New Roman" w:eastAsia="Times New Roman" w:hAnsi="Times New Roman" w:cs="Times New Roman"/>
          <w:color w:val="000000"/>
          <w:kern w:val="0"/>
          <w14:ligatures w14:val="none"/>
        </w:rPr>
        <w:t xml:space="preserve">The purpose of this study was to examine the impact of a global teaching experience on pre-service CTE teachers. Participants who took part in the Italian student teaching program in this study </w:t>
      </w:r>
      <w:r w:rsidR="00794AFC">
        <w:rPr>
          <w:rFonts w:ascii="Times New Roman" w:eastAsia="Times New Roman" w:hAnsi="Times New Roman" w:cs="Times New Roman"/>
          <w:color w:val="000000"/>
          <w:kern w:val="0"/>
          <w14:ligatures w14:val="none"/>
        </w:rPr>
        <w:t xml:space="preserve">seemed to </w:t>
      </w:r>
      <w:r w:rsidRPr="007418A1">
        <w:rPr>
          <w:rFonts w:ascii="Times New Roman" w:eastAsia="Times New Roman" w:hAnsi="Times New Roman" w:cs="Times New Roman"/>
          <w:color w:val="000000"/>
          <w:kern w:val="0"/>
          <w14:ligatures w14:val="none"/>
        </w:rPr>
        <w:t xml:space="preserve">experience </w:t>
      </w:r>
      <w:r w:rsidR="00794AFC">
        <w:rPr>
          <w:rFonts w:ascii="Times New Roman" w:eastAsia="Times New Roman" w:hAnsi="Times New Roman" w:cs="Times New Roman"/>
          <w:color w:val="000000"/>
          <w:kern w:val="0"/>
          <w14:ligatures w14:val="none"/>
        </w:rPr>
        <w:t>the</w:t>
      </w:r>
      <w:r w:rsidRPr="007418A1">
        <w:rPr>
          <w:rFonts w:ascii="Times New Roman" w:eastAsia="Times New Roman" w:hAnsi="Times New Roman" w:cs="Times New Roman"/>
          <w:color w:val="000000"/>
          <w:kern w:val="0"/>
          <w14:ligatures w14:val="none"/>
        </w:rPr>
        <w:t xml:space="preserve"> phenomenon </w:t>
      </w:r>
      <w:r w:rsidR="00794AFC">
        <w:rPr>
          <w:rFonts w:ascii="Times New Roman" w:eastAsia="Times New Roman" w:hAnsi="Times New Roman" w:cs="Times New Roman"/>
          <w:color w:val="000000"/>
          <w:kern w:val="0"/>
          <w14:ligatures w14:val="none"/>
        </w:rPr>
        <w:t>posited by Transformative Learning Theory where</w:t>
      </w:r>
      <w:r w:rsidRPr="007418A1">
        <w:rPr>
          <w:rFonts w:ascii="Times New Roman" w:eastAsia="Times New Roman" w:hAnsi="Times New Roman" w:cs="Times New Roman"/>
          <w:color w:val="000000"/>
          <w:kern w:val="0"/>
          <w14:ligatures w14:val="none"/>
        </w:rPr>
        <w:t xml:space="preserve"> their perspectives, assumptions, and beliefs about teaching</w:t>
      </w:r>
      <w:r w:rsidR="00794AFC">
        <w:rPr>
          <w:rFonts w:ascii="Times New Roman" w:eastAsia="Times New Roman" w:hAnsi="Times New Roman" w:cs="Times New Roman"/>
          <w:color w:val="000000"/>
          <w:kern w:val="0"/>
          <w14:ligatures w14:val="none"/>
        </w:rPr>
        <w:t xml:space="preserve"> were challenged and transformed into meaningful learning as a result </w:t>
      </w:r>
      <w:r w:rsidR="00794AFC" w:rsidRPr="007418A1">
        <w:rPr>
          <w:rFonts w:ascii="Times New Roman" w:eastAsia="Times New Roman" w:hAnsi="Times New Roman" w:cs="Times New Roman"/>
          <w:color w:val="000000"/>
          <w:kern w:val="0"/>
          <w14:ligatures w14:val="none"/>
        </w:rPr>
        <w:t>(Degreenia, et al., 2023)</w:t>
      </w:r>
      <w:r w:rsidRPr="007418A1">
        <w:rPr>
          <w:rFonts w:ascii="Times New Roman" w:eastAsia="Times New Roman" w:hAnsi="Times New Roman" w:cs="Times New Roman"/>
          <w:color w:val="000000"/>
          <w:kern w:val="0"/>
          <w14:ligatures w14:val="none"/>
        </w:rPr>
        <w:t xml:space="preserve">. Through the analysis of participants’ </w:t>
      </w:r>
      <w:r w:rsidR="00794AFC" w:rsidRPr="007418A1">
        <w:rPr>
          <w:rFonts w:ascii="Times New Roman" w:eastAsia="Times New Roman" w:hAnsi="Times New Roman" w:cs="Times New Roman"/>
          <w:color w:val="000000"/>
          <w:kern w:val="0"/>
          <w14:ligatures w14:val="none"/>
        </w:rPr>
        <w:t>responses,</w:t>
      </w:r>
      <w:r w:rsidRPr="007418A1">
        <w:rPr>
          <w:rFonts w:ascii="Times New Roman" w:eastAsia="Times New Roman" w:hAnsi="Times New Roman" w:cs="Times New Roman"/>
          <w:color w:val="000000"/>
          <w:kern w:val="0"/>
          <w14:ligatures w14:val="none"/>
        </w:rPr>
        <w:t xml:space="preserve"> we uncovered six themes that arose from these pre-service CTE teachers’ experiences teaching in Italian schools</w:t>
      </w:r>
      <w:r w:rsidR="00794AFC">
        <w:rPr>
          <w:rFonts w:ascii="Times New Roman" w:eastAsia="Times New Roman" w:hAnsi="Times New Roman" w:cs="Times New Roman"/>
          <w:color w:val="000000"/>
          <w:kern w:val="0"/>
          <w14:ligatures w14:val="none"/>
        </w:rPr>
        <w:t>.</w:t>
      </w:r>
      <w:r w:rsidRPr="007418A1">
        <w:rPr>
          <w:rFonts w:ascii="Times New Roman" w:eastAsia="Times New Roman" w:hAnsi="Times New Roman" w:cs="Times New Roman"/>
          <w:color w:val="000000"/>
          <w:kern w:val="0"/>
          <w14:ligatures w14:val="none"/>
        </w:rPr>
        <w:t xml:space="preserve"> Through these themes, the experience of student teaching in Italian schools contributed to these participants’ development of </w:t>
      </w:r>
      <w:r w:rsidR="006234B3">
        <w:rPr>
          <w:rFonts w:ascii="Times New Roman" w:eastAsia="Times New Roman" w:hAnsi="Times New Roman" w:cs="Times New Roman"/>
          <w:color w:val="000000"/>
          <w:kern w:val="0"/>
          <w14:ligatures w14:val="none"/>
        </w:rPr>
        <w:t xml:space="preserve">a </w:t>
      </w:r>
      <w:r w:rsidRPr="007418A1">
        <w:rPr>
          <w:rFonts w:ascii="Times New Roman" w:eastAsia="Times New Roman" w:hAnsi="Times New Roman" w:cs="Times New Roman"/>
          <w:color w:val="000000"/>
          <w:kern w:val="0"/>
          <w14:ligatures w14:val="none"/>
        </w:rPr>
        <w:t xml:space="preserve">stronger </w:t>
      </w:r>
      <w:r w:rsidRPr="007418A1">
        <w:rPr>
          <w:rFonts w:ascii="Times New Roman" w:eastAsia="Times New Roman" w:hAnsi="Times New Roman" w:cs="Times New Roman"/>
          <w:color w:val="000000"/>
          <w:kern w:val="0"/>
          <w14:ligatures w14:val="none"/>
        </w:rPr>
        <w:lastRenderedPageBreak/>
        <w:t>identity as teachers, improvement of teaching skills, and indicated a potential for impact on long-term engagement with teaching.</w:t>
      </w:r>
    </w:p>
    <w:p w14:paraId="704AC04A" w14:textId="77777777" w:rsidR="00517CEE" w:rsidRDefault="00517CEE" w:rsidP="006234B3">
      <w:pPr>
        <w:spacing w:after="0" w:line="240" w:lineRule="auto"/>
        <w:jc w:val="center"/>
        <w:rPr>
          <w:rFonts w:ascii="Times New Roman" w:eastAsia="Times New Roman" w:hAnsi="Times New Roman" w:cs="Times New Roman"/>
          <w:b/>
          <w:bCs/>
          <w:kern w:val="0"/>
          <w14:ligatures w14:val="none"/>
        </w:rPr>
      </w:pPr>
    </w:p>
    <w:p w14:paraId="580B9CB2" w14:textId="19FB8522" w:rsidR="00224A5A" w:rsidRPr="006234B3" w:rsidRDefault="006234B3" w:rsidP="00287F7C">
      <w:pPr>
        <w:spacing w:after="0"/>
        <w:jc w:val="center"/>
        <w:rPr>
          <w:rFonts w:ascii="Times New Roman" w:eastAsia="Times New Roman" w:hAnsi="Times New Roman" w:cs="Times New Roman"/>
          <w:b/>
          <w:bCs/>
          <w:kern w:val="0"/>
          <w14:ligatures w14:val="none"/>
        </w:rPr>
      </w:pPr>
      <w:r w:rsidRPr="006234B3">
        <w:rPr>
          <w:rFonts w:ascii="Times New Roman" w:eastAsia="Times New Roman" w:hAnsi="Times New Roman" w:cs="Times New Roman"/>
          <w:b/>
          <w:bCs/>
          <w:kern w:val="0"/>
          <w14:ligatures w14:val="none"/>
        </w:rPr>
        <w:t>References</w:t>
      </w:r>
    </w:p>
    <w:p w14:paraId="7988F5FA" w14:textId="77777777" w:rsidR="007418A1" w:rsidRDefault="007418A1" w:rsidP="00FA16AD">
      <w:pPr>
        <w:pStyle w:val="NormalWeb"/>
        <w:spacing w:before="0" w:beforeAutospacing="0" w:after="0" w:afterAutospacing="0"/>
        <w:ind w:left="720" w:hanging="720"/>
      </w:pPr>
      <w:r>
        <w:rPr>
          <w:color w:val="000000"/>
        </w:rPr>
        <w:t xml:space="preserve">Auerbach, C., &amp; Silverstein, L. B. (2003). </w:t>
      </w:r>
      <w:r>
        <w:rPr>
          <w:i/>
          <w:iCs/>
          <w:color w:val="000000"/>
        </w:rPr>
        <w:t>Qualitative data: An introduction to coding and analysis</w:t>
      </w:r>
      <w:r>
        <w:rPr>
          <w:color w:val="000000"/>
        </w:rPr>
        <w:t>. NYU press.</w:t>
      </w:r>
    </w:p>
    <w:p w14:paraId="2CB16292" w14:textId="61246950" w:rsidR="00FA16AD" w:rsidRPr="00540C95" w:rsidRDefault="007418A1" w:rsidP="00540C95">
      <w:pPr>
        <w:pStyle w:val="NormalWeb"/>
        <w:spacing w:before="0" w:beforeAutospacing="0" w:after="0" w:afterAutospacing="0"/>
        <w:ind w:left="720" w:hanging="720"/>
      </w:pPr>
      <w:r>
        <w:rPr>
          <w:color w:val="000000"/>
        </w:rPr>
        <w:t> </w:t>
      </w:r>
    </w:p>
    <w:p w14:paraId="1A76AF51" w14:textId="666CC32C" w:rsidR="007418A1" w:rsidRDefault="007418A1" w:rsidP="00FA16AD">
      <w:pPr>
        <w:pStyle w:val="NormalWeb"/>
        <w:spacing w:before="0" w:beforeAutospacing="0" w:after="0" w:afterAutospacing="0"/>
        <w:ind w:left="720" w:hanging="720"/>
        <w:rPr>
          <w:color w:val="000000"/>
        </w:rPr>
      </w:pPr>
      <w:r>
        <w:rPr>
          <w:color w:val="000000"/>
        </w:rPr>
        <w:t xml:space="preserve">Creswell, J. W., &amp; Poth, C. N. (2017). </w:t>
      </w:r>
      <w:r>
        <w:rPr>
          <w:i/>
          <w:iCs/>
          <w:color w:val="000000"/>
        </w:rPr>
        <w:t xml:space="preserve">Qualitative inquiry and research design: Choosing among five approaches. </w:t>
      </w:r>
      <w:r>
        <w:rPr>
          <w:color w:val="000000"/>
        </w:rPr>
        <w:t>Sage publications. </w:t>
      </w:r>
    </w:p>
    <w:p w14:paraId="0A194469" w14:textId="77777777" w:rsidR="00FA16AD" w:rsidRDefault="00FA16AD" w:rsidP="00FA16AD">
      <w:pPr>
        <w:pStyle w:val="NormalWeb"/>
        <w:spacing w:before="0" w:beforeAutospacing="0" w:after="0" w:afterAutospacing="0"/>
        <w:ind w:left="720" w:hanging="720"/>
      </w:pPr>
    </w:p>
    <w:p w14:paraId="1CFC3654" w14:textId="3D42A7A9" w:rsidR="007418A1" w:rsidRDefault="007418A1" w:rsidP="00FA16AD">
      <w:pPr>
        <w:pStyle w:val="NormalWeb"/>
        <w:spacing w:before="0" w:beforeAutospacing="0" w:after="0" w:afterAutospacing="0"/>
        <w:ind w:left="720" w:hanging="720"/>
        <w:rPr>
          <w:color w:val="000000"/>
        </w:rPr>
      </w:pPr>
      <w:r>
        <w:rPr>
          <w:color w:val="000000"/>
        </w:rPr>
        <w:t xml:space="preserve">Degreenia, A., Morgan, J., &amp; Henderickson, M. (2023). Influencing the next agriculturalists: Impacts of study abroad experiences in agricultural education classrooms. </w:t>
      </w:r>
      <w:r>
        <w:rPr>
          <w:i/>
          <w:iCs/>
          <w:color w:val="000000"/>
        </w:rPr>
        <w:t>Career and Technical Education Research, 48</w:t>
      </w:r>
      <w:r>
        <w:rPr>
          <w:color w:val="000000"/>
        </w:rPr>
        <w:t>(2), 39</w:t>
      </w:r>
      <w:r w:rsidR="00952B9F">
        <w:t>–</w:t>
      </w:r>
      <w:r>
        <w:rPr>
          <w:color w:val="000000"/>
        </w:rPr>
        <w:t>59.</w:t>
      </w:r>
      <w:r w:rsidR="00D25814">
        <w:rPr>
          <w:color w:val="000000"/>
        </w:rPr>
        <w:t xml:space="preserve"> </w:t>
      </w:r>
      <w:r w:rsidR="00D25814" w:rsidRPr="00D25814">
        <w:rPr>
          <w:color w:val="000000"/>
        </w:rPr>
        <w:t>https://doi.org/10.5328/cter48.2.39</w:t>
      </w:r>
    </w:p>
    <w:p w14:paraId="328636C9" w14:textId="77777777" w:rsidR="00FA16AD" w:rsidRDefault="00FA16AD" w:rsidP="00FA16AD">
      <w:pPr>
        <w:pStyle w:val="NormalWeb"/>
        <w:spacing w:before="0" w:beforeAutospacing="0" w:after="0" w:afterAutospacing="0"/>
        <w:ind w:left="720" w:hanging="720"/>
      </w:pPr>
    </w:p>
    <w:p w14:paraId="6A3E860E" w14:textId="77777777" w:rsidR="00FA16AD" w:rsidRDefault="007418A1" w:rsidP="00FA16AD">
      <w:pPr>
        <w:pStyle w:val="NormalWeb"/>
        <w:spacing w:before="0" w:beforeAutospacing="0" w:after="0" w:afterAutospacing="0"/>
        <w:ind w:left="720" w:hanging="720"/>
      </w:pPr>
      <w:r>
        <w:rPr>
          <w:color w:val="000000"/>
        </w:rPr>
        <w:t xml:space="preserve">Denzin, N. K., &amp; Lincoln, Y. S. (2011). </w:t>
      </w:r>
      <w:r>
        <w:rPr>
          <w:i/>
          <w:iCs/>
          <w:color w:val="000000"/>
        </w:rPr>
        <w:t>The SAGE handbook of qualitative research.</w:t>
      </w:r>
      <w:r>
        <w:rPr>
          <w:color w:val="000000"/>
        </w:rPr>
        <w:t xml:space="preserve"> Sage Publications, Inc.</w:t>
      </w:r>
    </w:p>
    <w:p w14:paraId="3AD678FD" w14:textId="77777777" w:rsidR="00FA16AD" w:rsidRDefault="00FA16AD" w:rsidP="00FA16AD">
      <w:pPr>
        <w:pStyle w:val="NormalWeb"/>
        <w:spacing w:before="0" w:beforeAutospacing="0" w:after="0" w:afterAutospacing="0"/>
        <w:ind w:left="720" w:hanging="720"/>
      </w:pPr>
    </w:p>
    <w:p w14:paraId="4CFB729D" w14:textId="41B17DC4" w:rsidR="00FA16AD" w:rsidRDefault="007418A1" w:rsidP="00FA16AD">
      <w:pPr>
        <w:pStyle w:val="NormalWeb"/>
        <w:spacing w:before="0" w:beforeAutospacing="0" w:after="0" w:afterAutospacing="0"/>
        <w:ind w:left="720" w:hanging="720"/>
      </w:pPr>
      <w:r>
        <w:rPr>
          <w:color w:val="000000"/>
        </w:rPr>
        <w:t xml:space="preserve">Dressler, R., White Prosser, C., Liu, J., Jardine, L., Neutzling, N., Ma, Y., van Beers, R. A., Liu, N., Pira, R., &amp; McCurdy, K. (2021). </w:t>
      </w:r>
      <w:r>
        <w:rPr>
          <w:i/>
          <w:iCs/>
          <w:color w:val="000000"/>
        </w:rPr>
        <w:t>Benefits of international teacher and student exchanges for participant outcomes, school communities and K–12 education systems: A review of the literature</w:t>
      </w:r>
      <w:r>
        <w:rPr>
          <w:color w:val="000000"/>
        </w:rPr>
        <w:t xml:space="preserve">. Alberta Teachers’ Association. </w:t>
      </w:r>
      <w:r w:rsidR="00FA16AD" w:rsidRPr="00794AFC">
        <w:t>https://teachers.ab.ca/sites/default/files/2024-09/coor-101-35_benefits_of_international_teacher_and_student_exchanges.pdf</w:t>
      </w:r>
    </w:p>
    <w:p w14:paraId="66EC71E0" w14:textId="77777777" w:rsidR="00FA16AD" w:rsidRDefault="00FA16AD" w:rsidP="00FA16AD">
      <w:pPr>
        <w:pStyle w:val="NormalWeb"/>
        <w:spacing w:before="0" w:beforeAutospacing="0" w:after="0" w:afterAutospacing="0"/>
        <w:ind w:left="720" w:hanging="720"/>
        <w:rPr>
          <w:color w:val="000000"/>
        </w:rPr>
      </w:pPr>
    </w:p>
    <w:p w14:paraId="152301B7" w14:textId="6A129BB6" w:rsidR="00FA16AD" w:rsidRDefault="007418A1" w:rsidP="00FA16AD">
      <w:pPr>
        <w:pStyle w:val="NormalWeb"/>
        <w:spacing w:before="0" w:beforeAutospacing="0" w:after="0" w:afterAutospacing="0"/>
        <w:ind w:left="720" w:hanging="720"/>
      </w:pPr>
      <w:r>
        <w:rPr>
          <w:color w:val="000000"/>
        </w:rPr>
        <w:t xml:space="preserve">Fosnot, C. T. (2013). </w:t>
      </w:r>
      <w:r>
        <w:rPr>
          <w:i/>
          <w:iCs/>
          <w:color w:val="000000"/>
        </w:rPr>
        <w:t>Constructivism: Theory, perspectives, and practice</w:t>
      </w:r>
      <w:r>
        <w:rPr>
          <w:color w:val="000000"/>
        </w:rPr>
        <w:t>. Teachers College Press.</w:t>
      </w:r>
    </w:p>
    <w:p w14:paraId="1F1E5794" w14:textId="77777777" w:rsidR="00FA16AD" w:rsidRDefault="00FA16AD" w:rsidP="00FA16AD">
      <w:pPr>
        <w:pStyle w:val="NormalWeb"/>
        <w:spacing w:before="0" w:beforeAutospacing="0" w:after="0" w:afterAutospacing="0"/>
        <w:ind w:left="720" w:hanging="720"/>
      </w:pPr>
    </w:p>
    <w:p w14:paraId="6A8162F7" w14:textId="762C0D48" w:rsidR="00FA16AD" w:rsidRDefault="007418A1" w:rsidP="00FA16AD">
      <w:pPr>
        <w:pStyle w:val="NormalWeb"/>
        <w:spacing w:before="0" w:beforeAutospacing="0" w:after="0" w:afterAutospacing="0"/>
        <w:ind w:left="720" w:hanging="720"/>
      </w:pPr>
      <w:r>
        <w:rPr>
          <w:color w:val="000000"/>
          <w:shd w:val="clear" w:color="auto" w:fill="FFFFFF"/>
        </w:rPr>
        <w:t>Freed, A., Benavides, A., &amp; Huffling, L. D. (2021). Transformative study abroad and the development of preservice teachers' culturally competent pedagogy as action toward a re-imagined future.</w:t>
      </w:r>
      <w:r>
        <w:rPr>
          <w:i/>
          <w:iCs/>
          <w:color w:val="000000"/>
          <w:shd w:val="clear" w:color="auto" w:fill="FFFFFF"/>
        </w:rPr>
        <w:t xml:space="preserve"> Journal of Higher Education Theory and Practice, 21</w:t>
      </w:r>
      <w:r>
        <w:rPr>
          <w:color w:val="000000"/>
          <w:shd w:val="clear" w:color="auto" w:fill="FFFFFF"/>
        </w:rPr>
        <w:t>(11), 20</w:t>
      </w:r>
      <w:r w:rsidR="00952B9F">
        <w:rPr>
          <w:color w:val="000000"/>
          <w:shd w:val="clear" w:color="auto" w:fill="FFFFFF"/>
        </w:rPr>
        <w:t>3</w:t>
      </w:r>
      <w:r w:rsidR="00952B9F">
        <w:t>–</w:t>
      </w:r>
      <w:r>
        <w:rPr>
          <w:color w:val="000000"/>
          <w:shd w:val="clear" w:color="auto" w:fill="FFFFFF"/>
        </w:rPr>
        <w:t xml:space="preserve">219. </w:t>
      </w:r>
    </w:p>
    <w:p w14:paraId="150AC06D" w14:textId="77777777" w:rsidR="00FA16AD" w:rsidRDefault="00FA16AD" w:rsidP="00540C95">
      <w:pPr>
        <w:pStyle w:val="NormalWeb"/>
        <w:spacing w:before="0" w:beforeAutospacing="0" w:after="0" w:afterAutospacing="0"/>
      </w:pPr>
    </w:p>
    <w:p w14:paraId="75BE17D7" w14:textId="2B7E36DD" w:rsidR="00FA16AD" w:rsidRDefault="007418A1" w:rsidP="00FA16AD">
      <w:pPr>
        <w:pStyle w:val="NormalWeb"/>
        <w:spacing w:before="0" w:beforeAutospacing="0" w:after="0" w:afterAutospacing="0"/>
        <w:ind w:left="720" w:hanging="720"/>
      </w:pPr>
      <w:r>
        <w:rPr>
          <w:color w:val="000000"/>
        </w:rPr>
        <w:t xml:space="preserve">Guba, E. G., &amp; Lincoln, Y. S. (2005). Paradigmatic controversies, contradictions, and emerging confluences. In N. K. Denzin &amp; Y. S. Lincoln (Eds.), </w:t>
      </w:r>
      <w:r>
        <w:rPr>
          <w:i/>
          <w:iCs/>
          <w:color w:val="000000"/>
        </w:rPr>
        <w:t xml:space="preserve">The </w:t>
      </w:r>
      <w:r w:rsidR="00952B9F">
        <w:rPr>
          <w:i/>
          <w:iCs/>
          <w:color w:val="000000"/>
        </w:rPr>
        <w:t>SAGE</w:t>
      </w:r>
      <w:r>
        <w:rPr>
          <w:i/>
          <w:iCs/>
          <w:color w:val="000000"/>
        </w:rPr>
        <w:t xml:space="preserve"> handbook of qualitative research </w:t>
      </w:r>
      <w:r>
        <w:rPr>
          <w:color w:val="000000"/>
        </w:rPr>
        <w:t>(3rd ed., pp. 19</w:t>
      </w:r>
      <w:r w:rsidR="00952B9F">
        <w:rPr>
          <w:color w:val="000000"/>
        </w:rPr>
        <w:t>1</w:t>
      </w:r>
      <w:r w:rsidR="00952B9F">
        <w:t>–</w:t>
      </w:r>
      <w:r>
        <w:rPr>
          <w:color w:val="000000"/>
        </w:rPr>
        <w:t xml:space="preserve">215). </w:t>
      </w:r>
      <w:r w:rsidR="00952B9F">
        <w:rPr>
          <w:color w:val="000000"/>
        </w:rPr>
        <w:t xml:space="preserve">SAGE Publications. </w:t>
      </w:r>
    </w:p>
    <w:p w14:paraId="59DB99C1" w14:textId="77777777" w:rsidR="00FA16AD" w:rsidRDefault="00FA16AD" w:rsidP="00540C95">
      <w:pPr>
        <w:pStyle w:val="NormalWeb"/>
        <w:spacing w:before="0" w:beforeAutospacing="0" w:after="0" w:afterAutospacing="0"/>
      </w:pPr>
    </w:p>
    <w:p w14:paraId="2E9C7667" w14:textId="62D99621" w:rsidR="00FA16AD" w:rsidRDefault="007418A1" w:rsidP="00FA16AD">
      <w:pPr>
        <w:pStyle w:val="NormalWeb"/>
        <w:spacing w:before="0" w:beforeAutospacing="0" w:after="0" w:afterAutospacing="0"/>
        <w:ind w:left="720" w:hanging="720"/>
      </w:pPr>
      <w:r>
        <w:rPr>
          <w:color w:val="000000"/>
        </w:rPr>
        <w:t xml:space="preserve">Harrison, J., MacGibbon, L., &amp; Morton, M. (2001). Regimes of trustworthiness in qualitative research: The rigors of reciprocity. </w:t>
      </w:r>
      <w:r>
        <w:rPr>
          <w:i/>
          <w:iCs/>
          <w:color w:val="000000"/>
        </w:rPr>
        <w:t>Qualitative Inquiry</w:t>
      </w:r>
      <w:r>
        <w:rPr>
          <w:color w:val="000000"/>
        </w:rPr>
        <w:t xml:space="preserve">, </w:t>
      </w:r>
      <w:r>
        <w:rPr>
          <w:i/>
          <w:iCs/>
          <w:color w:val="000000"/>
        </w:rPr>
        <w:t>7</w:t>
      </w:r>
      <w:r>
        <w:rPr>
          <w:color w:val="000000"/>
        </w:rPr>
        <w:t>(3), 323</w:t>
      </w:r>
      <w:r w:rsidR="00952B9F">
        <w:t>–</w:t>
      </w:r>
      <w:r>
        <w:rPr>
          <w:color w:val="000000"/>
        </w:rPr>
        <w:t xml:space="preserve">345. </w:t>
      </w:r>
      <w:r w:rsidR="00FA16AD" w:rsidRPr="00794AFC">
        <w:t>https://doi.org/10.1177/107780040100700305</w:t>
      </w:r>
    </w:p>
    <w:p w14:paraId="1ADC046A" w14:textId="77777777" w:rsidR="00FA16AD" w:rsidRDefault="00FA16AD" w:rsidP="00FA16AD">
      <w:pPr>
        <w:pStyle w:val="NormalWeb"/>
        <w:spacing w:before="0" w:beforeAutospacing="0" w:after="0" w:afterAutospacing="0"/>
        <w:ind w:left="720" w:hanging="720"/>
      </w:pPr>
    </w:p>
    <w:p w14:paraId="5BA778FD" w14:textId="77777777" w:rsidR="00FA16AD" w:rsidRDefault="007418A1" w:rsidP="00FA16AD">
      <w:pPr>
        <w:pStyle w:val="NormalWeb"/>
        <w:spacing w:before="0" w:beforeAutospacing="0" w:after="0" w:afterAutospacing="0"/>
        <w:ind w:left="720" w:hanging="720"/>
      </w:pPr>
      <w:r>
        <w:rPr>
          <w:color w:val="000000"/>
        </w:rPr>
        <w:t xml:space="preserve">Hendrickson, M. L. (2015). </w:t>
      </w:r>
      <w:r>
        <w:rPr>
          <w:i/>
          <w:iCs/>
          <w:color w:val="000000"/>
        </w:rPr>
        <w:t xml:space="preserve">Global Mindedness and Perceptions of Study Abroad Among Agriculture Students Pursuing </w:t>
      </w:r>
      <w:proofErr w:type="gramStart"/>
      <w:r>
        <w:rPr>
          <w:i/>
          <w:iCs/>
          <w:color w:val="000000"/>
        </w:rPr>
        <w:t>Associate's and Bachelor's</w:t>
      </w:r>
      <w:proofErr w:type="gramEnd"/>
      <w:r>
        <w:rPr>
          <w:i/>
          <w:iCs/>
          <w:color w:val="000000"/>
        </w:rPr>
        <w:t xml:space="preserve"> Degrees at North Carolina State University</w:t>
      </w:r>
      <w:r>
        <w:rPr>
          <w:color w:val="000000"/>
        </w:rPr>
        <w:t xml:space="preserve"> (Publication No. 3710619) [Doctoral Dissertation, North Carolina State University]. ProQuest.</w:t>
      </w:r>
    </w:p>
    <w:p w14:paraId="2BD1D62F" w14:textId="77777777" w:rsidR="00FA16AD" w:rsidRDefault="00FA16AD" w:rsidP="00FA16AD">
      <w:pPr>
        <w:pStyle w:val="NormalWeb"/>
        <w:spacing w:before="0" w:beforeAutospacing="0" w:after="0" w:afterAutospacing="0"/>
        <w:ind w:left="720" w:hanging="720"/>
      </w:pPr>
    </w:p>
    <w:p w14:paraId="280C4316" w14:textId="57EA646F" w:rsidR="00FA16AD" w:rsidRDefault="007418A1" w:rsidP="00FA16AD">
      <w:pPr>
        <w:pStyle w:val="NormalWeb"/>
        <w:spacing w:before="0" w:beforeAutospacing="0" w:after="0" w:afterAutospacing="0"/>
        <w:ind w:left="720" w:hanging="720"/>
      </w:pPr>
      <w:r>
        <w:rPr>
          <w:color w:val="000000"/>
        </w:rPr>
        <w:lastRenderedPageBreak/>
        <w:t xml:space="preserve">Hong, J., Greene, B., &amp; Lowery, J. (2017). Multiple dimensions of teacher identity development from pre-service to early years of teaching: A longitudinal study. </w:t>
      </w:r>
      <w:r>
        <w:rPr>
          <w:i/>
          <w:iCs/>
          <w:color w:val="000000"/>
        </w:rPr>
        <w:t>Journal of Education for Teaching, 43</w:t>
      </w:r>
      <w:r>
        <w:rPr>
          <w:color w:val="000000"/>
        </w:rPr>
        <w:t>(1), 84–98.</w:t>
      </w:r>
      <w:r w:rsidRPr="00794AFC">
        <w:t xml:space="preserve"> https://doi.org/10.1080/02607476.2017.1251111</w:t>
      </w:r>
    </w:p>
    <w:p w14:paraId="4F4D2872" w14:textId="77777777" w:rsidR="00FA16AD" w:rsidRDefault="00FA16AD" w:rsidP="00540C95">
      <w:pPr>
        <w:pStyle w:val="NormalWeb"/>
        <w:spacing w:before="0" w:beforeAutospacing="0" w:after="0" w:afterAutospacing="0"/>
      </w:pPr>
    </w:p>
    <w:p w14:paraId="486B63C8" w14:textId="7B40C0A1" w:rsidR="00FA16AD" w:rsidRDefault="007418A1" w:rsidP="00FA16AD">
      <w:pPr>
        <w:pStyle w:val="NormalWeb"/>
        <w:spacing w:before="0" w:beforeAutospacing="0" w:after="0" w:afterAutospacing="0"/>
        <w:ind w:left="720" w:hanging="720"/>
      </w:pPr>
      <w:r>
        <w:rPr>
          <w:color w:val="000000"/>
        </w:rPr>
        <w:t>Joseph, D., &amp; Heading, M. (2010). Putting theory into practice: Moving from student identity to teacher identity.</w:t>
      </w:r>
      <w:r>
        <w:rPr>
          <w:i/>
          <w:iCs/>
          <w:color w:val="000000"/>
        </w:rPr>
        <w:t xml:space="preserve"> Australian Journal of Teacher Education, 35</w:t>
      </w:r>
      <w:r>
        <w:rPr>
          <w:color w:val="000000"/>
        </w:rPr>
        <w:t>(3), 75</w:t>
      </w:r>
      <w:r w:rsidR="00952B9F">
        <w:rPr>
          <w:color w:val="000000"/>
        </w:rPr>
        <w:t>–</w:t>
      </w:r>
      <w:r>
        <w:rPr>
          <w:color w:val="000000"/>
        </w:rPr>
        <w:t>87.</w:t>
      </w:r>
      <w:r w:rsidRPr="00794AFC">
        <w:t xml:space="preserve"> https://files.eric.ed.gov/fulltext/EJ908206.pdf</w:t>
      </w:r>
    </w:p>
    <w:p w14:paraId="6BE46ACF" w14:textId="77777777" w:rsidR="00FA16AD" w:rsidRDefault="00FA16AD" w:rsidP="00540C95">
      <w:pPr>
        <w:pStyle w:val="NormalWeb"/>
        <w:spacing w:before="0" w:beforeAutospacing="0" w:after="0" w:afterAutospacing="0"/>
      </w:pPr>
    </w:p>
    <w:p w14:paraId="12AE35B4" w14:textId="11125171" w:rsidR="00FA16AD" w:rsidRDefault="007418A1" w:rsidP="00FA16AD">
      <w:pPr>
        <w:pStyle w:val="NormalWeb"/>
        <w:spacing w:before="0" w:beforeAutospacing="0" w:after="0" w:afterAutospacing="0"/>
        <w:ind w:left="720" w:hanging="720"/>
      </w:pPr>
      <w:r>
        <w:rPr>
          <w:color w:val="000000"/>
        </w:rPr>
        <w:t xml:space="preserve">Lane, K. E., &amp; Murphrey, T. P. (2020). Benefits of and best practices for international experiences for college students: A synthesis of the literature. </w:t>
      </w:r>
      <w:r>
        <w:rPr>
          <w:i/>
          <w:iCs/>
          <w:color w:val="000000"/>
        </w:rPr>
        <w:t>Journal of International Agricultural and Extension Education, 27</w:t>
      </w:r>
      <w:r>
        <w:rPr>
          <w:color w:val="000000"/>
        </w:rPr>
        <w:t xml:space="preserve">(4), 39–61. </w:t>
      </w:r>
      <w:r w:rsidR="00D25814" w:rsidRPr="00D25814">
        <w:rPr>
          <w:color w:val="000000"/>
        </w:rPr>
        <w:t xml:space="preserve">https://doi.org/10.5191//jiaee.2020.27439 </w:t>
      </w:r>
    </w:p>
    <w:p w14:paraId="2F5E6B71" w14:textId="77777777" w:rsidR="00FA16AD" w:rsidRDefault="00FA16AD" w:rsidP="00FA16AD">
      <w:pPr>
        <w:pStyle w:val="NormalWeb"/>
        <w:spacing w:before="0" w:beforeAutospacing="0" w:after="0" w:afterAutospacing="0"/>
        <w:ind w:left="720" w:hanging="720"/>
      </w:pPr>
    </w:p>
    <w:p w14:paraId="24121003" w14:textId="4029D581" w:rsidR="00FA16AD" w:rsidRDefault="007418A1" w:rsidP="00FA16AD">
      <w:pPr>
        <w:pStyle w:val="NormalWeb"/>
        <w:spacing w:before="0" w:beforeAutospacing="0" w:after="0" w:afterAutospacing="0"/>
        <w:ind w:left="720" w:hanging="720"/>
      </w:pPr>
      <w:r>
        <w:rPr>
          <w:color w:val="000000"/>
        </w:rPr>
        <w:t xml:space="preserve">Medina, A. L., Hathaway, J. I., &amp; </w:t>
      </w:r>
      <w:proofErr w:type="spellStart"/>
      <w:r>
        <w:rPr>
          <w:color w:val="000000"/>
        </w:rPr>
        <w:t>Pilonieta</w:t>
      </w:r>
      <w:proofErr w:type="spellEnd"/>
      <w:r>
        <w:rPr>
          <w:color w:val="000000"/>
        </w:rPr>
        <w:t xml:space="preserve">, P. (2015). How preservice teachers’ study abroad experiences lead to changes in their perceptions of English language learners. </w:t>
      </w:r>
      <w:r>
        <w:rPr>
          <w:i/>
          <w:iCs/>
          <w:color w:val="000000"/>
        </w:rPr>
        <w:t>Frontiers: The Interdisciplinary Journal of Study Abroad, 25</w:t>
      </w:r>
      <w:r>
        <w:rPr>
          <w:color w:val="000000"/>
        </w:rPr>
        <w:t xml:space="preserve">(1), 73–91. </w:t>
      </w:r>
      <w:r w:rsidR="0047749E" w:rsidRPr="0047749E">
        <w:rPr>
          <w:color w:val="000000"/>
        </w:rPr>
        <w:t xml:space="preserve">https://doi.org/10.36366/frontiers.v25i1.346 </w:t>
      </w:r>
    </w:p>
    <w:p w14:paraId="7D91278E" w14:textId="77777777" w:rsidR="00FA16AD" w:rsidRDefault="00FA16AD" w:rsidP="00FA16AD">
      <w:pPr>
        <w:pStyle w:val="NormalWeb"/>
        <w:spacing w:before="0" w:beforeAutospacing="0" w:after="0" w:afterAutospacing="0"/>
        <w:ind w:left="720" w:hanging="720"/>
      </w:pPr>
    </w:p>
    <w:p w14:paraId="32B04056" w14:textId="77777777" w:rsidR="00FA16AD" w:rsidRDefault="007418A1" w:rsidP="00FA16AD">
      <w:pPr>
        <w:pStyle w:val="NormalWeb"/>
        <w:spacing w:before="0" w:beforeAutospacing="0" w:after="0" w:afterAutospacing="0"/>
        <w:ind w:left="720" w:hanging="720"/>
      </w:pPr>
      <w:r>
        <w:rPr>
          <w:color w:val="000000"/>
        </w:rPr>
        <w:t xml:space="preserve">Merriam, S. B. (2009). </w:t>
      </w:r>
      <w:r>
        <w:rPr>
          <w:i/>
          <w:iCs/>
          <w:color w:val="000000"/>
        </w:rPr>
        <w:t>Qualitative research: A guide to design and implementation: Revised and expanded from qualitative research and case study applications in education</w:t>
      </w:r>
      <w:r>
        <w:rPr>
          <w:color w:val="000000"/>
        </w:rPr>
        <w:t>. Jossey-Bass.</w:t>
      </w:r>
    </w:p>
    <w:p w14:paraId="272495C0" w14:textId="77777777" w:rsidR="00FA16AD" w:rsidRDefault="00FA16AD" w:rsidP="00952B9F">
      <w:pPr>
        <w:pStyle w:val="NormalWeb"/>
        <w:spacing w:before="0" w:beforeAutospacing="0" w:after="0" w:afterAutospacing="0"/>
      </w:pPr>
    </w:p>
    <w:p w14:paraId="6CD1D0EE" w14:textId="32156EBA" w:rsidR="0047749E" w:rsidRDefault="0047749E" w:rsidP="00FA16AD">
      <w:pPr>
        <w:pStyle w:val="NormalWeb"/>
        <w:spacing w:before="0" w:beforeAutospacing="0" w:after="0" w:afterAutospacing="0"/>
        <w:ind w:left="720" w:hanging="720"/>
        <w:rPr>
          <w:color w:val="000000"/>
        </w:rPr>
      </w:pPr>
      <w:r w:rsidRPr="0047749E">
        <w:rPr>
          <w:color w:val="000000"/>
        </w:rPr>
        <w:t xml:space="preserve">Mezirow, J. (1997). Transformation </w:t>
      </w:r>
      <w:r>
        <w:rPr>
          <w:color w:val="000000"/>
        </w:rPr>
        <w:t>t</w:t>
      </w:r>
      <w:r w:rsidRPr="0047749E">
        <w:rPr>
          <w:color w:val="000000"/>
        </w:rPr>
        <w:t xml:space="preserve">heory out of </w:t>
      </w:r>
      <w:r>
        <w:rPr>
          <w:color w:val="000000"/>
        </w:rPr>
        <w:t>c</w:t>
      </w:r>
      <w:r w:rsidRPr="0047749E">
        <w:rPr>
          <w:color w:val="000000"/>
        </w:rPr>
        <w:t xml:space="preserve">ontext. </w:t>
      </w:r>
      <w:r w:rsidRPr="0047749E">
        <w:rPr>
          <w:i/>
          <w:iCs/>
          <w:color w:val="000000"/>
        </w:rPr>
        <w:t>Adult Education Quarterly, 48</w:t>
      </w:r>
      <w:r w:rsidRPr="0047749E">
        <w:rPr>
          <w:color w:val="000000"/>
        </w:rPr>
        <w:t>(1), 60</w:t>
      </w:r>
      <w:r>
        <w:rPr>
          <w:color w:val="000000"/>
        </w:rPr>
        <w:t>–62</w:t>
      </w:r>
      <w:r w:rsidRPr="0047749E">
        <w:rPr>
          <w:color w:val="000000"/>
        </w:rPr>
        <w:t>. https://doi.org/10.1177/074171369704800105</w:t>
      </w:r>
    </w:p>
    <w:p w14:paraId="353EB2F5" w14:textId="77777777" w:rsidR="0047749E" w:rsidRDefault="0047749E" w:rsidP="00FA16AD">
      <w:pPr>
        <w:pStyle w:val="NormalWeb"/>
        <w:spacing w:before="0" w:beforeAutospacing="0" w:after="0" w:afterAutospacing="0"/>
        <w:ind w:left="720" w:hanging="720"/>
        <w:rPr>
          <w:color w:val="000000"/>
        </w:rPr>
      </w:pPr>
    </w:p>
    <w:p w14:paraId="5DD04906" w14:textId="60018456" w:rsidR="00FA16AD" w:rsidRDefault="007418A1" w:rsidP="00FA16AD">
      <w:pPr>
        <w:pStyle w:val="NormalWeb"/>
        <w:spacing w:before="0" w:beforeAutospacing="0" w:after="0" w:afterAutospacing="0"/>
        <w:ind w:left="720" w:hanging="720"/>
      </w:pPr>
      <w:r>
        <w:rPr>
          <w:color w:val="000000"/>
        </w:rPr>
        <w:t>Moorhouse, B. L. (2022). Pre-service teachers’ professional learning and development during teaching</w:t>
      </w:r>
      <w:r>
        <w:rPr>
          <w:color w:val="000000"/>
        </w:rPr>
        <w:noBreakHyphen/>
        <w:t xml:space="preserve">abroad. In </w:t>
      </w:r>
      <w:r>
        <w:rPr>
          <w:i/>
          <w:iCs/>
          <w:color w:val="000000"/>
        </w:rPr>
        <w:t>Teaching abroad during initial teacher education</w:t>
      </w:r>
      <w:r>
        <w:rPr>
          <w:color w:val="000000"/>
        </w:rPr>
        <w:t xml:space="preserve"> (pp. 17–32). Springer. </w:t>
      </w:r>
      <w:r w:rsidR="00FA16AD" w:rsidRPr="00794AFC">
        <w:t>https://link.springer.com/content/pdf/10.1007/978-3-031-05961-2_3</w:t>
      </w:r>
    </w:p>
    <w:p w14:paraId="0E8705EC" w14:textId="77777777" w:rsidR="00FA16AD" w:rsidRDefault="00FA16AD" w:rsidP="00FA16AD">
      <w:pPr>
        <w:pStyle w:val="NormalWeb"/>
        <w:spacing w:before="0" w:beforeAutospacing="0" w:after="0" w:afterAutospacing="0"/>
        <w:ind w:left="720" w:hanging="720"/>
      </w:pPr>
    </w:p>
    <w:p w14:paraId="3B025FB6" w14:textId="22DE37F9" w:rsidR="00FA16AD" w:rsidRDefault="007418A1" w:rsidP="00FA16AD">
      <w:pPr>
        <w:pStyle w:val="NormalWeb"/>
        <w:spacing w:before="0" w:beforeAutospacing="0" w:after="0" w:afterAutospacing="0"/>
        <w:ind w:left="720" w:hanging="720"/>
      </w:pPr>
      <w:r>
        <w:rPr>
          <w:color w:val="000000"/>
        </w:rPr>
        <w:t xml:space="preserve">Morley, A., Braun, A. M. B., Rohrer, L., &amp; Lamb, D. (2019). </w:t>
      </w:r>
      <w:r w:rsidRPr="00952B9F">
        <w:rPr>
          <w:color w:val="000000"/>
        </w:rPr>
        <w:t xml:space="preserve">Study abroad for preservice teachers: A critical literature review with considerations for research and practice. </w:t>
      </w:r>
      <w:r w:rsidRPr="00952B9F">
        <w:rPr>
          <w:i/>
          <w:iCs/>
          <w:color w:val="000000"/>
        </w:rPr>
        <w:t>ERIC</w:t>
      </w:r>
      <w:r>
        <w:rPr>
          <w:color w:val="000000"/>
        </w:rPr>
        <w:t xml:space="preserve">. </w:t>
      </w:r>
      <w:r w:rsidR="00FA16AD" w:rsidRPr="00794AFC">
        <w:t>https://files.eric.ed.gov/fulltext/EJ1235587.pdf</w:t>
      </w:r>
    </w:p>
    <w:p w14:paraId="5D573DCB" w14:textId="77777777" w:rsidR="00FA16AD" w:rsidRDefault="00FA16AD" w:rsidP="00FA16AD">
      <w:pPr>
        <w:pStyle w:val="NormalWeb"/>
        <w:spacing w:before="0" w:beforeAutospacing="0" w:after="0" w:afterAutospacing="0"/>
        <w:ind w:left="720" w:hanging="720"/>
      </w:pPr>
    </w:p>
    <w:p w14:paraId="70FA638A" w14:textId="62F2D0B3" w:rsidR="00FA16AD" w:rsidRDefault="007418A1" w:rsidP="00FA16AD">
      <w:pPr>
        <w:pStyle w:val="NormalWeb"/>
        <w:spacing w:before="0" w:beforeAutospacing="0" w:after="0" w:afterAutospacing="0"/>
        <w:ind w:left="720" w:hanging="720"/>
      </w:pPr>
      <w:r>
        <w:rPr>
          <w:color w:val="000000"/>
        </w:rPr>
        <w:t xml:space="preserve">Retallick, M. S., &amp; Miller, G. (2017). Teacher preparation in career and technical education: A model for developing and researching early field experiences. </w:t>
      </w:r>
      <w:r>
        <w:rPr>
          <w:i/>
          <w:iCs/>
          <w:color w:val="000000"/>
        </w:rPr>
        <w:t>Journal of Career and Technical Education, 25</w:t>
      </w:r>
      <w:r>
        <w:rPr>
          <w:color w:val="000000"/>
        </w:rPr>
        <w:t xml:space="preserve">(1), 21–43. </w:t>
      </w:r>
      <w:r w:rsidR="00FA16AD" w:rsidRPr="00794AFC">
        <w:t>https://journalcte.org/articles/147/files/submission/proof/147-1-253-1-10-20171115.pdf</w:t>
      </w:r>
    </w:p>
    <w:p w14:paraId="49402AD3" w14:textId="77777777" w:rsidR="00FA16AD" w:rsidRDefault="00FA16AD" w:rsidP="00FA16AD">
      <w:pPr>
        <w:pStyle w:val="NormalWeb"/>
        <w:spacing w:before="0" w:beforeAutospacing="0" w:after="0" w:afterAutospacing="0"/>
        <w:ind w:left="720" w:hanging="720"/>
      </w:pPr>
    </w:p>
    <w:p w14:paraId="30608D15" w14:textId="77777777" w:rsidR="00952B9F" w:rsidRDefault="00952B9F" w:rsidP="00952B9F">
      <w:pPr>
        <w:pStyle w:val="NormalWeb"/>
        <w:spacing w:before="0" w:beforeAutospacing="0" w:after="0" w:afterAutospacing="0"/>
        <w:ind w:left="720" w:hanging="720"/>
      </w:pPr>
      <w:proofErr w:type="spellStart"/>
      <w:r>
        <w:rPr>
          <w:color w:val="000000"/>
        </w:rPr>
        <w:t>Rosenshine</w:t>
      </w:r>
      <w:proofErr w:type="spellEnd"/>
      <w:r>
        <w:rPr>
          <w:color w:val="000000"/>
        </w:rPr>
        <w:t xml:space="preserve">, B., &amp; Furst, N. (1971). Research on teacher performance criteria. In B.O. Smith (Ed.), </w:t>
      </w:r>
      <w:r w:rsidRPr="00952B9F">
        <w:rPr>
          <w:i/>
          <w:iCs/>
          <w:color w:val="000000"/>
        </w:rPr>
        <w:t>Research in Teacher Education</w:t>
      </w:r>
      <w:r>
        <w:rPr>
          <w:color w:val="000000"/>
        </w:rPr>
        <w:t xml:space="preserve"> (pp. 37–72). Prentice Hall. </w:t>
      </w:r>
    </w:p>
    <w:p w14:paraId="56EBD53E" w14:textId="77777777" w:rsidR="00952B9F" w:rsidRDefault="00952B9F" w:rsidP="00FA16AD">
      <w:pPr>
        <w:pStyle w:val="NormalWeb"/>
        <w:spacing w:before="0" w:beforeAutospacing="0" w:after="0" w:afterAutospacing="0"/>
        <w:ind w:left="720" w:hanging="720"/>
      </w:pPr>
    </w:p>
    <w:p w14:paraId="35331399" w14:textId="77777777" w:rsidR="00FA16AD" w:rsidRDefault="007418A1" w:rsidP="00FA16AD">
      <w:pPr>
        <w:pStyle w:val="NormalWeb"/>
        <w:spacing w:before="0" w:beforeAutospacing="0" w:after="0" w:afterAutospacing="0"/>
        <w:ind w:left="720" w:hanging="720"/>
      </w:pPr>
      <w:r>
        <w:rPr>
          <w:color w:val="000000"/>
        </w:rPr>
        <w:t>Smalley, S. W., &amp; Sands, K. (2018). Perceptions of career and technical education by pre</w:t>
      </w:r>
      <w:r>
        <w:rPr>
          <w:color w:val="000000"/>
        </w:rPr>
        <w:noBreakHyphen/>
        <w:t xml:space="preserve">service students. </w:t>
      </w:r>
      <w:r>
        <w:rPr>
          <w:i/>
          <w:iCs/>
          <w:color w:val="000000"/>
        </w:rPr>
        <w:t>Journal of Research in Technical Careers, 2</w:t>
      </w:r>
      <w:r>
        <w:rPr>
          <w:color w:val="000000"/>
        </w:rPr>
        <w:t>(1), 20–38. https://oasis.library.unlv.edu/jrtc/vol2/iss1/6/ </w:t>
      </w:r>
    </w:p>
    <w:p w14:paraId="6ECFAB01" w14:textId="77777777" w:rsidR="00FA16AD" w:rsidRDefault="00FA16AD" w:rsidP="00FA16AD">
      <w:pPr>
        <w:pStyle w:val="NormalWeb"/>
        <w:spacing w:before="0" w:beforeAutospacing="0" w:after="0" w:afterAutospacing="0"/>
        <w:ind w:left="720" w:hanging="720"/>
      </w:pPr>
    </w:p>
    <w:p w14:paraId="6017A625" w14:textId="535065CF" w:rsidR="00B77E8B" w:rsidRPr="00287F7C" w:rsidRDefault="007418A1" w:rsidP="00287F7C">
      <w:pPr>
        <w:pStyle w:val="NormalWeb"/>
        <w:spacing w:before="0" w:beforeAutospacing="0" w:after="0" w:afterAutospacing="0"/>
        <w:ind w:left="720" w:hanging="720"/>
        <w:rPr>
          <w:color w:val="000000"/>
        </w:rPr>
      </w:pPr>
      <w:r>
        <w:rPr>
          <w:color w:val="000000"/>
        </w:rPr>
        <w:t xml:space="preserve">Stake, R. E. (1995). </w:t>
      </w:r>
      <w:r>
        <w:rPr>
          <w:i/>
          <w:iCs/>
          <w:color w:val="000000"/>
        </w:rPr>
        <w:t>The art of the case study</w:t>
      </w:r>
      <w:r>
        <w:rPr>
          <w:color w:val="000000"/>
        </w:rPr>
        <w:t>. Sage Publications.</w:t>
      </w:r>
    </w:p>
    <w:sectPr w:rsidR="00B77E8B" w:rsidRPr="00287F7C" w:rsidSect="00751E01">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D7A3C" w14:textId="77777777" w:rsidR="00A121B7" w:rsidRDefault="00A121B7" w:rsidP="006B5D36">
      <w:pPr>
        <w:spacing w:after="0" w:line="240" w:lineRule="auto"/>
      </w:pPr>
      <w:r>
        <w:separator/>
      </w:r>
    </w:p>
  </w:endnote>
  <w:endnote w:type="continuationSeparator" w:id="0">
    <w:p w14:paraId="2B54F420" w14:textId="77777777" w:rsidR="00A121B7" w:rsidRDefault="00A121B7" w:rsidP="006B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New Roman (Headings CS)">
    <w:altName w:val="Times New Roman"/>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6932146"/>
      <w:docPartObj>
        <w:docPartGallery w:val="Page Numbers (Bottom of Page)"/>
        <w:docPartUnique/>
      </w:docPartObj>
    </w:sdtPr>
    <w:sdtContent>
      <w:p w14:paraId="550D296C" w14:textId="598C2C09" w:rsidR="006B5D36" w:rsidRDefault="006B5D36" w:rsidP="000D0E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0D0605B" w14:textId="77777777" w:rsidR="006B5D36" w:rsidRDefault="006B5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926525"/>
      <w:docPartObj>
        <w:docPartGallery w:val="Page Numbers (Bottom of Page)"/>
        <w:docPartUnique/>
      </w:docPartObj>
    </w:sdtPr>
    <w:sdtEndPr>
      <w:rPr>
        <w:noProof/>
      </w:rPr>
    </w:sdtEndPr>
    <w:sdtContent>
      <w:p w14:paraId="438631F2" w14:textId="699419E8" w:rsidR="00751E01" w:rsidRDefault="00751E01">
        <w:pPr>
          <w:pStyle w:val="Footer"/>
          <w:jc w:val="center"/>
        </w:pPr>
        <w:r w:rsidRPr="00751E01">
          <w:rPr>
            <w:rFonts w:ascii="Times New Roman" w:hAnsi="Times New Roman" w:cs="Times New Roman"/>
          </w:rPr>
          <w:fldChar w:fldCharType="begin"/>
        </w:r>
        <w:r w:rsidRPr="00751E01">
          <w:rPr>
            <w:rFonts w:ascii="Times New Roman" w:hAnsi="Times New Roman" w:cs="Times New Roman"/>
          </w:rPr>
          <w:instrText xml:space="preserve"> PAGE   \* MERGEFORMAT </w:instrText>
        </w:r>
        <w:r w:rsidRPr="00751E01">
          <w:rPr>
            <w:rFonts w:ascii="Times New Roman" w:hAnsi="Times New Roman" w:cs="Times New Roman"/>
          </w:rPr>
          <w:fldChar w:fldCharType="separate"/>
        </w:r>
        <w:r w:rsidRPr="00751E01">
          <w:rPr>
            <w:rFonts w:ascii="Times New Roman" w:hAnsi="Times New Roman" w:cs="Times New Roman"/>
            <w:noProof/>
          </w:rPr>
          <w:t>2</w:t>
        </w:r>
        <w:r w:rsidRPr="00751E01">
          <w:rPr>
            <w:rFonts w:ascii="Times New Roman" w:hAnsi="Times New Roman" w:cs="Times New Roman"/>
            <w:noProof/>
          </w:rPr>
          <w:fldChar w:fldCharType="end"/>
        </w:r>
      </w:p>
    </w:sdtContent>
  </w:sdt>
  <w:p w14:paraId="3C26CFF6" w14:textId="77777777" w:rsidR="006B5D36" w:rsidRDefault="006B5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37669" w14:textId="77777777" w:rsidR="00A121B7" w:rsidRDefault="00A121B7" w:rsidP="006B5D36">
      <w:pPr>
        <w:spacing w:after="0" w:line="240" w:lineRule="auto"/>
      </w:pPr>
      <w:r>
        <w:separator/>
      </w:r>
    </w:p>
  </w:footnote>
  <w:footnote w:type="continuationSeparator" w:id="0">
    <w:p w14:paraId="602A89CC" w14:textId="77777777" w:rsidR="00A121B7" w:rsidRDefault="00A121B7" w:rsidP="006B5D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5A"/>
    <w:rsid w:val="00007E2D"/>
    <w:rsid w:val="00026F2F"/>
    <w:rsid w:val="000545D2"/>
    <w:rsid w:val="0010704E"/>
    <w:rsid w:val="001674F8"/>
    <w:rsid w:val="00173267"/>
    <w:rsid w:val="001B6DEC"/>
    <w:rsid w:val="001C0045"/>
    <w:rsid w:val="001E7CB0"/>
    <w:rsid w:val="00224A5A"/>
    <w:rsid w:val="00230CDC"/>
    <w:rsid w:val="0024513F"/>
    <w:rsid w:val="00287F7C"/>
    <w:rsid w:val="002E1478"/>
    <w:rsid w:val="002F7415"/>
    <w:rsid w:val="00320890"/>
    <w:rsid w:val="0038376F"/>
    <w:rsid w:val="003A0ABF"/>
    <w:rsid w:val="003A790D"/>
    <w:rsid w:val="003C72E9"/>
    <w:rsid w:val="003F55A1"/>
    <w:rsid w:val="0041359C"/>
    <w:rsid w:val="0047749E"/>
    <w:rsid w:val="004D408F"/>
    <w:rsid w:val="004D5294"/>
    <w:rsid w:val="004E616E"/>
    <w:rsid w:val="00517CEE"/>
    <w:rsid w:val="00540C95"/>
    <w:rsid w:val="005A2A2C"/>
    <w:rsid w:val="005A6C99"/>
    <w:rsid w:val="006234B3"/>
    <w:rsid w:val="006B5D36"/>
    <w:rsid w:val="006F07FE"/>
    <w:rsid w:val="007418A1"/>
    <w:rsid w:val="00751E01"/>
    <w:rsid w:val="00755489"/>
    <w:rsid w:val="007672E4"/>
    <w:rsid w:val="00794AFC"/>
    <w:rsid w:val="007B0DED"/>
    <w:rsid w:val="007D7CD1"/>
    <w:rsid w:val="007E424C"/>
    <w:rsid w:val="007F0410"/>
    <w:rsid w:val="00817550"/>
    <w:rsid w:val="00893EBF"/>
    <w:rsid w:val="008D44B9"/>
    <w:rsid w:val="009068BD"/>
    <w:rsid w:val="00952B9F"/>
    <w:rsid w:val="00982AFB"/>
    <w:rsid w:val="009C20E0"/>
    <w:rsid w:val="009F3BF9"/>
    <w:rsid w:val="00A121B7"/>
    <w:rsid w:val="00A14DB5"/>
    <w:rsid w:val="00A34AD1"/>
    <w:rsid w:val="00A34CF8"/>
    <w:rsid w:val="00A452A5"/>
    <w:rsid w:val="00A5076F"/>
    <w:rsid w:val="00A64CC0"/>
    <w:rsid w:val="00AD57EE"/>
    <w:rsid w:val="00AE4A7F"/>
    <w:rsid w:val="00B60CB9"/>
    <w:rsid w:val="00B77E8B"/>
    <w:rsid w:val="00BA681B"/>
    <w:rsid w:val="00C070BE"/>
    <w:rsid w:val="00C443B0"/>
    <w:rsid w:val="00CA4D25"/>
    <w:rsid w:val="00D176BA"/>
    <w:rsid w:val="00D25814"/>
    <w:rsid w:val="00D45CCA"/>
    <w:rsid w:val="00D61435"/>
    <w:rsid w:val="00D70E65"/>
    <w:rsid w:val="00D94809"/>
    <w:rsid w:val="00E60C73"/>
    <w:rsid w:val="00E7300D"/>
    <w:rsid w:val="00EC09B5"/>
    <w:rsid w:val="00F66CA0"/>
    <w:rsid w:val="00F77F69"/>
    <w:rsid w:val="00F963F7"/>
    <w:rsid w:val="00FA1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5EFF"/>
  <w15:chartTrackingRefBased/>
  <w15:docId w15:val="{D8E43066-C8B1-E44B-888E-117A0A45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APA CHAPTER"/>
    <w:basedOn w:val="Normal"/>
    <w:next w:val="Normal"/>
    <w:link w:val="Heading1Char"/>
    <w:autoRedefine/>
    <w:uiPriority w:val="9"/>
    <w:qFormat/>
    <w:rsid w:val="00EC09B5"/>
    <w:pPr>
      <w:keepNext/>
      <w:keepLines/>
      <w:spacing w:after="560" w:line="240" w:lineRule="auto"/>
      <w:jc w:val="center"/>
      <w:outlineLvl w:val="0"/>
    </w:pPr>
    <w:rPr>
      <w:rFonts w:ascii="Times New Roman" w:eastAsiaTheme="majorEastAsia" w:hAnsi="Times New Roman" w:cs="Times New Roman (Headings CS)"/>
      <w:b/>
      <w:caps/>
      <w:szCs w:val="40"/>
    </w:rPr>
  </w:style>
  <w:style w:type="paragraph" w:styleId="Heading2">
    <w:name w:val="heading 2"/>
    <w:aliases w:val="Heading 2: APA 2"/>
    <w:basedOn w:val="Normal"/>
    <w:next w:val="Normal"/>
    <w:link w:val="Heading2Char"/>
    <w:autoRedefine/>
    <w:uiPriority w:val="9"/>
    <w:unhideWhenUsed/>
    <w:qFormat/>
    <w:rsid w:val="0024513F"/>
    <w:pPr>
      <w:keepNext/>
      <w:keepLines/>
      <w:spacing w:before="288" w:after="288" w:line="240" w:lineRule="auto"/>
      <w:contextualSpacing/>
      <w:outlineLvl w:val="1"/>
    </w:pPr>
    <w:rPr>
      <w:rFonts w:ascii="Times New Roman" w:eastAsiaTheme="majorEastAsia" w:hAnsi="Times New Roman" w:cs="Times New Roman (Headings CS)"/>
      <w:b/>
      <w:szCs w:val="32"/>
    </w:rPr>
  </w:style>
  <w:style w:type="paragraph" w:styleId="Heading3">
    <w:name w:val="heading 3"/>
    <w:basedOn w:val="Normal"/>
    <w:next w:val="Normal"/>
    <w:link w:val="Heading3Char"/>
    <w:uiPriority w:val="9"/>
    <w:semiHidden/>
    <w:unhideWhenUsed/>
    <w:qFormat/>
    <w:rsid w:val="00224A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A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4A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4A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A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A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A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APA CHAPTER Char"/>
    <w:basedOn w:val="DefaultParagraphFont"/>
    <w:link w:val="Heading1"/>
    <w:uiPriority w:val="9"/>
    <w:rsid w:val="00EC09B5"/>
    <w:rPr>
      <w:rFonts w:ascii="Times New Roman" w:eastAsiaTheme="majorEastAsia" w:hAnsi="Times New Roman" w:cs="Times New Roman (Headings CS)"/>
      <w:b/>
      <w:caps/>
      <w:szCs w:val="40"/>
    </w:rPr>
  </w:style>
  <w:style w:type="character" w:customStyle="1" w:styleId="Heading2Char">
    <w:name w:val="Heading 2 Char"/>
    <w:aliases w:val="Heading 2: APA 2 Char"/>
    <w:basedOn w:val="DefaultParagraphFont"/>
    <w:link w:val="Heading2"/>
    <w:uiPriority w:val="9"/>
    <w:rsid w:val="0024513F"/>
    <w:rPr>
      <w:rFonts w:ascii="Times New Roman" w:eastAsiaTheme="majorEastAsia" w:hAnsi="Times New Roman" w:cs="Times New Roman (Headings CS)"/>
      <w:b/>
      <w:szCs w:val="32"/>
    </w:rPr>
  </w:style>
  <w:style w:type="paragraph" w:customStyle="1" w:styleId="APAHeading1">
    <w:name w:val="APA Heading 1"/>
    <w:basedOn w:val="Heading1"/>
    <w:autoRedefine/>
    <w:qFormat/>
    <w:rsid w:val="0024513F"/>
    <w:pPr>
      <w:spacing w:before="288" w:after="288" w:line="480" w:lineRule="auto"/>
      <w:contextualSpacing/>
    </w:pPr>
    <w:rPr>
      <w:rFonts w:eastAsia="Times New Roman"/>
      <w:caps w:val="0"/>
    </w:rPr>
  </w:style>
  <w:style w:type="paragraph" w:customStyle="1" w:styleId="APAParagraph">
    <w:name w:val="APA Paragraph"/>
    <w:basedOn w:val="Heading2"/>
    <w:autoRedefine/>
    <w:qFormat/>
    <w:rsid w:val="003C72E9"/>
    <w:pPr>
      <w:spacing w:before="0" w:after="0" w:line="480" w:lineRule="auto"/>
    </w:pPr>
    <w:rPr>
      <w:rFonts w:eastAsia="Times New Roman"/>
      <w:b w:val="0"/>
    </w:rPr>
  </w:style>
  <w:style w:type="character" w:customStyle="1" w:styleId="Heading3Char">
    <w:name w:val="Heading 3 Char"/>
    <w:basedOn w:val="DefaultParagraphFont"/>
    <w:link w:val="Heading3"/>
    <w:uiPriority w:val="9"/>
    <w:semiHidden/>
    <w:rsid w:val="00224A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A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A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A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A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A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A5A"/>
    <w:rPr>
      <w:rFonts w:eastAsiaTheme="majorEastAsia" w:cstheme="majorBidi"/>
      <w:color w:val="272727" w:themeColor="text1" w:themeTint="D8"/>
    </w:rPr>
  </w:style>
  <w:style w:type="paragraph" w:styleId="Title">
    <w:name w:val="Title"/>
    <w:basedOn w:val="Normal"/>
    <w:next w:val="Normal"/>
    <w:link w:val="TitleChar"/>
    <w:uiPriority w:val="10"/>
    <w:qFormat/>
    <w:rsid w:val="00224A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A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A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A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A5A"/>
    <w:pPr>
      <w:spacing w:before="160"/>
      <w:jc w:val="center"/>
    </w:pPr>
    <w:rPr>
      <w:i/>
      <w:iCs/>
      <w:color w:val="404040" w:themeColor="text1" w:themeTint="BF"/>
    </w:rPr>
  </w:style>
  <w:style w:type="character" w:customStyle="1" w:styleId="QuoteChar">
    <w:name w:val="Quote Char"/>
    <w:basedOn w:val="DefaultParagraphFont"/>
    <w:link w:val="Quote"/>
    <w:uiPriority w:val="29"/>
    <w:rsid w:val="00224A5A"/>
    <w:rPr>
      <w:i/>
      <w:iCs/>
      <w:color w:val="404040" w:themeColor="text1" w:themeTint="BF"/>
    </w:rPr>
  </w:style>
  <w:style w:type="paragraph" w:styleId="ListParagraph">
    <w:name w:val="List Paragraph"/>
    <w:basedOn w:val="Normal"/>
    <w:uiPriority w:val="34"/>
    <w:qFormat/>
    <w:rsid w:val="00224A5A"/>
    <w:pPr>
      <w:ind w:left="720"/>
      <w:contextualSpacing/>
    </w:pPr>
  </w:style>
  <w:style w:type="character" w:styleId="IntenseEmphasis">
    <w:name w:val="Intense Emphasis"/>
    <w:basedOn w:val="DefaultParagraphFont"/>
    <w:uiPriority w:val="21"/>
    <w:qFormat/>
    <w:rsid w:val="00224A5A"/>
    <w:rPr>
      <w:i/>
      <w:iCs/>
      <w:color w:val="0F4761" w:themeColor="accent1" w:themeShade="BF"/>
    </w:rPr>
  </w:style>
  <w:style w:type="paragraph" w:styleId="IntenseQuote">
    <w:name w:val="Intense Quote"/>
    <w:basedOn w:val="Normal"/>
    <w:next w:val="Normal"/>
    <w:link w:val="IntenseQuoteChar"/>
    <w:uiPriority w:val="30"/>
    <w:qFormat/>
    <w:rsid w:val="00224A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A5A"/>
    <w:rPr>
      <w:i/>
      <w:iCs/>
      <w:color w:val="0F4761" w:themeColor="accent1" w:themeShade="BF"/>
    </w:rPr>
  </w:style>
  <w:style w:type="character" w:styleId="IntenseReference">
    <w:name w:val="Intense Reference"/>
    <w:basedOn w:val="DefaultParagraphFont"/>
    <w:uiPriority w:val="32"/>
    <w:qFormat/>
    <w:rsid w:val="00224A5A"/>
    <w:rPr>
      <w:b/>
      <w:bCs/>
      <w:smallCaps/>
      <w:color w:val="0F4761" w:themeColor="accent1" w:themeShade="BF"/>
      <w:spacing w:val="5"/>
    </w:rPr>
  </w:style>
  <w:style w:type="paragraph" w:styleId="NormalWeb">
    <w:name w:val="Normal (Web)"/>
    <w:basedOn w:val="Normal"/>
    <w:uiPriority w:val="99"/>
    <w:unhideWhenUsed/>
    <w:rsid w:val="00224A5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24A5A"/>
    <w:rPr>
      <w:color w:val="0000FF"/>
      <w:u w:val="single"/>
    </w:rPr>
  </w:style>
  <w:style w:type="paragraph" w:styleId="Footer">
    <w:name w:val="footer"/>
    <w:basedOn w:val="Normal"/>
    <w:link w:val="FooterChar"/>
    <w:uiPriority w:val="99"/>
    <w:unhideWhenUsed/>
    <w:rsid w:val="006B5D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D36"/>
  </w:style>
  <w:style w:type="character" w:styleId="PageNumber">
    <w:name w:val="page number"/>
    <w:basedOn w:val="DefaultParagraphFont"/>
    <w:uiPriority w:val="99"/>
    <w:semiHidden/>
    <w:unhideWhenUsed/>
    <w:rsid w:val="006B5D36"/>
  </w:style>
  <w:style w:type="character" w:styleId="CommentReference">
    <w:name w:val="annotation reference"/>
    <w:basedOn w:val="DefaultParagraphFont"/>
    <w:uiPriority w:val="99"/>
    <w:semiHidden/>
    <w:unhideWhenUsed/>
    <w:rsid w:val="00751E01"/>
    <w:rPr>
      <w:sz w:val="16"/>
      <w:szCs w:val="16"/>
    </w:rPr>
  </w:style>
  <w:style w:type="paragraph" w:styleId="CommentText">
    <w:name w:val="annotation text"/>
    <w:basedOn w:val="Normal"/>
    <w:link w:val="CommentTextChar"/>
    <w:uiPriority w:val="99"/>
    <w:unhideWhenUsed/>
    <w:rsid w:val="00751E01"/>
    <w:pPr>
      <w:spacing w:line="240" w:lineRule="auto"/>
    </w:pPr>
    <w:rPr>
      <w:sz w:val="20"/>
      <w:szCs w:val="20"/>
    </w:rPr>
  </w:style>
  <w:style w:type="character" w:customStyle="1" w:styleId="CommentTextChar">
    <w:name w:val="Comment Text Char"/>
    <w:basedOn w:val="DefaultParagraphFont"/>
    <w:link w:val="CommentText"/>
    <w:uiPriority w:val="99"/>
    <w:rsid w:val="00751E01"/>
    <w:rPr>
      <w:sz w:val="20"/>
      <w:szCs w:val="20"/>
    </w:rPr>
  </w:style>
  <w:style w:type="paragraph" w:styleId="CommentSubject">
    <w:name w:val="annotation subject"/>
    <w:basedOn w:val="CommentText"/>
    <w:next w:val="CommentText"/>
    <w:link w:val="CommentSubjectChar"/>
    <w:uiPriority w:val="99"/>
    <w:semiHidden/>
    <w:unhideWhenUsed/>
    <w:rsid w:val="00751E01"/>
    <w:rPr>
      <w:b/>
      <w:bCs/>
    </w:rPr>
  </w:style>
  <w:style w:type="character" w:customStyle="1" w:styleId="CommentSubjectChar">
    <w:name w:val="Comment Subject Char"/>
    <w:basedOn w:val="CommentTextChar"/>
    <w:link w:val="CommentSubject"/>
    <w:uiPriority w:val="99"/>
    <w:semiHidden/>
    <w:rsid w:val="00751E01"/>
    <w:rPr>
      <w:b/>
      <w:bCs/>
      <w:sz w:val="20"/>
      <w:szCs w:val="20"/>
    </w:rPr>
  </w:style>
  <w:style w:type="paragraph" w:styleId="Header">
    <w:name w:val="header"/>
    <w:basedOn w:val="Normal"/>
    <w:link w:val="HeaderChar"/>
    <w:uiPriority w:val="99"/>
    <w:unhideWhenUsed/>
    <w:rsid w:val="00751E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E01"/>
  </w:style>
  <w:style w:type="character" w:styleId="UnresolvedMention">
    <w:name w:val="Unresolved Mention"/>
    <w:basedOn w:val="DefaultParagraphFont"/>
    <w:uiPriority w:val="99"/>
    <w:semiHidden/>
    <w:unhideWhenUsed/>
    <w:rsid w:val="007418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6850</Words>
  <Characters>39047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Kassidy Allred</dc:creator>
  <cp:keywords/>
  <dc:description/>
  <cp:lastModifiedBy>Tyson Sorensen</cp:lastModifiedBy>
  <cp:revision>4</cp:revision>
  <dcterms:created xsi:type="dcterms:W3CDTF">2026-03-31T17:26:00Z</dcterms:created>
  <dcterms:modified xsi:type="dcterms:W3CDTF">2026-03-31T17:53:00Z</dcterms:modified>
</cp:coreProperties>
</file>