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94B11" w14:textId="06E006F0" w:rsidR="008951E2" w:rsidRDefault="008951E2" w:rsidP="00F31B4C">
      <w:pPr>
        <w:widowControl w:val="0"/>
        <w:spacing w:after="240" w:line="240" w:lineRule="auto"/>
        <w:jc w:val="center"/>
        <w:rPr>
          <w:rFonts w:ascii="Times New Roman" w:hAnsi="Times New Roman" w:cs="Times New Roman"/>
          <w:b/>
          <w:bCs/>
          <w:sz w:val="24"/>
          <w:szCs w:val="24"/>
        </w:rPr>
      </w:pPr>
      <w:r w:rsidRPr="00B85991">
        <w:rPr>
          <w:rFonts w:ascii="Times New Roman" w:hAnsi="Times New Roman" w:cs="Times New Roman"/>
          <w:b/>
          <w:bCs/>
          <w:sz w:val="24"/>
          <w:szCs w:val="24"/>
        </w:rPr>
        <w:t xml:space="preserve">Exploring Retention and Satisfaction Among </w:t>
      </w:r>
      <w:r w:rsidR="00945A21">
        <w:rPr>
          <w:rFonts w:ascii="Times New Roman" w:hAnsi="Times New Roman" w:cs="Times New Roman"/>
          <w:b/>
          <w:bCs/>
          <w:sz w:val="24"/>
          <w:szCs w:val="24"/>
        </w:rPr>
        <w:t>Arkansas</w:t>
      </w:r>
      <w:r w:rsidRPr="00B85991">
        <w:rPr>
          <w:rFonts w:ascii="Times New Roman" w:hAnsi="Times New Roman" w:cs="Times New Roman"/>
          <w:b/>
          <w:bCs/>
          <w:sz w:val="24"/>
          <w:szCs w:val="24"/>
        </w:rPr>
        <w:t xml:space="preserve"> County-Level Cooperative Extension Employees: A Job Embeddedness Perspective</w:t>
      </w:r>
    </w:p>
    <w:p w14:paraId="36B693C1" w14:textId="453007A3" w:rsidR="00F416CD" w:rsidRPr="00F416CD" w:rsidRDefault="00F416CD" w:rsidP="00F31B4C">
      <w:pPr>
        <w:widowControl w:val="0"/>
        <w:spacing w:after="0" w:line="240" w:lineRule="auto"/>
        <w:jc w:val="center"/>
        <w:rPr>
          <w:rFonts w:ascii="Times New Roman" w:hAnsi="Times New Roman" w:cs="Times New Roman"/>
          <w:sz w:val="24"/>
          <w:szCs w:val="24"/>
        </w:rPr>
      </w:pPr>
      <w:r w:rsidRPr="00F416CD">
        <w:rPr>
          <w:rFonts w:ascii="Times New Roman" w:hAnsi="Times New Roman" w:cs="Times New Roman"/>
          <w:sz w:val="24"/>
          <w:szCs w:val="24"/>
        </w:rPr>
        <w:t>Rebecca Simon, University of Arkansas System, Division of Agriculture</w:t>
      </w:r>
    </w:p>
    <w:p w14:paraId="756BAD05" w14:textId="5EA1C730" w:rsidR="00F416CD" w:rsidRPr="00F416CD" w:rsidRDefault="00F416CD" w:rsidP="00F31B4C">
      <w:pPr>
        <w:widowControl w:val="0"/>
        <w:spacing w:after="0" w:line="240" w:lineRule="auto"/>
        <w:jc w:val="center"/>
        <w:rPr>
          <w:rFonts w:ascii="Times New Roman" w:hAnsi="Times New Roman" w:cs="Times New Roman"/>
          <w:sz w:val="24"/>
          <w:szCs w:val="24"/>
        </w:rPr>
      </w:pPr>
      <w:r w:rsidRPr="00F416CD">
        <w:rPr>
          <w:rFonts w:ascii="Times New Roman" w:hAnsi="Times New Roman" w:cs="Times New Roman"/>
          <w:sz w:val="24"/>
          <w:szCs w:val="24"/>
        </w:rPr>
        <w:t>Donald Johnson</w:t>
      </w:r>
      <w:r>
        <w:rPr>
          <w:rFonts w:ascii="Times New Roman" w:hAnsi="Times New Roman" w:cs="Times New Roman"/>
          <w:sz w:val="24"/>
          <w:szCs w:val="24"/>
        </w:rPr>
        <w:t>, University of Arkansas</w:t>
      </w:r>
    </w:p>
    <w:p w14:paraId="1A14B776" w14:textId="2386D5B9" w:rsidR="00F416CD" w:rsidRPr="00F416CD" w:rsidRDefault="00F416CD" w:rsidP="00F31B4C">
      <w:pPr>
        <w:widowControl w:val="0"/>
        <w:spacing w:after="0" w:line="240" w:lineRule="auto"/>
        <w:jc w:val="center"/>
        <w:rPr>
          <w:rFonts w:ascii="Times New Roman" w:hAnsi="Times New Roman" w:cs="Times New Roman"/>
          <w:sz w:val="24"/>
          <w:szCs w:val="24"/>
        </w:rPr>
      </w:pPr>
      <w:r w:rsidRPr="00F416CD">
        <w:rPr>
          <w:rFonts w:ascii="Times New Roman" w:hAnsi="Times New Roman" w:cs="Times New Roman"/>
          <w:sz w:val="24"/>
          <w:szCs w:val="24"/>
        </w:rPr>
        <w:t>Steve Siegelin, University of Arkansas System, Division of Agriculture</w:t>
      </w:r>
    </w:p>
    <w:p w14:paraId="27CEE8A9" w14:textId="559A719F" w:rsidR="00F416CD" w:rsidRPr="00F416CD" w:rsidRDefault="00F416CD" w:rsidP="00F31B4C">
      <w:pPr>
        <w:widowControl w:val="0"/>
        <w:spacing w:after="0" w:line="240" w:lineRule="auto"/>
        <w:jc w:val="center"/>
        <w:rPr>
          <w:rFonts w:ascii="Times New Roman" w:hAnsi="Times New Roman" w:cs="Times New Roman"/>
          <w:sz w:val="24"/>
          <w:szCs w:val="24"/>
        </w:rPr>
      </w:pPr>
      <w:r w:rsidRPr="00F416CD">
        <w:rPr>
          <w:rFonts w:ascii="Times New Roman" w:hAnsi="Times New Roman" w:cs="Times New Roman"/>
          <w:sz w:val="24"/>
          <w:szCs w:val="24"/>
        </w:rPr>
        <w:t>Julie Robinson, University of Arkansas System, Division of Agriculture</w:t>
      </w:r>
    </w:p>
    <w:p w14:paraId="35AE986E" w14:textId="76D11537" w:rsidR="00F31B4C" w:rsidRDefault="00F416CD" w:rsidP="00F31B4C">
      <w:pPr>
        <w:widowControl w:val="0"/>
        <w:spacing w:after="0" w:line="240" w:lineRule="auto"/>
        <w:jc w:val="center"/>
        <w:rPr>
          <w:rFonts w:ascii="Times New Roman" w:hAnsi="Times New Roman" w:cs="Times New Roman"/>
          <w:sz w:val="24"/>
          <w:szCs w:val="24"/>
        </w:rPr>
      </w:pPr>
      <w:r w:rsidRPr="00F416CD">
        <w:rPr>
          <w:rFonts w:ascii="Times New Roman" w:hAnsi="Times New Roman" w:cs="Times New Roman"/>
          <w:sz w:val="24"/>
          <w:szCs w:val="24"/>
        </w:rPr>
        <w:t>Donna Graham</w:t>
      </w:r>
      <w:r>
        <w:rPr>
          <w:rFonts w:ascii="Times New Roman" w:hAnsi="Times New Roman" w:cs="Times New Roman"/>
          <w:sz w:val="24"/>
          <w:szCs w:val="24"/>
        </w:rPr>
        <w:t>, University of Arkansas</w:t>
      </w:r>
    </w:p>
    <w:p w14:paraId="0238145A" w14:textId="77777777" w:rsidR="00F31B4C" w:rsidRDefault="00F31B4C" w:rsidP="00F31B4C">
      <w:pPr>
        <w:widowControl w:val="0"/>
        <w:spacing w:after="0" w:line="240" w:lineRule="auto"/>
        <w:jc w:val="center"/>
        <w:rPr>
          <w:rFonts w:ascii="Times New Roman" w:hAnsi="Times New Roman" w:cs="Times New Roman"/>
          <w:sz w:val="24"/>
          <w:szCs w:val="24"/>
        </w:rPr>
      </w:pPr>
    </w:p>
    <w:p w14:paraId="2E6F7BCE" w14:textId="6210B2F7" w:rsidR="008951E2" w:rsidRPr="00B85991" w:rsidRDefault="008951E2" w:rsidP="00F31B4C">
      <w:pPr>
        <w:widowControl w:val="0"/>
        <w:spacing w:after="240" w:line="240" w:lineRule="auto"/>
        <w:rPr>
          <w:i/>
          <w:iCs/>
          <w:sz w:val="24"/>
          <w:szCs w:val="24"/>
        </w:rPr>
      </w:pPr>
      <w:r w:rsidRPr="00B85991">
        <w:rPr>
          <w:rFonts w:ascii="Times New Roman" w:hAnsi="Times New Roman" w:cs="Times New Roman"/>
          <w:i/>
          <w:iCs/>
          <w:sz w:val="24"/>
          <w:szCs w:val="24"/>
        </w:rPr>
        <w:t xml:space="preserve">This quantitative study investigated the retention of county-level employees within the </w:t>
      </w:r>
      <w:r w:rsidR="00945A21">
        <w:rPr>
          <w:rFonts w:ascii="Times New Roman" w:hAnsi="Times New Roman" w:cs="Times New Roman"/>
          <w:i/>
          <w:iCs/>
          <w:sz w:val="24"/>
          <w:szCs w:val="24"/>
        </w:rPr>
        <w:t>Arkansas</w:t>
      </w:r>
      <w:r w:rsidRPr="00B85991">
        <w:rPr>
          <w:rFonts w:ascii="Times New Roman" w:hAnsi="Times New Roman" w:cs="Times New Roman"/>
          <w:i/>
          <w:iCs/>
          <w:sz w:val="24"/>
          <w:szCs w:val="24"/>
        </w:rPr>
        <w:t xml:space="preserve"> Cooperative Extension Service (CES) using Job Embeddedness Theory (JET) as the theoretical framework. The research aimed to describe levels of job embeddedness, job satisfaction, and intent to stay, and to examine the relationships among these variables. A census of 328 CES employees was conducted, yielding a 53% response rate. Data were collected through a validated online survey and analyzed using descriptive statistics, correlation analysis, and multiple regression. Results indicated high scores in organizational fit and sacrifice dimensions, while links to organization and community were comparatively lower. Age and job satisfaction were positively associated with intent to stay, whereas years of employment negatively predicted retention. Job embeddedness approached statistical significance as a predictor. These findings suggest that perceived organizational fit and satisfaction are more influential than tenure in predicting employee retention. </w:t>
      </w:r>
      <w:r w:rsidR="00F80991">
        <w:rPr>
          <w:rFonts w:ascii="Times New Roman" w:hAnsi="Times New Roman" w:cs="Times New Roman"/>
          <w:i/>
          <w:iCs/>
          <w:sz w:val="24"/>
          <w:szCs w:val="24"/>
        </w:rPr>
        <w:t>T</w:t>
      </w:r>
      <w:r w:rsidRPr="00B85991">
        <w:rPr>
          <w:rFonts w:ascii="Times New Roman" w:hAnsi="Times New Roman" w:cs="Times New Roman"/>
          <w:i/>
          <w:iCs/>
          <w:sz w:val="24"/>
          <w:szCs w:val="24"/>
        </w:rPr>
        <w:t xml:space="preserve">argeted interventions, including structured mentorship, enhanced supervisor communication, and expanded professional development, </w:t>
      </w:r>
      <w:r w:rsidR="00C607DF">
        <w:rPr>
          <w:rFonts w:ascii="Times New Roman" w:hAnsi="Times New Roman" w:cs="Times New Roman"/>
          <w:i/>
          <w:iCs/>
          <w:sz w:val="24"/>
          <w:szCs w:val="24"/>
        </w:rPr>
        <w:t xml:space="preserve">were </w:t>
      </w:r>
      <w:r w:rsidR="00F80991">
        <w:rPr>
          <w:rFonts w:ascii="Times New Roman" w:hAnsi="Times New Roman" w:cs="Times New Roman"/>
          <w:i/>
          <w:iCs/>
          <w:sz w:val="24"/>
          <w:szCs w:val="24"/>
        </w:rPr>
        <w:t xml:space="preserve">recommended </w:t>
      </w:r>
      <w:r w:rsidRPr="00B85991">
        <w:rPr>
          <w:rFonts w:ascii="Times New Roman" w:hAnsi="Times New Roman" w:cs="Times New Roman"/>
          <w:i/>
          <w:iCs/>
          <w:sz w:val="24"/>
          <w:szCs w:val="24"/>
        </w:rPr>
        <w:t xml:space="preserve">to strengthen embeddedness and satisfaction across career stages. Implications for practice include investing in personnel dedicated to workforce development and tailoring retention strategies to diverse employee roles. </w:t>
      </w:r>
    </w:p>
    <w:p w14:paraId="1412B079" w14:textId="0629B36F" w:rsidR="008951E2" w:rsidRDefault="008951E2" w:rsidP="00F31B4C">
      <w:pPr>
        <w:widowControl w:val="0"/>
        <w:spacing w:line="240" w:lineRule="auto"/>
        <w:jc w:val="center"/>
        <w:rPr>
          <w:rFonts w:ascii="Times New Roman" w:hAnsi="Times New Roman" w:cs="Times New Roman"/>
          <w:b/>
          <w:bCs/>
        </w:rPr>
      </w:pPr>
      <w:r w:rsidRPr="008951E2">
        <w:rPr>
          <w:rFonts w:ascii="Times New Roman" w:hAnsi="Times New Roman" w:cs="Times New Roman"/>
          <w:b/>
          <w:bCs/>
        </w:rPr>
        <w:t>Introduction</w:t>
      </w:r>
    </w:p>
    <w:p w14:paraId="7867FC1B" w14:textId="78AC751B" w:rsidR="008951E2" w:rsidRDefault="008951E2" w:rsidP="00F31B4C">
      <w:pPr>
        <w:widowControl w:val="0"/>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67F58C1C">
        <w:rPr>
          <w:rFonts w:ascii="Times New Roman" w:hAnsi="Times New Roman" w:cs="Times New Roman"/>
          <w:sz w:val="24"/>
          <w:szCs w:val="24"/>
        </w:rPr>
        <w:t xml:space="preserve">Morrill Land Grant Act of 1862 </w:t>
      </w:r>
      <w:r w:rsidR="00512C36" w:rsidRPr="00512C36">
        <w:rPr>
          <w:rFonts w:ascii="Times New Roman" w:hAnsi="Times New Roman" w:cs="Times New Roman"/>
          <w:sz w:val="24"/>
          <w:szCs w:val="24"/>
        </w:rPr>
        <w:t>(7 U.S.C. § 301)</w:t>
      </w:r>
      <w:r w:rsidR="00512C36">
        <w:rPr>
          <w:rFonts w:ascii="Times New Roman" w:hAnsi="Times New Roman" w:cs="Times New Roman"/>
          <w:sz w:val="24"/>
          <w:szCs w:val="24"/>
        </w:rPr>
        <w:t xml:space="preserve"> </w:t>
      </w:r>
      <w:r w:rsidRPr="67F58C1C">
        <w:rPr>
          <w:rFonts w:ascii="Times New Roman" w:hAnsi="Times New Roman" w:cs="Times New Roman"/>
          <w:sz w:val="24"/>
          <w:szCs w:val="24"/>
        </w:rPr>
        <w:t xml:space="preserve">established colleges in each state to teach agriculture and mechanical arts. The Cooperative Extension Service was created in 1914 by the Smith-Lever Act as a partnership between the United States Department of Agriculture and the land-grant universities </w:t>
      </w:r>
      <w:r>
        <w:rPr>
          <w:rFonts w:ascii="Times New Roman" w:hAnsi="Times New Roman" w:cs="Times New Roman"/>
          <w:sz w:val="24"/>
          <w:szCs w:val="24"/>
        </w:rPr>
        <w:t>(Smith-Lever Act, 1914)</w:t>
      </w:r>
      <w:r w:rsidRPr="67F58C1C">
        <w:rPr>
          <w:rFonts w:ascii="Times New Roman" w:hAnsi="Times New Roman" w:cs="Times New Roman"/>
          <w:sz w:val="24"/>
          <w:szCs w:val="24"/>
        </w:rPr>
        <w:t xml:space="preserve">. The mission of the Cooperative Extension Service is to “aid in diffusing among the people of the United States useful and practical information on subjects relating to agriculture concerning agriculture, home economics, and rural energy, and to encourage the application of the same" (Smith-Lever Act, 1914, Chapter 79, Section 2). Extension is the largest adult and youth non-formal educational organization in the world (Fiske, 1989). </w:t>
      </w:r>
    </w:p>
    <w:p w14:paraId="483F96AA" w14:textId="5009F6CA" w:rsidR="008951E2" w:rsidRDefault="008951E2" w:rsidP="00F31B4C">
      <w:pPr>
        <w:widowControl w:val="0"/>
        <w:spacing w:after="240" w:line="240" w:lineRule="auto"/>
        <w:rPr>
          <w:rFonts w:ascii="Times New Roman" w:hAnsi="Times New Roman" w:cs="Times New Roman"/>
          <w:sz w:val="24"/>
          <w:szCs w:val="24"/>
        </w:rPr>
      </w:pPr>
      <w:r w:rsidRPr="009B35E4">
        <w:rPr>
          <w:rFonts w:ascii="Times New Roman" w:hAnsi="Times New Roman" w:cs="Times New Roman"/>
          <w:sz w:val="24"/>
          <w:szCs w:val="24"/>
        </w:rPr>
        <w:t>Unlike traditional academic institutions focused on formal classroom instruction, CES delivers educational content through informal, community-based settings</w:t>
      </w:r>
      <w:r>
        <w:rPr>
          <w:rFonts w:ascii="Times New Roman" w:hAnsi="Times New Roman" w:cs="Times New Roman"/>
          <w:sz w:val="24"/>
          <w:szCs w:val="24"/>
        </w:rPr>
        <w:t xml:space="preserve"> (Seevers &amp; Graham, 2012)</w:t>
      </w:r>
      <w:r w:rsidRPr="009B35E4">
        <w:rPr>
          <w:rFonts w:ascii="Times New Roman" w:hAnsi="Times New Roman" w:cs="Times New Roman"/>
          <w:sz w:val="24"/>
          <w:szCs w:val="24"/>
        </w:rPr>
        <w:t xml:space="preserve">. As part of the land-grant university system established by the Morrill Act of 1862, CES fulfills the </w:t>
      </w:r>
      <w:r w:rsidR="00827A1D">
        <w:rPr>
          <w:rFonts w:ascii="Times New Roman" w:hAnsi="Times New Roman" w:cs="Times New Roman"/>
          <w:sz w:val="24"/>
          <w:szCs w:val="24"/>
        </w:rPr>
        <w:t>E</w:t>
      </w:r>
      <w:r w:rsidRPr="009B35E4">
        <w:rPr>
          <w:rFonts w:ascii="Times New Roman" w:hAnsi="Times New Roman" w:cs="Times New Roman"/>
          <w:sz w:val="24"/>
          <w:szCs w:val="24"/>
        </w:rPr>
        <w:t>xtension mission—one of three core functions alongside teaching and research. Extension refers to the process by whic</w:t>
      </w:r>
      <w:r w:rsidR="00454EAB">
        <w:rPr>
          <w:rFonts w:ascii="Times New Roman" w:hAnsi="Times New Roman" w:cs="Times New Roman"/>
          <w:sz w:val="24"/>
          <w:szCs w:val="24"/>
        </w:rPr>
        <w:t>h</w:t>
      </w:r>
      <w:r w:rsidRPr="009B35E4">
        <w:rPr>
          <w:rFonts w:ascii="Times New Roman" w:hAnsi="Times New Roman" w:cs="Times New Roman"/>
          <w:sz w:val="24"/>
          <w:szCs w:val="24"/>
        </w:rPr>
        <w:t xml:space="preserve"> universities engage with the public to address societal needs through non-credit, non-formal educational programs.</w:t>
      </w:r>
    </w:p>
    <w:p w14:paraId="3EB9247F" w14:textId="18D760E1" w:rsidR="008951E2" w:rsidRDefault="008951E2" w:rsidP="00F31B4C">
      <w:pPr>
        <w:widowControl w:val="0"/>
        <w:spacing w:after="240" w:line="240" w:lineRule="auto"/>
        <w:rPr>
          <w:rFonts w:ascii="Times New Roman" w:hAnsi="Times New Roman" w:cs="Times New Roman"/>
          <w:sz w:val="24"/>
          <w:szCs w:val="24"/>
        </w:rPr>
      </w:pPr>
      <w:r w:rsidRPr="009B35E4">
        <w:rPr>
          <w:rFonts w:ascii="Times New Roman" w:hAnsi="Times New Roman" w:cs="Times New Roman"/>
          <w:sz w:val="24"/>
          <w:szCs w:val="24"/>
        </w:rPr>
        <w:t xml:space="preserve">Through collaborative efforts with local stakeholders, CES facilitates problem-solving, evaluates educational strategies, and identifies community priorities. County agents serve as key </w:t>
      </w:r>
      <w:r w:rsidRPr="009B35E4">
        <w:rPr>
          <w:rFonts w:ascii="Times New Roman" w:hAnsi="Times New Roman" w:cs="Times New Roman"/>
          <w:sz w:val="24"/>
          <w:szCs w:val="24"/>
        </w:rPr>
        <w:lastRenderedPageBreak/>
        <w:t>facilitators in this process, leveraging established relationships to build trust and deliver effective programming.</w:t>
      </w:r>
      <w:r>
        <w:rPr>
          <w:rFonts w:ascii="Times New Roman" w:hAnsi="Times New Roman" w:cs="Times New Roman"/>
          <w:sz w:val="24"/>
          <w:szCs w:val="24"/>
        </w:rPr>
        <w:t xml:space="preserve"> </w:t>
      </w:r>
      <w:r w:rsidRPr="00407641">
        <w:rPr>
          <w:rFonts w:ascii="Times New Roman" w:hAnsi="Times New Roman" w:cs="Times New Roman"/>
          <w:sz w:val="24"/>
          <w:szCs w:val="24"/>
        </w:rPr>
        <w:t xml:space="preserve">Currently, the </w:t>
      </w:r>
      <w:r w:rsidR="00945A21">
        <w:rPr>
          <w:rFonts w:ascii="Times New Roman" w:hAnsi="Times New Roman" w:cs="Times New Roman"/>
          <w:sz w:val="24"/>
          <w:szCs w:val="24"/>
        </w:rPr>
        <w:t>Arkansas</w:t>
      </w:r>
      <w:r w:rsidRPr="00407641">
        <w:rPr>
          <w:rFonts w:ascii="Times New Roman" w:hAnsi="Times New Roman" w:cs="Times New Roman"/>
          <w:sz w:val="24"/>
          <w:szCs w:val="24"/>
        </w:rPr>
        <w:t xml:space="preserve"> Cooperative Extension </w:t>
      </w:r>
      <w:r>
        <w:rPr>
          <w:rFonts w:ascii="Times New Roman" w:hAnsi="Times New Roman" w:cs="Times New Roman"/>
          <w:sz w:val="24"/>
          <w:szCs w:val="24"/>
        </w:rPr>
        <w:t xml:space="preserve">provides non-formal education </w:t>
      </w:r>
      <w:r w:rsidRPr="00407641">
        <w:rPr>
          <w:rFonts w:ascii="Times New Roman" w:hAnsi="Times New Roman" w:cs="Times New Roman"/>
          <w:sz w:val="24"/>
          <w:szCs w:val="24"/>
        </w:rPr>
        <w:t xml:space="preserve">in each </w:t>
      </w:r>
      <w:r w:rsidR="00CE73AB">
        <w:rPr>
          <w:rFonts w:ascii="Times New Roman" w:hAnsi="Times New Roman" w:cs="Times New Roman"/>
          <w:sz w:val="24"/>
          <w:szCs w:val="24"/>
        </w:rPr>
        <w:t xml:space="preserve">state. </w:t>
      </w:r>
    </w:p>
    <w:p w14:paraId="5FB9E471" w14:textId="0238A9DF" w:rsidR="008951E2" w:rsidRPr="00776345"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Throughout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the mission of Extension comes to life in local communities and serves as the link between the university and the community to disseminate research-based information to the citizens of their communities.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Cooperative Extension offers an array of programming in four main program areas: Agriculture and Natural Resources, Community and Economic Development, Family and Consumer Sciences, and 4-H Youth Development (</w:t>
      </w:r>
      <w:r w:rsidR="0082473C">
        <w:rPr>
          <w:rFonts w:ascii="Times New Roman" w:hAnsi="Times New Roman" w:cs="Times New Roman"/>
          <w:sz w:val="24"/>
          <w:szCs w:val="24"/>
        </w:rPr>
        <w:t xml:space="preserve">University of </w:t>
      </w:r>
      <w:r w:rsidR="00945A21">
        <w:rPr>
          <w:rFonts w:ascii="Times New Roman" w:hAnsi="Times New Roman" w:cs="Times New Roman"/>
          <w:sz w:val="24"/>
          <w:szCs w:val="24"/>
        </w:rPr>
        <w:t>Arkansas</w:t>
      </w:r>
      <w:r w:rsidR="0082473C">
        <w:rPr>
          <w:rFonts w:ascii="Times New Roman" w:hAnsi="Times New Roman" w:cs="Times New Roman"/>
          <w:sz w:val="24"/>
          <w:szCs w:val="24"/>
        </w:rPr>
        <w:t xml:space="preserve"> n.d.)</w:t>
      </w:r>
      <w:r w:rsidRPr="67F58C1C">
        <w:rPr>
          <w:rFonts w:ascii="Times New Roman" w:hAnsi="Times New Roman" w:cs="Times New Roman"/>
          <w:sz w:val="24"/>
          <w:szCs w:val="24"/>
        </w:rPr>
        <w:t xml:space="preserve">. Extension programming focuses on educating the public. </w:t>
      </w:r>
      <w:r w:rsidRPr="00776345">
        <w:rPr>
          <w:rFonts w:ascii="Times New Roman" w:hAnsi="Times New Roman" w:cs="Times New Roman"/>
          <w:sz w:val="24"/>
          <w:szCs w:val="24"/>
        </w:rPr>
        <w:t>County extension agents serve as educators, facilitators, and coordinators of volunteer efforts within their communities. They provide support to individuals seeking information, guidance through specific processes, assistance in forming local partnerships, or resources to initiate community improvements. These agents are trained professionals embedded within the counties they serve, offering accessible expertise tailored to local needs.</w:t>
      </w:r>
    </w:p>
    <w:p w14:paraId="797DA7C0" w14:textId="2BF4C841" w:rsidR="008951E2"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Retention of County Extension Agents (CEAs) has been a persistent challenge across all program areas within the Extension service</w:t>
      </w:r>
      <w:r>
        <w:rPr>
          <w:rFonts w:ascii="Times New Roman" w:hAnsi="Times New Roman" w:cs="Times New Roman"/>
          <w:sz w:val="24"/>
          <w:szCs w:val="24"/>
        </w:rPr>
        <w:t xml:space="preserve"> (Safrit &amp; Owen, 2010)</w:t>
      </w:r>
      <w:r w:rsidRPr="67F58C1C">
        <w:rPr>
          <w:rFonts w:ascii="Times New Roman" w:hAnsi="Times New Roman" w:cs="Times New Roman"/>
          <w:sz w:val="24"/>
          <w:szCs w:val="24"/>
        </w:rPr>
        <w:t>. As early as 2005, the National Association of State Universities and Land-Grant Colleges' Extension Committee on Organization and Policy's Leadership Advisory Council (ECOP LAC) identified agent retention as a major concern, citing factors such as low salaries, organizational downsizing, and increased workloads as contributors to employee turnover (ECOP LAC, 2005). Subsequent research reinforced these concerns. Strong and Harder (2009) reported that agents continued to leave the Cooperative Extension Service (CES) prematurely, despite the growing body of research aimed at improving retention. Siegelin et al. (2021) found that Montana State University Extension experienced 16% workforce turnover in a 25-month period from 2016-2018</w:t>
      </w:r>
      <w:r>
        <w:rPr>
          <w:rFonts w:ascii="Times New Roman" w:hAnsi="Times New Roman" w:cs="Times New Roman"/>
          <w:sz w:val="24"/>
          <w:szCs w:val="24"/>
        </w:rPr>
        <w:t xml:space="preserve">. </w:t>
      </w:r>
      <w:r w:rsidRPr="67F58C1C">
        <w:rPr>
          <w:rFonts w:ascii="Times New Roman" w:hAnsi="Times New Roman" w:cs="Times New Roman"/>
          <w:sz w:val="24"/>
          <w:szCs w:val="24"/>
        </w:rPr>
        <w:t>This level of turnover disrupts program continuity and raises questions about the factors that influence Extension professionals' career commitment.</w:t>
      </w:r>
      <w:r>
        <w:rPr>
          <w:rFonts w:ascii="Times New Roman" w:hAnsi="Times New Roman" w:cs="Times New Roman"/>
          <w:sz w:val="24"/>
          <w:szCs w:val="24"/>
        </w:rPr>
        <w:t xml:space="preserve"> </w:t>
      </w:r>
      <w:r w:rsidRPr="67F58C1C">
        <w:rPr>
          <w:rFonts w:ascii="Times New Roman" w:hAnsi="Times New Roman" w:cs="Times New Roman"/>
          <w:sz w:val="24"/>
          <w:szCs w:val="24"/>
        </w:rPr>
        <w:t xml:space="preserve">A 2022 dissertation </w:t>
      </w:r>
      <w:r w:rsidR="00454EAB">
        <w:rPr>
          <w:rFonts w:ascii="Times New Roman" w:hAnsi="Times New Roman" w:cs="Times New Roman"/>
          <w:sz w:val="24"/>
          <w:szCs w:val="24"/>
        </w:rPr>
        <w:t>(Sexton, 2</w:t>
      </w:r>
      <w:r w:rsidR="00761013">
        <w:rPr>
          <w:rFonts w:ascii="Times New Roman" w:hAnsi="Times New Roman" w:cs="Times New Roman"/>
          <w:sz w:val="24"/>
          <w:szCs w:val="24"/>
        </w:rPr>
        <w:t xml:space="preserve">022) </w:t>
      </w:r>
      <w:r w:rsidRPr="67F58C1C">
        <w:rPr>
          <w:rFonts w:ascii="Times New Roman" w:hAnsi="Times New Roman" w:cs="Times New Roman"/>
          <w:sz w:val="24"/>
          <w:szCs w:val="24"/>
        </w:rPr>
        <w:t>examining county-level 4-H agents in the Southern region found that perceived organizational support</w:t>
      </w:r>
      <w:r>
        <w:rPr>
          <w:rFonts w:ascii="Times New Roman" w:hAnsi="Times New Roman" w:cs="Times New Roman"/>
          <w:sz w:val="24"/>
          <w:szCs w:val="24"/>
        </w:rPr>
        <w:t xml:space="preserve">, </w:t>
      </w:r>
      <w:r w:rsidRPr="67F58C1C">
        <w:rPr>
          <w:rFonts w:ascii="Times New Roman" w:hAnsi="Times New Roman" w:cs="Times New Roman"/>
          <w:sz w:val="24"/>
          <w:szCs w:val="24"/>
        </w:rPr>
        <w:t>including supervisor support</w:t>
      </w:r>
      <w:r w:rsidR="0082473C">
        <w:rPr>
          <w:rFonts w:ascii="Times New Roman" w:hAnsi="Times New Roman" w:cs="Times New Roman"/>
          <w:sz w:val="24"/>
          <w:szCs w:val="24"/>
        </w:rPr>
        <w:t>,</w:t>
      </w:r>
      <w:r>
        <w:rPr>
          <w:rFonts w:ascii="Times New Roman" w:hAnsi="Times New Roman" w:cs="Times New Roman"/>
          <w:sz w:val="24"/>
          <w:szCs w:val="24"/>
        </w:rPr>
        <w:t xml:space="preserve"> </w:t>
      </w:r>
      <w:r w:rsidRPr="67F58C1C">
        <w:rPr>
          <w:rFonts w:ascii="Times New Roman" w:hAnsi="Times New Roman" w:cs="Times New Roman"/>
          <w:sz w:val="24"/>
          <w:szCs w:val="24"/>
        </w:rPr>
        <w:t xml:space="preserve">significantly impacts job satisfaction and turnover intentions. Similarly, a </w:t>
      </w:r>
      <w:r>
        <w:rPr>
          <w:rFonts w:ascii="Times New Roman" w:hAnsi="Times New Roman" w:cs="Times New Roman"/>
          <w:sz w:val="24"/>
          <w:szCs w:val="24"/>
        </w:rPr>
        <w:t>recent</w:t>
      </w:r>
      <w:r w:rsidRPr="67F58C1C">
        <w:rPr>
          <w:rFonts w:ascii="Times New Roman" w:hAnsi="Times New Roman" w:cs="Times New Roman"/>
          <w:sz w:val="24"/>
          <w:szCs w:val="24"/>
        </w:rPr>
        <w:t xml:space="preserve"> study</w:t>
      </w:r>
      <w:r>
        <w:rPr>
          <w:rFonts w:ascii="Times New Roman" w:hAnsi="Times New Roman" w:cs="Times New Roman"/>
          <w:sz w:val="24"/>
          <w:szCs w:val="24"/>
        </w:rPr>
        <w:t xml:space="preserve"> (Hwang, 2023)</w:t>
      </w:r>
      <w:r w:rsidRPr="67F58C1C">
        <w:rPr>
          <w:rFonts w:ascii="Times New Roman" w:hAnsi="Times New Roman" w:cs="Times New Roman"/>
          <w:sz w:val="24"/>
          <w:szCs w:val="24"/>
        </w:rPr>
        <w:t xml:space="preserve"> conducted at Clemson University found that Extension agents continue to experience high levels of burnout and turnover, with workload, perceived fairness, and organizational support influencing retention outcomes. </w:t>
      </w:r>
    </w:p>
    <w:p w14:paraId="4645429B" w14:textId="77777777" w:rsidR="003A5E06" w:rsidRDefault="003A5E06" w:rsidP="00F31B4C">
      <w:pPr>
        <w:pStyle w:val="Style2"/>
        <w:widowControl w:val="0"/>
        <w:spacing w:after="240" w:line="240" w:lineRule="auto"/>
        <w:jc w:val="center"/>
      </w:pPr>
      <w:bookmarkStart w:id="0" w:name="_Toc212745053"/>
      <w:bookmarkStart w:id="1" w:name="_Toc212745145"/>
      <w:bookmarkStart w:id="2" w:name="_Toc212746390"/>
      <w:r>
        <w:t>Theoretical Framework</w:t>
      </w:r>
    </w:p>
    <w:p w14:paraId="217EAA3A" w14:textId="3A4C1AF9" w:rsidR="003A5E06" w:rsidRPr="00E51252" w:rsidRDefault="003A5E06" w:rsidP="00F31B4C">
      <w:pPr>
        <w:pStyle w:val="Style2"/>
        <w:widowControl w:val="0"/>
        <w:spacing w:after="240" w:line="240" w:lineRule="auto"/>
        <w:rPr>
          <w:b w:val="0"/>
          <w:bCs w:val="0"/>
        </w:rPr>
      </w:pPr>
      <w:r w:rsidRPr="00E51252">
        <w:rPr>
          <w:b w:val="0"/>
          <w:bCs w:val="0"/>
        </w:rPr>
        <w:t>Job embeddedness theory (JET) focuses on understanding the forces that keep an individual in a job (Mitchell et al., 2001)</w:t>
      </w:r>
      <w:r w:rsidR="00391DE8">
        <w:rPr>
          <w:b w:val="0"/>
          <w:bCs w:val="0"/>
        </w:rPr>
        <w:t xml:space="preserve"> and </w:t>
      </w:r>
      <w:r w:rsidRPr="00E51252">
        <w:rPr>
          <w:b w:val="0"/>
          <w:bCs w:val="0"/>
        </w:rPr>
        <w:t xml:space="preserve">can be divided into two subtypes: on-the-job embeddedness (organizational job embeddedness) and off-the-job embeddedness (community job embeddedness) (Mitchell et al., 2001). Job embeddedness has become a major player in retention research and has great predictive power regarding turnover (Mitchell et al., 2001). </w:t>
      </w:r>
    </w:p>
    <w:p w14:paraId="54818214" w14:textId="01980DA5" w:rsidR="00655BD6" w:rsidRDefault="003A5E06" w:rsidP="00F31B4C">
      <w:pPr>
        <w:pStyle w:val="Style2"/>
        <w:widowControl w:val="0"/>
        <w:spacing w:after="240" w:line="240" w:lineRule="auto"/>
        <w:rPr>
          <w:b w:val="0"/>
          <w:bCs w:val="0"/>
        </w:rPr>
      </w:pPr>
      <w:r w:rsidRPr="00E51252">
        <w:rPr>
          <w:b w:val="0"/>
          <w:bCs w:val="0"/>
        </w:rPr>
        <w:t xml:space="preserve">Overall, the primary purpose of the JET is to provide insights into the factors that contribute to employee retention and turnover decisions (Young et al., 2007). By understanding the concept of job embeddedness, organizations can enhance the factors that make employees feel more embedded in their jobs, thereby increasing employee retention and reducing turnover (Mitchell et al.,2001). </w:t>
      </w:r>
      <w:r w:rsidR="00655BD6" w:rsidRPr="00655BD6">
        <w:rPr>
          <w:b w:val="0"/>
          <w:bCs w:val="0"/>
        </w:rPr>
        <w:t xml:space="preserve">JET was applied in CES contexts to show that retention was shaped by both </w:t>
      </w:r>
      <w:r w:rsidR="00655BD6" w:rsidRPr="00655BD6">
        <w:rPr>
          <w:b w:val="0"/>
          <w:bCs w:val="0"/>
        </w:rPr>
        <w:lastRenderedPageBreak/>
        <w:t xml:space="preserve">organizational and community forces (Young et al., 2013; Parks, 2021). Across studies, employees reported strong community fit and perceived sacrifice but weaker organizational links and only moderate intent to stay, indicating ongoing risks for long-term retention and the need for additional organizational supports (Parks, 2021; Longo, 2025). </w:t>
      </w:r>
    </w:p>
    <w:p w14:paraId="1D20DBB5" w14:textId="7BD55687" w:rsidR="008951E2" w:rsidRPr="00D910D8" w:rsidRDefault="008951E2" w:rsidP="00F31B4C">
      <w:pPr>
        <w:pStyle w:val="Style2"/>
        <w:widowControl w:val="0"/>
        <w:spacing w:after="240" w:line="240" w:lineRule="auto"/>
        <w:jc w:val="center"/>
      </w:pPr>
      <w:r w:rsidRPr="67F58C1C">
        <w:t>Purpose</w:t>
      </w:r>
      <w:bookmarkEnd w:id="0"/>
      <w:bookmarkEnd w:id="1"/>
      <w:bookmarkEnd w:id="2"/>
      <w:r w:rsidR="00EC598B">
        <w:t xml:space="preserve"> and Objectives</w:t>
      </w:r>
    </w:p>
    <w:p w14:paraId="66F88780" w14:textId="3F501B41" w:rsidR="008951E2" w:rsidRDefault="00F80991" w:rsidP="00F31B4C">
      <w:pPr>
        <w:widowControl w:val="0"/>
        <w:spacing w:after="240" w:line="240" w:lineRule="auto"/>
        <w:rPr>
          <w:rFonts w:ascii="Times New Roman" w:hAnsi="Times New Roman" w:cs="Times New Roman"/>
          <w:sz w:val="24"/>
          <w:szCs w:val="24"/>
        </w:rPr>
      </w:pPr>
      <w:bookmarkStart w:id="3" w:name="_Hlk208166596"/>
      <w:r>
        <w:rPr>
          <w:rFonts w:ascii="Times New Roman" w:hAnsi="Times New Roman" w:cs="Times New Roman"/>
          <w:sz w:val="24"/>
          <w:szCs w:val="24"/>
        </w:rPr>
        <w:t>T</w:t>
      </w:r>
      <w:r w:rsidR="008951E2" w:rsidRPr="67F58C1C">
        <w:rPr>
          <w:rFonts w:ascii="Times New Roman" w:hAnsi="Times New Roman" w:cs="Times New Roman"/>
          <w:sz w:val="24"/>
          <w:szCs w:val="24"/>
        </w:rPr>
        <w:t>he purpose of this research was to describe the levels of job embeddedness,</w:t>
      </w:r>
      <w:r w:rsidR="008951E2">
        <w:rPr>
          <w:rFonts w:ascii="Times New Roman" w:hAnsi="Times New Roman" w:cs="Times New Roman"/>
          <w:sz w:val="24"/>
          <w:szCs w:val="24"/>
        </w:rPr>
        <w:t xml:space="preserve"> job satisfaction</w:t>
      </w:r>
      <w:r w:rsidR="000D4437">
        <w:rPr>
          <w:rFonts w:ascii="Times New Roman" w:hAnsi="Times New Roman" w:cs="Times New Roman"/>
          <w:sz w:val="24"/>
          <w:szCs w:val="24"/>
        </w:rPr>
        <w:t>,</w:t>
      </w:r>
      <w:r w:rsidR="008951E2">
        <w:rPr>
          <w:rFonts w:ascii="Times New Roman" w:hAnsi="Times New Roman" w:cs="Times New Roman"/>
          <w:sz w:val="24"/>
          <w:szCs w:val="24"/>
        </w:rPr>
        <w:t xml:space="preserve"> and</w:t>
      </w:r>
      <w:r w:rsidR="008951E2" w:rsidRPr="67F58C1C">
        <w:rPr>
          <w:rFonts w:ascii="Times New Roman" w:hAnsi="Times New Roman" w:cs="Times New Roman"/>
          <w:sz w:val="24"/>
          <w:szCs w:val="24"/>
        </w:rPr>
        <w:t xml:space="preserve"> intent to stay and the relationship between these variables among county level </w:t>
      </w:r>
      <w:r w:rsidR="00945A21">
        <w:rPr>
          <w:rFonts w:ascii="Times New Roman" w:hAnsi="Times New Roman" w:cs="Times New Roman"/>
          <w:sz w:val="24"/>
          <w:szCs w:val="24"/>
        </w:rPr>
        <w:t>Arkansas</w:t>
      </w:r>
      <w:r w:rsidR="008951E2" w:rsidRPr="67F58C1C">
        <w:rPr>
          <w:rFonts w:ascii="Times New Roman" w:hAnsi="Times New Roman" w:cs="Times New Roman"/>
          <w:sz w:val="24"/>
          <w:szCs w:val="24"/>
        </w:rPr>
        <w:t xml:space="preserve"> Cooperative Extension employees to better understand the reasons they remain in their positions. County level participants were described as County Extension Agents, Staff Chairs, Program Assistants and Administrative Support staff.</w:t>
      </w:r>
      <w:r w:rsidR="00EC598B">
        <w:rPr>
          <w:rFonts w:ascii="Times New Roman" w:hAnsi="Times New Roman" w:cs="Times New Roman"/>
          <w:sz w:val="24"/>
          <w:szCs w:val="24"/>
        </w:rPr>
        <w:t xml:space="preserve"> The following objectives guided the study:</w:t>
      </w:r>
    </w:p>
    <w:p w14:paraId="010456D0" w14:textId="493B5CB6" w:rsidR="008951E2" w:rsidRPr="00C5159C" w:rsidRDefault="008951E2" w:rsidP="00F31B4C">
      <w:pPr>
        <w:widowControl w:val="0"/>
        <w:spacing w:after="240" w:line="240" w:lineRule="auto"/>
        <w:rPr>
          <w:rFonts w:ascii="Times New Roman" w:hAnsi="Times New Roman" w:cs="Times New Roman"/>
          <w:sz w:val="24"/>
          <w:szCs w:val="24"/>
        </w:rPr>
      </w:pPr>
      <w:bookmarkStart w:id="4" w:name="_Hlk211772852"/>
      <w:bookmarkEnd w:id="3"/>
      <w:r>
        <w:rPr>
          <w:rFonts w:ascii="Times New Roman" w:hAnsi="Times New Roman" w:cs="Times New Roman"/>
          <w:sz w:val="24"/>
          <w:szCs w:val="24"/>
        </w:rPr>
        <w:t xml:space="preserve">Objective 1: </w:t>
      </w:r>
      <w:r w:rsidRPr="00E7019F">
        <w:rPr>
          <w:rFonts w:ascii="Times New Roman" w:eastAsia="Times New Roman" w:hAnsi="Times New Roman" w:cs="Times New Roman"/>
          <w:color w:val="242424"/>
          <w:kern w:val="0"/>
          <w:sz w:val="24"/>
          <w:szCs w:val="24"/>
          <w:bdr w:val="none" w:sz="0" w:space="0" w:color="auto" w:frame="1"/>
          <w14:ligatures w14:val="none"/>
        </w:rPr>
        <w:t xml:space="preserve">To describe selected </w:t>
      </w:r>
      <w:r w:rsidR="00945A21">
        <w:rPr>
          <w:rFonts w:ascii="Times New Roman" w:eastAsia="Times New Roman" w:hAnsi="Times New Roman" w:cs="Times New Roman"/>
          <w:color w:val="242424"/>
          <w:kern w:val="0"/>
          <w:sz w:val="24"/>
          <w:szCs w:val="24"/>
          <w:bdr w:val="none" w:sz="0" w:space="0" w:color="auto" w:frame="1"/>
          <w14:ligatures w14:val="none"/>
        </w:rPr>
        <w:t>Arkansas</w:t>
      </w:r>
      <w:r w:rsidRPr="00E7019F">
        <w:rPr>
          <w:rFonts w:ascii="Times New Roman" w:eastAsia="Times New Roman" w:hAnsi="Times New Roman" w:cs="Times New Roman"/>
          <w:color w:val="242424"/>
          <w:kern w:val="0"/>
          <w:sz w:val="24"/>
          <w:szCs w:val="24"/>
          <w:bdr w:val="none" w:sz="0" w:space="0" w:color="auto" w:frame="1"/>
          <w14:ligatures w14:val="none"/>
        </w:rPr>
        <w:t xml:space="preserve"> Cooperative Extension employees’ demographic characteristics of age, gender, job title, appointment, and length of time employed in their position. </w:t>
      </w:r>
    </w:p>
    <w:p w14:paraId="1E830AC2" w14:textId="65D4716E" w:rsidR="008951E2" w:rsidRPr="00C5159C"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Objective 2: To describe the level of Job Embeddedness dimensions, job satisfaction, and intent to stay for selected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Cooperative Extension employees.</w:t>
      </w:r>
    </w:p>
    <w:p w14:paraId="244079DD" w14:textId="6C9C4242" w:rsidR="008951E2" w:rsidRPr="00C5159C"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Objective 3: To describe the relationships between demographic characteristics, Job Embeddedness dimensions, job satisfaction, and intent to stay for selected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Cooperative Extension employees.</w:t>
      </w:r>
    </w:p>
    <w:p w14:paraId="588FD9E7" w14:textId="38C066CE" w:rsidR="008951E2" w:rsidRPr="00C5159C" w:rsidRDefault="008951E2" w:rsidP="00F31B4C">
      <w:pPr>
        <w:widowControl w:val="0"/>
        <w:spacing w:after="240" w:line="240" w:lineRule="auto"/>
        <w:rPr>
          <w:rFonts w:ascii="Times New Roman" w:hAnsi="Times New Roman" w:cs="Times New Roman"/>
          <w:sz w:val="24"/>
          <w:szCs w:val="24"/>
          <w:highlight w:val="yellow"/>
        </w:rPr>
      </w:pPr>
      <w:r w:rsidRPr="67F58C1C">
        <w:rPr>
          <w:rFonts w:ascii="Times New Roman" w:hAnsi="Times New Roman" w:cs="Times New Roman"/>
          <w:sz w:val="24"/>
          <w:szCs w:val="24"/>
        </w:rPr>
        <w:t xml:space="preserve">Objective 4: To determine if a single or linear combination of demographic characteristics, Job Embeddedness dimensions, or job satisfaction can explain a significant (p &lt; .05) portion of the variance in intent to stay for selected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Cooperative Extension employees.</w:t>
      </w:r>
    </w:p>
    <w:bookmarkEnd w:id="4"/>
    <w:p w14:paraId="7CCC81F6" w14:textId="34E311D6" w:rsidR="008951E2" w:rsidRDefault="008951E2" w:rsidP="00F31B4C">
      <w:pPr>
        <w:widowControl w:val="0"/>
        <w:spacing w:after="240" w:line="240" w:lineRule="auto"/>
        <w:jc w:val="center"/>
        <w:rPr>
          <w:rFonts w:ascii="Times New Roman" w:hAnsi="Times New Roman" w:cs="Times New Roman"/>
          <w:b/>
          <w:bCs/>
        </w:rPr>
      </w:pPr>
      <w:r w:rsidRPr="008951E2">
        <w:rPr>
          <w:rFonts w:ascii="Times New Roman" w:hAnsi="Times New Roman" w:cs="Times New Roman"/>
          <w:b/>
          <w:bCs/>
        </w:rPr>
        <w:t>Methods/Procedure</w:t>
      </w:r>
    </w:p>
    <w:p w14:paraId="725FECB7" w14:textId="6B6CDEDF" w:rsidR="008951E2"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This study employed a quantitative design utilizing an adapted version of the Job Embeddedness instrument developed by Mitchell et al. (2001), Job Satisfaction instrument developed by Luthans et al. (200</w:t>
      </w:r>
      <w:r w:rsidR="00885043">
        <w:rPr>
          <w:rFonts w:ascii="Times New Roman" w:hAnsi="Times New Roman" w:cs="Times New Roman"/>
          <w:sz w:val="24"/>
          <w:szCs w:val="24"/>
        </w:rPr>
        <w:t>7</w:t>
      </w:r>
      <w:r w:rsidRPr="67F58C1C">
        <w:rPr>
          <w:rFonts w:ascii="Times New Roman" w:hAnsi="Times New Roman" w:cs="Times New Roman"/>
          <w:sz w:val="24"/>
          <w:szCs w:val="24"/>
        </w:rPr>
        <w:t xml:space="preserve">), and </w:t>
      </w:r>
      <w:r>
        <w:rPr>
          <w:rFonts w:ascii="Times New Roman" w:hAnsi="Times New Roman" w:cs="Times New Roman"/>
          <w:sz w:val="24"/>
          <w:szCs w:val="24"/>
        </w:rPr>
        <w:t xml:space="preserve">a modified </w:t>
      </w:r>
      <w:r w:rsidRPr="67F58C1C">
        <w:rPr>
          <w:rFonts w:ascii="Times New Roman" w:hAnsi="Times New Roman" w:cs="Times New Roman"/>
          <w:sz w:val="24"/>
          <w:szCs w:val="24"/>
        </w:rPr>
        <w:t>Intent to Stay instrument developed by Hoisch (2001).</w:t>
      </w:r>
    </w:p>
    <w:p w14:paraId="2BDAAE5B" w14:textId="3F748770" w:rsidR="008951E2" w:rsidRPr="00357AFF"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A cross-sectional survey methodology was </w:t>
      </w:r>
      <w:r w:rsidR="00761013">
        <w:rPr>
          <w:rFonts w:ascii="Times New Roman" w:hAnsi="Times New Roman" w:cs="Times New Roman"/>
          <w:sz w:val="24"/>
          <w:szCs w:val="24"/>
        </w:rPr>
        <w:t>used</w:t>
      </w:r>
      <w:r w:rsidR="00761013" w:rsidRPr="67F58C1C">
        <w:rPr>
          <w:rFonts w:ascii="Times New Roman" w:hAnsi="Times New Roman" w:cs="Times New Roman"/>
          <w:sz w:val="24"/>
          <w:szCs w:val="24"/>
        </w:rPr>
        <w:t xml:space="preserve"> </w:t>
      </w:r>
      <w:r w:rsidRPr="67F58C1C">
        <w:rPr>
          <w:rFonts w:ascii="Times New Roman" w:hAnsi="Times New Roman" w:cs="Times New Roman"/>
          <w:sz w:val="24"/>
          <w:szCs w:val="24"/>
        </w:rPr>
        <w:t>as it allows researchers to construct quantitative descriptions of a population by gathering information from members of that population at a specific point in time (Groves et al., 2009). Furthermore, surveys are appropriate when seeking to measure attitudes, perceptions, and self-reported behaviors (Dillman et al., 2014). Job Embeddedness Theory, which examines why employees stay rather than why they leave an organization, is well-suited to measur</w:t>
      </w:r>
      <w:r w:rsidR="00932F1F">
        <w:rPr>
          <w:rFonts w:ascii="Times New Roman" w:hAnsi="Times New Roman" w:cs="Times New Roman"/>
          <w:sz w:val="24"/>
          <w:szCs w:val="24"/>
        </w:rPr>
        <w:t>e t</w:t>
      </w:r>
      <w:r w:rsidRPr="67F58C1C">
        <w:rPr>
          <w:rFonts w:ascii="Times New Roman" w:hAnsi="Times New Roman" w:cs="Times New Roman"/>
          <w:sz w:val="24"/>
          <w:szCs w:val="24"/>
        </w:rPr>
        <w:t>hrough survey methodology, as it requires assessment of employee perceptions regarding fit, links, and sacrifice in relation to both organization and community (Mitchell et al., 2001).</w:t>
      </w:r>
    </w:p>
    <w:p w14:paraId="7F5F92C0" w14:textId="77777777" w:rsidR="008951E2" w:rsidRPr="00577F79" w:rsidRDefault="008951E2" w:rsidP="00F31B4C">
      <w:pPr>
        <w:pStyle w:val="Style2"/>
        <w:widowControl w:val="0"/>
        <w:spacing w:after="240" w:line="240" w:lineRule="auto"/>
      </w:pPr>
      <w:bookmarkStart w:id="5" w:name="_Toc212745095"/>
      <w:bookmarkStart w:id="6" w:name="_Toc212745165"/>
      <w:bookmarkStart w:id="7" w:name="_Toc212746411"/>
      <w:r w:rsidRPr="67F58C1C">
        <w:t>Population and Sample</w:t>
      </w:r>
      <w:bookmarkEnd w:id="5"/>
      <w:bookmarkEnd w:id="6"/>
      <w:bookmarkEnd w:id="7"/>
    </w:p>
    <w:p w14:paraId="2FAD2281" w14:textId="47F15C72" w:rsidR="008A639C"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The population for this study consisted of all county-level employees (N = 328) of the University of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Cooperative Extension Service (</w:t>
      </w:r>
      <w:r w:rsidR="00945A21">
        <w:rPr>
          <w:rFonts w:ascii="Times New Roman" w:hAnsi="Times New Roman" w:cs="Times New Roman"/>
          <w:sz w:val="24"/>
          <w:szCs w:val="24"/>
        </w:rPr>
        <w:t>Arkansas</w:t>
      </w:r>
      <w:r w:rsidR="000E7D85" w:rsidRPr="67F58C1C">
        <w:rPr>
          <w:rFonts w:ascii="Times New Roman" w:hAnsi="Times New Roman" w:cs="Times New Roman"/>
          <w:sz w:val="24"/>
          <w:szCs w:val="24"/>
        </w:rPr>
        <w:t xml:space="preserve"> </w:t>
      </w:r>
      <w:r w:rsidRPr="67F58C1C">
        <w:rPr>
          <w:rFonts w:ascii="Times New Roman" w:hAnsi="Times New Roman" w:cs="Times New Roman"/>
          <w:sz w:val="24"/>
          <w:szCs w:val="24"/>
        </w:rPr>
        <w:t xml:space="preserve">CES) employed as of July 15, 2025. This included individuals with the job classifications of county </w:t>
      </w:r>
      <w:r w:rsidR="00827A1D">
        <w:rPr>
          <w:rFonts w:ascii="Times New Roman" w:hAnsi="Times New Roman" w:cs="Times New Roman"/>
          <w:sz w:val="24"/>
          <w:szCs w:val="24"/>
        </w:rPr>
        <w:t>E</w:t>
      </w:r>
      <w:r w:rsidRPr="67F58C1C">
        <w:rPr>
          <w:rFonts w:ascii="Times New Roman" w:hAnsi="Times New Roman" w:cs="Times New Roman"/>
          <w:sz w:val="24"/>
          <w:szCs w:val="24"/>
        </w:rPr>
        <w:t>xtension agents (</w:t>
      </w:r>
      <w:r w:rsidRPr="67F58C1C">
        <w:rPr>
          <w:rFonts w:ascii="Times New Roman" w:hAnsi="Times New Roman" w:cs="Times New Roman"/>
          <w:i/>
          <w:iCs/>
          <w:sz w:val="24"/>
          <w:szCs w:val="24"/>
        </w:rPr>
        <w:t xml:space="preserve">n </w:t>
      </w:r>
      <w:r w:rsidRPr="67F58C1C">
        <w:rPr>
          <w:rFonts w:ascii="Times New Roman" w:hAnsi="Times New Roman" w:cs="Times New Roman"/>
          <w:sz w:val="24"/>
          <w:szCs w:val="24"/>
        </w:rPr>
        <w:t>= 1</w:t>
      </w:r>
      <w:r w:rsidRPr="00E5532D">
        <w:rPr>
          <w:rFonts w:ascii="Times New Roman" w:hAnsi="Times New Roman" w:cs="Times New Roman"/>
          <w:sz w:val="24"/>
          <w:szCs w:val="24"/>
        </w:rPr>
        <w:t>2</w:t>
      </w:r>
      <w:r w:rsidRPr="67F58C1C">
        <w:rPr>
          <w:rFonts w:ascii="Times New Roman" w:hAnsi="Times New Roman" w:cs="Times New Roman"/>
          <w:sz w:val="24"/>
          <w:szCs w:val="24"/>
        </w:rPr>
        <w:t xml:space="preserve">9), staff </w:t>
      </w:r>
      <w:r w:rsidRPr="67F58C1C">
        <w:rPr>
          <w:rFonts w:ascii="Times New Roman" w:hAnsi="Times New Roman" w:cs="Times New Roman"/>
          <w:sz w:val="24"/>
          <w:szCs w:val="24"/>
        </w:rPr>
        <w:lastRenderedPageBreak/>
        <w:t>chairs (</w:t>
      </w:r>
      <w:r w:rsidRPr="67F58C1C">
        <w:rPr>
          <w:rFonts w:ascii="Times New Roman" w:hAnsi="Times New Roman" w:cs="Times New Roman"/>
          <w:i/>
          <w:iCs/>
          <w:sz w:val="24"/>
          <w:szCs w:val="24"/>
        </w:rPr>
        <w:t xml:space="preserve">n </w:t>
      </w:r>
      <w:r w:rsidRPr="67F58C1C">
        <w:rPr>
          <w:rFonts w:ascii="Times New Roman" w:hAnsi="Times New Roman" w:cs="Times New Roman"/>
          <w:sz w:val="24"/>
          <w:szCs w:val="24"/>
        </w:rPr>
        <w:t>= 75), administrative staff (</w:t>
      </w:r>
      <w:r w:rsidRPr="67F58C1C">
        <w:rPr>
          <w:rFonts w:ascii="Times New Roman" w:hAnsi="Times New Roman" w:cs="Times New Roman"/>
          <w:i/>
          <w:iCs/>
          <w:sz w:val="24"/>
          <w:szCs w:val="24"/>
        </w:rPr>
        <w:t xml:space="preserve">n </w:t>
      </w:r>
      <w:r w:rsidRPr="67F58C1C">
        <w:rPr>
          <w:rFonts w:ascii="Times New Roman" w:hAnsi="Times New Roman" w:cs="Times New Roman"/>
          <w:sz w:val="24"/>
          <w:szCs w:val="24"/>
        </w:rPr>
        <w:t xml:space="preserve">= </w:t>
      </w:r>
      <w:r w:rsidRPr="00E5532D">
        <w:rPr>
          <w:rFonts w:ascii="Times New Roman" w:hAnsi="Times New Roman" w:cs="Times New Roman"/>
          <w:sz w:val="24"/>
          <w:szCs w:val="24"/>
        </w:rPr>
        <w:t>99</w:t>
      </w:r>
      <w:r w:rsidRPr="67F58C1C">
        <w:rPr>
          <w:rFonts w:ascii="Times New Roman" w:hAnsi="Times New Roman" w:cs="Times New Roman"/>
          <w:sz w:val="24"/>
          <w:szCs w:val="24"/>
        </w:rPr>
        <w:t>), and program assistants (</w:t>
      </w:r>
      <w:r w:rsidRPr="67F58C1C">
        <w:rPr>
          <w:rFonts w:ascii="Times New Roman" w:hAnsi="Times New Roman" w:cs="Times New Roman"/>
          <w:i/>
          <w:iCs/>
          <w:sz w:val="24"/>
          <w:szCs w:val="24"/>
        </w:rPr>
        <w:t xml:space="preserve">n </w:t>
      </w:r>
      <w:r w:rsidRPr="67F58C1C">
        <w:rPr>
          <w:rFonts w:ascii="Times New Roman" w:hAnsi="Times New Roman" w:cs="Times New Roman"/>
          <w:sz w:val="24"/>
          <w:szCs w:val="24"/>
        </w:rPr>
        <w:t xml:space="preserve">= </w:t>
      </w:r>
      <w:r w:rsidRPr="00E5532D">
        <w:rPr>
          <w:rFonts w:ascii="Times New Roman" w:hAnsi="Times New Roman" w:cs="Times New Roman"/>
          <w:sz w:val="24"/>
          <w:szCs w:val="24"/>
        </w:rPr>
        <w:t>25)</w:t>
      </w:r>
      <w:r w:rsidRPr="67F58C1C">
        <w:rPr>
          <w:rFonts w:ascii="Times New Roman" w:hAnsi="Times New Roman" w:cs="Times New Roman"/>
          <w:sz w:val="24"/>
          <w:szCs w:val="24"/>
        </w:rPr>
        <w:t>. A census of this defined population was conducted, meaning that every eligible individual was included in the study.</w:t>
      </w:r>
    </w:p>
    <w:p w14:paraId="4B81E2FA" w14:textId="36622F5B" w:rsidR="008951E2" w:rsidRPr="00577F79"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Although the study encompassed the entire population of interest at a specific point in time, inferential statistical methods were employed to support generalization beyond this group. Specifically, the findings are intended to inform </w:t>
      </w:r>
      <w:r w:rsidR="00945A21">
        <w:rPr>
          <w:rFonts w:ascii="Times New Roman" w:hAnsi="Times New Roman" w:cs="Times New Roman"/>
          <w:sz w:val="24"/>
          <w:szCs w:val="24"/>
        </w:rPr>
        <w:t>Arkansas</w:t>
      </w:r>
      <w:r w:rsidR="00761013">
        <w:rPr>
          <w:rFonts w:ascii="Times New Roman" w:hAnsi="Times New Roman" w:cs="Times New Roman"/>
          <w:sz w:val="24"/>
          <w:szCs w:val="24"/>
        </w:rPr>
        <w:t xml:space="preserve"> </w:t>
      </w:r>
      <w:r w:rsidRPr="67F58C1C">
        <w:rPr>
          <w:rFonts w:ascii="Times New Roman" w:hAnsi="Times New Roman" w:cs="Times New Roman"/>
          <w:sz w:val="24"/>
          <w:szCs w:val="24"/>
        </w:rPr>
        <w:t>CES leadership and management and potentially similar CES systems in other states or regions. This broader group constitute</w:t>
      </w:r>
      <w:r>
        <w:rPr>
          <w:rFonts w:ascii="Times New Roman" w:hAnsi="Times New Roman" w:cs="Times New Roman"/>
          <w:sz w:val="24"/>
          <w:szCs w:val="24"/>
        </w:rPr>
        <w:t>d</w:t>
      </w:r>
      <w:r w:rsidRPr="67F58C1C">
        <w:rPr>
          <w:rFonts w:ascii="Times New Roman" w:hAnsi="Times New Roman" w:cs="Times New Roman"/>
          <w:sz w:val="24"/>
          <w:szCs w:val="24"/>
        </w:rPr>
        <w:t xml:space="preserve"> the </w:t>
      </w:r>
      <w:r w:rsidRPr="00E5532D">
        <w:rPr>
          <w:rFonts w:ascii="Times New Roman" w:hAnsi="Times New Roman" w:cs="Times New Roman"/>
          <w:sz w:val="24"/>
          <w:szCs w:val="24"/>
        </w:rPr>
        <w:t>target population</w:t>
      </w:r>
      <w:r w:rsidRPr="67F58C1C">
        <w:rPr>
          <w:rFonts w:ascii="Times New Roman" w:hAnsi="Times New Roman" w:cs="Times New Roman"/>
          <w:sz w:val="24"/>
          <w:szCs w:val="24"/>
        </w:rPr>
        <w:t xml:space="preserve">, and the use of inferential statistics </w:t>
      </w:r>
      <w:r w:rsidR="00761013">
        <w:rPr>
          <w:rFonts w:ascii="Times New Roman" w:hAnsi="Times New Roman" w:cs="Times New Roman"/>
          <w:sz w:val="24"/>
          <w:szCs w:val="24"/>
        </w:rPr>
        <w:t>was</w:t>
      </w:r>
      <w:r w:rsidR="00761013" w:rsidRPr="67F58C1C">
        <w:rPr>
          <w:rFonts w:ascii="Times New Roman" w:hAnsi="Times New Roman" w:cs="Times New Roman"/>
          <w:sz w:val="24"/>
          <w:szCs w:val="24"/>
        </w:rPr>
        <w:t xml:space="preserve"> </w:t>
      </w:r>
      <w:r w:rsidRPr="67F58C1C">
        <w:rPr>
          <w:rFonts w:ascii="Times New Roman" w:hAnsi="Times New Roman" w:cs="Times New Roman"/>
          <w:sz w:val="24"/>
          <w:szCs w:val="24"/>
        </w:rPr>
        <w:t xml:space="preserve">justified by the assumption that the current population </w:t>
      </w:r>
      <w:r w:rsidR="00713852">
        <w:rPr>
          <w:rFonts w:ascii="Times New Roman" w:hAnsi="Times New Roman" w:cs="Times New Roman"/>
          <w:sz w:val="24"/>
          <w:szCs w:val="24"/>
        </w:rPr>
        <w:t xml:space="preserve">was </w:t>
      </w:r>
      <w:r w:rsidRPr="67F58C1C">
        <w:rPr>
          <w:rFonts w:ascii="Times New Roman" w:hAnsi="Times New Roman" w:cs="Times New Roman"/>
          <w:sz w:val="24"/>
          <w:szCs w:val="24"/>
        </w:rPr>
        <w:t>representative of this wider context.</w:t>
      </w:r>
      <w:r w:rsidR="008A639C">
        <w:rPr>
          <w:rFonts w:ascii="Times New Roman" w:hAnsi="Times New Roman" w:cs="Times New Roman"/>
          <w:sz w:val="24"/>
          <w:szCs w:val="24"/>
        </w:rPr>
        <w:t xml:space="preserve"> </w:t>
      </w:r>
      <w:r w:rsidRPr="67F58C1C">
        <w:rPr>
          <w:rFonts w:ascii="Times New Roman" w:hAnsi="Times New Roman" w:cs="Times New Roman"/>
          <w:sz w:val="24"/>
          <w:szCs w:val="24"/>
        </w:rPr>
        <w:t xml:space="preserve">Alexander (2015) argued that inferential statistics </w:t>
      </w:r>
      <w:r w:rsidR="008A639C">
        <w:rPr>
          <w:rFonts w:ascii="Times New Roman" w:hAnsi="Times New Roman" w:cs="Times New Roman"/>
          <w:sz w:val="24"/>
          <w:szCs w:val="24"/>
        </w:rPr>
        <w:t xml:space="preserve">are appropriate </w:t>
      </w:r>
      <w:r w:rsidRPr="67F58C1C">
        <w:rPr>
          <w:rFonts w:ascii="Times New Roman" w:hAnsi="Times New Roman" w:cs="Times New Roman"/>
          <w:sz w:val="24"/>
          <w:szCs w:val="24"/>
        </w:rPr>
        <w:t>in whole-population studies when the study population is considered representative of a broader group</w:t>
      </w:r>
      <w:r>
        <w:rPr>
          <w:rFonts w:ascii="Times New Roman" w:hAnsi="Times New Roman" w:cs="Times New Roman"/>
          <w:sz w:val="24"/>
          <w:szCs w:val="24"/>
        </w:rPr>
        <w:t xml:space="preserve">, </w:t>
      </w:r>
      <w:r w:rsidRPr="67F58C1C">
        <w:rPr>
          <w:rFonts w:ascii="Times New Roman" w:hAnsi="Times New Roman" w:cs="Times New Roman"/>
          <w:sz w:val="24"/>
          <w:szCs w:val="24"/>
        </w:rPr>
        <w:t>referred to as </w:t>
      </w:r>
      <w:r w:rsidR="008A639C">
        <w:rPr>
          <w:rFonts w:ascii="Times New Roman" w:hAnsi="Times New Roman" w:cs="Times New Roman"/>
          <w:sz w:val="24"/>
          <w:szCs w:val="24"/>
        </w:rPr>
        <w:t xml:space="preserve">a </w:t>
      </w:r>
      <w:r w:rsidRPr="00E5532D">
        <w:rPr>
          <w:rFonts w:ascii="Times New Roman" w:hAnsi="Times New Roman" w:cs="Times New Roman"/>
          <w:sz w:val="24"/>
          <w:szCs w:val="24"/>
        </w:rPr>
        <w:t>superpopulation</w:t>
      </w:r>
      <w:r w:rsidRPr="67F58C1C">
        <w:rPr>
          <w:rFonts w:ascii="Times New Roman" w:hAnsi="Times New Roman" w:cs="Times New Roman"/>
          <w:sz w:val="24"/>
          <w:szCs w:val="24"/>
        </w:rPr>
        <w:t xml:space="preserve">. </w:t>
      </w:r>
    </w:p>
    <w:p w14:paraId="04AEADCA" w14:textId="77777777" w:rsidR="008951E2" w:rsidRPr="00357AFF" w:rsidRDefault="008951E2" w:rsidP="00F31B4C">
      <w:pPr>
        <w:pStyle w:val="Style2"/>
        <w:widowControl w:val="0"/>
        <w:spacing w:after="240" w:line="240" w:lineRule="auto"/>
      </w:pPr>
      <w:bookmarkStart w:id="8" w:name="_Toc212745106"/>
      <w:bookmarkStart w:id="9" w:name="_Toc212745169"/>
      <w:bookmarkStart w:id="10" w:name="_Toc212746415"/>
      <w:r w:rsidRPr="67F58C1C">
        <w:t>Data Collection Procedures</w:t>
      </w:r>
      <w:bookmarkEnd w:id="8"/>
      <w:bookmarkEnd w:id="9"/>
      <w:bookmarkEnd w:id="10"/>
    </w:p>
    <w:p w14:paraId="3C4DCA24" w14:textId="5172F8A1" w:rsidR="008951E2" w:rsidRPr="00357AFF"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Data collection was conducted through </w:t>
      </w:r>
      <w:r w:rsidR="00DF26E3">
        <w:rPr>
          <w:rFonts w:ascii="Times New Roman" w:hAnsi="Times New Roman" w:cs="Times New Roman"/>
          <w:sz w:val="24"/>
          <w:szCs w:val="24"/>
        </w:rPr>
        <w:t>a Qualtric</w:t>
      </w:r>
      <w:r w:rsidR="00932F1F">
        <w:rPr>
          <w:rFonts w:ascii="Times New Roman" w:hAnsi="Times New Roman" w:cs="Times New Roman"/>
          <w:sz w:val="24"/>
          <w:szCs w:val="24"/>
        </w:rPr>
        <w:t>s</w:t>
      </w:r>
      <w:r w:rsidR="00DF26E3">
        <w:rPr>
          <w:rFonts w:ascii="Times New Roman" w:hAnsi="Times New Roman" w:cs="Times New Roman"/>
          <w:sz w:val="24"/>
          <w:szCs w:val="24"/>
        </w:rPr>
        <w:t xml:space="preserve"> survey</w:t>
      </w:r>
      <w:r w:rsidRPr="67F58C1C">
        <w:rPr>
          <w:rFonts w:ascii="Times New Roman" w:hAnsi="Times New Roman" w:cs="Times New Roman"/>
          <w:sz w:val="24"/>
          <w:szCs w:val="24"/>
        </w:rPr>
        <w:t xml:space="preserve"> to enable efficient distribution and data management. The survey was distributed to all identified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CES employees through their University of </w:t>
      </w:r>
      <w:r w:rsidR="00945A21">
        <w:rPr>
          <w:rFonts w:ascii="Times New Roman" w:hAnsi="Times New Roman" w:cs="Times New Roman"/>
          <w:sz w:val="24"/>
          <w:szCs w:val="24"/>
        </w:rPr>
        <w:t>Arkansas</w:t>
      </w:r>
      <w:r w:rsidR="00DD53AD">
        <w:rPr>
          <w:rFonts w:ascii="Times New Roman" w:hAnsi="Times New Roman" w:cs="Times New Roman"/>
          <w:sz w:val="24"/>
          <w:szCs w:val="24"/>
        </w:rPr>
        <w:t xml:space="preserve"> </w:t>
      </w:r>
      <w:r w:rsidRPr="67F58C1C">
        <w:rPr>
          <w:rFonts w:ascii="Times New Roman" w:hAnsi="Times New Roman" w:cs="Times New Roman"/>
          <w:sz w:val="24"/>
          <w:szCs w:val="24"/>
        </w:rPr>
        <w:t>email addresses. The researcher obtained a list of those within the target population (</w:t>
      </w:r>
      <w:r w:rsidR="008A639C" w:rsidRPr="67F58C1C">
        <w:rPr>
          <w:rFonts w:ascii="Times New Roman" w:hAnsi="Times New Roman" w:cs="Times New Roman"/>
          <w:sz w:val="24"/>
          <w:szCs w:val="24"/>
        </w:rPr>
        <w:t>i.e.</w:t>
      </w:r>
      <w:r w:rsidRPr="67F58C1C">
        <w:rPr>
          <w:rFonts w:ascii="Times New Roman" w:hAnsi="Times New Roman" w:cs="Times New Roman"/>
          <w:sz w:val="24"/>
          <w:szCs w:val="24"/>
        </w:rPr>
        <w:t xml:space="preserve">, Extension employees) from the university-managed email distribution lists. </w:t>
      </w:r>
    </w:p>
    <w:p w14:paraId="0F50A3EB" w14:textId="2B8BAC88" w:rsidR="008951E2" w:rsidRPr="00357AFF"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On July 16, 2025</w:t>
      </w:r>
      <w:r w:rsidR="00F80991">
        <w:rPr>
          <w:rFonts w:ascii="Times New Roman" w:hAnsi="Times New Roman" w:cs="Times New Roman"/>
          <w:sz w:val="24"/>
          <w:szCs w:val="24"/>
        </w:rPr>
        <w:t>,</w:t>
      </w:r>
      <w:r w:rsidRPr="67F58C1C">
        <w:rPr>
          <w:rFonts w:ascii="Times New Roman" w:hAnsi="Times New Roman" w:cs="Times New Roman"/>
          <w:sz w:val="24"/>
          <w:szCs w:val="24"/>
        </w:rPr>
        <w:t xml:space="preserve"> an initial invitation email was sent by the </w:t>
      </w:r>
      <w:r w:rsidR="00945A21">
        <w:rPr>
          <w:rFonts w:ascii="Times New Roman" w:hAnsi="Times New Roman" w:cs="Times New Roman"/>
          <w:sz w:val="24"/>
          <w:szCs w:val="24"/>
        </w:rPr>
        <w:t>Arkansas</w:t>
      </w:r>
      <w:r w:rsidR="000F57D1">
        <w:rPr>
          <w:rFonts w:ascii="Times New Roman" w:hAnsi="Times New Roman" w:cs="Times New Roman"/>
          <w:sz w:val="24"/>
          <w:szCs w:val="24"/>
        </w:rPr>
        <w:t xml:space="preserve"> </w:t>
      </w:r>
      <w:r w:rsidRPr="67F58C1C">
        <w:rPr>
          <w:rFonts w:ascii="Times New Roman" w:hAnsi="Times New Roman" w:cs="Times New Roman"/>
          <w:sz w:val="24"/>
          <w:szCs w:val="24"/>
        </w:rPr>
        <w:t xml:space="preserve">CES Director to all potential participants. The email explained the purpose of the study, emphasized the voluntary nature of participation, described confidentiality protections, and provided a direct link to the survey. It also included contact information for the researcher </w:t>
      </w:r>
      <w:r w:rsidR="00EC598B" w:rsidRPr="67F58C1C">
        <w:rPr>
          <w:rFonts w:ascii="Times New Roman" w:hAnsi="Times New Roman" w:cs="Times New Roman"/>
          <w:sz w:val="24"/>
          <w:szCs w:val="24"/>
        </w:rPr>
        <w:t>and</w:t>
      </w:r>
      <w:r w:rsidRPr="67F58C1C">
        <w:rPr>
          <w:rFonts w:ascii="Times New Roman" w:hAnsi="Times New Roman" w:cs="Times New Roman"/>
          <w:sz w:val="24"/>
          <w:szCs w:val="24"/>
        </w:rPr>
        <w:t xml:space="preserve"> listed the Institutional Review Board (IRB) approval number.</w:t>
      </w:r>
    </w:p>
    <w:p w14:paraId="3D66876F" w14:textId="372F9E91" w:rsidR="00916B0E" w:rsidRPr="00F45A3B"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To maximize response rates, reminder emails were sent weekly from the initial notice until the end of the four-week data collection period. This approach follow</w:t>
      </w:r>
      <w:r>
        <w:rPr>
          <w:rFonts w:ascii="Times New Roman" w:hAnsi="Times New Roman" w:cs="Times New Roman"/>
          <w:sz w:val="24"/>
          <w:szCs w:val="24"/>
        </w:rPr>
        <w:t>ed</w:t>
      </w:r>
      <w:r w:rsidRPr="67F58C1C">
        <w:rPr>
          <w:rFonts w:ascii="Times New Roman" w:hAnsi="Times New Roman" w:cs="Times New Roman"/>
          <w:sz w:val="24"/>
          <w:szCs w:val="24"/>
        </w:rPr>
        <w:t xml:space="preserve"> best practices in survey research, as multiple contacts have been shown to be an effective method of increasing response rates (Dillman, 1991; Schaefer &amp; Dillman, 1998). The total data collection period lasted four weeks, allowing sufficient time for participants to respond while maintaining a manageable timeline for the research project. </w:t>
      </w:r>
      <w:r w:rsidR="00916B0E" w:rsidRPr="00F45A3B">
        <w:rPr>
          <w:rFonts w:ascii="Times New Roman" w:hAnsi="Times New Roman" w:cs="Times New Roman"/>
          <w:sz w:val="24"/>
          <w:szCs w:val="24"/>
        </w:rPr>
        <w:t>After individuals completed the study, their participation was considered finished. No records were kept beyond the initial list of invited participants. All data were reported in aggregate and not linked to any individual.</w:t>
      </w:r>
    </w:p>
    <w:p w14:paraId="4445F003" w14:textId="060F8EE4" w:rsidR="008951E2"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 xml:space="preserve">For those who consented, every effort was made to keep responses confidential. Access to the individual data was limited to the study researcher, graduate research advisor, and if requested, the IRB at the University of </w:t>
      </w:r>
      <w:r w:rsidR="00945A21">
        <w:rPr>
          <w:rFonts w:ascii="Times New Roman" w:hAnsi="Times New Roman" w:cs="Times New Roman"/>
          <w:sz w:val="24"/>
          <w:szCs w:val="24"/>
        </w:rPr>
        <w:t>Arkansas</w:t>
      </w:r>
      <w:r w:rsidRPr="67F58C1C">
        <w:rPr>
          <w:rFonts w:ascii="Times New Roman" w:hAnsi="Times New Roman" w:cs="Times New Roman"/>
          <w:sz w:val="24"/>
          <w:szCs w:val="24"/>
        </w:rPr>
        <w:t xml:space="preserve">. Responses were confidential, but not anonymous. Given the nature of the research and potential perception from the target population, emphasis was made that data collected will not be shared or used beyond the scope of the research study to which they have consented. An individual’s decision to participate in this research was voluntary. </w:t>
      </w:r>
    </w:p>
    <w:p w14:paraId="35E7E250" w14:textId="77777777" w:rsidR="008951E2" w:rsidRPr="009C4092" w:rsidRDefault="008951E2" w:rsidP="00F31B4C">
      <w:pPr>
        <w:pStyle w:val="Style2"/>
        <w:widowControl w:val="0"/>
        <w:spacing w:after="240" w:line="240" w:lineRule="auto"/>
      </w:pPr>
      <w:bookmarkStart w:id="11" w:name="_Toc212745107"/>
      <w:bookmarkStart w:id="12" w:name="_Toc212745170"/>
      <w:bookmarkStart w:id="13" w:name="_Toc212746416"/>
      <w:r>
        <w:t>S</w:t>
      </w:r>
      <w:r w:rsidRPr="009C4092">
        <w:t>urvey Distribution and Response Rates</w:t>
      </w:r>
      <w:bookmarkEnd w:id="11"/>
      <w:bookmarkEnd w:id="12"/>
      <w:bookmarkEnd w:id="13"/>
    </w:p>
    <w:p w14:paraId="237D0ECF" w14:textId="3ECF7F0A" w:rsidR="00916B0E" w:rsidRDefault="008951E2" w:rsidP="00F31B4C">
      <w:pPr>
        <w:widowControl w:val="0"/>
        <w:spacing w:after="240" w:line="240" w:lineRule="auto"/>
        <w:rPr>
          <w:rFonts w:ascii="Times New Roman" w:hAnsi="Times New Roman" w:cs="Times New Roman"/>
          <w:sz w:val="24"/>
          <w:szCs w:val="24"/>
        </w:rPr>
      </w:pPr>
      <w:bookmarkStart w:id="14" w:name="_Toc212745108"/>
      <w:bookmarkStart w:id="15" w:name="_Toc212745171"/>
      <w:bookmarkStart w:id="16" w:name="_Toc212746417"/>
      <w:r w:rsidRPr="009C4092">
        <w:rPr>
          <w:rFonts w:ascii="Times New Roman" w:hAnsi="Times New Roman" w:cs="Times New Roman"/>
          <w:sz w:val="24"/>
          <w:szCs w:val="24"/>
        </w:rPr>
        <w:t xml:space="preserve">The survey was distributed to a total of 328 county-level Cooperative Extension Service (CES) employees across four role categories: </w:t>
      </w:r>
      <w:r>
        <w:rPr>
          <w:rFonts w:ascii="Times New Roman" w:hAnsi="Times New Roman" w:cs="Times New Roman"/>
          <w:sz w:val="24"/>
          <w:szCs w:val="24"/>
        </w:rPr>
        <w:t>county extension agent (</w:t>
      </w:r>
      <w:r w:rsidRPr="00F1187D">
        <w:rPr>
          <w:rFonts w:ascii="Times New Roman" w:hAnsi="Times New Roman" w:cs="Times New Roman"/>
          <w:i/>
          <w:iCs/>
          <w:sz w:val="24"/>
          <w:szCs w:val="24"/>
        </w:rPr>
        <w:t>n</w:t>
      </w:r>
      <w:r w:rsidR="00995E6D">
        <w:rPr>
          <w:rFonts w:ascii="Times New Roman" w:hAnsi="Times New Roman" w:cs="Times New Roman"/>
          <w:i/>
          <w:iCs/>
          <w:sz w:val="24"/>
          <w:szCs w:val="24"/>
        </w:rPr>
        <w:t xml:space="preserve"> </w:t>
      </w:r>
      <w:r>
        <w:rPr>
          <w:rFonts w:ascii="Times New Roman" w:hAnsi="Times New Roman" w:cs="Times New Roman"/>
          <w:sz w:val="24"/>
          <w:szCs w:val="24"/>
        </w:rPr>
        <w:t>=</w:t>
      </w:r>
      <w:r w:rsidR="008A639C">
        <w:rPr>
          <w:rFonts w:ascii="Times New Roman" w:hAnsi="Times New Roman" w:cs="Times New Roman"/>
          <w:sz w:val="24"/>
          <w:szCs w:val="24"/>
        </w:rPr>
        <w:t xml:space="preserve"> </w:t>
      </w:r>
      <w:r>
        <w:rPr>
          <w:rFonts w:ascii="Times New Roman" w:hAnsi="Times New Roman" w:cs="Times New Roman"/>
          <w:sz w:val="24"/>
          <w:szCs w:val="24"/>
        </w:rPr>
        <w:t xml:space="preserve">129), </w:t>
      </w:r>
      <w:r w:rsidRPr="009C4092">
        <w:rPr>
          <w:rFonts w:ascii="Times New Roman" w:hAnsi="Times New Roman" w:cs="Times New Roman"/>
          <w:sz w:val="24"/>
          <w:szCs w:val="24"/>
        </w:rPr>
        <w:t>staff chairs</w:t>
      </w:r>
      <w:r>
        <w:rPr>
          <w:rFonts w:ascii="Times New Roman" w:hAnsi="Times New Roman" w:cs="Times New Roman"/>
          <w:sz w:val="24"/>
          <w:szCs w:val="24"/>
        </w:rPr>
        <w:t xml:space="preserve"> (</w:t>
      </w:r>
      <w:r w:rsidRPr="00F1187D">
        <w:rPr>
          <w:rFonts w:ascii="Times New Roman" w:hAnsi="Times New Roman" w:cs="Times New Roman"/>
          <w:i/>
          <w:iCs/>
          <w:sz w:val="24"/>
          <w:szCs w:val="24"/>
        </w:rPr>
        <w:t>n</w:t>
      </w:r>
      <w:r w:rsidR="00995E6D">
        <w:rPr>
          <w:rFonts w:ascii="Times New Roman" w:hAnsi="Times New Roman" w:cs="Times New Roman"/>
          <w:i/>
          <w:iCs/>
          <w:sz w:val="24"/>
          <w:szCs w:val="24"/>
        </w:rPr>
        <w:t xml:space="preserve"> </w:t>
      </w:r>
      <w:r>
        <w:rPr>
          <w:rFonts w:ascii="Times New Roman" w:hAnsi="Times New Roman" w:cs="Times New Roman"/>
          <w:sz w:val="24"/>
          <w:szCs w:val="24"/>
        </w:rPr>
        <w:t>=</w:t>
      </w:r>
      <w:r w:rsidR="00995E6D">
        <w:rPr>
          <w:rFonts w:ascii="Times New Roman" w:hAnsi="Times New Roman" w:cs="Times New Roman"/>
          <w:sz w:val="24"/>
          <w:szCs w:val="24"/>
        </w:rPr>
        <w:t xml:space="preserve"> </w:t>
      </w:r>
      <w:r>
        <w:rPr>
          <w:rFonts w:ascii="Times New Roman" w:hAnsi="Times New Roman" w:cs="Times New Roman"/>
          <w:sz w:val="24"/>
          <w:szCs w:val="24"/>
        </w:rPr>
        <w:t>75)</w:t>
      </w:r>
      <w:r w:rsidRPr="009C4092">
        <w:rPr>
          <w:rFonts w:ascii="Times New Roman" w:hAnsi="Times New Roman" w:cs="Times New Roman"/>
          <w:sz w:val="24"/>
          <w:szCs w:val="24"/>
        </w:rPr>
        <w:t>, support staff</w:t>
      </w:r>
      <w:r>
        <w:rPr>
          <w:rFonts w:ascii="Times New Roman" w:hAnsi="Times New Roman" w:cs="Times New Roman"/>
          <w:sz w:val="24"/>
          <w:szCs w:val="24"/>
        </w:rPr>
        <w:t xml:space="preserve"> (</w:t>
      </w:r>
      <w:r w:rsidRPr="00F1187D">
        <w:rPr>
          <w:rFonts w:ascii="Times New Roman" w:hAnsi="Times New Roman" w:cs="Times New Roman"/>
          <w:i/>
          <w:iCs/>
          <w:sz w:val="24"/>
          <w:szCs w:val="24"/>
        </w:rPr>
        <w:t>n</w:t>
      </w:r>
      <w:r w:rsidR="00995E6D">
        <w:rPr>
          <w:rFonts w:ascii="Times New Roman" w:hAnsi="Times New Roman" w:cs="Times New Roman"/>
          <w:i/>
          <w:iCs/>
          <w:sz w:val="24"/>
          <w:szCs w:val="24"/>
        </w:rPr>
        <w:t xml:space="preserve"> </w:t>
      </w:r>
      <w:r>
        <w:rPr>
          <w:rFonts w:ascii="Times New Roman" w:hAnsi="Times New Roman" w:cs="Times New Roman"/>
          <w:sz w:val="24"/>
          <w:szCs w:val="24"/>
        </w:rPr>
        <w:t>=</w:t>
      </w:r>
      <w:r w:rsidR="00995E6D">
        <w:rPr>
          <w:rFonts w:ascii="Times New Roman" w:hAnsi="Times New Roman" w:cs="Times New Roman"/>
          <w:sz w:val="24"/>
          <w:szCs w:val="24"/>
        </w:rPr>
        <w:t xml:space="preserve"> </w:t>
      </w:r>
      <w:r>
        <w:rPr>
          <w:rFonts w:ascii="Times New Roman" w:hAnsi="Times New Roman" w:cs="Times New Roman"/>
          <w:sz w:val="24"/>
          <w:szCs w:val="24"/>
        </w:rPr>
        <w:t>99)</w:t>
      </w:r>
      <w:r w:rsidRPr="009C4092">
        <w:rPr>
          <w:rFonts w:ascii="Times New Roman" w:hAnsi="Times New Roman" w:cs="Times New Roman"/>
          <w:sz w:val="24"/>
          <w:szCs w:val="24"/>
        </w:rPr>
        <w:t>, and program assistants</w:t>
      </w:r>
      <w:r>
        <w:rPr>
          <w:rFonts w:ascii="Times New Roman" w:hAnsi="Times New Roman" w:cs="Times New Roman"/>
          <w:sz w:val="24"/>
          <w:szCs w:val="24"/>
        </w:rPr>
        <w:t xml:space="preserve"> (</w:t>
      </w:r>
      <w:r w:rsidRPr="00F1187D">
        <w:rPr>
          <w:rFonts w:ascii="Times New Roman" w:hAnsi="Times New Roman" w:cs="Times New Roman"/>
          <w:i/>
          <w:iCs/>
          <w:sz w:val="24"/>
          <w:szCs w:val="24"/>
        </w:rPr>
        <w:t>n</w:t>
      </w:r>
      <w:r w:rsidR="008A639C">
        <w:rPr>
          <w:rFonts w:ascii="Times New Roman" w:hAnsi="Times New Roman" w:cs="Times New Roman"/>
          <w:i/>
          <w:iCs/>
          <w:sz w:val="24"/>
          <w:szCs w:val="24"/>
        </w:rPr>
        <w:t xml:space="preserve"> </w:t>
      </w:r>
      <w:r>
        <w:rPr>
          <w:rFonts w:ascii="Times New Roman" w:hAnsi="Times New Roman" w:cs="Times New Roman"/>
          <w:sz w:val="24"/>
          <w:szCs w:val="24"/>
        </w:rPr>
        <w:t>=</w:t>
      </w:r>
      <w:r w:rsidR="008A639C">
        <w:rPr>
          <w:rFonts w:ascii="Times New Roman" w:hAnsi="Times New Roman" w:cs="Times New Roman"/>
          <w:sz w:val="24"/>
          <w:szCs w:val="24"/>
        </w:rPr>
        <w:t xml:space="preserve"> </w:t>
      </w:r>
      <w:r>
        <w:rPr>
          <w:rFonts w:ascii="Times New Roman" w:hAnsi="Times New Roman" w:cs="Times New Roman"/>
          <w:sz w:val="24"/>
          <w:szCs w:val="24"/>
        </w:rPr>
        <w:t>25)</w:t>
      </w:r>
      <w:r w:rsidRPr="009C4092">
        <w:rPr>
          <w:rFonts w:ascii="Times New Roman" w:hAnsi="Times New Roman" w:cs="Times New Roman"/>
          <w:sz w:val="24"/>
          <w:szCs w:val="24"/>
        </w:rPr>
        <w:t xml:space="preserve">. Of those invited, 174 individuals </w:t>
      </w:r>
      <w:r w:rsidRPr="009C4092">
        <w:rPr>
          <w:rFonts w:ascii="Times New Roman" w:hAnsi="Times New Roman" w:cs="Times New Roman"/>
          <w:sz w:val="24"/>
          <w:szCs w:val="24"/>
        </w:rPr>
        <w:lastRenderedPageBreak/>
        <w:t xml:space="preserve">responded, resulting in an overall response rate of 52%. </w:t>
      </w:r>
      <w:r w:rsidR="00EA446A" w:rsidRPr="009C4092">
        <w:rPr>
          <w:rFonts w:ascii="Times New Roman" w:hAnsi="Times New Roman" w:cs="Times New Roman"/>
          <w:sz w:val="24"/>
          <w:szCs w:val="24"/>
        </w:rPr>
        <w:t>T</w:t>
      </w:r>
      <w:r w:rsidR="00EA446A">
        <w:rPr>
          <w:rFonts w:ascii="Times New Roman" w:hAnsi="Times New Roman" w:cs="Times New Roman"/>
          <w:sz w:val="24"/>
          <w:szCs w:val="24"/>
        </w:rPr>
        <w:t xml:space="preserve">his </w:t>
      </w:r>
      <w:r w:rsidR="00EA446A" w:rsidRPr="009C4092">
        <w:rPr>
          <w:rFonts w:ascii="Times New Roman" w:hAnsi="Times New Roman" w:cs="Times New Roman"/>
          <w:sz w:val="24"/>
          <w:szCs w:val="24"/>
        </w:rPr>
        <w:t>response</w:t>
      </w:r>
      <w:r w:rsidR="00276E35">
        <w:rPr>
          <w:rFonts w:ascii="Times New Roman" w:hAnsi="Times New Roman" w:cs="Times New Roman"/>
          <w:sz w:val="24"/>
          <w:szCs w:val="24"/>
        </w:rPr>
        <w:t xml:space="preserve"> rate was </w:t>
      </w:r>
      <w:r w:rsidR="00276E35" w:rsidRPr="009C4092">
        <w:rPr>
          <w:rFonts w:ascii="Times New Roman" w:hAnsi="Times New Roman" w:cs="Times New Roman"/>
          <w:sz w:val="24"/>
          <w:szCs w:val="24"/>
        </w:rPr>
        <w:t xml:space="preserve">consistent with organizational survey norms (Baruch &amp; Holtom, 2008). </w:t>
      </w:r>
      <w:r w:rsidRPr="009C4092">
        <w:rPr>
          <w:rFonts w:ascii="Times New Roman" w:hAnsi="Times New Roman" w:cs="Times New Roman"/>
          <w:sz w:val="24"/>
          <w:szCs w:val="24"/>
        </w:rPr>
        <w:t xml:space="preserve">Response rates by category were as follows: </w:t>
      </w:r>
      <w:r w:rsidR="00A80138">
        <w:rPr>
          <w:rFonts w:ascii="Times New Roman" w:hAnsi="Times New Roman" w:cs="Times New Roman"/>
          <w:sz w:val="24"/>
          <w:szCs w:val="24"/>
        </w:rPr>
        <w:t>CES county extension agent</w:t>
      </w:r>
      <w:r w:rsidRPr="009C4092">
        <w:rPr>
          <w:rFonts w:ascii="Times New Roman" w:hAnsi="Times New Roman" w:cs="Times New Roman"/>
          <w:sz w:val="24"/>
          <w:szCs w:val="24"/>
        </w:rPr>
        <w:t xml:space="preserve"> employees (</w:t>
      </w:r>
      <w:r w:rsidRPr="00F1187D">
        <w:rPr>
          <w:rFonts w:ascii="Times New Roman" w:hAnsi="Times New Roman" w:cs="Times New Roman"/>
          <w:i/>
          <w:iCs/>
          <w:sz w:val="24"/>
          <w:szCs w:val="24"/>
        </w:rPr>
        <w:t>n</w:t>
      </w:r>
      <w:r w:rsidRPr="009C4092">
        <w:rPr>
          <w:rFonts w:ascii="Times New Roman" w:hAnsi="Times New Roman" w:cs="Times New Roman"/>
          <w:sz w:val="24"/>
          <w:szCs w:val="24"/>
        </w:rPr>
        <w:t xml:space="preserve"> = </w:t>
      </w:r>
      <w:r>
        <w:rPr>
          <w:rFonts w:ascii="Times New Roman" w:hAnsi="Times New Roman" w:cs="Times New Roman"/>
          <w:sz w:val="24"/>
          <w:szCs w:val="24"/>
        </w:rPr>
        <w:t>74</w:t>
      </w:r>
      <w:r w:rsidRPr="009C4092">
        <w:rPr>
          <w:rFonts w:ascii="Times New Roman" w:hAnsi="Times New Roman" w:cs="Times New Roman"/>
          <w:sz w:val="24"/>
          <w:szCs w:val="24"/>
        </w:rPr>
        <w:t>, 57</w:t>
      </w:r>
      <w:r w:rsidR="00A80138">
        <w:rPr>
          <w:rFonts w:ascii="Times New Roman" w:hAnsi="Times New Roman" w:cs="Times New Roman"/>
          <w:sz w:val="24"/>
          <w:szCs w:val="24"/>
        </w:rPr>
        <w:t>.3</w:t>
      </w:r>
      <w:r w:rsidRPr="009C4092">
        <w:rPr>
          <w:rFonts w:ascii="Times New Roman" w:hAnsi="Times New Roman" w:cs="Times New Roman"/>
          <w:sz w:val="24"/>
          <w:szCs w:val="24"/>
        </w:rPr>
        <w:t>% response rate), staff chairs (</w:t>
      </w:r>
      <w:r w:rsidRPr="00F1187D">
        <w:rPr>
          <w:rFonts w:ascii="Times New Roman" w:hAnsi="Times New Roman" w:cs="Times New Roman"/>
          <w:i/>
          <w:iCs/>
          <w:sz w:val="24"/>
          <w:szCs w:val="24"/>
        </w:rPr>
        <w:t>n</w:t>
      </w:r>
      <w:r w:rsidRPr="009C4092">
        <w:rPr>
          <w:rFonts w:ascii="Times New Roman" w:hAnsi="Times New Roman" w:cs="Times New Roman"/>
          <w:sz w:val="24"/>
          <w:szCs w:val="24"/>
        </w:rPr>
        <w:t xml:space="preserve"> = </w:t>
      </w:r>
      <w:r>
        <w:rPr>
          <w:rFonts w:ascii="Times New Roman" w:hAnsi="Times New Roman" w:cs="Times New Roman"/>
          <w:sz w:val="24"/>
          <w:szCs w:val="24"/>
        </w:rPr>
        <w:t>40</w:t>
      </w:r>
      <w:r w:rsidRPr="009C4092">
        <w:rPr>
          <w:rFonts w:ascii="Times New Roman" w:hAnsi="Times New Roman" w:cs="Times New Roman"/>
          <w:sz w:val="24"/>
          <w:szCs w:val="24"/>
        </w:rPr>
        <w:t>, 53</w:t>
      </w:r>
      <w:r w:rsidR="00A80138">
        <w:rPr>
          <w:rFonts w:ascii="Times New Roman" w:hAnsi="Times New Roman" w:cs="Times New Roman"/>
          <w:sz w:val="24"/>
          <w:szCs w:val="24"/>
        </w:rPr>
        <w:t>.3</w:t>
      </w:r>
      <w:r w:rsidRPr="009C4092">
        <w:rPr>
          <w:rFonts w:ascii="Times New Roman" w:hAnsi="Times New Roman" w:cs="Times New Roman"/>
          <w:sz w:val="24"/>
          <w:szCs w:val="24"/>
        </w:rPr>
        <w:t>% response rate), support staff (</w:t>
      </w:r>
      <w:r w:rsidRPr="00F1187D">
        <w:rPr>
          <w:rFonts w:ascii="Times New Roman" w:hAnsi="Times New Roman" w:cs="Times New Roman"/>
          <w:i/>
          <w:iCs/>
          <w:sz w:val="24"/>
          <w:szCs w:val="24"/>
        </w:rPr>
        <w:t>n</w:t>
      </w:r>
      <w:r w:rsidRPr="009C4092">
        <w:rPr>
          <w:rFonts w:ascii="Times New Roman" w:hAnsi="Times New Roman" w:cs="Times New Roman"/>
          <w:sz w:val="24"/>
          <w:szCs w:val="24"/>
        </w:rPr>
        <w:t xml:space="preserve"> = </w:t>
      </w:r>
      <w:r>
        <w:rPr>
          <w:rFonts w:ascii="Times New Roman" w:hAnsi="Times New Roman" w:cs="Times New Roman"/>
          <w:sz w:val="24"/>
          <w:szCs w:val="24"/>
        </w:rPr>
        <w:t>52</w:t>
      </w:r>
      <w:r w:rsidRPr="009C4092">
        <w:rPr>
          <w:rFonts w:ascii="Times New Roman" w:hAnsi="Times New Roman" w:cs="Times New Roman"/>
          <w:sz w:val="24"/>
          <w:szCs w:val="24"/>
        </w:rPr>
        <w:t>, 52</w:t>
      </w:r>
      <w:r w:rsidR="00A80138">
        <w:rPr>
          <w:rFonts w:ascii="Times New Roman" w:hAnsi="Times New Roman" w:cs="Times New Roman"/>
          <w:sz w:val="24"/>
          <w:szCs w:val="24"/>
        </w:rPr>
        <w:t>.5</w:t>
      </w:r>
      <w:r w:rsidRPr="009C4092">
        <w:rPr>
          <w:rFonts w:ascii="Times New Roman" w:hAnsi="Times New Roman" w:cs="Times New Roman"/>
          <w:sz w:val="24"/>
          <w:szCs w:val="24"/>
        </w:rPr>
        <w:t>% response rate), and program assistants (</w:t>
      </w:r>
      <w:r w:rsidRPr="00F1187D">
        <w:rPr>
          <w:rFonts w:ascii="Times New Roman" w:hAnsi="Times New Roman" w:cs="Times New Roman"/>
          <w:i/>
          <w:iCs/>
          <w:sz w:val="24"/>
          <w:szCs w:val="24"/>
        </w:rPr>
        <w:t>n</w:t>
      </w:r>
      <w:r w:rsidRPr="009C4092">
        <w:rPr>
          <w:rFonts w:ascii="Times New Roman" w:hAnsi="Times New Roman" w:cs="Times New Roman"/>
          <w:sz w:val="24"/>
          <w:szCs w:val="24"/>
        </w:rPr>
        <w:t xml:space="preserve"> = </w:t>
      </w:r>
      <w:r>
        <w:rPr>
          <w:rFonts w:ascii="Times New Roman" w:hAnsi="Times New Roman" w:cs="Times New Roman"/>
          <w:sz w:val="24"/>
          <w:szCs w:val="24"/>
        </w:rPr>
        <w:t>8</w:t>
      </w:r>
      <w:r w:rsidRPr="009C4092">
        <w:rPr>
          <w:rFonts w:ascii="Times New Roman" w:hAnsi="Times New Roman" w:cs="Times New Roman"/>
          <w:sz w:val="24"/>
          <w:szCs w:val="24"/>
        </w:rPr>
        <w:t>, 32</w:t>
      </w:r>
      <w:r w:rsidR="00A80138">
        <w:rPr>
          <w:rFonts w:ascii="Times New Roman" w:hAnsi="Times New Roman" w:cs="Times New Roman"/>
          <w:sz w:val="24"/>
          <w:szCs w:val="24"/>
        </w:rPr>
        <w:t>.0</w:t>
      </w:r>
      <w:r w:rsidRPr="009C4092">
        <w:rPr>
          <w:rFonts w:ascii="Times New Roman" w:hAnsi="Times New Roman" w:cs="Times New Roman"/>
          <w:sz w:val="24"/>
          <w:szCs w:val="24"/>
        </w:rPr>
        <w:t>% response rate).</w:t>
      </w:r>
      <w:r w:rsidR="00D11F0A" w:rsidRPr="00D11F0A">
        <w:rPr>
          <w:rFonts w:ascii="Times New Roman" w:hAnsi="Times New Roman" w:cs="Times New Roman"/>
          <w:sz w:val="24"/>
          <w:szCs w:val="24"/>
        </w:rPr>
        <w:t xml:space="preserve"> </w:t>
      </w:r>
    </w:p>
    <w:p w14:paraId="274E4F72" w14:textId="389E1449" w:rsidR="00D11F0A" w:rsidRPr="00D11F0A" w:rsidRDefault="00D11F0A" w:rsidP="00F31B4C">
      <w:pPr>
        <w:widowControl w:val="0"/>
        <w:spacing w:after="240" w:line="240" w:lineRule="auto"/>
        <w:rPr>
          <w:rFonts w:ascii="Times New Roman" w:hAnsi="Times New Roman" w:cs="Times New Roman"/>
          <w:sz w:val="24"/>
          <w:szCs w:val="24"/>
        </w:rPr>
      </w:pPr>
      <w:r w:rsidRPr="00D11F0A">
        <w:rPr>
          <w:rFonts w:ascii="Times New Roman" w:hAnsi="Times New Roman" w:cs="Times New Roman"/>
          <w:sz w:val="24"/>
          <w:szCs w:val="24"/>
        </w:rPr>
        <w:t>To test for nonresponse bias, early respondents (</w:t>
      </w:r>
      <w:r w:rsidRPr="00D11F0A">
        <w:rPr>
          <w:rFonts w:ascii="Times New Roman" w:hAnsi="Times New Roman" w:cs="Times New Roman"/>
          <w:i/>
          <w:iCs/>
          <w:sz w:val="24"/>
          <w:szCs w:val="24"/>
        </w:rPr>
        <w:t>n =</w:t>
      </w:r>
      <w:r w:rsidRPr="00D11F0A">
        <w:rPr>
          <w:rFonts w:ascii="Times New Roman" w:hAnsi="Times New Roman" w:cs="Times New Roman"/>
          <w:sz w:val="24"/>
          <w:szCs w:val="24"/>
        </w:rPr>
        <w:t xml:space="preserve"> 117 for Intent to Stay; </w:t>
      </w:r>
      <w:r w:rsidRPr="00D11F0A">
        <w:rPr>
          <w:rFonts w:ascii="Times New Roman" w:hAnsi="Times New Roman" w:cs="Times New Roman"/>
          <w:i/>
          <w:iCs/>
          <w:sz w:val="24"/>
          <w:szCs w:val="24"/>
        </w:rPr>
        <w:t>n</w:t>
      </w:r>
      <w:r w:rsidRPr="00D11F0A">
        <w:rPr>
          <w:rFonts w:ascii="Times New Roman" w:hAnsi="Times New Roman" w:cs="Times New Roman"/>
          <w:sz w:val="24"/>
          <w:szCs w:val="24"/>
        </w:rPr>
        <w:t> = 120 for Job Satisfaction) were compared to late respondents (</w:t>
      </w:r>
      <w:r w:rsidRPr="00D11F0A">
        <w:rPr>
          <w:rFonts w:ascii="Times New Roman" w:hAnsi="Times New Roman" w:cs="Times New Roman"/>
          <w:i/>
          <w:iCs/>
          <w:sz w:val="24"/>
          <w:szCs w:val="24"/>
        </w:rPr>
        <w:t>n</w:t>
      </w:r>
      <w:r w:rsidRPr="00D11F0A">
        <w:rPr>
          <w:rFonts w:ascii="Times New Roman" w:hAnsi="Times New Roman" w:cs="Times New Roman"/>
          <w:sz w:val="24"/>
          <w:szCs w:val="24"/>
        </w:rPr>
        <w:t xml:space="preserve"> = 51 for Intent to Stay; </w:t>
      </w:r>
      <w:r w:rsidRPr="00D11F0A">
        <w:rPr>
          <w:rFonts w:ascii="Times New Roman" w:hAnsi="Times New Roman" w:cs="Times New Roman"/>
          <w:i/>
          <w:iCs/>
          <w:sz w:val="24"/>
          <w:szCs w:val="24"/>
        </w:rPr>
        <w:t xml:space="preserve">n </w:t>
      </w:r>
      <w:r w:rsidRPr="00D11F0A">
        <w:rPr>
          <w:rFonts w:ascii="Times New Roman" w:hAnsi="Times New Roman" w:cs="Times New Roman"/>
          <w:sz w:val="24"/>
          <w:szCs w:val="24"/>
        </w:rPr>
        <w:t xml:space="preserve">= 52 for Job Satisfaction) on the variables Intent to Stay and Job Satisfaction, using two-tailed independent </w:t>
      </w:r>
      <w:r w:rsidRPr="00D11F0A">
        <w:rPr>
          <w:rFonts w:ascii="Times New Roman" w:hAnsi="Times New Roman" w:cs="Times New Roman"/>
          <w:i/>
          <w:iCs/>
          <w:sz w:val="24"/>
          <w:szCs w:val="24"/>
        </w:rPr>
        <w:t>t</w:t>
      </w:r>
      <w:r w:rsidRPr="00D11F0A">
        <w:rPr>
          <w:rFonts w:ascii="Times New Roman" w:hAnsi="Times New Roman" w:cs="Times New Roman"/>
          <w:sz w:val="24"/>
          <w:szCs w:val="24"/>
        </w:rPr>
        <w:t>-tests at the .10 alpha level. For Intent to Stay, early respondents (</w:t>
      </w:r>
      <w:r w:rsidRPr="00D11F0A">
        <w:rPr>
          <w:rFonts w:ascii="Times New Roman" w:hAnsi="Times New Roman" w:cs="Times New Roman"/>
          <w:i/>
          <w:iCs/>
          <w:sz w:val="24"/>
          <w:szCs w:val="24"/>
        </w:rPr>
        <w:t>M</w:t>
      </w:r>
      <w:r w:rsidRPr="00D11F0A">
        <w:rPr>
          <w:rFonts w:ascii="Times New Roman" w:hAnsi="Times New Roman" w:cs="Times New Roman"/>
          <w:sz w:val="24"/>
          <w:szCs w:val="24"/>
        </w:rPr>
        <w:t xml:space="preserve"> = 33.56, </w:t>
      </w:r>
      <w:r w:rsidRPr="00D11F0A">
        <w:rPr>
          <w:rFonts w:ascii="Times New Roman" w:hAnsi="Times New Roman" w:cs="Times New Roman"/>
          <w:i/>
          <w:iCs/>
          <w:sz w:val="24"/>
          <w:szCs w:val="24"/>
        </w:rPr>
        <w:t>SD</w:t>
      </w:r>
      <w:r w:rsidRPr="00D11F0A">
        <w:rPr>
          <w:rFonts w:ascii="Times New Roman" w:hAnsi="Times New Roman" w:cs="Times New Roman"/>
          <w:sz w:val="24"/>
          <w:szCs w:val="24"/>
        </w:rPr>
        <w:t> = 8.38) did not differ significantly from late respondents (</w:t>
      </w:r>
      <w:r w:rsidRPr="00D11F0A">
        <w:rPr>
          <w:rFonts w:ascii="Times New Roman" w:hAnsi="Times New Roman" w:cs="Times New Roman"/>
          <w:i/>
          <w:iCs/>
          <w:sz w:val="24"/>
          <w:szCs w:val="24"/>
        </w:rPr>
        <w:t>M</w:t>
      </w:r>
      <w:r w:rsidRPr="00D11F0A">
        <w:rPr>
          <w:rFonts w:ascii="Times New Roman" w:hAnsi="Times New Roman" w:cs="Times New Roman"/>
          <w:sz w:val="24"/>
          <w:szCs w:val="24"/>
        </w:rPr>
        <w:t xml:space="preserve"> = 32.04, </w:t>
      </w:r>
      <w:r w:rsidRPr="00D11F0A">
        <w:rPr>
          <w:rFonts w:ascii="Times New Roman" w:hAnsi="Times New Roman" w:cs="Times New Roman"/>
          <w:i/>
          <w:iCs/>
          <w:sz w:val="24"/>
          <w:szCs w:val="24"/>
        </w:rPr>
        <w:t>SD</w:t>
      </w:r>
      <w:r w:rsidRPr="00D11F0A">
        <w:rPr>
          <w:rFonts w:ascii="Times New Roman" w:hAnsi="Times New Roman" w:cs="Times New Roman"/>
          <w:sz w:val="24"/>
          <w:szCs w:val="24"/>
        </w:rPr>
        <w:t xml:space="preserve"> = 9.47), </w:t>
      </w:r>
      <w:r w:rsidRPr="00D11F0A">
        <w:rPr>
          <w:rFonts w:ascii="Times New Roman" w:hAnsi="Times New Roman" w:cs="Times New Roman"/>
          <w:i/>
          <w:iCs/>
          <w:sz w:val="24"/>
          <w:szCs w:val="24"/>
        </w:rPr>
        <w:t>t</w:t>
      </w:r>
      <w:r w:rsidRPr="00D11F0A">
        <w:rPr>
          <w:rFonts w:ascii="Times New Roman" w:hAnsi="Times New Roman" w:cs="Times New Roman"/>
          <w:sz w:val="24"/>
          <w:szCs w:val="24"/>
        </w:rPr>
        <w:t xml:space="preserve">(166) = 1.04, </w:t>
      </w:r>
      <w:r w:rsidRPr="00D11F0A">
        <w:rPr>
          <w:rFonts w:ascii="Times New Roman" w:hAnsi="Times New Roman" w:cs="Times New Roman"/>
          <w:i/>
          <w:iCs/>
          <w:sz w:val="24"/>
          <w:szCs w:val="24"/>
        </w:rPr>
        <w:t>p</w:t>
      </w:r>
      <w:r w:rsidRPr="00D11F0A">
        <w:rPr>
          <w:rFonts w:ascii="Times New Roman" w:hAnsi="Times New Roman" w:cs="Times New Roman"/>
          <w:sz w:val="24"/>
          <w:szCs w:val="24"/>
        </w:rPr>
        <w:t> = .30. For Job Satisfaction, early respondents (</w:t>
      </w:r>
      <w:r w:rsidRPr="00D11F0A">
        <w:rPr>
          <w:rFonts w:ascii="Times New Roman" w:hAnsi="Times New Roman" w:cs="Times New Roman"/>
          <w:i/>
          <w:iCs/>
          <w:sz w:val="24"/>
          <w:szCs w:val="24"/>
        </w:rPr>
        <w:t>M</w:t>
      </w:r>
      <w:r w:rsidRPr="00D11F0A">
        <w:rPr>
          <w:rFonts w:ascii="Times New Roman" w:hAnsi="Times New Roman" w:cs="Times New Roman"/>
          <w:sz w:val="24"/>
          <w:szCs w:val="24"/>
        </w:rPr>
        <w:t xml:space="preserve"> = 12.60, </w:t>
      </w:r>
      <w:r w:rsidRPr="00D11F0A">
        <w:rPr>
          <w:rFonts w:ascii="Times New Roman" w:hAnsi="Times New Roman" w:cs="Times New Roman"/>
          <w:i/>
          <w:iCs/>
          <w:sz w:val="24"/>
          <w:szCs w:val="24"/>
        </w:rPr>
        <w:t>SD</w:t>
      </w:r>
      <w:r w:rsidRPr="00D11F0A">
        <w:rPr>
          <w:rFonts w:ascii="Times New Roman" w:hAnsi="Times New Roman" w:cs="Times New Roman"/>
          <w:sz w:val="24"/>
          <w:szCs w:val="24"/>
        </w:rPr>
        <w:t> = 1.93) did not differ significantly from late respondents (</w:t>
      </w:r>
      <w:r w:rsidRPr="00D11F0A">
        <w:rPr>
          <w:rFonts w:ascii="Times New Roman" w:hAnsi="Times New Roman" w:cs="Times New Roman"/>
          <w:i/>
          <w:iCs/>
          <w:sz w:val="24"/>
          <w:szCs w:val="24"/>
        </w:rPr>
        <w:t>M</w:t>
      </w:r>
      <w:r w:rsidRPr="00D11F0A">
        <w:rPr>
          <w:rFonts w:ascii="Times New Roman" w:hAnsi="Times New Roman" w:cs="Times New Roman"/>
          <w:sz w:val="24"/>
          <w:szCs w:val="24"/>
        </w:rPr>
        <w:t xml:space="preserve"> = 12.06, </w:t>
      </w:r>
      <w:r w:rsidRPr="00D11F0A">
        <w:rPr>
          <w:rFonts w:ascii="Times New Roman" w:hAnsi="Times New Roman" w:cs="Times New Roman"/>
          <w:i/>
          <w:iCs/>
          <w:sz w:val="24"/>
          <w:szCs w:val="24"/>
        </w:rPr>
        <w:t>SD</w:t>
      </w:r>
      <w:r w:rsidRPr="00D11F0A">
        <w:rPr>
          <w:rFonts w:ascii="Times New Roman" w:hAnsi="Times New Roman" w:cs="Times New Roman"/>
          <w:sz w:val="24"/>
          <w:szCs w:val="24"/>
        </w:rPr>
        <w:t xml:space="preserve"> = 2.43), </w:t>
      </w:r>
      <w:r w:rsidRPr="00D11F0A">
        <w:rPr>
          <w:rFonts w:ascii="Times New Roman" w:hAnsi="Times New Roman" w:cs="Times New Roman"/>
          <w:i/>
          <w:iCs/>
          <w:sz w:val="24"/>
          <w:szCs w:val="24"/>
        </w:rPr>
        <w:t>t</w:t>
      </w:r>
      <w:r w:rsidRPr="00D11F0A">
        <w:rPr>
          <w:rFonts w:ascii="Times New Roman" w:hAnsi="Times New Roman" w:cs="Times New Roman"/>
          <w:sz w:val="24"/>
          <w:szCs w:val="24"/>
        </w:rPr>
        <w:t xml:space="preserve">(170) = 1.56, </w:t>
      </w:r>
      <w:r w:rsidRPr="00D11F0A">
        <w:rPr>
          <w:rFonts w:ascii="Times New Roman" w:hAnsi="Times New Roman" w:cs="Times New Roman"/>
          <w:i/>
          <w:iCs/>
          <w:sz w:val="24"/>
          <w:szCs w:val="24"/>
        </w:rPr>
        <w:t>p</w:t>
      </w:r>
      <w:r w:rsidRPr="00D11F0A">
        <w:rPr>
          <w:rFonts w:ascii="Times New Roman" w:hAnsi="Times New Roman" w:cs="Times New Roman"/>
          <w:sz w:val="24"/>
          <w:szCs w:val="24"/>
        </w:rPr>
        <w:t xml:space="preserve"> = .12. Thus, the results were generalized to the target population (Armstrong and Overton, 1977; Lindner et al., 2001). </w:t>
      </w:r>
    </w:p>
    <w:p w14:paraId="46C6B55F" w14:textId="18AE1B11" w:rsidR="008951E2" w:rsidRDefault="008951E2" w:rsidP="00F31B4C">
      <w:pPr>
        <w:widowControl w:val="0"/>
        <w:spacing w:after="240" w:line="240" w:lineRule="auto"/>
        <w:rPr>
          <w:rFonts w:ascii="Times New Roman" w:hAnsi="Times New Roman" w:cs="Times New Roman"/>
          <w:sz w:val="24"/>
          <w:szCs w:val="24"/>
        </w:rPr>
      </w:pPr>
      <w:r w:rsidRPr="00C14E34">
        <w:rPr>
          <w:rFonts w:ascii="Times New Roman" w:hAnsi="Times New Roman" w:cs="Times New Roman"/>
          <w:sz w:val="24"/>
          <w:szCs w:val="24"/>
        </w:rPr>
        <w:t xml:space="preserve">Across </w:t>
      </w:r>
      <w:r w:rsidR="00EA446A" w:rsidRPr="00C14E34">
        <w:rPr>
          <w:rFonts w:ascii="Times New Roman" w:hAnsi="Times New Roman" w:cs="Times New Roman"/>
          <w:sz w:val="24"/>
          <w:szCs w:val="24"/>
        </w:rPr>
        <w:t xml:space="preserve">the </w:t>
      </w:r>
      <w:r w:rsidR="00651289" w:rsidRPr="00C14E34">
        <w:rPr>
          <w:rFonts w:ascii="Times New Roman" w:hAnsi="Times New Roman" w:cs="Times New Roman"/>
          <w:sz w:val="24"/>
          <w:szCs w:val="24"/>
        </w:rPr>
        <w:t>respondent’s</w:t>
      </w:r>
      <w:r w:rsidR="00651289">
        <w:rPr>
          <w:rFonts w:ascii="Times New Roman" w:hAnsi="Times New Roman" w:cs="Times New Roman"/>
          <w:sz w:val="24"/>
          <w:szCs w:val="24"/>
        </w:rPr>
        <w:t xml:space="preserve"> </w:t>
      </w:r>
      <w:r w:rsidR="00651289" w:rsidRPr="00C14E34">
        <w:rPr>
          <w:rFonts w:ascii="Times New Roman" w:hAnsi="Times New Roman" w:cs="Times New Roman"/>
          <w:sz w:val="24"/>
          <w:szCs w:val="24"/>
        </w:rPr>
        <w:t>gender</w:t>
      </w:r>
      <w:r w:rsidRPr="00C14E34">
        <w:rPr>
          <w:rFonts w:ascii="Times New Roman" w:hAnsi="Times New Roman" w:cs="Times New Roman"/>
          <w:sz w:val="24"/>
          <w:szCs w:val="24"/>
        </w:rPr>
        <w:t xml:space="preserve"> distributions varied by role. Among staff chairs, 39 </w:t>
      </w:r>
      <w:r w:rsidR="004C5CED">
        <w:rPr>
          <w:rFonts w:ascii="Times New Roman" w:hAnsi="Times New Roman" w:cs="Times New Roman"/>
          <w:sz w:val="24"/>
          <w:szCs w:val="24"/>
        </w:rPr>
        <w:t>(</w:t>
      </w:r>
      <w:r w:rsidR="00DD02B7">
        <w:rPr>
          <w:rFonts w:ascii="Times New Roman" w:hAnsi="Times New Roman" w:cs="Times New Roman"/>
          <w:sz w:val="24"/>
          <w:szCs w:val="24"/>
        </w:rPr>
        <w:t>52</w:t>
      </w:r>
      <w:r w:rsidR="00553479">
        <w:rPr>
          <w:rFonts w:ascii="Times New Roman" w:hAnsi="Times New Roman" w:cs="Times New Roman"/>
          <w:sz w:val="24"/>
          <w:szCs w:val="24"/>
        </w:rPr>
        <w:t>.0</w:t>
      </w:r>
      <w:r w:rsidR="00DD02B7">
        <w:rPr>
          <w:rFonts w:ascii="Times New Roman" w:hAnsi="Times New Roman" w:cs="Times New Roman"/>
          <w:sz w:val="24"/>
          <w:szCs w:val="24"/>
        </w:rPr>
        <w:t xml:space="preserve">%) </w:t>
      </w:r>
      <w:r w:rsidRPr="00C14E34">
        <w:rPr>
          <w:rFonts w:ascii="Times New Roman" w:hAnsi="Times New Roman" w:cs="Times New Roman"/>
          <w:sz w:val="24"/>
          <w:szCs w:val="24"/>
        </w:rPr>
        <w:t xml:space="preserve">were male and 36 </w:t>
      </w:r>
      <w:r w:rsidR="00DD02B7">
        <w:rPr>
          <w:rFonts w:ascii="Times New Roman" w:hAnsi="Times New Roman" w:cs="Times New Roman"/>
          <w:sz w:val="24"/>
          <w:szCs w:val="24"/>
        </w:rPr>
        <w:t>(48</w:t>
      </w:r>
      <w:r w:rsidR="00553479">
        <w:rPr>
          <w:rFonts w:ascii="Times New Roman" w:hAnsi="Times New Roman" w:cs="Times New Roman"/>
          <w:sz w:val="24"/>
          <w:szCs w:val="24"/>
        </w:rPr>
        <w:t>.0</w:t>
      </w:r>
      <w:r w:rsidR="00DD02B7">
        <w:rPr>
          <w:rFonts w:ascii="Times New Roman" w:hAnsi="Times New Roman" w:cs="Times New Roman"/>
          <w:sz w:val="24"/>
          <w:szCs w:val="24"/>
        </w:rPr>
        <w:t xml:space="preserve">%) </w:t>
      </w:r>
      <w:r w:rsidRPr="00C14E34">
        <w:rPr>
          <w:rFonts w:ascii="Times New Roman" w:hAnsi="Times New Roman" w:cs="Times New Roman"/>
          <w:sz w:val="24"/>
          <w:szCs w:val="24"/>
        </w:rPr>
        <w:t xml:space="preserve">were female; county extension agents included 31 </w:t>
      </w:r>
      <w:r w:rsidR="00553479">
        <w:rPr>
          <w:rFonts w:ascii="Times New Roman" w:hAnsi="Times New Roman" w:cs="Times New Roman"/>
          <w:sz w:val="24"/>
          <w:szCs w:val="24"/>
        </w:rPr>
        <w:t xml:space="preserve">(25.4%) </w:t>
      </w:r>
      <w:r w:rsidRPr="00C14E34">
        <w:rPr>
          <w:rFonts w:ascii="Times New Roman" w:hAnsi="Times New Roman" w:cs="Times New Roman"/>
          <w:sz w:val="24"/>
          <w:szCs w:val="24"/>
        </w:rPr>
        <w:t>males and 91</w:t>
      </w:r>
      <w:r w:rsidR="00553479">
        <w:rPr>
          <w:rFonts w:ascii="Times New Roman" w:hAnsi="Times New Roman" w:cs="Times New Roman"/>
          <w:sz w:val="24"/>
          <w:szCs w:val="24"/>
        </w:rPr>
        <w:t>(74.6%)</w:t>
      </w:r>
      <w:r w:rsidRPr="00C14E34">
        <w:rPr>
          <w:rFonts w:ascii="Times New Roman" w:hAnsi="Times New Roman" w:cs="Times New Roman"/>
          <w:sz w:val="24"/>
          <w:szCs w:val="24"/>
        </w:rPr>
        <w:t xml:space="preserve"> females; program assistants comprised 4 </w:t>
      </w:r>
      <w:r w:rsidR="00A4650A">
        <w:rPr>
          <w:rFonts w:ascii="Times New Roman" w:hAnsi="Times New Roman" w:cs="Times New Roman"/>
          <w:sz w:val="24"/>
          <w:szCs w:val="24"/>
        </w:rPr>
        <w:t xml:space="preserve">(12.5%) </w:t>
      </w:r>
      <w:r w:rsidRPr="00C14E34">
        <w:rPr>
          <w:rFonts w:ascii="Times New Roman" w:hAnsi="Times New Roman" w:cs="Times New Roman"/>
          <w:sz w:val="24"/>
          <w:szCs w:val="24"/>
        </w:rPr>
        <w:t xml:space="preserve">males and 28 </w:t>
      </w:r>
      <w:r w:rsidR="00A4650A">
        <w:rPr>
          <w:rFonts w:ascii="Times New Roman" w:hAnsi="Times New Roman" w:cs="Times New Roman"/>
          <w:sz w:val="24"/>
          <w:szCs w:val="24"/>
        </w:rPr>
        <w:t xml:space="preserve">(87.5%) </w:t>
      </w:r>
      <w:r w:rsidRPr="00C14E34">
        <w:rPr>
          <w:rFonts w:ascii="Times New Roman" w:hAnsi="Times New Roman" w:cs="Times New Roman"/>
          <w:sz w:val="24"/>
          <w:szCs w:val="24"/>
        </w:rPr>
        <w:t xml:space="preserve">females; and support staff included 2 </w:t>
      </w:r>
      <w:r w:rsidR="00A4650A">
        <w:rPr>
          <w:rFonts w:ascii="Times New Roman" w:hAnsi="Times New Roman" w:cs="Times New Roman"/>
          <w:sz w:val="24"/>
          <w:szCs w:val="24"/>
        </w:rPr>
        <w:t xml:space="preserve">(2.1%) </w:t>
      </w:r>
      <w:r w:rsidRPr="00C14E34">
        <w:rPr>
          <w:rFonts w:ascii="Times New Roman" w:hAnsi="Times New Roman" w:cs="Times New Roman"/>
          <w:sz w:val="24"/>
          <w:szCs w:val="24"/>
        </w:rPr>
        <w:t xml:space="preserve">males and 95 </w:t>
      </w:r>
      <w:r w:rsidR="00A4650A">
        <w:rPr>
          <w:rFonts w:ascii="Times New Roman" w:hAnsi="Times New Roman" w:cs="Times New Roman"/>
          <w:sz w:val="24"/>
          <w:szCs w:val="24"/>
        </w:rPr>
        <w:t>(</w:t>
      </w:r>
      <w:r w:rsidR="00276E35">
        <w:rPr>
          <w:rFonts w:ascii="Times New Roman" w:hAnsi="Times New Roman" w:cs="Times New Roman"/>
          <w:sz w:val="24"/>
          <w:szCs w:val="24"/>
        </w:rPr>
        <w:t xml:space="preserve">97.9%) </w:t>
      </w:r>
      <w:r w:rsidRPr="00C14E34">
        <w:rPr>
          <w:rFonts w:ascii="Times New Roman" w:hAnsi="Times New Roman" w:cs="Times New Roman"/>
          <w:sz w:val="24"/>
          <w:szCs w:val="24"/>
        </w:rPr>
        <w:t xml:space="preserve">females. </w:t>
      </w:r>
    </w:p>
    <w:p w14:paraId="5028EA9B" w14:textId="77777777" w:rsidR="008951E2" w:rsidRPr="00974D78" w:rsidRDefault="008951E2" w:rsidP="00F31B4C">
      <w:pPr>
        <w:pStyle w:val="Style2"/>
        <w:widowControl w:val="0"/>
        <w:spacing w:after="240" w:line="240" w:lineRule="auto"/>
      </w:pPr>
      <w:r w:rsidRPr="00974D78">
        <w:t>Data Analysis</w:t>
      </w:r>
      <w:bookmarkEnd w:id="14"/>
      <w:bookmarkEnd w:id="15"/>
      <w:bookmarkEnd w:id="16"/>
    </w:p>
    <w:p w14:paraId="4CBD2821" w14:textId="2EC6EB86" w:rsidR="008951E2" w:rsidRDefault="008951E2" w:rsidP="00F31B4C">
      <w:pPr>
        <w:widowControl w:val="0"/>
        <w:spacing w:after="240" w:line="240" w:lineRule="auto"/>
        <w:rPr>
          <w:rFonts w:ascii="Times New Roman" w:hAnsi="Times New Roman" w:cs="Times New Roman"/>
          <w:sz w:val="24"/>
          <w:szCs w:val="24"/>
        </w:rPr>
      </w:pPr>
      <w:r w:rsidRPr="67F58C1C">
        <w:rPr>
          <w:rFonts w:ascii="Times New Roman" w:hAnsi="Times New Roman" w:cs="Times New Roman"/>
          <w:sz w:val="24"/>
          <w:szCs w:val="24"/>
        </w:rPr>
        <w:t>Due to the research being conducted via the Qualtrics platform, data was electronically stored in Qualtrics. Qualtrics is a</w:t>
      </w:r>
      <w:r w:rsidR="001C64E7">
        <w:rPr>
          <w:rFonts w:ascii="Times New Roman" w:hAnsi="Times New Roman" w:cs="Times New Roman"/>
          <w:sz w:val="24"/>
          <w:szCs w:val="24"/>
        </w:rPr>
        <w:t>n</w:t>
      </w:r>
      <w:r w:rsidRPr="67F58C1C">
        <w:rPr>
          <w:rFonts w:ascii="Times New Roman" w:hAnsi="Times New Roman" w:cs="Times New Roman"/>
          <w:sz w:val="24"/>
          <w:szCs w:val="24"/>
        </w:rPr>
        <w:t xml:space="preserve"> </w:t>
      </w:r>
      <w:r w:rsidR="00945A21">
        <w:rPr>
          <w:rFonts w:ascii="Times New Roman" w:hAnsi="Times New Roman" w:cs="Times New Roman"/>
          <w:sz w:val="24"/>
          <w:szCs w:val="24"/>
        </w:rPr>
        <w:t>Arkansas</w:t>
      </w:r>
      <w:r w:rsidR="008240F2" w:rsidRPr="67F58C1C">
        <w:rPr>
          <w:rFonts w:ascii="Times New Roman" w:hAnsi="Times New Roman" w:cs="Times New Roman"/>
          <w:sz w:val="24"/>
          <w:szCs w:val="24"/>
        </w:rPr>
        <w:t xml:space="preserve"> </w:t>
      </w:r>
      <w:r w:rsidRPr="67F58C1C">
        <w:rPr>
          <w:rFonts w:ascii="Times New Roman" w:hAnsi="Times New Roman" w:cs="Times New Roman"/>
          <w:sz w:val="24"/>
          <w:szCs w:val="24"/>
        </w:rPr>
        <w:t>CES provided platform that meets their requirements for security and accessibility for the creation and distribution of online surveys and related services. Only the investigators had access to individual data collected; all other data was reported in aggregate form. Data analysis for this study was conducted using IBM SPSS version 28 Statistics software. For data analysis, SPSS Statistics was utilized on a university-managed password protected computer. Data was exported from Qualtrics and directly imported to SPSS</w:t>
      </w:r>
      <w:r w:rsidR="00953CC6">
        <w:rPr>
          <w:rFonts w:ascii="Times New Roman" w:hAnsi="Times New Roman" w:cs="Times New Roman"/>
          <w:sz w:val="24"/>
          <w:szCs w:val="24"/>
        </w:rPr>
        <w:t xml:space="preserve"> version 28</w:t>
      </w:r>
      <w:r w:rsidRPr="67F58C1C">
        <w:rPr>
          <w:rFonts w:ascii="Times New Roman" w:hAnsi="Times New Roman" w:cs="Times New Roman"/>
          <w:sz w:val="24"/>
          <w:szCs w:val="24"/>
        </w:rPr>
        <w:t xml:space="preserve"> to run appropriate statistical analysis. Analyses were structured to align with each of the four research objectives. Descriptive and inferential statistical procedures were selected based on the level of measurement of the variables and the specific nature of each research objective. </w:t>
      </w:r>
      <w:r w:rsidR="00C639B8" w:rsidRPr="00C639B8">
        <w:rPr>
          <w:rFonts w:ascii="Times New Roman" w:hAnsi="Times New Roman" w:cs="Times New Roman"/>
          <w:sz w:val="24"/>
          <w:szCs w:val="24"/>
        </w:rPr>
        <w:t xml:space="preserve">The data met the statistical assumptions of normality, linearity, homoscedasticity, independence of errors, and absence of multicollinearity. All analyses were conducted using a significance level of </w:t>
      </w:r>
      <w:r w:rsidR="00C639B8" w:rsidRPr="00C639B8">
        <w:rPr>
          <w:rFonts w:ascii="Times New Roman" w:hAnsi="Times New Roman" w:cs="Times New Roman"/>
          <w:i/>
          <w:iCs/>
          <w:sz w:val="24"/>
          <w:szCs w:val="24"/>
        </w:rPr>
        <w:t>p</w:t>
      </w:r>
      <w:r w:rsidR="00C639B8" w:rsidRPr="00C639B8">
        <w:rPr>
          <w:rFonts w:ascii="Times New Roman" w:hAnsi="Times New Roman" w:cs="Times New Roman"/>
          <w:sz w:val="24"/>
          <w:szCs w:val="24"/>
        </w:rPr>
        <w:t xml:space="preserve"> &lt; .05.</w:t>
      </w:r>
    </w:p>
    <w:p w14:paraId="7C6E51D8" w14:textId="18CC2C6D" w:rsidR="008951E2" w:rsidRDefault="008951E2" w:rsidP="00F31B4C">
      <w:pPr>
        <w:widowControl w:val="0"/>
        <w:spacing w:line="240" w:lineRule="auto"/>
        <w:jc w:val="center"/>
        <w:rPr>
          <w:rFonts w:ascii="Times New Roman" w:hAnsi="Times New Roman" w:cs="Times New Roman"/>
          <w:b/>
          <w:bCs/>
        </w:rPr>
      </w:pPr>
      <w:r w:rsidRPr="008951E2">
        <w:rPr>
          <w:rFonts w:ascii="Times New Roman" w:hAnsi="Times New Roman" w:cs="Times New Roman"/>
          <w:b/>
          <w:bCs/>
        </w:rPr>
        <w:t>Results/Findings</w:t>
      </w:r>
    </w:p>
    <w:p w14:paraId="05E6E11C" w14:textId="493522E1" w:rsidR="001E00D6" w:rsidRPr="007E20CF" w:rsidRDefault="001E00D6" w:rsidP="00F31B4C">
      <w:pPr>
        <w:widowControl w:val="0"/>
        <w:spacing w:after="240" w:line="240" w:lineRule="auto"/>
        <w:rPr>
          <w:rFonts w:ascii="Times New Roman" w:hAnsi="Times New Roman" w:cs="Times New Roman"/>
          <w:sz w:val="24"/>
          <w:szCs w:val="24"/>
        </w:rPr>
      </w:pPr>
      <w:r w:rsidRPr="007E20CF">
        <w:rPr>
          <w:rFonts w:ascii="Times New Roman" w:hAnsi="Times New Roman" w:cs="Times New Roman"/>
          <w:sz w:val="24"/>
          <w:szCs w:val="24"/>
        </w:rPr>
        <w:t>Th</w:t>
      </w:r>
      <w:r w:rsidR="00F80991">
        <w:rPr>
          <w:rFonts w:ascii="Times New Roman" w:hAnsi="Times New Roman" w:cs="Times New Roman"/>
          <w:sz w:val="24"/>
          <w:szCs w:val="24"/>
        </w:rPr>
        <w:t xml:space="preserve">e first objective </w:t>
      </w:r>
      <w:r w:rsidR="00247B38">
        <w:rPr>
          <w:rFonts w:ascii="Times New Roman" w:hAnsi="Times New Roman" w:cs="Times New Roman"/>
          <w:sz w:val="24"/>
          <w:szCs w:val="24"/>
        </w:rPr>
        <w:t xml:space="preserve">was to describe </w:t>
      </w:r>
      <w:r w:rsidR="00945A21">
        <w:rPr>
          <w:rFonts w:ascii="Times New Roman" w:hAnsi="Times New Roman" w:cs="Times New Roman"/>
          <w:sz w:val="24"/>
          <w:szCs w:val="24"/>
        </w:rPr>
        <w:t>Arkansas</w:t>
      </w:r>
      <w:r w:rsidR="00247B38" w:rsidRPr="00247B38">
        <w:rPr>
          <w:rFonts w:ascii="Times New Roman" w:hAnsi="Times New Roman" w:cs="Times New Roman"/>
          <w:sz w:val="24"/>
          <w:szCs w:val="24"/>
        </w:rPr>
        <w:t xml:space="preserve"> </w:t>
      </w:r>
      <w:proofErr w:type="gramStart"/>
      <w:r w:rsidR="00247B38" w:rsidRPr="00247B38">
        <w:rPr>
          <w:rFonts w:ascii="Times New Roman" w:hAnsi="Times New Roman" w:cs="Times New Roman"/>
          <w:sz w:val="24"/>
          <w:szCs w:val="24"/>
        </w:rPr>
        <w:t xml:space="preserve">Cooperative Extension </w:t>
      </w:r>
      <w:r w:rsidR="008A639C">
        <w:rPr>
          <w:rFonts w:ascii="Times New Roman" w:hAnsi="Times New Roman" w:cs="Times New Roman"/>
          <w:sz w:val="24"/>
          <w:szCs w:val="24"/>
        </w:rPr>
        <w:t>county</w:t>
      </w:r>
      <w:proofErr w:type="gramEnd"/>
      <w:r w:rsidR="008A639C">
        <w:rPr>
          <w:rFonts w:ascii="Times New Roman" w:hAnsi="Times New Roman" w:cs="Times New Roman"/>
          <w:sz w:val="24"/>
          <w:szCs w:val="24"/>
        </w:rPr>
        <w:t xml:space="preserve"> </w:t>
      </w:r>
      <w:r w:rsidR="00247B38" w:rsidRPr="00247B38">
        <w:rPr>
          <w:rFonts w:ascii="Times New Roman" w:hAnsi="Times New Roman" w:cs="Times New Roman"/>
          <w:sz w:val="24"/>
          <w:szCs w:val="24"/>
        </w:rPr>
        <w:t xml:space="preserve">employees’ demographic characteristics of age, gender, job title, </w:t>
      </w:r>
      <w:r w:rsidR="00F45A3B">
        <w:rPr>
          <w:rFonts w:ascii="Times New Roman" w:hAnsi="Times New Roman" w:cs="Times New Roman"/>
          <w:sz w:val="24"/>
          <w:szCs w:val="24"/>
        </w:rPr>
        <w:t xml:space="preserve">program area, </w:t>
      </w:r>
      <w:r w:rsidR="00247B38" w:rsidRPr="00247B38">
        <w:rPr>
          <w:rFonts w:ascii="Times New Roman" w:hAnsi="Times New Roman" w:cs="Times New Roman"/>
          <w:sz w:val="24"/>
          <w:szCs w:val="24"/>
        </w:rPr>
        <w:t>and length of time employed in their position.</w:t>
      </w:r>
      <w:r w:rsidR="00247B38">
        <w:rPr>
          <w:rFonts w:ascii="Times New Roman" w:hAnsi="Times New Roman" w:cs="Times New Roman"/>
          <w:sz w:val="24"/>
          <w:szCs w:val="24"/>
        </w:rPr>
        <w:t xml:space="preserve"> </w:t>
      </w:r>
      <w:r w:rsidR="00F45A3B" w:rsidRPr="007E20CF">
        <w:rPr>
          <w:rFonts w:ascii="Times New Roman" w:hAnsi="Times New Roman" w:cs="Times New Roman"/>
          <w:sz w:val="24"/>
          <w:szCs w:val="24"/>
        </w:rPr>
        <w:t>Table</w:t>
      </w:r>
      <w:r w:rsidRPr="007E20CF">
        <w:rPr>
          <w:rFonts w:ascii="Times New Roman" w:hAnsi="Times New Roman" w:cs="Times New Roman"/>
          <w:sz w:val="24"/>
          <w:szCs w:val="24"/>
        </w:rPr>
        <w:t xml:space="preserve"> 1 outlines the demographics of </w:t>
      </w:r>
      <w:r w:rsidR="00945A21">
        <w:rPr>
          <w:rFonts w:ascii="Times New Roman" w:hAnsi="Times New Roman" w:cs="Times New Roman"/>
          <w:sz w:val="24"/>
          <w:szCs w:val="24"/>
        </w:rPr>
        <w:t>Arkansas</w:t>
      </w:r>
      <w:r w:rsidRPr="007E20CF">
        <w:rPr>
          <w:rFonts w:ascii="Times New Roman" w:hAnsi="Times New Roman" w:cs="Times New Roman"/>
          <w:sz w:val="24"/>
          <w:szCs w:val="24"/>
        </w:rPr>
        <w:t xml:space="preserve"> CEAs.</w:t>
      </w:r>
      <w:r w:rsidR="008A639C">
        <w:rPr>
          <w:rFonts w:ascii="Times New Roman" w:hAnsi="Times New Roman" w:cs="Times New Roman"/>
          <w:sz w:val="24"/>
          <w:szCs w:val="24"/>
        </w:rPr>
        <w:t xml:space="preserve"> </w:t>
      </w:r>
      <w:r w:rsidRPr="007E20CF">
        <w:rPr>
          <w:rFonts w:ascii="Times New Roman" w:hAnsi="Times New Roman" w:cs="Times New Roman"/>
          <w:sz w:val="24"/>
          <w:szCs w:val="24"/>
        </w:rPr>
        <w:t>Frequencies and percentages were calculated for categorical variables (gender, job title, and program area). For continuous variables (age and years employed), measures of central tendency and variability, including mean, standard deviation (</w:t>
      </w:r>
      <w:r w:rsidRPr="007E20CF">
        <w:rPr>
          <w:rFonts w:ascii="Times New Roman" w:hAnsi="Times New Roman" w:cs="Times New Roman"/>
          <w:i/>
          <w:iCs/>
          <w:sz w:val="24"/>
          <w:szCs w:val="24"/>
        </w:rPr>
        <w:t>SD</w:t>
      </w:r>
      <w:r w:rsidRPr="007E20CF">
        <w:rPr>
          <w:rFonts w:ascii="Times New Roman" w:hAnsi="Times New Roman" w:cs="Times New Roman"/>
          <w:sz w:val="24"/>
          <w:szCs w:val="24"/>
        </w:rPr>
        <w:t xml:space="preserve">) were reported. </w:t>
      </w:r>
    </w:p>
    <w:p w14:paraId="0556A6FF" w14:textId="34A43E14" w:rsidR="001E00D6" w:rsidRPr="00001DE7" w:rsidRDefault="001E00D6" w:rsidP="00F31B4C">
      <w:pPr>
        <w:widowControl w:val="0"/>
        <w:spacing w:after="240" w:line="240" w:lineRule="auto"/>
        <w:rPr>
          <w:rFonts w:ascii="Times New Roman" w:hAnsi="Times New Roman" w:cs="Times New Roman"/>
          <w:sz w:val="24"/>
          <w:szCs w:val="24"/>
        </w:rPr>
      </w:pPr>
      <w:r w:rsidRPr="00001DE7">
        <w:rPr>
          <w:rFonts w:ascii="Times New Roman" w:hAnsi="Times New Roman" w:cs="Times New Roman"/>
          <w:sz w:val="24"/>
          <w:szCs w:val="24"/>
        </w:rPr>
        <w:t>The final sample included 174 respondents.</w:t>
      </w:r>
      <w:r w:rsidR="00E379FB">
        <w:rPr>
          <w:rFonts w:ascii="Times New Roman" w:hAnsi="Times New Roman" w:cs="Times New Roman"/>
          <w:sz w:val="24"/>
          <w:szCs w:val="24"/>
        </w:rPr>
        <w:t xml:space="preserve"> </w:t>
      </w:r>
      <w:r w:rsidRPr="0038684D">
        <w:rPr>
          <w:rFonts w:ascii="Times New Roman" w:hAnsi="Times New Roman" w:cs="Times New Roman"/>
          <w:sz w:val="24"/>
          <w:szCs w:val="24"/>
        </w:rPr>
        <w:t>Gender was analyzed across professional titles and program areas. Among C</w:t>
      </w:r>
      <w:r>
        <w:rPr>
          <w:rFonts w:ascii="Times New Roman" w:hAnsi="Times New Roman" w:cs="Times New Roman"/>
          <w:sz w:val="24"/>
          <w:szCs w:val="24"/>
        </w:rPr>
        <w:t>EAs</w:t>
      </w:r>
      <w:r w:rsidRPr="0038684D">
        <w:rPr>
          <w:rFonts w:ascii="Times New Roman" w:hAnsi="Times New Roman" w:cs="Times New Roman"/>
          <w:sz w:val="24"/>
          <w:szCs w:val="24"/>
        </w:rPr>
        <w:t xml:space="preserve">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74), 14.3% identified as male, 73.0% as female, and 14.3% preferred not to disclose. Staff Chairs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40) included 45.0% male and 55.0% female. All </w:t>
      </w:r>
      <w:r w:rsidRPr="0038684D">
        <w:rPr>
          <w:rFonts w:ascii="Times New Roman" w:hAnsi="Times New Roman" w:cs="Times New Roman"/>
          <w:sz w:val="24"/>
          <w:szCs w:val="24"/>
        </w:rPr>
        <w:lastRenderedPageBreak/>
        <w:t>Program Assistants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8) identified as female (100.0%). Support Staff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52) consisted of 9.6% male, 82.7% female, and 7.7% who preferred not to disclose. Across all titles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174), 19.0% of participants identified as male, 73.0% as female, and 8.0% preferred not to disclose their gender identity. In Family and Consumer Sciences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58), 1.7% of participants identified as male and 98.3% as female. Agriculture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45) included 60.0% male, 28.9% female, and 11.1% who preferred not to disclose. The 4-H program area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30) consisted of 93.3% female and 6.7% who preferred not to disclose, with no male participants. Support Staff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32) included 9.4% male, 84.4% female, and 6.2% who preferred not to disclose. The Other category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9) comprised 22.2% male, 55.6% female, and 22.2% who preferred not to disclose. Across all program areas (</w:t>
      </w:r>
      <w:r w:rsidRPr="0038684D">
        <w:rPr>
          <w:rFonts w:ascii="Times New Roman" w:hAnsi="Times New Roman" w:cs="Times New Roman"/>
          <w:i/>
          <w:iCs/>
          <w:sz w:val="24"/>
          <w:szCs w:val="24"/>
        </w:rPr>
        <w:t>N</w:t>
      </w:r>
      <w:r w:rsidRPr="0038684D">
        <w:rPr>
          <w:rFonts w:ascii="Times New Roman" w:hAnsi="Times New Roman" w:cs="Times New Roman"/>
          <w:sz w:val="24"/>
          <w:szCs w:val="24"/>
        </w:rPr>
        <w:t xml:space="preserve"> = 174), 19.0% of participants identified as male, 74.7% as female, and 6.3% preferred not to disclose their gender identity.</w:t>
      </w:r>
    </w:p>
    <w:p w14:paraId="68514479" w14:textId="77777777" w:rsidR="001E00D6" w:rsidRPr="0038684D" w:rsidRDefault="001E00D6" w:rsidP="00F31B4C">
      <w:pPr>
        <w:pStyle w:val="table1"/>
        <w:widowControl w:val="0"/>
        <w:spacing w:line="240" w:lineRule="auto"/>
        <w:rPr>
          <w:sz w:val="24"/>
          <w:szCs w:val="24"/>
        </w:rPr>
      </w:pPr>
      <w:bookmarkStart w:id="17" w:name="_Hlk212723733"/>
      <w:r w:rsidRPr="0038684D">
        <w:rPr>
          <w:sz w:val="24"/>
          <w:szCs w:val="24"/>
        </w:rPr>
        <w:t>Table 1</w:t>
      </w:r>
    </w:p>
    <w:p w14:paraId="10BCCCDF" w14:textId="75FB2EBB" w:rsidR="001E00D6" w:rsidRPr="0038684D" w:rsidRDefault="001E00D6" w:rsidP="00F31B4C">
      <w:pPr>
        <w:widowControl w:val="0"/>
        <w:spacing w:after="0" w:line="240" w:lineRule="auto"/>
        <w:rPr>
          <w:rFonts w:ascii="Times New Roman" w:hAnsi="Times New Roman" w:cs="Times New Roman"/>
          <w:sz w:val="24"/>
          <w:szCs w:val="24"/>
        </w:rPr>
      </w:pPr>
      <w:r w:rsidRPr="0038684D">
        <w:rPr>
          <w:rFonts w:ascii="Times New Roman" w:eastAsia="Calibri" w:hAnsi="Times New Roman" w:cs="Times New Roman"/>
          <w:i/>
          <w:iCs/>
          <w:sz w:val="24"/>
          <w:szCs w:val="24"/>
        </w:rPr>
        <w:t xml:space="preserve">Descriptive Statistics for Demographic Characteristics of </w:t>
      </w:r>
      <w:r w:rsidR="00945A21">
        <w:rPr>
          <w:rFonts w:ascii="Times New Roman" w:eastAsia="Calibri" w:hAnsi="Times New Roman" w:cs="Times New Roman"/>
          <w:i/>
          <w:iCs/>
          <w:sz w:val="24"/>
          <w:szCs w:val="24"/>
        </w:rPr>
        <w:t>Arkansas</w:t>
      </w:r>
      <w:r w:rsidRPr="0038684D">
        <w:rPr>
          <w:rFonts w:ascii="Times New Roman" w:eastAsia="Calibri" w:hAnsi="Times New Roman" w:cs="Times New Roman"/>
          <w:i/>
          <w:iCs/>
          <w:sz w:val="24"/>
          <w:szCs w:val="24"/>
        </w:rPr>
        <w:t xml:space="preserve"> Cooperative Extension Employees</w:t>
      </w:r>
    </w:p>
    <w:bookmarkEnd w:id="17"/>
    <w:p w14:paraId="360C449B" w14:textId="77777777" w:rsidR="001E00D6" w:rsidRDefault="001E00D6" w:rsidP="00F31B4C">
      <w:pPr>
        <w:widowControl w:val="0"/>
        <w:spacing w:after="0" w:line="240"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5"/>
        <w:gridCol w:w="630"/>
        <w:gridCol w:w="810"/>
        <w:gridCol w:w="836"/>
        <w:gridCol w:w="897"/>
        <w:gridCol w:w="787"/>
        <w:gridCol w:w="925"/>
        <w:gridCol w:w="1415"/>
      </w:tblGrid>
      <w:tr w:rsidR="001E00D6" w:rsidRPr="00342704" w14:paraId="496CA361" w14:textId="77777777" w:rsidTr="0038684D">
        <w:tc>
          <w:tcPr>
            <w:tcW w:w="2065" w:type="dxa"/>
            <w:tcBorders>
              <w:top w:val="single" w:sz="4" w:space="0" w:color="auto"/>
            </w:tcBorders>
          </w:tcPr>
          <w:p w14:paraId="0FB0ADA0" w14:textId="77777777" w:rsidR="001E00D6" w:rsidRPr="00860402" w:rsidRDefault="001E00D6" w:rsidP="00F31B4C">
            <w:pPr>
              <w:widowControl w:val="0"/>
              <w:spacing w:line="240" w:lineRule="auto"/>
              <w:rPr>
                <w:rFonts w:ascii="Times New Roman" w:hAnsi="Times New Roman" w:cs="Times New Roman"/>
              </w:rPr>
            </w:pPr>
            <w:r w:rsidRPr="00860402">
              <w:rPr>
                <w:rFonts w:ascii="Times New Roman" w:hAnsi="Times New Roman" w:cs="Times New Roman"/>
              </w:rPr>
              <w:t>Variable</w:t>
            </w:r>
          </w:p>
        </w:tc>
        <w:tc>
          <w:tcPr>
            <w:tcW w:w="1440" w:type="dxa"/>
            <w:gridSpan w:val="2"/>
            <w:tcBorders>
              <w:top w:val="single" w:sz="4" w:space="0" w:color="auto"/>
              <w:bottom w:val="single" w:sz="4" w:space="0" w:color="auto"/>
            </w:tcBorders>
          </w:tcPr>
          <w:p w14:paraId="08019943"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Male</w:t>
            </w:r>
          </w:p>
        </w:tc>
        <w:tc>
          <w:tcPr>
            <w:tcW w:w="1733" w:type="dxa"/>
            <w:gridSpan w:val="2"/>
            <w:tcBorders>
              <w:top w:val="single" w:sz="4" w:space="0" w:color="auto"/>
              <w:bottom w:val="single" w:sz="4" w:space="0" w:color="auto"/>
            </w:tcBorders>
          </w:tcPr>
          <w:p w14:paraId="4061536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Female</w:t>
            </w:r>
          </w:p>
        </w:tc>
        <w:tc>
          <w:tcPr>
            <w:tcW w:w="1712" w:type="dxa"/>
            <w:gridSpan w:val="2"/>
            <w:tcBorders>
              <w:top w:val="single" w:sz="4" w:space="0" w:color="auto"/>
              <w:bottom w:val="single" w:sz="4" w:space="0" w:color="auto"/>
            </w:tcBorders>
          </w:tcPr>
          <w:p w14:paraId="70C9EC8F"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Prefer not to disclose</w:t>
            </w:r>
          </w:p>
        </w:tc>
        <w:tc>
          <w:tcPr>
            <w:tcW w:w="1415" w:type="dxa"/>
            <w:tcBorders>
              <w:top w:val="single" w:sz="4" w:space="0" w:color="auto"/>
              <w:bottom w:val="single" w:sz="4" w:space="0" w:color="auto"/>
            </w:tcBorders>
          </w:tcPr>
          <w:p w14:paraId="0D852F1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Total</w:t>
            </w:r>
          </w:p>
        </w:tc>
      </w:tr>
      <w:tr w:rsidR="001E00D6" w:rsidRPr="00342704" w14:paraId="113F061A" w14:textId="77777777" w:rsidTr="0038684D">
        <w:tc>
          <w:tcPr>
            <w:tcW w:w="2065" w:type="dxa"/>
            <w:tcBorders>
              <w:bottom w:val="single" w:sz="4" w:space="0" w:color="auto"/>
            </w:tcBorders>
          </w:tcPr>
          <w:p w14:paraId="67C49D26" w14:textId="77777777" w:rsidR="001E00D6" w:rsidRPr="00860402" w:rsidRDefault="001E00D6" w:rsidP="00F31B4C">
            <w:pPr>
              <w:widowControl w:val="0"/>
              <w:spacing w:line="240" w:lineRule="auto"/>
              <w:rPr>
                <w:rFonts w:ascii="Times New Roman" w:hAnsi="Times New Roman" w:cs="Times New Roman"/>
              </w:rPr>
            </w:pPr>
          </w:p>
        </w:tc>
        <w:tc>
          <w:tcPr>
            <w:tcW w:w="630" w:type="dxa"/>
            <w:tcBorders>
              <w:top w:val="single" w:sz="4" w:space="0" w:color="auto"/>
              <w:bottom w:val="single" w:sz="4" w:space="0" w:color="auto"/>
            </w:tcBorders>
          </w:tcPr>
          <w:p w14:paraId="7CCD9DA2" w14:textId="77777777" w:rsidR="001E00D6" w:rsidRPr="00860402" w:rsidRDefault="001E00D6" w:rsidP="00F31B4C">
            <w:pPr>
              <w:widowControl w:val="0"/>
              <w:spacing w:line="240" w:lineRule="auto"/>
              <w:jc w:val="center"/>
              <w:rPr>
                <w:rFonts w:ascii="Times New Roman" w:hAnsi="Times New Roman" w:cs="Times New Roman"/>
                <w:i/>
                <w:iCs/>
              </w:rPr>
            </w:pPr>
            <w:r w:rsidRPr="00860402">
              <w:rPr>
                <w:rFonts w:ascii="Times New Roman" w:hAnsi="Times New Roman" w:cs="Times New Roman"/>
                <w:i/>
                <w:iCs/>
              </w:rPr>
              <w:t>n</w:t>
            </w:r>
          </w:p>
        </w:tc>
        <w:tc>
          <w:tcPr>
            <w:tcW w:w="810" w:type="dxa"/>
            <w:tcBorders>
              <w:top w:val="single" w:sz="4" w:space="0" w:color="auto"/>
              <w:bottom w:val="single" w:sz="4" w:space="0" w:color="auto"/>
            </w:tcBorders>
          </w:tcPr>
          <w:p w14:paraId="77254017" w14:textId="77777777" w:rsidR="001E00D6" w:rsidRPr="00860402" w:rsidRDefault="001E00D6" w:rsidP="00F31B4C">
            <w:pPr>
              <w:widowControl w:val="0"/>
              <w:spacing w:line="240" w:lineRule="auto"/>
              <w:jc w:val="center"/>
              <w:rPr>
                <w:rFonts w:ascii="Times New Roman" w:hAnsi="Times New Roman" w:cs="Times New Roman"/>
                <w:i/>
                <w:iCs/>
              </w:rPr>
            </w:pPr>
            <w:r w:rsidRPr="00860402">
              <w:rPr>
                <w:rFonts w:ascii="Times New Roman" w:hAnsi="Times New Roman" w:cs="Times New Roman"/>
                <w:i/>
                <w:iCs/>
              </w:rPr>
              <w:t>%</w:t>
            </w:r>
          </w:p>
        </w:tc>
        <w:tc>
          <w:tcPr>
            <w:tcW w:w="836" w:type="dxa"/>
            <w:tcBorders>
              <w:top w:val="single" w:sz="4" w:space="0" w:color="auto"/>
              <w:bottom w:val="single" w:sz="4" w:space="0" w:color="auto"/>
            </w:tcBorders>
          </w:tcPr>
          <w:p w14:paraId="6B18B674" w14:textId="77777777" w:rsidR="001E00D6" w:rsidRPr="00860402" w:rsidRDefault="001E00D6" w:rsidP="00F31B4C">
            <w:pPr>
              <w:widowControl w:val="0"/>
              <w:spacing w:line="240" w:lineRule="auto"/>
              <w:jc w:val="center"/>
              <w:rPr>
                <w:rFonts w:ascii="Times New Roman" w:hAnsi="Times New Roman" w:cs="Times New Roman"/>
                <w:i/>
                <w:iCs/>
              </w:rPr>
            </w:pPr>
            <w:r w:rsidRPr="00860402">
              <w:rPr>
                <w:rFonts w:ascii="Times New Roman" w:hAnsi="Times New Roman" w:cs="Times New Roman"/>
                <w:i/>
                <w:iCs/>
              </w:rPr>
              <w:t>n</w:t>
            </w:r>
          </w:p>
        </w:tc>
        <w:tc>
          <w:tcPr>
            <w:tcW w:w="897" w:type="dxa"/>
            <w:tcBorders>
              <w:top w:val="single" w:sz="4" w:space="0" w:color="auto"/>
              <w:bottom w:val="single" w:sz="4" w:space="0" w:color="auto"/>
            </w:tcBorders>
          </w:tcPr>
          <w:p w14:paraId="2E1C62F9" w14:textId="77777777" w:rsidR="001E00D6" w:rsidRPr="00860402" w:rsidRDefault="001E00D6" w:rsidP="00F31B4C">
            <w:pPr>
              <w:widowControl w:val="0"/>
              <w:spacing w:line="240" w:lineRule="auto"/>
              <w:jc w:val="center"/>
              <w:rPr>
                <w:rFonts w:ascii="Times New Roman" w:hAnsi="Times New Roman" w:cs="Times New Roman"/>
                <w:i/>
                <w:iCs/>
              </w:rPr>
            </w:pPr>
            <w:r w:rsidRPr="00860402">
              <w:rPr>
                <w:rFonts w:ascii="Times New Roman" w:hAnsi="Times New Roman" w:cs="Times New Roman"/>
                <w:i/>
                <w:iCs/>
              </w:rPr>
              <w:t>%</w:t>
            </w:r>
          </w:p>
        </w:tc>
        <w:tc>
          <w:tcPr>
            <w:tcW w:w="787" w:type="dxa"/>
            <w:tcBorders>
              <w:top w:val="single" w:sz="4" w:space="0" w:color="auto"/>
              <w:bottom w:val="single" w:sz="4" w:space="0" w:color="auto"/>
            </w:tcBorders>
          </w:tcPr>
          <w:p w14:paraId="120DB46A" w14:textId="77777777" w:rsidR="001E00D6" w:rsidRPr="00860402" w:rsidRDefault="001E00D6" w:rsidP="00F31B4C">
            <w:pPr>
              <w:widowControl w:val="0"/>
              <w:spacing w:line="240" w:lineRule="auto"/>
              <w:jc w:val="center"/>
              <w:rPr>
                <w:rFonts w:ascii="Times New Roman" w:hAnsi="Times New Roman" w:cs="Times New Roman"/>
                <w:i/>
                <w:iCs/>
              </w:rPr>
            </w:pPr>
            <w:r w:rsidRPr="00860402">
              <w:rPr>
                <w:rFonts w:ascii="Times New Roman" w:hAnsi="Times New Roman" w:cs="Times New Roman"/>
                <w:i/>
                <w:iCs/>
              </w:rPr>
              <w:t>n</w:t>
            </w:r>
          </w:p>
        </w:tc>
        <w:tc>
          <w:tcPr>
            <w:tcW w:w="925" w:type="dxa"/>
            <w:tcBorders>
              <w:top w:val="single" w:sz="4" w:space="0" w:color="auto"/>
              <w:bottom w:val="single" w:sz="4" w:space="0" w:color="auto"/>
            </w:tcBorders>
          </w:tcPr>
          <w:p w14:paraId="32CF04B3" w14:textId="77777777" w:rsidR="001E00D6" w:rsidRPr="00860402" w:rsidRDefault="001E00D6" w:rsidP="00F31B4C">
            <w:pPr>
              <w:widowControl w:val="0"/>
              <w:spacing w:line="240" w:lineRule="auto"/>
              <w:jc w:val="center"/>
              <w:rPr>
                <w:rFonts w:ascii="Times New Roman" w:hAnsi="Times New Roman" w:cs="Times New Roman"/>
                <w:i/>
                <w:iCs/>
              </w:rPr>
            </w:pPr>
            <w:r w:rsidRPr="00860402">
              <w:rPr>
                <w:rFonts w:ascii="Times New Roman" w:hAnsi="Times New Roman" w:cs="Times New Roman"/>
                <w:i/>
                <w:iCs/>
              </w:rPr>
              <w:t>%</w:t>
            </w:r>
          </w:p>
        </w:tc>
        <w:tc>
          <w:tcPr>
            <w:tcW w:w="1415" w:type="dxa"/>
            <w:tcBorders>
              <w:top w:val="single" w:sz="4" w:space="0" w:color="auto"/>
              <w:bottom w:val="single" w:sz="4" w:space="0" w:color="auto"/>
            </w:tcBorders>
          </w:tcPr>
          <w:p w14:paraId="4AF417BA" w14:textId="77777777" w:rsidR="001E00D6" w:rsidRPr="00860402" w:rsidRDefault="001E00D6" w:rsidP="00F31B4C">
            <w:pPr>
              <w:widowControl w:val="0"/>
              <w:spacing w:line="240" w:lineRule="auto"/>
              <w:jc w:val="center"/>
              <w:rPr>
                <w:rFonts w:ascii="Times New Roman" w:hAnsi="Times New Roman" w:cs="Times New Roman"/>
                <w:i/>
                <w:iCs/>
              </w:rPr>
            </w:pPr>
            <w:r w:rsidRPr="00860402">
              <w:rPr>
                <w:rFonts w:ascii="Times New Roman" w:hAnsi="Times New Roman" w:cs="Times New Roman"/>
                <w:i/>
                <w:iCs/>
              </w:rPr>
              <w:t>n</w:t>
            </w:r>
          </w:p>
        </w:tc>
      </w:tr>
      <w:tr w:rsidR="001E00D6" w:rsidRPr="00342704" w14:paraId="25BB17CB" w14:textId="77777777" w:rsidTr="0038684D">
        <w:tc>
          <w:tcPr>
            <w:tcW w:w="2065" w:type="dxa"/>
            <w:tcBorders>
              <w:top w:val="single" w:sz="4" w:space="0" w:color="auto"/>
            </w:tcBorders>
          </w:tcPr>
          <w:p w14:paraId="39D9CA85" w14:textId="0F870973" w:rsidR="001E00D6" w:rsidRPr="0038684D" w:rsidRDefault="00247B38" w:rsidP="00F31B4C">
            <w:pPr>
              <w:widowControl w:val="0"/>
              <w:spacing w:line="240" w:lineRule="auto"/>
              <w:rPr>
                <w:rFonts w:ascii="Times New Roman" w:hAnsi="Times New Roman" w:cs="Times New Roman"/>
              </w:rPr>
            </w:pPr>
            <w:r>
              <w:rPr>
                <w:rFonts w:ascii="Times New Roman" w:hAnsi="Times New Roman" w:cs="Times New Roman"/>
              </w:rPr>
              <w:t>Appointment</w:t>
            </w:r>
          </w:p>
        </w:tc>
        <w:tc>
          <w:tcPr>
            <w:tcW w:w="630" w:type="dxa"/>
            <w:tcBorders>
              <w:top w:val="single" w:sz="4" w:space="0" w:color="auto"/>
            </w:tcBorders>
          </w:tcPr>
          <w:p w14:paraId="733B1732" w14:textId="77777777" w:rsidR="001E00D6" w:rsidRPr="00860402" w:rsidRDefault="001E00D6" w:rsidP="00F31B4C">
            <w:pPr>
              <w:widowControl w:val="0"/>
              <w:spacing w:line="240" w:lineRule="auto"/>
              <w:jc w:val="center"/>
              <w:rPr>
                <w:rFonts w:ascii="Times New Roman" w:hAnsi="Times New Roman" w:cs="Times New Roman"/>
              </w:rPr>
            </w:pPr>
          </w:p>
        </w:tc>
        <w:tc>
          <w:tcPr>
            <w:tcW w:w="810" w:type="dxa"/>
            <w:tcBorders>
              <w:top w:val="single" w:sz="4" w:space="0" w:color="auto"/>
            </w:tcBorders>
          </w:tcPr>
          <w:p w14:paraId="3CF5D2EC" w14:textId="77777777" w:rsidR="001E00D6" w:rsidRPr="00860402" w:rsidRDefault="001E00D6" w:rsidP="00F31B4C">
            <w:pPr>
              <w:widowControl w:val="0"/>
              <w:spacing w:line="240" w:lineRule="auto"/>
              <w:jc w:val="center"/>
              <w:rPr>
                <w:rFonts w:ascii="Times New Roman" w:hAnsi="Times New Roman" w:cs="Times New Roman"/>
              </w:rPr>
            </w:pPr>
          </w:p>
        </w:tc>
        <w:tc>
          <w:tcPr>
            <w:tcW w:w="836" w:type="dxa"/>
            <w:tcBorders>
              <w:top w:val="single" w:sz="4" w:space="0" w:color="auto"/>
            </w:tcBorders>
          </w:tcPr>
          <w:p w14:paraId="3DA98805" w14:textId="77777777" w:rsidR="001E00D6" w:rsidRPr="00860402" w:rsidRDefault="001E00D6" w:rsidP="00F31B4C">
            <w:pPr>
              <w:widowControl w:val="0"/>
              <w:spacing w:line="240" w:lineRule="auto"/>
              <w:jc w:val="center"/>
              <w:rPr>
                <w:rFonts w:ascii="Times New Roman" w:hAnsi="Times New Roman" w:cs="Times New Roman"/>
              </w:rPr>
            </w:pPr>
          </w:p>
        </w:tc>
        <w:tc>
          <w:tcPr>
            <w:tcW w:w="897" w:type="dxa"/>
            <w:tcBorders>
              <w:top w:val="single" w:sz="4" w:space="0" w:color="auto"/>
            </w:tcBorders>
          </w:tcPr>
          <w:p w14:paraId="2BD3EAF4" w14:textId="77777777" w:rsidR="001E00D6" w:rsidRPr="00860402" w:rsidRDefault="001E00D6" w:rsidP="00F31B4C">
            <w:pPr>
              <w:widowControl w:val="0"/>
              <w:spacing w:line="240" w:lineRule="auto"/>
              <w:jc w:val="center"/>
              <w:rPr>
                <w:rFonts w:ascii="Times New Roman" w:hAnsi="Times New Roman" w:cs="Times New Roman"/>
              </w:rPr>
            </w:pPr>
          </w:p>
        </w:tc>
        <w:tc>
          <w:tcPr>
            <w:tcW w:w="787" w:type="dxa"/>
            <w:tcBorders>
              <w:top w:val="single" w:sz="4" w:space="0" w:color="auto"/>
            </w:tcBorders>
          </w:tcPr>
          <w:p w14:paraId="7BE962E3" w14:textId="77777777" w:rsidR="001E00D6" w:rsidRPr="00860402" w:rsidRDefault="001E00D6" w:rsidP="00F31B4C">
            <w:pPr>
              <w:widowControl w:val="0"/>
              <w:spacing w:line="240" w:lineRule="auto"/>
              <w:jc w:val="center"/>
              <w:rPr>
                <w:rFonts w:ascii="Times New Roman" w:hAnsi="Times New Roman" w:cs="Times New Roman"/>
              </w:rPr>
            </w:pPr>
          </w:p>
        </w:tc>
        <w:tc>
          <w:tcPr>
            <w:tcW w:w="925" w:type="dxa"/>
            <w:tcBorders>
              <w:top w:val="single" w:sz="4" w:space="0" w:color="auto"/>
            </w:tcBorders>
          </w:tcPr>
          <w:p w14:paraId="43838CE9" w14:textId="77777777" w:rsidR="001E00D6" w:rsidRPr="00860402" w:rsidRDefault="001E00D6" w:rsidP="00F31B4C">
            <w:pPr>
              <w:widowControl w:val="0"/>
              <w:spacing w:line="240" w:lineRule="auto"/>
              <w:jc w:val="center"/>
              <w:rPr>
                <w:rFonts w:ascii="Times New Roman" w:hAnsi="Times New Roman" w:cs="Times New Roman"/>
              </w:rPr>
            </w:pPr>
          </w:p>
        </w:tc>
        <w:tc>
          <w:tcPr>
            <w:tcW w:w="1415" w:type="dxa"/>
            <w:tcBorders>
              <w:top w:val="single" w:sz="4" w:space="0" w:color="auto"/>
            </w:tcBorders>
          </w:tcPr>
          <w:p w14:paraId="28C19698" w14:textId="77777777" w:rsidR="001E00D6" w:rsidRPr="00860402" w:rsidRDefault="001E00D6" w:rsidP="00F31B4C">
            <w:pPr>
              <w:widowControl w:val="0"/>
              <w:spacing w:line="240" w:lineRule="auto"/>
              <w:jc w:val="center"/>
              <w:rPr>
                <w:rFonts w:ascii="Times New Roman" w:hAnsi="Times New Roman" w:cs="Times New Roman"/>
              </w:rPr>
            </w:pPr>
          </w:p>
        </w:tc>
      </w:tr>
      <w:tr w:rsidR="001E00D6" w:rsidRPr="00342704" w14:paraId="1689ECE3" w14:textId="77777777" w:rsidTr="0038684D">
        <w:tc>
          <w:tcPr>
            <w:tcW w:w="2065" w:type="dxa"/>
          </w:tcPr>
          <w:p w14:paraId="158C80AB" w14:textId="77777777" w:rsidR="001E00D6" w:rsidRPr="00860402" w:rsidRDefault="001E00D6" w:rsidP="00F31B4C">
            <w:pPr>
              <w:widowControl w:val="0"/>
              <w:spacing w:line="240" w:lineRule="auto"/>
              <w:ind w:left="525" w:hanging="180"/>
              <w:rPr>
                <w:rFonts w:ascii="Times New Roman" w:hAnsi="Times New Roman" w:cs="Times New Roman"/>
              </w:rPr>
            </w:pPr>
            <w:r w:rsidRPr="00860402">
              <w:rPr>
                <w:rFonts w:ascii="Times New Roman" w:hAnsi="Times New Roman" w:cs="Times New Roman"/>
              </w:rPr>
              <w:t>County Extension Agent</w:t>
            </w:r>
          </w:p>
        </w:tc>
        <w:tc>
          <w:tcPr>
            <w:tcW w:w="630" w:type="dxa"/>
          </w:tcPr>
          <w:p w14:paraId="4A30E342"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10</w:t>
            </w:r>
          </w:p>
        </w:tc>
        <w:tc>
          <w:tcPr>
            <w:tcW w:w="810" w:type="dxa"/>
          </w:tcPr>
          <w:p w14:paraId="508B2B3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14.3</w:t>
            </w:r>
          </w:p>
        </w:tc>
        <w:tc>
          <w:tcPr>
            <w:tcW w:w="836" w:type="dxa"/>
          </w:tcPr>
          <w:p w14:paraId="0606182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54</w:t>
            </w:r>
          </w:p>
        </w:tc>
        <w:tc>
          <w:tcPr>
            <w:tcW w:w="897" w:type="dxa"/>
          </w:tcPr>
          <w:p w14:paraId="32D95FF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 xml:space="preserve">73.0 </w:t>
            </w:r>
          </w:p>
        </w:tc>
        <w:tc>
          <w:tcPr>
            <w:tcW w:w="787" w:type="dxa"/>
          </w:tcPr>
          <w:p w14:paraId="584371B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10</w:t>
            </w:r>
          </w:p>
        </w:tc>
        <w:tc>
          <w:tcPr>
            <w:tcW w:w="925" w:type="dxa"/>
          </w:tcPr>
          <w:p w14:paraId="2E6ED51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14.3</w:t>
            </w:r>
          </w:p>
        </w:tc>
        <w:tc>
          <w:tcPr>
            <w:tcW w:w="1415" w:type="dxa"/>
          </w:tcPr>
          <w:p w14:paraId="6CF1E277"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74</w:t>
            </w:r>
          </w:p>
        </w:tc>
      </w:tr>
      <w:tr w:rsidR="001E00D6" w:rsidRPr="00342704" w14:paraId="7ED2E381" w14:textId="77777777" w:rsidTr="0038684D">
        <w:tc>
          <w:tcPr>
            <w:tcW w:w="2065" w:type="dxa"/>
          </w:tcPr>
          <w:p w14:paraId="44518B78"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Staff Chair</w:t>
            </w:r>
          </w:p>
        </w:tc>
        <w:tc>
          <w:tcPr>
            <w:tcW w:w="630" w:type="dxa"/>
          </w:tcPr>
          <w:p w14:paraId="07604D9E"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18</w:t>
            </w:r>
          </w:p>
        </w:tc>
        <w:tc>
          <w:tcPr>
            <w:tcW w:w="810" w:type="dxa"/>
          </w:tcPr>
          <w:p w14:paraId="148E63C5"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45.0</w:t>
            </w:r>
          </w:p>
        </w:tc>
        <w:tc>
          <w:tcPr>
            <w:tcW w:w="836" w:type="dxa"/>
          </w:tcPr>
          <w:p w14:paraId="359626F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22</w:t>
            </w:r>
          </w:p>
        </w:tc>
        <w:tc>
          <w:tcPr>
            <w:tcW w:w="897" w:type="dxa"/>
          </w:tcPr>
          <w:p w14:paraId="5C621751"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55.0</w:t>
            </w:r>
          </w:p>
        </w:tc>
        <w:tc>
          <w:tcPr>
            <w:tcW w:w="787" w:type="dxa"/>
          </w:tcPr>
          <w:p w14:paraId="3A2557BE"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925" w:type="dxa"/>
          </w:tcPr>
          <w:p w14:paraId="45A3DB4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1415" w:type="dxa"/>
          </w:tcPr>
          <w:p w14:paraId="3A20290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40</w:t>
            </w:r>
          </w:p>
        </w:tc>
      </w:tr>
      <w:tr w:rsidR="001E00D6" w:rsidRPr="00342704" w14:paraId="720FC4C3" w14:textId="77777777" w:rsidTr="0038684D">
        <w:tc>
          <w:tcPr>
            <w:tcW w:w="2065" w:type="dxa"/>
          </w:tcPr>
          <w:p w14:paraId="7B6ED6A1"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Program Assistant</w:t>
            </w:r>
          </w:p>
        </w:tc>
        <w:tc>
          <w:tcPr>
            <w:tcW w:w="630" w:type="dxa"/>
          </w:tcPr>
          <w:p w14:paraId="662CC79C"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810" w:type="dxa"/>
          </w:tcPr>
          <w:p w14:paraId="5EF2A5E1"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836" w:type="dxa"/>
          </w:tcPr>
          <w:p w14:paraId="1DD28C65"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8</w:t>
            </w:r>
          </w:p>
        </w:tc>
        <w:tc>
          <w:tcPr>
            <w:tcW w:w="897" w:type="dxa"/>
          </w:tcPr>
          <w:p w14:paraId="3160C87F"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100.0</w:t>
            </w:r>
          </w:p>
        </w:tc>
        <w:tc>
          <w:tcPr>
            <w:tcW w:w="787" w:type="dxa"/>
          </w:tcPr>
          <w:p w14:paraId="68F886C0"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925" w:type="dxa"/>
          </w:tcPr>
          <w:p w14:paraId="2156730E"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1415" w:type="dxa"/>
          </w:tcPr>
          <w:p w14:paraId="0C88AADE"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8</w:t>
            </w:r>
          </w:p>
        </w:tc>
      </w:tr>
      <w:tr w:rsidR="001E00D6" w:rsidRPr="00342704" w14:paraId="519AA1CF" w14:textId="77777777" w:rsidTr="0038684D">
        <w:tc>
          <w:tcPr>
            <w:tcW w:w="2065" w:type="dxa"/>
          </w:tcPr>
          <w:p w14:paraId="61FC5CEE"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Support Staff</w:t>
            </w:r>
          </w:p>
        </w:tc>
        <w:tc>
          <w:tcPr>
            <w:tcW w:w="630" w:type="dxa"/>
          </w:tcPr>
          <w:p w14:paraId="29860C7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w:t>
            </w:r>
          </w:p>
        </w:tc>
        <w:tc>
          <w:tcPr>
            <w:tcW w:w="810" w:type="dxa"/>
          </w:tcPr>
          <w:p w14:paraId="16995B05"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9.6</w:t>
            </w:r>
          </w:p>
        </w:tc>
        <w:tc>
          <w:tcPr>
            <w:tcW w:w="836" w:type="dxa"/>
          </w:tcPr>
          <w:p w14:paraId="1445993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43</w:t>
            </w:r>
          </w:p>
        </w:tc>
        <w:tc>
          <w:tcPr>
            <w:tcW w:w="897" w:type="dxa"/>
          </w:tcPr>
          <w:p w14:paraId="4D13E15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82.7</w:t>
            </w:r>
          </w:p>
        </w:tc>
        <w:tc>
          <w:tcPr>
            <w:tcW w:w="787" w:type="dxa"/>
          </w:tcPr>
          <w:p w14:paraId="0EB8CB4F"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4</w:t>
            </w:r>
          </w:p>
        </w:tc>
        <w:tc>
          <w:tcPr>
            <w:tcW w:w="925" w:type="dxa"/>
          </w:tcPr>
          <w:p w14:paraId="625C3D1C"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7.7</w:t>
            </w:r>
          </w:p>
        </w:tc>
        <w:tc>
          <w:tcPr>
            <w:tcW w:w="1415" w:type="dxa"/>
          </w:tcPr>
          <w:p w14:paraId="07A149D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52</w:t>
            </w:r>
          </w:p>
        </w:tc>
      </w:tr>
      <w:tr w:rsidR="001E00D6" w:rsidRPr="00342704" w14:paraId="102B5DB5" w14:textId="77777777" w:rsidTr="0038684D">
        <w:tc>
          <w:tcPr>
            <w:tcW w:w="2065" w:type="dxa"/>
          </w:tcPr>
          <w:p w14:paraId="343E60D6"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Total:</w:t>
            </w:r>
          </w:p>
        </w:tc>
        <w:tc>
          <w:tcPr>
            <w:tcW w:w="630" w:type="dxa"/>
          </w:tcPr>
          <w:p w14:paraId="5815B507"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33</w:t>
            </w:r>
          </w:p>
        </w:tc>
        <w:tc>
          <w:tcPr>
            <w:tcW w:w="810" w:type="dxa"/>
          </w:tcPr>
          <w:p w14:paraId="53CEABB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19.0</w:t>
            </w:r>
          </w:p>
        </w:tc>
        <w:tc>
          <w:tcPr>
            <w:tcW w:w="836" w:type="dxa"/>
          </w:tcPr>
          <w:p w14:paraId="3A9EE4C6"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127</w:t>
            </w:r>
          </w:p>
        </w:tc>
        <w:tc>
          <w:tcPr>
            <w:tcW w:w="897" w:type="dxa"/>
          </w:tcPr>
          <w:p w14:paraId="7CBB507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73.0</w:t>
            </w:r>
          </w:p>
        </w:tc>
        <w:tc>
          <w:tcPr>
            <w:tcW w:w="787" w:type="dxa"/>
          </w:tcPr>
          <w:p w14:paraId="390B3C47"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14</w:t>
            </w:r>
          </w:p>
        </w:tc>
        <w:tc>
          <w:tcPr>
            <w:tcW w:w="925" w:type="dxa"/>
          </w:tcPr>
          <w:p w14:paraId="7F142F41"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8.0</w:t>
            </w:r>
          </w:p>
        </w:tc>
        <w:tc>
          <w:tcPr>
            <w:tcW w:w="1415" w:type="dxa"/>
          </w:tcPr>
          <w:p w14:paraId="4465CB0C"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174</w:t>
            </w:r>
          </w:p>
        </w:tc>
      </w:tr>
      <w:tr w:rsidR="001E00D6" w:rsidRPr="00342704" w14:paraId="6FFA2709" w14:textId="77777777" w:rsidTr="0038684D">
        <w:tc>
          <w:tcPr>
            <w:tcW w:w="2065" w:type="dxa"/>
          </w:tcPr>
          <w:p w14:paraId="6AB6B421" w14:textId="77777777" w:rsidR="001E00D6" w:rsidRPr="0038684D" w:rsidRDefault="001E00D6" w:rsidP="00F31B4C">
            <w:pPr>
              <w:widowControl w:val="0"/>
              <w:spacing w:line="240" w:lineRule="auto"/>
              <w:rPr>
                <w:rFonts w:ascii="Times New Roman" w:hAnsi="Times New Roman" w:cs="Times New Roman"/>
              </w:rPr>
            </w:pPr>
            <w:r w:rsidRPr="0038684D">
              <w:rPr>
                <w:rFonts w:ascii="Times New Roman" w:hAnsi="Times New Roman" w:cs="Times New Roman"/>
              </w:rPr>
              <w:t>Program Area</w:t>
            </w:r>
          </w:p>
        </w:tc>
        <w:tc>
          <w:tcPr>
            <w:tcW w:w="630" w:type="dxa"/>
          </w:tcPr>
          <w:p w14:paraId="7E294BD9" w14:textId="77777777" w:rsidR="001E00D6" w:rsidRPr="00860402" w:rsidRDefault="001E00D6" w:rsidP="00F31B4C">
            <w:pPr>
              <w:widowControl w:val="0"/>
              <w:spacing w:line="240" w:lineRule="auto"/>
              <w:jc w:val="center"/>
              <w:rPr>
                <w:rFonts w:ascii="Times New Roman" w:hAnsi="Times New Roman" w:cs="Times New Roman"/>
              </w:rPr>
            </w:pPr>
          </w:p>
        </w:tc>
        <w:tc>
          <w:tcPr>
            <w:tcW w:w="810" w:type="dxa"/>
          </w:tcPr>
          <w:p w14:paraId="114FB953" w14:textId="77777777" w:rsidR="001E00D6" w:rsidRPr="00860402" w:rsidRDefault="001E00D6" w:rsidP="00F31B4C">
            <w:pPr>
              <w:widowControl w:val="0"/>
              <w:spacing w:line="240" w:lineRule="auto"/>
              <w:jc w:val="center"/>
              <w:rPr>
                <w:rFonts w:ascii="Times New Roman" w:hAnsi="Times New Roman" w:cs="Times New Roman"/>
              </w:rPr>
            </w:pPr>
          </w:p>
        </w:tc>
        <w:tc>
          <w:tcPr>
            <w:tcW w:w="836" w:type="dxa"/>
          </w:tcPr>
          <w:p w14:paraId="3A855170" w14:textId="77777777" w:rsidR="001E00D6" w:rsidRPr="00860402" w:rsidRDefault="001E00D6" w:rsidP="00F31B4C">
            <w:pPr>
              <w:widowControl w:val="0"/>
              <w:spacing w:line="240" w:lineRule="auto"/>
              <w:jc w:val="center"/>
              <w:rPr>
                <w:rFonts w:ascii="Times New Roman" w:hAnsi="Times New Roman" w:cs="Times New Roman"/>
              </w:rPr>
            </w:pPr>
          </w:p>
        </w:tc>
        <w:tc>
          <w:tcPr>
            <w:tcW w:w="897" w:type="dxa"/>
          </w:tcPr>
          <w:p w14:paraId="2791F694" w14:textId="77777777" w:rsidR="001E00D6" w:rsidRPr="00860402" w:rsidRDefault="001E00D6" w:rsidP="00F31B4C">
            <w:pPr>
              <w:widowControl w:val="0"/>
              <w:spacing w:line="240" w:lineRule="auto"/>
              <w:jc w:val="center"/>
              <w:rPr>
                <w:rFonts w:ascii="Times New Roman" w:hAnsi="Times New Roman" w:cs="Times New Roman"/>
              </w:rPr>
            </w:pPr>
          </w:p>
        </w:tc>
        <w:tc>
          <w:tcPr>
            <w:tcW w:w="787" w:type="dxa"/>
          </w:tcPr>
          <w:p w14:paraId="25AD4AC8" w14:textId="77777777" w:rsidR="001E00D6" w:rsidRPr="00860402" w:rsidRDefault="001E00D6" w:rsidP="00F31B4C">
            <w:pPr>
              <w:widowControl w:val="0"/>
              <w:spacing w:line="240" w:lineRule="auto"/>
              <w:jc w:val="center"/>
              <w:rPr>
                <w:rFonts w:ascii="Times New Roman" w:hAnsi="Times New Roman" w:cs="Times New Roman"/>
              </w:rPr>
            </w:pPr>
          </w:p>
        </w:tc>
        <w:tc>
          <w:tcPr>
            <w:tcW w:w="925" w:type="dxa"/>
          </w:tcPr>
          <w:p w14:paraId="041AAB48" w14:textId="77777777" w:rsidR="001E00D6" w:rsidRPr="00860402" w:rsidRDefault="001E00D6" w:rsidP="00F31B4C">
            <w:pPr>
              <w:widowControl w:val="0"/>
              <w:spacing w:line="240" w:lineRule="auto"/>
              <w:jc w:val="center"/>
              <w:rPr>
                <w:rFonts w:ascii="Times New Roman" w:hAnsi="Times New Roman" w:cs="Times New Roman"/>
              </w:rPr>
            </w:pPr>
          </w:p>
        </w:tc>
        <w:tc>
          <w:tcPr>
            <w:tcW w:w="1415" w:type="dxa"/>
          </w:tcPr>
          <w:p w14:paraId="0E29ADB8" w14:textId="77777777" w:rsidR="001E00D6" w:rsidRPr="00860402" w:rsidRDefault="001E00D6" w:rsidP="00F31B4C">
            <w:pPr>
              <w:widowControl w:val="0"/>
              <w:spacing w:line="240" w:lineRule="auto"/>
              <w:jc w:val="center"/>
              <w:rPr>
                <w:rFonts w:ascii="Times New Roman" w:hAnsi="Times New Roman" w:cs="Times New Roman"/>
              </w:rPr>
            </w:pPr>
          </w:p>
        </w:tc>
      </w:tr>
      <w:tr w:rsidR="001E00D6" w:rsidRPr="00342704" w14:paraId="118DCCB4" w14:textId="77777777" w:rsidTr="0038684D">
        <w:tc>
          <w:tcPr>
            <w:tcW w:w="2065" w:type="dxa"/>
          </w:tcPr>
          <w:p w14:paraId="6AB87123" w14:textId="77777777" w:rsidR="001E00D6" w:rsidRPr="00860402" w:rsidRDefault="001E00D6" w:rsidP="00F31B4C">
            <w:pPr>
              <w:widowControl w:val="0"/>
              <w:spacing w:line="240" w:lineRule="auto"/>
              <w:ind w:left="525" w:hanging="165"/>
              <w:rPr>
                <w:rFonts w:ascii="Times New Roman" w:hAnsi="Times New Roman" w:cs="Times New Roman"/>
              </w:rPr>
            </w:pPr>
            <w:r w:rsidRPr="00860402">
              <w:rPr>
                <w:rFonts w:ascii="Times New Roman" w:hAnsi="Times New Roman" w:cs="Times New Roman"/>
              </w:rPr>
              <w:t>Family and Consumer Sciences</w:t>
            </w:r>
          </w:p>
        </w:tc>
        <w:tc>
          <w:tcPr>
            <w:tcW w:w="630" w:type="dxa"/>
          </w:tcPr>
          <w:p w14:paraId="40D94912"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w:t>
            </w:r>
          </w:p>
        </w:tc>
        <w:tc>
          <w:tcPr>
            <w:tcW w:w="810" w:type="dxa"/>
          </w:tcPr>
          <w:p w14:paraId="6AD50CF4"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1.7</w:t>
            </w:r>
          </w:p>
        </w:tc>
        <w:tc>
          <w:tcPr>
            <w:tcW w:w="836" w:type="dxa"/>
          </w:tcPr>
          <w:p w14:paraId="0A5EEF8B"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57</w:t>
            </w:r>
          </w:p>
        </w:tc>
        <w:tc>
          <w:tcPr>
            <w:tcW w:w="897" w:type="dxa"/>
          </w:tcPr>
          <w:p w14:paraId="7718678F"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98.3</w:t>
            </w:r>
          </w:p>
        </w:tc>
        <w:tc>
          <w:tcPr>
            <w:tcW w:w="787" w:type="dxa"/>
          </w:tcPr>
          <w:p w14:paraId="7E49BE66"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925" w:type="dxa"/>
          </w:tcPr>
          <w:p w14:paraId="6E1A4D2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1415" w:type="dxa"/>
          </w:tcPr>
          <w:p w14:paraId="020EEC5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58</w:t>
            </w:r>
          </w:p>
        </w:tc>
      </w:tr>
      <w:tr w:rsidR="001E00D6" w:rsidRPr="00342704" w14:paraId="46BC8DC0" w14:textId="77777777" w:rsidTr="0038684D">
        <w:tc>
          <w:tcPr>
            <w:tcW w:w="2065" w:type="dxa"/>
          </w:tcPr>
          <w:p w14:paraId="07F2DBFB"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Agriculture</w:t>
            </w:r>
          </w:p>
        </w:tc>
        <w:tc>
          <w:tcPr>
            <w:tcW w:w="630" w:type="dxa"/>
          </w:tcPr>
          <w:p w14:paraId="0AEDD45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27</w:t>
            </w:r>
          </w:p>
        </w:tc>
        <w:tc>
          <w:tcPr>
            <w:tcW w:w="810" w:type="dxa"/>
          </w:tcPr>
          <w:p w14:paraId="60F81B9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60.0</w:t>
            </w:r>
          </w:p>
        </w:tc>
        <w:tc>
          <w:tcPr>
            <w:tcW w:w="836" w:type="dxa"/>
          </w:tcPr>
          <w:p w14:paraId="29477814"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13</w:t>
            </w:r>
          </w:p>
        </w:tc>
        <w:tc>
          <w:tcPr>
            <w:tcW w:w="897" w:type="dxa"/>
          </w:tcPr>
          <w:p w14:paraId="35D6534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28.9</w:t>
            </w:r>
          </w:p>
        </w:tc>
        <w:tc>
          <w:tcPr>
            <w:tcW w:w="787" w:type="dxa"/>
          </w:tcPr>
          <w:p w14:paraId="7A45DDF3"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w:t>
            </w:r>
          </w:p>
        </w:tc>
        <w:tc>
          <w:tcPr>
            <w:tcW w:w="925" w:type="dxa"/>
          </w:tcPr>
          <w:p w14:paraId="6560A996"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11.1</w:t>
            </w:r>
          </w:p>
        </w:tc>
        <w:tc>
          <w:tcPr>
            <w:tcW w:w="1415" w:type="dxa"/>
          </w:tcPr>
          <w:p w14:paraId="4856D880"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45</w:t>
            </w:r>
          </w:p>
        </w:tc>
      </w:tr>
      <w:tr w:rsidR="001E00D6" w:rsidRPr="00342704" w14:paraId="5B09A041" w14:textId="77777777" w:rsidTr="0038684D">
        <w:tc>
          <w:tcPr>
            <w:tcW w:w="2065" w:type="dxa"/>
          </w:tcPr>
          <w:p w14:paraId="4A96E421"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4-H</w:t>
            </w:r>
          </w:p>
        </w:tc>
        <w:tc>
          <w:tcPr>
            <w:tcW w:w="630" w:type="dxa"/>
          </w:tcPr>
          <w:p w14:paraId="19BA969D"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810" w:type="dxa"/>
          </w:tcPr>
          <w:p w14:paraId="2630C99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0</w:t>
            </w:r>
          </w:p>
        </w:tc>
        <w:tc>
          <w:tcPr>
            <w:tcW w:w="836" w:type="dxa"/>
          </w:tcPr>
          <w:p w14:paraId="38B2ADC7"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28</w:t>
            </w:r>
          </w:p>
        </w:tc>
        <w:tc>
          <w:tcPr>
            <w:tcW w:w="897" w:type="dxa"/>
          </w:tcPr>
          <w:p w14:paraId="39C171CD"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93.3</w:t>
            </w:r>
          </w:p>
        </w:tc>
        <w:tc>
          <w:tcPr>
            <w:tcW w:w="787" w:type="dxa"/>
          </w:tcPr>
          <w:p w14:paraId="4D379C64"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w:t>
            </w:r>
          </w:p>
        </w:tc>
        <w:tc>
          <w:tcPr>
            <w:tcW w:w="925" w:type="dxa"/>
          </w:tcPr>
          <w:p w14:paraId="697776C7"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6.7</w:t>
            </w:r>
          </w:p>
        </w:tc>
        <w:tc>
          <w:tcPr>
            <w:tcW w:w="1415" w:type="dxa"/>
          </w:tcPr>
          <w:p w14:paraId="271490F4"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30</w:t>
            </w:r>
          </w:p>
        </w:tc>
      </w:tr>
      <w:tr w:rsidR="001E00D6" w:rsidRPr="00342704" w14:paraId="249EDC58" w14:textId="77777777" w:rsidTr="0038684D">
        <w:tc>
          <w:tcPr>
            <w:tcW w:w="2065" w:type="dxa"/>
          </w:tcPr>
          <w:p w14:paraId="1B55BF9F"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Support Staff</w:t>
            </w:r>
          </w:p>
        </w:tc>
        <w:tc>
          <w:tcPr>
            <w:tcW w:w="630" w:type="dxa"/>
          </w:tcPr>
          <w:p w14:paraId="43A500B7"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3</w:t>
            </w:r>
          </w:p>
        </w:tc>
        <w:tc>
          <w:tcPr>
            <w:tcW w:w="810" w:type="dxa"/>
          </w:tcPr>
          <w:p w14:paraId="2C19510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9.4</w:t>
            </w:r>
          </w:p>
        </w:tc>
        <w:tc>
          <w:tcPr>
            <w:tcW w:w="836" w:type="dxa"/>
          </w:tcPr>
          <w:p w14:paraId="624696F7"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27</w:t>
            </w:r>
          </w:p>
        </w:tc>
        <w:tc>
          <w:tcPr>
            <w:tcW w:w="897" w:type="dxa"/>
          </w:tcPr>
          <w:p w14:paraId="491A739F"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84.4</w:t>
            </w:r>
          </w:p>
        </w:tc>
        <w:tc>
          <w:tcPr>
            <w:tcW w:w="787" w:type="dxa"/>
          </w:tcPr>
          <w:p w14:paraId="16D27833"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w:t>
            </w:r>
          </w:p>
        </w:tc>
        <w:tc>
          <w:tcPr>
            <w:tcW w:w="925" w:type="dxa"/>
          </w:tcPr>
          <w:p w14:paraId="235A036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6.2</w:t>
            </w:r>
          </w:p>
        </w:tc>
        <w:tc>
          <w:tcPr>
            <w:tcW w:w="1415" w:type="dxa"/>
          </w:tcPr>
          <w:p w14:paraId="4F41A68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32</w:t>
            </w:r>
          </w:p>
        </w:tc>
      </w:tr>
      <w:tr w:rsidR="001E00D6" w:rsidRPr="00342704" w14:paraId="10FCB8C7" w14:textId="77777777" w:rsidTr="0038684D">
        <w:tc>
          <w:tcPr>
            <w:tcW w:w="2065" w:type="dxa"/>
          </w:tcPr>
          <w:p w14:paraId="7D77D822"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Other</w:t>
            </w:r>
          </w:p>
        </w:tc>
        <w:tc>
          <w:tcPr>
            <w:tcW w:w="630" w:type="dxa"/>
          </w:tcPr>
          <w:p w14:paraId="79AB8B15"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w:t>
            </w:r>
          </w:p>
        </w:tc>
        <w:tc>
          <w:tcPr>
            <w:tcW w:w="810" w:type="dxa"/>
          </w:tcPr>
          <w:p w14:paraId="450392D9"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22.2</w:t>
            </w:r>
          </w:p>
        </w:tc>
        <w:tc>
          <w:tcPr>
            <w:tcW w:w="836" w:type="dxa"/>
          </w:tcPr>
          <w:p w14:paraId="3525702A"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w:t>
            </w:r>
          </w:p>
        </w:tc>
        <w:tc>
          <w:tcPr>
            <w:tcW w:w="897" w:type="dxa"/>
          </w:tcPr>
          <w:p w14:paraId="784CD33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55.6</w:t>
            </w:r>
          </w:p>
        </w:tc>
        <w:tc>
          <w:tcPr>
            <w:tcW w:w="787" w:type="dxa"/>
          </w:tcPr>
          <w:p w14:paraId="365014FD"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w:t>
            </w:r>
          </w:p>
        </w:tc>
        <w:tc>
          <w:tcPr>
            <w:tcW w:w="925" w:type="dxa"/>
          </w:tcPr>
          <w:p w14:paraId="3941FB50"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22.2</w:t>
            </w:r>
          </w:p>
        </w:tc>
        <w:tc>
          <w:tcPr>
            <w:tcW w:w="1415" w:type="dxa"/>
          </w:tcPr>
          <w:p w14:paraId="3352F7E4"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9</w:t>
            </w:r>
          </w:p>
        </w:tc>
      </w:tr>
      <w:tr w:rsidR="001E00D6" w:rsidRPr="00342704" w14:paraId="3E91CECE" w14:textId="77777777" w:rsidTr="0038684D">
        <w:tc>
          <w:tcPr>
            <w:tcW w:w="2065" w:type="dxa"/>
            <w:tcBorders>
              <w:bottom w:val="single" w:sz="4" w:space="0" w:color="auto"/>
            </w:tcBorders>
          </w:tcPr>
          <w:p w14:paraId="4A4960B1" w14:textId="77777777" w:rsidR="001E00D6" w:rsidRPr="00860402" w:rsidRDefault="001E00D6" w:rsidP="00F31B4C">
            <w:pPr>
              <w:widowControl w:val="0"/>
              <w:spacing w:line="240" w:lineRule="auto"/>
              <w:ind w:left="360"/>
              <w:rPr>
                <w:rFonts w:ascii="Times New Roman" w:hAnsi="Times New Roman" w:cs="Times New Roman"/>
              </w:rPr>
            </w:pPr>
            <w:r w:rsidRPr="00860402">
              <w:rPr>
                <w:rFonts w:ascii="Times New Roman" w:hAnsi="Times New Roman" w:cs="Times New Roman"/>
              </w:rPr>
              <w:t>Total:</w:t>
            </w:r>
          </w:p>
        </w:tc>
        <w:tc>
          <w:tcPr>
            <w:tcW w:w="630" w:type="dxa"/>
            <w:tcBorders>
              <w:bottom w:val="single" w:sz="4" w:space="0" w:color="auto"/>
            </w:tcBorders>
          </w:tcPr>
          <w:p w14:paraId="7C0F3B31"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33</w:t>
            </w:r>
          </w:p>
        </w:tc>
        <w:tc>
          <w:tcPr>
            <w:tcW w:w="810" w:type="dxa"/>
            <w:tcBorders>
              <w:bottom w:val="single" w:sz="4" w:space="0" w:color="auto"/>
            </w:tcBorders>
          </w:tcPr>
          <w:p w14:paraId="6F5EBF48"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19.0</w:t>
            </w:r>
          </w:p>
        </w:tc>
        <w:tc>
          <w:tcPr>
            <w:tcW w:w="836" w:type="dxa"/>
            <w:tcBorders>
              <w:bottom w:val="single" w:sz="4" w:space="0" w:color="auto"/>
            </w:tcBorders>
          </w:tcPr>
          <w:p w14:paraId="20DD305C"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130</w:t>
            </w:r>
          </w:p>
        </w:tc>
        <w:tc>
          <w:tcPr>
            <w:tcW w:w="897" w:type="dxa"/>
            <w:tcBorders>
              <w:bottom w:val="single" w:sz="4" w:space="0" w:color="auto"/>
            </w:tcBorders>
          </w:tcPr>
          <w:p w14:paraId="6094EEFE"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74.7</w:t>
            </w:r>
          </w:p>
        </w:tc>
        <w:tc>
          <w:tcPr>
            <w:tcW w:w="787" w:type="dxa"/>
            <w:tcBorders>
              <w:bottom w:val="single" w:sz="4" w:space="0" w:color="auto"/>
            </w:tcBorders>
          </w:tcPr>
          <w:p w14:paraId="4CA1819B"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11</w:t>
            </w:r>
          </w:p>
        </w:tc>
        <w:tc>
          <w:tcPr>
            <w:tcW w:w="925" w:type="dxa"/>
            <w:tcBorders>
              <w:bottom w:val="single" w:sz="4" w:space="0" w:color="auto"/>
            </w:tcBorders>
          </w:tcPr>
          <w:p w14:paraId="6AF5F065"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6.3</w:t>
            </w:r>
          </w:p>
        </w:tc>
        <w:tc>
          <w:tcPr>
            <w:tcW w:w="1415" w:type="dxa"/>
            <w:tcBorders>
              <w:bottom w:val="single" w:sz="4" w:space="0" w:color="auto"/>
            </w:tcBorders>
          </w:tcPr>
          <w:p w14:paraId="781451C4" w14:textId="77777777" w:rsidR="001E00D6" w:rsidRPr="00860402" w:rsidRDefault="001E00D6" w:rsidP="00F31B4C">
            <w:pPr>
              <w:widowControl w:val="0"/>
              <w:spacing w:line="240" w:lineRule="auto"/>
              <w:jc w:val="center"/>
              <w:rPr>
                <w:rFonts w:ascii="Times New Roman" w:hAnsi="Times New Roman" w:cs="Times New Roman"/>
              </w:rPr>
            </w:pPr>
            <w:r w:rsidRPr="00860402">
              <w:rPr>
                <w:rFonts w:ascii="Times New Roman" w:hAnsi="Times New Roman" w:cs="Times New Roman"/>
              </w:rPr>
              <w:t>174</w:t>
            </w:r>
          </w:p>
        </w:tc>
      </w:tr>
    </w:tbl>
    <w:p w14:paraId="01371C63" w14:textId="77777777" w:rsidR="00EC598B" w:rsidRDefault="00EC598B" w:rsidP="00F31B4C">
      <w:pPr>
        <w:widowControl w:val="0"/>
        <w:spacing w:after="240" w:line="240" w:lineRule="auto"/>
        <w:rPr>
          <w:rFonts w:ascii="Times New Roman" w:hAnsi="Times New Roman" w:cs="Times New Roman"/>
          <w:b/>
          <w:bCs/>
          <w:sz w:val="24"/>
          <w:szCs w:val="24"/>
        </w:rPr>
      </w:pPr>
    </w:p>
    <w:p w14:paraId="283FEA2A" w14:textId="724CFC04" w:rsidR="001E00D6" w:rsidRPr="007E20CF" w:rsidRDefault="001E00D6" w:rsidP="00F31B4C">
      <w:pPr>
        <w:widowControl w:val="0"/>
        <w:spacing w:after="240" w:line="240" w:lineRule="auto"/>
        <w:rPr>
          <w:rFonts w:ascii="Times New Roman" w:hAnsi="Times New Roman" w:cs="Times New Roman"/>
          <w:sz w:val="24"/>
          <w:szCs w:val="24"/>
        </w:rPr>
      </w:pPr>
      <w:r w:rsidRPr="007E20CF">
        <w:rPr>
          <w:rFonts w:ascii="Times New Roman" w:hAnsi="Times New Roman" w:cs="Times New Roman"/>
          <w:sz w:val="24"/>
          <w:szCs w:val="24"/>
        </w:rPr>
        <w:t xml:space="preserve">Objective 2 aimed to describe the levels of job embeddedness, job satisfaction, and intent to stay among selected </w:t>
      </w:r>
      <w:r w:rsidR="00945A21">
        <w:rPr>
          <w:rFonts w:ascii="Times New Roman" w:hAnsi="Times New Roman" w:cs="Times New Roman"/>
          <w:sz w:val="24"/>
          <w:szCs w:val="24"/>
        </w:rPr>
        <w:t>Arkansas</w:t>
      </w:r>
      <w:r w:rsidRPr="007E20CF">
        <w:rPr>
          <w:rFonts w:ascii="Times New Roman" w:hAnsi="Times New Roman" w:cs="Times New Roman"/>
          <w:sz w:val="24"/>
          <w:szCs w:val="24"/>
        </w:rPr>
        <w:t xml:space="preserve"> </w:t>
      </w:r>
      <w:r>
        <w:rPr>
          <w:rFonts w:ascii="Times New Roman" w:hAnsi="Times New Roman" w:cs="Times New Roman"/>
          <w:sz w:val="24"/>
          <w:szCs w:val="24"/>
        </w:rPr>
        <w:t>CES</w:t>
      </w:r>
      <w:r w:rsidRPr="007E20CF">
        <w:rPr>
          <w:rFonts w:ascii="Times New Roman" w:hAnsi="Times New Roman" w:cs="Times New Roman"/>
          <w:sz w:val="24"/>
          <w:szCs w:val="24"/>
        </w:rPr>
        <w:t xml:space="preserve"> employees. These constructs were measured using validated multi-item scales, and composite scores were calculated by averaging responses to items within each construct. All summed scales were treated as interval-level data, consistent with established practices in social science research (Carifio &amp; Perla, 2008; Lindner &amp; Lindner, 2024).</w:t>
      </w:r>
    </w:p>
    <w:p w14:paraId="3CB1E02A" w14:textId="28C51DA0" w:rsidR="001E00D6" w:rsidRDefault="001E00D6" w:rsidP="00F31B4C">
      <w:pPr>
        <w:widowControl w:val="0"/>
        <w:spacing w:after="240" w:line="240" w:lineRule="auto"/>
        <w:rPr>
          <w:rFonts w:ascii="Times New Roman" w:hAnsi="Times New Roman" w:cs="Times New Roman"/>
          <w:sz w:val="24"/>
          <w:szCs w:val="24"/>
        </w:rPr>
      </w:pPr>
      <w:r w:rsidRPr="007E20CF">
        <w:rPr>
          <w:rFonts w:ascii="Times New Roman" w:hAnsi="Times New Roman" w:cs="Times New Roman"/>
          <w:sz w:val="24"/>
          <w:szCs w:val="24"/>
        </w:rPr>
        <w:t>Descriptive statistics and internal consistency reliability estimates (Cronbach’s alpha) were calculated for each construct. Measures included mean (</w:t>
      </w:r>
      <w:r w:rsidRPr="007E20CF">
        <w:rPr>
          <w:rFonts w:ascii="Times New Roman" w:hAnsi="Times New Roman" w:cs="Times New Roman"/>
          <w:i/>
          <w:iCs/>
          <w:sz w:val="24"/>
          <w:szCs w:val="24"/>
        </w:rPr>
        <w:t>M</w:t>
      </w:r>
      <w:r w:rsidRPr="007E20CF">
        <w:rPr>
          <w:rFonts w:ascii="Times New Roman" w:hAnsi="Times New Roman" w:cs="Times New Roman"/>
          <w:sz w:val="24"/>
          <w:szCs w:val="24"/>
        </w:rPr>
        <w:t>), standard deviation (</w:t>
      </w:r>
      <w:r w:rsidRPr="007E20CF">
        <w:rPr>
          <w:rFonts w:ascii="Times New Roman" w:hAnsi="Times New Roman" w:cs="Times New Roman"/>
          <w:i/>
          <w:iCs/>
          <w:sz w:val="24"/>
          <w:szCs w:val="24"/>
        </w:rPr>
        <w:t>SD</w:t>
      </w:r>
      <w:r w:rsidR="00716B42" w:rsidRPr="007E20CF">
        <w:rPr>
          <w:rFonts w:ascii="Times New Roman" w:hAnsi="Times New Roman" w:cs="Times New Roman"/>
          <w:sz w:val="24"/>
          <w:szCs w:val="24"/>
        </w:rPr>
        <w:t>), possible</w:t>
      </w:r>
      <w:r w:rsidR="00916B0E">
        <w:rPr>
          <w:rFonts w:ascii="Times New Roman" w:hAnsi="Times New Roman" w:cs="Times New Roman"/>
          <w:sz w:val="24"/>
          <w:szCs w:val="24"/>
        </w:rPr>
        <w:t xml:space="preserve"> scale </w:t>
      </w:r>
      <w:r w:rsidRPr="007E20CF">
        <w:rPr>
          <w:rFonts w:ascii="Times New Roman" w:hAnsi="Times New Roman" w:cs="Times New Roman"/>
          <w:sz w:val="24"/>
          <w:szCs w:val="24"/>
        </w:rPr>
        <w:t>range</w:t>
      </w:r>
      <w:r w:rsidR="00615939">
        <w:rPr>
          <w:rFonts w:ascii="Times New Roman" w:hAnsi="Times New Roman" w:cs="Times New Roman"/>
          <w:sz w:val="24"/>
          <w:szCs w:val="24"/>
        </w:rPr>
        <w:t>, and coefficient alph</w:t>
      </w:r>
      <w:r w:rsidR="006033C9">
        <w:rPr>
          <w:rFonts w:ascii="Times New Roman" w:hAnsi="Times New Roman" w:cs="Times New Roman"/>
          <w:sz w:val="24"/>
          <w:szCs w:val="24"/>
        </w:rPr>
        <w:t>a</w:t>
      </w:r>
      <w:r w:rsidR="00615939">
        <w:rPr>
          <w:rFonts w:ascii="Times New Roman" w:hAnsi="Times New Roman" w:cs="Times New Roman"/>
          <w:sz w:val="24"/>
          <w:szCs w:val="24"/>
        </w:rPr>
        <w:t xml:space="preserve"> </w:t>
      </w:r>
      <w:r w:rsidR="006033C9">
        <w:rPr>
          <w:rFonts w:ascii="Times New Roman" w:hAnsi="Times New Roman" w:cs="Times New Roman"/>
          <w:sz w:val="24"/>
          <w:szCs w:val="24"/>
        </w:rPr>
        <w:t>reliabilities.</w:t>
      </w:r>
      <w:r w:rsidR="006033C9" w:rsidRPr="007E20CF">
        <w:rPr>
          <w:rFonts w:ascii="Times New Roman" w:hAnsi="Times New Roman" w:cs="Times New Roman"/>
          <w:sz w:val="24"/>
          <w:szCs w:val="24"/>
        </w:rPr>
        <w:t xml:space="preserve"> The</w:t>
      </w:r>
      <w:r w:rsidRPr="007E20CF">
        <w:rPr>
          <w:rFonts w:ascii="Times New Roman" w:hAnsi="Times New Roman" w:cs="Times New Roman"/>
          <w:sz w:val="24"/>
          <w:szCs w:val="24"/>
        </w:rPr>
        <w:t xml:space="preserve"> job embeddedness construct was operationalized across six dimensions: fit–organization, fit–community, links–organization, </w:t>
      </w:r>
      <w:r w:rsidRPr="007E20CF">
        <w:rPr>
          <w:rFonts w:ascii="Times New Roman" w:hAnsi="Times New Roman" w:cs="Times New Roman"/>
          <w:sz w:val="24"/>
          <w:szCs w:val="24"/>
        </w:rPr>
        <w:lastRenderedPageBreak/>
        <w:t>links–community, sacrifice–organization, and sacrifice–community. In addition, job satisfaction, affective commitment, employee engagement, and intent to stay were assessed.</w:t>
      </w:r>
      <w:r w:rsidR="00D45BBE">
        <w:rPr>
          <w:rFonts w:ascii="Times New Roman" w:hAnsi="Times New Roman" w:cs="Times New Roman"/>
          <w:sz w:val="24"/>
          <w:szCs w:val="24"/>
        </w:rPr>
        <w:t xml:space="preserve"> </w:t>
      </w:r>
      <w:r w:rsidRPr="008676A8">
        <w:rPr>
          <w:rFonts w:ascii="Times New Roman" w:hAnsi="Times New Roman" w:cs="Times New Roman"/>
          <w:sz w:val="24"/>
          <w:szCs w:val="24"/>
        </w:rPr>
        <w:t xml:space="preserve">As shown in Table 2, </w:t>
      </w:r>
      <w:r>
        <w:rPr>
          <w:rFonts w:ascii="Times New Roman" w:hAnsi="Times New Roman" w:cs="Times New Roman"/>
          <w:sz w:val="24"/>
          <w:szCs w:val="24"/>
        </w:rPr>
        <w:t>d</w:t>
      </w:r>
      <w:r w:rsidRPr="0038684D">
        <w:rPr>
          <w:rFonts w:ascii="Times New Roman" w:hAnsi="Times New Roman" w:cs="Times New Roman"/>
          <w:sz w:val="24"/>
          <w:szCs w:val="24"/>
        </w:rPr>
        <w:t>escriptive statistics and internal consistency reliability coefficients were calculated for each construct across employee roles</w:t>
      </w:r>
      <w:r w:rsidR="00A167AC">
        <w:rPr>
          <w:rFonts w:ascii="Times New Roman" w:hAnsi="Times New Roman" w:cs="Times New Roman"/>
          <w:sz w:val="24"/>
          <w:szCs w:val="24"/>
        </w:rPr>
        <w:t>.</w:t>
      </w:r>
      <w:r w:rsidR="00613D38">
        <w:rPr>
          <w:rFonts w:ascii="Times New Roman" w:hAnsi="Times New Roman" w:cs="Times New Roman"/>
          <w:sz w:val="24"/>
          <w:szCs w:val="24"/>
        </w:rPr>
        <w:t xml:space="preserve"> </w:t>
      </w:r>
      <w:r w:rsidR="00E51252">
        <w:rPr>
          <w:rFonts w:ascii="Times New Roman" w:hAnsi="Times New Roman" w:cs="Times New Roman"/>
          <w:sz w:val="24"/>
          <w:szCs w:val="24"/>
        </w:rPr>
        <w:t xml:space="preserve">The means for the major constructs were generally consistent across employee roles, indicating a fair degree of homogeneity among county Extension employees. The largest differences were the links-organization where they mean for staff chairs was noticeably higher than for the other three employee roles. Importantly, means for intent to stay were </w:t>
      </w:r>
      <w:r w:rsidR="00CC16B1">
        <w:rPr>
          <w:rFonts w:ascii="Times New Roman" w:hAnsi="Times New Roman" w:cs="Times New Roman"/>
          <w:sz w:val="24"/>
          <w:szCs w:val="24"/>
        </w:rPr>
        <w:t>consistent</w:t>
      </w:r>
      <w:r w:rsidR="00E51252">
        <w:rPr>
          <w:rFonts w:ascii="Times New Roman" w:hAnsi="Times New Roman" w:cs="Times New Roman"/>
          <w:sz w:val="24"/>
          <w:szCs w:val="24"/>
        </w:rPr>
        <w:t xml:space="preserve"> across employee roles. </w:t>
      </w:r>
    </w:p>
    <w:p w14:paraId="0EF19210" w14:textId="77777777" w:rsidR="001E00D6" w:rsidRPr="0038684D" w:rsidRDefault="001E00D6" w:rsidP="00F31B4C">
      <w:pPr>
        <w:pStyle w:val="table1"/>
        <w:widowControl w:val="0"/>
        <w:spacing w:line="240" w:lineRule="auto"/>
        <w:rPr>
          <w:sz w:val="24"/>
          <w:szCs w:val="24"/>
        </w:rPr>
      </w:pPr>
      <w:bookmarkStart w:id="18" w:name="_Hlk212723770"/>
      <w:r w:rsidRPr="0038684D">
        <w:rPr>
          <w:sz w:val="24"/>
          <w:szCs w:val="24"/>
        </w:rPr>
        <w:t>Table 2</w:t>
      </w:r>
    </w:p>
    <w:p w14:paraId="647D2B61" w14:textId="75AE13A9" w:rsidR="001E00D6" w:rsidRPr="0038684D" w:rsidRDefault="001E00D6" w:rsidP="00F31B4C">
      <w:pPr>
        <w:widowControl w:val="0"/>
        <w:spacing w:after="0" w:line="240" w:lineRule="auto"/>
        <w:rPr>
          <w:rFonts w:ascii="Times New Roman" w:hAnsi="Times New Roman" w:cs="Times New Roman"/>
          <w:sz w:val="24"/>
          <w:szCs w:val="24"/>
        </w:rPr>
      </w:pPr>
      <w:r w:rsidRPr="0038684D">
        <w:rPr>
          <w:rFonts w:ascii="Times New Roman" w:hAnsi="Times New Roman" w:cs="Times New Roman"/>
          <w:i/>
          <w:iCs/>
          <w:sz w:val="24"/>
          <w:szCs w:val="24"/>
        </w:rPr>
        <w:t xml:space="preserve">Descriptive Statistics and Reliability for Job Embeddedness, Job </w:t>
      </w:r>
      <w:r w:rsidR="00CC16B1" w:rsidRPr="0038684D">
        <w:rPr>
          <w:rFonts w:ascii="Times New Roman" w:hAnsi="Times New Roman" w:cs="Times New Roman"/>
          <w:i/>
          <w:iCs/>
          <w:sz w:val="24"/>
          <w:szCs w:val="24"/>
        </w:rPr>
        <w:t>Satisfaction,</w:t>
      </w:r>
      <w:r w:rsidRPr="0038684D">
        <w:rPr>
          <w:rFonts w:ascii="Times New Roman" w:hAnsi="Times New Roman" w:cs="Times New Roman"/>
          <w:i/>
          <w:iCs/>
          <w:sz w:val="24"/>
          <w:szCs w:val="24"/>
        </w:rPr>
        <w:t xml:space="preserve"> and Intent to Stay</w:t>
      </w:r>
    </w:p>
    <w:bookmarkEnd w:id="18"/>
    <w:p w14:paraId="30F61197" w14:textId="77777777" w:rsidR="001E00D6" w:rsidRDefault="001E00D6" w:rsidP="00F31B4C">
      <w:pPr>
        <w:widowControl w:val="0"/>
        <w:spacing w:after="0" w:line="240" w:lineRule="auto"/>
      </w:pPr>
    </w:p>
    <w:tbl>
      <w:tblPr>
        <w:tblW w:w="5003" w:type="pct"/>
        <w:tblLayout w:type="fixed"/>
        <w:tblLook w:val="04A0" w:firstRow="1" w:lastRow="0" w:firstColumn="1" w:lastColumn="0" w:noHBand="0" w:noVBand="1"/>
      </w:tblPr>
      <w:tblGrid>
        <w:gridCol w:w="1980"/>
        <w:gridCol w:w="631"/>
        <w:gridCol w:w="809"/>
        <w:gridCol w:w="629"/>
        <w:gridCol w:w="1081"/>
        <w:gridCol w:w="1169"/>
        <w:gridCol w:w="1261"/>
        <w:gridCol w:w="905"/>
        <w:gridCol w:w="9"/>
        <w:gridCol w:w="892"/>
      </w:tblGrid>
      <w:tr w:rsidR="000374FE" w:rsidRPr="008D694A" w14:paraId="028D3577" w14:textId="77777777" w:rsidTr="000374FE">
        <w:trPr>
          <w:trHeight w:val="840"/>
        </w:trPr>
        <w:tc>
          <w:tcPr>
            <w:tcW w:w="1057" w:type="pct"/>
            <w:tcBorders>
              <w:top w:val="single" w:sz="4" w:space="0" w:color="auto"/>
              <w:bottom w:val="single" w:sz="4" w:space="0" w:color="auto"/>
            </w:tcBorders>
            <w:vAlign w:val="center"/>
            <w:hideMark/>
          </w:tcPr>
          <w:p w14:paraId="6B0D902A" w14:textId="77777777" w:rsidR="001E00D6" w:rsidRPr="008D694A" w:rsidRDefault="001E00D6" w:rsidP="00F31B4C">
            <w:pPr>
              <w:widowControl w:val="0"/>
              <w:spacing w:after="0" w:line="240" w:lineRule="auto"/>
              <w:rPr>
                <w:rFonts w:ascii="Times New Roman" w:eastAsia="Times New Roman" w:hAnsi="Times New Roman" w:cs="Times New Roman"/>
                <w:color w:val="000000"/>
                <w:kern w:val="0"/>
                <w14:ligatures w14:val="none"/>
              </w:rPr>
            </w:pPr>
            <w:bookmarkStart w:id="19" w:name="RANGE!A1"/>
            <w:r w:rsidRPr="008D694A">
              <w:rPr>
                <w:rFonts w:ascii="Times New Roman" w:eastAsia="Times New Roman" w:hAnsi="Times New Roman" w:cs="Times New Roman"/>
                <w:color w:val="000000"/>
                <w:kern w:val="0"/>
                <w14:ligatures w14:val="none"/>
              </w:rPr>
              <w:t>Construct</w:t>
            </w:r>
            <w:bookmarkEnd w:id="19"/>
          </w:p>
        </w:tc>
        <w:tc>
          <w:tcPr>
            <w:tcW w:w="337" w:type="pct"/>
            <w:tcBorders>
              <w:top w:val="single" w:sz="4" w:space="0" w:color="auto"/>
              <w:bottom w:val="single" w:sz="4" w:space="0" w:color="auto"/>
            </w:tcBorders>
            <w:vAlign w:val="center"/>
            <w:hideMark/>
          </w:tcPr>
          <w:p w14:paraId="026091F3"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008D694A">
              <w:rPr>
                <w:rFonts w:ascii="Times New Roman" w:eastAsia="Times New Roman" w:hAnsi="Times New Roman" w:cs="Times New Roman"/>
                <w:i/>
                <w:iCs/>
                <w:color w:val="000000"/>
                <w:kern w:val="0"/>
                <w14:ligatures w14:val="none"/>
              </w:rPr>
              <w:t>n</w:t>
            </w:r>
          </w:p>
        </w:tc>
        <w:tc>
          <w:tcPr>
            <w:tcW w:w="432" w:type="pct"/>
            <w:tcBorders>
              <w:top w:val="single" w:sz="4" w:space="0" w:color="auto"/>
              <w:bottom w:val="single" w:sz="4" w:space="0" w:color="auto"/>
            </w:tcBorders>
            <w:vAlign w:val="center"/>
            <w:hideMark/>
          </w:tcPr>
          <w:p w14:paraId="4DCBBFF7"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008D694A">
              <w:rPr>
                <w:rFonts w:ascii="Times New Roman" w:eastAsia="Times New Roman" w:hAnsi="Times New Roman" w:cs="Times New Roman"/>
                <w:i/>
                <w:iCs/>
                <w:color w:val="000000"/>
                <w:kern w:val="0"/>
                <w14:ligatures w14:val="none"/>
              </w:rPr>
              <w:t>Scale Range</w:t>
            </w:r>
          </w:p>
        </w:tc>
        <w:tc>
          <w:tcPr>
            <w:tcW w:w="336" w:type="pct"/>
            <w:tcBorders>
              <w:top w:val="single" w:sz="4" w:space="0" w:color="auto"/>
              <w:bottom w:val="single" w:sz="4" w:space="0" w:color="auto"/>
            </w:tcBorders>
            <w:vAlign w:val="center"/>
          </w:tcPr>
          <w:p w14:paraId="1C90326A"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60528960">
              <w:rPr>
                <w:rFonts w:ascii="Times New Roman" w:hAnsi="Times New Roman" w:cs="Times New Roman"/>
                <w:i/>
                <w:iCs/>
              </w:rPr>
              <w:t>α</w:t>
            </w:r>
          </w:p>
        </w:tc>
        <w:tc>
          <w:tcPr>
            <w:tcW w:w="577" w:type="pct"/>
            <w:tcBorders>
              <w:top w:val="single" w:sz="4" w:space="0" w:color="auto"/>
              <w:bottom w:val="single" w:sz="4" w:space="0" w:color="auto"/>
            </w:tcBorders>
            <w:vAlign w:val="center"/>
            <w:hideMark/>
          </w:tcPr>
          <w:p w14:paraId="62EAC228"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008D694A">
              <w:rPr>
                <w:rFonts w:ascii="Times New Roman" w:eastAsia="Times New Roman" w:hAnsi="Times New Roman" w:cs="Times New Roman"/>
                <w:i/>
                <w:iCs/>
                <w:color w:val="000000"/>
                <w:kern w:val="0"/>
                <w14:ligatures w14:val="none"/>
              </w:rPr>
              <w:t>Staff Chair</w:t>
            </w:r>
          </w:p>
        </w:tc>
        <w:tc>
          <w:tcPr>
            <w:tcW w:w="624" w:type="pct"/>
            <w:tcBorders>
              <w:top w:val="single" w:sz="4" w:space="0" w:color="auto"/>
              <w:bottom w:val="single" w:sz="4" w:space="0" w:color="auto"/>
            </w:tcBorders>
            <w:vAlign w:val="center"/>
            <w:hideMark/>
          </w:tcPr>
          <w:p w14:paraId="63275477"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008D694A">
              <w:rPr>
                <w:rFonts w:ascii="Times New Roman" w:eastAsia="Times New Roman" w:hAnsi="Times New Roman" w:cs="Times New Roman"/>
                <w:i/>
                <w:iCs/>
                <w:color w:val="000000"/>
                <w:kern w:val="0"/>
                <w14:ligatures w14:val="none"/>
              </w:rPr>
              <w:t>County Extension Agent</w:t>
            </w:r>
          </w:p>
        </w:tc>
        <w:tc>
          <w:tcPr>
            <w:tcW w:w="673" w:type="pct"/>
            <w:tcBorders>
              <w:top w:val="single" w:sz="4" w:space="0" w:color="auto"/>
              <w:bottom w:val="single" w:sz="4" w:space="0" w:color="auto"/>
            </w:tcBorders>
            <w:vAlign w:val="center"/>
            <w:hideMark/>
          </w:tcPr>
          <w:p w14:paraId="76E0548F"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008D694A">
              <w:rPr>
                <w:rFonts w:ascii="Times New Roman" w:eastAsia="Times New Roman" w:hAnsi="Times New Roman" w:cs="Times New Roman"/>
                <w:i/>
                <w:iCs/>
                <w:color w:val="000000"/>
                <w:kern w:val="0"/>
                <w14:ligatures w14:val="none"/>
              </w:rPr>
              <w:t>Program Assistant</w:t>
            </w:r>
          </w:p>
        </w:tc>
        <w:tc>
          <w:tcPr>
            <w:tcW w:w="488" w:type="pct"/>
            <w:gridSpan w:val="2"/>
            <w:tcBorders>
              <w:top w:val="single" w:sz="4" w:space="0" w:color="auto"/>
              <w:bottom w:val="single" w:sz="4" w:space="0" w:color="auto"/>
            </w:tcBorders>
            <w:vAlign w:val="center"/>
            <w:hideMark/>
          </w:tcPr>
          <w:p w14:paraId="1718F168"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008D694A">
              <w:rPr>
                <w:rFonts w:ascii="Times New Roman" w:eastAsia="Times New Roman" w:hAnsi="Times New Roman" w:cs="Times New Roman"/>
                <w:i/>
                <w:iCs/>
                <w:color w:val="000000"/>
                <w:kern w:val="0"/>
                <w14:ligatures w14:val="none"/>
              </w:rPr>
              <w:t>Support Staff</w:t>
            </w:r>
          </w:p>
        </w:tc>
        <w:tc>
          <w:tcPr>
            <w:tcW w:w="476" w:type="pct"/>
            <w:tcBorders>
              <w:top w:val="single" w:sz="4" w:space="0" w:color="auto"/>
              <w:bottom w:val="single" w:sz="4" w:space="0" w:color="auto"/>
            </w:tcBorders>
            <w:vAlign w:val="center"/>
            <w:hideMark/>
          </w:tcPr>
          <w:p w14:paraId="32F1D536"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r w:rsidRPr="008D694A">
              <w:rPr>
                <w:rFonts w:ascii="Times New Roman" w:eastAsia="Times New Roman" w:hAnsi="Times New Roman" w:cs="Times New Roman"/>
                <w:i/>
                <w:iCs/>
                <w:color w:val="000000"/>
                <w:kern w:val="0"/>
                <w14:ligatures w14:val="none"/>
              </w:rPr>
              <w:t xml:space="preserve">Overall </w:t>
            </w:r>
          </w:p>
        </w:tc>
      </w:tr>
      <w:tr w:rsidR="000374FE" w:rsidRPr="008D694A" w14:paraId="392C4B2C" w14:textId="77777777" w:rsidTr="000374FE">
        <w:trPr>
          <w:trHeight w:val="290"/>
        </w:trPr>
        <w:tc>
          <w:tcPr>
            <w:tcW w:w="1057" w:type="pct"/>
            <w:tcBorders>
              <w:top w:val="single" w:sz="4" w:space="0" w:color="auto"/>
              <w:left w:val="nil"/>
              <w:bottom w:val="nil"/>
              <w:right w:val="nil"/>
            </w:tcBorders>
            <w:vAlign w:val="center"/>
            <w:hideMark/>
          </w:tcPr>
          <w:p w14:paraId="7E48B639"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p>
        </w:tc>
        <w:tc>
          <w:tcPr>
            <w:tcW w:w="337" w:type="pct"/>
            <w:tcBorders>
              <w:top w:val="single" w:sz="4" w:space="0" w:color="auto"/>
              <w:left w:val="nil"/>
              <w:bottom w:val="single" w:sz="4" w:space="0" w:color="auto"/>
              <w:right w:val="nil"/>
            </w:tcBorders>
            <w:vAlign w:val="center"/>
            <w:hideMark/>
          </w:tcPr>
          <w:p w14:paraId="4683980E" w14:textId="77777777" w:rsidR="001E00D6" w:rsidRPr="008D694A" w:rsidRDefault="001E00D6" w:rsidP="00F31B4C">
            <w:pPr>
              <w:widowControl w:val="0"/>
              <w:spacing w:after="0" w:line="240" w:lineRule="auto"/>
              <w:rPr>
                <w:rFonts w:ascii="Times New Roman" w:eastAsia="Times New Roman" w:hAnsi="Times New Roman" w:cs="Times New Roman"/>
                <w:kern w:val="0"/>
                <w:sz w:val="20"/>
                <w:szCs w:val="20"/>
                <w14:ligatures w14:val="none"/>
              </w:rPr>
            </w:pPr>
          </w:p>
        </w:tc>
        <w:tc>
          <w:tcPr>
            <w:tcW w:w="432" w:type="pct"/>
            <w:tcBorders>
              <w:top w:val="single" w:sz="4" w:space="0" w:color="auto"/>
              <w:left w:val="nil"/>
              <w:bottom w:val="single" w:sz="4" w:space="0" w:color="auto"/>
              <w:right w:val="nil"/>
            </w:tcBorders>
            <w:vAlign w:val="center"/>
            <w:hideMark/>
          </w:tcPr>
          <w:p w14:paraId="416D187E" w14:textId="77777777" w:rsidR="001E00D6" w:rsidRPr="008D694A" w:rsidRDefault="001E00D6" w:rsidP="00F31B4C">
            <w:pPr>
              <w:widowControl w:val="0"/>
              <w:spacing w:after="0" w:line="240" w:lineRule="auto"/>
              <w:jc w:val="center"/>
              <w:rPr>
                <w:rFonts w:ascii="Times New Roman" w:eastAsia="Times New Roman" w:hAnsi="Times New Roman" w:cs="Times New Roman"/>
                <w:kern w:val="0"/>
                <w:sz w:val="20"/>
                <w:szCs w:val="20"/>
                <w14:ligatures w14:val="none"/>
              </w:rPr>
            </w:pPr>
          </w:p>
        </w:tc>
        <w:tc>
          <w:tcPr>
            <w:tcW w:w="336" w:type="pct"/>
            <w:tcBorders>
              <w:top w:val="single" w:sz="4" w:space="0" w:color="auto"/>
              <w:bottom w:val="single" w:sz="4" w:space="0" w:color="auto"/>
            </w:tcBorders>
            <w:vAlign w:val="center"/>
          </w:tcPr>
          <w:p w14:paraId="11517796" w14:textId="77777777" w:rsidR="001E00D6" w:rsidRPr="008D694A" w:rsidRDefault="001E00D6" w:rsidP="00F31B4C">
            <w:pPr>
              <w:widowControl w:val="0"/>
              <w:spacing w:after="0" w:line="240" w:lineRule="auto"/>
              <w:jc w:val="center"/>
              <w:rPr>
                <w:rFonts w:ascii="Times New Roman" w:eastAsia="Times New Roman" w:hAnsi="Times New Roman" w:cs="Times New Roman"/>
                <w:i/>
                <w:iCs/>
                <w:color w:val="000000"/>
                <w:kern w:val="0"/>
                <w14:ligatures w14:val="none"/>
              </w:rPr>
            </w:pPr>
          </w:p>
        </w:tc>
        <w:tc>
          <w:tcPr>
            <w:tcW w:w="577" w:type="pct"/>
            <w:tcBorders>
              <w:top w:val="single" w:sz="4" w:space="0" w:color="auto"/>
              <w:left w:val="nil"/>
              <w:bottom w:val="single" w:sz="4" w:space="0" w:color="auto"/>
              <w:right w:val="nil"/>
            </w:tcBorders>
            <w:vAlign w:val="center"/>
            <w:hideMark/>
          </w:tcPr>
          <w:p w14:paraId="7D6578D9" w14:textId="1C0505DE" w:rsidR="001E00D6" w:rsidRPr="00EC598B"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i/>
                <w:iCs/>
                <w:color w:val="000000"/>
                <w:kern w:val="0"/>
                <w14:ligatures w14:val="none"/>
              </w:rPr>
              <w:t>M</w:t>
            </w:r>
            <w:r w:rsidR="00EC598B">
              <w:rPr>
                <w:rFonts w:ascii="Times New Roman" w:eastAsia="Times New Roman" w:hAnsi="Times New Roman" w:cs="Times New Roman"/>
                <w:i/>
                <w:iCs/>
                <w:color w:val="000000"/>
                <w:kern w:val="0"/>
                <w14:ligatures w14:val="none"/>
              </w:rPr>
              <w:t xml:space="preserve"> </w:t>
            </w:r>
            <w:r w:rsidR="00EC598B">
              <w:rPr>
                <w:rFonts w:ascii="Times New Roman" w:eastAsia="Times New Roman" w:hAnsi="Times New Roman" w:cs="Times New Roman"/>
                <w:color w:val="000000"/>
                <w:kern w:val="0"/>
                <w14:ligatures w14:val="none"/>
              </w:rPr>
              <w:t>(</w:t>
            </w:r>
            <w:r w:rsidRPr="008D694A">
              <w:rPr>
                <w:rFonts w:ascii="Times New Roman" w:eastAsia="Times New Roman" w:hAnsi="Times New Roman" w:cs="Times New Roman"/>
                <w:i/>
                <w:iCs/>
                <w:color w:val="000000"/>
                <w:kern w:val="0"/>
                <w14:ligatures w14:val="none"/>
              </w:rPr>
              <w:t>SD</w:t>
            </w:r>
            <w:r w:rsidR="00EC598B">
              <w:rPr>
                <w:rFonts w:ascii="Times New Roman" w:eastAsia="Times New Roman" w:hAnsi="Times New Roman" w:cs="Times New Roman"/>
                <w:color w:val="000000"/>
                <w:kern w:val="0"/>
                <w14:ligatures w14:val="none"/>
              </w:rPr>
              <w:t>)</w:t>
            </w:r>
          </w:p>
        </w:tc>
        <w:tc>
          <w:tcPr>
            <w:tcW w:w="624" w:type="pct"/>
            <w:tcBorders>
              <w:top w:val="single" w:sz="4" w:space="0" w:color="auto"/>
              <w:left w:val="nil"/>
              <w:bottom w:val="single" w:sz="4" w:space="0" w:color="auto"/>
              <w:right w:val="nil"/>
            </w:tcBorders>
            <w:vAlign w:val="center"/>
            <w:hideMark/>
          </w:tcPr>
          <w:p w14:paraId="38DA2859" w14:textId="1FA4E53F" w:rsidR="001E00D6" w:rsidRPr="00EC598B"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i/>
                <w:iCs/>
                <w:color w:val="000000"/>
                <w:kern w:val="0"/>
                <w14:ligatures w14:val="none"/>
              </w:rPr>
              <w:t>M</w:t>
            </w:r>
            <w:r w:rsidR="00EC598B">
              <w:rPr>
                <w:rFonts w:ascii="Times New Roman" w:eastAsia="Times New Roman" w:hAnsi="Times New Roman" w:cs="Times New Roman"/>
                <w:i/>
                <w:iCs/>
                <w:color w:val="000000"/>
                <w:kern w:val="0"/>
                <w14:ligatures w14:val="none"/>
              </w:rPr>
              <w:t xml:space="preserve"> </w:t>
            </w:r>
            <w:r w:rsidR="00EC598B">
              <w:rPr>
                <w:rFonts w:ascii="Times New Roman" w:eastAsia="Times New Roman" w:hAnsi="Times New Roman" w:cs="Times New Roman"/>
                <w:color w:val="000000"/>
                <w:kern w:val="0"/>
                <w14:ligatures w14:val="none"/>
              </w:rPr>
              <w:t>(</w:t>
            </w:r>
            <w:r w:rsidRPr="008D694A">
              <w:rPr>
                <w:rFonts w:ascii="Times New Roman" w:eastAsia="Times New Roman" w:hAnsi="Times New Roman" w:cs="Times New Roman"/>
                <w:i/>
                <w:iCs/>
                <w:color w:val="000000"/>
                <w:kern w:val="0"/>
                <w14:ligatures w14:val="none"/>
              </w:rPr>
              <w:t>SD</w:t>
            </w:r>
            <w:r w:rsidR="00EC598B">
              <w:rPr>
                <w:rFonts w:ascii="Times New Roman" w:eastAsia="Times New Roman" w:hAnsi="Times New Roman" w:cs="Times New Roman"/>
                <w:color w:val="000000"/>
                <w:kern w:val="0"/>
                <w14:ligatures w14:val="none"/>
              </w:rPr>
              <w:t>)</w:t>
            </w:r>
          </w:p>
        </w:tc>
        <w:tc>
          <w:tcPr>
            <w:tcW w:w="673" w:type="pct"/>
            <w:tcBorders>
              <w:top w:val="single" w:sz="4" w:space="0" w:color="auto"/>
              <w:left w:val="nil"/>
              <w:bottom w:val="single" w:sz="4" w:space="0" w:color="auto"/>
              <w:right w:val="nil"/>
            </w:tcBorders>
            <w:vAlign w:val="center"/>
            <w:hideMark/>
          </w:tcPr>
          <w:p w14:paraId="244AC091" w14:textId="56C77E45" w:rsidR="001E00D6" w:rsidRPr="00EC598B"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i/>
                <w:iCs/>
                <w:color w:val="000000"/>
                <w:kern w:val="0"/>
                <w14:ligatures w14:val="none"/>
              </w:rPr>
              <w:t>M</w:t>
            </w:r>
            <w:r w:rsidR="00EC598B">
              <w:rPr>
                <w:rFonts w:ascii="Times New Roman" w:eastAsia="Times New Roman" w:hAnsi="Times New Roman" w:cs="Times New Roman"/>
                <w:i/>
                <w:iCs/>
                <w:color w:val="000000"/>
                <w:kern w:val="0"/>
                <w14:ligatures w14:val="none"/>
              </w:rPr>
              <w:t xml:space="preserve"> </w:t>
            </w:r>
            <w:r w:rsidR="00EC598B">
              <w:rPr>
                <w:rFonts w:ascii="Times New Roman" w:eastAsia="Times New Roman" w:hAnsi="Times New Roman" w:cs="Times New Roman"/>
                <w:color w:val="000000"/>
                <w:kern w:val="0"/>
                <w14:ligatures w14:val="none"/>
              </w:rPr>
              <w:t>(</w:t>
            </w:r>
            <w:r w:rsidRPr="008D694A">
              <w:rPr>
                <w:rFonts w:ascii="Times New Roman" w:eastAsia="Times New Roman" w:hAnsi="Times New Roman" w:cs="Times New Roman"/>
                <w:i/>
                <w:iCs/>
                <w:color w:val="000000"/>
                <w:kern w:val="0"/>
                <w14:ligatures w14:val="none"/>
              </w:rPr>
              <w:t>SD</w:t>
            </w:r>
            <w:r w:rsidR="00EC598B">
              <w:rPr>
                <w:rFonts w:ascii="Times New Roman" w:eastAsia="Times New Roman" w:hAnsi="Times New Roman" w:cs="Times New Roman"/>
                <w:color w:val="000000"/>
                <w:kern w:val="0"/>
                <w14:ligatures w14:val="none"/>
              </w:rPr>
              <w:t>)</w:t>
            </w:r>
          </w:p>
        </w:tc>
        <w:tc>
          <w:tcPr>
            <w:tcW w:w="488" w:type="pct"/>
            <w:gridSpan w:val="2"/>
            <w:tcBorders>
              <w:top w:val="single" w:sz="4" w:space="0" w:color="auto"/>
              <w:left w:val="nil"/>
              <w:bottom w:val="single" w:sz="4" w:space="0" w:color="auto"/>
              <w:right w:val="nil"/>
            </w:tcBorders>
            <w:vAlign w:val="center"/>
            <w:hideMark/>
          </w:tcPr>
          <w:p w14:paraId="62CA332B" w14:textId="46FC1A13" w:rsidR="001E00D6" w:rsidRPr="00EC598B"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i/>
                <w:iCs/>
                <w:color w:val="000000"/>
                <w:kern w:val="0"/>
                <w14:ligatures w14:val="none"/>
              </w:rPr>
              <w:t>M</w:t>
            </w:r>
            <w:r w:rsidR="00EC598B">
              <w:rPr>
                <w:rFonts w:ascii="Times New Roman" w:eastAsia="Times New Roman" w:hAnsi="Times New Roman" w:cs="Times New Roman"/>
                <w:i/>
                <w:iCs/>
                <w:color w:val="000000"/>
                <w:kern w:val="0"/>
                <w14:ligatures w14:val="none"/>
              </w:rPr>
              <w:t xml:space="preserve"> </w:t>
            </w:r>
            <w:r w:rsidR="00EC598B">
              <w:rPr>
                <w:rFonts w:ascii="Times New Roman" w:eastAsia="Times New Roman" w:hAnsi="Times New Roman" w:cs="Times New Roman"/>
                <w:color w:val="000000"/>
                <w:kern w:val="0"/>
                <w14:ligatures w14:val="none"/>
              </w:rPr>
              <w:t>(</w:t>
            </w:r>
            <w:r w:rsidRPr="008D694A">
              <w:rPr>
                <w:rFonts w:ascii="Times New Roman" w:eastAsia="Times New Roman" w:hAnsi="Times New Roman" w:cs="Times New Roman"/>
                <w:i/>
                <w:iCs/>
                <w:color w:val="000000"/>
                <w:kern w:val="0"/>
                <w14:ligatures w14:val="none"/>
              </w:rPr>
              <w:t>SD</w:t>
            </w:r>
            <w:r w:rsidR="00EC598B">
              <w:rPr>
                <w:rFonts w:ascii="Times New Roman" w:eastAsia="Times New Roman" w:hAnsi="Times New Roman" w:cs="Times New Roman"/>
                <w:color w:val="000000"/>
                <w:kern w:val="0"/>
                <w14:ligatures w14:val="none"/>
              </w:rPr>
              <w:t>)</w:t>
            </w:r>
          </w:p>
        </w:tc>
        <w:tc>
          <w:tcPr>
            <w:tcW w:w="476" w:type="pct"/>
            <w:tcBorders>
              <w:top w:val="single" w:sz="4" w:space="0" w:color="auto"/>
              <w:left w:val="nil"/>
              <w:bottom w:val="single" w:sz="4" w:space="0" w:color="auto"/>
              <w:right w:val="nil"/>
            </w:tcBorders>
            <w:vAlign w:val="center"/>
            <w:hideMark/>
          </w:tcPr>
          <w:p w14:paraId="0219F72E" w14:textId="43B8F6D0" w:rsidR="001E00D6" w:rsidRPr="00EC598B"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i/>
                <w:iCs/>
                <w:color w:val="000000"/>
                <w:kern w:val="0"/>
                <w14:ligatures w14:val="none"/>
              </w:rPr>
              <w:t>M</w:t>
            </w:r>
            <w:r w:rsidR="00EC598B">
              <w:rPr>
                <w:rFonts w:ascii="Times New Roman" w:eastAsia="Times New Roman" w:hAnsi="Times New Roman" w:cs="Times New Roman"/>
                <w:i/>
                <w:iCs/>
                <w:color w:val="000000"/>
                <w:kern w:val="0"/>
                <w14:ligatures w14:val="none"/>
              </w:rPr>
              <w:t xml:space="preserve"> </w:t>
            </w:r>
            <w:r w:rsidR="00EC598B">
              <w:rPr>
                <w:rFonts w:ascii="Times New Roman" w:eastAsia="Times New Roman" w:hAnsi="Times New Roman" w:cs="Times New Roman"/>
                <w:color w:val="000000"/>
                <w:kern w:val="0"/>
                <w14:ligatures w14:val="none"/>
              </w:rPr>
              <w:t>(</w:t>
            </w:r>
            <w:r w:rsidRPr="008D694A">
              <w:rPr>
                <w:rFonts w:ascii="Times New Roman" w:eastAsia="Times New Roman" w:hAnsi="Times New Roman" w:cs="Times New Roman"/>
                <w:i/>
                <w:iCs/>
                <w:color w:val="000000"/>
                <w:kern w:val="0"/>
                <w14:ligatures w14:val="none"/>
              </w:rPr>
              <w:t>SD</w:t>
            </w:r>
            <w:r w:rsidR="00EC598B">
              <w:rPr>
                <w:rFonts w:ascii="Times New Roman" w:eastAsia="Times New Roman" w:hAnsi="Times New Roman" w:cs="Times New Roman"/>
                <w:color w:val="000000"/>
                <w:kern w:val="0"/>
                <w14:ligatures w14:val="none"/>
              </w:rPr>
              <w:t>)</w:t>
            </w:r>
          </w:p>
        </w:tc>
      </w:tr>
      <w:tr w:rsidR="000374FE" w:rsidRPr="008D694A" w14:paraId="374906B9" w14:textId="77777777" w:rsidTr="000374FE">
        <w:trPr>
          <w:trHeight w:val="340"/>
        </w:trPr>
        <w:tc>
          <w:tcPr>
            <w:tcW w:w="1057" w:type="pct"/>
            <w:tcBorders>
              <w:top w:val="nil"/>
              <w:left w:val="nil"/>
              <w:bottom w:val="nil"/>
              <w:right w:val="nil"/>
            </w:tcBorders>
            <w:vAlign w:val="center"/>
            <w:hideMark/>
          </w:tcPr>
          <w:p w14:paraId="734C97F2"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Job Satisfaction</w:t>
            </w:r>
          </w:p>
        </w:tc>
        <w:tc>
          <w:tcPr>
            <w:tcW w:w="337" w:type="pct"/>
            <w:tcBorders>
              <w:top w:val="single" w:sz="4" w:space="0" w:color="auto"/>
              <w:left w:val="nil"/>
              <w:bottom w:val="nil"/>
              <w:right w:val="nil"/>
            </w:tcBorders>
            <w:vAlign w:val="center"/>
            <w:hideMark/>
          </w:tcPr>
          <w:p w14:paraId="5C6E2243"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171</w:t>
            </w:r>
          </w:p>
        </w:tc>
        <w:tc>
          <w:tcPr>
            <w:tcW w:w="432" w:type="pct"/>
            <w:tcBorders>
              <w:top w:val="single" w:sz="4" w:space="0" w:color="auto"/>
              <w:left w:val="nil"/>
              <w:bottom w:val="nil"/>
              <w:right w:val="nil"/>
            </w:tcBorders>
            <w:vAlign w:val="center"/>
            <w:hideMark/>
          </w:tcPr>
          <w:p w14:paraId="08254E38"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5-15</w:t>
            </w:r>
          </w:p>
        </w:tc>
        <w:tc>
          <w:tcPr>
            <w:tcW w:w="336" w:type="pct"/>
            <w:tcBorders>
              <w:top w:val="single" w:sz="4" w:space="0" w:color="auto"/>
            </w:tcBorders>
            <w:vAlign w:val="center"/>
          </w:tcPr>
          <w:p w14:paraId="1A3660B6"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.851</w:t>
            </w:r>
          </w:p>
        </w:tc>
        <w:tc>
          <w:tcPr>
            <w:tcW w:w="577" w:type="pct"/>
            <w:tcBorders>
              <w:top w:val="single" w:sz="4" w:space="0" w:color="auto"/>
              <w:left w:val="nil"/>
              <w:bottom w:val="nil"/>
              <w:right w:val="nil"/>
            </w:tcBorders>
            <w:vAlign w:val="center"/>
            <w:hideMark/>
          </w:tcPr>
          <w:p w14:paraId="3328D998"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12.94 (1.57)</w:t>
            </w:r>
          </w:p>
        </w:tc>
        <w:tc>
          <w:tcPr>
            <w:tcW w:w="624" w:type="pct"/>
            <w:tcBorders>
              <w:top w:val="single" w:sz="4" w:space="0" w:color="auto"/>
              <w:left w:val="nil"/>
              <w:bottom w:val="nil"/>
              <w:right w:val="nil"/>
            </w:tcBorders>
            <w:vAlign w:val="center"/>
            <w:hideMark/>
          </w:tcPr>
          <w:p w14:paraId="41306DE4"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12.50 (9.55)</w:t>
            </w:r>
          </w:p>
        </w:tc>
        <w:tc>
          <w:tcPr>
            <w:tcW w:w="673" w:type="pct"/>
            <w:tcBorders>
              <w:top w:val="single" w:sz="4" w:space="0" w:color="auto"/>
              <w:left w:val="nil"/>
              <w:bottom w:val="nil"/>
              <w:right w:val="nil"/>
            </w:tcBorders>
            <w:vAlign w:val="center"/>
            <w:hideMark/>
          </w:tcPr>
          <w:p w14:paraId="79F49D37"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12.94 (1.57)</w:t>
            </w:r>
          </w:p>
        </w:tc>
        <w:tc>
          <w:tcPr>
            <w:tcW w:w="488" w:type="pct"/>
            <w:gridSpan w:val="2"/>
            <w:tcBorders>
              <w:top w:val="single" w:sz="4" w:space="0" w:color="auto"/>
              <w:left w:val="nil"/>
              <w:bottom w:val="nil"/>
              <w:right w:val="nil"/>
            </w:tcBorders>
            <w:noWrap/>
            <w:vAlign w:val="bottom"/>
            <w:hideMark/>
          </w:tcPr>
          <w:p w14:paraId="38403B92"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11.90 (2.73)</w:t>
            </w:r>
          </w:p>
        </w:tc>
        <w:tc>
          <w:tcPr>
            <w:tcW w:w="476" w:type="pct"/>
            <w:tcBorders>
              <w:top w:val="single" w:sz="4" w:space="0" w:color="auto"/>
              <w:left w:val="nil"/>
              <w:bottom w:val="nil"/>
              <w:right w:val="nil"/>
            </w:tcBorders>
            <w:vAlign w:val="center"/>
            <w:hideMark/>
          </w:tcPr>
          <w:p w14:paraId="133A1BCB"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12.57 (3.86)</w:t>
            </w:r>
          </w:p>
        </w:tc>
      </w:tr>
      <w:tr w:rsidR="000374FE" w:rsidRPr="008D694A" w14:paraId="071BE33B" w14:textId="77777777" w:rsidTr="000374FE">
        <w:trPr>
          <w:trHeight w:val="432"/>
        </w:trPr>
        <w:tc>
          <w:tcPr>
            <w:tcW w:w="1057" w:type="pct"/>
            <w:tcBorders>
              <w:top w:val="nil"/>
              <w:left w:val="nil"/>
              <w:bottom w:val="nil"/>
              <w:right w:val="nil"/>
            </w:tcBorders>
            <w:vAlign w:val="center"/>
            <w:hideMark/>
          </w:tcPr>
          <w:p w14:paraId="0793C818"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Fit-Community</w:t>
            </w:r>
          </w:p>
        </w:tc>
        <w:tc>
          <w:tcPr>
            <w:tcW w:w="337" w:type="pct"/>
            <w:tcBorders>
              <w:top w:val="nil"/>
              <w:left w:val="nil"/>
              <w:bottom w:val="nil"/>
              <w:right w:val="nil"/>
            </w:tcBorders>
            <w:vAlign w:val="center"/>
            <w:hideMark/>
          </w:tcPr>
          <w:p w14:paraId="4B6FEEE0"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171</w:t>
            </w:r>
          </w:p>
        </w:tc>
        <w:tc>
          <w:tcPr>
            <w:tcW w:w="432" w:type="pct"/>
            <w:tcBorders>
              <w:top w:val="nil"/>
              <w:left w:val="nil"/>
              <w:bottom w:val="nil"/>
              <w:right w:val="nil"/>
            </w:tcBorders>
            <w:vAlign w:val="center"/>
            <w:hideMark/>
          </w:tcPr>
          <w:p w14:paraId="202BDD0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5-25</w:t>
            </w:r>
          </w:p>
        </w:tc>
        <w:tc>
          <w:tcPr>
            <w:tcW w:w="336" w:type="pct"/>
            <w:vAlign w:val="center"/>
          </w:tcPr>
          <w:p w14:paraId="4DCAD3E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.857</w:t>
            </w:r>
          </w:p>
        </w:tc>
        <w:tc>
          <w:tcPr>
            <w:tcW w:w="577" w:type="pct"/>
            <w:tcBorders>
              <w:top w:val="nil"/>
              <w:left w:val="nil"/>
              <w:bottom w:val="nil"/>
              <w:right w:val="nil"/>
            </w:tcBorders>
            <w:vAlign w:val="center"/>
            <w:hideMark/>
          </w:tcPr>
          <w:p w14:paraId="792FD22D"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21.10 (3.57)</w:t>
            </w:r>
          </w:p>
        </w:tc>
        <w:tc>
          <w:tcPr>
            <w:tcW w:w="624" w:type="pct"/>
            <w:tcBorders>
              <w:top w:val="nil"/>
              <w:left w:val="nil"/>
              <w:bottom w:val="nil"/>
              <w:right w:val="nil"/>
            </w:tcBorders>
            <w:vAlign w:val="center"/>
            <w:hideMark/>
          </w:tcPr>
          <w:p w14:paraId="3A9F0E52"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19.73 (3.80)</w:t>
            </w:r>
          </w:p>
        </w:tc>
        <w:tc>
          <w:tcPr>
            <w:tcW w:w="673" w:type="pct"/>
            <w:tcBorders>
              <w:top w:val="nil"/>
              <w:left w:val="nil"/>
              <w:bottom w:val="nil"/>
              <w:right w:val="nil"/>
            </w:tcBorders>
            <w:vAlign w:val="center"/>
            <w:hideMark/>
          </w:tcPr>
          <w:p w14:paraId="02F530F1"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20.25 (3.19)</w:t>
            </w:r>
          </w:p>
        </w:tc>
        <w:tc>
          <w:tcPr>
            <w:tcW w:w="488" w:type="pct"/>
            <w:gridSpan w:val="2"/>
            <w:tcBorders>
              <w:top w:val="nil"/>
              <w:left w:val="nil"/>
              <w:bottom w:val="nil"/>
              <w:right w:val="nil"/>
            </w:tcBorders>
            <w:noWrap/>
            <w:vAlign w:val="bottom"/>
            <w:hideMark/>
          </w:tcPr>
          <w:p w14:paraId="1363362A"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19.64 (4.06)</w:t>
            </w:r>
          </w:p>
        </w:tc>
        <w:tc>
          <w:tcPr>
            <w:tcW w:w="476" w:type="pct"/>
            <w:tcBorders>
              <w:top w:val="nil"/>
              <w:left w:val="nil"/>
              <w:bottom w:val="nil"/>
              <w:right w:val="nil"/>
            </w:tcBorders>
            <w:vAlign w:val="center"/>
            <w:hideMark/>
          </w:tcPr>
          <w:p w14:paraId="6021ADF8"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20.18 (3.65)</w:t>
            </w:r>
          </w:p>
        </w:tc>
      </w:tr>
      <w:tr w:rsidR="000374FE" w:rsidRPr="008D694A" w14:paraId="1D88FA62" w14:textId="77777777" w:rsidTr="000374FE">
        <w:trPr>
          <w:trHeight w:val="290"/>
        </w:trPr>
        <w:tc>
          <w:tcPr>
            <w:tcW w:w="1057" w:type="pct"/>
            <w:tcBorders>
              <w:top w:val="nil"/>
              <w:left w:val="nil"/>
              <w:bottom w:val="nil"/>
              <w:right w:val="nil"/>
            </w:tcBorders>
            <w:vAlign w:val="center"/>
            <w:hideMark/>
          </w:tcPr>
          <w:p w14:paraId="53E903A2"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Fit-Organization</w:t>
            </w:r>
          </w:p>
        </w:tc>
        <w:tc>
          <w:tcPr>
            <w:tcW w:w="337" w:type="pct"/>
            <w:tcBorders>
              <w:top w:val="nil"/>
              <w:left w:val="nil"/>
              <w:bottom w:val="nil"/>
              <w:right w:val="nil"/>
            </w:tcBorders>
            <w:vAlign w:val="center"/>
            <w:hideMark/>
          </w:tcPr>
          <w:p w14:paraId="2D3D3658"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168</w:t>
            </w:r>
          </w:p>
        </w:tc>
        <w:tc>
          <w:tcPr>
            <w:tcW w:w="432" w:type="pct"/>
            <w:tcBorders>
              <w:top w:val="nil"/>
              <w:left w:val="nil"/>
              <w:bottom w:val="nil"/>
              <w:right w:val="nil"/>
            </w:tcBorders>
            <w:vAlign w:val="center"/>
            <w:hideMark/>
          </w:tcPr>
          <w:p w14:paraId="205A954E"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13-50</w:t>
            </w:r>
          </w:p>
        </w:tc>
        <w:tc>
          <w:tcPr>
            <w:tcW w:w="336" w:type="pct"/>
            <w:vAlign w:val="center"/>
          </w:tcPr>
          <w:p w14:paraId="4E1E81D0"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.911</w:t>
            </w:r>
          </w:p>
        </w:tc>
        <w:tc>
          <w:tcPr>
            <w:tcW w:w="577" w:type="pct"/>
            <w:tcBorders>
              <w:top w:val="nil"/>
              <w:left w:val="nil"/>
              <w:bottom w:val="nil"/>
              <w:right w:val="nil"/>
            </w:tcBorders>
            <w:vAlign w:val="center"/>
            <w:hideMark/>
          </w:tcPr>
          <w:p w14:paraId="0366F669"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40.79 (6.07)</w:t>
            </w:r>
          </w:p>
        </w:tc>
        <w:tc>
          <w:tcPr>
            <w:tcW w:w="624" w:type="pct"/>
            <w:tcBorders>
              <w:top w:val="nil"/>
              <w:left w:val="nil"/>
              <w:bottom w:val="nil"/>
              <w:right w:val="nil"/>
            </w:tcBorders>
            <w:vAlign w:val="center"/>
            <w:hideMark/>
          </w:tcPr>
          <w:p w14:paraId="2007D890"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39.27 (6.77)</w:t>
            </w:r>
          </w:p>
        </w:tc>
        <w:tc>
          <w:tcPr>
            <w:tcW w:w="673" w:type="pct"/>
            <w:tcBorders>
              <w:top w:val="nil"/>
              <w:left w:val="nil"/>
              <w:bottom w:val="nil"/>
              <w:right w:val="nil"/>
            </w:tcBorders>
            <w:vAlign w:val="center"/>
            <w:hideMark/>
          </w:tcPr>
          <w:p w14:paraId="680BCB8D"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37.37 (8.07)</w:t>
            </w:r>
          </w:p>
        </w:tc>
        <w:tc>
          <w:tcPr>
            <w:tcW w:w="488" w:type="pct"/>
            <w:gridSpan w:val="2"/>
            <w:tcBorders>
              <w:top w:val="nil"/>
              <w:left w:val="nil"/>
              <w:bottom w:val="nil"/>
              <w:right w:val="nil"/>
            </w:tcBorders>
            <w:noWrap/>
            <w:vAlign w:val="bottom"/>
            <w:hideMark/>
          </w:tcPr>
          <w:p w14:paraId="278CC5C1"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38.98 (8.39)</w:t>
            </w:r>
          </w:p>
        </w:tc>
        <w:tc>
          <w:tcPr>
            <w:tcW w:w="476" w:type="pct"/>
            <w:tcBorders>
              <w:top w:val="nil"/>
              <w:left w:val="nil"/>
              <w:bottom w:val="nil"/>
              <w:right w:val="nil"/>
            </w:tcBorders>
            <w:vAlign w:val="center"/>
            <w:hideMark/>
          </w:tcPr>
          <w:p w14:paraId="5E8B354F"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39.10 (7.32)</w:t>
            </w:r>
          </w:p>
        </w:tc>
      </w:tr>
      <w:tr w:rsidR="000374FE" w:rsidRPr="008D694A" w14:paraId="648AFC4F" w14:textId="77777777" w:rsidTr="000374FE">
        <w:trPr>
          <w:trHeight w:val="290"/>
        </w:trPr>
        <w:tc>
          <w:tcPr>
            <w:tcW w:w="1057" w:type="pct"/>
            <w:tcBorders>
              <w:top w:val="nil"/>
              <w:left w:val="nil"/>
              <w:bottom w:val="nil"/>
              <w:right w:val="nil"/>
            </w:tcBorders>
            <w:vAlign w:val="center"/>
            <w:hideMark/>
          </w:tcPr>
          <w:p w14:paraId="2AFA3D8C"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Links-Community</w:t>
            </w:r>
          </w:p>
        </w:tc>
        <w:tc>
          <w:tcPr>
            <w:tcW w:w="337" w:type="pct"/>
            <w:tcBorders>
              <w:top w:val="nil"/>
              <w:left w:val="nil"/>
              <w:bottom w:val="nil"/>
              <w:right w:val="nil"/>
            </w:tcBorders>
            <w:vAlign w:val="center"/>
            <w:hideMark/>
          </w:tcPr>
          <w:p w14:paraId="5D17E352"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125</w:t>
            </w:r>
          </w:p>
        </w:tc>
        <w:tc>
          <w:tcPr>
            <w:tcW w:w="432" w:type="pct"/>
            <w:tcBorders>
              <w:top w:val="nil"/>
              <w:left w:val="nil"/>
              <w:bottom w:val="nil"/>
              <w:right w:val="nil"/>
            </w:tcBorders>
            <w:vAlign w:val="center"/>
            <w:hideMark/>
          </w:tcPr>
          <w:p w14:paraId="7878BB38"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8-27</w:t>
            </w:r>
          </w:p>
        </w:tc>
        <w:tc>
          <w:tcPr>
            <w:tcW w:w="336" w:type="pct"/>
            <w:vAlign w:val="center"/>
          </w:tcPr>
          <w:p w14:paraId="4AB34BE7"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.528</w:t>
            </w:r>
          </w:p>
        </w:tc>
        <w:tc>
          <w:tcPr>
            <w:tcW w:w="577" w:type="pct"/>
            <w:tcBorders>
              <w:top w:val="nil"/>
              <w:left w:val="nil"/>
              <w:bottom w:val="nil"/>
              <w:right w:val="nil"/>
            </w:tcBorders>
            <w:vAlign w:val="center"/>
            <w:hideMark/>
          </w:tcPr>
          <w:p w14:paraId="5B73C0CC"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21.06 (3.50)</w:t>
            </w:r>
          </w:p>
        </w:tc>
        <w:tc>
          <w:tcPr>
            <w:tcW w:w="624" w:type="pct"/>
            <w:tcBorders>
              <w:top w:val="nil"/>
              <w:left w:val="nil"/>
              <w:bottom w:val="nil"/>
              <w:right w:val="nil"/>
            </w:tcBorders>
            <w:vAlign w:val="center"/>
            <w:hideMark/>
          </w:tcPr>
          <w:p w14:paraId="02B830D3"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20.23 (3.13)</w:t>
            </w:r>
          </w:p>
        </w:tc>
        <w:tc>
          <w:tcPr>
            <w:tcW w:w="673" w:type="pct"/>
            <w:tcBorders>
              <w:top w:val="nil"/>
              <w:left w:val="nil"/>
              <w:bottom w:val="nil"/>
              <w:right w:val="nil"/>
            </w:tcBorders>
            <w:vAlign w:val="center"/>
            <w:hideMark/>
          </w:tcPr>
          <w:p w14:paraId="6F35B28A"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18.00 (2.65)</w:t>
            </w:r>
          </w:p>
        </w:tc>
        <w:tc>
          <w:tcPr>
            <w:tcW w:w="488" w:type="pct"/>
            <w:gridSpan w:val="2"/>
            <w:tcBorders>
              <w:top w:val="nil"/>
              <w:left w:val="nil"/>
              <w:bottom w:val="nil"/>
              <w:right w:val="nil"/>
            </w:tcBorders>
            <w:noWrap/>
            <w:vAlign w:val="bottom"/>
            <w:hideMark/>
          </w:tcPr>
          <w:p w14:paraId="7A0F588F"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19.80 (4.25)</w:t>
            </w:r>
          </w:p>
        </w:tc>
        <w:tc>
          <w:tcPr>
            <w:tcW w:w="476" w:type="pct"/>
            <w:tcBorders>
              <w:top w:val="nil"/>
              <w:left w:val="nil"/>
              <w:bottom w:val="nil"/>
              <w:right w:val="nil"/>
            </w:tcBorders>
            <w:vAlign w:val="center"/>
            <w:hideMark/>
          </w:tcPr>
          <w:p w14:paraId="39C5639B"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19.77 (3.38)</w:t>
            </w:r>
          </w:p>
        </w:tc>
      </w:tr>
      <w:tr w:rsidR="000374FE" w:rsidRPr="008D694A" w14:paraId="0C191836" w14:textId="77777777" w:rsidTr="000374FE">
        <w:trPr>
          <w:trHeight w:val="290"/>
        </w:trPr>
        <w:tc>
          <w:tcPr>
            <w:tcW w:w="1057" w:type="pct"/>
            <w:tcBorders>
              <w:top w:val="nil"/>
              <w:left w:val="nil"/>
              <w:bottom w:val="nil"/>
              <w:right w:val="nil"/>
            </w:tcBorders>
            <w:vAlign w:val="center"/>
            <w:hideMark/>
          </w:tcPr>
          <w:p w14:paraId="42FE5C15"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Links-Organization</w:t>
            </w:r>
          </w:p>
        </w:tc>
        <w:tc>
          <w:tcPr>
            <w:tcW w:w="337" w:type="pct"/>
            <w:tcBorders>
              <w:top w:val="nil"/>
              <w:left w:val="nil"/>
              <w:bottom w:val="nil"/>
              <w:right w:val="nil"/>
            </w:tcBorders>
            <w:vAlign w:val="center"/>
            <w:hideMark/>
          </w:tcPr>
          <w:p w14:paraId="331F755C"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150</w:t>
            </w:r>
          </w:p>
        </w:tc>
        <w:tc>
          <w:tcPr>
            <w:tcW w:w="432" w:type="pct"/>
            <w:tcBorders>
              <w:top w:val="nil"/>
              <w:left w:val="nil"/>
              <w:bottom w:val="nil"/>
              <w:right w:val="nil"/>
            </w:tcBorders>
            <w:vAlign w:val="center"/>
            <w:hideMark/>
          </w:tcPr>
          <w:p w14:paraId="58E61B32"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5-25</w:t>
            </w:r>
          </w:p>
        </w:tc>
        <w:tc>
          <w:tcPr>
            <w:tcW w:w="336" w:type="pct"/>
            <w:vAlign w:val="center"/>
          </w:tcPr>
          <w:p w14:paraId="0EAE1FAA"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.588</w:t>
            </w:r>
          </w:p>
        </w:tc>
        <w:tc>
          <w:tcPr>
            <w:tcW w:w="577" w:type="pct"/>
            <w:tcBorders>
              <w:top w:val="nil"/>
              <w:left w:val="nil"/>
              <w:bottom w:val="nil"/>
              <w:right w:val="nil"/>
            </w:tcBorders>
            <w:vAlign w:val="center"/>
            <w:hideMark/>
          </w:tcPr>
          <w:p w14:paraId="49016FB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16.03 (3.31)</w:t>
            </w:r>
          </w:p>
        </w:tc>
        <w:tc>
          <w:tcPr>
            <w:tcW w:w="624" w:type="pct"/>
            <w:tcBorders>
              <w:top w:val="nil"/>
              <w:left w:val="nil"/>
              <w:bottom w:val="nil"/>
              <w:right w:val="nil"/>
            </w:tcBorders>
            <w:vAlign w:val="center"/>
            <w:hideMark/>
          </w:tcPr>
          <w:p w14:paraId="5727605F"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12.35 (4.40)</w:t>
            </w:r>
          </w:p>
        </w:tc>
        <w:tc>
          <w:tcPr>
            <w:tcW w:w="673" w:type="pct"/>
            <w:tcBorders>
              <w:top w:val="nil"/>
              <w:left w:val="nil"/>
              <w:bottom w:val="nil"/>
              <w:right w:val="nil"/>
            </w:tcBorders>
            <w:vAlign w:val="center"/>
            <w:hideMark/>
          </w:tcPr>
          <w:p w14:paraId="1CA912C0"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10.50 (4.21)</w:t>
            </w:r>
          </w:p>
        </w:tc>
        <w:tc>
          <w:tcPr>
            <w:tcW w:w="488" w:type="pct"/>
            <w:gridSpan w:val="2"/>
            <w:tcBorders>
              <w:top w:val="nil"/>
              <w:left w:val="nil"/>
              <w:bottom w:val="nil"/>
              <w:right w:val="nil"/>
            </w:tcBorders>
            <w:noWrap/>
            <w:vAlign w:val="bottom"/>
            <w:hideMark/>
          </w:tcPr>
          <w:p w14:paraId="1D411B5B"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14.30 (4.70)</w:t>
            </w:r>
          </w:p>
        </w:tc>
        <w:tc>
          <w:tcPr>
            <w:tcW w:w="476" w:type="pct"/>
            <w:tcBorders>
              <w:top w:val="nil"/>
              <w:left w:val="nil"/>
              <w:bottom w:val="nil"/>
              <w:right w:val="nil"/>
            </w:tcBorders>
            <w:vAlign w:val="center"/>
            <w:hideMark/>
          </w:tcPr>
          <w:p w14:paraId="65C33019"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13.30 (4.16)</w:t>
            </w:r>
          </w:p>
        </w:tc>
      </w:tr>
      <w:tr w:rsidR="000374FE" w:rsidRPr="008D694A" w14:paraId="536AE4E3" w14:textId="77777777" w:rsidTr="000374FE">
        <w:trPr>
          <w:trHeight w:val="290"/>
        </w:trPr>
        <w:tc>
          <w:tcPr>
            <w:tcW w:w="1057" w:type="pct"/>
            <w:tcBorders>
              <w:top w:val="nil"/>
              <w:left w:val="nil"/>
              <w:bottom w:val="nil"/>
              <w:right w:val="nil"/>
            </w:tcBorders>
            <w:vAlign w:val="center"/>
            <w:hideMark/>
          </w:tcPr>
          <w:p w14:paraId="39C27D06"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Sacrifice- Community</w:t>
            </w:r>
          </w:p>
        </w:tc>
        <w:tc>
          <w:tcPr>
            <w:tcW w:w="337" w:type="pct"/>
            <w:tcBorders>
              <w:top w:val="nil"/>
              <w:left w:val="nil"/>
              <w:bottom w:val="nil"/>
              <w:right w:val="nil"/>
            </w:tcBorders>
            <w:vAlign w:val="center"/>
            <w:hideMark/>
          </w:tcPr>
          <w:p w14:paraId="75432BDD"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169</w:t>
            </w:r>
          </w:p>
        </w:tc>
        <w:tc>
          <w:tcPr>
            <w:tcW w:w="432" w:type="pct"/>
            <w:tcBorders>
              <w:top w:val="nil"/>
              <w:left w:val="nil"/>
              <w:bottom w:val="nil"/>
              <w:right w:val="nil"/>
            </w:tcBorders>
            <w:vAlign w:val="center"/>
            <w:hideMark/>
          </w:tcPr>
          <w:p w14:paraId="2CF6B193"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8-25</w:t>
            </w:r>
          </w:p>
        </w:tc>
        <w:tc>
          <w:tcPr>
            <w:tcW w:w="336" w:type="pct"/>
            <w:vAlign w:val="center"/>
          </w:tcPr>
          <w:p w14:paraId="0F072AA6"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.772</w:t>
            </w:r>
          </w:p>
        </w:tc>
        <w:tc>
          <w:tcPr>
            <w:tcW w:w="577" w:type="pct"/>
            <w:tcBorders>
              <w:top w:val="nil"/>
              <w:left w:val="nil"/>
              <w:bottom w:val="nil"/>
              <w:right w:val="nil"/>
            </w:tcBorders>
            <w:vAlign w:val="center"/>
            <w:hideMark/>
          </w:tcPr>
          <w:p w14:paraId="20FBD868"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20.50 (3.60)</w:t>
            </w:r>
          </w:p>
        </w:tc>
        <w:tc>
          <w:tcPr>
            <w:tcW w:w="624" w:type="pct"/>
            <w:tcBorders>
              <w:top w:val="nil"/>
              <w:left w:val="nil"/>
              <w:bottom w:val="nil"/>
              <w:right w:val="nil"/>
            </w:tcBorders>
            <w:vAlign w:val="center"/>
            <w:hideMark/>
          </w:tcPr>
          <w:p w14:paraId="78A9C6CC"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19.71 (3.51)</w:t>
            </w:r>
          </w:p>
        </w:tc>
        <w:tc>
          <w:tcPr>
            <w:tcW w:w="673" w:type="pct"/>
            <w:tcBorders>
              <w:top w:val="nil"/>
              <w:left w:val="nil"/>
              <w:bottom w:val="nil"/>
              <w:right w:val="nil"/>
            </w:tcBorders>
            <w:vAlign w:val="center"/>
            <w:hideMark/>
          </w:tcPr>
          <w:p w14:paraId="243C891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18.62 (3.25)</w:t>
            </w:r>
          </w:p>
        </w:tc>
        <w:tc>
          <w:tcPr>
            <w:tcW w:w="488" w:type="pct"/>
            <w:gridSpan w:val="2"/>
            <w:tcBorders>
              <w:top w:val="nil"/>
              <w:left w:val="nil"/>
              <w:bottom w:val="nil"/>
              <w:right w:val="nil"/>
            </w:tcBorders>
            <w:noWrap/>
            <w:vAlign w:val="bottom"/>
            <w:hideMark/>
          </w:tcPr>
          <w:p w14:paraId="41639F9A"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18.86 (3.22)</w:t>
            </w:r>
          </w:p>
        </w:tc>
        <w:tc>
          <w:tcPr>
            <w:tcW w:w="476" w:type="pct"/>
            <w:tcBorders>
              <w:top w:val="nil"/>
              <w:left w:val="nil"/>
              <w:bottom w:val="nil"/>
              <w:right w:val="nil"/>
            </w:tcBorders>
            <w:vAlign w:val="center"/>
            <w:hideMark/>
          </w:tcPr>
          <w:p w14:paraId="25EEC0E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19.42 (3.40)</w:t>
            </w:r>
          </w:p>
        </w:tc>
      </w:tr>
      <w:tr w:rsidR="000374FE" w:rsidRPr="008D694A" w14:paraId="3D1026CB" w14:textId="77777777" w:rsidTr="000374FE">
        <w:trPr>
          <w:trHeight w:val="290"/>
        </w:trPr>
        <w:tc>
          <w:tcPr>
            <w:tcW w:w="1057" w:type="pct"/>
            <w:tcBorders>
              <w:top w:val="nil"/>
              <w:left w:val="nil"/>
              <w:bottom w:val="nil"/>
              <w:right w:val="nil"/>
            </w:tcBorders>
            <w:vAlign w:val="center"/>
            <w:hideMark/>
          </w:tcPr>
          <w:p w14:paraId="46DBAE2F"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Sacrifice - Organization</w:t>
            </w:r>
          </w:p>
        </w:tc>
        <w:tc>
          <w:tcPr>
            <w:tcW w:w="337" w:type="pct"/>
            <w:tcBorders>
              <w:top w:val="nil"/>
              <w:left w:val="nil"/>
              <w:bottom w:val="nil"/>
              <w:right w:val="nil"/>
            </w:tcBorders>
            <w:vAlign w:val="center"/>
            <w:hideMark/>
          </w:tcPr>
          <w:p w14:paraId="74B6131E"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171</w:t>
            </w:r>
          </w:p>
        </w:tc>
        <w:tc>
          <w:tcPr>
            <w:tcW w:w="432" w:type="pct"/>
            <w:tcBorders>
              <w:top w:val="nil"/>
              <w:left w:val="nil"/>
              <w:bottom w:val="nil"/>
              <w:right w:val="nil"/>
            </w:tcBorders>
            <w:vAlign w:val="center"/>
            <w:hideMark/>
          </w:tcPr>
          <w:p w14:paraId="08086222"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14-50</w:t>
            </w:r>
          </w:p>
        </w:tc>
        <w:tc>
          <w:tcPr>
            <w:tcW w:w="336" w:type="pct"/>
            <w:vAlign w:val="center"/>
          </w:tcPr>
          <w:p w14:paraId="44A96C1F"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.884</w:t>
            </w:r>
          </w:p>
        </w:tc>
        <w:tc>
          <w:tcPr>
            <w:tcW w:w="577" w:type="pct"/>
            <w:tcBorders>
              <w:top w:val="nil"/>
              <w:left w:val="nil"/>
              <w:bottom w:val="nil"/>
              <w:right w:val="nil"/>
            </w:tcBorders>
            <w:vAlign w:val="center"/>
            <w:hideMark/>
          </w:tcPr>
          <w:p w14:paraId="32A5BCD3"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38.60 (6.68)</w:t>
            </w:r>
          </w:p>
        </w:tc>
        <w:tc>
          <w:tcPr>
            <w:tcW w:w="624" w:type="pct"/>
            <w:tcBorders>
              <w:top w:val="nil"/>
              <w:left w:val="nil"/>
              <w:bottom w:val="nil"/>
              <w:right w:val="nil"/>
            </w:tcBorders>
            <w:vAlign w:val="center"/>
            <w:hideMark/>
          </w:tcPr>
          <w:p w14:paraId="1B49C32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36.01 (6.83)</w:t>
            </w:r>
          </w:p>
        </w:tc>
        <w:tc>
          <w:tcPr>
            <w:tcW w:w="673" w:type="pct"/>
            <w:tcBorders>
              <w:top w:val="nil"/>
              <w:left w:val="nil"/>
              <w:bottom w:val="nil"/>
              <w:right w:val="nil"/>
            </w:tcBorders>
            <w:vAlign w:val="center"/>
            <w:hideMark/>
          </w:tcPr>
          <w:p w14:paraId="77D029C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34.75 (8.01)</w:t>
            </w:r>
          </w:p>
        </w:tc>
        <w:tc>
          <w:tcPr>
            <w:tcW w:w="488" w:type="pct"/>
            <w:gridSpan w:val="2"/>
            <w:tcBorders>
              <w:top w:val="nil"/>
              <w:left w:val="nil"/>
              <w:bottom w:val="nil"/>
              <w:right w:val="nil"/>
            </w:tcBorders>
            <w:noWrap/>
            <w:vAlign w:val="bottom"/>
            <w:hideMark/>
          </w:tcPr>
          <w:p w14:paraId="3F467FDD" w14:textId="77777777" w:rsidR="000374FE"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36.34</w:t>
            </w:r>
          </w:p>
          <w:p w14:paraId="07DF67C6" w14:textId="0EA40D44" w:rsidR="001E00D6" w:rsidRPr="008D694A" w:rsidRDefault="000374FE"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w:t>
            </w:r>
            <w:r w:rsidR="001E00D6" w:rsidRPr="008D694A">
              <w:rPr>
                <w:rFonts w:ascii="Times New Roman" w:eastAsia="Times New Roman" w:hAnsi="Times New Roman" w:cs="Times New Roman"/>
                <w:color w:val="000000"/>
                <w:kern w:val="0"/>
                <w14:ligatures w14:val="none"/>
              </w:rPr>
              <w:t>7.68</w:t>
            </w:r>
            <w:r>
              <w:rPr>
                <w:rFonts w:ascii="Times New Roman" w:eastAsia="Times New Roman" w:hAnsi="Times New Roman" w:cs="Times New Roman"/>
                <w:color w:val="000000"/>
                <w:kern w:val="0"/>
                <w14:ligatures w14:val="none"/>
              </w:rPr>
              <w:t>)</w:t>
            </w:r>
          </w:p>
        </w:tc>
        <w:tc>
          <w:tcPr>
            <w:tcW w:w="476" w:type="pct"/>
            <w:tcBorders>
              <w:top w:val="nil"/>
              <w:left w:val="nil"/>
              <w:bottom w:val="nil"/>
              <w:right w:val="nil"/>
            </w:tcBorders>
            <w:vAlign w:val="center"/>
            <w:hideMark/>
          </w:tcPr>
          <w:p w14:paraId="209CDE7D"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36.42 (7.30)</w:t>
            </w:r>
          </w:p>
        </w:tc>
      </w:tr>
      <w:tr w:rsidR="000374FE" w:rsidRPr="008D694A" w14:paraId="776844C7" w14:textId="77777777" w:rsidTr="000374FE">
        <w:trPr>
          <w:trHeight w:val="290"/>
        </w:trPr>
        <w:tc>
          <w:tcPr>
            <w:tcW w:w="1057" w:type="pct"/>
            <w:tcBorders>
              <w:top w:val="nil"/>
              <w:left w:val="nil"/>
              <w:bottom w:val="nil"/>
              <w:right w:val="nil"/>
            </w:tcBorders>
            <w:vAlign w:val="center"/>
            <w:hideMark/>
          </w:tcPr>
          <w:p w14:paraId="2FAD1B3B"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Employee Engagement</w:t>
            </w:r>
          </w:p>
        </w:tc>
        <w:tc>
          <w:tcPr>
            <w:tcW w:w="337" w:type="pct"/>
            <w:tcBorders>
              <w:top w:val="nil"/>
              <w:left w:val="nil"/>
              <w:bottom w:val="nil"/>
              <w:right w:val="nil"/>
            </w:tcBorders>
            <w:vAlign w:val="center"/>
            <w:hideMark/>
          </w:tcPr>
          <w:p w14:paraId="1EFA65FA"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165</w:t>
            </w:r>
          </w:p>
        </w:tc>
        <w:tc>
          <w:tcPr>
            <w:tcW w:w="432" w:type="pct"/>
            <w:tcBorders>
              <w:top w:val="nil"/>
              <w:left w:val="nil"/>
              <w:bottom w:val="nil"/>
              <w:right w:val="nil"/>
            </w:tcBorders>
            <w:vAlign w:val="center"/>
            <w:hideMark/>
          </w:tcPr>
          <w:p w14:paraId="0726DC80"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37-85</w:t>
            </w:r>
          </w:p>
        </w:tc>
        <w:tc>
          <w:tcPr>
            <w:tcW w:w="336" w:type="pct"/>
            <w:vAlign w:val="center"/>
          </w:tcPr>
          <w:p w14:paraId="78E5C23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.956</w:t>
            </w:r>
          </w:p>
        </w:tc>
        <w:tc>
          <w:tcPr>
            <w:tcW w:w="577" w:type="pct"/>
            <w:tcBorders>
              <w:top w:val="nil"/>
              <w:left w:val="nil"/>
              <w:bottom w:val="nil"/>
              <w:right w:val="nil"/>
            </w:tcBorders>
            <w:vAlign w:val="center"/>
            <w:hideMark/>
          </w:tcPr>
          <w:p w14:paraId="215875CC"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71.90 (9.13)</w:t>
            </w:r>
          </w:p>
        </w:tc>
        <w:tc>
          <w:tcPr>
            <w:tcW w:w="624" w:type="pct"/>
            <w:tcBorders>
              <w:top w:val="nil"/>
              <w:left w:val="nil"/>
              <w:bottom w:val="nil"/>
              <w:right w:val="nil"/>
            </w:tcBorders>
            <w:vAlign w:val="center"/>
            <w:hideMark/>
          </w:tcPr>
          <w:p w14:paraId="59ABE767"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72.97 (9.55)</w:t>
            </w:r>
          </w:p>
        </w:tc>
        <w:tc>
          <w:tcPr>
            <w:tcW w:w="673" w:type="pct"/>
            <w:tcBorders>
              <w:top w:val="nil"/>
              <w:left w:val="nil"/>
              <w:bottom w:val="nil"/>
              <w:right w:val="nil"/>
            </w:tcBorders>
            <w:vAlign w:val="center"/>
            <w:hideMark/>
          </w:tcPr>
          <w:p w14:paraId="32D9418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71.90 (9.13)</w:t>
            </w:r>
          </w:p>
        </w:tc>
        <w:tc>
          <w:tcPr>
            <w:tcW w:w="488" w:type="pct"/>
            <w:gridSpan w:val="2"/>
            <w:tcBorders>
              <w:top w:val="nil"/>
              <w:left w:val="nil"/>
              <w:bottom w:val="nil"/>
              <w:right w:val="nil"/>
            </w:tcBorders>
            <w:noWrap/>
            <w:vAlign w:val="bottom"/>
            <w:hideMark/>
          </w:tcPr>
          <w:p w14:paraId="53B362C2"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69.10 (10.84)</w:t>
            </w:r>
          </w:p>
        </w:tc>
        <w:tc>
          <w:tcPr>
            <w:tcW w:w="476" w:type="pct"/>
            <w:tcBorders>
              <w:top w:val="nil"/>
              <w:left w:val="nil"/>
              <w:bottom w:val="nil"/>
              <w:right w:val="nil"/>
            </w:tcBorders>
            <w:vAlign w:val="center"/>
            <w:hideMark/>
          </w:tcPr>
          <w:p w14:paraId="23E08558"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71.47 (9.66)</w:t>
            </w:r>
          </w:p>
        </w:tc>
      </w:tr>
      <w:tr w:rsidR="000374FE" w:rsidRPr="008D694A" w14:paraId="1F6F01AC" w14:textId="77777777" w:rsidTr="000374FE">
        <w:trPr>
          <w:trHeight w:val="290"/>
        </w:trPr>
        <w:tc>
          <w:tcPr>
            <w:tcW w:w="1057" w:type="pct"/>
            <w:tcBorders>
              <w:top w:val="nil"/>
              <w:left w:val="nil"/>
              <w:bottom w:val="single" w:sz="4" w:space="0" w:color="auto"/>
              <w:right w:val="nil"/>
            </w:tcBorders>
            <w:vAlign w:val="center"/>
            <w:hideMark/>
          </w:tcPr>
          <w:p w14:paraId="76236EE4" w14:textId="77777777" w:rsidR="001E00D6" w:rsidRPr="008D694A" w:rsidRDefault="001E00D6" w:rsidP="00F31B4C">
            <w:pPr>
              <w:widowControl w:val="0"/>
              <w:spacing w:after="0" w:line="240" w:lineRule="auto"/>
              <w:ind w:left="75" w:hanging="75"/>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Intent to Stay</w:t>
            </w:r>
          </w:p>
        </w:tc>
        <w:tc>
          <w:tcPr>
            <w:tcW w:w="337" w:type="pct"/>
            <w:tcBorders>
              <w:top w:val="nil"/>
              <w:left w:val="nil"/>
              <w:bottom w:val="single" w:sz="4" w:space="0" w:color="auto"/>
              <w:right w:val="nil"/>
            </w:tcBorders>
            <w:vAlign w:val="center"/>
            <w:hideMark/>
          </w:tcPr>
          <w:p w14:paraId="4862108C"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167</w:t>
            </w:r>
          </w:p>
        </w:tc>
        <w:tc>
          <w:tcPr>
            <w:tcW w:w="432" w:type="pct"/>
            <w:tcBorders>
              <w:top w:val="nil"/>
              <w:left w:val="nil"/>
              <w:bottom w:val="single" w:sz="4" w:space="0" w:color="auto"/>
              <w:right w:val="nil"/>
            </w:tcBorders>
            <w:vAlign w:val="center"/>
            <w:hideMark/>
          </w:tcPr>
          <w:p w14:paraId="75219E1A"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14-50</w:t>
            </w:r>
          </w:p>
        </w:tc>
        <w:tc>
          <w:tcPr>
            <w:tcW w:w="336" w:type="pct"/>
            <w:tcBorders>
              <w:top w:val="nil"/>
              <w:left w:val="nil"/>
              <w:bottom w:val="single" w:sz="4" w:space="0" w:color="auto"/>
              <w:right w:val="nil"/>
            </w:tcBorders>
            <w:vAlign w:val="center"/>
          </w:tcPr>
          <w:p w14:paraId="25BB4415"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.911</w:t>
            </w:r>
          </w:p>
        </w:tc>
        <w:tc>
          <w:tcPr>
            <w:tcW w:w="577" w:type="pct"/>
            <w:tcBorders>
              <w:top w:val="nil"/>
              <w:left w:val="nil"/>
              <w:bottom w:val="single" w:sz="4" w:space="0" w:color="auto"/>
              <w:right w:val="nil"/>
            </w:tcBorders>
            <w:noWrap/>
            <w:vAlign w:val="bottom"/>
            <w:hideMark/>
          </w:tcPr>
          <w:p w14:paraId="1C2F9E31"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33.81 (7.85)</w:t>
            </w:r>
          </w:p>
        </w:tc>
        <w:tc>
          <w:tcPr>
            <w:tcW w:w="624" w:type="pct"/>
            <w:tcBorders>
              <w:top w:val="nil"/>
              <w:left w:val="nil"/>
              <w:bottom w:val="single" w:sz="4" w:space="0" w:color="auto"/>
              <w:right w:val="nil"/>
            </w:tcBorders>
            <w:vAlign w:val="center"/>
            <w:hideMark/>
          </w:tcPr>
          <w:p w14:paraId="69D478FE"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33.42 (8.64)</w:t>
            </w:r>
          </w:p>
        </w:tc>
        <w:tc>
          <w:tcPr>
            <w:tcW w:w="673" w:type="pct"/>
            <w:tcBorders>
              <w:top w:val="nil"/>
              <w:left w:val="nil"/>
              <w:bottom w:val="single" w:sz="4" w:space="0" w:color="auto"/>
              <w:right w:val="nil"/>
            </w:tcBorders>
            <w:vAlign w:val="center"/>
            <w:hideMark/>
          </w:tcPr>
          <w:p w14:paraId="17329526"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33.81 (7.85)</w:t>
            </w:r>
          </w:p>
        </w:tc>
        <w:tc>
          <w:tcPr>
            <w:tcW w:w="483" w:type="pct"/>
            <w:tcBorders>
              <w:top w:val="nil"/>
              <w:left w:val="nil"/>
              <w:bottom w:val="single" w:sz="4" w:space="0" w:color="auto"/>
              <w:right w:val="nil"/>
            </w:tcBorders>
            <w:vAlign w:val="center"/>
            <w:hideMark/>
          </w:tcPr>
          <w:p w14:paraId="0A90835D"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32.67 (9.74)</w:t>
            </w:r>
          </w:p>
        </w:tc>
        <w:tc>
          <w:tcPr>
            <w:tcW w:w="481" w:type="pct"/>
            <w:gridSpan w:val="2"/>
            <w:tcBorders>
              <w:top w:val="nil"/>
              <w:left w:val="nil"/>
              <w:bottom w:val="single" w:sz="4" w:space="0" w:color="auto"/>
              <w:right w:val="nil"/>
            </w:tcBorders>
            <w:vAlign w:val="center"/>
            <w:hideMark/>
          </w:tcPr>
          <w:p w14:paraId="650C2EDF" w14:textId="77777777" w:rsidR="001E00D6" w:rsidRPr="008D694A" w:rsidRDefault="001E00D6" w:rsidP="00F31B4C">
            <w:pPr>
              <w:widowControl w:val="0"/>
              <w:spacing w:after="0" w:line="240" w:lineRule="auto"/>
              <w:jc w:val="center"/>
              <w:rPr>
                <w:rFonts w:ascii="Times New Roman" w:eastAsia="Times New Roman" w:hAnsi="Times New Roman" w:cs="Times New Roman"/>
                <w:color w:val="000000"/>
                <w:kern w:val="0"/>
                <w14:ligatures w14:val="none"/>
              </w:rPr>
            </w:pPr>
            <w:r w:rsidRPr="008D694A">
              <w:rPr>
                <w:rFonts w:ascii="Times New Roman" w:eastAsia="Times New Roman" w:hAnsi="Times New Roman" w:cs="Times New Roman"/>
                <w:color w:val="000000"/>
                <w:kern w:val="0"/>
                <w14:ligatures w14:val="none"/>
              </w:rPr>
              <w:t>33.43 (8.52)</w:t>
            </w:r>
          </w:p>
        </w:tc>
      </w:tr>
    </w:tbl>
    <w:p w14:paraId="009FE31A" w14:textId="77777777" w:rsidR="001E00D6" w:rsidRDefault="001E00D6" w:rsidP="00F31B4C">
      <w:pPr>
        <w:widowControl w:val="0"/>
        <w:spacing w:after="0" w:line="240" w:lineRule="auto"/>
      </w:pPr>
    </w:p>
    <w:p w14:paraId="4F762BDC" w14:textId="37E6688F" w:rsidR="00DF60CA" w:rsidRPr="00965597" w:rsidRDefault="001E00D6" w:rsidP="00F31B4C">
      <w:pPr>
        <w:pStyle w:val="Style2"/>
        <w:widowControl w:val="0"/>
        <w:spacing w:line="240" w:lineRule="auto"/>
        <w:sectPr w:rsidR="00DF60CA" w:rsidRPr="00965597" w:rsidSect="00E51252">
          <w:headerReference w:type="default" r:id="rId8"/>
          <w:pgSz w:w="12240" w:h="15840" w:code="1"/>
          <w:pgMar w:top="1440" w:right="1440" w:bottom="1440" w:left="1440" w:header="720" w:footer="720" w:gutter="0"/>
          <w:pgNumType w:start="1"/>
          <w:cols w:space="720"/>
          <w:titlePg/>
          <w:docGrid w:linePitch="360"/>
        </w:sectPr>
      </w:pPr>
      <w:r w:rsidRPr="00E51252">
        <w:rPr>
          <w:b w:val="0"/>
          <w:bCs w:val="0"/>
        </w:rPr>
        <w:t xml:space="preserve">To address Objective 3, correlation analyses were conducted to examine the relationships between demographic variables (age, years of employment), job embeddedness dimensions, job satisfaction (JS), employee engagement (EES), and intent to stay (ITS) among selected </w:t>
      </w:r>
      <w:r w:rsidR="00945A21">
        <w:rPr>
          <w:b w:val="0"/>
          <w:bCs w:val="0"/>
        </w:rPr>
        <w:t>Arkansas</w:t>
      </w:r>
      <w:r w:rsidRPr="00E51252">
        <w:rPr>
          <w:b w:val="0"/>
          <w:bCs w:val="0"/>
        </w:rPr>
        <w:t xml:space="preserve"> CES </w:t>
      </w:r>
      <w:r w:rsidR="00716B42" w:rsidRPr="00E51252">
        <w:rPr>
          <w:b w:val="0"/>
          <w:bCs w:val="0"/>
        </w:rPr>
        <w:t>employees.</w:t>
      </w:r>
      <w:r w:rsidR="00407480" w:rsidRPr="00E51252">
        <w:rPr>
          <w:b w:val="0"/>
          <w:bCs w:val="0"/>
        </w:rPr>
        <w:t xml:space="preserve"> S</w:t>
      </w:r>
      <w:r w:rsidR="00916B0E">
        <w:rPr>
          <w:b w:val="0"/>
          <w:bCs w:val="0"/>
        </w:rPr>
        <w:t>even</w:t>
      </w:r>
      <w:r w:rsidR="00407480" w:rsidRPr="00E51252">
        <w:rPr>
          <w:b w:val="0"/>
          <w:bCs w:val="0"/>
        </w:rPr>
        <w:t xml:space="preserve"> constructs were significantly (</w:t>
      </w:r>
      <w:r w:rsidR="00407480" w:rsidRPr="00E51252">
        <w:rPr>
          <w:b w:val="0"/>
          <w:bCs w:val="0"/>
          <w:i/>
          <w:iCs/>
        </w:rPr>
        <w:t>p</w:t>
      </w:r>
      <w:r w:rsidR="00407480" w:rsidRPr="00E51252">
        <w:rPr>
          <w:b w:val="0"/>
          <w:bCs w:val="0"/>
        </w:rPr>
        <w:t xml:space="preserve"> &lt; .05) correlated with intent to stay</w:t>
      </w:r>
      <w:r w:rsidR="00AC078A" w:rsidRPr="00E51252">
        <w:rPr>
          <w:b w:val="0"/>
          <w:bCs w:val="0"/>
        </w:rPr>
        <w:t xml:space="preserve"> </w:t>
      </w:r>
      <w:r w:rsidR="00654916">
        <w:rPr>
          <w:b w:val="0"/>
          <w:bCs w:val="0"/>
        </w:rPr>
        <w:t>(</w:t>
      </w:r>
      <w:r w:rsidR="00AC078A" w:rsidRPr="00E51252">
        <w:rPr>
          <w:b w:val="0"/>
          <w:bCs w:val="0"/>
        </w:rPr>
        <w:t xml:space="preserve">Table </w:t>
      </w:r>
      <w:r w:rsidR="008072BB">
        <w:rPr>
          <w:b w:val="0"/>
          <w:bCs w:val="0"/>
        </w:rPr>
        <w:t>3</w:t>
      </w:r>
      <w:r w:rsidR="00AC078A" w:rsidRPr="00E51252">
        <w:rPr>
          <w:b w:val="0"/>
          <w:bCs w:val="0"/>
        </w:rPr>
        <w:t>)</w:t>
      </w:r>
      <w:r w:rsidR="00407480" w:rsidRPr="00E51252">
        <w:rPr>
          <w:b w:val="0"/>
          <w:bCs w:val="0"/>
        </w:rPr>
        <w:t xml:space="preserve">, with associations </w:t>
      </w:r>
      <w:r w:rsidR="00654916" w:rsidRPr="003C56D0">
        <w:rPr>
          <w:b w:val="0"/>
          <w:bCs w:val="0"/>
        </w:rPr>
        <w:t>(Akoglu, 2018).</w:t>
      </w:r>
      <w:r w:rsidR="00AC078A" w:rsidRPr="00E51252">
        <w:rPr>
          <w:b w:val="0"/>
          <w:bCs w:val="0"/>
        </w:rPr>
        <w:t xml:space="preserve"> </w:t>
      </w:r>
      <w:r w:rsidR="00407480" w:rsidRPr="00E51252">
        <w:rPr>
          <w:b w:val="0"/>
          <w:bCs w:val="0"/>
        </w:rPr>
        <w:t xml:space="preserve">ranging from low (Sacrifice-Community, </w:t>
      </w:r>
      <w:r w:rsidR="00407480" w:rsidRPr="00E51252">
        <w:rPr>
          <w:b w:val="0"/>
          <w:bCs w:val="0"/>
          <w:i/>
          <w:iCs/>
        </w:rPr>
        <w:t>r</w:t>
      </w:r>
      <w:r w:rsidR="00407480" w:rsidRPr="00E51252">
        <w:rPr>
          <w:b w:val="0"/>
          <w:bCs w:val="0"/>
        </w:rPr>
        <w:t xml:space="preserve"> = .16) to </w:t>
      </w:r>
      <w:r w:rsidR="00AC078A" w:rsidRPr="00E51252">
        <w:rPr>
          <w:b w:val="0"/>
          <w:bCs w:val="0"/>
        </w:rPr>
        <w:t xml:space="preserve">very strong (Sacrifice-Organization, </w:t>
      </w:r>
      <w:r w:rsidR="00AC078A" w:rsidRPr="00E51252">
        <w:rPr>
          <w:b w:val="0"/>
          <w:bCs w:val="0"/>
          <w:i/>
          <w:iCs/>
        </w:rPr>
        <w:t xml:space="preserve">r </w:t>
      </w:r>
      <w:r w:rsidR="00AC078A" w:rsidRPr="00E51252">
        <w:rPr>
          <w:b w:val="0"/>
          <w:bCs w:val="0"/>
        </w:rPr>
        <w:t xml:space="preserve">= .72). Intercorrelations between potential predictor variables ranged from negligible to very </w:t>
      </w:r>
      <w:r w:rsidR="00716B42" w:rsidRPr="00E51252">
        <w:rPr>
          <w:b w:val="0"/>
          <w:bCs w:val="0"/>
        </w:rPr>
        <w:t>strong</w:t>
      </w:r>
      <w:r w:rsidR="00716B42">
        <w:rPr>
          <w:b w:val="0"/>
          <w:bCs w:val="0"/>
        </w:rPr>
        <w:t>.</w:t>
      </w:r>
      <w:r w:rsidR="00AC078A" w:rsidRPr="00E51252">
        <w:rPr>
          <w:b w:val="0"/>
          <w:bCs w:val="0"/>
        </w:rPr>
        <w:t xml:space="preserve"> </w:t>
      </w:r>
    </w:p>
    <w:p w14:paraId="037D7975" w14:textId="77777777" w:rsidR="001E00D6" w:rsidRPr="0038684D" w:rsidRDefault="001E00D6" w:rsidP="00F31B4C">
      <w:pPr>
        <w:pStyle w:val="table1"/>
        <w:widowControl w:val="0"/>
        <w:spacing w:line="240" w:lineRule="auto"/>
        <w:rPr>
          <w:sz w:val="24"/>
          <w:szCs w:val="24"/>
        </w:rPr>
      </w:pPr>
      <w:bookmarkStart w:id="20" w:name="_Hlk212723820"/>
      <w:r w:rsidRPr="0038684D">
        <w:rPr>
          <w:sz w:val="24"/>
          <w:szCs w:val="24"/>
        </w:rPr>
        <w:lastRenderedPageBreak/>
        <w:t>Table 3</w:t>
      </w:r>
    </w:p>
    <w:p w14:paraId="7FA92B82" w14:textId="77777777" w:rsidR="001E00D6" w:rsidRPr="00DA0BF2" w:rsidRDefault="001E00D6" w:rsidP="00F31B4C">
      <w:pPr>
        <w:widowControl w:val="0"/>
        <w:spacing w:line="240" w:lineRule="auto"/>
        <w:rPr>
          <w:rFonts w:ascii="Aptos" w:eastAsia="Aptos" w:hAnsi="Aptos" w:cs="Times New Roman"/>
          <w:sz w:val="24"/>
          <w:szCs w:val="24"/>
        </w:rPr>
      </w:pPr>
      <w:r>
        <w:rPr>
          <w:rFonts w:ascii="Times New Roman" w:hAnsi="Times New Roman" w:cs="Times New Roman"/>
          <w:i/>
          <w:iCs/>
          <w:sz w:val="24"/>
          <w:szCs w:val="24"/>
        </w:rPr>
        <w:t>Inter-c</w:t>
      </w:r>
      <w:r w:rsidRPr="0038684D">
        <w:rPr>
          <w:rFonts w:ascii="Times New Roman" w:hAnsi="Times New Roman" w:cs="Times New Roman"/>
          <w:i/>
          <w:iCs/>
          <w:sz w:val="24"/>
          <w:szCs w:val="24"/>
        </w:rPr>
        <w:t>orrelations between Variables</w:t>
      </w:r>
      <w:bookmarkEnd w:id="20"/>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8"/>
        <w:gridCol w:w="890"/>
        <w:gridCol w:w="802"/>
        <w:gridCol w:w="895"/>
        <w:gridCol w:w="807"/>
        <w:gridCol w:w="629"/>
        <w:gridCol w:w="895"/>
        <w:gridCol w:w="666"/>
        <w:gridCol w:w="807"/>
        <w:gridCol w:w="719"/>
        <w:gridCol w:w="807"/>
        <w:gridCol w:w="666"/>
        <w:gridCol w:w="807"/>
        <w:gridCol w:w="807"/>
      </w:tblGrid>
      <w:tr w:rsidR="001E00D6" w:rsidRPr="00DA0BF2" w14:paraId="0687107D" w14:textId="77777777" w:rsidTr="0038684D">
        <w:tc>
          <w:tcPr>
            <w:tcW w:w="1868" w:type="dxa"/>
            <w:tcBorders>
              <w:top w:val="single" w:sz="4" w:space="0" w:color="auto"/>
              <w:bottom w:val="single" w:sz="4" w:space="0" w:color="auto"/>
            </w:tcBorders>
          </w:tcPr>
          <w:p w14:paraId="17F7084D" w14:textId="77777777" w:rsidR="001E00D6" w:rsidRPr="00DA0BF2" w:rsidRDefault="001E00D6" w:rsidP="00F31B4C">
            <w:pPr>
              <w:widowControl w:val="0"/>
              <w:spacing w:line="480" w:lineRule="auto"/>
              <w:rPr>
                <w:rFonts w:ascii="Times New Roman" w:eastAsia="Aptos" w:hAnsi="Times New Roman" w:cs="Times New Roman"/>
                <w:sz w:val="20"/>
                <w:szCs w:val="20"/>
              </w:rPr>
            </w:pPr>
            <w:bookmarkStart w:id="21" w:name="_Hlk212741353"/>
            <w:r w:rsidRPr="00DA0BF2">
              <w:rPr>
                <w:rFonts w:ascii="Times New Roman" w:eastAsia="Aptos" w:hAnsi="Times New Roman" w:cs="Times New Roman"/>
                <w:sz w:val="20"/>
                <w:szCs w:val="20"/>
              </w:rPr>
              <w:t>Variable</w:t>
            </w:r>
          </w:p>
        </w:tc>
        <w:tc>
          <w:tcPr>
            <w:tcW w:w="890" w:type="dxa"/>
            <w:tcBorders>
              <w:top w:val="single" w:sz="4" w:space="0" w:color="auto"/>
              <w:bottom w:val="single" w:sz="4" w:space="0" w:color="auto"/>
            </w:tcBorders>
          </w:tcPr>
          <w:p w14:paraId="7B061F00"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X1</w:t>
            </w:r>
          </w:p>
        </w:tc>
        <w:tc>
          <w:tcPr>
            <w:tcW w:w="802" w:type="dxa"/>
            <w:tcBorders>
              <w:top w:val="single" w:sz="4" w:space="0" w:color="auto"/>
              <w:bottom w:val="single" w:sz="4" w:space="0" w:color="auto"/>
            </w:tcBorders>
          </w:tcPr>
          <w:p w14:paraId="34E0499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X2</w:t>
            </w:r>
          </w:p>
        </w:tc>
        <w:tc>
          <w:tcPr>
            <w:tcW w:w="895" w:type="dxa"/>
            <w:tcBorders>
              <w:top w:val="single" w:sz="4" w:space="0" w:color="auto"/>
              <w:bottom w:val="single" w:sz="4" w:space="0" w:color="auto"/>
            </w:tcBorders>
          </w:tcPr>
          <w:p w14:paraId="1B73489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w:t>
            </w:r>
            <w:r>
              <w:rPr>
                <w:rFonts w:ascii="Times New Roman" w:eastAsia="Aptos" w:hAnsi="Times New Roman" w:cs="Times New Roman"/>
                <w:sz w:val="20"/>
                <w:szCs w:val="20"/>
              </w:rPr>
              <w:t>3</w:t>
            </w:r>
          </w:p>
        </w:tc>
        <w:tc>
          <w:tcPr>
            <w:tcW w:w="807" w:type="dxa"/>
            <w:tcBorders>
              <w:top w:val="single" w:sz="4" w:space="0" w:color="auto"/>
              <w:bottom w:val="single" w:sz="4" w:space="0" w:color="auto"/>
            </w:tcBorders>
          </w:tcPr>
          <w:p w14:paraId="30B3DD6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w:t>
            </w:r>
            <w:r>
              <w:rPr>
                <w:rFonts w:ascii="Times New Roman" w:eastAsia="Aptos" w:hAnsi="Times New Roman" w:cs="Times New Roman"/>
                <w:sz w:val="20"/>
                <w:szCs w:val="20"/>
              </w:rPr>
              <w:t>4</w:t>
            </w:r>
          </w:p>
        </w:tc>
        <w:tc>
          <w:tcPr>
            <w:tcW w:w="629" w:type="dxa"/>
            <w:tcBorders>
              <w:top w:val="single" w:sz="4" w:space="0" w:color="auto"/>
              <w:bottom w:val="single" w:sz="4" w:space="0" w:color="auto"/>
            </w:tcBorders>
          </w:tcPr>
          <w:p w14:paraId="7F41CCD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w:t>
            </w:r>
            <w:r>
              <w:rPr>
                <w:rFonts w:ascii="Times New Roman" w:eastAsia="Aptos" w:hAnsi="Times New Roman" w:cs="Times New Roman"/>
                <w:sz w:val="20"/>
                <w:szCs w:val="20"/>
              </w:rPr>
              <w:t>5</w:t>
            </w:r>
          </w:p>
        </w:tc>
        <w:tc>
          <w:tcPr>
            <w:tcW w:w="895" w:type="dxa"/>
            <w:tcBorders>
              <w:top w:val="single" w:sz="4" w:space="0" w:color="auto"/>
              <w:bottom w:val="single" w:sz="4" w:space="0" w:color="auto"/>
            </w:tcBorders>
          </w:tcPr>
          <w:p w14:paraId="1A5C9A8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w:t>
            </w:r>
            <w:r>
              <w:rPr>
                <w:rFonts w:ascii="Times New Roman" w:eastAsia="Aptos" w:hAnsi="Times New Roman" w:cs="Times New Roman"/>
                <w:sz w:val="20"/>
                <w:szCs w:val="20"/>
              </w:rPr>
              <w:t>6</w:t>
            </w:r>
          </w:p>
        </w:tc>
        <w:tc>
          <w:tcPr>
            <w:tcW w:w="666" w:type="dxa"/>
            <w:tcBorders>
              <w:top w:val="single" w:sz="4" w:space="0" w:color="auto"/>
              <w:bottom w:val="single" w:sz="4" w:space="0" w:color="auto"/>
            </w:tcBorders>
          </w:tcPr>
          <w:p w14:paraId="6DA0933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w:t>
            </w:r>
            <w:r>
              <w:rPr>
                <w:rFonts w:ascii="Times New Roman" w:eastAsia="Aptos" w:hAnsi="Times New Roman" w:cs="Times New Roman"/>
                <w:sz w:val="20"/>
                <w:szCs w:val="20"/>
              </w:rPr>
              <w:t>7</w:t>
            </w:r>
          </w:p>
        </w:tc>
        <w:tc>
          <w:tcPr>
            <w:tcW w:w="807" w:type="dxa"/>
            <w:tcBorders>
              <w:top w:val="single" w:sz="4" w:space="0" w:color="auto"/>
              <w:bottom w:val="single" w:sz="4" w:space="0" w:color="auto"/>
            </w:tcBorders>
          </w:tcPr>
          <w:p w14:paraId="443BA574"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w:t>
            </w:r>
            <w:r>
              <w:rPr>
                <w:rFonts w:ascii="Times New Roman" w:eastAsia="Aptos" w:hAnsi="Times New Roman" w:cs="Times New Roman"/>
                <w:sz w:val="20"/>
                <w:szCs w:val="20"/>
              </w:rPr>
              <w:t>8</w:t>
            </w:r>
          </w:p>
        </w:tc>
        <w:tc>
          <w:tcPr>
            <w:tcW w:w="719" w:type="dxa"/>
            <w:tcBorders>
              <w:top w:val="single" w:sz="4" w:space="0" w:color="auto"/>
              <w:bottom w:val="single" w:sz="4" w:space="0" w:color="auto"/>
            </w:tcBorders>
          </w:tcPr>
          <w:p w14:paraId="3F47274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w:t>
            </w:r>
            <w:r>
              <w:rPr>
                <w:rFonts w:ascii="Times New Roman" w:eastAsia="Aptos" w:hAnsi="Times New Roman" w:cs="Times New Roman"/>
                <w:sz w:val="20"/>
                <w:szCs w:val="20"/>
              </w:rPr>
              <w:t>9</w:t>
            </w:r>
          </w:p>
        </w:tc>
        <w:tc>
          <w:tcPr>
            <w:tcW w:w="807" w:type="dxa"/>
            <w:tcBorders>
              <w:top w:val="single" w:sz="4" w:space="0" w:color="auto"/>
              <w:bottom w:val="single" w:sz="4" w:space="0" w:color="auto"/>
            </w:tcBorders>
          </w:tcPr>
          <w:p w14:paraId="27BAF4B0"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X1</w:t>
            </w:r>
            <w:r>
              <w:rPr>
                <w:rFonts w:ascii="Times New Roman" w:eastAsia="Aptos" w:hAnsi="Times New Roman" w:cs="Times New Roman"/>
                <w:sz w:val="20"/>
                <w:szCs w:val="20"/>
              </w:rPr>
              <w:t>0</w:t>
            </w:r>
          </w:p>
        </w:tc>
        <w:tc>
          <w:tcPr>
            <w:tcW w:w="666" w:type="dxa"/>
            <w:tcBorders>
              <w:top w:val="single" w:sz="4" w:space="0" w:color="auto"/>
              <w:bottom w:val="single" w:sz="4" w:space="0" w:color="auto"/>
            </w:tcBorders>
          </w:tcPr>
          <w:p w14:paraId="4A49BD4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X1</w:t>
            </w:r>
            <w:r>
              <w:rPr>
                <w:rFonts w:ascii="Times New Roman" w:eastAsia="Aptos" w:hAnsi="Times New Roman" w:cs="Times New Roman"/>
                <w:sz w:val="20"/>
                <w:szCs w:val="20"/>
              </w:rPr>
              <w:t>1</w:t>
            </w:r>
          </w:p>
        </w:tc>
        <w:tc>
          <w:tcPr>
            <w:tcW w:w="807" w:type="dxa"/>
            <w:tcBorders>
              <w:top w:val="single" w:sz="4" w:space="0" w:color="auto"/>
              <w:bottom w:val="single" w:sz="4" w:space="0" w:color="auto"/>
            </w:tcBorders>
          </w:tcPr>
          <w:p w14:paraId="09EE651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X1</w:t>
            </w:r>
            <w:r>
              <w:rPr>
                <w:rFonts w:ascii="Times New Roman" w:eastAsia="Aptos" w:hAnsi="Times New Roman" w:cs="Times New Roman"/>
                <w:sz w:val="20"/>
                <w:szCs w:val="20"/>
              </w:rPr>
              <w:t>2</w:t>
            </w:r>
          </w:p>
        </w:tc>
        <w:tc>
          <w:tcPr>
            <w:tcW w:w="807" w:type="dxa"/>
            <w:tcBorders>
              <w:top w:val="single" w:sz="4" w:space="0" w:color="auto"/>
              <w:bottom w:val="single" w:sz="4" w:space="0" w:color="auto"/>
            </w:tcBorders>
          </w:tcPr>
          <w:p w14:paraId="19A9149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X1</w:t>
            </w:r>
            <w:r>
              <w:rPr>
                <w:rFonts w:ascii="Times New Roman" w:eastAsia="Aptos" w:hAnsi="Times New Roman" w:cs="Times New Roman"/>
                <w:sz w:val="20"/>
                <w:szCs w:val="20"/>
              </w:rPr>
              <w:t>3</w:t>
            </w:r>
          </w:p>
        </w:tc>
      </w:tr>
      <w:tr w:rsidR="001E00D6" w:rsidRPr="00DA0BF2" w14:paraId="27E9D493" w14:textId="77777777" w:rsidTr="0038684D">
        <w:tc>
          <w:tcPr>
            <w:tcW w:w="1868" w:type="dxa"/>
            <w:tcBorders>
              <w:top w:val="single" w:sz="4" w:space="0" w:color="auto"/>
            </w:tcBorders>
          </w:tcPr>
          <w:p w14:paraId="06905106" w14:textId="77777777" w:rsidR="001E00D6" w:rsidRPr="00DA0BF2" w:rsidRDefault="001E00D6" w:rsidP="00F31B4C">
            <w:pPr>
              <w:widowControl w:val="0"/>
              <w:spacing w:line="480" w:lineRule="auto"/>
              <w:rPr>
                <w:rFonts w:ascii="Times New Roman" w:eastAsia="Aptos" w:hAnsi="Times New Roman" w:cs="Times New Roman"/>
                <w:sz w:val="18"/>
                <w:szCs w:val="18"/>
              </w:rPr>
            </w:pPr>
            <w:r w:rsidRPr="00DA0BF2">
              <w:rPr>
                <w:rFonts w:ascii="Times New Roman" w:eastAsia="Aptos" w:hAnsi="Times New Roman" w:cs="Times New Roman"/>
                <w:sz w:val="18"/>
                <w:szCs w:val="18"/>
              </w:rPr>
              <w:t>Age (X1)</w:t>
            </w:r>
          </w:p>
        </w:tc>
        <w:tc>
          <w:tcPr>
            <w:tcW w:w="890" w:type="dxa"/>
            <w:tcBorders>
              <w:top w:val="single" w:sz="4" w:space="0" w:color="auto"/>
            </w:tcBorders>
          </w:tcPr>
          <w:p w14:paraId="6980FCD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02" w:type="dxa"/>
            <w:tcBorders>
              <w:top w:val="single" w:sz="4" w:space="0" w:color="auto"/>
            </w:tcBorders>
          </w:tcPr>
          <w:p w14:paraId="14709DA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-.02</w:t>
            </w:r>
          </w:p>
        </w:tc>
        <w:tc>
          <w:tcPr>
            <w:tcW w:w="895" w:type="dxa"/>
            <w:tcBorders>
              <w:top w:val="single" w:sz="4" w:space="0" w:color="auto"/>
            </w:tcBorders>
          </w:tcPr>
          <w:p w14:paraId="3F5C9F1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.44**</w:t>
            </w:r>
          </w:p>
        </w:tc>
        <w:tc>
          <w:tcPr>
            <w:tcW w:w="807" w:type="dxa"/>
            <w:tcBorders>
              <w:top w:val="single" w:sz="4" w:space="0" w:color="auto"/>
            </w:tcBorders>
          </w:tcPr>
          <w:p w14:paraId="5F50925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.17*</w:t>
            </w:r>
          </w:p>
        </w:tc>
        <w:tc>
          <w:tcPr>
            <w:tcW w:w="629" w:type="dxa"/>
            <w:tcBorders>
              <w:top w:val="single" w:sz="4" w:space="0" w:color="auto"/>
            </w:tcBorders>
          </w:tcPr>
          <w:p w14:paraId="310A2084"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95" w:type="dxa"/>
            <w:tcBorders>
              <w:top w:val="single" w:sz="4" w:space="0" w:color="auto"/>
            </w:tcBorders>
          </w:tcPr>
          <w:p w14:paraId="6C8E41C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.28**</w:t>
            </w:r>
          </w:p>
        </w:tc>
        <w:tc>
          <w:tcPr>
            <w:tcW w:w="666" w:type="dxa"/>
            <w:tcBorders>
              <w:top w:val="single" w:sz="4" w:space="0" w:color="auto"/>
            </w:tcBorders>
          </w:tcPr>
          <w:p w14:paraId="287EDA6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.13</w:t>
            </w:r>
          </w:p>
        </w:tc>
        <w:tc>
          <w:tcPr>
            <w:tcW w:w="807" w:type="dxa"/>
            <w:tcBorders>
              <w:top w:val="single" w:sz="4" w:space="0" w:color="auto"/>
            </w:tcBorders>
          </w:tcPr>
          <w:p w14:paraId="258E146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.30**</w:t>
            </w:r>
          </w:p>
        </w:tc>
        <w:tc>
          <w:tcPr>
            <w:tcW w:w="719" w:type="dxa"/>
            <w:tcBorders>
              <w:top w:val="single" w:sz="4" w:space="0" w:color="auto"/>
            </w:tcBorders>
          </w:tcPr>
          <w:p w14:paraId="56B1DC4E"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.09</w:t>
            </w:r>
          </w:p>
        </w:tc>
        <w:tc>
          <w:tcPr>
            <w:tcW w:w="807" w:type="dxa"/>
            <w:tcBorders>
              <w:top w:val="single" w:sz="4" w:space="0" w:color="auto"/>
            </w:tcBorders>
          </w:tcPr>
          <w:p w14:paraId="005D8637"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.31**</w:t>
            </w:r>
          </w:p>
        </w:tc>
        <w:tc>
          <w:tcPr>
            <w:tcW w:w="666" w:type="dxa"/>
            <w:tcBorders>
              <w:top w:val="single" w:sz="4" w:space="0" w:color="auto"/>
            </w:tcBorders>
          </w:tcPr>
          <w:p w14:paraId="1EF2925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.15</w:t>
            </w:r>
          </w:p>
        </w:tc>
        <w:tc>
          <w:tcPr>
            <w:tcW w:w="807" w:type="dxa"/>
            <w:tcBorders>
              <w:top w:val="single" w:sz="4" w:space="0" w:color="auto"/>
            </w:tcBorders>
          </w:tcPr>
          <w:p w14:paraId="5AE513CF"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.25**</w:t>
            </w:r>
          </w:p>
        </w:tc>
        <w:tc>
          <w:tcPr>
            <w:tcW w:w="807" w:type="dxa"/>
            <w:tcBorders>
              <w:top w:val="single" w:sz="4" w:space="0" w:color="auto"/>
            </w:tcBorders>
          </w:tcPr>
          <w:p w14:paraId="2135CC4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.37**</w:t>
            </w:r>
          </w:p>
        </w:tc>
      </w:tr>
      <w:tr w:rsidR="001E00D6" w:rsidRPr="00DA0BF2" w14:paraId="671B7A7C" w14:textId="77777777" w:rsidTr="0038684D">
        <w:tc>
          <w:tcPr>
            <w:tcW w:w="1868" w:type="dxa"/>
          </w:tcPr>
          <w:p w14:paraId="508CC1A6" w14:textId="77777777" w:rsidR="001E00D6" w:rsidRPr="002F5232" w:rsidRDefault="001E00D6" w:rsidP="00F31B4C">
            <w:pPr>
              <w:widowControl w:val="0"/>
              <w:spacing w:line="480" w:lineRule="auto"/>
              <w:rPr>
                <w:rFonts w:ascii="Times New Roman" w:eastAsia="Aptos" w:hAnsi="Times New Roman" w:cs="Times New Roman"/>
                <w:sz w:val="18"/>
                <w:szCs w:val="18"/>
                <w:vertAlign w:val="superscript"/>
              </w:rPr>
            </w:pPr>
            <w:r w:rsidRPr="00DA0BF2">
              <w:rPr>
                <w:rFonts w:ascii="Times New Roman" w:eastAsia="Aptos" w:hAnsi="Times New Roman" w:cs="Times New Roman"/>
                <w:sz w:val="18"/>
                <w:szCs w:val="18"/>
              </w:rPr>
              <w:t>Gender (X2)</w:t>
            </w:r>
            <w:r>
              <w:rPr>
                <w:rFonts w:ascii="Times New Roman" w:eastAsia="Aptos" w:hAnsi="Times New Roman" w:cs="Times New Roman"/>
                <w:sz w:val="18"/>
                <w:szCs w:val="18"/>
                <w:vertAlign w:val="superscript"/>
              </w:rPr>
              <w:t>a</w:t>
            </w:r>
          </w:p>
        </w:tc>
        <w:tc>
          <w:tcPr>
            <w:tcW w:w="890" w:type="dxa"/>
          </w:tcPr>
          <w:p w14:paraId="42EDEAA0"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3C4ED67D"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95" w:type="dxa"/>
          </w:tcPr>
          <w:p w14:paraId="3787557F"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-.09</w:t>
            </w:r>
          </w:p>
        </w:tc>
        <w:tc>
          <w:tcPr>
            <w:tcW w:w="807" w:type="dxa"/>
          </w:tcPr>
          <w:p w14:paraId="5DE7CC0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-.16</w:t>
            </w:r>
          </w:p>
        </w:tc>
        <w:tc>
          <w:tcPr>
            <w:tcW w:w="629" w:type="dxa"/>
          </w:tcPr>
          <w:p w14:paraId="208B92D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-.09</w:t>
            </w:r>
          </w:p>
        </w:tc>
        <w:tc>
          <w:tcPr>
            <w:tcW w:w="895" w:type="dxa"/>
          </w:tcPr>
          <w:p w14:paraId="258D41EF"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-.13</w:t>
            </w:r>
          </w:p>
        </w:tc>
        <w:tc>
          <w:tcPr>
            <w:tcW w:w="666" w:type="dxa"/>
          </w:tcPr>
          <w:p w14:paraId="3727430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-.14</w:t>
            </w:r>
          </w:p>
        </w:tc>
        <w:tc>
          <w:tcPr>
            <w:tcW w:w="807" w:type="dxa"/>
          </w:tcPr>
          <w:p w14:paraId="7842DE7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-.24</w:t>
            </w:r>
          </w:p>
        </w:tc>
        <w:tc>
          <w:tcPr>
            <w:tcW w:w="719" w:type="dxa"/>
          </w:tcPr>
          <w:p w14:paraId="385CAE2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-.09</w:t>
            </w:r>
          </w:p>
        </w:tc>
        <w:tc>
          <w:tcPr>
            <w:tcW w:w="807" w:type="dxa"/>
          </w:tcPr>
          <w:p w14:paraId="5691056C"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-.17</w:t>
            </w:r>
          </w:p>
        </w:tc>
        <w:tc>
          <w:tcPr>
            <w:tcW w:w="666" w:type="dxa"/>
          </w:tcPr>
          <w:p w14:paraId="1489ED7C"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-.03</w:t>
            </w:r>
          </w:p>
        </w:tc>
        <w:tc>
          <w:tcPr>
            <w:tcW w:w="807" w:type="dxa"/>
          </w:tcPr>
          <w:p w14:paraId="0A685B1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-.11</w:t>
            </w:r>
          </w:p>
        </w:tc>
        <w:tc>
          <w:tcPr>
            <w:tcW w:w="807" w:type="dxa"/>
          </w:tcPr>
          <w:p w14:paraId="607AEE7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-.14</w:t>
            </w:r>
          </w:p>
        </w:tc>
      </w:tr>
      <w:tr w:rsidR="001E00D6" w:rsidRPr="00DA0BF2" w14:paraId="536A6A9A" w14:textId="77777777" w:rsidTr="0038684D">
        <w:tc>
          <w:tcPr>
            <w:tcW w:w="1868" w:type="dxa"/>
          </w:tcPr>
          <w:p w14:paraId="2436E1C8" w14:textId="77777777" w:rsidR="001E00D6" w:rsidRPr="00DA0BF2" w:rsidRDefault="001E00D6" w:rsidP="00F31B4C">
            <w:pPr>
              <w:widowControl w:val="0"/>
              <w:spacing w:line="480" w:lineRule="auto"/>
              <w:rPr>
                <w:rFonts w:ascii="Times New Roman" w:eastAsia="Aptos" w:hAnsi="Times New Roman" w:cs="Times New Roman"/>
                <w:sz w:val="18"/>
                <w:szCs w:val="18"/>
              </w:rPr>
            </w:pPr>
            <w:r w:rsidRPr="00DA0BF2">
              <w:rPr>
                <w:rFonts w:ascii="Times New Roman" w:eastAsia="Aptos" w:hAnsi="Times New Roman" w:cs="Times New Roman"/>
                <w:sz w:val="18"/>
                <w:szCs w:val="18"/>
              </w:rPr>
              <w:t xml:space="preserve">Years </w:t>
            </w:r>
            <w:r>
              <w:rPr>
                <w:rFonts w:ascii="Times New Roman" w:eastAsia="Aptos" w:hAnsi="Times New Roman" w:cs="Times New Roman"/>
                <w:sz w:val="18"/>
                <w:szCs w:val="18"/>
              </w:rPr>
              <w:t>e</w:t>
            </w:r>
            <w:r w:rsidRPr="00DA0BF2">
              <w:rPr>
                <w:rFonts w:ascii="Times New Roman" w:eastAsia="Aptos" w:hAnsi="Times New Roman" w:cs="Times New Roman"/>
                <w:sz w:val="18"/>
                <w:szCs w:val="18"/>
              </w:rPr>
              <w:t>mployed (X</w:t>
            </w:r>
            <w:r>
              <w:rPr>
                <w:rFonts w:ascii="Times New Roman" w:eastAsia="Aptos" w:hAnsi="Times New Roman" w:cs="Times New Roman"/>
                <w:sz w:val="18"/>
                <w:szCs w:val="18"/>
              </w:rPr>
              <w:t>3</w:t>
            </w:r>
            <w:r w:rsidRPr="00DA0BF2">
              <w:rPr>
                <w:rFonts w:ascii="Times New Roman" w:eastAsia="Aptos" w:hAnsi="Times New Roman" w:cs="Times New Roman"/>
                <w:sz w:val="18"/>
                <w:szCs w:val="18"/>
              </w:rPr>
              <w:t>)</w:t>
            </w:r>
          </w:p>
        </w:tc>
        <w:tc>
          <w:tcPr>
            <w:tcW w:w="890" w:type="dxa"/>
          </w:tcPr>
          <w:p w14:paraId="68807D5C"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24562C1C"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18E6E10D"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07" w:type="dxa"/>
          </w:tcPr>
          <w:p w14:paraId="6C54700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.39**</w:t>
            </w:r>
          </w:p>
        </w:tc>
        <w:tc>
          <w:tcPr>
            <w:tcW w:w="629" w:type="dxa"/>
          </w:tcPr>
          <w:p w14:paraId="7E59F71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.15</w:t>
            </w:r>
          </w:p>
        </w:tc>
        <w:tc>
          <w:tcPr>
            <w:tcW w:w="895" w:type="dxa"/>
          </w:tcPr>
          <w:p w14:paraId="5C68D24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.17*</w:t>
            </w:r>
          </w:p>
        </w:tc>
        <w:tc>
          <w:tcPr>
            <w:tcW w:w="666" w:type="dxa"/>
          </w:tcPr>
          <w:p w14:paraId="3C587637"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.13</w:t>
            </w:r>
          </w:p>
        </w:tc>
        <w:tc>
          <w:tcPr>
            <w:tcW w:w="807" w:type="dxa"/>
          </w:tcPr>
          <w:p w14:paraId="28BBF63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.17*</w:t>
            </w:r>
          </w:p>
        </w:tc>
        <w:tc>
          <w:tcPr>
            <w:tcW w:w="719" w:type="dxa"/>
          </w:tcPr>
          <w:p w14:paraId="4DE0AA50"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.19*</w:t>
            </w:r>
          </w:p>
        </w:tc>
        <w:tc>
          <w:tcPr>
            <w:tcW w:w="807" w:type="dxa"/>
          </w:tcPr>
          <w:p w14:paraId="3EF2AA3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.23*</w:t>
            </w:r>
          </w:p>
        </w:tc>
        <w:tc>
          <w:tcPr>
            <w:tcW w:w="666" w:type="dxa"/>
          </w:tcPr>
          <w:p w14:paraId="7E78A9B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-.03</w:t>
            </w:r>
          </w:p>
        </w:tc>
        <w:tc>
          <w:tcPr>
            <w:tcW w:w="807" w:type="dxa"/>
          </w:tcPr>
          <w:p w14:paraId="7613B1FC"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.120</w:t>
            </w:r>
          </w:p>
        </w:tc>
        <w:tc>
          <w:tcPr>
            <w:tcW w:w="807" w:type="dxa"/>
          </w:tcPr>
          <w:p w14:paraId="6CA00EF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.05</w:t>
            </w:r>
          </w:p>
        </w:tc>
      </w:tr>
      <w:tr w:rsidR="001E00D6" w:rsidRPr="00DA0BF2" w14:paraId="2EAA11A9" w14:textId="77777777" w:rsidTr="0038684D">
        <w:tc>
          <w:tcPr>
            <w:tcW w:w="1868" w:type="dxa"/>
          </w:tcPr>
          <w:p w14:paraId="3488663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LO (X</w:t>
            </w:r>
            <w:r>
              <w:rPr>
                <w:rFonts w:ascii="Times New Roman" w:eastAsia="Aptos" w:hAnsi="Times New Roman" w:cs="Times New Roman"/>
                <w:sz w:val="20"/>
                <w:szCs w:val="20"/>
              </w:rPr>
              <w:t>4</w:t>
            </w:r>
            <w:r w:rsidRPr="00DA0BF2">
              <w:rPr>
                <w:rFonts w:ascii="Times New Roman" w:eastAsia="Aptos" w:hAnsi="Times New Roman" w:cs="Times New Roman"/>
                <w:sz w:val="20"/>
                <w:szCs w:val="20"/>
              </w:rPr>
              <w:t>)</w:t>
            </w:r>
          </w:p>
        </w:tc>
        <w:tc>
          <w:tcPr>
            <w:tcW w:w="890" w:type="dxa"/>
          </w:tcPr>
          <w:p w14:paraId="6FC5543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003DC4B1"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5CAF58A5"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4DE8A170"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629" w:type="dxa"/>
          </w:tcPr>
          <w:p w14:paraId="7086125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.22*</w:t>
            </w:r>
          </w:p>
        </w:tc>
        <w:tc>
          <w:tcPr>
            <w:tcW w:w="895" w:type="dxa"/>
          </w:tcPr>
          <w:p w14:paraId="627A667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.16*</w:t>
            </w:r>
          </w:p>
        </w:tc>
        <w:tc>
          <w:tcPr>
            <w:tcW w:w="666" w:type="dxa"/>
          </w:tcPr>
          <w:p w14:paraId="0CBA2C44"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.21**</w:t>
            </w:r>
          </w:p>
        </w:tc>
        <w:tc>
          <w:tcPr>
            <w:tcW w:w="807" w:type="dxa"/>
          </w:tcPr>
          <w:p w14:paraId="5D40ED4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.13</w:t>
            </w:r>
          </w:p>
        </w:tc>
        <w:tc>
          <w:tcPr>
            <w:tcW w:w="719" w:type="dxa"/>
          </w:tcPr>
          <w:p w14:paraId="1EDC1FC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.17*</w:t>
            </w:r>
          </w:p>
        </w:tc>
        <w:tc>
          <w:tcPr>
            <w:tcW w:w="807" w:type="dxa"/>
          </w:tcPr>
          <w:p w14:paraId="7DBAE9D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.42**</w:t>
            </w:r>
          </w:p>
        </w:tc>
        <w:tc>
          <w:tcPr>
            <w:tcW w:w="666" w:type="dxa"/>
          </w:tcPr>
          <w:p w14:paraId="06AA5FFD"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.04</w:t>
            </w:r>
          </w:p>
        </w:tc>
        <w:tc>
          <w:tcPr>
            <w:tcW w:w="807" w:type="dxa"/>
          </w:tcPr>
          <w:p w14:paraId="51310FE7"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.11</w:t>
            </w:r>
          </w:p>
        </w:tc>
        <w:tc>
          <w:tcPr>
            <w:tcW w:w="807" w:type="dxa"/>
          </w:tcPr>
          <w:p w14:paraId="623BE41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-.01</w:t>
            </w:r>
          </w:p>
        </w:tc>
      </w:tr>
      <w:tr w:rsidR="001E00D6" w:rsidRPr="00DA0BF2" w14:paraId="1576ECBD" w14:textId="77777777" w:rsidTr="0038684D">
        <w:tc>
          <w:tcPr>
            <w:tcW w:w="1868" w:type="dxa"/>
          </w:tcPr>
          <w:p w14:paraId="4D7448ED"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LC (X</w:t>
            </w:r>
            <w:r>
              <w:rPr>
                <w:rFonts w:ascii="Times New Roman" w:eastAsia="Aptos" w:hAnsi="Times New Roman" w:cs="Times New Roman"/>
                <w:sz w:val="20"/>
                <w:szCs w:val="20"/>
              </w:rPr>
              <w:t>5</w:t>
            </w:r>
            <w:r w:rsidRPr="00DA0BF2">
              <w:rPr>
                <w:rFonts w:ascii="Times New Roman" w:eastAsia="Aptos" w:hAnsi="Times New Roman" w:cs="Times New Roman"/>
                <w:sz w:val="20"/>
                <w:szCs w:val="20"/>
              </w:rPr>
              <w:t>)</w:t>
            </w:r>
          </w:p>
        </w:tc>
        <w:tc>
          <w:tcPr>
            <w:tcW w:w="890" w:type="dxa"/>
          </w:tcPr>
          <w:p w14:paraId="011E7F59"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0A08253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75897FE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36FDD2F2"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42926B5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95" w:type="dxa"/>
          </w:tcPr>
          <w:p w14:paraId="062D229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.11</w:t>
            </w:r>
          </w:p>
        </w:tc>
        <w:tc>
          <w:tcPr>
            <w:tcW w:w="666" w:type="dxa"/>
          </w:tcPr>
          <w:p w14:paraId="0C945B2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.28*</w:t>
            </w:r>
          </w:p>
        </w:tc>
        <w:tc>
          <w:tcPr>
            <w:tcW w:w="807" w:type="dxa"/>
          </w:tcPr>
          <w:p w14:paraId="327A141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0.09</w:t>
            </w:r>
          </w:p>
        </w:tc>
        <w:tc>
          <w:tcPr>
            <w:tcW w:w="719" w:type="dxa"/>
          </w:tcPr>
          <w:p w14:paraId="10620BF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.53*</w:t>
            </w:r>
          </w:p>
        </w:tc>
        <w:tc>
          <w:tcPr>
            <w:tcW w:w="807" w:type="dxa"/>
          </w:tcPr>
          <w:p w14:paraId="1C724A3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.52**</w:t>
            </w:r>
          </w:p>
        </w:tc>
        <w:tc>
          <w:tcPr>
            <w:tcW w:w="666" w:type="dxa"/>
          </w:tcPr>
          <w:p w14:paraId="6795018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.18*</w:t>
            </w:r>
          </w:p>
        </w:tc>
        <w:tc>
          <w:tcPr>
            <w:tcW w:w="807" w:type="dxa"/>
          </w:tcPr>
          <w:p w14:paraId="5A67AB8C"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.19*</w:t>
            </w:r>
          </w:p>
        </w:tc>
        <w:tc>
          <w:tcPr>
            <w:tcW w:w="807" w:type="dxa"/>
          </w:tcPr>
          <w:p w14:paraId="562CF31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.03</w:t>
            </w:r>
          </w:p>
        </w:tc>
      </w:tr>
      <w:tr w:rsidR="001E00D6" w:rsidRPr="00DA0BF2" w14:paraId="2DDC960C" w14:textId="77777777" w:rsidTr="0038684D">
        <w:tc>
          <w:tcPr>
            <w:tcW w:w="1868" w:type="dxa"/>
          </w:tcPr>
          <w:p w14:paraId="0E64BC4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FO (X</w:t>
            </w:r>
            <w:r>
              <w:rPr>
                <w:rFonts w:ascii="Times New Roman" w:eastAsia="Aptos" w:hAnsi="Times New Roman" w:cs="Times New Roman"/>
                <w:sz w:val="20"/>
                <w:szCs w:val="20"/>
              </w:rPr>
              <w:t>6</w:t>
            </w:r>
            <w:r w:rsidRPr="00DA0BF2">
              <w:rPr>
                <w:rFonts w:ascii="Times New Roman" w:eastAsia="Aptos" w:hAnsi="Times New Roman" w:cs="Times New Roman"/>
                <w:sz w:val="20"/>
                <w:szCs w:val="20"/>
              </w:rPr>
              <w:t>)</w:t>
            </w:r>
          </w:p>
        </w:tc>
        <w:tc>
          <w:tcPr>
            <w:tcW w:w="890" w:type="dxa"/>
          </w:tcPr>
          <w:p w14:paraId="49985479"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73ED8DE1"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7B68EE77"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039143A5"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76DCC085"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0DD2954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666" w:type="dxa"/>
          </w:tcPr>
          <w:p w14:paraId="62B541B8" w14:textId="044005E0"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w:t>
            </w:r>
            <w:r w:rsidR="00654916">
              <w:rPr>
                <w:rFonts w:ascii="Times New Roman" w:eastAsia="Aptos" w:hAnsi="Times New Roman" w:cs="Times New Roman"/>
                <w:sz w:val="20"/>
                <w:szCs w:val="20"/>
              </w:rPr>
              <w:t>8</w:t>
            </w:r>
            <w:r w:rsidRPr="00DA0BF2">
              <w:rPr>
                <w:rFonts w:ascii="Times New Roman" w:eastAsia="Aptos" w:hAnsi="Times New Roman" w:cs="Times New Roman"/>
                <w:sz w:val="20"/>
                <w:szCs w:val="20"/>
              </w:rPr>
              <w:t>**</w:t>
            </w:r>
          </w:p>
        </w:tc>
        <w:tc>
          <w:tcPr>
            <w:tcW w:w="807" w:type="dxa"/>
          </w:tcPr>
          <w:p w14:paraId="5EA71EE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.78**</w:t>
            </w:r>
          </w:p>
        </w:tc>
        <w:tc>
          <w:tcPr>
            <w:tcW w:w="719" w:type="dxa"/>
          </w:tcPr>
          <w:p w14:paraId="4C58CBA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.36**</w:t>
            </w:r>
          </w:p>
        </w:tc>
        <w:tc>
          <w:tcPr>
            <w:tcW w:w="807" w:type="dxa"/>
          </w:tcPr>
          <w:p w14:paraId="0589695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.78**</w:t>
            </w:r>
          </w:p>
        </w:tc>
        <w:tc>
          <w:tcPr>
            <w:tcW w:w="666" w:type="dxa"/>
          </w:tcPr>
          <w:p w14:paraId="039ACD68"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.62**</w:t>
            </w:r>
          </w:p>
        </w:tc>
        <w:tc>
          <w:tcPr>
            <w:tcW w:w="807" w:type="dxa"/>
          </w:tcPr>
          <w:p w14:paraId="64C6B4FE"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.80**</w:t>
            </w:r>
          </w:p>
        </w:tc>
        <w:tc>
          <w:tcPr>
            <w:tcW w:w="807" w:type="dxa"/>
          </w:tcPr>
          <w:p w14:paraId="361A668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.68**</w:t>
            </w:r>
          </w:p>
        </w:tc>
      </w:tr>
      <w:tr w:rsidR="001E00D6" w:rsidRPr="00DA0BF2" w14:paraId="1B9C988C" w14:textId="77777777" w:rsidTr="0038684D">
        <w:tc>
          <w:tcPr>
            <w:tcW w:w="1868" w:type="dxa"/>
          </w:tcPr>
          <w:p w14:paraId="0275230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FC (X</w:t>
            </w:r>
            <w:r>
              <w:rPr>
                <w:rFonts w:ascii="Times New Roman" w:eastAsia="Aptos" w:hAnsi="Times New Roman" w:cs="Times New Roman"/>
                <w:sz w:val="20"/>
                <w:szCs w:val="20"/>
              </w:rPr>
              <w:t>7</w:t>
            </w:r>
            <w:r w:rsidRPr="00DA0BF2">
              <w:rPr>
                <w:rFonts w:ascii="Times New Roman" w:eastAsia="Aptos" w:hAnsi="Times New Roman" w:cs="Times New Roman"/>
                <w:sz w:val="20"/>
                <w:szCs w:val="20"/>
              </w:rPr>
              <w:t>)</w:t>
            </w:r>
          </w:p>
        </w:tc>
        <w:tc>
          <w:tcPr>
            <w:tcW w:w="890" w:type="dxa"/>
          </w:tcPr>
          <w:p w14:paraId="62CC8C44"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5C2E01AB"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6C02DC5A"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44CC63BA"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701ABA4C"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4C69ECB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16AC2E0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07" w:type="dxa"/>
          </w:tcPr>
          <w:p w14:paraId="666ED028"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.26**</w:t>
            </w:r>
          </w:p>
        </w:tc>
        <w:tc>
          <w:tcPr>
            <w:tcW w:w="719" w:type="dxa"/>
          </w:tcPr>
          <w:p w14:paraId="443473E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.69**</w:t>
            </w:r>
          </w:p>
        </w:tc>
        <w:tc>
          <w:tcPr>
            <w:tcW w:w="807" w:type="dxa"/>
          </w:tcPr>
          <w:p w14:paraId="2B4F824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.60**</w:t>
            </w:r>
          </w:p>
        </w:tc>
        <w:tc>
          <w:tcPr>
            <w:tcW w:w="666" w:type="dxa"/>
          </w:tcPr>
          <w:p w14:paraId="244555A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.37**</w:t>
            </w:r>
          </w:p>
        </w:tc>
        <w:tc>
          <w:tcPr>
            <w:tcW w:w="807" w:type="dxa"/>
          </w:tcPr>
          <w:p w14:paraId="12F2BCAF"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.35**</w:t>
            </w:r>
          </w:p>
        </w:tc>
        <w:tc>
          <w:tcPr>
            <w:tcW w:w="807" w:type="dxa"/>
          </w:tcPr>
          <w:p w14:paraId="053D4C1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.12</w:t>
            </w:r>
          </w:p>
        </w:tc>
      </w:tr>
      <w:tr w:rsidR="001E00D6" w:rsidRPr="00DA0BF2" w14:paraId="4A3A3742" w14:textId="77777777" w:rsidTr="0038684D">
        <w:tc>
          <w:tcPr>
            <w:tcW w:w="1868" w:type="dxa"/>
          </w:tcPr>
          <w:p w14:paraId="6195014F"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SO (X</w:t>
            </w:r>
            <w:r>
              <w:rPr>
                <w:rFonts w:ascii="Times New Roman" w:eastAsia="Aptos" w:hAnsi="Times New Roman" w:cs="Times New Roman"/>
                <w:sz w:val="20"/>
                <w:szCs w:val="20"/>
              </w:rPr>
              <w:t>8</w:t>
            </w:r>
            <w:r w:rsidRPr="00DA0BF2">
              <w:rPr>
                <w:rFonts w:ascii="Times New Roman" w:eastAsia="Aptos" w:hAnsi="Times New Roman" w:cs="Times New Roman"/>
                <w:sz w:val="20"/>
                <w:szCs w:val="20"/>
              </w:rPr>
              <w:t>)</w:t>
            </w:r>
          </w:p>
        </w:tc>
        <w:tc>
          <w:tcPr>
            <w:tcW w:w="890" w:type="dxa"/>
          </w:tcPr>
          <w:p w14:paraId="2C60145C"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7CF9CD08"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163BB447"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0B7FD1C0"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419E70F1"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765F9E3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4D46C8C7"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2F9157B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719" w:type="dxa"/>
          </w:tcPr>
          <w:p w14:paraId="75DF67D0"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.31**</w:t>
            </w:r>
          </w:p>
        </w:tc>
        <w:tc>
          <w:tcPr>
            <w:tcW w:w="807" w:type="dxa"/>
          </w:tcPr>
          <w:p w14:paraId="169E905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.75**</w:t>
            </w:r>
          </w:p>
        </w:tc>
        <w:tc>
          <w:tcPr>
            <w:tcW w:w="666" w:type="dxa"/>
          </w:tcPr>
          <w:p w14:paraId="5C137A1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.44**</w:t>
            </w:r>
          </w:p>
        </w:tc>
        <w:tc>
          <w:tcPr>
            <w:tcW w:w="807" w:type="dxa"/>
          </w:tcPr>
          <w:p w14:paraId="723EEE09"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.66**</w:t>
            </w:r>
          </w:p>
        </w:tc>
        <w:tc>
          <w:tcPr>
            <w:tcW w:w="807" w:type="dxa"/>
          </w:tcPr>
          <w:p w14:paraId="733EC5E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.72**</w:t>
            </w:r>
          </w:p>
        </w:tc>
      </w:tr>
      <w:tr w:rsidR="001E00D6" w:rsidRPr="00DA0BF2" w14:paraId="39445FAD" w14:textId="77777777" w:rsidTr="0038684D">
        <w:tc>
          <w:tcPr>
            <w:tcW w:w="1868" w:type="dxa"/>
          </w:tcPr>
          <w:p w14:paraId="3666B5D2"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SC (X</w:t>
            </w:r>
            <w:r>
              <w:rPr>
                <w:rFonts w:ascii="Times New Roman" w:eastAsia="Aptos" w:hAnsi="Times New Roman" w:cs="Times New Roman"/>
                <w:sz w:val="20"/>
                <w:szCs w:val="20"/>
              </w:rPr>
              <w:t>9</w:t>
            </w:r>
            <w:r w:rsidRPr="00DA0BF2">
              <w:rPr>
                <w:rFonts w:ascii="Times New Roman" w:eastAsia="Aptos" w:hAnsi="Times New Roman" w:cs="Times New Roman"/>
                <w:sz w:val="20"/>
                <w:szCs w:val="20"/>
              </w:rPr>
              <w:t>)</w:t>
            </w:r>
          </w:p>
        </w:tc>
        <w:tc>
          <w:tcPr>
            <w:tcW w:w="890" w:type="dxa"/>
          </w:tcPr>
          <w:p w14:paraId="1D5A00C6"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20DC6A59"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42E89792"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700BA190"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0942163D"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475BDEA1"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2A78905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6E4743BB"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719" w:type="dxa"/>
          </w:tcPr>
          <w:p w14:paraId="3EFE581E"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07" w:type="dxa"/>
          </w:tcPr>
          <w:p w14:paraId="3E87420D"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.63**</w:t>
            </w:r>
          </w:p>
        </w:tc>
        <w:tc>
          <w:tcPr>
            <w:tcW w:w="666" w:type="dxa"/>
          </w:tcPr>
          <w:p w14:paraId="65FDCDAE"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.41**</w:t>
            </w:r>
          </w:p>
        </w:tc>
        <w:tc>
          <w:tcPr>
            <w:tcW w:w="807" w:type="dxa"/>
          </w:tcPr>
          <w:p w14:paraId="54C867B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.37**</w:t>
            </w:r>
          </w:p>
        </w:tc>
        <w:tc>
          <w:tcPr>
            <w:tcW w:w="807" w:type="dxa"/>
          </w:tcPr>
          <w:p w14:paraId="273F0F8D"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.16*</w:t>
            </w:r>
          </w:p>
        </w:tc>
      </w:tr>
      <w:tr w:rsidR="001E00D6" w:rsidRPr="00DA0BF2" w14:paraId="1373ECB8" w14:textId="77777777" w:rsidTr="0038684D">
        <w:tc>
          <w:tcPr>
            <w:tcW w:w="1868" w:type="dxa"/>
          </w:tcPr>
          <w:p w14:paraId="0F174651"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JE Total (X1</w:t>
            </w:r>
            <w:r>
              <w:rPr>
                <w:rFonts w:ascii="Times New Roman" w:eastAsia="Aptos" w:hAnsi="Times New Roman" w:cs="Times New Roman"/>
                <w:sz w:val="20"/>
                <w:szCs w:val="20"/>
              </w:rPr>
              <w:t>0</w:t>
            </w:r>
            <w:r w:rsidRPr="00DA0BF2">
              <w:rPr>
                <w:rFonts w:ascii="Times New Roman" w:eastAsia="Aptos" w:hAnsi="Times New Roman" w:cs="Times New Roman"/>
                <w:sz w:val="20"/>
                <w:szCs w:val="20"/>
              </w:rPr>
              <w:t>)</w:t>
            </w:r>
          </w:p>
        </w:tc>
        <w:tc>
          <w:tcPr>
            <w:tcW w:w="890" w:type="dxa"/>
          </w:tcPr>
          <w:p w14:paraId="0AF15C6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6873BAFB"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3AD912EA"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34B76BC8"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7BAEAA26"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76C2737B"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1CD5234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37B83749"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719" w:type="dxa"/>
          </w:tcPr>
          <w:p w14:paraId="312DBE17"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42E258A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666" w:type="dxa"/>
          </w:tcPr>
          <w:p w14:paraId="006F4EB8"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.58**</w:t>
            </w:r>
          </w:p>
        </w:tc>
        <w:tc>
          <w:tcPr>
            <w:tcW w:w="807" w:type="dxa"/>
          </w:tcPr>
          <w:p w14:paraId="492B92BA"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.69**</w:t>
            </w:r>
          </w:p>
        </w:tc>
        <w:tc>
          <w:tcPr>
            <w:tcW w:w="807" w:type="dxa"/>
          </w:tcPr>
          <w:p w14:paraId="27A8D805"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.49**</w:t>
            </w:r>
          </w:p>
        </w:tc>
      </w:tr>
      <w:tr w:rsidR="001E00D6" w:rsidRPr="00DA0BF2" w14:paraId="0D185F1F" w14:textId="77777777" w:rsidTr="0038684D">
        <w:tc>
          <w:tcPr>
            <w:tcW w:w="1868" w:type="dxa"/>
          </w:tcPr>
          <w:p w14:paraId="614D0B76"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EES (X1</w:t>
            </w:r>
            <w:r>
              <w:rPr>
                <w:rFonts w:ascii="Times New Roman" w:eastAsia="Aptos" w:hAnsi="Times New Roman" w:cs="Times New Roman"/>
                <w:sz w:val="20"/>
                <w:szCs w:val="20"/>
              </w:rPr>
              <w:t>1</w:t>
            </w:r>
            <w:r w:rsidRPr="00DA0BF2">
              <w:rPr>
                <w:rFonts w:ascii="Times New Roman" w:eastAsia="Aptos" w:hAnsi="Times New Roman" w:cs="Times New Roman"/>
                <w:sz w:val="20"/>
                <w:szCs w:val="20"/>
              </w:rPr>
              <w:t>)</w:t>
            </w:r>
          </w:p>
        </w:tc>
        <w:tc>
          <w:tcPr>
            <w:tcW w:w="890" w:type="dxa"/>
          </w:tcPr>
          <w:p w14:paraId="63BD85A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78BE5FEA"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3A728FF1"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5808D4C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65D8F53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4F4548E1"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3009B528"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7F779C10"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719" w:type="dxa"/>
          </w:tcPr>
          <w:p w14:paraId="2AAB1E88"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01BEFFA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17637980"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07" w:type="dxa"/>
          </w:tcPr>
          <w:p w14:paraId="5E38DB5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.66**</w:t>
            </w:r>
          </w:p>
        </w:tc>
        <w:tc>
          <w:tcPr>
            <w:tcW w:w="807" w:type="dxa"/>
          </w:tcPr>
          <w:p w14:paraId="4642D5FF"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.41**</w:t>
            </w:r>
          </w:p>
        </w:tc>
      </w:tr>
      <w:tr w:rsidR="001E00D6" w:rsidRPr="00DA0BF2" w14:paraId="4D1D8347" w14:textId="77777777" w:rsidTr="0038684D">
        <w:tc>
          <w:tcPr>
            <w:tcW w:w="1868" w:type="dxa"/>
          </w:tcPr>
          <w:p w14:paraId="7B05E6AC"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JS (X1</w:t>
            </w:r>
            <w:r>
              <w:rPr>
                <w:rFonts w:ascii="Times New Roman" w:eastAsia="Aptos" w:hAnsi="Times New Roman" w:cs="Times New Roman"/>
                <w:sz w:val="20"/>
                <w:szCs w:val="20"/>
              </w:rPr>
              <w:t>2</w:t>
            </w:r>
            <w:r w:rsidRPr="00DA0BF2">
              <w:rPr>
                <w:rFonts w:ascii="Times New Roman" w:eastAsia="Aptos" w:hAnsi="Times New Roman" w:cs="Times New Roman"/>
                <w:sz w:val="20"/>
                <w:szCs w:val="20"/>
              </w:rPr>
              <w:t>)</w:t>
            </w:r>
          </w:p>
        </w:tc>
        <w:tc>
          <w:tcPr>
            <w:tcW w:w="890" w:type="dxa"/>
          </w:tcPr>
          <w:p w14:paraId="2C6F6074"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Pr>
          <w:p w14:paraId="47D4014E"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2B42EBE6"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416092D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Pr>
          <w:p w14:paraId="30EF5752"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Pr>
          <w:p w14:paraId="68F5A440"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32AB25A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6AD17CC5"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719" w:type="dxa"/>
          </w:tcPr>
          <w:p w14:paraId="01AC7560"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501F9541"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Pr>
          <w:p w14:paraId="66ADACFD"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Pr>
          <w:p w14:paraId="2FD2569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c>
          <w:tcPr>
            <w:tcW w:w="807" w:type="dxa"/>
          </w:tcPr>
          <w:p w14:paraId="335132FB"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.58**</w:t>
            </w:r>
          </w:p>
        </w:tc>
      </w:tr>
      <w:tr w:rsidR="001E00D6" w:rsidRPr="00DA0BF2" w14:paraId="1FEB6085" w14:textId="77777777" w:rsidTr="0038684D">
        <w:tc>
          <w:tcPr>
            <w:tcW w:w="1868" w:type="dxa"/>
            <w:tcBorders>
              <w:bottom w:val="single" w:sz="4" w:space="0" w:color="auto"/>
            </w:tcBorders>
          </w:tcPr>
          <w:p w14:paraId="00420833"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ITS (X1</w:t>
            </w:r>
            <w:r>
              <w:rPr>
                <w:rFonts w:ascii="Times New Roman" w:eastAsia="Aptos" w:hAnsi="Times New Roman" w:cs="Times New Roman"/>
                <w:sz w:val="20"/>
                <w:szCs w:val="20"/>
              </w:rPr>
              <w:t>3</w:t>
            </w:r>
            <w:r w:rsidRPr="00DA0BF2">
              <w:rPr>
                <w:rFonts w:ascii="Times New Roman" w:eastAsia="Aptos" w:hAnsi="Times New Roman" w:cs="Times New Roman"/>
                <w:sz w:val="20"/>
                <w:szCs w:val="20"/>
              </w:rPr>
              <w:t>)</w:t>
            </w:r>
          </w:p>
        </w:tc>
        <w:tc>
          <w:tcPr>
            <w:tcW w:w="890" w:type="dxa"/>
            <w:tcBorders>
              <w:bottom w:val="single" w:sz="4" w:space="0" w:color="auto"/>
            </w:tcBorders>
          </w:tcPr>
          <w:p w14:paraId="004131FF"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2" w:type="dxa"/>
            <w:tcBorders>
              <w:bottom w:val="single" w:sz="4" w:space="0" w:color="auto"/>
            </w:tcBorders>
          </w:tcPr>
          <w:p w14:paraId="6027B038"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Borders>
              <w:bottom w:val="single" w:sz="4" w:space="0" w:color="auto"/>
            </w:tcBorders>
          </w:tcPr>
          <w:p w14:paraId="6DA03F7A"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Borders>
              <w:bottom w:val="single" w:sz="4" w:space="0" w:color="auto"/>
            </w:tcBorders>
          </w:tcPr>
          <w:p w14:paraId="37B01C2A"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29" w:type="dxa"/>
            <w:tcBorders>
              <w:bottom w:val="single" w:sz="4" w:space="0" w:color="auto"/>
            </w:tcBorders>
          </w:tcPr>
          <w:p w14:paraId="7A354003"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95" w:type="dxa"/>
            <w:tcBorders>
              <w:bottom w:val="single" w:sz="4" w:space="0" w:color="auto"/>
            </w:tcBorders>
          </w:tcPr>
          <w:p w14:paraId="67E59B3D"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Borders>
              <w:bottom w:val="single" w:sz="4" w:space="0" w:color="auto"/>
            </w:tcBorders>
          </w:tcPr>
          <w:p w14:paraId="6E815F94"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Borders>
              <w:bottom w:val="single" w:sz="4" w:space="0" w:color="auto"/>
            </w:tcBorders>
          </w:tcPr>
          <w:p w14:paraId="743CAA99"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719" w:type="dxa"/>
            <w:tcBorders>
              <w:bottom w:val="single" w:sz="4" w:space="0" w:color="auto"/>
            </w:tcBorders>
          </w:tcPr>
          <w:p w14:paraId="566996E8"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Borders>
              <w:bottom w:val="single" w:sz="4" w:space="0" w:color="auto"/>
            </w:tcBorders>
          </w:tcPr>
          <w:p w14:paraId="2BCF2EB4"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666" w:type="dxa"/>
            <w:tcBorders>
              <w:bottom w:val="single" w:sz="4" w:space="0" w:color="auto"/>
            </w:tcBorders>
          </w:tcPr>
          <w:p w14:paraId="463F82DC"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Borders>
              <w:bottom w:val="single" w:sz="4" w:space="0" w:color="auto"/>
            </w:tcBorders>
          </w:tcPr>
          <w:p w14:paraId="0D8C191A" w14:textId="77777777" w:rsidR="001E00D6" w:rsidRPr="00DA0BF2" w:rsidRDefault="001E00D6" w:rsidP="00F31B4C">
            <w:pPr>
              <w:widowControl w:val="0"/>
              <w:spacing w:line="480" w:lineRule="auto"/>
              <w:rPr>
                <w:rFonts w:ascii="Times New Roman" w:eastAsia="Aptos" w:hAnsi="Times New Roman" w:cs="Times New Roman"/>
                <w:sz w:val="20"/>
                <w:szCs w:val="20"/>
              </w:rPr>
            </w:pPr>
          </w:p>
        </w:tc>
        <w:tc>
          <w:tcPr>
            <w:tcW w:w="807" w:type="dxa"/>
            <w:tcBorders>
              <w:bottom w:val="single" w:sz="4" w:space="0" w:color="auto"/>
            </w:tcBorders>
          </w:tcPr>
          <w:p w14:paraId="52ABB27E" w14:textId="77777777" w:rsidR="001E00D6" w:rsidRPr="00DA0BF2" w:rsidRDefault="001E00D6" w:rsidP="00F31B4C">
            <w:pPr>
              <w:widowControl w:val="0"/>
              <w:spacing w:line="480" w:lineRule="auto"/>
              <w:rPr>
                <w:rFonts w:ascii="Times New Roman" w:eastAsia="Aptos" w:hAnsi="Times New Roman" w:cs="Times New Roman"/>
                <w:sz w:val="20"/>
                <w:szCs w:val="20"/>
              </w:rPr>
            </w:pPr>
            <w:r w:rsidRPr="00DA0BF2">
              <w:rPr>
                <w:rFonts w:ascii="Times New Roman" w:eastAsia="Aptos" w:hAnsi="Times New Roman" w:cs="Times New Roman"/>
                <w:sz w:val="20"/>
                <w:szCs w:val="20"/>
              </w:rPr>
              <w:t>1.0</w:t>
            </w:r>
          </w:p>
        </w:tc>
      </w:tr>
    </w:tbl>
    <w:bookmarkEnd w:id="21"/>
    <w:p w14:paraId="23E29281" w14:textId="77777777" w:rsidR="001E00D6" w:rsidRDefault="001E00D6" w:rsidP="00F31B4C">
      <w:pPr>
        <w:widowControl w:val="0"/>
        <w:spacing w:after="0" w:line="278" w:lineRule="auto"/>
        <w:rPr>
          <w:rFonts w:ascii="Times New Roman" w:eastAsia="Aptos" w:hAnsi="Times New Roman" w:cs="Times New Roman"/>
          <w:sz w:val="24"/>
          <w:szCs w:val="24"/>
        </w:rPr>
      </w:pPr>
      <w:r>
        <w:rPr>
          <w:rFonts w:ascii="Times New Roman" w:eastAsia="Aptos" w:hAnsi="Times New Roman" w:cs="Times New Roman"/>
          <w:i/>
          <w:iCs/>
          <w:sz w:val="24"/>
          <w:szCs w:val="24"/>
        </w:rPr>
        <w:t>Note</w:t>
      </w:r>
      <w:r>
        <w:rPr>
          <w:rFonts w:ascii="Times New Roman" w:eastAsia="Aptos" w:hAnsi="Times New Roman" w:cs="Times New Roman"/>
          <w:sz w:val="24"/>
          <w:szCs w:val="24"/>
        </w:rPr>
        <w:t xml:space="preserve">. LO = Links-Organization; LC = Links-Community; FO = Fit-Organization; FC = Fit-Community; </w:t>
      </w:r>
    </w:p>
    <w:p w14:paraId="461B1D94" w14:textId="77777777" w:rsidR="001E00D6" w:rsidRDefault="001E00D6" w:rsidP="00F31B4C">
      <w:pPr>
        <w:widowControl w:val="0"/>
        <w:spacing w:after="0" w:line="278" w:lineRule="auto"/>
        <w:rPr>
          <w:rFonts w:ascii="Times New Roman" w:eastAsia="Aptos" w:hAnsi="Times New Roman" w:cs="Times New Roman"/>
          <w:sz w:val="24"/>
          <w:szCs w:val="24"/>
        </w:rPr>
      </w:pPr>
      <w:r>
        <w:rPr>
          <w:rFonts w:ascii="Times New Roman" w:eastAsia="Aptos" w:hAnsi="Times New Roman" w:cs="Times New Roman"/>
          <w:sz w:val="24"/>
          <w:szCs w:val="24"/>
        </w:rPr>
        <w:t xml:space="preserve">SO = Sacrifice-Organization; SC= Sacrifice-Community; JE = Job Embeddedness; EES = Employee Engagement Scale; </w:t>
      </w:r>
    </w:p>
    <w:p w14:paraId="194A91E2" w14:textId="77777777" w:rsidR="001E00D6" w:rsidRPr="0038684D" w:rsidRDefault="001E00D6" w:rsidP="00F31B4C">
      <w:pPr>
        <w:widowControl w:val="0"/>
        <w:spacing w:after="0" w:line="278" w:lineRule="auto"/>
        <w:rPr>
          <w:rFonts w:ascii="Times New Roman" w:eastAsia="Aptos" w:hAnsi="Times New Roman" w:cs="Times New Roman"/>
          <w:sz w:val="24"/>
          <w:szCs w:val="24"/>
        </w:rPr>
      </w:pPr>
      <w:r>
        <w:rPr>
          <w:rFonts w:ascii="Times New Roman" w:eastAsia="Aptos" w:hAnsi="Times New Roman" w:cs="Times New Roman"/>
          <w:sz w:val="24"/>
          <w:szCs w:val="24"/>
        </w:rPr>
        <w:t xml:space="preserve">JS = Job Satisfaction; ITS = Intent to Stay. </w:t>
      </w:r>
    </w:p>
    <w:p w14:paraId="5CCB39C8" w14:textId="77777777" w:rsidR="001E00D6" w:rsidRPr="002F5232" w:rsidRDefault="001E00D6" w:rsidP="00F31B4C">
      <w:pPr>
        <w:widowControl w:val="0"/>
        <w:spacing w:after="0" w:line="278" w:lineRule="auto"/>
        <w:rPr>
          <w:rFonts w:ascii="Times New Roman" w:eastAsia="Aptos" w:hAnsi="Times New Roman" w:cs="Times New Roman"/>
          <w:sz w:val="24"/>
          <w:szCs w:val="24"/>
        </w:rPr>
      </w:pPr>
      <w:r>
        <w:rPr>
          <w:rFonts w:ascii="Times New Roman" w:eastAsia="Aptos" w:hAnsi="Times New Roman" w:cs="Times New Roman"/>
          <w:sz w:val="24"/>
          <w:szCs w:val="24"/>
          <w:vertAlign w:val="superscript"/>
        </w:rPr>
        <w:t xml:space="preserve">a </w:t>
      </w:r>
      <w:r>
        <w:rPr>
          <w:rFonts w:ascii="Times New Roman" w:eastAsia="Aptos" w:hAnsi="Times New Roman" w:cs="Times New Roman"/>
          <w:sz w:val="24"/>
          <w:szCs w:val="24"/>
        </w:rPr>
        <w:t>Coded as male = 0 and female = 1.</w:t>
      </w:r>
    </w:p>
    <w:p w14:paraId="7B748DB6" w14:textId="77777777" w:rsidR="001E00D6" w:rsidRDefault="001E00D6" w:rsidP="00F31B4C">
      <w:pPr>
        <w:widowControl w:val="0"/>
        <w:spacing w:after="0" w:line="278" w:lineRule="auto"/>
        <w:rPr>
          <w:rFonts w:ascii="Times New Roman" w:eastAsia="Aptos" w:hAnsi="Times New Roman" w:cs="Times New Roman"/>
          <w:sz w:val="24"/>
          <w:szCs w:val="24"/>
        </w:rPr>
      </w:pPr>
      <w:r>
        <w:rPr>
          <w:rFonts w:ascii="Times New Roman" w:eastAsia="Aptos" w:hAnsi="Times New Roman" w:cs="Times New Roman"/>
          <w:sz w:val="24"/>
          <w:szCs w:val="24"/>
        </w:rPr>
        <w:t>*</w:t>
      </w:r>
      <w:r w:rsidRPr="00DA0BF2">
        <w:rPr>
          <w:rFonts w:ascii="Times New Roman" w:eastAsia="Aptos" w:hAnsi="Times New Roman" w:cs="Times New Roman"/>
          <w:i/>
          <w:iCs/>
          <w:sz w:val="24"/>
          <w:szCs w:val="24"/>
        </w:rPr>
        <w:t>p</w:t>
      </w:r>
      <w:r w:rsidRPr="00DA0BF2">
        <w:rPr>
          <w:rFonts w:ascii="Times New Roman" w:eastAsia="Aptos" w:hAnsi="Times New Roman" w:cs="Times New Roman"/>
          <w:sz w:val="24"/>
          <w:szCs w:val="24"/>
        </w:rPr>
        <w:t xml:space="preserve"> &lt; .05</w:t>
      </w:r>
      <w:r>
        <w:rPr>
          <w:rFonts w:ascii="Times New Roman" w:eastAsia="Aptos" w:hAnsi="Times New Roman" w:cs="Times New Roman"/>
          <w:sz w:val="24"/>
          <w:szCs w:val="24"/>
        </w:rPr>
        <w:t xml:space="preserve">. </w:t>
      </w:r>
      <w:r w:rsidRPr="00DA0BF2">
        <w:rPr>
          <w:rFonts w:ascii="Times New Roman" w:eastAsia="Aptos" w:hAnsi="Times New Roman" w:cs="Times New Roman"/>
          <w:sz w:val="24"/>
          <w:szCs w:val="24"/>
        </w:rPr>
        <w:t>*</w:t>
      </w:r>
      <w:r>
        <w:rPr>
          <w:rFonts w:ascii="Times New Roman" w:eastAsia="Aptos" w:hAnsi="Times New Roman" w:cs="Times New Roman"/>
          <w:sz w:val="24"/>
          <w:szCs w:val="24"/>
        </w:rPr>
        <w:t>*</w:t>
      </w:r>
      <w:r w:rsidRPr="00DA0BF2">
        <w:rPr>
          <w:rFonts w:ascii="Times New Roman" w:eastAsia="Aptos" w:hAnsi="Times New Roman" w:cs="Times New Roman"/>
          <w:i/>
          <w:iCs/>
          <w:sz w:val="24"/>
          <w:szCs w:val="24"/>
        </w:rPr>
        <w:t>p</w:t>
      </w:r>
      <w:r w:rsidRPr="00DA0BF2">
        <w:rPr>
          <w:rFonts w:ascii="Times New Roman" w:eastAsia="Aptos" w:hAnsi="Times New Roman" w:cs="Times New Roman"/>
          <w:sz w:val="24"/>
          <w:szCs w:val="24"/>
        </w:rPr>
        <w:t xml:space="preserve"> &lt; .01</w:t>
      </w:r>
      <w:r>
        <w:rPr>
          <w:rFonts w:ascii="Times New Roman" w:eastAsia="Aptos" w:hAnsi="Times New Roman" w:cs="Times New Roman"/>
          <w:sz w:val="24"/>
          <w:szCs w:val="24"/>
        </w:rPr>
        <w:t>.</w:t>
      </w:r>
    </w:p>
    <w:p w14:paraId="416D7A13" w14:textId="77777777" w:rsidR="001E00D6" w:rsidRPr="00DA0BF2" w:rsidRDefault="001E00D6" w:rsidP="00F31B4C">
      <w:pPr>
        <w:widowControl w:val="0"/>
        <w:spacing w:after="0" w:line="278" w:lineRule="auto"/>
        <w:rPr>
          <w:rFonts w:ascii="Times New Roman" w:eastAsia="Aptos" w:hAnsi="Times New Roman" w:cs="Times New Roman"/>
          <w:sz w:val="24"/>
          <w:szCs w:val="24"/>
        </w:rPr>
        <w:sectPr w:rsidR="001E00D6" w:rsidRPr="00DA0BF2" w:rsidSect="001E00D6">
          <w:pgSz w:w="15840" w:h="12240" w:orient="landscape"/>
          <w:pgMar w:top="1440" w:right="1440" w:bottom="1440" w:left="1440" w:header="720" w:footer="720" w:gutter="0"/>
          <w:cols w:space="720"/>
          <w:docGrid w:linePitch="360"/>
        </w:sectPr>
      </w:pPr>
    </w:p>
    <w:p w14:paraId="7CBCF9C7" w14:textId="0EC63E7C" w:rsidR="001E00D6" w:rsidRPr="007E20CF" w:rsidRDefault="00F45A3B" w:rsidP="00F31B4C">
      <w:pPr>
        <w:widowControl w:val="0"/>
        <w:shd w:val="clear" w:color="auto" w:fill="FFFFFF"/>
        <w:spacing w:after="240" w:line="240" w:lineRule="auto"/>
        <w:rPr>
          <w:rFonts w:ascii="Times New Roman" w:hAnsi="Times New Roman" w:cs="Times New Roman"/>
          <w:sz w:val="24"/>
          <w:szCs w:val="24"/>
        </w:rPr>
      </w:pPr>
      <w:r>
        <w:rPr>
          <w:rFonts w:ascii="Times New Roman" w:hAnsi="Times New Roman" w:cs="Times New Roman"/>
          <w:sz w:val="24"/>
          <w:szCs w:val="24"/>
        </w:rPr>
        <w:lastRenderedPageBreak/>
        <w:t>To address Objective 4, a</w:t>
      </w:r>
      <w:r w:rsidR="001E00D6" w:rsidRPr="007E20CF">
        <w:rPr>
          <w:rFonts w:ascii="Times New Roman" w:hAnsi="Times New Roman" w:cs="Times New Roman"/>
          <w:sz w:val="24"/>
          <w:szCs w:val="24"/>
        </w:rPr>
        <w:t xml:space="preserve"> multiple linear regression analysis </w:t>
      </w:r>
      <w:r w:rsidR="00157137">
        <w:rPr>
          <w:rFonts w:ascii="Times New Roman" w:hAnsi="Times New Roman" w:cs="Times New Roman"/>
          <w:sz w:val="24"/>
          <w:szCs w:val="24"/>
        </w:rPr>
        <w:t xml:space="preserve">(Table 4) </w:t>
      </w:r>
      <w:r w:rsidR="001E00D6" w:rsidRPr="007E20CF">
        <w:rPr>
          <w:rFonts w:ascii="Times New Roman" w:hAnsi="Times New Roman" w:cs="Times New Roman"/>
          <w:sz w:val="24"/>
          <w:szCs w:val="24"/>
        </w:rPr>
        <w:t xml:space="preserve">was conducted to examine the predictive value of job embeddedness dimensions, job satisfaction, and demographic characteristics </w:t>
      </w:r>
      <w:r w:rsidR="009E1436" w:rsidRPr="007E20CF">
        <w:rPr>
          <w:rFonts w:ascii="Times New Roman" w:hAnsi="Times New Roman" w:cs="Times New Roman"/>
          <w:sz w:val="24"/>
          <w:szCs w:val="24"/>
        </w:rPr>
        <w:t>with</w:t>
      </w:r>
      <w:r w:rsidR="001E00D6" w:rsidRPr="007E20CF">
        <w:rPr>
          <w:rFonts w:ascii="Times New Roman" w:hAnsi="Times New Roman" w:cs="Times New Roman"/>
          <w:sz w:val="24"/>
          <w:szCs w:val="24"/>
        </w:rPr>
        <w:t xml:space="preserve"> intent to stay. The model included demographic characteristics (age, years of employment, program area, job title, gender), job embeddedness dimensions, and job satisfaction as independent variables. These predictors were entered simultaneously to assess their individual and combined contributions to explaining variance in intent to stay. Multiple regression </w:t>
      </w:r>
      <w:r w:rsidR="001E34A8">
        <w:rPr>
          <w:rFonts w:ascii="Times New Roman" w:hAnsi="Times New Roman" w:cs="Times New Roman"/>
          <w:sz w:val="24"/>
          <w:szCs w:val="24"/>
        </w:rPr>
        <w:t>was</w:t>
      </w:r>
      <w:r w:rsidR="001E00D6" w:rsidRPr="007E20CF">
        <w:rPr>
          <w:rFonts w:ascii="Times New Roman" w:hAnsi="Times New Roman" w:cs="Times New Roman"/>
          <w:sz w:val="24"/>
          <w:szCs w:val="24"/>
        </w:rPr>
        <w:t xml:space="preserve"> widely recognized as a statistical method for evaluating the relative influence of multiple predictors on a single outcome variable, particularly in behavioral and workforce research (Cohen et al., 2003; Nathans et al., 2012). </w:t>
      </w:r>
    </w:p>
    <w:p w14:paraId="0F84AB18" w14:textId="42DB29F7" w:rsidR="001E00D6" w:rsidRPr="007E20CF" w:rsidRDefault="001E00D6" w:rsidP="00F31B4C">
      <w:pPr>
        <w:widowControl w:val="0"/>
        <w:shd w:val="clear" w:color="auto" w:fill="FFFFFF"/>
        <w:spacing w:after="240" w:line="240" w:lineRule="auto"/>
        <w:rPr>
          <w:rFonts w:ascii="Times New Roman" w:eastAsia="Times New Roman" w:hAnsi="Times New Roman" w:cs="Times New Roman"/>
          <w:color w:val="242424"/>
          <w:kern w:val="0"/>
          <w:sz w:val="24"/>
          <w:szCs w:val="24"/>
          <w14:ligatures w14:val="none"/>
        </w:rPr>
      </w:pPr>
      <w:r w:rsidRPr="007E20CF">
        <w:rPr>
          <w:rFonts w:ascii="Times New Roman" w:eastAsia="Times New Roman" w:hAnsi="Times New Roman" w:cs="Times New Roman"/>
          <w:color w:val="242424"/>
          <w:kern w:val="0"/>
          <w:sz w:val="24"/>
          <w:szCs w:val="24"/>
          <w14:ligatures w14:val="none"/>
        </w:rPr>
        <w:t xml:space="preserve">Prior to conducting the regression analysis, </w:t>
      </w:r>
      <w:r w:rsidRPr="007E20CF">
        <w:rPr>
          <w:rFonts w:ascii="Times New Roman" w:hAnsi="Times New Roman" w:cs="Times New Roman"/>
          <w:sz w:val="24"/>
          <w:szCs w:val="24"/>
        </w:rPr>
        <w:t>assumptions for multiple regression, including linearity, independence of errors, homoscedasticity, absence of multicollinearity, and normality of residuals, were evaluated using scatterplots, variance inflation factors (VIF), tolerance values, and the Shapiro-Wilk test</w:t>
      </w:r>
      <w:r w:rsidR="00342F23" w:rsidRPr="007E20CF">
        <w:rPr>
          <w:rFonts w:ascii="Times New Roman" w:hAnsi="Times New Roman" w:cs="Times New Roman"/>
          <w:sz w:val="24"/>
          <w:szCs w:val="24"/>
        </w:rPr>
        <w:t xml:space="preserve">. </w:t>
      </w:r>
      <w:r w:rsidRPr="007E20CF">
        <w:rPr>
          <w:rFonts w:ascii="Times New Roman" w:eastAsia="Times New Roman" w:hAnsi="Times New Roman" w:cs="Times New Roman"/>
          <w:color w:val="242424"/>
          <w:kern w:val="0"/>
          <w:sz w:val="24"/>
          <w:szCs w:val="24"/>
          <w14:ligatures w14:val="none"/>
        </w:rPr>
        <w:t xml:space="preserve">The dependent variable (intent to stay) and independent variables (job embeddedness, job satisfaction, age, years employed) were measured at a continuous level. Program area was treated as </w:t>
      </w:r>
      <w:r>
        <w:rPr>
          <w:rFonts w:ascii="Times New Roman" w:eastAsia="Times New Roman" w:hAnsi="Times New Roman" w:cs="Times New Roman"/>
          <w:color w:val="242424"/>
          <w:kern w:val="0"/>
          <w:sz w:val="24"/>
          <w:szCs w:val="24"/>
          <w14:ligatures w14:val="none"/>
        </w:rPr>
        <w:t>nominal</w:t>
      </w:r>
      <w:r w:rsidRPr="007E20CF">
        <w:rPr>
          <w:rFonts w:ascii="Times New Roman" w:eastAsia="Times New Roman" w:hAnsi="Times New Roman" w:cs="Times New Roman"/>
          <w:color w:val="242424"/>
          <w:kern w:val="0"/>
          <w:sz w:val="24"/>
          <w:szCs w:val="24"/>
          <w14:ligatures w14:val="none"/>
        </w:rPr>
        <w:t>. Scatterplots and correlation matrices indicated linear relationships between predictors and the dependent variable</w:t>
      </w:r>
      <w:r w:rsidR="00342F23" w:rsidRPr="007E20CF">
        <w:rPr>
          <w:rFonts w:ascii="Times New Roman" w:eastAsia="Times New Roman" w:hAnsi="Times New Roman" w:cs="Times New Roman"/>
          <w:color w:val="242424"/>
          <w:kern w:val="0"/>
          <w:sz w:val="24"/>
          <w:szCs w:val="24"/>
          <w14:ligatures w14:val="none"/>
        </w:rPr>
        <w:t xml:space="preserve">. </w:t>
      </w:r>
      <w:r w:rsidRPr="007E20CF">
        <w:rPr>
          <w:rFonts w:ascii="Times New Roman" w:eastAsia="Times New Roman" w:hAnsi="Times New Roman" w:cs="Times New Roman"/>
          <w:color w:val="242424"/>
          <w:kern w:val="0"/>
          <w:sz w:val="24"/>
          <w:szCs w:val="24"/>
          <w14:ligatures w14:val="none"/>
        </w:rPr>
        <w:t xml:space="preserve">No significant outliers were detected during assumption testing as two outliers were removed during data cleaning and included an individual who reported working with 100 team members and serving on 100 committees within the SO scale. </w:t>
      </w:r>
    </w:p>
    <w:p w14:paraId="6FA477C8" w14:textId="77777777" w:rsidR="001E00D6" w:rsidRPr="007E20CF" w:rsidRDefault="001E00D6" w:rsidP="00F31B4C">
      <w:pPr>
        <w:widowControl w:val="0"/>
        <w:shd w:val="clear" w:color="auto" w:fill="FFFFFF" w:themeFill="background1"/>
        <w:spacing w:after="240" w:line="240" w:lineRule="auto"/>
        <w:rPr>
          <w:rFonts w:ascii="Times New Roman" w:hAnsi="Times New Roman" w:cs="Times New Roman"/>
          <w:b/>
          <w:bCs/>
          <w:sz w:val="24"/>
          <w:szCs w:val="24"/>
        </w:rPr>
      </w:pPr>
      <w:r w:rsidRPr="007E20CF">
        <w:rPr>
          <w:rFonts w:ascii="Times New Roman" w:eastAsia="Times New Roman" w:hAnsi="Times New Roman" w:cs="Times New Roman"/>
          <w:color w:val="242424"/>
          <w:kern w:val="0"/>
          <w:sz w:val="24"/>
          <w:szCs w:val="24"/>
          <w14:ligatures w14:val="none"/>
        </w:rPr>
        <w:t>Independence of observations was assumed based on study design and homoscedasticity was evaluated using residual plots which indicated consistent variance across predicted values. Residuals were evaluated using the Shapiro-Wilk test and Q-Q plots, which confirmed approximate normality</w:t>
      </w:r>
      <w:r w:rsidRPr="004E2394">
        <w:t xml:space="preserve"> </w:t>
      </w:r>
      <w:r w:rsidRPr="004E2394">
        <w:rPr>
          <w:rFonts w:ascii="Times New Roman" w:eastAsia="Times New Roman" w:hAnsi="Times New Roman" w:cs="Times New Roman"/>
          <w:color w:val="242424"/>
          <w:kern w:val="0"/>
          <w:sz w:val="24"/>
          <w:szCs w:val="24"/>
          <w14:ligatures w14:val="none"/>
        </w:rPr>
        <w:t>which confirmed approximate normality (</w:t>
      </w:r>
      <w:r w:rsidRPr="0038684D">
        <w:rPr>
          <w:rFonts w:ascii="Times New Roman" w:eastAsia="Times New Roman" w:hAnsi="Times New Roman" w:cs="Times New Roman"/>
          <w:i/>
          <w:iCs/>
          <w:color w:val="242424"/>
          <w:kern w:val="0"/>
          <w:sz w:val="24"/>
          <w:szCs w:val="24"/>
          <w14:ligatures w14:val="none"/>
        </w:rPr>
        <w:t>W</w:t>
      </w:r>
      <w:r w:rsidRPr="0038684D">
        <w:rPr>
          <w:rFonts w:ascii="Times New Roman" w:eastAsia="Times New Roman" w:hAnsi="Times New Roman" w:cs="Times New Roman"/>
          <w:color w:val="242424"/>
          <w:kern w:val="0"/>
          <w:sz w:val="24"/>
          <w:szCs w:val="24"/>
          <w14:ligatures w14:val="none"/>
        </w:rPr>
        <w:t xml:space="preserve"> = 0.986, </w:t>
      </w:r>
      <w:r w:rsidRPr="0038684D">
        <w:rPr>
          <w:rFonts w:ascii="Times New Roman" w:eastAsia="Times New Roman" w:hAnsi="Times New Roman" w:cs="Times New Roman"/>
          <w:i/>
          <w:iCs/>
          <w:color w:val="242424"/>
          <w:kern w:val="0"/>
          <w:sz w:val="24"/>
          <w:szCs w:val="24"/>
          <w14:ligatures w14:val="none"/>
        </w:rPr>
        <w:t>p</w:t>
      </w:r>
      <w:r w:rsidRPr="0038684D">
        <w:rPr>
          <w:rFonts w:ascii="Times New Roman" w:eastAsia="Times New Roman" w:hAnsi="Times New Roman" w:cs="Times New Roman"/>
          <w:color w:val="242424"/>
          <w:kern w:val="0"/>
          <w:sz w:val="24"/>
          <w:szCs w:val="24"/>
          <w14:ligatures w14:val="none"/>
        </w:rPr>
        <w:t xml:space="preserve"> = 0.084</w:t>
      </w:r>
      <w:r w:rsidRPr="004E2394">
        <w:rPr>
          <w:rFonts w:ascii="Times New Roman" w:eastAsia="Times New Roman" w:hAnsi="Times New Roman" w:cs="Times New Roman"/>
          <w:color w:val="242424"/>
          <w:kern w:val="0"/>
          <w:sz w:val="24"/>
          <w:szCs w:val="24"/>
          <w14:ligatures w14:val="none"/>
        </w:rPr>
        <w:t>)</w:t>
      </w:r>
      <w:r>
        <w:rPr>
          <w:rFonts w:ascii="Times New Roman" w:eastAsia="Times New Roman" w:hAnsi="Times New Roman" w:cs="Times New Roman"/>
          <w:color w:val="242424"/>
          <w:kern w:val="0"/>
          <w:sz w:val="24"/>
          <w:szCs w:val="24"/>
          <w14:ligatures w14:val="none"/>
        </w:rPr>
        <w:t xml:space="preserve">. </w:t>
      </w:r>
      <w:r w:rsidRPr="007E20CF">
        <w:rPr>
          <w:rFonts w:ascii="Times New Roman" w:eastAsia="Times New Roman" w:hAnsi="Times New Roman" w:cs="Times New Roman"/>
          <w:color w:val="242424"/>
          <w:kern w:val="0"/>
          <w:sz w:val="24"/>
          <w:szCs w:val="24"/>
          <w14:ligatures w14:val="none"/>
        </w:rPr>
        <w:t>Variance inflation factor (VIF) values ranged from 1.091 to 1.499, indicating no multicollinearity concerns</w:t>
      </w:r>
      <w:r>
        <w:rPr>
          <w:rFonts w:ascii="Times New Roman" w:eastAsia="Times New Roman" w:hAnsi="Times New Roman" w:cs="Times New Roman"/>
          <w:color w:val="242424"/>
          <w:kern w:val="0"/>
          <w:sz w:val="24"/>
          <w:szCs w:val="24"/>
          <w14:ligatures w14:val="none"/>
        </w:rPr>
        <w:t xml:space="preserve"> (Field &amp; Miles, 2010)</w:t>
      </w:r>
      <w:r w:rsidRPr="007E20CF">
        <w:rPr>
          <w:rFonts w:ascii="Times New Roman" w:eastAsia="Times New Roman" w:hAnsi="Times New Roman" w:cs="Times New Roman"/>
          <w:color w:val="242424"/>
          <w:kern w:val="0"/>
          <w:sz w:val="24"/>
          <w:szCs w:val="24"/>
          <w14:ligatures w14:val="none"/>
        </w:rPr>
        <w:t xml:space="preserve">. </w:t>
      </w:r>
      <w:r w:rsidRPr="007E20CF">
        <w:rPr>
          <w:rFonts w:ascii="Times New Roman" w:hAnsi="Times New Roman" w:cs="Times New Roman"/>
          <w:sz w:val="24"/>
          <w:szCs w:val="24"/>
        </w:rPr>
        <w:t xml:space="preserve">All linear regression assumptions were met, suggesting that regression analysis was appropriate. </w:t>
      </w:r>
    </w:p>
    <w:p w14:paraId="33941EEA" w14:textId="6CE5AF4F" w:rsidR="001E00D6" w:rsidRPr="007E20CF" w:rsidRDefault="001E00D6" w:rsidP="00F31B4C">
      <w:pPr>
        <w:widowControl w:val="0"/>
        <w:shd w:val="clear" w:color="auto" w:fill="FFFFFF" w:themeFill="background1"/>
        <w:spacing w:after="240" w:line="240" w:lineRule="auto"/>
        <w:rPr>
          <w:rFonts w:ascii="Times New Roman" w:eastAsia="Times New Roman" w:hAnsi="Times New Roman" w:cs="Times New Roman"/>
          <w:color w:val="242424"/>
          <w:kern w:val="0"/>
          <w:sz w:val="24"/>
          <w:szCs w:val="24"/>
          <w14:ligatures w14:val="none"/>
        </w:rPr>
      </w:pPr>
      <w:r w:rsidRPr="007E20CF">
        <w:rPr>
          <w:rFonts w:ascii="Times New Roman" w:eastAsia="Times New Roman" w:hAnsi="Times New Roman" w:cs="Times New Roman"/>
          <w:color w:val="242424"/>
          <w:kern w:val="0"/>
          <w:sz w:val="24"/>
          <w:szCs w:val="24"/>
          <w14:ligatures w14:val="none"/>
        </w:rPr>
        <w:t xml:space="preserve">When demographic characteristics (age, gender, years employed, and program area), job embeddedness dimensions, and job satisfaction were regressed on intent to stay, the overall model was statistically significant, </w:t>
      </w:r>
      <w:r w:rsidRPr="007E20CF">
        <w:rPr>
          <w:rFonts w:ascii="Times New Roman" w:eastAsia="Times New Roman" w:hAnsi="Times New Roman" w:cs="Times New Roman"/>
          <w:i/>
          <w:iCs/>
          <w:color w:val="242424"/>
          <w:kern w:val="0"/>
          <w:sz w:val="24"/>
          <w:szCs w:val="24"/>
          <w14:ligatures w14:val="none"/>
        </w:rPr>
        <w:t>F</w:t>
      </w:r>
      <w:r w:rsidRPr="007E20CF">
        <w:rPr>
          <w:rFonts w:ascii="Times New Roman" w:eastAsia="Times New Roman" w:hAnsi="Times New Roman" w:cs="Times New Roman"/>
          <w:color w:val="242424"/>
          <w:kern w:val="0"/>
          <w:sz w:val="24"/>
          <w:szCs w:val="24"/>
          <w14:ligatures w14:val="none"/>
        </w:rPr>
        <w:t xml:space="preserve">(4, 92) = 15.49, </w:t>
      </w:r>
      <w:r w:rsidRPr="007E20CF">
        <w:rPr>
          <w:rFonts w:ascii="Times New Roman" w:eastAsia="Times New Roman" w:hAnsi="Times New Roman" w:cs="Times New Roman"/>
          <w:i/>
          <w:iCs/>
          <w:color w:val="242424"/>
          <w:kern w:val="0"/>
          <w:sz w:val="24"/>
          <w:szCs w:val="24"/>
          <w14:ligatures w14:val="none"/>
        </w:rPr>
        <w:t>p</w:t>
      </w:r>
      <w:r w:rsidRPr="007E20CF">
        <w:rPr>
          <w:rFonts w:ascii="Times New Roman" w:eastAsia="Times New Roman" w:hAnsi="Times New Roman" w:cs="Times New Roman"/>
          <w:color w:val="242424"/>
          <w:kern w:val="0"/>
          <w:sz w:val="24"/>
          <w:szCs w:val="24"/>
          <w14:ligatures w14:val="none"/>
        </w:rPr>
        <w:t xml:space="preserve"> &lt; .001, indicating that </w:t>
      </w:r>
      <w:r w:rsidR="00FA3ECA">
        <w:rPr>
          <w:rFonts w:ascii="Times New Roman" w:eastAsia="Times New Roman" w:hAnsi="Times New Roman" w:cs="Times New Roman"/>
          <w:color w:val="242424"/>
          <w:kern w:val="0"/>
          <w:sz w:val="24"/>
          <w:szCs w:val="24"/>
          <w14:ligatures w14:val="none"/>
        </w:rPr>
        <w:t>a linear combination of</w:t>
      </w:r>
      <w:r w:rsidR="00FA3ECA" w:rsidRPr="007E20CF">
        <w:rPr>
          <w:rFonts w:ascii="Times New Roman" w:eastAsia="Times New Roman" w:hAnsi="Times New Roman" w:cs="Times New Roman"/>
          <w:color w:val="242424"/>
          <w:kern w:val="0"/>
          <w:sz w:val="24"/>
          <w:szCs w:val="24"/>
          <w14:ligatures w14:val="none"/>
        </w:rPr>
        <w:t xml:space="preserve"> </w:t>
      </w:r>
      <w:r w:rsidRPr="007E20CF">
        <w:rPr>
          <w:rFonts w:ascii="Times New Roman" w:eastAsia="Times New Roman" w:hAnsi="Times New Roman" w:cs="Times New Roman"/>
          <w:color w:val="242424"/>
          <w:kern w:val="0"/>
          <w:sz w:val="24"/>
          <w:szCs w:val="24"/>
          <w14:ligatures w14:val="none"/>
        </w:rPr>
        <w:t xml:space="preserve">predictors explained a significant portion of the variance in intent to stay. </w:t>
      </w:r>
      <w:r w:rsidR="00551F5D">
        <w:rPr>
          <w:rFonts w:ascii="Times New Roman" w:eastAsia="Times New Roman" w:hAnsi="Times New Roman" w:cs="Times New Roman"/>
          <w:color w:val="242424"/>
          <w:kern w:val="0"/>
          <w:sz w:val="24"/>
          <w:szCs w:val="24"/>
          <w14:ligatures w14:val="none"/>
        </w:rPr>
        <w:t>As shown in Table 4, t</w:t>
      </w:r>
      <w:r w:rsidRPr="007E20CF">
        <w:rPr>
          <w:rFonts w:ascii="Times New Roman" w:eastAsia="Times New Roman" w:hAnsi="Times New Roman" w:cs="Times New Roman"/>
          <w:color w:val="242424"/>
          <w:kern w:val="0"/>
          <w:sz w:val="24"/>
          <w:szCs w:val="24"/>
          <w14:ligatures w14:val="none"/>
        </w:rPr>
        <w:t xml:space="preserve">he model yielded an </w:t>
      </w:r>
      <w:r w:rsidRPr="007E20CF">
        <w:rPr>
          <w:rFonts w:ascii="Times New Roman" w:eastAsia="Times New Roman" w:hAnsi="Times New Roman" w:cs="Times New Roman"/>
          <w:i/>
          <w:iCs/>
          <w:color w:val="242424"/>
          <w:kern w:val="0"/>
          <w:sz w:val="24"/>
          <w:szCs w:val="24"/>
          <w14:ligatures w14:val="none"/>
        </w:rPr>
        <w:t>R</w:t>
      </w:r>
      <w:r w:rsidRPr="007E20CF">
        <w:rPr>
          <w:rFonts w:ascii="Times New Roman" w:eastAsia="Times New Roman" w:hAnsi="Times New Roman" w:cs="Times New Roman"/>
          <w:color w:val="242424"/>
          <w:kern w:val="0"/>
          <w:sz w:val="24"/>
          <w:szCs w:val="24"/>
          <w14:ligatures w14:val="none"/>
        </w:rPr>
        <w:t xml:space="preserve"> value of .643, suggesting a moderate to strong correlation between the observed and predicted values of the dependent variable. The </w:t>
      </w:r>
      <w:r w:rsidRPr="007E20CF">
        <w:rPr>
          <w:rFonts w:ascii="Times New Roman" w:eastAsia="Times New Roman" w:hAnsi="Times New Roman" w:cs="Times New Roman"/>
          <w:i/>
          <w:iCs/>
          <w:color w:val="242424"/>
          <w:kern w:val="0"/>
          <w:sz w:val="24"/>
          <w:szCs w:val="24"/>
          <w14:ligatures w14:val="none"/>
        </w:rPr>
        <w:t>R²</w:t>
      </w:r>
      <w:r w:rsidRPr="007E20CF">
        <w:rPr>
          <w:rFonts w:ascii="Times New Roman" w:eastAsia="Times New Roman" w:hAnsi="Times New Roman" w:cs="Times New Roman"/>
          <w:color w:val="242424"/>
          <w:kern w:val="0"/>
          <w:sz w:val="24"/>
          <w:szCs w:val="24"/>
          <w14:ligatures w14:val="none"/>
        </w:rPr>
        <w:t xml:space="preserve"> value was .413, indicating that approximately 41.3% of the variance in intent to stay was explained by the regression model. The adjusted </w:t>
      </w:r>
      <w:r w:rsidRPr="007E20CF">
        <w:rPr>
          <w:rFonts w:ascii="Times New Roman" w:eastAsia="Times New Roman" w:hAnsi="Times New Roman" w:cs="Times New Roman"/>
          <w:i/>
          <w:iCs/>
          <w:color w:val="242424"/>
          <w:kern w:val="0"/>
          <w:sz w:val="24"/>
          <w:szCs w:val="24"/>
          <w14:ligatures w14:val="none"/>
        </w:rPr>
        <w:t>R²</w:t>
      </w:r>
      <w:r w:rsidRPr="007E20CF">
        <w:rPr>
          <w:rFonts w:ascii="Times New Roman" w:eastAsia="Times New Roman" w:hAnsi="Times New Roman" w:cs="Times New Roman"/>
          <w:color w:val="242424"/>
          <w:kern w:val="0"/>
          <w:sz w:val="24"/>
          <w:szCs w:val="24"/>
          <w14:ligatures w14:val="none"/>
        </w:rPr>
        <w:t xml:space="preserve"> was .386, providing a more conservative estimate of model fit</w:t>
      </w:r>
      <w:r w:rsidR="00B85991">
        <w:rPr>
          <w:rFonts w:ascii="Times New Roman" w:eastAsia="Times New Roman" w:hAnsi="Times New Roman" w:cs="Times New Roman"/>
          <w:color w:val="242424"/>
          <w:kern w:val="0"/>
          <w:sz w:val="24"/>
          <w:szCs w:val="24"/>
          <w14:ligatures w14:val="none"/>
        </w:rPr>
        <w:t xml:space="preserve"> in the population</w:t>
      </w:r>
      <w:r w:rsidRPr="007E20CF">
        <w:rPr>
          <w:rFonts w:ascii="Times New Roman" w:eastAsia="Times New Roman" w:hAnsi="Times New Roman" w:cs="Times New Roman"/>
          <w:color w:val="242424"/>
          <w:kern w:val="0"/>
          <w:sz w:val="24"/>
          <w:szCs w:val="24"/>
          <w14:ligatures w14:val="none"/>
        </w:rPr>
        <w:t>. The standard error of the estimate was 6.55, reflecting the average distance that the observed values f</w:t>
      </w:r>
      <w:r>
        <w:rPr>
          <w:rFonts w:ascii="Times New Roman" w:eastAsia="Times New Roman" w:hAnsi="Times New Roman" w:cs="Times New Roman"/>
          <w:color w:val="242424"/>
          <w:kern w:val="0"/>
          <w:sz w:val="24"/>
          <w:szCs w:val="24"/>
          <w14:ligatures w14:val="none"/>
        </w:rPr>
        <w:t>e</w:t>
      </w:r>
      <w:r w:rsidRPr="007E20CF">
        <w:rPr>
          <w:rFonts w:ascii="Times New Roman" w:eastAsia="Times New Roman" w:hAnsi="Times New Roman" w:cs="Times New Roman"/>
          <w:color w:val="242424"/>
          <w:kern w:val="0"/>
          <w:sz w:val="24"/>
          <w:szCs w:val="24"/>
          <w14:ligatures w14:val="none"/>
        </w:rPr>
        <w:t>ll from the regression line. This indicate</w:t>
      </w:r>
      <w:r>
        <w:rPr>
          <w:rFonts w:ascii="Times New Roman" w:eastAsia="Times New Roman" w:hAnsi="Times New Roman" w:cs="Times New Roman"/>
          <w:color w:val="242424"/>
          <w:kern w:val="0"/>
          <w:sz w:val="24"/>
          <w:szCs w:val="24"/>
          <w14:ligatures w14:val="none"/>
        </w:rPr>
        <w:t>d</w:t>
      </w:r>
      <w:r w:rsidRPr="007E20CF">
        <w:rPr>
          <w:rFonts w:ascii="Times New Roman" w:eastAsia="Times New Roman" w:hAnsi="Times New Roman" w:cs="Times New Roman"/>
          <w:color w:val="242424"/>
          <w:kern w:val="0"/>
          <w:sz w:val="24"/>
          <w:szCs w:val="24"/>
          <w14:ligatures w14:val="none"/>
        </w:rPr>
        <w:t xml:space="preserve"> that data points </w:t>
      </w:r>
      <w:r>
        <w:rPr>
          <w:rFonts w:ascii="Times New Roman" w:eastAsia="Times New Roman" w:hAnsi="Times New Roman" w:cs="Times New Roman"/>
          <w:color w:val="242424"/>
          <w:kern w:val="0"/>
          <w:sz w:val="24"/>
          <w:szCs w:val="24"/>
          <w14:ligatures w14:val="none"/>
        </w:rPr>
        <w:t>were</w:t>
      </w:r>
      <w:r w:rsidRPr="007E20CF">
        <w:rPr>
          <w:rFonts w:ascii="Times New Roman" w:eastAsia="Times New Roman" w:hAnsi="Times New Roman" w:cs="Times New Roman"/>
          <w:color w:val="242424"/>
          <w:kern w:val="0"/>
          <w:sz w:val="24"/>
          <w:szCs w:val="24"/>
          <w14:ligatures w14:val="none"/>
        </w:rPr>
        <w:t xml:space="preserve"> tightly clustered around the regression line, generally within +/- two standard deviations, indicating the model </w:t>
      </w:r>
      <w:r>
        <w:rPr>
          <w:rFonts w:ascii="Times New Roman" w:eastAsia="Times New Roman" w:hAnsi="Times New Roman" w:cs="Times New Roman"/>
          <w:color w:val="242424"/>
          <w:kern w:val="0"/>
          <w:sz w:val="24"/>
          <w:szCs w:val="24"/>
          <w14:ligatures w14:val="none"/>
        </w:rPr>
        <w:t>was</w:t>
      </w:r>
      <w:r w:rsidRPr="007E20CF">
        <w:rPr>
          <w:rFonts w:ascii="Times New Roman" w:eastAsia="Times New Roman" w:hAnsi="Times New Roman" w:cs="Times New Roman"/>
          <w:color w:val="242424"/>
          <w:kern w:val="0"/>
          <w:sz w:val="24"/>
          <w:szCs w:val="24"/>
          <w14:ligatures w14:val="none"/>
        </w:rPr>
        <w:t xml:space="preserve"> a good fit. </w:t>
      </w:r>
    </w:p>
    <w:p w14:paraId="36932DD1" w14:textId="77777777" w:rsidR="00FA3ECA" w:rsidRDefault="001E00D6" w:rsidP="00F31B4C">
      <w:pPr>
        <w:widowControl w:val="0"/>
        <w:shd w:val="clear" w:color="auto" w:fill="FFFFFF"/>
        <w:spacing w:after="240" w:line="240" w:lineRule="auto"/>
        <w:rPr>
          <w:rFonts w:ascii="Times New Roman" w:hAnsi="Times New Roman" w:cs="Times New Roman"/>
          <w:sz w:val="24"/>
          <w:szCs w:val="24"/>
        </w:rPr>
      </w:pPr>
      <w:r w:rsidRPr="007E20CF">
        <w:rPr>
          <w:rFonts w:ascii="Times New Roman" w:eastAsia="Times New Roman" w:hAnsi="Times New Roman" w:cs="Times New Roman"/>
          <w:color w:val="242424"/>
          <w:kern w:val="0"/>
          <w:sz w:val="24"/>
          <w:szCs w:val="24"/>
          <w14:ligatures w14:val="none"/>
        </w:rPr>
        <w:t xml:space="preserve">As shown in Table 4, among the predictors, job embeddedness approached significance, </w:t>
      </w:r>
      <w:r w:rsidRPr="007E20CF">
        <w:rPr>
          <w:rFonts w:ascii="Times New Roman" w:eastAsia="Times New Roman" w:hAnsi="Times New Roman" w:cs="Times New Roman"/>
          <w:i/>
          <w:iCs/>
          <w:color w:val="242424"/>
          <w:kern w:val="0"/>
          <w:sz w:val="24"/>
          <w:szCs w:val="24"/>
          <w14:ligatures w14:val="none"/>
        </w:rPr>
        <w:t>β</w:t>
      </w:r>
      <w:r w:rsidRPr="007E20CF">
        <w:rPr>
          <w:rFonts w:ascii="Times New Roman" w:eastAsia="Times New Roman" w:hAnsi="Times New Roman" w:cs="Times New Roman"/>
          <w:color w:val="242424"/>
          <w:kern w:val="0"/>
          <w:sz w:val="24"/>
          <w:szCs w:val="24"/>
          <w14:ligatures w14:val="none"/>
        </w:rPr>
        <w:t xml:space="preserve"> = .228, </w:t>
      </w:r>
      <w:r w:rsidRPr="007E20CF">
        <w:rPr>
          <w:rFonts w:ascii="Times New Roman" w:eastAsia="Times New Roman" w:hAnsi="Times New Roman" w:cs="Times New Roman"/>
          <w:i/>
          <w:iCs/>
          <w:color w:val="242424"/>
          <w:kern w:val="0"/>
          <w:sz w:val="24"/>
          <w:szCs w:val="24"/>
          <w14:ligatures w14:val="none"/>
        </w:rPr>
        <w:t>t</w:t>
      </w:r>
      <w:r w:rsidRPr="007E20CF">
        <w:rPr>
          <w:rFonts w:ascii="Times New Roman" w:eastAsia="Times New Roman" w:hAnsi="Times New Roman" w:cs="Times New Roman"/>
          <w:color w:val="242424"/>
          <w:kern w:val="0"/>
          <w:sz w:val="24"/>
          <w:szCs w:val="24"/>
          <w14:ligatures w14:val="none"/>
        </w:rPr>
        <w:t xml:space="preserve">(88) = 1.89, </w:t>
      </w:r>
      <w:r w:rsidRPr="007E20CF">
        <w:rPr>
          <w:rFonts w:ascii="Times New Roman" w:eastAsia="Times New Roman" w:hAnsi="Times New Roman" w:cs="Times New Roman"/>
          <w:i/>
          <w:iCs/>
          <w:color w:val="242424"/>
          <w:kern w:val="0"/>
          <w:sz w:val="24"/>
          <w:szCs w:val="24"/>
          <w14:ligatures w14:val="none"/>
        </w:rPr>
        <w:t>p</w:t>
      </w:r>
      <w:r w:rsidRPr="007E20CF">
        <w:rPr>
          <w:rFonts w:ascii="Times New Roman" w:eastAsia="Times New Roman" w:hAnsi="Times New Roman" w:cs="Times New Roman"/>
          <w:color w:val="242424"/>
          <w:kern w:val="0"/>
          <w:sz w:val="24"/>
          <w:szCs w:val="24"/>
          <w14:ligatures w14:val="none"/>
        </w:rPr>
        <w:t xml:space="preserve"> = .061, suggesting a potential positive relationship with intent to stay scores, though this effect did not reach conventional levels of statistical significance. Age was a statistically positive predictor of intent to stay scores, </w:t>
      </w:r>
      <w:r w:rsidRPr="007E20CF">
        <w:rPr>
          <w:rFonts w:ascii="Times New Roman" w:eastAsia="Times New Roman" w:hAnsi="Times New Roman" w:cs="Times New Roman"/>
          <w:i/>
          <w:iCs/>
          <w:color w:val="242424"/>
          <w:kern w:val="0"/>
          <w:sz w:val="24"/>
          <w:szCs w:val="24"/>
          <w14:ligatures w14:val="none"/>
        </w:rPr>
        <w:t>β</w:t>
      </w:r>
      <w:r w:rsidRPr="007E20CF">
        <w:rPr>
          <w:rFonts w:ascii="Times New Roman" w:eastAsia="Times New Roman" w:hAnsi="Times New Roman" w:cs="Times New Roman"/>
          <w:color w:val="242424"/>
          <w:kern w:val="0"/>
          <w:sz w:val="24"/>
          <w:szCs w:val="24"/>
          <w14:ligatures w14:val="none"/>
        </w:rPr>
        <w:t xml:space="preserve"> = .347, </w:t>
      </w:r>
      <w:r w:rsidRPr="007E20CF">
        <w:rPr>
          <w:rFonts w:ascii="Times New Roman" w:eastAsia="Times New Roman" w:hAnsi="Times New Roman" w:cs="Times New Roman"/>
          <w:i/>
          <w:iCs/>
          <w:color w:val="242424"/>
          <w:kern w:val="0"/>
          <w:sz w:val="24"/>
          <w:szCs w:val="24"/>
          <w14:ligatures w14:val="none"/>
        </w:rPr>
        <w:t>t</w:t>
      </w:r>
      <w:r w:rsidRPr="007E20CF">
        <w:rPr>
          <w:rFonts w:ascii="Times New Roman" w:eastAsia="Times New Roman" w:hAnsi="Times New Roman" w:cs="Times New Roman"/>
          <w:color w:val="242424"/>
          <w:kern w:val="0"/>
          <w:sz w:val="24"/>
          <w:szCs w:val="24"/>
          <w14:ligatures w14:val="none"/>
        </w:rPr>
        <w:t xml:space="preserve">(88) = 3.57, </w:t>
      </w:r>
      <w:r w:rsidRPr="007E20CF">
        <w:rPr>
          <w:rFonts w:ascii="Times New Roman" w:eastAsia="Times New Roman" w:hAnsi="Times New Roman" w:cs="Times New Roman"/>
          <w:i/>
          <w:iCs/>
          <w:color w:val="242424"/>
          <w:kern w:val="0"/>
          <w:sz w:val="24"/>
          <w:szCs w:val="24"/>
          <w14:ligatures w14:val="none"/>
        </w:rPr>
        <w:t>p</w:t>
      </w:r>
      <w:r w:rsidRPr="007E20CF">
        <w:rPr>
          <w:rFonts w:ascii="Times New Roman" w:eastAsia="Times New Roman" w:hAnsi="Times New Roman" w:cs="Times New Roman"/>
          <w:color w:val="242424"/>
          <w:kern w:val="0"/>
          <w:sz w:val="24"/>
          <w:szCs w:val="24"/>
          <w14:ligatures w14:val="none"/>
        </w:rPr>
        <w:t xml:space="preserve"> &lt; .001, indicating that older individuals tended to report high</w:t>
      </w:r>
      <w:r>
        <w:rPr>
          <w:rFonts w:ascii="Times New Roman" w:eastAsia="Times New Roman" w:hAnsi="Times New Roman" w:cs="Times New Roman"/>
          <w:color w:val="242424"/>
          <w:kern w:val="0"/>
          <w:sz w:val="24"/>
          <w:szCs w:val="24"/>
          <w14:ligatures w14:val="none"/>
        </w:rPr>
        <w:t>er</w:t>
      </w:r>
      <w:r w:rsidRPr="007E20CF">
        <w:rPr>
          <w:rFonts w:ascii="Times New Roman" w:eastAsia="Times New Roman" w:hAnsi="Times New Roman" w:cs="Times New Roman"/>
          <w:color w:val="242424"/>
          <w:kern w:val="0"/>
          <w:sz w:val="24"/>
          <w:szCs w:val="24"/>
          <w14:ligatures w14:val="none"/>
        </w:rPr>
        <w:t xml:space="preserve"> intent to stay scores. Job satisfaction was also a </w:t>
      </w:r>
      <w:r w:rsidRPr="007E20CF">
        <w:rPr>
          <w:rFonts w:ascii="Times New Roman" w:eastAsia="Times New Roman" w:hAnsi="Times New Roman" w:cs="Times New Roman"/>
          <w:color w:val="242424"/>
          <w:kern w:val="0"/>
          <w:sz w:val="24"/>
          <w:szCs w:val="24"/>
          <w14:ligatures w14:val="none"/>
        </w:rPr>
        <w:lastRenderedPageBreak/>
        <w:t xml:space="preserve">significant positive predictor, </w:t>
      </w:r>
      <w:r w:rsidRPr="007E20CF">
        <w:rPr>
          <w:rFonts w:ascii="Times New Roman" w:eastAsia="Times New Roman" w:hAnsi="Times New Roman" w:cs="Times New Roman"/>
          <w:i/>
          <w:iCs/>
          <w:color w:val="242424"/>
          <w:kern w:val="0"/>
          <w:sz w:val="24"/>
          <w:szCs w:val="24"/>
          <w14:ligatures w14:val="none"/>
        </w:rPr>
        <w:t>β</w:t>
      </w:r>
      <w:r w:rsidRPr="007E20CF">
        <w:rPr>
          <w:rFonts w:ascii="Times New Roman" w:eastAsia="Times New Roman" w:hAnsi="Times New Roman" w:cs="Times New Roman"/>
          <w:color w:val="242424"/>
          <w:kern w:val="0"/>
          <w:sz w:val="24"/>
          <w:szCs w:val="24"/>
          <w14:ligatures w14:val="none"/>
        </w:rPr>
        <w:t xml:space="preserve"> = .311, </w:t>
      </w:r>
      <w:r w:rsidRPr="007E20CF">
        <w:rPr>
          <w:rFonts w:ascii="Times New Roman" w:eastAsia="Times New Roman" w:hAnsi="Times New Roman" w:cs="Times New Roman"/>
          <w:i/>
          <w:iCs/>
          <w:color w:val="242424"/>
          <w:kern w:val="0"/>
          <w:sz w:val="24"/>
          <w:szCs w:val="24"/>
          <w14:ligatures w14:val="none"/>
        </w:rPr>
        <w:t>t</w:t>
      </w:r>
      <w:r w:rsidRPr="007E20CF">
        <w:rPr>
          <w:rFonts w:ascii="Times New Roman" w:eastAsia="Times New Roman" w:hAnsi="Times New Roman" w:cs="Times New Roman"/>
          <w:color w:val="242424"/>
          <w:kern w:val="0"/>
          <w:sz w:val="24"/>
          <w:szCs w:val="24"/>
          <w14:ligatures w14:val="none"/>
        </w:rPr>
        <w:t xml:space="preserve">(88) = 2.64, </w:t>
      </w:r>
      <w:r w:rsidRPr="007E20CF">
        <w:rPr>
          <w:rFonts w:ascii="Times New Roman" w:eastAsia="Times New Roman" w:hAnsi="Times New Roman" w:cs="Times New Roman"/>
          <w:i/>
          <w:iCs/>
          <w:color w:val="242424"/>
          <w:kern w:val="0"/>
          <w:sz w:val="24"/>
          <w:szCs w:val="24"/>
          <w14:ligatures w14:val="none"/>
        </w:rPr>
        <w:t>p</w:t>
      </w:r>
      <w:r w:rsidRPr="007E20CF">
        <w:rPr>
          <w:rFonts w:ascii="Times New Roman" w:eastAsia="Times New Roman" w:hAnsi="Times New Roman" w:cs="Times New Roman"/>
          <w:color w:val="242424"/>
          <w:kern w:val="0"/>
          <w:sz w:val="24"/>
          <w:szCs w:val="24"/>
          <w14:ligatures w14:val="none"/>
        </w:rPr>
        <w:t xml:space="preserve"> =.010, suggesting that higher job satisfaction was associated with higher Intent to Stay scores. However, years employed with Extension was a significant negative predictor, </w:t>
      </w:r>
      <w:r w:rsidRPr="007E20CF">
        <w:rPr>
          <w:rFonts w:ascii="Times New Roman" w:eastAsia="Times New Roman" w:hAnsi="Times New Roman" w:cs="Times New Roman"/>
          <w:i/>
          <w:iCs/>
          <w:color w:val="242424"/>
          <w:kern w:val="0"/>
          <w:sz w:val="24"/>
          <w:szCs w:val="24"/>
          <w14:ligatures w14:val="none"/>
        </w:rPr>
        <w:t>β</w:t>
      </w:r>
      <w:r w:rsidRPr="007E20CF">
        <w:rPr>
          <w:rFonts w:ascii="Times New Roman" w:eastAsia="Times New Roman" w:hAnsi="Times New Roman" w:cs="Times New Roman"/>
          <w:color w:val="242424"/>
          <w:kern w:val="0"/>
          <w:sz w:val="24"/>
          <w:szCs w:val="24"/>
          <w14:ligatures w14:val="none"/>
        </w:rPr>
        <w:t xml:space="preserve"> = –.296, </w:t>
      </w:r>
      <w:r w:rsidRPr="007E20CF">
        <w:rPr>
          <w:rFonts w:ascii="Times New Roman" w:eastAsia="Times New Roman" w:hAnsi="Times New Roman" w:cs="Times New Roman"/>
          <w:i/>
          <w:iCs/>
          <w:color w:val="242424"/>
          <w:kern w:val="0"/>
          <w:sz w:val="24"/>
          <w:szCs w:val="24"/>
          <w14:ligatures w14:val="none"/>
        </w:rPr>
        <w:t>t</w:t>
      </w:r>
      <w:r w:rsidRPr="007E20CF">
        <w:rPr>
          <w:rFonts w:ascii="Times New Roman" w:eastAsia="Times New Roman" w:hAnsi="Times New Roman" w:cs="Times New Roman"/>
          <w:color w:val="242424"/>
          <w:kern w:val="0"/>
          <w:sz w:val="24"/>
          <w:szCs w:val="24"/>
          <w14:ligatures w14:val="none"/>
        </w:rPr>
        <w:t xml:space="preserve">(88) = –3.09, </w:t>
      </w:r>
      <w:r w:rsidRPr="007E20CF">
        <w:rPr>
          <w:rFonts w:ascii="Times New Roman" w:eastAsia="Times New Roman" w:hAnsi="Times New Roman" w:cs="Times New Roman"/>
          <w:i/>
          <w:iCs/>
          <w:color w:val="242424"/>
          <w:kern w:val="0"/>
          <w:sz w:val="24"/>
          <w:szCs w:val="24"/>
          <w14:ligatures w14:val="none"/>
        </w:rPr>
        <w:t>p</w:t>
      </w:r>
      <w:r w:rsidRPr="007E20CF">
        <w:rPr>
          <w:rFonts w:ascii="Times New Roman" w:eastAsia="Times New Roman" w:hAnsi="Times New Roman" w:cs="Times New Roman"/>
          <w:color w:val="242424"/>
          <w:kern w:val="0"/>
          <w:sz w:val="24"/>
          <w:szCs w:val="24"/>
          <w14:ligatures w14:val="none"/>
        </w:rPr>
        <w:t xml:space="preserve"> =.003, indicating that longer tenure was associated with lower intent to stay scores.</w:t>
      </w:r>
      <w:r w:rsidR="009A2D32" w:rsidRPr="009A2D32">
        <w:rPr>
          <w:rFonts w:ascii="Times New Roman" w:hAnsi="Times New Roman" w:cs="Times New Roman"/>
          <w:sz w:val="24"/>
          <w:szCs w:val="24"/>
        </w:rPr>
        <w:t xml:space="preserve"> </w:t>
      </w:r>
    </w:p>
    <w:p w14:paraId="520B1A4A" w14:textId="77777777" w:rsidR="001E00D6" w:rsidRPr="0038684D" w:rsidRDefault="001E00D6" w:rsidP="00F31B4C">
      <w:pPr>
        <w:pStyle w:val="table1"/>
        <w:widowControl w:val="0"/>
        <w:spacing w:after="240" w:line="240" w:lineRule="auto"/>
        <w:rPr>
          <w:sz w:val="24"/>
          <w:szCs w:val="24"/>
        </w:rPr>
      </w:pPr>
      <w:bookmarkStart w:id="22" w:name="_Hlk212723868"/>
      <w:r w:rsidRPr="0038684D">
        <w:rPr>
          <w:sz w:val="24"/>
          <w:szCs w:val="24"/>
        </w:rPr>
        <w:t>Table 4</w:t>
      </w:r>
    </w:p>
    <w:p w14:paraId="0EFC72FC" w14:textId="77777777" w:rsidR="001E00D6" w:rsidRPr="0038684D" w:rsidRDefault="001E00D6" w:rsidP="00F31B4C">
      <w:pPr>
        <w:widowControl w:val="0"/>
        <w:spacing w:after="240" w:line="240" w:lineRule="auto"/>
        <w:rPr>
          <w:rFonts w:ascii="Times New Roman" w:hAnsi="Times New Roman" w:cs="Times New Roman"/>
          <w:sz w:val="24"/>
          <w:szCs w:val="24"/>
        </w:rPr>
      </w:pPr>
      <w:r w:rsidRPr="0038684D">
        <w:rPr>
          <w:rFonts w:ascii="Times New Roman" w:hAnsi="Times New Roman" w:cs="Times New Roman"/>
          <w:i/>
          <w:iCs/>
          <w:sz w:val="24"/>
          <w:szCs w:val="24"/>
        </w:rPr>
        <w:t>Regression of Potential Predictor Variables on Intent to Stay</w:t>
      </w:r>
    </w:p>
    <w:tbl>
      <w:tblPr>
        <w:tblW w:w="8333" w:type="dxa"/>
        <w:tblInd w:w="90" w:type="dxa"/>
        <w:tblCellMar>
          <w:left w:w="0" w:type="dxa"/>
          <w:right w:w="0" w:type="dxa"/>
        </w:tblCellMar>
        <w:tblLook w:val="04A0" w:firstRow="1" w:lastRow="0" w:firstColumn="1" w:lastColumn="0" w:noHBand="0" w:noVBand="1"/>
      </w:tblPr>
      <w:tblGrid>
        <w:gridCol w:w="2220"/>
        <w:gridCol w:w="1290"/>
        <w:gridCol w:w="1110"/>
        <w:gridCol w:w="990"/>
        <w:gridCol w:w="1050"/>
        <w:gridCol w:w="1673"/>
      </w:tblGrid>
      <w:tr w:rsidR="001E00D6" w14:paraId="14E4F1E6" w14:textId="77777777" w:rsidTr="0038684D">
        <w:trPr>
          <w:trHeight w:val="300"/>
          <w:tblHeader/>
        </w:trPr>
        <w:tc>
          <w:tcPr>
            <w:tcW w:w="2220" w:type="dxa"/>
            <w:tcBorders>
              <w:top w:val="single" w:sz="4" w:space="0" w:color="auto"/>
              <w:bottom w:val="single" w:sz="4" w:space="0" w:color="auto"/>
            </w:tcBorders>
            <w:vAlign w:val="center"/>
          </w:tcPr>
          <w:bookmarkEnd w:id="22"/>
          <w:p w14:paraId="05D3E8D2" w14:textId="77777777" w:rsidR="001E00D6" w:rsidRPr="00F3344F" w:rsidRDefault="001E00D6" w:rsidP="00F31B4C">
            <w:pPr>
              <w:widowControl w:val="0"/>
              <w:spacing w:after="240" w:line="240" w:lineRule="auto"/>
              <w:rPr>
                <w:rFonts w:ascii="Times New Roman" w:hAnsi="Times New Roman" w:cs="Times New Roman"/>
              </w:rPr>
            </w:pPr>
            <w:r w:rsidRPr="60528960">
              <w:rPr>
                <w:rFonts w:ascii="Times New Roman" w:hAnsi="Times New Roman" w:cs="Times New Roman"/>
              </w:rPr>
              <w:t>Construct</w:t>
            </w:r>
          </w:p>
        </w:tc>
        <w:tc>
          <w:tcPr>
            <w:tcW w:w="1290" w:type="dxa"/>
            <w:tcBorders>
              <w:top w:val="single" w:sz="4" w:space="0" w:color="auto"/>
              <w:bottom w:val="single" w:sz="4" w:space="0" w:color="auto"/>
            </w:tcBorders>
            <w:vAlign w:val="center"/>
          </w:tcPr>
          <w:p w14:paraId="2D976767" w14:textId="77777777" w:rsidR="001E00D6" w:rsidRPr="002319F9" w:rsidRDefault="001E00D6" w:rsidP="00F31B4C">
            <w:pPr>
              <w:widowControl w:val="0"/>
              <w:spacing w:after="240" w:line="240" w:lineRule="auto"/>
              <w:jc w:val="center"/>
              <w:rPr>
                <w:rFonts w:ascii="Times New Roman" w:hAnsi="Times New Roman" w:cs="Times New Roman"/>
                <w:i/>
                <w:iCs/>
              </w:rPr>
            </w:pPr>
            <w:r w:rsidRPr="60528960">
              <w:rPr>
                <w:rFonts w:ascii="Times New Roman" w:eastAsia="Times New Roman" w:hAnsi="Times New Roman" w:cs="Times New Roman"/>
                <w:i/>
                <w:iCs/>
                <w:color w:val="242424"/>
                <w:kern w:val="0"/>
                <w14:ligatures w14:val="none"/>
              </w:rPr>
              <w:t>β</w:t>
            </w:r>
          </w:p>
        </w:tc>
        <w:tc>
          <w:tcPr>
            <w:tcW w:w="1110" w:type="dxa"/>
            <w:tcBorders>
              <w:top w:val="single" w:sz="4" w:space="0" w:color="auto"/>
              <w:bottom w:val="single" w:sz="4" w:space="0" w:color="auto"/>
            </w:tcBorders>
            <w:vAlign w:val="center"/>
          </w:tcPr>
          <w:p w14:paraId="2466AD37" w14:textId="77777777" w:rsidR="001E00D6" w:rsidRPr="00100DF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Std. Error</w:t>
            </w:r>
          </w:p>
        </w:tc>
        <w:tc>
          <w:tcPr>
            <w:tcW w:w="990" w:type="dxa"/>
            <w:tcBorders>
              <w:top w:val="single" w:sz="4" w:space="0" w:color="auto"/>
              <w:bottom w:val="single" w:sz="4" w:space="0" w:color="auto"/>
            </w:tcBorders>
            <w:vAlign w:val="center"/>
          </w:tcPr>
          <w:p w14:paraId="120FE5CF" w14:textId="77777777" w:rsidR="001E00D6" w:rsidRPr="00E5532D" w:rsidRDefault="001E00D6" w:rsidP="00F31B4C">
            <w:pPr>
              <w:widowControl w:val="0"/>
              <w:spacing w:after="240" w:line="240" w:lineRule="auto"/>
              <w:jc w:val="center"/>
              <w:rPr>
                <w:rFonts w:ascii="Times New Roman" w:eastAsia="Times New Roman" w:hAnsi="Times New Roman" w:cs="Times New Roman"/>
                <w:i/>
                <w:iCs/>
              </w:rPr>
            </w:pPr>
            <w:r w:rsidRPr="00E5532D">
              <w:rPr>
                <w:rFonts w:ascii="Times New Roman" w:eastAsia="Times New Roman" w:hAnsi="Times New Roman" w:cs="Times New Roman"/>
                <w:i/>
                <w:iCs/>
              </w:rPr>
              <w:t>t</w:t>
            </w:r>
          </w:p>
        </w:tc>
        <w:tc>
          <w:tcPr>
            <w:tcW w:w="1050" w:type="dxa"/>
            <w:tcBorders>
              <w:top w:val="single" w:sz="4" w:space="0" w:color="auto"/>
              <w:bottom w:val="single" w:sz="4" w:space="0" w:color="auto"/>
            </w:tcBorders>
            <w:vAlign w:val="center"/>
          </w:tcPr>
          <w:p w14:paraId="06EFECFA" w14:textId="77777777" w:rsidR="001E00D6" w:rsidRPr="002319F9" w:rsidRDefault="001E00D6" w:rsidP="00F31B4C">
            <w:pPr>
              <w:widowControl w:val="0"/>
              <w:spacing w:after="240" w:line="240" w:lineRule="auto"/>
              <w:jc w:val="center"/>
              <w:rPr>
                <w:rFonts w:ascii="Times New Roman" w:hAnsi="Times New Roman" w:cs="Times New Roman"/>
                <w:i/>
                <w:iCs/>
              </w:rPr>
            </w:pPr>
            <w:r w:rsidRPr="60528960">
              <w:rPr>
                <w:rFonts w:ascii="Times New Roman" w:hAnsi="Times New Roman" w:cs="Times New Roman"/>
                <w:i/>
                <w:iCs/>
              </w:rPr>
              <w:t>p</w:t>
            </w:r>
          </w:p>
        </w:tc>
        <w:tc>
          <w:tcPr>
            <w:tcW w:w="1673" w:type="dxa"/>
            <w:tcBorders>
              <w:top w:val="single" w:sz="4" w:space="0" w:color="auto"/>
              <w:bottom w:val="single" w:sz="4" w:space="0" w:color="auto"/>
            </w:tcBorders>
            <w:vAlign w:val="center"/>
          </w:tcPr>
          <w:p w14:paraId="3D62DDD4" w14:textId="77777777" w:rsidR="001E00D6" w:rsidRPr="002319F9" w:rsidRDefault="001E00D6" w:rsidP="00F31B4C">
            <w:pPr>
              <w:widowControl w:val="0"/>
              <w:spacing w:after="240" w:line="240" w:lineRule="auto"/>
              <w:jc w:val="center"/>
              <w:rPr>
                <w:rFonts w:ascii="Times New Roman" w:hAnsi="Times New Roman" w:cs="Times New Roman"/>
                <w:i/>
                <w:iCs/>
              </w:rPr>
            </w:pPr>
            <w:r w:rsidRPr="60528960">
              <w:rPr>
                <w:rFonts w:ascii="Times New Roman" w:hAnsi="Times New Roman" w:cs="Times New Roman"/>
              </w:rPr>
              <w:t xml:space="preserve">Partial </w:t>
            </w:r>
            <w:r w:rsidRPr="60528960">
              <w:rPr>
                <w:rFonts w:ascii="Times New Roman" w:hAnsi="Times New Roman" w:cs="Times New Roman"/>
                <w:i/>
                <w:iCs/>
              </w:rPr>
              <w:t>r</w:t>
            </w:r>
          </w:p>
        </w:tc>
      </w:tr>
      <w:tr w:rsidR="001E00D6" w:rsidRPr="00F3344F" w14:paraId="7EF84B10" w14:textId="77777777" w:rsidTr="0038684D">
        <w:trPr>
          <w:trHeight w:val="300"/>
        </w:trPr>
        <w:tc>
          <w:tcPr>
            <w:tcW w:w="2220" w:type="dxa"/>
            <w:vAlign w:val="center"/>
          </w:tcPr>
          <w:p w14:paraId="2E20BCE7" w14:textId="77777777" w:rsidR="001E00D6" w:rsidRPr="00F3344F" w:rsidRDefault="001E00D6" w:rsidP="00F31B4C">
            <w:pPr>
              <w:widowControl w:val="0"/>
              <w:spacing w:after="240" w:line="240" w:lineRule="auto"/>
              <w:rPr>
                <w:rFonts w:ascii="Times New Roman" w:hAnsi="Times New Roman" w:cs="Times New Roman"/>
              </w:rPr>
            </w:pPr>
            <w:r w:rsidRPr="60528960">
              <w:rPr>
                <w:rFonts w:ascii="Times New Roman" w:hAnsi="Times New Roman" w:cs="Times New Roman"/>
              </w:rPr>
              <w:t xml:space="preserve">Job Satisfaction </w:t>
            </w:r>
          </w:p>
        </w:tc>
        <w:tc>
          <w:tcPr>
            <w:tcW w:w="1290" w:type="dxa"/>
            <w:tcBorders>
              <w:left w:val="nil"/>
            </w:tcBorders>
            <w:vAlign w:val="center"/>
          </w:tcPr>
          <w:p w14:paraId="38FBB42C"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.311</w:t>
            </w:r>
          </w:p>
        </w:tc>
        <w:tc>
          <w:tcPr>
            <w:tcW w:w="1110" w:type="dxa"/>
            <w:vAlign w:val="center"/>
          </w:tcPr>
          <w:p w14:paraId="2B3BD60D"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.537</w:t>
            </w:r>
          </w:p>
        </w:tc>
        <w:tc>
          <w:tcPr>
            <w:tcW w:w="990" w:type="dxa"/>
            <w:vAlign w:val="center"/>
          </w:tcPr>
          <w:p w14:paraId="318F70F0"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2.636</w:t>
            </w:r>
          </w:p>
        </w:tc>
        <w:tc>
          <w:tcPr>
            <w:tcW w:w="1050" w:type="dxa"/>
            <w:vAlign w:val="center"/>
          </w:tcPr>
          <w:p w14:paraId="66EC7436"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.010</w:t>
            </w:r>
          </w:p>
        </w:tc>
        <w:tc>
          <w:tcPr>
            <w:tcW w:w="1673" w:type="dxa"/>
          </w:tcPr>
          <w:p w14:paraId="18333155"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.270</w:t>
            </w:r>
          </w:p>
        </w:tc>
      </w:tr>
      <w:tr w:rsidR="001E00D6" w:rsidRPr="00F3344F" w14:paraId="7E9D9498" w14:textId="77777777" w:rsidTr="0038684D">
        <w:trPr>
          <w:trHeight w:val="300"/>
        </w:trPr>
        <w:tc>
          <w:tcPr>
            <w:tcW w:w="2220" w:type="dxa"/>
            <w:vAlign w:val="center"/>
          </w:tcPr>
          <w:p w14:paraId="1664A611" w14:textId="77777777" w:rsidR="001E00D6" w:rsidRPr="00F3344F" w:rsidRDefault="001E00D6" w:rsidP="00F31B4C">
            <w:pPr>
              <w:widowControl w:val="0"/>
              <w:spacing w:after="240" w:line="240" w:lineRule="auto"/>
              <w:rPr>
                <w:rFonts w:ascii="Times New Roman" w:hAnsi="Times New Roman" w:cs="Times New Roman"/>
              </w:rPr>
            </w:pPr>
            <w:r w:rsidRPr="60528960">
              <w:rPr>
                <w:rFonts w:ascii="Times New Roman" w:hAnsi="Times New Roman" w:cs="Times New Roman"/>
              </w:rPr>
              <w:t xml:space="preserve">Job Embeddedness </w:t>
            </w:r>
          </w:p>
        </w:tc>
        <w:tc>
          <w:tcPr>
            <w:tcW w:w="1290" w:type="dxa"/>
            <w:tcBorders>
              <w:left w:val="nil"/>
            </w:tcBorders>
            <w:vAlign w:val="center"/>
          </w:tcPr>
          <w:p w14:paraId="2E439A64"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.228</w:t>
            </w:r>
          </w:p>
        </w:tc>
        <w:tc>
          <w:tcPr>
            <w:tcW w:w="1110" w:type="dxa"/>
            <w:vAlign w:val="center"/>
          </w:tcPr>
          <w:p w14:paraId="7286BB5A"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.058</w:t>
            </w:r>
          </w:p>
        </w:tc>
        <w:tc>
          <w:tcPr>
            <w:tcW w:w="990" w:type="dxa"/>
            <w:vAlign w:val="center"/>
          </w:tcPr>
          <w:p w14:paraId="35CE6169"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1.896</w:t>
            </w:r>
          </w:p>
        </w:tc>
        <w:tc>
          <w:tcPr>
            <w:tcW w:w="1050" w:type="dxa"/>
            <w:vAlign w:val="center"/>
          </w:tcPr>
          <w:p w14:paraId="497BBA68"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.061</w:t>
            </w:r>
          </w:p>
        </w:tc>
        <w:tc>
          <w:tcPr>
            <w:tcW w:w="1673" w:type="dxa"/>
          </w:tcPr>
          <w:p w14:paraId="2AAB09A4"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.198</w:t>
            </w:r>
          </w:p>
        </w:tc>
      </w:tr>
      <w:tr w:rsidR="001E00D6" w:rsidRPr="00F3344F" w14:paraId="05438F41" w14:textId="77777777" w:rsidTr="0038684D">
        <w:trPr>
          <w:trHeight w:val="300"/>
        </w:trPr>
        <w:tc>
          <w:tcPr>
            <w:tcW w:w="2220" w:type="dxa"/>
            <w:vAlign w:val="center"/>
          </w:tcPr>
          <w:p w14:paraId="7E5A7803" w14:textId="77777777" w:rsidR="001E00D6" w:rsidRPr="00F3344F" w:rsidRDefault="001E00D6" w:rsidP="00F31B4C">
            <w:pPr>
              <w:widowControl w:val="0"/>
              <w:spacing w:after="240" w:line="240" w:lineRule="auto"/>
              <w:rPr>
                <w:rFonts w:ascii="Times New Roman" w:hAnsi="Times New Roman" w:cs="Times New Roman"/>
              </w:rPr>
            </w:pPr>
            <w:r w:rsidRPr="60528960">
              <w:rPr>
                <w:rFonts w:ascii="Times New Roman" w:hAnsi="Times New Roman" w:cs="Times New Roman"/>
              </w:rPr>
              <w:t>Age</w:t>
            </w:r>
          </w:p>
        </w:tc>
        <w:tc>
          <w:tcPr>
            <w:tcW w:w="1290" w:type="dxa"/>
            <w:tcBorders>
              <w:left w:val="nil"/>
            </w:tcBorders>
            <w:vAlign w:val="center"/>
          </w:tcPr>
          <w:p w14:paraId="6FBB0166"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.347</w:t>
            </w:r>
          </w:p>
        </w:tc>
        <w:tc>
          <w:tcPr>
            <w:tcW w:w="1110" w:type="dxa"/>
            <w:vAlign w:val="center"/>
          </w:tcPr>
          <w:p w14:paraId="74319F10"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.071</w:t>
            </w:r>
          </w:p>
        </w:tc>
        <w:tc>
          <w:tcPr>
            <w:tcW w:w="990" w:type="dxa"/>
            <w:vAlign w:val="center"/>
          </w:tcPr>
          <w:p w14:paraId="2EB01024"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3.568</w:t>
            </w:r>
          </w:p>
        </w:tc>
        <w:tc>
          <w:tcPr>
            <w:tcW w:w="1050" w:type="dxa"/>
            <w:vAlign w:val="center"/>
          </w:tcPr>
          <w:p w14:paraId="3367FB23" w14:textId="77777777" w:rsidR="001E00D6" w:rsidRPr="009D2A85"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&lt;.001</w:t>
            </w:r>
          </w:p>
        </w:tc>
        <w:tc>
          <w:tcPr>
            <w:tcW w:w="1673" w:type="dxa"/>
          </w:tcPr>
          <w:p w14:paraId="371A4130" w14:textId="77777777" w:rsidR="001E00D6" w:rsidRPr="009D2A85"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.355</w:t>
            </w:r>
          </w:p>
        </w:tc>
      </w:tr>
      <w:tr w:rsidR="001E00D6" w:rsidRPr="00F3344F" w14:paraId="440FE852" w14:textId="77777777" w:rsidTr="0038684D">
        <w:trPr>
          <w:trHeight w:val="300"/>
        </w:trPr>
        <w:tc>
          <w:tcPr>
            <w:tcW w:w="2220" w:type="dxa"/>
            <w:tcBorders>
              <w:bottom w:val="single" w:sz="4" w:space="0" w:color="auto"/>
            </w:tcBorders>
            <w:vAlign w:val="center"/>
          </w:tcPr>
          <w:p w14:paraId="0BDB68AA" w14:textId="77777777" w:rsidR="001E00D6" w:rsidRPr="00F3344F" w:rsidRDefault="001E00D6" w:rsidP="00F31B4C">
            <w:pPr>
              <w:widowControl w:val="0"/>
              <w:spacing w:after="240" w:line="240" w:lineRule="auto"/>
              <w:ind w:left="216" w:hanging="216"/>
              <w:rPr>
                <w:rFonts w:ascii="Times New Roman" w:hAnsi="Times New Roman" w:cs="Times New Roman"/>
              </w:rPr>
            </w:pPr>
            <w:r w:rsidRPr="60528960">
              <w:rPr>
                <w:rFonts w:ascii="Times New Roman" w:hAnsi="Times New Roman" w:cs="Times New Roman"/>
              </w:rPr>
              <w:t xml:space="preserve">Year employed with Extension </w:t>
            </w:r>
          </w:p>
        </w:tc>
        <w:tc>
          <w:tcPr>
            <w:tcW w:w="1290" w:type="dxa"/>
            <w:tcBorders>
              <w:left w:val="nil"/>
              <w:bottom w:val="single" w:sz="4" w:space="0" w:color="auto"/>
            </w:tcBorders>
            <w:vAlign w:val="center"/>
          </w:tcPr>
          <w:p w14:paraId="7B4AF023"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-.296</w:t>
            </w:r>
          </w:p>
        </w:tc>
        <w:tc>
          <w:tcPr>
            <w:tcW w:w="1110" w:type="dxa"/>
            <w:tcBorders>
              <w:bottom w:val="single" w:sz="4" w:space="0" w:color="auto"/>
            </w:tcBorders>
            <w:vAlign w:val="center"/>
          </w:tcPr>
          <w:p w14:paraId="04EB5944"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.067</w:t>
            </w:r>
          </w:p>
        </w:tc>
        <w:tc>
          <w:tcPr>
            <w:tcW w:w="990" w:type="dxa"/>
            <w:tcBorders>
              <w:bottom w:val="single" w:sz="4" w:space="0" w:color="auto"/>
            </w:tcBorders>
            <w:vAlign w:val="center"/>
          </w:tcPr>
          <w:p w14:paraId="53CC4491"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-3.088</w:t>
            </w:r>
          </w:p>
        </w:tc>
        <w:tc>
          <w:tcPr>
            <w:tcW w:w="1050" w:type="dxa"/>
            <w:tcBorders>
              <w:bottom w:val="single" w:sz="4" w:space="0" w:color="auto"/>
            </w:tcBorders>
            <w:vAlign w:val="center"/>
          </w:tcPr>
          <w:p w14:paraId="5E6F57B9" w14:textId="77777777"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.003</w:t>
            </w:r>
          </w:p>
        </w:tc>
        <w:tc>
          <w:tcPr>
            <w:tcW w:w="1673" w:type="dxa"/>
            <w:tcBorders>
              <w:bottom w:val="single" w:sz="4" w:space="0" w:color="auto"/>
            </w:tcBorders>
            <w:vAlign w:val="center"/>
          </w:tcPr>
          <w:p w14:paraId="7085475F" w14:textId="540A26D5" w:rsidR="001E00D6" w:rsidRPr="00F3344F" w:rsidRDefault="001E00D6" w:rsidP="00F31B4C">
            <w:pPr>
              <w:widowControl w:val="0"/>
              <w:spacing w:after="240" w:line="240" w:lineRule="auto"/>
              <w:jc w:val="center"/>
              <w:rPr>
                <w:rFonts w:ascii="Times New Roman" w:hAnsi="Times New Roman" w:cs="Times New Roman"/>
              </w:rPr>
            </w:pPr>
            <w:r w:rsidRPr="60528960">
              <w:rPr>
                <w:rFonts w:ascii="Times New Roman" w:hAnsi="Times New Roman" w:cs="Times New Roman"/>
              </w:rPr>
              <w:t>.313</w:t>
            </w:r>
          </w:p>
        </w:tc>
      </w:tr>
    </w:tbl>
    <w:p w14:paraId="201EA64B" w14:textId="77777777" w:rsidR="00EC598B" w:rsidRDefault="00EC598B" w:rsidP="00F31B4C">
      <w:pPr>
        <w:widowControl w:val="0"/>
        <w:spacing w:after="0" w:line="240" w:lineRule="auto"/>
        <w:jc w:val="center"/>
        <w:rPr>
          <w:rFonts w:ascii="Times New Roman" w:hAnsi="Times New Roman" w:cs="Times New Roman"/>
          <w:b/>
          <w:bCs/>
        </w:rPr>
      </w:pPr>
    </w:p>
    <w:p w14:paraId="6BB1A28D" w14:textId="79260043" w:rsidR="00FA3ECA" w:rsidRPr="00C11E01" w:rsidRDefault="00C11E01" w:rsidP="00F31B4C">
      <w:pPr>
        <w:widowControl w:val="0"/>
        <w:shd w:val="clear" w:color="auto" w:fill="FFFFFF"/>
        <w:spacing w:after="240" w:line="240" w:lineRule="auto"/>
        <w:rPr>
          <w:rFonts w:ascii="Times New Roman" w:eastAsia="Times New Roman" w:hAnsi="Times New Roman" w:cs="Times New Roman"/>
          <w:color w:val="242424"/>
          <w:kern w:val="0"/>
          <w:sz w:val="24"/>
          <w:szCs w:val="24"/>
          <w14:ligatures w14:val="none"/>
        </w:rPr>
      </w:pPr>
      <w:r w:rsidRPr="00891643">
        <w:rPr>
          <w:rFonts w:ascii="Times New Roman" w:eastAsia="Times New Roman" w:hAnsi="Times New Roman" w:cs="Times New Roman"/>
          <w:color w:val="242424"/>
          <w:kern w:val="0"/>
          <w:sz w:val="24"/>
          <w:szCs w:val="24"/>
          <w14:ligatures w14:val="none"/>
        </w:rPr>
        <w:t>The intent to stay variable was not time-referenced (i.e., variable was not measured with items that would bias an individual closer to retirement to select responses indicating less intent to stay), so the negative regression coefficient for years employed with Extension was somewhat counter-intuitive.</w:t>
      </w:r>
      <w:r>
        <w:rPr>
          <w:rFonts w:ascii="Times New Roman" w:eastAsia="Times New Roman" w:hAnsi="Times New Roman" w:cs="Times New Roman"/>
          <w:b/>
          <w:bCs/>
          <w:color w:val="242424"/>
          <w:kern w:val="0"/>
          <w:sz w:val="24"/>
          <w:szCs w:val="24"/>
          <w14:ligatures w14:val="none"/>
        </w:rPr>
        <w:t xml:space="preserve"> </w:t>
      </w:r>
      <w:proofErr w:type="gramStart"/>
      <w:r w:rsidR="007E7F5B" w:rsidRPr="00891643">
        <w:rPr>
          <w:rFonts w:ascii="Times New Roman" w:eastAsia="Times New Roman" w:hAnsi="Times New Roman" w:cs="Times New Roman"/>
          <w:color w:val="242424"/>
          <w:kern w:val="0"/>
          <w:sz w:val="24"/>
          <w:szCs w:val="24"/>
          <w14:ligatures w14:val="none"/>
        </w:rPr>
        <w:t xml:space="preserve">In an attempt </w:t>
      </w:r>
      <w:r w:rsidR="007E7F5B">
        <w:rPr>
          <w:rFonts w:ascii="Times New Roman" w:eastAsia="Times New Roman" w:hAnsi="Times New Roman" w:cs="Times New Roman"/>
          <w:color w:val="242424"/>
          <w:kern w:val="0"/>
          <w:sz w:val="24"/>
          <w:szCs w:val="24"/>
          <w14:ligatures w14:val="none"/>
        </w:rPr>
        <w:t>to</w:t>
      </w:r>
      <w:proofErr w:type="gramEnd"/>
      <w:r w:rsidR="007E7F5B">
        <w:rPr>
          <w:rFonts w:ascii="Times New Roman" w:eastAsia="Times New Roman" w:hAnsi="Times New Roman" w:cs="Times New Roman"/>
          <w:color w:val="242424"/>
          <w:kern w:val="0"/>
          <w:sz w:val="24"/>
          <w:szCs w:val="24"/>
          <w14:ligatures w14:val="none"/>
        </w:rPr>
        <w:t xml:space="preserve"> determine if the negative regression coefficient was a result of interaction(s) with the other predictor variables, bivariate regression was used to regress years employed with Extension on intent to stay; the resulting regression model was statistically significant (</w:t>
      </w:r>
      <w:r w:rsidR="007E7F5B">
        <w:rPr>
          <w:rFonts w:ascii="Times New Roman" w:eastAsia="Times New Roman" w:hAnsi="Times New Roman" w:cs="Times New Roman"/>
          <w:i/>
          <w:iCs/>
          <w:color w:val="242424"/>
          <w:kern w:val="0"/>
          <w:sz w:val="24"/>
          <w:szCs w:val="24"/>
          <w14:ligatures w14:val="none"/>
        </w:rPr>
        <w:t xml:space="preserve">p </w:t>
      </w:r>
      <w:r w:rsidR="007E7F5B">
        <w:rPr>
          <w:rFonts w:ascii="Times New Roman" w:eastAsia="Times New Roman" w:hAnsi="Times New Roman" w:cs="Times New Roman"/>
          <w:color w:val="242424"/>
          <w:kern w:val="0"/>
          <w:sz w:val="24"/>
          <w:szCs w:val="24"/>
          <w14:ligatures w14:val="none"/>
        </w:rPr>
        <w:t>&lt; .05</w:t>
      </w:r>
      <w:r w:rsidR="009E1436">
        <w:rPr>
          <w:rFonts w:ascii="Times New Roman" w:eastAsia="Times New Roman" w:hAnsi="Times New Roman" w:cs="Times New Roman"/>
          <w:color w:val="242424"/>
          <w:kern w:val="0"/>
          <w:sz w:val="24"/>
          <w:szCs w:val="24"/>
          <w14:ligatures w14:val="none"/>
        </w:rPr>
        <w:t>),</w:t>
      </w:r>
      <w:r w:rsidR="007E7F5B">
        <w:rPr>
          <w:rFonts w:ascii="Times New Roman" w:eastAsia="Times New Roman" w:hAnsi="Times New Roman" w:cs="Times New Roman"/>
          <w:color w:val="242424"/>
          <w:kern w:val="0"/>
          <w:sz w:val="24"/>
          <w:szCs w:val="24"/>
          <w14:ligatures w14:val="none"/>
        </w:rPr>
        <w:t xml:space="preserve"> and the regression coefficient remained negative.</w:t>
      </w:r>
      <w:r w:rsidR="007E7F5B">
        <w:rPr>
          <w:rFonts w:ascii="Times New Roman" w:eastAsia="Times New Roman" w:hAnsi="Times New Roman" w:cs="Times New Roman"/>
          <w:b/>
          <w:bCs/>
          <w:color w:val="242424"/>
          <w:kern w:val="0"/>
          <w:sz w:val="24"/>
          <w:szCs w:val="24"/>
          <w14:ligatures w14:val="none"/>
        </w:rPr>
        <w:t xml:space="preserve"> </w:t>
      </w:r>
      <w:r w:rsidR="00FA3ECA" w:rsidRPr="009A2D32">
        <w:rPr>
          <w:rFonts w:ascii="Times New Roman" w:eastAsia="Times New Roman" w:hAnsi="Times New Roman" w:cs="Times New Roman"/>
          <w:color w:val="242424"/>
          <w:kern w:val="0"/>
          <w:sz w:val="24"/>
          <w:szCs w:val="24"/>
          <w14:ligatures w14:val="none"/>
        </w:rPr>
        <w:t xml:space="preserve">To further investigate </w:t>
      </w:r>
      <w:r>
        <w:rPr>
          <w:rFonts w:ascii="Times New Roman" w:eastAsia="Times New Roman" w:hAnsi="Times New Roman" w:cs="Times New Roman"/>
          <w:color w:val="242424"/>
          <w:kern w:val="0"/>
          <w:sz w:val="24"/>
          <w:szCs w:val="24"/>
          <w14:ligatures w14:val="none"/>
        </w:rPr>
        <w:t>this finding</w:t>
      </w:r>
      <w:r w:rsidR="00FA3ECA">
        <w:rPr>
          <w:rFonts w:ascii="Times New Roman" w:eastAsia="Times New Roman" w:hAnsi="Times New Roman" w:cs="Times New Roman"/>
          <w:color w:val="242424"/>
          <w:kern w:val="0"/>
          <w:sz w:val="24"/>
          <w:szCs w:val="24"/>
          <w14:ligatures w14:val="none"/>
        </w:rPr>
        <w:t xml:space="preserve">, </w:t>
      </w:r>
      <w:r w:rsidR="007273A0">
        <w:rPr>
          <w:rFonts w:ascii="Times New Roman" w:eastAsia="Times New Roman" w:hAnsi="Times New Roman" w:cs="Times New Roman"/>
          <w:color w:val="242424"/>
          <w:kern w:val="0"/>
          <w:sz w:val="24"/>
          <w:szCs w:val="24"/>
          <w14:ligatures w14:val="none"/>
        </w:rPr>
        <w:t xml:space="preserve">respondents were grouped into quartiles based on </w:t>
      </w:r>
      <w:r w:rsidR="00FA3ECA">
        <w:rPr>
          <w:rFonts w:ascii="Times New Roman" w:eastAsia="Times New Roman" w:hAnsi="Times New Roman" w:cs="Times New Roman"/>
          <w:color w:val="242424"/>
          <w:kern w:val="0"/>
          <w:sz w:val="24"/>
          <w:szCs w:val="24"/>
          <w14:ligatures w14:val="none"/>
        </w:rPr>
        <w:t xml:space="preserve">years employed </w:t>
      </w:r>
      <w:r w:rsidR="007273A0">
        <w:rPr>
          <w:rFonts w:ascii="Times New Roman" w:eastAsia="Times New Roman" w:hAnsi="Times New Roman" w:cs="Times New Roman"/>
          <w:color w:val="242424"/>
          <w:kern w:val="0"/>
          <w:sz w:val="24"/>
          <w:szCs w:val="24"/>
          <w14:ligatures w14:val="none"/>
        </w:rPr>
        <w:t xml:space="preserve">with Extension </w:t>
      </w:r>
      <w:r w:rsidR="00FA3ECA">
        <w:rPr>
          <w:rFonts w:ascii="Times New Roman" w:eastAsia="Times New Roman" w:hAnsi="Times New Roman" w:cs="Times New Roman"/>
          <w:color w:val="242424"/>
          <w:kern w:val="0"/>
          <w:sz w:val="24"/>
          <w:szCs w:val="24"/>
          <w14:ligatures w14:val="none"/>
        </w:rPr>
        <w:t xml:space="preserve">and a </w:t>
      </w:r>
      <w:r w:rsidR="00FA3ECA" w:rsidRPr="009A2D32">
        <w:rPr>
          <w:rFonts w:ascii="Times New Roman" w:eastAsia="Times New Roman" w:hAnsi="Times New Roman" w:cs="Times New Roman"/>
          <w:color w:val="242424"/>
          <w:kern w:val="0"/>
          <w:sz w:val="24"/>
          <w:szCs w:val="24"/>
          <w14:ligatures w14:val="none"/>
        </w:rPr>
        <w:t xml:space="preserve">one-way ANOVA </w:t>
      </w:r>
      <w:r w:rsidR="007273A0">
        <w:rPr>
          <w:rFonts w:ascii="Times New Roman" w:eastAsia="Times New Roman" w:hAnsi="Times New Roman" w:cs="Times New Roman"/>
          <w:color w:val="242424"/>
          <w:kern w:val="0"/>
          <w:sz w:val="24"/>
          <w:szCs w:val="24"/>
          <w14:ligatures w14:val="none"/>
        </w:rPr>
        <w:t>determined there were no significant (</w:t>
      </w:r>
      <w:r w:rsidR="007273A0">
        <w:rPr>
          <w:rFonts w:ascii="Times New Roman" w:eastAsia="Times New Roman" w:hAnsi="Times New Roman" w:cs="Times New Roman"/>
          <w:i/>
          <w:iCs/>
          <w:color w:val="242424"/>
          <w:kern w:val="0"/>
          <w:sz w:val="24"/>
          <w:szCs w:val="24"/>
          <w14:ligatures w14:val="none"/>
        </w:rPr>
        <w:t xml:space="preserve">p </w:t>
      </w:r>
      <w:r w:rsidR="007273A0">
        <w:rPr>
          <w:rFonts w:ascii="Times New Roman" w:eastAsia="Times New Roman" w:hAnsi="Times New Roman" w:cs="Times New Roman"/>
          <w:color w:val="242424"/>
          <w:kern w:val="0"/>
          <w:sz w:val="24"/>
          <w:szCs w:val="24"/>
          <w14:ligatures w14:val="none"/>
        </w:rPr>
        <w:t xml:space="preserve">&gt; .05) differences </w:t>
      </w:r>
      <w:r w:rsidR="00FA3ECA">
        <w:rPr>
          <w:rFonts w:ascii="Times New Roman" w:eastAsia="Times New Roman" w:hAnsi="Times New Roman" w:cs="Times New Roman"/>
          <w:color w:val="242424"/>
          <w:kern w:val="0"/>
          <w:sz w:val="24"/>
          <w:szCs w:val="24"/>
          <w14:ligatures w14:val="none"/>
        </w:rPr>
        <w:t xml:space="preserve">between employment quartiles for </w:t>
      </w:r>
      <w:r w:rsidR="007273A0">
        <w:rPr>
          <w:rFonts w:ascii="Times New Roman" w:eastAsia="Times New Roman" w:hAnsi="Times New Roman" w:cs="Times New Roman"/>
          <w:color w:val="242424"/>
          <w:kern w:val="0"/>
          <w:sz w:val="24"/>
          <w:szCs w:val="24"/>
          <w14:ligatures w14:val="none"/>
        </w:rPr>
        <w:t xml:space="preserve">the variable </w:t>
      </w:r>
      <w:r w:rsidR="00FA3ECA">
        <w:rPr>
          <w:rFonts w:ascii="Times New Roman" w:eastAsia="Times New Roman" w:hAnsi="Times New Roman" w:cs="Times New Roman"/>
          <w:color w:val="242424"/>
          <w:kern w:val="0"/>
          <w:sz w:val="24"/>
          <w:szCs w:val="24"/>
          <w14:ligatures w14:val="none"/>
        </w:rPr>
        <w:t xml:space="preserve">intent to stay. </w:t>
      </w:r>
    </w:p>
    <w:p w14:paraId="50CD0CC2" w14:textId="074C95E2" w:rsidR="008951E2" w:rsidRDefault="008951E2" w:rsidP="00F31B4C">
      <w:pPr>
        <w:widowControl w:val="0"/>
        <w:spacing w:after="240" w:line="240" w:lineRule="auto"/>
        <w:jc w:val="center"/>
        <w:rPr>
          <w:rFonts w:ascii="Times New Roman" w:hAnsi="Times New Roman" w:cs="Times New Roman"/>
          <w:b/>
          <w:bCs/>
        </w:rPr>
      </w:pPr>
      <w:r w:rsidRPr="008951E2">
        <w:rPr>
          <w:rFonts w:ascii="Times New Roman" w:hAnsi="Times New Roman" w:cs="Times New Roman"/>
          <w:b/>
          <w:bCs/>
        </w:rPr>
        <w:t>Conclusions/Recommendations/Implications</w:t>
      </w:r>
    </w:p>
    <w:p w14:paraId="6ABDDC3D" w14:textId="143FBB64" w:rsidR="0075117C" w:rsidRDefault="005000D8" w:rsidP="00F31B4C">
      <w:pPr>
        <w:widowControl w:val="0"/>
        <w:spacing w:after="240" w:line="240" w:lineRule="auto"/>
        <w:rPr>
          <w:rFonts w:ascii="Times New Roman" w:hAnsi="Times New Roman" w:cs="Times New Roman"/>
          <w:sz w:val="24"/>
          <w:szCs w:val="24"/>
        </w:rPr>
      </w:pPr>
      <w:r w:rsidRPr="00644ADB">
        <w:rPr>
          <w:rFonts w:ascii="Times New Roman" w:hAnsi="Times New Roman" w:cs="Times New Roman"/>
          <w:sz w:val="24"/>
          <w:szCs w:val="24"/>
        </w:rPr>
        <w:t xml:space="preserve">This study examined job embeddedness, job satisfaction, and intent to stay among county-level employees of the </w:t>
      </w:r>
      <w:r w:rsidR="00945A21">
        <w:rPr>
          <w:rFonts w:ascii="Times New Roman" w:hAnsi="Times New Roman" w:cs="Times New Roman"/>
          <w:sz w:val="24"/>
          <w:szCs w:val="24"/>
        </w:rPr>
        <w:t>Arkansas</w:t>
      </w:r>
      <w:r w:rsidRPr="00644ADB">
        <w:rPr>
          <w:rFonts w:ascii="Times New Roman" w:hAnsi="Times New Roman" w:cs="Times New Roman"/>
          <w:sz w:val="24"/>
          <w:szCs w:val="24"/>
        </w:rPr>
        <w:t xml:space="preserve"> C</w:t>
      </w:r>
      <w:r>
        <w:rPr>
          <w:rFonts w:ascii="Times New Roman" w:hAnsi="Times New Roman" w:cs="Times New Roman"/>
          <w:sz w:val="24"/>
          <w:szCs w:val="24"/>
        </w:rPr>
        <w:t>ES</w:t>
      </w:r>
      <w:r w:rsidRPr="00644ADB">
        <w:rPr>
          <w:rFonts w:ascii="Times New Roman" w:hAnsi="Times New Roman" w:cs="Times New Roman"/>
          <w:sz w:val="24"/>
          <w:szCs w:val="24"/>
        </w:rPr>
        <w:t>. Results showed that employees reported high levels of fit and sacrifice, which are strong predictors of retention. However, scores for organizational and community links were lower, suggesting weaker relational ties. Job satisfaction was a significant predictor of intent to stay, especially among older employees. These findings highlight the importance of supportive supervision, meaningful work, and professional development in shaping employee engagement and retention. The study also emphasized the need for tailored support across career stages and job roles.</w:t>
      </w:r>
    </w:p>
    <w:p w14:paraId="30880BED" w14:textId="34A708D5" w:rsidR="0075117C" w:rsidRPr="0075117C" w:rsidRDefault="0075117C" w:rsidP="00F31B4C">
      <w:pPr>
        <w:widowControl w:val="0"/>
        <w:spacing w:after="240" w:line="240" w:lineRule="auto"/>
        <w:rPr>
          <w:rFonts w:ascii="Times New Roman" w:hAnsi="Times New Roman" w:cs="Times New Roman"/>
          <w:sz w:val="24"/>
          <w:szCs w:val="24"/>
        </w:rPr>
      </w:pPr>
      <w:r w:rsidRPr="0075117C">
        <w:rPr>
          <w:rFonts w:ascii="Times New Roman" w:hAnsi="Times New Roman" w:cs="Times New Roman"/>
          <w:sz w:val="24"/>
          <w:szCs w:val="24"/>
        </w:rPr>
        <w:t xml:space="preserve">The study revealed a workforce with diverse career stages, averaging 48 years in age and 11.63 years of tenure, indicating a need for differentiated retention strategies. For early-career employees, structured mentorship and onboarding programs </w:t>
      </w:r>
      <w:r w:rsidR="001C121C">
        <w:rPr>
          <w:rFonts w:ascii="Times New Roman" w:hAnsi="Times New Roman" w:cs="Times New Roman"/>
          <w:sz w:val="24"/>
          <w:szCs w:val="24"/>
        </w:rPr>
        <w:t>were</w:t>
      </w:r>
      <w:r w:rsidRPr="0075117C">
        <w:rPr>
          <w:rFonts w:ascii="Times New Roman" w:hAnsi="Times New Roman" w:cs="Times New Roman"/>
          <w:sz w:val="24"/>
          <w:szCs w:val="24"/>
        </w:rPr>
        <w:t xml:space="preserve"> recommended to enhance organizational fit and long-term commitment (Freel, 2020). Mid- to late-career employees face increased retention risks as job embeddedness declines after a decade of service (Ghosh &amp; </w:t>
      </w:r>
      <w:r w:rsidRPr="0075117C">
        <w:rPr>
          <w:rFonts w:ascii="Times New Roman" w:hAnsi="Times New Roman" w:cs="Times New Roman"/>
          <w:sz w:val="24"/>
          <w:szCs w:val="24"/>
        </w:rPr>
        <w:lastRenderedPageBreak/>
        <w:t>Gurunathan, 2015; McLellan, 2014; Parks, 2021). Strategies such as peer mentoring, recognition programs, and community engagement can help sustain motivation and reduce turnover. Job embeddedness emerged as a predictor of retention, supporting Mitchell et al.’s (2001) framework emphasizing organizational fit, links, and sacrifice. Additionally, job satisfaction was strongly correlated with intent to stay (r = .578, p &lt; .01) and remained a significant predictor in multivariate analyses (β = .311, p = .010), consistent with prior research linking satisfaction to turnover intentions (Judge et al., 2017; Mobley, 1977; Spector, 2022). Enhancing job satisfaction through feedback, professional growth, and recognition programs is critical for improving retention outcomes.</w:t>
      </w:r>
    </w:p>
    <w:p w14:paraId="6E3E4C86" w14:textId="74E8ED1B" w:rsidR="0075117C" w:rsidRPr="0075117C" w:rsidRDefault="0075117C" w:rsidP="00F31B4C">
      <w:pPr>
        <w:widowControl w:val="0"/>
        <w:spacing w:after="240" w:line="240" w:lineRule="auto"/>
        <w:rPr>
          <w:rFonts w:ascii="Times New Roman" w:hAnsi="Times New Roman" w:cs="Times New Roman"/>
          <w:sz w:val="24"/>
          <w:szCs w:val="24"/>
        </w:rPr>
      </w:pPr>
      <w:r w:rsidRPr="0075117C">
        <w:rPr>
          <w:rFonts w:ascii="Times New Roman" w:hAnsi="Times New Roman" w:cs="Times New Roman"/>
          <w:sz w:val="24"/>
          <w:szCs w:val="24"/>
        </w:rPr>
        <w:t xml:space="preserve">Variation in job embeddedness and job satisfaction across roles indicates that a uniform retention strategy may be ineffective. Role-specific interventions are needed to address unique challenges and motivators for different employee groups. For example, Program Assistants may benefit from clearer career pathways, while Support Staff may require greater recognition and inclusion in decision-making. Peine (2023) found that agent retention </w:t>
      </w:r>
      <w:r w:rsidR="004D682D">
        <w:rPr>
          <w:rFonts w:ascii="Times New Roman" w:hAnsi="Times New Roman" w:cs="Times New Roman"/>
          <w:sz w:val="24"/>
          <w:szCs w:val="24"/>
        </w:rPr>
        <w:t xml:space="preserve">was </w:t>
      </w:r>
      <w:r w:rsidRPr="0075117C">
        <w:rPr>
          <w:rFonts w:ascii="Times New Roman" w:hAnsi="Times New Roman" w:cs="Times New Roman"/>
          <w:sz w:val="24"/>
          <w:szCs w:val="24"/>
        </w:rPr>
        <w:t>influenced by professional development access, supervisory relationships, and organizational culture, which vary by role, tenure, and local unit structure. These findings underscore the importance of tailoring retention strategies to the realities of each position and context. Job embeddedness, defined by fit, links, and sacrifice, also varies across demographics, with early-career employees reporting fewer organizational links and veteran staff showing higher sacrifice scores due to accumulated benefits and relationships (Mitchell et al., 2001; Parks, 2021; Young, 2012). Gender differences were noted, with male employees reporting higher embeddedness despite females being the majority (Parks, 2021). These patterns suggest that onboarding and relationship-building are critical for new staff, while recognition and community engagement are effective for long-tenured employees.</w:t>
      </w:r>
    </w:p>
    <w:p w14:paraId="557DC530" w14:textId="4D78F5D2" w:rsidR="0075117C" w:rsidRDefault="003926B8" w:rsidP="00F31B4C">
      <w:pPr>
        <w:widowControl w:val="0"/>
        <w:spacing w:after="240" w:line="240" w:lineRule="auto"/>
        <w:rPr>
          <w:rFonts w:ascii="Times New Roman" w:hAnsi="Times New Roman" w:cs="Times New Roman"/>
          <w:sz w:val="24"/>
          <w:szCs w:val="24"/>
        </w:rPr>
      </w:pPr>
      <w:r w:rsidRPr="003926B8">
        <w:rPr>
          <w:rFonts w:ascii="Times New Roman" w:hAnsi="Times New Roman" w:cs="Times New Roman"/>
          <w:sz w:val="24"/>
          <w:szCs w:val="24"/>
        </w:rPr>
        <w:t>To improve job embeddedness, satisfaction, and retention within CES, strategies should address both intrinsic and extrinsic factors. Fostering connectivity among employees through social interaction, peer support, and collaborative learning strengthens organizational links and reduces turnover (Fleming &amp; Asplund, 2007; Rath, 2006). Authentic recruitment practices that clearly communicate job responsibilities, organizational culture, and expectations help align candidate expectations with organizational realities (Church &amp; Pals, 1982; St. Pierre, 1984). Matching tasks to employees’ strengths and providing comprehensive onboarding enhances engagement and satisfaction (Branham, 2005; Brown et al., 2008). Strengthening supervisor relationships through effective communication and feedback builds trust and reinforces organizational ties (Peine, 2023; Windon, 2019). A dual-focus approach that supports employee growth while aligning with organizational priorities, coupled with expanded access to professional development, is critical for retention (Harder et al., 2014; Boxall &amp; Purcell, 2003). Onboarding and engagement strategies should balance compliance content with intrinsic motivators such as autonomy, purpose, and recognition, while maintaining hygiene factors like fair compensation and clear policies (Siegelin et al., 2021; Strong &amp; Harder, 2009). Although compensation reduces dissatisfaction, motivation factors—such as achievement, recognition, and meaningful work—are more influential in sustaining engagement and intent to stay (Herzberg et al., 1959; Ellison &amp; Harder, 2022). Recognition programs and transparent communication further enhance belonging and embeddedness (Narvekar &amp; Sharma, 2024; Rahaman, 2023). Finally, stay interviews offer a proactive retention tool by fostering trust and providing actionable insights, aligning with job embeddedness theory (Bell, 2024; Mitchell et al., 2001).</w:t>
      </w:r>
    </w:p>
    <w:p w14:paraId="6AFF755A" w14:textId="33FE13A0" w:rsidR="003926B8" w:rsidRDefault="003926B8" w:rsidP="00F31B4C">
      <w:pPr>
        <w:widowControl w:val="0"/>
        <w:spacing w:after="240" w:line="240" w:lineRule="auto"/>
        <w:rPr>
          <w:rFonts w:ascii="Times New Roman" w:hAnsi="Times New Roman" w:cs="Times New Roman"/>
          <w:sz w:val="24"/>
          <w:szCs w:val="24"/>
        </w:rPr>
      </w:pPr>
      <w:r w:rsidRPr="003926B8">
        <w:rPr>
          <w:rFonts w:ascii="Times New Roman" w:hAnsi="Times New Roman" w:cs="Times New Roman"/>
          <w:sz w:val="24"/>
          <w:szCs w:val="24"/>
        </w:rPr>
        <w:lastRenderedPageBreak/>
        <w:t>Future research should explore workforce dynamics and retention in CES through longitudinal studies tracking age, tenure, and job satisfaction over time, as well as comparative studies across state Extension systems to identify national trends. Low reliability in organizational and community link dimensions suggests a need to examine how relational ties form, barriers to link development, and the effectiveness of strategies like mentorship and community engagement. Research should also assess whether higher job embeddedness correlates with performance or innovation and develop retention strategies tailored to career stages, including onboarding for new hires and succession planning for senior staff.</w:t>
      </w:r>
      <w:r w:rsidR="007E7F5B">
        <w:rPr>
          <w:rFonts w:ascii="Times New Roman" w:hAnsi="Times New Roman" w:cs="Times New Roman"/>
          <w:sz w:val="24"/>
          <w:szCs w:val="24"/>
        </w:rPr>
        <w:t xml:space="preserve"> </w:t>
      </w:r>
    </w:p>
    <w:p w14:paraId="5B17741D" w14:textId="072EECA2" w:rsidR="003926B8" w:rsidRDefault="003926B8" w:rsidP="00F31B4C">
      <w:pPr>
        <w:widowControl w:val="0"/>
        <w:spacing w:after="240" w:line="240" w:lineRule="auto"/>
        <w:rPr>
          <w:rFonts w:ascii="Times New Roman" w:hAnsi="Times New Roman" w:cs="Times New Roman"/>
          <w:sz w:val="24"/>
          <w:szCs w:val="24"/>
        </w:rPr>
      </w:pPr>
      <w:r w:rsidRPr="003926B8">
        <w:rPr>
          <w:rFonts w:ascii="Times New Roman" w:hAnsi="Times New Roman" w:cs="Times New Roman"/>
          <w:sz w:val="24"/>
          <w:szCs w:val="24"/>
        </w:rPr>
        <w:t xml:space="preserve">Further studies should </w:t>
      </w:r>
      <w:r w:rsidR="007E7F5B">
        <w:rPr>
          <w:rFonts w:ascii="Times New Roman" w:hAnsi="Times New Roman" w:cs="Times New Roman"/>
          <w:sz w:val="24"/>
          <w:szCs w:val="24"/>
        </w:rPr>
        <w:t xml:space="preserve">also </w:t>
      </w:r>
      <w:r w:rsidRPr="003926B8">
        <w:rPr>
          <w:rFonts w:ascii="Times New Roman" w:hAnsi="Times New Roman" w:cs="Times New Roman"/>
          <w:sz w:val="24"/>
          <w:szCs w:val="24"/>
        </w:rPr>
        <w:t>examine organizational practices that enhance job satisfaction and engagement, especially for younger or less tenured employees. Although job embeddedness was not a significant predictor of intent to stay, its near significance indicates the need for refined measures and exploration across career stages. Psychological and organizational factors—such as perceived support, value alignment, and recognition—may be more influential than gender or program area. Generational differences in work values and retention strategies also merit attention. Qualitative research could provide deeper insights into fit, sacrifice, and engagement. Finally, applying life stage development theory, such as Erikson’s psychosocial framework, may clarify why mid- and late-career employees prioritize legacy-building or retirement planning, weakening the satisfaction–retention link (Erikson, 1982).</w:t>
      </w:r>
      <w:r w:rsidR="007E7F5B">
        <w:rPr>
          <w:rFonts w:ascii="Times New Roman" w:hAnsi="Times New Roman" w:cs="Times New Roman"/>
          <w:sz w:val="24"/>
          <w:szCs w:val="24"/>
        </w:rPr>
        <w:t xml:space="preserve"> Finally, additional research should be conducted to better understand the negative relationship between years employed with Extension and intent to stay.</w:t>
      </w:r>
    </w:p>
    <w:p w14:paraId="6541C3A9" w14:textId="16B86688" w:rsidR="008951E2" w:rsidRDefault="008951E2" w:rsidP="00F31B4C">
      <w:pPr>
        <w:widowControl w:val="0"/>
        <w:spacing w:line="240" w:lineRule="auto"/>
        <w:jc w:val="center"/>
        <w:rPr>
          <w:rFonts w:ascii="Times New Roman" w:hAnsi="Times New Roman" w:cs="Times New Roman"/>
          <w:b/>
          <w:bCs/>
        </w:rPr>
      </w:pPr>
      <w:r w:rsidRPr="008951E2">
        <w:rPr>
          <w:rFonts w:ascii="Times New Roman" w:hAnsi="Times New Roman" w:cs="Times New Roman"/>
          <w:b/>
          <w:bCs/>
        </w:rPr>
        <w:t>References</w:t>
      </w:r>
    </w:p>
    <w:p w14:paraId="52EB4EB2" w14:textId="77777777" w:rsidR="00B62EFC" w:rsidRPr="00F32A0C" w:rsidRDefault="00B62EFC" w:rsidP="00F31B4C">
      <w:pPr>
        <w:widowControl w:val="0"/>
        <w:spacing w:after="240" w:line="240" w:lineRule="auto"/>
        <w:ind w:left="720" w:hanging="720"/>
        <w:rPr>
          <w:rFonts w:ascii="Times New Roman" w:hAnsi="Times New Roman" w:cs="Times New Roman"/>
          <w:sz w:val="24"/>
          <w:szCs w:val="24"/>
        </w:rPr>
      </w:pPr>
      <w:r w:rsidRPr="003C56D0">
        <w:rPr>
          <w:rFonts w:ascii="Times New Roman" w:hAnsi="Times New Roman" w:cs="Times New Roman"/>
          <w:sz w:val="24"/>
          <w:szCs w:val="24"/>
        </w:rPr>
        <w:t xml:space="preserve">Akoglu, H. (2018). User’s guide to correlation coefficients. </w:t>
      </w:r>
      <w:r w:rsidRPr="003C56D0">
        <w:rPr>
          <w:rFonts w:ascii="Times New Roman" w:hAnsi="Times New Roman" w:cs="Times New Roman"/>
          <w:i/>
          <w:iCs/>
          <w:sz w:val="24"/>
          <w:szCs w:val="24"/>
        </w:rPr>
        <w:t>Turkish Journal of Emergency Medicine, 18</w:t>
      </w:r>
      <w:r w:rsidRPr="003C56D0">
        <w:rPr>
          <w:rFonts w:ascii="Times New Roman" w:hAnsi="Times New Roman" w:cs="Times New Roman"/>
          <w:sz w:val="24"/>
          <w:szCs w:val="24"/>
        </w:rPr>
        <w:t xml:space="preserve">(3), 91–93. </w:t>
      </w:r>
      <w:hyperlink r:id="rId9" w:history="1">
        <w:r w:rsidRPr="003C56D0">
          <w:rPr>
            <w:rStyle w:val="Hyperlink"/>
            <w:rFonts w:ascii="Times New Roman" w:hAnsi="Times New Roman" w:cs="Times New Roman"/>
            <w:sz w:val="24"/>
            <w:szCs w:val="24"/>
          </w:rPr>
          <w:t>https://doi.org/10.1016/j.tjem.2018.08.001</w:t>
        </w:r>
      </w:hyperlink>
    </w:p>
    <w:p w14:paraId="3E021F30" w14:textId="77777777"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Alexander, N. (2015). What’s more general than </w:t>
      </w:r>
      <w:proofErr w:type="gramStart"/>
      <w:r w:rsidRPr="00422752">
        <w:rPr>
          <w:rFonts w:ascii="Times New Roman" w:hAnsi="Times New Roman" w:cs="Times New Roman"/>
          <w:sz w:val="24"/>
          <w:szCs w:val="24"/>
        </w:rPr>
        <w:t>a whole</w:t>
      </w:r>
      <w:proofErr w:type="gramEnd"/>
      <w:r w:rsidRPr="00422752">
        <w:rPr>
          <w:rFonts w:ascii="Times New Roman" w:hAnsi="Times New Roman" w:cs="Times New Roman"/>
          <w:sz w:val="24"/>
          <w:szCs w:val="24"/>
        </w:rPr>
        <w:t xml:space="preserve"> population? </w:t>
      </w:r>
      <w:r w:rsidRPr="00422752">
        <w:rPr>
          <w:rFonts w:ascii="Times New Roman" w:hAnsi="Times New Roman" w:cs="Times New Roman"/>
          <w:i/>
          <w:iCs/>
          <w:sz w:val="24"/>
          <w:szCs w:val="24"/>
        </w:rPr>
        <w:t>Emerging Themes in Epidemiology, 12</w:t>
      </w:r>
      <w:r w:rsidRPr="00422752">
        <w:rPr>
          <w:rFonts w:ascii="Times New Roman" w:hAnsi="Times New Roman" w:cs="Times New Roman"/>
          <w:sz w:val="24"/>
          <w:szCs w:val="24"/>
        </w:rPr>
        <w:t xml:space="preserve">(11). </w:t>
      </w:r>
      <w:hyperlink r:id="rId10" w:history="1">
        <w:r w:rsidRPr="00422752">
          <w:rPr>
            <w:rStyle w:val="Hyperlink"/>
            <w:rFonts w:ascii="Times New Roman" w:hAnsi="Times New Roman" w:cs="Times New Roman"/>
            <w:sz w:val="24"/>
            <w:szCs w:val="24"/>
          </w:rPr>
          <w:t>https://doi.org/10.1186/s12982-015-0029-4</w:t>
        </w:r>
      </w:hyperlink>
      <w:r w:rsidRPr="00422752">
        <w:rPr>
          <w:rFonts w:ascii="Times New Roman" w:hAnsi="Times New Roman" w:cs="Times New Roman"/>
          <w:sz w:val="24"/>
          <w:szCs w:val="24"/>
        </w:rPr>
        <w:t xml:space="preserve"> </w:t>
      </w:r>
    </w:p>
    <w:p w14:paraId="67FA82CB" w14:textId="77777777"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Armstrong, J. S., &amp; Overton, T. S. (1977). Estimating nonresponse bias in mail surveys. </w:t>
      </w:r>
      <w:r w:rsidRPr="00422752">
        <w:rPr>
          <w:rFonts w:ascii="Times New Roman" w:hAnsi="Times New Roman" w:cs="Times New Roman"/>
          <w:i/>
          <w:iCs/>
          <w:sz w:val="24"/>
          <w:szCs w:val="24"/>
        </w:rPr>
        <w:t>Journal of Marketing Research, 14</w:t>
      </w:r>
      <w:r w:rsidRPr="00422752">
        <w:rPr>
          <w:rFonts w:ascii="Times New Roman" w:hAnsi="Times New Roman" w:cs="Times New Roman"/>
          <w:sz w:val="24"/>
          <w:szCs w:val="24"/>
        </w:rPr>
        <w:t>(3), 396–402. </w:t>
      </w:r>
      <w:hyperlink r:id="rId11" w:history="1">
        <w:r w:rsidRPr="00422752">
          <w:rPr>
            <w:rStyle w:val="Hyperlink"/>
            <w:rFonts w:ascii="Times New Roman" w:hAnsi="Times New Roman" w:cs="Times New Roman"/>
            <w:sz w:val="24"/>
            <w:szCs w:val="24"/>
          </w:rPr>
          <w:t>https://doi.org/10.2307/3150783</w:t>
        </w:r>
      </w:hyperlink>
      <w:r w:rsidRPr="00422752">
        <w:rPr>
          <w:rFonts w:ascii="Times New Roman" w:hAnsi="Times New Roman" w:cs="Times New Roman"/>
          <w:sz w:val="24"/>
          <w:szCs w:val="24"/>
        </w:rPr>
        <w:t xml:space="preserve">  </w:t>
      </w:r>
    </w:p>
    <w:p w14:paraId="2BF8127B" w14:textId="2AFAE743" w:rsidR="00BD1EBD" w:rsidRDefault="00BD1EBD" w:rsidP="00F31B4C">
      <w:pPr>
        <w:widowControl w:val="0"/>
        <w:spacing w:after="240" w:line="240" w:lineRule="auto"/>
        <w:ind w:left="720" w:hanging="720"/>
        <w:rPr>
          <w:rFonts w:ascii="Times New Roman" w:hAnsi="Times New Roman" w:cs="Times New Roman"/>
          <w:sz w:val="24"/>
          <w:szCs w:val="24"/>
        </w:rPr>
      </w:pPr>
      <w:r w:rsidRPr="00617B66">
        <w:rPr>
          <w:rFonts w:ascii="Times New Roman" w:hAnsi="Times New Roman" w:cs="Times New Roman"/>
          <w:sz w:val="24"/>
          <w:szCs w:val="24"/>
        </w:rPr>
        <w:t>Bell, A.</w:t>
      </w:r>
      <w:r w:rsidRPr="005A5288">
        <w:rPr>
          <w:rFonts w:ascii="Times New Roman" w:hAnsi="Times New Roman" w:cs="Times New Roman"/>
          <w:sz w:val="24"/>
          <w:szCs w:val="24"/>
        </w:rPr>
        <w:t xml:space="preserve"> (2024). </w:t>
      </w:r>
      <w:r w:rsidRPr="005A5288">
        <w:rPr>
          <w:rFonts w:ascii="Times New Roman" w:hAnsi="Times New Roman" w:cs="Times New Roman"/>
          <w:i/>
          <w:iCs/>
          <w:sz w:val="24"/>
          <w:szCs w:val="24"/>
        </w:rPr>
        <w:t>How does the stay interview impact the future of retaining educators?</w:t>
      </w:r>
      <w:r w:rsidRPr="005A5288">
        <w:rPr>
          <w:rFonts w:ascii="Times New Roman" w:hAnsi="Times New Roman" w:cs="Times New Roman"/>
          <w:sz w:val="24"/>
          <w:szCs w:val="24"/>
        </w:rPr>
        <w:t xml:space="preserve"> </w:t>
      </w:r>
      <w:r w:rsidR="006827AA">
        <w:rPr>
          <w:rFonts w:ascii="Times New Roman" w:hAnsi="Times New Roman" w:cs="Times New Roman"/>
          <w:sz w:val="24"/>
          <w:szCs w:val="24"/>
        </w:rPr>
        <w:t>[</w:t>
      </w:r>
      <w:r w:rsidRPr="005A5288">
        <w:rPr>
          <w:rFonts w:ascii="Times New Roman" w:hAnsi="Times New Roman" w:cs="Times New Roman"/>
          <w:sz w:val="24"/>
          <w:szCs w:val="24"/>
        </w:rPr>
        <w:t>Doctoral dissertation, University of Nebraska at Omaha</w:t>
      </w:r>
      <w:r w:rsidR="00FA5F5F">
        <w:rPr>
          <w:rFonts w:ascii="Times New Roman" w:hAnsi="Times New Roman" w:cs="Times New Roman"/>
          <w:sz w:val="24"/>
          <w:szCs w:val="24"/>
        </w:rPr>
        <w:t>]</w:t>
      </w:r>
      <w:r w:rsidRPr="005A5288">
        <w:rPr>
          <w:rFonts w:ascii="Times New Roman" w:hAnsi="Times New Roman" w:cs="Times New Roman"/>
          <w:sz w:val="24"/>
          <w:szCs w:val="24"/>
        </w:rPr>
        <w:t xml:space="preserve">. DigitalCommons@UNO. </w:t>
      </w:r>
      <w:hyperlink r:id="rId12" w:history="1">
        <w:r w:rsidRPr="009E7391">
          <w:rPr>
            <w:rStyle w:val="Hyperlink"/>
            <w:rFonts w:ascii="Times New Roman" w:hAnsi="Times New Roman" w:cs="Times New Roman"/>
            <w:sz w:val="24"/>
            <w:szCs w:val="24"/>
          </w:rPr>
          <w:t>https://digitalcommons.unomaha.edu/edleadstudent/49</w:t>
        </w:r>
      </w:hyperlink>
    </w:p>
    <w:p w14:paraId="4C956B5C" w14:textId="2862FBF3" w:rsidR="00BD1EBD" w:rsidRDefault="00BD1EBD" w:rsidP="00F31B4C">
      <w:pPr>
        <w:widowControl w:val="0"/>
        <w:spacing w:after="240" w:line="240" w:lineRule="auto"/>
        <w:ind w:left="720" w:hanging="720"/>
        <w:rPr>
          <w:rFonts w:ascii="Times New Roman" w:hAnsi="Times New Roman" w:cs="Times New Roman"/>
          <w:sz w:val="24"/>
          <w:szCs w:val="24"/>
        </w:rPr>
      </w:pPr>
      <w:r w:rsidRPr="007E62D8">
        <w:rPr>
          <w:rFonts w:ascii="Times New Roman" w:hAnsi="Times New Roman" w:cs="Times New Roman"/>
          <w:sz w:val="24"/>
          <w:szCs w:val="24"/>
        </w:rPr>
        <w:t xml:space="preserve">Blacklaw-Freel, A. (2020). </w:t>
      </w:r>
      <w:r w:rsidRPr="00891643">
        <w:rPr>
          <w:rFonts w:ascii="Times New Roman" w:hAnsi="Times New Roman" w:cs="Times New Roman"/>
          <w:i/>
          <w:iCs/>
          <w:sz w:val="24"/>
          <w:szCs w:val="24"/>
        </w:rPr>
        <w:t>Perception of County Extension Agents’ Organizational Fit After Participating in the Mentoring Component of the Cooperative Extension Service Onboarding Program.</w:t>
      </w:r>
      <w:r w:rsidRPr="007E62D8">
        <w:rPr>
          <w:rFonts w:ascii="Times New Roman" w:hAnsi="Times New Roman" w:cs="Times New Roman"/>
          <w:sz w:val="24"/>
          <w:szCs w:val="24"/>
        </w:rPr>
        <w:t xml:space="preserve"> </w:t>
      </w:r>
      <w:r w:rsidR="006017E9">
        <w:rPr>
          <w:rFonts w:ascii="Times New Roman" w:hAnsi="Times New Roman" w:cs="Times New Roman"/>
          <w:sz w:val="24"/>
          <w:szCs w:val="24"/>
        </w:rPr>
        <w:t>[</w:t>
      </w:r>
      <w:r w:rsidR="00EB0CA1">
        <w:rPr>
          <w:rFonts w:ascii="Times New Roman" w:hAnsi="Times New Roman" w:cs="Times New Roman"/>
          <w:sz w:val="24"/>
          <w:szCs w:val="24"/>
        </w:rPr>
        <w:t>Doctoral dissertation, University of Arkansas]</w:t>
      </w:r>
      <w:r w:rsidR="00AF2752">
        <w:rPr>
          <w:rFonts w:ascii="Times New Roman" w:hAnsi="Times New Roman" w:cs="Times New Roman"/>
          <w:sz w:val="24"/>
          <w:szCs w:val="24"/>
        </w:rPr>
        <w:t xml:space="preserve">. </w:t>
      </w:r>
      <w:r w:rsidR="00881C0A">
        <w:rPr>
          <w:rFonts w:ascii="Times New Roman" w:hAnsi="Times New Roman" w:cs="Times New Roman"/>
          <w:sz w:val="24"/>
          <w:szCs w:val="24"/>
        </w:rPr>
        <w:t>Scholarworks</w:t>
      </w:r>
      <w:r w:rsidR="00236DAA">
        <w:rPr>
          <w:rFonts w:ascii="Times New Roman" w:hAnsi="Times New Roman" w:cs="Times New Roman"/>
          <w:sz w:val="24"/>
          <w:szCs w:val="24"/>
        </w:rPr>
        <w:t xml:space="preserve">.uark.edu. </w:t>
      </w:r>
      <w:hyperlink r:id="rId13" w:history="1">
        <w:r w:rsidRPr="00A2303E">
          <w:rPr>
            <w:rStyle w:val="Hyperlink"/>
            <w:rFonts w:ascii="Times New Roman" w:hAnsi="Times New Roman" w:cs="Times New Roman"/>
            <w:sz w:val="24"/>
            <w:szCs w:val="24"/>
          </w:rPr>
          <w:t>https://scholarworks.uark.edu/etd/3652</w:t>
        </w:r>
      </w:hyperlink>
    </w:p>
    <w:p w14:paraId="3319A42F" w14:textId="77777777" w:rsidR="00BD1EBD" w:rsidRPr="0098487D" w:rsidRDefault="00BD1EBD" w:rsidP="00F31B4C">
      <w:pPr>
        <w:widowControl w:val="0"/>
        <w:spacing w:after="240" w:line="240" w:lineRule="auto"/>
        <w:ind w:left="720" w:hanging="720"/>
        <w:rPr>
          <w:rFonts w:ascii="Times New Roman" w:hAnsi="Times New Roman" w:cs="Times New Roman"/>
          <w:sz w:val="24"/>
          <w:szCs w:val="24"/>
        </w:rPr>
      </w:pPr>
      <w:r w:rsidRPr="0098487D">
        <w:rPr>
          <w:rFonts w:ascii="Times New Roman" w:hAnsi="Times New Roman" w:cs="Times New Roman"/>
          <w:sz w:val="24"/>
          <w:szCs w:val="24"/>
        </w:rPr>
        <w:t>Boxall, P., &amp; Purcell, J. (2003). Strategy and human resource management. Basingstoke, UK: Palgrave Macmillan.</w:t>
      </w:r>
    </w:p>
    <w:p w14:paraId="5B657850" w14:textId="77777777" w:rsidR="00BD1EBD" w:rsidRDefault="00BD1EBD" w:rsidP="00F31B4C">
      <w:pPr>
        <w:widowControl w:val="0"/>
        <w:spacing w:after="240" w:line="240" w:lineRule="auto"/>
        <w:ind w:left="720" w:hanging="720"/>
        <w:rPr>
          <w:rFonts w:ascii="Times New Roman" w:hAnsi="Times New Roman" w:cs="Times New Roman"/>
          <w:sz w:val="24"/>
          <w:szCs w:val="24"/>
        </w:rPr>
      </w:pPr>
      <w:r w:rsidRPr="0098487D">
        <w:rPr>
          <w:rFonts w:ascii="Times New Roman" w:hAnsi="Times New Roman" w:cs="Times New Roman"/>
          <w:sz w:val="24"/>
          <w:szCs w:val="24"/>
        </w:rPr>
        <w:t xml:space="preserve">Brown, A. S., Gibson, J. D., &amp; Stewart, D. L. (2008). An assessment of Virginia Cooperative Extension's new Extension agent training program. </w:t>
      </w:r>
      <w:r w:rsidRPr="00891643">
        <w:rPr>
          <w:rFonts w:ascii="Times New Roman" w:hAnsi="Times New Roman" w:cs="Times New Roman"/>
          <w:i/>
          <w:iCs/>
          <w:sz w:val="24"/>
          <w:szCs w:val="24"/>
        </w:rPr>
        <w:t>Journal of Extension</w:t>
      </w:r>
      <w:r w:rsidRPr="0098487D">
        <w:rPr>
          <w:rFonts w:ascii="Times New Roman" w:hAnsi="Times New Roman" w:cs="Times New Roman"/>
          <w:sz w:val="24"/>
          <w:szCs w:val="24"/>
        </w:rPr>
        <w:t xml:space="preserve"> [On-line], </w:t>
      </w:r>
      <w:r w:rsidRPr="00891643">
        <w:rPr>
          <w:rFonts w:ascii="Times New Roman" w:hAnsi="Times New Roman" w:cs="Times New Roman"/>
          <w:i/>
          <w:iCs/>
          <w:sz w:val="24"/>
          <w:szCs w:val="24"/>
        </w:rPr>
        <w:t>46</w:t>
      </w:r>
      <w:r w:rsidRPr="0098487D">
        <w:rPr>
          <w:rFonts w:ascii="Times New Roman" w:hAnsi="Times New Roman" w:cs="Times New Roman"/>
          <w:sz w:val="24"/>
          <w:szCs w:val="24"/>
        </w:rPr>
        <w:t xml:space="preserve">(4) Article 4FEA7. Available at: </w:t>
      </w:r>
      <w:hyperlink r:id="rId14" w:history="1">
        <w:r w:rsidRPr="0098487D">
          <w:rPr>
            <w:rStyle w:val="Hyperlink"/>
            <w:rFonts w:ascii="Times New Roman" w:hAnsi="Times New Roman" w:cs="Times New Roman"/>
            <w:sz w:val="24"/>
            <w:szCs w:val="24"/>
          </w:rPr>
          <w:t>http://www.joe.org/joe/2008august/a7.php</w:t>
        </w:r>
      </w:hyperlink>
    </w:p>
    <w:p w14:paraId="01B04412" w14:textId="4BFC248F" w:rsidR="00CA2D7A" w:rsidRDefault="00CA2D7A" w:rsidP="00F31B4C">
      <w:pPr>
        <w:widowControl w:val="0"/>
        <w:spacing w:after="240" w:line="240" w:lineRule="auto"/>
        <w:ind w:left="720" w:hanging="720"/>
        <w:rPr>
          <w:rFonts w:ascii="Times New Roman" w:hAnsi="Times New Roman" w:cs="Times New Roman"/>
          <w:sz w:val="24"/>
          <w:szCs w:val="24"/>
        </w:rPr>
      </w:pPr>
      <w:r w:rsidRPr="00CA2D7A">
        <w:rPr>
          <w:rFonts w:ascii="Times New Roman" w:hAnsi="Times New Roman" w:cs="Times New Roman"/>
          <w:sz w:val="24"/>
          <w:szCs w:val="24"/>
        </w:rPr>
        <w:lastRenderedPageBreak/>
        <w:t xml:space="preserve">Baruch, Y., &amp; Holtom, B. C. (2008). Survey </w:t>
      </w:r>
      <w:r w:rsidR="005C03BF">
        <w:rPr>
          <w:rFonts w:ascii="Times New Roman" w:hAnsi="Times New Roman" w:cs="Times New Roman"/>
          <w:sz w:val="24"/>
          <w:szCs w:val="24"/>
        </w:rPr>
        <w:t>r</w:t>
      </w:r>
      <w:r w:rsidRPr="00CA2D7A">
        <w:rPr>
          <w:rFonts w:ascii="Times New Roman" w:hAnsi="Times New Roman" w:cs="Times New Roman"/>
          <w:sz w:val="24"/>
          <w:szCs w:val="24"/>
        </w:rPr>
        <w:t xml:space="preserve">esponse </w:t>
      </w:r>
      <w:r w:rsidR="005C03BF">
        <w:rPr>
          <w:rFonts w:ascii="Times New Roman" w:hAnsi="Times New Roman" w:cs="Times New Roman"/>
          <w:sz w:val="24"/>
          <w:szCs w:val="24"/>
        </w:rPr>
        <w:t>r</w:t>
      </w:r>
      <w:r w:rsidRPr="00CA2D7A">
        <w:rPr>
          <w:rFonts w:ascii="Times New Roman" w:hAnsi="Times New Roman" w:cs="Times New Roman"/>
          <w:sz w:val="24"/>
          <w:szCs w:val="24"/>
        </w:rPr>
        <w:t xml:space="preserve">ate </w:t>
      </w:r>
      <w:r w:rsidR="005C03BF">
        <w:rPr>
          <w:rFonts w:ascii="Times New Roman" w:hAnsi="Times New Roman" w:cs="Times New Roman"/>
          <w:sz w:val="24"/>
          <w:szCs w:val="24"/>
        </w:rPr>
        <w:t>l</w:t>
      </w:r>
      <w:r w:rsidRPr="00CA2D7A">
        <w:rPr>
          <w:rFonts w:ascii="Times New Roman" w:hAnsi="Times New Roman" w:cs="Times New Roman"/>
          <w:sz w:val="24"/>
          <w:szCs w:val="24"/>
        </w:rPr>
        <w:t xml:space="preserve">evels and </w:t>
      </w:r>
      <w:r w:rsidR="005C03BF">
        <w:rPr>
          <w:rFonts w:ascii="Times New Roman" w:hAnsi="Times New Roman" w:cs="Times New Roman"/>
          <w:sz w:val="24"/>
          <w:szCs w:val="24"/>
        </w:rPr>
        <w:t>t</w:t>
      </w:r>
      <w:r w:rsidRPr="00CA2D7A">
        <w:rPr>
          <w:rFonts w:ascii="Times New Roman" w:hAnsi="Times New Roman" w:cs="Times New Roman"/>
          <w:sz w:val="24"/>
          <w:szCs w:val="24"/>
        </w:rPr>
        <w:t xml:space="preserve">rends in </w:t>
      </w:r>
      <w:r w:rsidR="005C03BF">
        <w:rPr>
          <w:rFonts w:ascii="Times New Roman" w:hAnsi="Times New Roman" w:cs="Times New Roman"/>
          <w:sz w:val="24"/>
          <w:szCs w:val="24"/>
        </w:rPr>
        <w:t>o</w:t>
      </w:r>
      <w:r w:rsidRPr="00CA2D7A">
        <w:rPr>
          <w:rFonts w:ascii="Times New Roman" w:hAnsi="Times New Roman" w:cs="Times New Roman"/>
          <w:sz w:val="24"/>
          <w:szCs w:val="24"/>
        </w:rPr>
        <w:t xml:space="preserve">rganizational </w:t>
      </w:r>
      <w:r w:rsidR="005C03BF">
        <w:rPr>
          <w:rFonts w:ascii="Times New Roman" w:hAnsi="Times New Roman" w:cs="Times New Roman"/>
          <w:sz w:val="24"/>
          <w:szCs w:val="24"/>
        </w:rPr>
        <w:t>r</w:t>
      </w:r>
      <w:r w:rsidRPr="00CA2D7A">
        <w:rPr>
          <w:rFonts w:ascii="Times New Roman" w:hAnsi="Times New Roman" w:cs="Times New Roman"/>
          <w:sz w:val="24"/>
          <w:szCs w:val="24"/>
        </w:rPr>
        <w:t xml:space="preserve">esearch. </w:t>
      </w:r>
      <w:r w:rsidRPr="00891643">
        <w:rPr>
          <w:rFonts w:ascii="Times New Roman" w:hAnsi="Times New Roman" w:cs="Times New Roman"/>
          <w:i/>
          <w:iCs/>
          <w:sz w:val="24"/>
          <w:szCs w:val="24"/>
        </w:rPr>
        <w:t>Human Relations, 61</w:t>
      </w:r>
      <w:r w:rsidRPr="00CA2D7A">
        <w:rPr>
          <w:rFonts w:ascii="Times New Roman" w:hAnsi="Times New Roman" w:cs="Times New Roman"/>
          <w:sz w:val="24"/>
          <w:szCs w:val="24"/>
        </w:rPr>
        <w:t>, 1139-1160.</w:t>
      </w:r>
      <w:r w:rsidRPr="00CA2D7A">
        <w:rPr>
          <w:rFonts w:ascii="Times New Roman" w:hAnsi="Times New Roman" w:cs="Times New Roman"/>
          <w:sz w:val="24"/>
          <w:szCs w:val="24"/>
        </w:rPr>
        <w:br/>
      </w:r>
      <w:hyperlink r:id="rId15" w:history="1">
        <w:r w:rsidRPr="000A6994">
          <w:rPr>
            <w:rStyle w:val="Hyperlink"/>
            <w:rFonts w:ascii="Times New Roman" w:hAnsi="Times New Roman" w:cs="Times New Roman"/>
            <w:sz w:val="24"/>
            <w:szCs w:val="24"/>
          </w:rPr>
          <w:t>https://doi.org/10.1177/0018726708094863</w:t>
        </w:r>
      </w:hyperlink>
    </w:p>
    <w:p w14:paraId="136002F5" w14:textId="77777777"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Carifio, J., &amp; Perla, R. (2008). Resolving the 50-year debate around using and misusing Likert scales. </w:t>
      </w:r>
      <w:r w:rsidRPr="00422752">
        <w:rPr>
          <w:rFonts w:ascii="Times New Roman" w:hAnsi="Times New Roman" w:cs="Times New Roman"/>
          <w:i/>
          <w:iCs/>
          <w:sz w:val="24"/>
          <w:szCs w:val="24"/>
        </w:rPr>
        <w:t>Medical Education, 42</w:t>
      </w:r>
      <w:r w:rsidRPr="00422752">
        <w:rPr>
          <w:rFonts w:ascii="Times New Roman" w:hAnsi="Times New Roman" w:cs="Times New Roman"/>
          <w:sz w:val="24"/>
          <w:szCs w:val="24"/>
        </w:rPr>
        <w:t xml:space="preserve">, 1150-1152. </w:t>
      </w:r>
      <w:hyperlink r:id="rId16" w:history="1">
        <w:r w:rsidRPr="00422752">
          <w:rPr>
            <w:rStyle w:val="Hyperlink"/>
            <w:rFonts w:ascii="Times New Roman" w:hAnsi="Times New Roman" w:cs="Times New Roman"/>
            <w:sz w:val="24"/>
            <w:szCs w:val="24"/>
          </w:rPr>
          <w:t>https://doi.org/10.1111/j.1365-2923.2008.03172.x</w:t>
        </w:r>
      </w:hyperlink>
    </w:p>
    <w:p w14:paraId="52BEE4F3" w14:textId="3795B2FD"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B06F57">
        <w:rPr>
          <w:rFonts w:ascii="Times New Roman" w:hAnsi="Times New Roman" w:cs="Times New Roman"/>
          <w:sz w:val="24"/>
          <w:szCs w:val="24"/>
        </w:rPr>
        <w:t xml:space="preserve">Church, L. J., &amp; Pals, D. A. (1982). Before </w:t>
      </w:r>
      <w:r w:rsidR="005C03BF">
        <w:rPr>
          <w:rFonts w:ascii="Times New Roman" w:hAnsi="Times New Roman" w:cs="Times New Roman"/>
          <w:sz w:val="24"/>
          <w:szCs w:val="24"/>
        </w:rPr>
        <w:t>y</w:t>
      </w:r>
      <w:r w:rsidR="005C03BF" w:rsidRPr="00B06F57">
        <w:rPr>
          <w:rFonts w:ascii="Times New Roman" w:hAnsi="Times New Roman" w:cs="Times New Roman"/>
          <w:sz w:val="24"/>
          <w:szCs w:val="24"/>
        </w:rPr>
        <w:t xml:space="preserve">ou </w:t>
      </w:r>
      <w:r w:rsidR="005C03BF">
        <w:rPr>
          <w:rFonts w:ascii="Times New Roman" w:hAnsi="Times New Roman" w:cs="Times New Roman"/>
          <w:sz w:val="24"/>
          <w:szCs w:val="24"/>
        </w:rPr>
        <w:t>r</w:t>
      </w:r>
      <w:r w:rsidR="005C03BF" w:rsidRPr="00B06F57">
        <w:rPr>
          <w:rFonts w:ascii="Times New Roman" w:hAnsi="Times New Roman" w:cs="Times New Roman"/>
          <w:sz w:val="24"/>
          <w:szCs w:val="24"/>
        </w:rPr>
        <w:t>esign</w:t>
      </w:r>
      <w:r w:rsidRPr="00B06F57">
        <w:rPr>
          <w:rFonts w:ascii="Times New Roman" w:hAnsi="Times New Roman" w:cs="Times New Roman"/>
          <w:sz w:val="24"/>
          <w:szCs w:val="24"/>
        </w:rPr>
        <w:t xml:space="preserve">…. </w:t>
      </w:r>
      <w:r w:rsidRPr="00B06F57">
        <w:rPr>
          <w:rFonts w:ascii="Times New Roman" w:hAnsi="Times New Roman" w:cs="Times New Roman"/>
          <w:i/>
          <w:iCs/>
          <w:sz w:val="24"/>
          <w:szCs w:val="24"/>
        </w:rPr>
        <w:t>The Journal of Extension, 20(5),</w:t>
      </w:r>
      <w:r w:rsidRPr="00B06F57">
        <w:rPr>
          <w:rFonts w:ascii="Times New Roman" w:hAnsi="Times New Roman" w:cs="Times New Roman"/>
          <w:sz w:val="24"/>
          <w:szCs w:val="24"/>
        </w:rPr>
        <w:t xml:space="preserve"> Article 9. </w:t>
      </w:r>
      <w:hyperlink r:id="rId17" w:history="1">
        <w:r w:rsidRPr="00B06F57">
          <w:rPr>
            <w:rStyle w:val="Hyperlink"/>
            <w:rFonts w:ascii="Times New Roman" w:hAnsi="Times New Roman" w:cs="Times New Roman"/>
            <w:sz w:val="24"/>
            <w:szCs w:val="24"/>
          </w:rPr>
          <w:t>https://open.clemson.edu/joe/vol20/iss5/9</w:t>
        </w:r>
      </w:hyperlink>
    </w:p>
    <w:p w14:paraId="29EE5A82" w14:textId="77777777" w:rsidR="00BD1EBD" w:rsidRPr="000C42C2" w:rsidRDefault="00BD1EBD" w:rsidP="00F31B4C">
      <w:pPr>
        <w:widowControl w:val="0"/>
        <w:spacing w:after="240" w:line="240" w:lineRule="auto"/>
        <w:ind w:left="720" w:hanging="720"/>
        <w:rPr>
          <w:rFonts w:ascii="Times New Roman" w:hAnsi="Times New Roman" w:cs="Times New Roman"/>
          <w:sz w:val="24"/>
          <w:szCs w:val="24"/>
        </w:rPr>
      </w:pPr>
      <w:r w:rsidRPr="000C42C2">
        <w:rPr>
          <w:rFonts w:ascii="Times New Roman" w:hAnsi="Times New Roman" w:cs="Times New Roman"/>
          <w:sz w:val="24"/>
          <w:szCs w:val="24"/>
        </w:rPr>
        <w:t xml:space="preserve">Cohen, J., Cohen, P., West, S. G., &amp; Aiken, L. S. (2003). </w:t>
      </w:r>
      <w:r w:rsidRPr="000C42C2">
        <w:rPr>
          <w:rFonts w:ascii="Times New Roman" w:hAnsi="Times New Roman" w:cs="Times New Roman"/>
          <w:i/>
          <w:iCs/>
          <w:sz w:val="24"/>
          <w:szCs w:val="24"/>
        </w:rPr>
        <w:t>Applied multiple regression/correlation analysis for the behavioral sciences</w:t>
      </w:r>
      <w:r w:rsidRPr="000C42C2">
        <w:rPr>
          <w:rFonts w:ascii="Times New Roman" w:hAnsi="Times New Roman" w:cs="Times New Roman"/>
          <w:sz w:val="24"/>
          <w:szCs w:val="24"/>
        </w:rPr>
        <w:t xml:space="preserve"> (3rd ed.). Routledge. </w:t>
      </w:r>
      <w:hyperlink r:id="rId18" w:history="1">
        <w:r w:rsidRPr="000C42C2">
          <w:rPr>
            <w:rStyle w:val="Hyperlink"/>
            <w:rFonts w:ascii="Times New Roman" w:hAnsi="Times New Roman" w:cs="Times New Roman"/>
            <w:sz w:val="24"/>
            <w:szCs w:val="24"/>
          </w:rPr>
          <w:t>https://doi.org/10.4324/9780203774441</w:t>
        </w:r>
      </w:hyperlink>
    </w:p>
    <w:p w14:paraId="445C668B" w14:textId="77777777"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Dillman, D. A. (1991). The design and administration of mail surveys. </w:t>
      </w:r>
      <w:r w:rsidRPr="00422752">
        <w:rPr>
          <w:rFonts w:ascii="Times New Roman" w:hAnsi="Times New Roman" w:cs="Times New Roman"/>
          <w:i/>
          <w:iCs/>
          <w:sz w:val="24"/>
          <w:szCs w:val="24"/>
        </w:rPr>
        <w:t>Annual Review of Sociology, 17</w:t>
      </w:r>
      <w:r w:rsidRPr="00422752">
        <w:rPr>
          <w:rFonts w:ascii="Times New Roman" w:hAnsi="Times New Roman" w:cs="Times New Roman"/>
          <w:sz w:val="24"/>
          <w:szCs w:val="24"/>
        </w:rPr>
        <w:t>, 225-249.</w:t>
      </w:r>
    </w:p>
    <w:p w14:paraId="29404F47" w14:textId="77777777"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ECOP</w:t>
      </w:r>
      <w:r>
        <w:rPr>
          <w:rFonts w:ascii="Times New Roman" w:hAnsi="Times New Roman" w:cs="Times New Roman"/>
          <w:sz w:val="24"/>
          <w:szCs w:val="24"/>
        </w:rPr>
        <w:t xml:space="preserve">, </w:t>
      </w:r>
      <w:r w:rsidRPr="00422752">
        <w:rPr>
          <w:rFonts w:ascii="Times New Roman" w:hAnsi="Times New Roman" w:cs="Times New Roman"/>
          <w:sz w:val="24"/>
          <w:szCs w:val="24"/>
        </w:rPr>
        <w:t xml:space="preserve">(2005). </w:t>
      </w:r>
      <w:r w:rsidRPr="00422752">
        <w:rPr>
          <w:rFonts w:ascii="Times New Roman" w:hAnsi="Times New Roman" w:cs="Times New Roman"/>
          <w:i/>
          <w:iCs/>
          <w:sz w:val="24"/>
          <w:szCs w:val="24"/>
        </w:rPr>
        <w:t>The Extension system: A vision for the 21st century</w:t>
      </w:r>
      <w:r w:rsidRPr="00422752">
        <w:rPr>
          <w:rFonts w:ascii="Times New Roman" w:hAnsi="Times New Roman" w:cs="Times New Roman"/>
          <w:sz w:val="24"/>
          <w:szCs w:val="24"/>
        </w:rPr>
        <w:t>. National Association of State Universities and Land-Grant Colleges.</w:t>
      </w:r>
    </w:p>
    <w:p w14:paraId="4B6F9713" w14:textId="6724EF65"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Ellison, S., &amp; Harder, A. (2022). Contributing or </w:t>
      </w:r>
      <w:r w:rsidR="00B071BE">
        <w:rPr>
          <w:rFonts w:ascii="Times New Roman" w:hAnsi="Times New Roman" w:cs="Times New Roman"/>
          <w:sz w:val="24"/>
          <w:szCs w:val="24"/>
        </w:rPr>
        <w:t>c</w:t>
      </w:r>
      <w:r w:rsidR="00B071BE" w:rsidRPr="00422752">
        <w:rPr>
          <w:rFonts w:ascii="Times New Roman" w:hAnsi="Times New Roman" w:cs="Times New Roman"/>
          <w:sz w:val="24"/>
          <w:szCs w:val="24"/>
        </w:rPr>
        <w:t xml:space="preserve">locking </w:t>
      </w:r>
      <w:r w:rsidR="00B071BE">
        <w:rPr>
          <w:rFonts w:ascii="Times New Roman" w:hAnsi="Times New Roman" w:cs="Times New Roman"/>
          <w:sz w:val="24"/>
          <w:szCs w:val="24"/>
        </w:rPr>
        <w:t>i</w:t>
      </w:r>
      <w:r w:rsidR="00B071BE" w:rsidRPr="00422752">
        <w:rPr>
          <w:rFonts w:ascii="Times New Roman" w:hAnsi="Times New Roman" w:cs="Times New Roman"/>
          <w:sz w:val="24"/>
          <w:szCs w:val="24"/>
        </w:rPr>
        <w:t>n</w:t>
      </w:r>
      <w:r w:rsidRPr="00422752">
        <w:rPr>
          <w:rFonts w:ascii="Times New Roman" w:hAnsi="Times New Roman" w:cs="Times New Roman"/>
          <w:sz w:val="24"/>
          <w:szCs w:val="24"/>
        </w:rPr>
        <w:t xml:space="preserve">: A </w:t>
      </w:r>
      <w:r w:rsidR="00B071BE">
        <w:rPr>
          <w:rFonts w:ascii="Times New Roman" w:hAnsi="Times New Roman" w:cs="Times New Roman"/>
          <w:sz w:val="24"/>
          <w:szCs w:val="24"/>
        </w:rPr>
        <w:t>s</w:t>
      </w:r>
      <w:r w:rsidRPr="00422752">
        <w:rPr>
          <w:rFonts w:ascii="Times New Roman" w:hAnsi="Times New Roman" w:cs="Times New Roman"/>
          <w:sz w:val="24"/>
          <w:szCs w:val="24"/>
        </w:rPr>
        <w:t xml:space="preserve">tudy of </w:t>
      </w:r>
      <w:r w:rsidR="00B071BE">
        <w:rPr>
          <w:rFonts w:ascii="Times New Roman" w:hAnsi="Times New Roman" w:cs="Times New Roman"/>
          <w:sz w:val="24"/>
          <w:szCs w:val="24"/>
        </w:rPr>
        <w:t>w</w:t>
      </w:r>
      <w:r w:rsidRPr="00422752">
        <w:rPr>
          <w:rFonts w:ascii="Times New Roman" w:hAnsi="Times New Roman" w:cs="Times New Roman"/>
          <w:sz w:val="24"/>
          <w:szCs w:val="24"/>
        </w:rPr>
        <w:t xml:space="preserve">ork </w:t>
      </w:r>
      <w:r w:rsidR="00B071BE">
        <w:rPr>
          <w:rFonts w:ascii="Times New Roman" w:hAnsi="Times New Roman" w:cs="Times New Roman"/>
          <w:sz w:val="24"/>
          <w:szCs w:val="24"/>
        </w:rPr>
        <w:t>e</w:t>
      </w:r>
      <w:r w:rsidRPr="00422752">
        <w:rPr>
          <w:rFonts w:ascii="Times New Roman" w:hAnsi="Times New Roman" w:cs="Times New Roman"/>
          <w:sz w:val="24"/>
          <w:szCs w:val="24"/>
        </w:rPr>
        <w:t xml:space="preserve">ngagement. </w:t>
      </w:r>
      <w:r w:rsidRPr="00422752">
        <w:rPr>
          <w:rFonts w:ascii="Times New Roman" w:hAnsi="Times New Roman" w:cs="Times New Roman"/>
          <w:i/>
          <w:iCs/>
          <w:sz w:val="24"/>
          <w:szCs w:val="24"/>
        </w:rPr>
        <w:t>The Journal of Extension, 60(3)</w:t>
      </w:r>
      <w:r w:rsidRPr="00422752">
        <w:rPr>
          <w:rFonts w:ascii="Times New Roman" w:hAnsi="Times New Roman" w:cs="Times New Roman"/>
          <w:sz w:val="24"/>
          <w:szCs w:val="24"/>
        </w:rPr>
        <w:t xml:space="preserve">, Article 3. </w:t>
      </w:r>
      <w:hyperlink r:id="rId19" w:history="1">
        <w:r w:rsidRPr="00422752">
          <w:rPr>
            <w:rStyle w:val="Hyperlink"/>
            <w:rFonts w:ascii="Times New Roman" w:hAnsi="Times New Roman" w:cs="Times New Roman"/>
            <w:sz w:val="24"/>
            <w:szCs w:val="24"/>
          </w:rPr>
          <w:t>https://doi.org/10.34068/joe.60.03.03</w:t>
        </w:r>
      </w:hyperlink>
    </w:p>
    <w:p w14:paraId="1ED96B6F" w14:textId="77777777" w:rsidR="00BD1EBD" w:rsidRDefault="00BD1EBD" w:rsidP="00F31B4C">
      <w:pPr>
        <w:widowControl w:val="0"/>
        <w:spacing w:after="240" w:line="240" w:lineRule="auto"/>
        <w:ind w:left="720" w:hanging="720"/>
        <w:rPr>
          <w:rFonts w:ascii="Times New Roman" w:hAnsi="Times New Roman" w:cs="Times New Roman"/>
          <w:sz w:val="24"/>
          <w:szCs w:val="24"/>
        </w:rPr>
      </w:pPr>
      <w:r w:rsidRPr="00954490">
        <w:rPr>
          <w:rFonts w:ascii="Times New Roman" w:hAnsi="Times New Roman" w:cs="Times New Roman"/>
          <w:sz w:val="24"/>
          <w:szCs w:val="24"/>
        </w:rPr>
        <w:t xml:space="preserve">Erikson, E. H. (1982). </w:t>
      </w:r>
      <w:r w:rsidRPr="00954490">
        <w:rPr>
          <w:rFonts w:ascii="Times New Roman" w:hAnsi="Times New Roman" w:cs="Times New Roman"/>
          <w:i/>
          <w:iCs/>
          <w:sz w:val="24"/>
          <w:szCs w:val="24"/>
        </w:rPr>
        <w:t xml:space="preserve">The life cycle </w:t>
      </w:r>
      <w:proofErr w:type="gramStart"/>
      <w:r w:rsidRPr="00954490">
        <w:rPr>
          <w:rFonts w:ascii="Times New Roman" w:hAnsi="Times New Roman" w:cs="Times New Roman"/>
          <w:i/>
          <w:iCs/>
          <w:sz w:val="24"/>
          <w:szCs w:val="24"/>
        </w:rPr>
        <w:t>completed</w:t>
      </w:r>
      <w:proofErr w:type="gramEnd"/>
      <w:r w:rsidRPr="00954490">
        <w:rPr>
          <w:rFonts w:ascii="Times New Roman" w:hAnsi="Times New Roman" w:cs="Times New Roman"/>
          <w:sz w:val="24"/>
          <w:szCs w:val="24"/>
        </w:rPr>
        <w:t>. W. W. Norton &amp; Company.</w:t>
      </w:r>
    </w:p>
    <w:p w14:paraId="5419F832" w14:textId="77777777" w:rsidR="00BD1EBD"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Extension Committee on Organization and Policy. (2005). </w:t>
      </w:r>
      <w:r w:rsidRPr="00422752">
        <w:rPr>
          <w:rFonts w:ascii="Times New Roman" w:hAnsi="Times New Roman" w:cs="Times New Roman"/>
          <w:i/>
          <w:iCs/>
          <w:sz w:val="24"/>
          <w:szCs w:val="24"/>
        </w:rPr>
        <w:t>Extension committee on organization and policy leadership advisory council 2005 report</w:t>
      </w:r>
      <w:r w:rsidRPr="00422752">
        <w:rPr>
          <w:rFonts w:ascii="Times New Roman" w:hAnsi="Times New Roman" w:cs="Times New Roman"/>
          <w:sz w:val="24"/>
          <w:szCs w:val="24"/>
        </w:rPr>
        <w:t>. National Association of State Universities and Land-Grant Colleges.</w:t>
      </w:r>
    </w:p>
    <w:p w14:paraId="052439B3" w14:textId="77777777" w:rsidR="00BD1EBD" w:rsidRDefault="00BD1EBD" w:rsidP="00F31B4C">
      <w:pPr>
        <w:widowControl w:val="0"/>
        <w:spacing w:after="240" w:line="240" w:lineRule="auto"/>
        <w:ind w:left="720" w:hanging="720"/>
        <w:rPr>
          <w:rFonts w:ascii="Times New Roman" w:hAnsi="Times New Roman" w:cs="Times New Roman"/>
          <w:sz w:val="24"/>
          <w:szCs w:val="24"/>
        </w:rPr>
      </w:pPr>
      <w:r w:rsidRPr="0049589E">
        <w:rPr>
          <w:rFonts w:ascii="Times New Roman" w:hAnsi="Times New Roman" w:cs="Times New Roman"/>
          <w:sz w:val="24"/>
          <w:szCs w:val="24"/>
        </w:rPr>
        <w:t xml:space="preserve">Field, A., &amp; Miles, J. (2010). </w:t>
      </w:r>
      <w:r w:rsidRPr="0049589E">
        <w:rPr>
          <w:rFonts w:ascii="Times New Roman" w:hAnsi="Times New Roman" w:cs="Times New Roman"/>
          <w:i/>
          <w:iCs/>
          <w:sz w:val="24"/>
          <w:szCs w:val="24"/>
        </w:rPr>
        <w:t>Discovering statistics using SAS</w:t>
      </w:r>
      <w:r w:rsidRPr="0049589E">
        <w:rPr>
          <w:rFonts w:ascii="Times New Roman" w:hAnsi="Times New Roman" w:cs="Times New Roman"/>
          <w:sz w:val="24"/>
          <w:szCs w:val="24"/>
        </w:rPr>
        <w:t xml:space="preserve"> (1st ed.). Sage Publications.</w:t>
      </w:r>
    </w:p>
    <w:p w14:paraId="2E79D097" w14:textId="77777777" w:rsidR="00BD1EBD" w:rsidRPr="0098487D" w:rsidRDefault="00BD1EBD" w:rsidP="00F31B4C">
      <w:pPr>
        <w:widowControl w:val="0"/>
        <w:spacing w:after="240" w:line="240" w:lineRule="auto"/>
        <w:ind w:left="720" w:hanging="720"/>
        <w:rPr>
          <w:rFonts w:ascii="Times New Roman" w:hAnsi="Times New Roman" w:cs="Times New Roman"/>
          <w:sz w:val="24"/>
          <w:szCs w:val="24"/>
        </w:rPr>
      </w:pPr>
      <w:r w:rsidRPr="0098487D">
        <w:rPr>
          <w:rFonts w:ascii="Times New Roman" w:hAnsi="Times New Roman" w:cs="Times New Roman"/>
          <w:sz w:val="24"/>
          <w:szCs w:val="24"/>
        </w:rPr>
        <w:t>Fleming, J. H., &amp; Asplund, J. (2007). Human sigma. New York: Gallup Press.</w:t>
      </w:r>
    </w:p>
    <w:p w14:paraId="682C9E03" w14:textId="77777777" w:rsidR="00BD1EBD" w:rsidRDefault="00BD1EBD" w:rsidP="00F31B4C">
      <w:pPr>
        <w:widowControl w:val="0"/>
        <w:spacing w:after="240" w:line="240" w:lineRule="auto"/>
        <w:ind w:left="720" w:hanging="720"/>
      </w:pPr>
      <w:r w:rsidRPr="00422752">
        <w:rPr>
          <w:rFonts w:ascii="Times New Roman" w:hAnsi="Times New Roman" w:cs="Times New Roman"/>
          <w:sz w:val="24"/>
          <w:szCs w:val="24"/>
        </w:rPr>
        <w:t xml:space="preserve">Ghosh, S. K. (2017). The direct and interactive effects of job insecurity and job embeddedness on unethical pro-organizational behavior: An empirical examination. </w:t>
      </w:r>
      <w:r w:rsidRPr="00617B66">
        <w:rPr>
          <w:rFonts w:ascii="Times New Roman" w:hAnsi="Times New Roman" w:cs="Times New Roman"/>
          <w:i/>
          <w:iCs/>
          <w:sz w:val="24"/>
          <w:szCs w:val="24"/>
        </w:rPr>
        <w:t>Personnel Review, 46</w:t>
      </w:r>
      <w:r w:rsidRPr="00617B66">
        <w:rPr>
          <w:rFonts w:ascii="Times New Roman" w:hAnsi="Times New Roman" w:cs="Times New Roman"/>
          <w:sz w:val="24"/>
          <w:szCs w:val="24"/>
        </w:rPr>
        <w:t xml:space="preserve">(6), 1182-1198. </w:t>
      </w:r>
      <w:hyperlink r:id="rId20" w:history="1">
        <w:r w:rsidRPr="00617B66">
          <w:rPr>
            <w:rStyle w:val="Hyperlink"/>
            <w:rFonts w:ascii="Times New Roman" w:hAnsi="Times New Roman" w:cs="Times New Roman"/>
            <w:sz w:val="24"/>
            <w:szCs w:val="24"/>
          </w:rPr>
          <w:t>https://doi.org/10.1108/PR-05-2015-0126</w:t>
        </w:r>
      </w:hyperlink>
    </w:p>
    <w:p w14:paraId="7680A8B0" w14:textId="762BC679" w:rsidR="00CA2D7A" w:rsidRPr="00E51252" w:rsidRDefault="00CA2D7A" w:rsidP="00F31B4C">
      <w:pPr>
        <w:widowControl w:val="0"/>
        <w:spacing w:after="240" w:line="240" w:lineRule="auto"/>
        <w:ind w:left="720" w:hanging="720"/>
        <w:rPr>
          <w:rFonts w:ascii="Times New Roman" w:hAnsi="Times New Roman" w:cs="Times New Roman"/>
          <w:sz w:val="24"/>
          <w:szCs w:val="24"/>
        </w:rPr>
      </w:pPr>
      <w:r w:rsidRPr="00E51252">
        <w:rPr>
          <w:rFonts w:ascii="Times New Roman" w:hAnsi="Times New Roman" w:cs="Times New Roman"/>
          <w:sz w:val="24"/>
          <w:szCs w:val="24"/>
        </w:rPr>
        <w:t xml:space="preserve">Ghosh, D., &amp; Gurunathan, L. (2015). Job </w:t>
      </w:r>
      <w:r w:rsidR="00B071BE">
        <w:rPr>
          <w:rFonts w:ascii="Times New Roman" w:hAnsi="Times New Roman" w:cs="Times New Roman"/>
          <w:sz w:val="24"/>
          <w:szCs w:val="24"/>
        </w:rPr>
        <w:t>e</w:t>
      </w:r>
      <w:r w:rsidR="00B071BE" w:rsidRPr="00E51252">
        <w:rPr>
          <w:rFonts w:ascii="Times New Roman" w:hAnsi="Times New Roman" w:cs="Times New Roman"/>
          <w:sz w:val="24"/>
          <w:szCs w:val="24"/>
        </w:rPr>
        <w:t>mbeddedness</w:t>
      </w:r>
      <w:r w:rsidRPr="00E51252">
        <w:rPr>
          <w:rFonts w:ascii="Times New Roman" w:hAnsi="Times New Roman" w:cs="Times New Roman"/>
          <w:sz w:val="24"/>
          <w:szCs w:val="24"/>
        </w:rPr>
        <w:t xml:space="preserve">: A </w:t>
      </w:r>
      <w:r w:rsidR="00B071BE">
        <w:rPr>
          <w:rFonts w:ascii="Times New Roman" w:hAnsi="Times New Roman" w:cs="Times New Roman"/>
          <w:sz w:val="24"/>
          <w:szCs w:val="24"/>
        </w:rPr>
        <w:t>t</w:t>
      </w:r>
      <w:r w:rsidR="00B071BE" w:rsidRPr="00E51252">
        <w:rPr>
          <w:rFonts w:ascii="Times New Roman" w:hAnsi="Times New Roman" w:cs="Times New Roman"/>
          <w:sz w:val="24"/>
          <w:szCs w:val="24"/>
        </w:rPr>
        <w:t>en</w:t>
      </w:r>
      <w:r w:rsidRPr="00E51252">
        <w:rPr>
          <w:rFonts w:ascii="Times New Roman" w:hAnsi="Times New Roman" w:cs="Times New Roman"/>
          <w:sz w:val="24"/>
          <w:szCs w:val="24"/>
        </w:rPr>
        <w:t xml:space="preserve">-year </w:t>
      </w:r>
      <w:r w:rsidR="00B071BE">
        <w:rPr>
          <w:rFonts w:ascii="Times New Roman" w:hAnsi="Times New Roman" w:cs="Times New Roman"/>
          <w:sz w:val="24"/>
          <w:szCs w:val="24"/>
        </w:rPr>
        <w:t>l</w:t>
      </w:r>
      <w:r w:rsidR="00B071BE" w:rsidRPr="00E51252">
        <w:rPr>
          <w:rFonts w:ascii="Times New Roman" w:hAnsi="Times New Roman" w:cs="Times New Roman"/>
          <w:sz w:val="24"/>
          <w:szCs w:val="24"/>
        </w:rPr>
        <w:t xml:space="preserve">iterature </w:t>
      </w:r>
      <w:r w:rsidR="00B071BE">
        <w:rPr>
          <w:rFonts w:ascii="Times New Roman" w:hAnsi="Times New Roman" w:cs="Times New Roman"/>
          <w:sz w:val="24"/>
          <w:szCs w:val="24"/>
        </w:rPr>
        <w:t>r</w:t>
      </w:r>
      <w:r w:rsidR="00B071BE" w:rsidRPr="00E51252">
        <w:rPr>
          <w:rFonts w:ascii="Times New Roman" w:hAnsi="Times New Roman" w:cs="Times New Roman"/>
          <w:sz w:val="24"/>
          <w:szCs w:val="24"/>
        </w:rPr>
        <w:t xml:space="preserve">eview </w:t>
      </w:r>
      <w:r w:rsidRPr="00E51252">
        <w:rPr>
          <w:rFonts w:ascii="Times New Roman" w:hAnsi="Times New Roman" w:cs="Times New Roman"/>
          <w:sz w:val="24"/>
          <w:szCs w:val="24"/>
        </w:rPr>
        <w:t xml:space="preserve">and </w:t>
      </w:r>
      <w:r w:rsidR="00B071BE">
        <w:rPr>
          <w:rFonts w:ascii="Times New Roman" w:hAnsi="Times New Roman" w:cs="Times New Roman"/>
          <w:sz w:val="24"/>
          <w:szCs w:val="24"/>
        </w:rPr>
        <w:t>p</w:t>
      </w:r>
      <w:r w:rsidR="00B071BE" w:rsidRPr="00E51252">
        <w:rPr>
          <w:rFonts w:ascii="Times New Roman" w:hAnsi="Times New Roman" w:cs="Times New Roman"/>
          <w:sz w:val="24"/>
          <w:szCs w:val="24"/>
        </w:rPr>
        <w:t xml:space="preserve">roposed </w:t>
      </w:r>
      <w:r w:rsidR="00B071BE">
        <w:rPr>
          <w:rFonts w:ascii="Times New Roman" w:hAnsi="Times New Roman" w:cs="Times New Roman"/>
          <w:sz w:val="24"/>
          <w:szCs w:val="24"/>
        </w:rPr>
        <w:t>g</w:t>
      </w:r>
      <w:r w:rsidR="00B071BE" w:rsidRPr="00E51252">
        <w:rPr>
          <w:rFonts w:ascii="Times New Roman" w:hAnsi="Times New Roman" w:cs="Times New Roman"/>
          <w:sz w:val="24"/>
          <w:szCs w:val="24"/>
        </w:rPr>
        <w:t>uidelines</w:t>
      </w:r>
      <w:r w:rsidRPr="00E51252">
        <w:rPr>
          <w:rFonts w:ascii="Times New Roman" w:hAnsi="Times New Roman" w:cs="Times New Roman"/>
          <w:sz w:val="24"/>
          <w:szCs w:val="24"/>
        </w:rPr>
        <w:t xml:space="preserve">. </w:t>
      </w:r>
      <w:r w:rsidRPr="00E51252">
        <w:rPr>
          <w:rFonts w:ascii="Times New Roman" w:hAnsi="Times New Roman" w:cs="Times New Roman"/>
          <w:i/>
          <w:iCs/>
          <w:sz w:val="24"/>
          <w:szCs w:val="24"/>
        </w:rPr>
        <w:t>Global Business Review</w:t>
      </w:r>
      <w:r w:rsidRPr="00E51252">
        <w:rPr>
          <w:rFonts w:ascii="Times New Roman" w:hAnsi="Times New Roman" w:cs="Times New Roman"/>
          <w:sz w:val="24"/>
          <w:szCs w:val="24"/>
        </w:rPr>
        <w:t xml:space="preserve">, </w:t>
      </w:r>
      <w:r w:rsidRPr="00E51252">
        <w:rPr>
          <w:rFonts w:ascii="Times New Roman" w:hAnsi="Times New Roman" w:cs="Times New Roman"/>
          <w:i/>
          <w:iCs/>
          <w:sz w:val="24"/>
          <w:szCs w:val="24"/>
        </w:rPr>
        <w:t>16</w:t>
      </w:r>
      <w:r w:rsidRPr="00E51252">
        <w:rPr>
          <w:rFonts w:ascii="Times New Roman" w:hAnsi="Times New Roman" w:cs="Times New Roman"/>
          <w:sz w:val="24"/>
          <w:szCs w:val="24"/>
        </w:rPr>
        <w:t xml:space="preserve">(5), 856-866. </w:t>
      </w:r>
      <w:hyperlink r:id="rId21" w:history="1">
        <w:r w:rsidRPr="00E51252">
          <w:rPr>
            <w:rStyle w:val="Hyperlink"/>
            <w:rFonts w:ascii="Times New Roman" w:hAnsi="Times New Roman" w:cs="Times New Roman"/>
            <w:sz w:val="24"/>
            <w:szCs w:val="24"/>
          </w:rPr>
          <w:t>https://doi.org/10.1177/0972150915591652</w:t>
        </w:r>
      </w:hyperlink>
      <w:r w:rsidRPr="00E51252">
        <w:rPr>
          <w:rFonts w:ascii="Times New Roman" w:hAnsi="Times New Roman" w:cs="Times New Roman"/>
          <w:sz w:val="24"/>
          <w:szCs w:val="24"/>
        </w:rPr>
        <w:t xml:space="preserve"> </w:t>
      </w:r>
    </w:p>
    <w:p w14:paraId="2A5DF2FD" w14:textId="77777777" w:rsidR="00BD1EBD"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Groves, R. M., Fowler, F. J., Cooper, M. P., Lepkowski, J. M., Singer, E., &amp; Tourangeau, R. (2009). </w:t>
      </w:r>
      <w:r w:rsidRPr="00422752">
        <w:rPr>
          <w:rFonts w:ascii="Times New Roman" w:hAnsi="Times New Roman" w:cs="Times New Roman"/>
          <w:i/>
          <w:iCs/>
          <w:sz w:val="24"/>
          <w:szCs w:val="24"/>
        </w:rPr>
        <w:t>Survey methodology</w:t>
      </w:r>
      <w:r w:rsidRPr="00422752">
        <w:rPr>
          <w:rFonts w:ascii="Times New Roman" w:hAnsi="Times New Roman" w:cs="Times New Roman"/>
          <w:sz w:val="24"/>
          <w:szCs w:val="24"/>
        </w:rPr>
        <w:t xml:space="preserve"> (2nd ed.). Wiley &amp; Sons.</w:t>
      </w:r>
    </w:p>
    <w:p w14:paraId="5E1FCB2A" w14:textId="77777777" w:rsidR="00BD1EBD" w:rsidRDefault="00BD1EBD" w:rsidP="00F31B4C">
      <w:pPr>
        <w:widowControl w:val="0"/>
        <w:spacing w:after="240" w:line="240" w:lineRule="auto"/>
        <w:ind w:left="720" w:hanging="720"/>
      </w:pPr>
      <w:r w:rsidRPr="00422752">
        <w:rPr>
          <w:rFonts w:ascii="Times New Roman" w:hAnsi="Times New Roman" w:cs="Times New Roman"/>
          <w:sz w:val="24"/>
          <w:szCs w:val="24"/>
        </w:rPr>
        <w:t xml:space="preserve">Harder, A., Gouldthrope, J., &amp; Goodwin, J. (2014). Why work for extension? An examination of job satisfaction and motivation. </w:t>
      </w:r>
      <w:r w:rsidRPr="00422752">
        <w:rPr>
          <w:rFonts w:ascii="Times New Roman" w:hAnsi="Times New Roman" w:cs="Times New Roman"/>
          <w:i/>
          <w:iCs/>
          <w:sz w:val="24"/>
          <w:szCs w:val="24"/>
        </w:rPr>
        <w:t>Journal of Extension</w:t>
      </w:r>
      <w:r w:rsidRPr="00422752">
        <w:rPr>
          <w:rFonts w:ascii="Times New Roman" w:hAnsi="Times New Roman" w:cs="Times New Roman"/>
          <w:sz w:val="24"/>
          <w:szCs w:val="24"/>
        </w:rPr>
        <w:t xml:space="preserve">, 52(3). </w:t>
      </w:r>
      <w:hyperlink r:id="rId22" w:history="1">
        <w:r w:rsidRPr="009A68B6">
          <w:rPr>
            <w:rStyle w:val="Hyperlink"/>
            <w:rFonts w:ascii="Times New Roman" w:hAnsi="Times New Roman" w:cs="Times New Roman"/>
            <w:sz w:val="24"/>
            <w:szCs w:val="24"/>
          </w:rPr>
          <w:t>https://open.clemson.edu/joe/vol52/iss3/4/</w:t>
        </w:r>
      </w:hyperlink>
    </w:p>
    <w:p w14:paraId="5EDE70DC" w14:textId="77777777"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lastRenderedPageBreak/>
        <w:t xml:space="preserve">Herzberg, F., Mausner, B., &amp; Snyderman, B. B. (1959). </w:t>
      </w:r>
      <w:r w:rsidRPr="00422752">
        <w:rPr>
          <w:rFonts w:ascii="Times New Roman" w:hAnsi="Times New Roman" w:cs="Times New Roman"/>
          <w:i/>
          <w:iCs/>
          <w:sz w:val="24"/>
          <w:szCs w:val="24"/>
        </w:rPr>
        <w:t>The motivation to work</w:t>
      </w:r>
      <w:r w:rsidRPr="00422752">
        <w:rPr>
          <w:rFonts w:ascii="Times New Roman" w:hAnsi="Times New Roman" w:cs="Times New Roman"/>
          <w:sz w:val="24"/>
          <w:szCs w:val="24"/>
        </w:rPr>
        <w:t xml:space="preserve"> (2nd ed.). John Wiley &amp; Sons.</w:t>
      </w:r>
    </w:p>
    <w:p w14:paraId="28BE37F2" w14:textId="529CE6C7" w:rsidR="00BD1EBD" w:rsidRDefault="00BD1EBD" w:rsidP="00F31B4C">
      <w:pPr>
        <w:widowControl w:val="0"/>
        <w:spacing w:after="240" w:line="240" w:lineRule="auto"/>
        <w:ind w:left="720" w:hanging="720"/>
        <w:rPr>
          <w:rFonts w:ascii="Times New Roman" w:hAnsi="Times New Roman" w:cs="Times New Roman"/>
          <w:sz w:val="24"/>
          <w:szCs w:val="24"/>
        </w:rPr>
      </w:pPr>
      <w:r w:rsidRPr="004C1377">
        <w:rPr>
          <w:rFonts w:ascii="Times New Roman" w:hAnsi="Times New Roman" w:cs="Times New Roman"/>
          <w:sz w:val="24"/>
          <w:szCs w:val="24"/>
        </w:rPr>
        <w:t xml:space="preserve">Hoisch, M. (2001). </w:t>
      </w:r>
      <w:r w:rsidRPr="004C1377">
        <w:rPr>
          <w:rFonts w:ascii="Times New Roman" w:hAnsi="Times New Roman" w:cs="Times New Roman"/>
          <w:i/>
          <w:iCs/>
          <w:sz w:val="24"/>
          <w:szCs w:val="24"/>
        </w:rPr>
        <w:t xml:space="preserve">Organizational factors influencing longevity in professional, </w:t>
      </w:r>
      <w:r w:rsidR="007944EE" w:rsidRPr="004C1377">
        <w:rPr>
          <w:rFonts w:ascii="Times New Roman" w:hAnsi="Times New Roman" w:cs="Times New Roman"/>
          <w:i/>
          <w:iCs/>
          <w:sz w:val="24"/>
          <w:szCs w:val="24"/>
        </w:rPr>
        <w:t>managerial,</w:t>
      </w:r>
      <w:r w:rsidRPr="004C1377">
        <w:rPr>
          <w:rFonts w:ascii="Times New Roman" w:hAnsi="Times New Roman" w:cs="Times New Roman"/>
          <w:i/>
          <w:iCs/>
          <w:sz w:val="24"/>
          <w:szCs w:val="24"/>
        </w:rPr>
        <w:t xml:space="preserve"> and administrative employee retention</w:t>
      </w:r>
      <w:r w:rsidRPr="004C1377">
        <w:rPr>
          <w:rFonts w:ascii="Times New Roman" w:hAnsi="Times New Roman" w:cs="Times New Roman"/>
          <w:sz w:val="24"/>
          <w:szCs w:val="24"/>
        </w:rPr>
        <w:t xml:space="preserve"> (Publication No. 3038765) [Doctoral dissertation, UMI Dissertation Services].</w:t>
      </w:r>
    </w:p>
    <w:p w14:paraId="2E64E089" w14:textId="0C01C9E8" w:rsidR="00CA2D7A" w:rsidRPr="004C1377" w:rsidRDefault="00CA2D7A" w:rsidP="00F31B4C">
      <w:pPr>
        <w:widowControl w:val="0"/>
        <w:spacing w:after="240" w:line="240" w:lineRule="auto"/>
        <w:ind w:left="720" w:hanging="720"/>
        <w:rPr>
          <w:rFonts w:ascii="Times New Roman" w:hAnsi="Times New Roman" w:cs="Times New Roman"/>
          <w:sz w:val="24"/>
          <w:szCs w:val="24"/>
        </w:rPr>
      </w:pPr>
      <w:r w:rsidRPr="00CA2D7A">
        <w:rPr>
          <w:rFonts w:ascii="Times New Roman" w:hAnsi="Times New Roman" w:cs="Times New Roman"/>
          <w:sz w:val="24"/>
          <w:szCs w:val="24"/>
        </w:rPr>
        <w:t>Hwang, Erika</w:t>
      </w:r>
      <w:r w:rsidR="009D4963">
        <w:rPr>
          <w:rFonts w:ascii="Times New Roman" w:hAnsi="Times New Roman" w:cs="Times New Roman"/>
          <w:sz w:val="24"/>
          <w:szCs w:val="24"/>
        </w:rPr>
        <w:t xml:space="preserve">. (2023). </w:t>
      </w:r>
      <w:r w:rsidRPr="00891643">
        <w:rPr>
          <w:rFonts w:ascii="Times New Roman" w:hAnsi="Times New Roman" w:cs="Times New Roman"/>
          <w:i/>
          <w:iCs/>
          <w:sz w:val="24"/>
          <w:szCs w:val="24"/>
        </w:rPr>
        <w:t xml:space="preserve">An </w:t>
      </w:r>
      <w:r w:rsidR="009D4963">
        <w:rPr>
          <w:rFonts w:ascii="Times New Roman" w:hAnsi="Times New Roman" w:cs="Times New Roman"/>
          <w:i/>
          <w:iCs/>
          <w:sz w:val="24"/>
          <w:szCs w:val="24"/>
        </w:rPr>
        <w:t>a</w:t>
      </w:r>
      <w:r w:rsidR="009D4963" w:rsidRPr="00891643">
        <w:rPr>
          <w:rFonts w:ascii="Times New Roman" w:hAnsi="Times New Roman" w:cs="Times New Roman"/>
          <w:i/>
          <w:iCs/>
          <w:sz w:val="24"/>
          <w:szCs w:val="24"/>
        </w:rPr>
        <w:t xml:space="preserve">ssessment </w:t>
      </w:r>
      <w:r w:rsidRPr="00891643">
        <w:rPr>
          <w:rFonts w:ascii="Times New Roman" w:hAnsi="Times New Roman" w:cs="Times New Roman"/>
          <w:i/>
          <w:iCs/>
          <w:sz w:val="24"/>
          <w:szCs w:val="24"/>
        </w:rPr>
        <w:t xml:space="preserve">of Clemson Cooperative Extension </w:t>
      </w:r>
      <w:r w:rsidR="009D4963">
        <w:rPr>
          <w:rFonts w:ascii="Times New Roman" w:hAnsi="Times New Roman" w:cs="Times New Roman"/>
          <w:i/>
          <w:iCs/>
          <w:sz w:val="24"/>
          <w:szCs w:val="24"/>
        </w:rPr>
        <w:t>a</w:t>
      </w:r>
      <w:r w:rsidR="009D4963" w:rsidRPr="00891643">
        <w:rPr>
          <w:rFonts w:ascii="Times New Roman" w:hAnsi="Times New Roman" w:cs="Times New Roman"/>
          <w:i/>
          <w:iCs/>
          <w:sz w:val="24"/>
          <w:szCs w:val="24"/>
        </w:rPr>
        <w:t xml:space="preserve">gents’ </w:t>
      </w:r>
      <w:r w:rsidR="009D4963">
        <w:rPr>
          <w:rFonts w:ascii="Times New Roman" w:hAnsi="Times New Roman" w:cs="Times New Roman"/>
          <w:i/>
          <w:iCs/>
          <w:sz w:val="24"/>
          <w:szCs w:val="24"/>
        </w:rPr>
        <w:t>p</w:t>
      </w:r>
      <w:r w:rsidR="009D4963" w:rsidRPr="00891643">
        <w:rPr>
          <w:rFonts w:ascii="Times New Roman" w:hAnsi="Times New Roman" w:cs="Times New Roman"/>
          <w:i/>
          <w:iCs/>
          <w:sz w:val="24"/>
          <w:szCs w:val="24"/>
        </w:rPr>
        <w:t xml:space="preserve">erceptions </w:t>
      </w:r>
      <w:r w:rsidRPr="00891643">
        <w:rPr>
          <w:rFonts w:ascii="Times New Roman" w:hAnsi="Times New Roman" w:cs="Times New Roman"/>
          <w:i/>
          <w:iCs/>
          <w:sz w:val="24"/>
          <w:szCs w:val="24"/>
        </w:rPr>
        <w:t xml:space="preserve">of </w:t>
      </w:r>
      <w:r w:rsidR="009D4963">
        <w:rPr>
          <w:rFonts w:ascii="Times New Roman" w:hAnsi="Times New Roman" w:cs="Times New Roman"/>
          <w:i/>
          <w:iCs/>
          <w:sz w:val="24"/>
          <w:szCs w:val="24"/>
        </w:rPr>
        <w:t>w</w:t>
      </w:r>
      <w:r w:rsidR="009D4963" w:rsidRPr="00891643">
        <w:rPr>
          <w:rFonts w:ascii="Times New Roman" w:hAnsi="Times New Roman" w:cs="Times New Roman"/>
          <w:i/>
          <w:iCs/>
          <w:sz w:val="24"/>
          <w:szCs w:val="24"/>
        </w:rPr>
        <w:t>ork</w:t>
      </w:r>
      <w:r w:rsidRPr="00891643">
        <w:rPr>
          <w:rFonts w:ascii="Times New Roman" w:hAnsi="Times New Roman" w:cs="Times New Roman"/>
          <w:i/>
          <w:iCs/>
          <w:sz w:val="24"/>
          <w:szCs w:val="24"/>
        </w:rPr>
        <w:t>-</w:t>
      </w:r>
      <w:r w:rsidR="009D4963">
        <w:rPr>
          <w:rFonts w:ascii="Times New Roman" w:hAnsi="Times New Roman" w:cs="Times New Roman"/>
          <w:i/>
          <w:iCs/>
          <w:sz w:val="24"/>
          <w:szCs w:val="24"/>
        </w:rPr>
        <w:t>r</w:t>
      </w:r>
      <w:r w:rsidR="009D4963" w:rsidRPr="00891643">
        <w:rPr>
          <w:rFonts w:ascii="Times New Roman" w:hAnsi="Times New Roman" w:cs="Times New Roman"/>
          <w:i/>
          <w:iCs/>
          <w:sz w:val="24"/>
          <w:szCs w:val="24"/>
        </w:rPr>
        <w:t xml:space="preserve">elated </w:t>
      </w:r>
      <w:r w:rsidR="009D4963">
        <w:rPr>
          <w:rFonts w:ascii="Times New Roman" w:hAnsi="Times New Roman" w:cs="Times New Roman"/>
          <w:i/>
          <w:iCs/>
          <w:sz w:val="24"/>
          <w:szCs w:val="24"/>
        </w:rPr>
        <w:t>f</w:t>
      </w:r>
      <w:r w:rsidR="009D4963" w:rsidRPr="00891643">
        <w:rPr>
          <w:rFonts w:ascii="Times New Roman" w:hAnsi="Times New Roman" w:cs="Times New Roman"/>
          <w:i/>
          <w:iCs/>
          <w:sz w:val="24"/>
          <w:szCs w:val="24"/>
        </w:rPr>
        <w:t xml:space="preserve">actors </w:t>
      </w:r>
      <w:r w:rsidR="009D4963">
        <w:rPr>
          <w:rFonts w:ascii="Times New Roman" w:hAnsi="Times New Roman" w:cs="Times New Roman"/>
          <w:i/>
          <w:iCs/>
          <w:sz w:val="24"/>
          <w:szCs w:val="24"/>
        </w:rPr>
        <w:t>l</w:t>
      </w:r>
      <w:r w:rsidR="009D4963" w:rsidRPr="00891643">
        <w:rPr>
          <w:rFonts w:ascii="Times New Roman" w:hAnsi="Times New Roman" w:cs="Times New Roman"/>
          <w:i/>
          <w:iCs/>
          <w:sz w:val="24"/>
          <w:szCs w:val="24"/>
        </w:rPr>
        <w:t xml:space="preserve">eading </w:t>
      </w:r>
      <w:r w:rsidR="009D4963">
        <w:rPr>
          <w:rFonts w:ascii="Times New Roman" w:hAnsi="Times New Roman" w:cs="Times New Roman"/>
          <w:i/>
          <w:iCs/>
          <w:sz w:val="24"/>
          <w:szCs w:val="24"/>
        </w:rPr>
        <w:t>t</w:t>
      </w:r>
      <w:r w:rsidRPr="00891643">
        <w:rPr>
          <w:rFonts w:ascii="Times New Roman" w:hAnsi="Times New Roman" w:cs="Times New Roman"/>
          <w:i/>
          <w:iCs/>
          <w:sz w:val="24"/>
          <w:szCs w:val="24"/>
        </w:rPr>
        <w:t xml:space="preserve">o </w:t>
      </w:r>
      <w:r w:rsidR="009D4963">
        <w:rPr>
          <w:rFonts w:ascii="Times New Roman" w:hAnsi="Times New Roman" w:cs="Times New Roman"/>
          <w:i/>
          <w:iCs/>
          <w:sz w:val="24"/>
          <w:szCs w:val="24"/>
        </w:rPr>
        <w:t>b</w:t>
      </w:r>
      <w:r w:rsidR="009D4963" w:rsidRPr="00891643">
        <w:rPr>
          <w:rFonts w:ascii="Times New Roman" w:hAnsi="Times New Roman" w:cs="Times New Roman"/>
          <w:i/>
          <w:iCs/>
          <w:sz w:val="24"/>
          <w:szCs w:val="24"/>
        </w:rPr>
        <w:t>urnout</w:t>
      </w:r>
      <w:r w:rsidR="006035DF">
        <w:rPr>
          <w:rFonts w:ascii="Times New Roman" w:hAnsi="Times New Roman" w:cs="Times New Roman"/>
          <w:i/>
          <w:iCs/>
          <w:sz w:val="24"/>
          <w:szCs w:val="24"/>
        </w:rPr>
        <w:t>.</w:t>
      </w:r>
      <w:r w:rsidR="006035DF">
        <w:rPr>
          <w:rFonts w:ascii="Times New Roman" w:hAnsi="Times New Roman" w:cs="Times New Roman"/>
          <w:sz w:val="24"/>
          <w:szCs w:val="24"/>
        </w:rPr>
        <w:t xml:space="preserve"> </w:t>
      </w:r>
      <w:r w:rsidR="007A2CA2">
        <w:rPr>
          <w:rFonts w:ascii="Times New Roman" w:hAnsi="Times New Roman" w:cs="Times New Roman"/>
          <w:sz w:val="24"/>
          <w:szCs w:val="24"/>
        </w:rPr>
        <w:t>[Master’s thesis</w:t>
      </w:r>
      <w:r w:rsidR="00333277">
        <w:rPr>
          <w:rFonts w:ascii="Times New Roman" w:hAnsi="Times New Roman" w:cs="Times New Roman"/>
          <w:sz w:val="24"/>
          <w:szCs w:val="24"/>
        </w:rPr>
        <w:t>, Clemson University</w:t>
      </w:r>
      <w:r w:rsidR="007A2CA2">
        <w:rPr>
          <w:rFonts w:ascii="Times New Roman" w:hAnsi="Times New Roman" w:cs="Times New Roman"/>
          <w:sz w:val="24"/>
          <w:szCs w:val="24"/>
        </w:rPr>
        <w:t xml:space="preserve">]. </w:t>
      </w:r>
      <w:r w:rsidR="006035DF">
        <w:rPr>
          <w:rFonts w:ascii="Times New Roman" w:hAnsi="Times New Roman" w:cs="Times New Roman"/>
          <w:sz w:val="24"/>
          <w:szCs w:val="24"/>
        </w:rPr>
        <w:t>Clemson Open</w:t>
      </w:r>
      <w:r w:rsidR="007A2CA2">
        <w:rPr>
          <w:rFonts w:ascii="Times New Roman" w:hAnsi="Times New Roman" w:cs="Times New Roman"/>
          <w:sz w:val="24"/>
          <w:szCs w:val="24"/>
        </w:rPr>
        <w:t xml:space="preserve">. </w:t>
      </w:r>
      <w:r w:rsidRPr="00CA2D7A">
        <w:rPr>
          <w:rFonts w:ascii="Times New Roman" w:hAnsi="Times New Roman" w:cs="Times New Roman"/>
          <w:sz w:val="24"/>
          <w:szCs w:val="24"/>
        </w:rPr>
        <w:t>https://open.clemson.edu/all_theses/4141</w:t>
      </w:r>
    </w:p>
    <w:p w14:paraId="179DDD98" w14:textId="77777777" w:rsidR="00BD1EBD" w:rsidRPr="00422752" w:rsidRDefault="00BD1EBD" w:rsidP="00F31B4C">
      <w:pPr>
        <w:widowControl w:val="0"/>
        <w:spacing w:after="240" w:line="240" w:lineRule="auto"/>
        <w:ind w:left="720" w:hanging="720"/>
        <w:rPr>
          <w:rFonts w:ascii="Times New Roman" w:hAnsi="Times New Roman" w:cs="Times New Roman"/>
          <w:sz w:val="24"/>
          <w:szCs w:val="24"/>
        </w:rPr>
      </w:pPr>
      <w:r w:rsidRPr="004B294F">
        <w:rPr>
          <w:rFonts w:ascii="Times New Roman" w:hAnsi="Times New Roman" w:cs="Times New Roman"/>
          <w:sz w:val="24"/>
          <w:szCs w:val="24"/>
        </w:rPr>
        <w:t xml:space="preserve">Judge, T. A., Weiss, H. M., Kammeyer-Mueller, J. D., &amp; Hulin, C. L. (2017). Job attitudes, job satisfaction, and job affect: A century of continuity and of change. </w:t>
      </w:r>
      <w:r w:rsidRPr="004B294F">
        <w:rPr>
          <w:rFonts w:ascii="Times New Roman" w:hAnsi="Times New Roman" w:cs="Times New Roman"/>
          <w:i/>
          <w:iCs/>
          <w:sz w:val="24"/>
          <w:szCs w:val="24"/>
        </w:rPr>
        <w:t>Journal of Applied Psychology, 102</w:t>
      </w:r>
      <w:r w:rsidRPr="004B294F">
        <w:rPr>
          <w:rFonts w:ascii="Times New Roman" w:hAnsi="Times New Roman" w:cs="Times New Roman"/>
          <w:sz w:val="24"/>
          <w:szCs w:val="24"/>
        </w:rPr>
        <w:t xml:space="preserve">(3), 356–374. </w:t>
      </w:r>
      <w:hyperlink r:id="rId23" w:history="1">
        <w:r w:rsidRPr="004B294F">
          <w:rPr>
            <w:rStyle w:val="Hyperlink"/>
            <w:rFonts w:ascii="Times New Roman" w:hAnsi="Times New Roman" w:cs="Times New Roman"/>
            <w:sz w:val="24"/>
            <w:szCs w:val="24"/>
          </w:rPr>
          <w:t>https://doi.org/10.1037/apl0000181</w:t>
        </w:r>
      </w:hyperlink>
    </w:p>
    <w:p w14:paraId="608BA1FC" w14:textId="77777777" w:rsidR="00BD1EBD" w:rsidRDefault="00BD1EBD" w:rsidP="00F31B4C">
      <w:pPr>
        <w:widowControl w:val="0"/>
        <w:spacing w:after="240" w:line="240" w:lineRule="auto"/>
        <w:ind w:left="720" w:hanging="720"/>
        <w:rPr>
          <w:rFonts w:ascii="Times New Roman" w:hAnsi="Times New Roman" w:cs="Times New Roman"/>
          <w:sz w:val="24"/>
          <w:szCs w:val="24"/>
        </w:rPr>
      </w:pPr>
      <w:r w:rsidRPr="008A7A8C">
        <w:rPr>
          <w:rFonts w:ascii="Times New Roman" w:hAnsi="Times New Roman" w:cs="Times New Roman"/>
          <w:sz w:val="24"/>
          <w:szCs w:val="24"/>
        </w:rPr>
        <w:t xml:space="preserve">Lindner, J. R., Murphy, T. H., &amp; Briers, G. E. (2001). Handling nonresponse in social science research. </w:t>
      </w:r>
      <w:r w:rsidRPr="008A7A8C">
        <w:rPr>
          <w:rFonts w:ascii="Times New Roman" w:hAnsi="Times New Roman" w:cs="Times New Roman"/>
          <w:i/>
          <w:iCs/>
          <w:sz w:val="24"/>
          <w:szCs w:val="24"/>
        </w:rPr>
        <w:t>Journal of Agricultural Education, 42</w:t>
      </w:r>
      <w:r w:rsidRPr="008A7A8C">
        <w:rPr>
          <w:rFonts w:ascii="Times New Roman" w:hAnsi="Times New Roman" w:cs="Times New Roman"/>
          <w:sz w:val="24"/>
          <w:szCs w:val="24"/>
        </w:rPr>
        <w:t xml:space="preserve">(4), 43–53. </w:t>
      </w:r>
      <w:hyperlink r:id="rId24" w:history="1">
        <w:r w:rsidRPr="00E829C1">
          <w:rPr>
            <w:rStyle w:val="Hyperlink"/>
            <w:rFonts w:ascii="Times New Roman" w:hAnsi="Times New Roman" w:cs="Times New Roman"/>
            <w:sz w:val="24"/>
            <w:szCs w:val="24"/>
          </w:rPr>
          <w:t>https://doi.org/10.5032/jae.2001.04043</w:t>
        </w:r>
      </w:hyperlink>
    </w:p>
    <w:p w14:paraId="28DBAC68" w14:textId="77777777" w:rsidR="00BD1EBD" w:rsidRDefault="00BD1EBD" w:rsidP="00F31B4C">
      <w:pPr>
        <w:widowControl w:val="0"/>
        <w:spacing w:after="240" w:line="240" w:lineRule="auto"/>
        <w:ind w:left="720" w:hanging="720"/>
      </w:pPr>
      <w:r w:rsidRPr="00422752">
        <w:rPr>
          <w:rFonts w:ascii="Times New Roman" w:hAnsi="Times New Roman" w:cs="Times New Roman"/>
          <w:sz w:val="24"/>
          <w:szCs w:val="24"/>
        </w:rPr>
        <w:t xml:space="preserve">Lindner, J. R., &amp; Lindner, N. J. (2024). Interpreting Likert-type scales, summated scales, unidimensional scales, and attitudinal scales: I neither agree nor disagree, Likert or not. </w:t>
      </w:r>
      <w:r w:rsidRPr="00422752">
        <w:rPr>
          <w:rFonts w:ascii="Times New Roman" w:hAnsi="Times New Roman" w:cs="Times New Roman"/>
          <w:i/>
          <w:iCs/>
          <w:sz w:val="24"/>
          <w:szCs w:val="24"/>
        </w:rPr>
        <w:t>Advancements in Agricultural Development, 5</w:t>
      </w:r>
      <w:r w:rsidRPr="00422752">
        <w:rPr>
          <w:rFonts w:ascii="Times New Roman" w:hAnsi="Times New Roman" w:cs="Times New Roman"/>
          <w:sz w:val="24"/>
          <w:szCs w:val="24"/>
        </w:rPr>
        <w:t xml:space="preserve">(2), 152-163. </w:t>
      </w:r>
      <w:hyperlink r:id="rId25" w:history="1">
        <w:r w:rsidRPr="00422752">
          <w:rPr>
            <w:rStyle w:val="Hyperlink"/>
            <w:rFonts w:ascii="Times New Roman" w:hAnsi="Times New Roman" w:cs="Times New Roman"/>
            <w:sz w:val="24"/>
            <w:szCs w:val="24"/>
          </w:rPr>
          <w:t>https://doi.org/10.37433/aad.v5i2.351</w:t>
        </w:r>
      </w:hyperlink>
    </w:p>
    <w:p w14:paraId="70AE0307" w14:textId="081EAAE3" w:rsidR="00885043" w:rsidRPr="00E51252" w:rsidRDefault="00885043" w:rsidP="00F31B4C">
      <w:pPr>
        <w:widowControl w:val="0"/>
        <w:spacing w:after="240" w:line="240" w:lineRule="auto"/>
        <w:ind w:left="720" w:hanging="720"/>
        <w:rPr>
          <w:rFonts w:ascii="Times New Roman" w:hAnsi="Times New Roman" w:cs="Times New Roman"/>
          <w:sz w:val="24"/>
          <w:szCs w:val="24"/>
          <w:lang w:val="fr-FR"/>
        </w:rPr>
      </w:pPr>
      <w:r w:rsidRPr="00885043">
        <w:rPr>
          <w:rFonts w:ascii="Times New Roman" w:hAnsi="Times New Roman" w:cs="Times New Roman"/>
          <w:sz w:val="24"/>
          <w:szCs w:val="24"/>
        </w:rPr>
        <w:t xml:space="preserve">Luthans, F., Avolio, B.J., Avey, J.B. and Norman, S.M. (2007) Positive </w:t>
      </w:r>
      <w:r w:rsidR="007A2CA2">
        <w:rPr>
          <w:rFonts w:ascii="Times New Roman" w:hAnsi="Times New Roman" w:cs="Times New Roman"/>
          <w:sz w:val="24"/>
          <w:szCs w:val="24"/>
        </w:rPr>
        <w:t>p</w:t>
      </w:r>
      <w:r w:rsidR="007A2CA2" w:rsidRPr="00885043">
        <w:rPr>
          <w:rFonts w:ascii="Times New Roman" w:hAnsi="Times New Roman" w:cs="Times New Roman"/>
          <w:sz w:val="24"/>
          <w:szCs w:val="24"/>
        </w:rPr>
        <w:t xml:space="preserve">sychological </w:t>
      </w:r>
      <w:r w:rsidR="007A2CA2">
        <w:rPr>
          <w:rFonts w:ascii="Times New Roman" w:hAnsi="Times New Roman" w:cs="Times New Roman"/>
          <w:sz w:val="24"/>
          <w:szCs w:val="24"/>
        </w:rPr>
        <w:t>c</w:t>
      </w:r>
      <w:r w:rsidR="007A2CA2" w:rsidRPr="00885043">
        <w:rPr>
          <w:rFonts w:ascii="Times New Roman" w:hAnsi="Times New Roman" w:cs="Times New Roman"/>
          <w:sz w:val="24"/>
          <w:szCs w:val="24"/>
        </w:rPr>
        <w:t>apital</w:t>
      </w:r>
      <w:r w:rsidRPr="00885043">
        <w:rPr>
          <w:rFonts w:ascii="Times New Roman" w:hAnsi="Times New Roman" w:cs="Times New Roman"/>
          <w:sz w:val="24"/>
          <w:szCs w:val="24"/>
        </w:rPr>
        <w:t xml:space="preserve">: </w:t>
      </w:r>
      <w:r w:rsidR="007A2CA2">
        <w:rPr>
          <w:rFonts w:ascii="Times New Roman" w:hAnsi="Times New Roman" w:cs="Times New Roman"/>
          <w:sz w:val="24"/>
          <w:szCs w:val="24"/>
        </w:rPr>
        <w:t>m</w:t>
      </w:r>
      <w:r w:rsidR="007A2CA2" w:rsidRPr="00885043">
        <w:rPr>
          <w:rFonts w:ascii="Times New Roman" w:hAnsi="Times New Roman" w:cs="Times New Roman"/>
          <w:sz w:val="24"/>
          <w:szCs w:val="24"/>
        </w:rPr>
        <w:t xml:space="preserve">easurement </w:t>
      </w:r>
      <w:r w:rsidRPr="00885043">
        <w:rPr>
          <w:rFonts w:ascii="Times New Roman" w:hAnsi="Times New Roman" w:cs="Times New Roman"/>
          <w:sz w:val="24"/>
          <w:szCs w:val="24"/>
        </w:rPr>
        <w:t xml:space="preserve">and </w:t>
      </w:r>
      <w:r w:rsidR="007A2CA2">
        <w:rPr>
          <w:rFonts w:ascii="Times New Roman" w:hAnsi="Times New Roman" w:cs="Times New Roman"/>
          <w:sz w:val="24"/>
          <w:szCs w:val="24"/>
        </w:rPr>
        <w:t>r</w:t>
      </w:r>
      <w:r w:rsidR="007A2CA2" w:rsidRPr="00885043">
        <w:rPr>
          <w:rFonts w:ascii="Times New Roman" w:hAnsi="Times New Roman" w:cs="Times New Roman"/>
          <w:sz w:val="24"/>
          <w:szCs w:val="24"/>
        </w:rPr>
        <w:t xml:space="preserve">elationship </w:t>
      </w:r>
      <w:r w:rsidRPr="00885043">
        <w:rPr>
          <w:rFonts w:ascii="Times New Roman" w:hAnsi="Times New Roman" w:cs="Times New Roman"/>
          <w:sz w:val="24"/>
          <w:szCs w:val="24"/>
        </w:rPr>
        <w:t xml:space="preserve">with </w:t>
      </w:r>
      <w:r w:rsidR="007A2CA2">
        <w:rPr>
          <w:rFonts w:ascii="Times New Roman" w:hAnsi="Times New Roman" w:cs="Times New Roman"/>
          <w:sz w:val="24"/>
          <w:szCs w:val="24"/>
        </w:rPr>
        <w:t>p</w:t>
      </w:r>
      <w:r w:rsidR="007A2CA2" w:rsidRPr="00885043">
        <w:rPr>
          <w:rFonts w:ascii="Times New Roman" w:hAnsi="Times New Roman" w:cs="Times New Roman"/>
          <w:sz w:val="24"/>
          <w:szCs w:val="24"/>
        </w:rPr>
        <w:t xml:space="preserve">erformance </w:t>
      </w:r>
      <w:r w:rsidRPr="00885043">
        <w:rPr>
          <w:rFonts w:ascii="Times New Roman" w:hAnsi="Times New Roman" w:cs="Times New Roman"/>
          <w:sz w:val="24"/>
          <w:szCs w:val="24"/>
        </w:rPr>
        <w:t xml:space="preserve">and </w:t>
      </w:r>
      <w:r w:rsidR="007A2CA2">
        <w:rPr>
          <w:rFonts w:ascii="Times New Roman" w:hAnsi="Times New Roman" w:cs="Times New Roman"/>
          <w:sz w:val="24"/>
          <w:szCs w:val="24"/>
        </w:rPr>
        <w:t>s</w:t>
      </w:r>
      <w:r w:rsidR="007A2CA2" w:rsidRPr="00885043">
        <w:rPr>
          <w:rFonts w:ascii="Times New Roman" w:hAnsi="Times New Roman" w:cs="Times New Roman"/>
          <w:sz w:val="24"/>
          <w:szCs w:val="24"/>
        </w:rPr>
        <w:t>atisfaction</w:t>
      </w:r>
      <w:r w:rsidRPr="00885043">
        <w:rPr>
          <w:rFonts w:ascii="Times New Roman" w:hAnsi="Times New Roman" w:cs="Times New Roman"/>
          <w:sz w:val="24"/>
          <w:szCs w:val="24"/>
        </w:rPr>
        <w:t xml:space="preserve">. </w:t>
      </w:r>
      <w:r w:rsidRPr="00891643">
        <w:rPr>
          <w:rFonts w:ascii="Times New Roman" w:hAnsi="Times New Roman" w:cs="Times New Roman"/>
          <w:i/>
          <w:iCs/>
          <w:sz w:val="24"/>
          <w:szCs w:val="24"/>
          <w:lang w:val="fr-FR"/>
        </w:rPr>
        <w:t>Personnel Psychology, 60</w:t>
      </w:r>
      <w:r w:rsidRPr="00E51252">
        <w:rPr>
          <w:rFonts w:ascii="Times New Roman" w:hAnsi="Times New Roman" w:cs="Times New Roman"/>
          <w:sz w:val="24"/>
          <w:szCs w:val="24"/>
          <w:lang w:val="fr-FR"/>
        </w:rPr>
        <w:t xml:space="preserve">, 541-572. </w:t>
      </w:r>
      <w:hyperlink r:id="rId26" w:history="1">
        <w:r w:rsidRPr="00E51252">
          <w:rPr>
            <w:rStyle w:val="Hyperlink"/>
            <w:rFonts w:ascii="Times New Roman" w:hAnsi="Times New Roman" w:cs="Times New Roman"/>
            <w:sz w:val="24"/>
            <w:szCs w:val="24"/>
            <w:lang w:val="fr-FR"/>
          </w:rPr>
          <w:t>http://dx.doi.org/10.1111/j.1744-6570.2007.00083.x</w:t>
        </w:r>
      </w:hyperlink>
    </w:p>
    <w:p w14:paraId="4EBE4FAA" w14:textId="46E861B1"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E51252">
        <w:rPr>
          <w:rFonts w:ascii="Times New Roman" w:hAnsi="Times New Roman" w:cs="Times New Roman"/>
          <w:sz w:val="24"/>
          <w:szCs w:val="24"/>
          <w:lang w:val="fr-FR"/>
        </w:rPr>
        <w:t xml:space="preserve">McLellan, M. S. (2014). </w:t>
      </w:r>
      <w:r w:rsidRPr="00422752">
        <w:rPr>
          <w:rFonts w:ascii="Times New Roman" w:hAnsi="Times New Roman" w:cs="Times New Roman"/>
          <w:i/>
          <w:iCs/>
          <w:sz w:val="24"/>
          <w:szCs w:val="24"/>
        </w:rPr>
        <w:t>Organizational and individual factors related to retention of county Extension agents employed by the Texas A&amp;M AgriLife Extension Service</w:t>
      </w:r>
      <w:r w:rsidR="007A2CA2">
        <w:rPr>
          <w:rFonts w:ascii="Times New Roman" w:hAnsi="Times New Roman" w:cs="Times New Roman"/>
          <w:sz w:val="24"/>
          <w:szCs w:val="24"/>
        </w:rPr>
        <w:t>.</w:t>
      </w:r>
      <w:r w:rsidRPr="00422752">
        <w:rPr>
          <w:rFonts w:ascii="Times New Roman" w:hAnsi="Times New Roman" w:cs="Times New Roman"/>
          <w:sz w:val="24"/>
          <w:szCs w:val="24"/>
        </w:rPr>
        <w:t xml:space="preserve"> </w:t>
      </w:r>
      <w:r w:rsidR="007A2CA2">
        <w:rPr>
          <w:rFonts w:ascii="Times New Roman" w:hAnsi="Times New Roman" w:cs="Times New Roman"/>
          <w:sz w:val="24"/>
          <w:szCs w:val="24"/>
        </w:rPr>
        <w:t>[</w:t>
      </w:r>
      <w:r w:rsidRPr="00422752">
        <w:rPr>
          <w:rFonts w:ascii="Times New Roman" w:hAnsi="Times New Roman" w:cs="Times New Roman"/>
          <w:sz w:val="24"/>
          <w:szCs w:val="24"/>
        </w:rPr>
        <w:t>Doctoral dissertation. Texas A&amp;M University</w:t>
      </w:r>
      <w:r w:rsidR="00BD0E46">
        <w:rPr>
          <w:rFonts w:ascii="Times New Roman" w:hAnsi="Times New Roman" w:cs="Times New Roman"/>
          <w:sz w:val="24"/>
          <w:szCs w:val="24"/>
        </w:rPr>
        <w:t>]</w:t>
      </w:r>
      <w:r w:rsidRPr="00422752">
        <w:rPr>
          <w:rFonts w:ascii="Times New Roman" w:hAnsi="Times New Roman" w:cs="Times New Roman"/>
          <w:sz w:val="24"/>
          <w:szCs w:val="24"/>
        </w:rPr>
        <w:t xml:space="preserve">. </w:t>
      </w:r>
      <w:r w:rsidR="00C1282D">
        <w:rPr>
          <w:rFonts w:ascii="Times New Roman" w:hAnsi="Times New Roman" w:cs="Times New Roman"/>
          <w:sz w:val="24"/>
          <w:szCs w:val="24"/>
        </w:rPr>
        <w:t xml:space="preserve">Oaktrust.library.tamu.edu. </w:t>
      </w:r>
      <w:hyperlink r:id="rId27" w:history="1">
        <w:r w:rsidR="00C1282D" w:rsidRPr="00C1282D">
          <w:rPr>
            <w:rStyle w:val="Hyperlink"/>
            <w:rFonts w:ascii="Times New Roman" w:hAnsi="Times New Roman" w:cs="Times New Roman"/>
            <w:sz w:val="24"/>
            <w:szCs w:val="24"/>
          </w:rPr>
          <w:t>https://oaktrust.library.tamu.edu/bitstream/handle/1969.1/154103/MCLELLAN-DISSERTATION-2014.pdf</w:t>
        </w:r>
      </w:hyperlink>
    </w:p>
    <w:p w14:paraId="37FB3C45" w14:textId="77777777" w:rsidR="00885043" w:rsidRDefault="00885043"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Mitchell, T. R., Holtom, B. C., Lee, T. W., Sablynski, C. J., &amp; Erez, M. (2001). Why people stay: Using job embeddedness to predict voluntary turnover. </w:t>
      </w:r>
      <w:r w:rsidRPr="00422752">
        <w:rPr>
          <w:rFonts w:ascii="Times New Roman" w:hAnsi="Times New Roman" w:cs="Times New Roman"/>
          <w:i/>
          <w:iCs/>
          <w:sz w:val="24"/>
          <w:szCs w:val="24"/>
        </w:rPr>
        <w:t>Academy of Management Journal, 44</w:t>
      </w:r>
      <w:r w:rsidRPr="00422752">
        <w:rPr>
          <w:rFonts w:ascii="Times New Roman" w:hAnsi="Times New Roman" w:cs="Times New Roman"/>
          <w:sz w:val="24"/>
          <w:szCs w:val="24"/>
        </w:rPr>
        <w:t xml:space="preserve">(6), 1102-1121. </w:t>
      </w:r>
      <w:hyperlink r:id="rId28" w:history="1">
        <w:r w:rsidRPr="00422752">
          <w:rPr>
            <w:rStyle w:val="Hyperlink"/>
            <w:rFonts w:ascii="Times New Roman" w:hAnsi="Times New Roman" w:cs="Times New Roman"/>
            <w:sz w:val="24"/>
            <w:szCs w:val="24"/>
          </w:rPr>
          <w:t>http://dx.doi.org/10.5465/3069391</w:t>
        </w:r>
      </w:hyperlink>
    </w:p>
    <w:p w14:paraId="005101D0" w14:textId="77777777" w:rsidR="00885043" w:rsidRDefault="00885043" w:rsidP="00F31B4C">
      <w:pPr>
        <w:widowControl w:val="0"/>
        <w:spacing w:after="24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Mitchell, T.R., &amp; Lee, T. W. (2001). The unfolding model or voluntary turnover and job embeddedness: Foundations for a comprehensive theory or attachment. </w:t>
      </w:r>
      <w:r>
        <w:rPr>
          <w:rFonts w:ascii="Times New Roman" w:hAnsi="Times New Roman" w:cs="Times New Roman"/>
          <w:i/>
          <w:iCs/>
          <w:sz w:val="24"/>
          <w:szCs w:val="24"/>
        </w:rPr>
        <w:t xml:space="preserve">Research in Organizational Behavior, 23 </w:t>
      </w:r>
      <w:r>
        <w:rPr>
          <w:rFonts w:ascii="Times New Roman" w:hAnsi="Times New Roman" w:cs="Times New Roman"/>
          <w:sz w:val="24"/>
          <w:szCs w:val="24"/>
        </w:rPr>
        <w:t>189-246.</w:t>
      </w:r>
    </w:p>
    <w:p w14:paraId="623B3647" w14:textId="77777777" w:rsidR="00885043" w:rsidRDefault="00885043" w:rsidP="00F31B4C">
      <w:pPr>
        <w:widowControl w:val="0"/>
        <w:spacing w:after="240" w:line="240" w:lineRule="auto"/>
        <w:ind w:left="720" w:hanging="720"/>
      </w:pPr>
      <w:r w:rsidRPr="00422752">
        <w:rPr>
          <w:rFonts w:ascii="Times New Roman" w:hAnsi="Times New Roman" w:cs="Times New Roman"/>
          <w:sz w:val="24"/>
          <w:szCs w:val="24"/>
        </w:rPr>
        <w:t xml:space="preserve">Mobley, W. H. (1977). Intermediate linkages in the relationship between job satisfaction and employee turnover. </w:t>
      </w:r>
      <w:r w:rsidRPr="00422752">
        <w:rPr>
          <w:rFonts w:ascii="Times New Roman" w:hAnsi="Times New Roman" w:cs="Times New Roman"/>
          <w:i/>
          <w:iCs/>
          <w:sz w:val="24"/>
          <w:szCs w:val="24"/>
        </w:rPr>
        <w:t>Journal of Applied Psychology, 62</w:t>
      </w:r>
      <w:r w:rsidRPr="00422752">
        <w:rPr>
          <w:rFonts w:ascii="Times New Roman" w:hAnsi="Times New Roman" w:cs="Times New Roman"/>
          <w:sz w:val="24"/>
          <w:szCs w:val="24"/>
        </w:rPr>
        <w:t xml:space="preserve">(2), 237–240. </w:t>
      </w:r>
      <w:hyperlink r:id="rId29" w:history="1">
        <w:r w:rsidRPr="00422752">
          <w:rPr>
            <w:rStyle w:val="Hyperlink"/>
            <w:rFonts w:ascii="Times New Roman" w:hAnsi="Times New Roman" w:cs="Times New Roman"/>
            <w:sz w:val="24"/>
            <w:szCs w:val="24"/>
          </w:rPr>
          <w:t>https://doi.org/10.1037/0021-9010.62.2.237</w:t>
        </w:r>
      </w:hyperlink>
    </w:p>
    <w:p w14:paraId="4BBD314B" w14:textId="3897C6E6" w:rsidR="00CA2D7A" w:rsidRPr="00422752" w:rsidRDefault="00CA2D7A" w:rsidP="00F31B4C">
      <w:pPr>
        <w:widowControl w:val="0"/>
        <w:spacing w:after="240" w:line="240" w:lineRule="auto"/>
        <w:ind w:left="720" w:hanging="720"/>
        <w:rPr>
          <w:rFonts w:ascii="Times New Roman" w:hAnsi="Times New Roman" w:cs="Times New Roman"/>
          <w:sz w:val="24"/>
          <w:szCs w:val="24"/>
        </w:rPr>
      </w:pPr>
      <w:r w:rsidRPr="00CA2D7A">
        <w:rPr>
          <w:rFonts w:ascii="Times New Roman" w:hAnsi="Times New Roman" w:cs="Times New Roman"/>
          <w:sz w:val="24"/>
          <w:szCs w:val="24"/>
        </w:rPr>
        <w:t>Morrill Act of1862, 7 U.S.c. § 301</w:t>
      </w:r>
      <w:r>
        <w:rPr>
          <w:rFonts w:ascii="Times New Roman" w:hAnsi="Times New Roman" w:cs="Times New Roman"/>
          <w:sz w:val="24"/>
          <w:szCs w:val="24"/>
        </w:rPr>
        <w:t>.</w:t>
      </w:r>
    </w:p>
    <w:p w14:paraId="45CA8354" w14:textId="5BF8A8E7" w:rsidR="00885043" w:rsidRDefault="00885043" w:rsidP="00F31B4C">
      <w:pPr>
        <w:widowControl w:val="0"/>
        <w:spacing w:after="240" w:line="240" w:lineRule="auto"/>
        <w:ind w:left="720" w:hanging="720"/>
      </w:pPr>
      <w:r w:rsidRPr="004B294F">
        <w:rPr>
          <w:rFonts w:ascii="Times New Roman" w:hAnsi="Times New Roman" w:cs="Times New Roman"/>
          <w:sz w:val="24"/>
          <w:szCs w:val="24"/>
        </w:rPr>
        <w:lastRenderedPageBreak/>
        <w:t xml:space="preserve">Narvekar, V. V., &amp; Sharma, D. K. (2024). Assessing the effect of transparent communication on employee job satisfaction and retention in Pune's higher secondary education sector. </w:t>
      </w:r>
      <w:r w:rsidRPr="004B294F">
        <w:rPr>
          <w:rFonts w:ascii="Times New Roman" w:hAnsi="Times New Roman" w:cs="Times New Roman"/>
          <w:i/>
          <w:iCs/>
          <w:sz w:val="24"/>
          <w:szCs w:val="24"/>
        </w:rPr>
        <w:t>International Journal of Creative Research Thoughts, 12</w:t>
      </w:r>
      <w:r w:rsidRPr="004B294F">
        <w:rPr>
          <w:rFonts w:ascii="Times New Roman" w:hAnsi="Times New Roman" w:cs="Times New Roman"/>
          <w:sz w:val="24"/>
          <w:szCs w:val="24"/>
        </w:rPr>
        <w:t xml:space="preserve">(4), 1–15. </w:t>
      </w:r>
      <w:hyperlink r:id="rId30" w:history="1">
        <w:r w:rsidRPr="004B294F">
          <w:rPr>
            <w:rStyle w:val="Hyperlink"/>
            <w:rFonts w:ascii="Times New Roman" w:hAnsi="Times New Roman" w:cs="Times New Roman"/>
            <w:sz w:val="24"/>
            <w:szCs w:val="24"/>
          </w:rPr>
          <w:t>https://ijcrt.org/papers/IJCRT24A5020.pdf</w:t>
        </w:r>
      </w:hyperlink>
    </w:p>
    <w:p w14:paraId="13B48EAA" w14:textId="77777777" w:rsidR="00885043" w:rsidRPr="005D1851" w:rsidRDefault="00885043" w:rsidP="00F31B4C">
      <w:pPr>
        <w:widowControl w:val="0"/>
        <w:spacing w:after="240" w:line="240" w:lineRule="auto"/>
        <w:ind w:left="720" w:hanging="720"/>
        <w:rPr>
          <w:rFonts w:ascii="Times New Roman" w:hAnsi="Times New Roman" w:cs="Times New Roman"/>
          <w:sz w:val="24"/>
          <w:szCs w:val="24"/>
        </w:rPr>
      </w:pPr>
      <w:r w:rsidRPr="005D1851">
        <w:rPr>
          <w:rFonts w:ascii="Times New Roman" w:hAnsi="Times New Roman" w:cs="Times New Roman"/>
          <w:sz w:val="24"/>
          <w:szCs w:val="24"/>
        </w:rPr>
        <w:t xml:space="preserve">Nathans, L. L., Oswald, F. L., &amp; Nimon, K. (2012). Interpreting multiple linear regression: A guidebook of variable importance. </w:t>
      </w:r>
      <w:r w:rsidRPr="005D1851">
        <w:rPr>
          <w:rFonts w:ascii="Times New Roman" w:hAnsi="Times New Roman" w:cs="Times New Roman"/>
          <w:i/>
          <w:iCs/>
          <w:sz w:val="24"/>
          <w:szCs w:val="24"/>
        </w:rPr>
        <w:t>Practical Assessment, Research &amp; Evaluation, 17</w:t>
      </w:r>
      <w:r w:rsidRPr="005D1851">
        <w:rPr>
          <w:rFonts w:ascii="Times New Roman" w:hAnsi="Times New Roman" w:cs="Times New Roman"/>
          <w:sz w:val="24"/>
          <w:szCs w:val="24"/>
        </w:rPr>
        <w:t xml:space="preserve">(9), 1–19. </w:t>
      </w:r>
      <w:hyperlink r:id="rId31" w:history="1">
        <w:r w:rsidRPr="005D1851">
          <w:rPr>
            <w:rStyle w:val="Hyperlink"/>
            <w:rFonts w:ascii="Times New Roman" w:hAnsi="Times New Roman" w:cs="Times New Roman"/>
            <w:sz w:val="24"/>
            <w:szCs w:val="24"/>
          </w:rPr>
          <w:t>https://doi.org/10.7275/5fex-b874</w:t>
        </w:r>
      </w:hyperlink>
    </w:p>
    <w:p w14:paraId="213065CF" w14:textId="2B1672FA"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Parks, A. (2021). </w:t>
      </w:r>
      <w:r w:rsidRPr="00422752">
        <w:rPr>
          <w:rFonts w:ascii="Times New Roman" w:hAnsi="Times New Roman" w:cs="Times New Roman"/>
          <w:i/>
          <w:iCs/>
          <w:sz w:val="24"/>
          <w:szCs w:val="24"/>
        </w:rPr>
        <w:t>Description of job embeddedness in Arkansas county Extension agents</w:t>
      </w:r>
      <w:r w:rsidRPr="00422752">
        <w:rPr>
          <w:rFonts w:ascii="Times New Roman" w:hAnsi="Times New Roman" w:cs="Times New Roman"/>
          <w:sz w:val="24"/>
          <w:szCs w:val="24"/>
        </w:rPr>
        <w:t xml:space="preserve"> </w:t>
      </w:r>
      <w:r w:rsidR="00380F57">
        <w:rPr>
          <w:rFonts w:ascii="Times New Roman" w:hAnsi="Times New Roman" w:cs="Times New Roman"/>
          <w:sz w:val="24"/>
          <w:szCs w:val="24"/>
        </w:rPr>
        <w:t>[</w:t>
      </w:r>
      <w:r w:rsidRPr="00422752">
        <w:rPr>
          <w:rFonts w:ascii="Times New Roman" w:hAnsi="Times New Roman" w:cs="Times New Roman"/>
          <w:sz w:val="24"/>
          <w:szCs w:val="24"/>
        </w:rPr>
        <w:t>Master’s thesis</w:t>
      </w:r>
      <w:r w:rsidR="00380F57">
        <w:rPr>
          <w:rFonts w:ascii="Times New Roman" w:hAnsi="Times New Roman" w:cs="Times New Roman"/>
          <w:sz w:val="24"/>
          <w:szCs w:val="24"/>
        </w:rPr>
        <w:t>, University of Arkansas]. Scholarworks.uark.edu.</w:t>
      </w:r>
      <w:r w:rsidRPr="00422752">
        <w:rPr>
          <w:rFonts w:ascii="Times New Roman" w:hAnsi="Times New Roman" w:cs="Times New Roman"/>
          <w:sz w:val="24"/>
          <w:szCs w:val="24"/>
        </w:rPr>
        <w:t xml:space="preserve"> </w:t>
      </w:r>
      <w:hyperlink r:id="rId32" w:history="1">
        <w:r w:rsidRPr="00422752">
          <w:rPr>
            <w:rStyle w:val="Hyperlink"/>
            <w:rFonts w:ascii="Times New Roman" w:hAnsi="Times New Roman" w:cs="Times New Roman"/>
            <w:sz w:val="24"/>
            <w:szCs w:val="24"/>
          </w:rPr>
          <w:t>https://scholarworks.uark.edu/etd/4044/</w:t>
        </w:r>
      </w:hyperlink>
    </w:p>
    <w:p w14:paraId="6138D78B" w14:textId="17459D4A"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4B294F">
        <w:rPr>
          <w:rFonts w:ascii="Times New Roman" w:hAnsi="Times New Roman" w:cs="Times New Roman"/>
          <w:sz w:val="24"/>
          <w:szCs w:val="24"/>
        </w:rPr>
        <w:t xml:space="preserve">Peine, K. (2023). </w:t>
      </w:r>
      <w:r w:rsidRPr="004B294F">
        <w:rPr>
          <w:rFonts w:ascii="Times New Roman" w:hAnsi="Times New Roman" w:cs="Times New Roman"/>
          <w:i/>
          <w:iCs/>
          <w:sz w:val="24"/>
          <w:szCs w:val="24"/>
        </w:rPr>
        <w:t>Extension agent retention: Practices that improve job satisfaction and agent longevity</w:t>
      </w:r>
      <w:r w:rsidRPr="004B294F">
        <w:rPr>
          <w:rFonts w:ascii="Times New Roman" w:hAnsi="Times New Roman" w:cs="Times New Roman"/>
          <w:sz w:val="24"/>
          <w:szCs w:val="24"/>
        </w:rPr>
        <w:t xml:space="preserve"> (Master’s thesis, Kansas State University). </w:t>
      </w:r>
      <w:hyperlink r:id="rId33" w:history="1">
        <w:r w:rsidRPr="004B294F">
          <w:rPr>
            <w:rStyle w:val="Hyperlink"/>
            <w:rFonts w:ascii="Times New Roman" w:hAnsi="Times New Roman" w:cs="Times New Roman"/>
            <w:sz w:val="24"/>
            <w:szCs w:val="24"/>
          </w:rPr>
          <w:t>https://krex.k-state.edu/bitstreams/d9b34cf4-5823-4340-85ac-7e900f8953e8/download</w:t>
        </w:r>
      </w:hyperlink>
    </w:p>
    <w:p w14:paraId="2F160DD3" w14:textId="64AFE9C3"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4B294F">
        <w:rPr>
          <w:rFonts w:ascii="Times New Roman" w:hAnsi="Times New Roman" w:cs="Times New Roman"/>
          <w:sz w:val="24"/>
          <w:szCs w:val="24"/>
        </w:rPr>
        <w:t xml:space="preserve">Rahaman, A. (2023). The case for transparency in the workplace, and its impact on organizational performance. </w:t>
      </w:r>
      <w:r w:rsidRPr="004B294F">
        <w:rPr>
          <w:rFonts w:ascii="Times New Roman" w:hAnsi="Times New Roman" w:cs="Times New Roman"/>
          <w:i/>
          <w:iCs/>
          <w:sz w:val="24"/>
          <w:szCs w:val="24"/>
        </w:rPr>
        <w:t>Forbes Business Council</w:t>
      </w:r>
      <w:r w:rsidRPr="004B294F">
        <w:rPr>
          <w:rFonts w:ascii="Times New Roman" w:hAnsi="Times New Roman" w:cs="Times New Roman"/>
          <w:sz w:val="24"/>
          <w:szCs w:val="24"/>
        </w:rPr>
        <w:t xml:space="preserve">. </w:t>
      </w:r>
      <w:hyperlink r:id="rId34" w:history="1">
        <w:r w:rsidRPr="004B294F">
          <w:rPr>
            <w:rStyle w:val="Hyperlink"/>
            <w:rFonts w:ascii="Times New Roman" w:hAnsi="Times New Roman" w:cs="Times New Roman"/>
            <w:sz w:val="24"/>
            <w:szCs w:val="24"/>
          </w:rPr>
          <w:t>https://www.forbes.com/sites/forbesbusinesscouncil/2023/06/16/the-case-for-transparency-in-the-workplace-and-its-impact-on-organizational-performance/</w:t>
        </w:r>
      </w:hyperlink>
    </w:p>
    <w:p w14:paraId="5392F0B8" w14:textId="2B08444E" w:rsidR="00885043" w:rsidRPr="0098487D" w:rsidRDefault="00885043" w:rsidP="00F31B4C">
      <w:pPr>
        <w:widowControl w:val="0"/>
        <w:spacing w:after="240" w:line="240" w:lineRule="auto"/>
        <w:ind w:left="720" w:hanging="720"/>
        <w:rPr>
          <w:rFonts w:ascii="Times New Roman" w:hAnsi="Times New Roman" w:cs="Times New Roman"/>
          <w:sz w:val="24"/>
          <w:szCs w:val="24"/>
        </w:rPr>
      </w:pPr>
      <w:r w:rsidRPr="0098487D">
        <w:rPr>
          <w:rFonts w:ascii="Times New Roman" w:hAnsi="Times New Roman" w:cs="Times New Roman"/>
          <w:sz w:val="24"/>
          <w:szCs w:val="24"/>
        </w:rPr>
        <w:t xml:space="preserve">Safrit, R., &amp; Owen, M. B. (2010). A </w:t>
      </w:r>
      <w:r w:rsidR="00E22500">
        <w:rPr>
          <w:rFonts w:ascii="Times New Roman" w:hAnsi="Times New Roman" w:cs="Times New Roman"/>
          <w:sz w:val="24"/>
          <w:szCs w:val="24"/>
        </w:rPr>
        <w:t>c</w:t>
      </w:r>
      <w:r w:rsidR="00E22500" w:rsidRPr="0098487D">
        <w:rPr>
          <w:rFonts w:ascii="Times New Roman" w:hAnsi="Times New Roman" w:cs="Times New Roman"/>
          <w:sz w:val="24"/>
          <w:szCs w:val="24"/>
        </w:rPr>
        <w:t xml:space="preserve">onceptual </w:t>
      </w:r>
      <w:r w:rsidR="00E22500">
        <w:rPr>
          <w:rFonts w:ascii="Times New Roman" w:hAnsi="Times New Roman" w:cs="Times New Roman"/>
          <w:sz w:val="24"/>
          <w:szCs w:val="24"/>
        </w:rPr>
        <w:t>m</w:t>
      </w:r>
      <w:r w:rsidR="00E22500" w:rsidRPr="0098487D">
        <w:rPr>
          <w:rFonts w:ascii="Times New Roman" w:hAnsi="Times New Roman" w:cs="Times New Roman"/>
          <w:sz w:val="24"/>
          <w:szCs w:val="24"/>
        </w:rPr>
        <w:t xml:space="preserve">odel </w:t>
      </w:r>
      <w:r w:rsidRPr="0098487D">
        <w:rPr>
          <w:rFonts w:ascii="Times New Roman" w:hAnsi="Times New Roman" w:cs="Times New Roman"/>
          <w:sz w:val="24"/>
          <w:szCs w:val="24"/>
        </w:rPr>
        <w:t xml:space="preserve">for </w:t>
      </w:r>
      <w:r w:rsidR="00E22500">
        <w:rPr>
          <w:rFonts w:ascii="Times New Roman" w:hAnsi="Times New Roman" w:cs="Times New Roman"/>
          <w:sz w:val="24"/>
          <w:szCs w:val="24"/>
        </w:rPr>
        <w:t>r</w:t>
      </w:r>
      <w:r w:rsidR="00E22500" w:rsidRPr="0098487D">
        <w:rPr>
          <w:rFonts w:ascii="Times New Roman" w:hAnsi="Times New Roman" w:cs="Times New Roman"/>
          <w:sz w:val="24"/>
          <w:szCs w:val="24"/>
        </w:rPr>
        <w:t xml:space="preserve">etaining </w:t>
      </w:r>
      <w:r w:rsidR="00E22500">
        <w:rPr>
          <w:rFonts w:ascii="Times New Roman" w:hAnsi="Times New Roman" w:cs="Times New Roman"/>
          <w:sz w:val="24"/>
          <w:szCs w:val="24"/>
        </w:rPr>
        <w:t>c</w:t>
      </w:r>
      <w:r w:rsidR="00E22500" w:rsidRPr="0098487D">
        <w:rPr>
          <w:rFonts w:ascii="Times New Roman" w:hAnsi="Times New Roman" w:cs="Times New Roman"/>
          <w:sz w:val="24"/>
          <w:szCs w:val="24"/>
        </w:rPr>
        <w:t xml:space="preserve">ounty </w:t>
      </w:r>
      <w:r w:rsidRPr="0098487D">
        <w:rPr>
          <w:rFonts w:ascii="Times New Roman" w:hAnsi="Times New Roman" w:cs="Times New Roman"/>
          <w:sz w:val="24"/>
          <w:szCs w:val="24"/>
        </w:rPr>
        <w:t xml:space="preserve">Extension </w:t>
      </w:r>
      <w:r w:rsidR="00E22500">
        <w:rPr>
          <w:rFonts w:ascii="Times New Roman" w:hAnsi="Times New Roman" w:cs="Times New Roman"/>
          <w:sz w:val="24"/>
          <w:szCs w:val="24"/>
        </w:rPr>
        <w:t>p</w:t>
      </w:r>
      <w:r w:rsidR="00E22500" w:rsidRPr="0098487D">
        <w:rPr>
          <w:rFonts w:ascii="Times New Roman" w:hAnsi="Times New Roman" w:cs="Times New Roman"/>
          <w:sz w:val="24"/>
          <w:szCs w:val="24"/>
        </w:rPr>
        <w:t xml:space="preserve">rogram </w:t>
      </w:r>
      <w:r w:rsidR="00E22500">
        <w:rPr>
          <w:rFonts w:ascii="Times New Roman" w:hAnsi="Times New Roman" w:cs="Times New Roman"/>
          <w:sz w:val="24"/>
          <w:szCs w:val="24"/>
        </w:rPr>
        <w:t>p</w:t>
      </w:r>
      <w:r w:rsidR="00E22500" w:rsidRPr="0098487D">
        <w:rPr>
          <w:rFonts w:ascii="Times New Roman" w:hAnsi="Times New Roman" w:cs="Times New Roman"/>
          <w:sz w:val="24"/>
          <w:szCs w:val="24"/>
        </w:rPr>
        <w:t>rofessionals</w:t>
      </w:r>
      <w:r w:rsidRPr="0098487D">
        <w:rPr>
          <w:rFonts w:ascii="Times New Roman" w:hAnsi="Times New Roman" w:cs="Times New Roman"/>
          <w:sz w:val="24"/>
          <w:szCs w:val="24"/>
        </w:rPr>
        <w:t>. </w:t>
      </w:r>
      <w:r w:rsidRPr="0098487D">
        <w:rPr>
          <w:rFonts w:ascii="Times New Roman" w:hAnsi="Times New Roman" w:cs="Times New Roman"/>
          <w:i/>
          <w:iCs/>
          <w:sz w:val="24"/>
          <w:szCs w:val="24"/>
        </w:rPr>
        <w:t>The Journal of Extension, 48</w:t>
      </w:r>
      <w:r w:rsidRPr="0098487D">
        <w:rPr>
          <w:rFonts w:ascii="Times New Roman" w:hAnsi="Times New Roman" w:cs="Times New Roman"/>
          <w:sz w:val="24"/>
          <w:szCs w:val="24"/>
        </w:rPr>
        <w:t>(2), Article 2. </w:t>
      </w:r>
      <w:hyperlink r:id="rId35" w:history="1">
        <w:r w:rsidRPr="0098487D">
          <w:rPr>
            <w:rStyle w:val="Hyperlink"/>
            <w:rFonts w:ascii="Times New Roman" w:hAnsi="Times New Roman" w:cs="Times New Roman"/>
            <w:sz w:val="24"/>
            <w:szCs w:val="24"/>
          </w:rPr>
          <w:t>https://doi.org/10.34068/joe.48.02.02</w:t>
        </w:r>
      </w:hyperlink>
    </w:p>
    <w:p w14:paraId="2AD0048C" w14:textId="77777777" w:rsidR="00885043" w:rsidRDefault="00885043"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Schaefer, D., &amp; Dillman, D. A. (1998). Development of a standard e-mail methodology: Results of an experiment. </w:t>
      </w:r>
      <w:r w:rsidRPr="00422752">
        <w:rPr>
          <w:rFonts w:ascii="Times New Roman" w:hAnsi="Times New Roman" w:cs="Times New Roman"/>
          <w:i/>
          <w:iCs/>
          <w:sz w:val="24"/>
          <w:szCs w:val="24"/>
        </w:rPr>
        <w:t>Public Opinion Quarterly, 62</w:t>
      </w:r>
      <w:r w:rsidRPr="00422752">
        <w:rPr>
          <w:rFonts w:ascii="Times New Roman" w:hAnsi="Times New Roman" w:cs="Times New Roman"/>
          <w:sz w:val="24"/>
          <w:szCs w:val="24"/>
        </w:rPr>
        <w:t>, 378-397.</w:t>
      </w:r>
    </w:p>
    <w:p w14:paraId="5297230C" w14:textId="77777777"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Seevers, B., &amp; Graham, D. (2012). </w:t>
      </w:r>
      <w:r w:rsidRPr="00422752">
        <w:rPr>
          <w:rFonts w:ascii="Times New Roman" w:hAnsi="Times New Roman" w:cs="Times New Roman"/>
          <w:i/>
          <w:iCs/>
          <w:sz w:val="24"/>
          <w:szCs w:val="24"/>
        </w:rPr>
        <w:t>Education through Cooperative Extension</w:t>
      </w:r>
      <w:r w:rsidRPr="00422752">
        <w:rPr>
          <w:rFonts w:ascii="Times New Roman" w:hAnsi="Times New Roman" w:cs="Times New Roman"/>
          <w:sz w:val="24"/>
          <w:szCs w:val="24"/>
        </w:rPr>
        <w:t xml:space="preserve"> (3rd ed.). University of Arkansas.</w:t>
      </w:r>
    </w:p>
    <w:p w14:paraId="43D6231A" w14:textId="77777777"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Sexton, T. (2022). </w:t>
      </w:r>
      <w:r w:rsidRPr="00422752">
        <w:rPr>
          <w:rFonts w:ascii="Times New Roman" w:hAnsi="Times New Roman" w:cs="Times New Roman"/>
          <w:i/>
          <w:iCs/>
          <w:sz w:val="24"/>
          <w:szCs w:val="24"/>
        </w:rPr>
        <w:t>Perceived organizational support and turnover intentions of county-level 4-H agents in the Southern region</w:t>
      </w:r>
      <w:r w:rsidRPr="00422752">
        <w:rPr>
          <w:rFonts w:ascii="Times New Roman" w:hAnsi="Times New Roman" w:cs="Times New Roman"/>
          <w:sz w:val="24"/>
          <w:szCs w:val="24"/>
        </w:rPr>
        <w:t xml:space="preserve"> [Doctoral dissertation, University of Memphis]. University of Memphis Digital Commons. https://digitalcommons.memphis.edu/etd/3368</w:t>
      </w:r>
    </w:p>
    <w:p w14:paraId="589AA08D" w14:textId="77777777"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B06F57">
        <w:rPr>
          <w:rFonts w:ascii="Times New Roman" w:hAnsi="Times New Roman" w:cs="Times New Roman"/>
          <w:sz w:val="24"/>
          <w:szCs w:val="24"/>
        </w:rPr>
        <w:t xml:space="preserve">Siegelin, S. D., Lee, D., &amp; Stone, C. (2021). The influence of Extension professional’s job satisfaction and the quality of relationship with department heads on field faculty career commitment to Montana State University Extension. </w:t>
      </w:r>
      <w:r w:rsidRPr="00B06F57">
        <w:rPr>
          <w:rFonts w:ascii="Times New Roman" w:hAnsi="Times New Roman" w:cs="Times New Roman"/>
          <w:i/>
          <w:iCs/>
          <w:sz w:val="24"/>
          <w:szCs w:val="24"/>
        </w:rPr>
        <w:t>Advancements in Agricultural Development, 2</w:t>
      </w:r>
      <w:r w:rsidRPr="00B06F57">
        <w:rPr>
          <w:rFonts w:ascii="Times New Roman" w:hAnsi="Times New Roman" w:cs="Times New Roman"/>
          <w:sz w:val="24"/>
          <w:szCs w:val="24"/>
        </w:rPr>
        <w:t xml:space="preserve">(3), 25–38. </w:t>
      </w:r>
      <w:hyperlink r:id="rId36" w:history="1">
        <w:r w:rsidRPr="00B06F57">
          <w:rPr>
            <w:rStyle w:val="Hyperlink"/>
            <w:rFonts w:ascii="Times New Roman" w:hAnsi="Times New Roman" w:cs="Times New Roman"/>
            <w:sz w:val="24"/>
            <w:szCs w:val="24"/>
          </w:rPr>
          <w:t>https://doi.org/10.37433/aad.v2i3.137</w:t>
        </w:r>
      </w:hyperlink>
      <w:r w:rsidRPr="00422752">
        <w:rPr>
          <w:rFonts w:ascii="Times New Roman" w:hAnsi="Times New Roman" w:cs="Times New Roman"/>
          <w:sz w:val="24"/>
          <w:szCs w:val="24"/>
        </w:rPr>
        <w:t xml:space="preserve"> </w:t>
      </w:r>
    </w:p>
    <w:p w14:paraId="2500E0FD" w14:textId="4C70D9CB" w:rsidR="00885043" w:rsidRDefault="00885043" w:rsidP="00F31B4C">
      <w:pPr>
        <w:widowControl w:val="0"/>
        <w:spacing w:after="240" w:line="240" w:lineRule="auto"/>
        <w:ind w:left="720" w:hanging="720"/>
        <w:rPr>
          <w:rFonts w:ascii="Times New Roman" w:hAnsi="Times New Roman" w:cs="Times New Roman"/>
          <w:sz w:val="24"/>
          <w:szCs w:val="24"/>
        </w:rPr>
      </w:pPr>
      <w:r w:rsidRPr="00463AEC">
        <w:rPr>
          <w:rFonts w:ascii="Times New Roman" w:hAnsi="Times New Roman" w:cs="Times New Roman"/>
          <w:sz w:val="24"/>
          <w:szCs w:val="24"/>
        </w:rPr>
        <w:t xml:space="preserve">Smith Lever Act of 1914, 7 U.S.C. § 341 </w:t>
      </w:r>
    </w:p>
    <w:p w14:paraId="26A7C9D5" w14:textId="77777777" w:rsidR="00885043" w:rsidRPr="00422752" w:rsidRDefault="00885043" w:rsidP="00F31B4C">
      <w:pPr>
        <w:widowControl w:val="0"/>
        <w:spacing w:after="240" w:line="240" w:lineRule="auto"/>
        <w:ind w:left="720" w:hanging="720"/>
        <w:rPr>
          <w:rFonts w:ascii="Times New Roman" w:hAnsi="Times New Roman" w:cs="Times New Roman"/>
          <w:sz w:val="24"/>
          <w:szCs w:val="24"/>
        </w:rPr>
      </w:pPr>
      <w:r w:rsidRPr="00422752">
        <w:rPr>
          <w:rFonts w:ascii="Times New Roman" w:hAnsi="Times New Roman" w:cs="Times New Roman"/>
          <w:sz w:val="24"/>
          <w:szCs w:val="24"/>
        </w:rPr>
        <w:t xml:space="preserve">Spector, P. E. (2022). </w:t>
      </w:r>
      <w:r w:rsidRPr="00422752">
        <w:rPr>
          <w:rFonts w:ascii="Times New Roman" w:hAnsi="Times New Roman" w:cs="Times New Roman"/>
          <w:i/>
          <w:iCs/>
          <w:sz w:val="24"/>
          <w:szCs w:val="24"/>
        </w:rPr>
        <w:t>Job satisfaction: From assessment to intervention</w:t>
      </w:r>
      <w:r w:rsidRPr="00422752">
        <w:rPr>
          <w:rFonts w:ascii="Times New Roman" w:hAnsi="Times New Roman" w:cs="Times New Roman"/>
          <w:sz w:val="24"/>
          <w:szCs w:val="24"/>
        </w:rPr>
        <w:t xml:space="preserve">. Routledge. </w:t>
      </w:r>
      <w:hyperlink r:id="rId37" w:history="1">
        <w:r w:rsidRPr="00422752">
          <w:rPr>
            <w:rStyle w:val="Hyperlink"/>
            <w:rFonts w:ascii="Times New Roman" w:hAnsi="Times New Roman" w:cs="Times New Roman"/>
            <w:sz w:val="24"/>
            <w:szCs w:val="24"/>
          </w:rPr>
          <w:t>https://doi.org/10.4324/9781003250616</w:t>
        </w:r>
      </w:hyperlink>
    </w:p>
    <w:p w14:paraId="467ED4C8" w14:textId="77777777" w:rsidR="00BD1EBD" w:rsidRPr="008951E2" w:rsidRDefault="00BD1EBD" w:rsidP="00F31B4C">
      <w:pPr>
        <w:widowControl w:val="0"/>
        <w:spacing w:after="240" w:line="240" w:lineRule="auto"/>
        <w:rPr>
          <w:rFonts w:ascii="Times New Roman" w:hAnsi="Times New Roman" w:cs="Times New Roman"/>
          <w:b/>
          <w:bCs/>
        </w:rPr>
      </w:pPr>
    </w:p>
    <w:sectPr w:rsidR="00BD1EBD" w:rsidRPr="008951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7A696" w14:textId="77777777" w:rsidR="003074CD" w:rsidRDefault="003074CD">
      <w:pPr>
        <w:spacing w:after="0" w:line="240" w:lineRule="auto"/>
      </w:pPr>
      <w:r>
        <w:separator/>
      </w:r>
    </w:p>
  </w:endnote>
  <w:endnote w:type="continuationSeparator" w:id="0">
    <w:p w14:paraId="2F77826B" w14:textId="77777777" w:rsidR="003074CD" w:rsidRDefault="00307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40C92" w14:textId="77777777" w:rsidR="003074CD" w:rsidRDefault="003074CD">
      <w:pPr>
        <w:spacing w:after="0" w:line="240" w:lineRule="auto"/>
      </w:pPr>
      <w:r>
        <w:separator/>
      </w:r>
    </w:p>
  </w:footnote>
  <w:footnote w:type="continuationSeparator" w:id="0">
    <w:p w14:paraId="5597113D" w14:textId="77777777" w:rsidR="003074CD" w:rsidRDefault="00307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B624B" w14:textId="179D26B2" w:rsidR="001E00D6" w:rsidRPr="0038684D" w:rsidRDefault="001E00D6">
    <w:pPr>
      <w:pStyle w:val="Header"/>
      <w:jc w:val="right"/>
      <w:rPr>
        <w:rFonts w:ascii="Times New Roman" w:hAnsi="Times New Roman" w:cs="Times New Roman"/>
      </w:rPr>
    </w:pPr>
  </w:p>
  <w:p w14:paraId="34C691D7" w14:textId="77777777" w:rsidR="001E00D6" w:rsidRDefault="001E00D6" w:rsidP="00617B66">
    <w:pPr>
      <w:pStyle w:val="Header"/>
      <w:tabs>
        <w:tab w:val="clear" w:pos="4680"/>
        <w:tab w:val="clear" w:pos="9360"/>
        <w:tab w:val="left" w:pos="69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8493D"/>
    <w:multiLevelType w:val="multilevel"/>
    <w:tmpl w:val="BD9E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FD4ABE"/>
    <w:multiLevelType w:val="multilevel"/>
    <w:tmpl w:val="4A20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33495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5AA037E"/>
    <w:multiLevelType w:val="hybridMultilevel"/>
    <w:tmpl w:val="72D24AC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6B62FE4"/>
    <w:multiLevelType w:val="multilevel"/>
    <w:tmpl w:val="FD5E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3B38D6"/>
    <w:multiLevelType w:val="multilevel"/>
    <w:tmpl w:val="51826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266C0C"/>
    <w:multiLevelType w:val="multilevel"/>
    <w:tmpl w:val="C25C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40504952">
    <w:abstractNumId w:val="2"/>
  </w:num>
  <w:num w:numId="2" w16cid:durableId="447746226">
    <w:abstractNumId w:val="1"/>
  </w:num>
  <w:num w:numId="3" w16cid:durableId="792405009">
    <w:abstractNumId w:val="0"/>
  </w:num>
  <w:num w:numId="4" w16cid:durableId="584267481">
    <w:abstractNumId w:val="5"/>
  </w:num>
  <w:num w:numId="5" w16cid:durableId="2096974780">
    <w:abstractNumId w:val="6"/>
  </w:num>
  <w:num w:numId="6" w16cid:durableId="732898422">
    <w:abstractNumId w:val="4"/>
  </w:num>
  <w:num w:numId="7" w16cid:durableId="12753317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1E2"/>
    <w:rsid w:val="00010554"/>
    <w:rsid w:val="000374FE"/>
    <w:rsid w:val="00044AB8"/>
    <w:rsid w:val="0004733F"/>
    <w:rsid w:val="00047DEC"/>
    <w:rsid w:val="00060722"/>
    <w:rsid w:val="000815A9"/>
    <w:rsid w:val="0009304C"/>
    <w:rsid w:val="000B53AF"/>
    <w:rsid w:val="000C5584"/>
    <w:rsid w:val="000D3AD3"/>
    <w:rsid w:val="000D4437"/>
    <w:rsid w:val="000E0DA5"/>
    <w:rsid w:val="000E7D85"/>
    <w:rsid w:val="000F57D1"/>
    <w:rsid w:val="0012582B"/>
    <w:rsid w:val="001339DC"/>
    <w:rsid w:val="00146510"/>
    <w:rsid w:val="00155B06"/>
    <w:rsid w:val="00157137"/>
    <w:rsid w:val="001611D8"/>
    <w:rsid w:val="00182E46"/>
    <w:rsid w:val="00191D7F"/>
    <w:rsid w:val="001945D0"/>
    <w:rsid w:val="001B0DF3"/>
    <w:rsid w:val="001C121C"/>
    <w:rsid w:val="001C64E7"/>
    <w:rsid w:val="001E00D6"/>
    <w:rsid w:val="001E0D55"/>
    <w:rsid w:val="001E34A8"/>
    <w:rsid w:val="002166E7"/>
    <w:rsid w:val="002239EC"/>
    <w:rsid w:val="00236DAA"/>
    <w:rsid w:val="002373CE"/>
    <w:rsid w:val="00247B38"/>
    <w:rsid w:val="00267D56"/>
    <w:rsid w:val="00276E35"/>
    <w:rsid w:val="00282B0C"/>
    <w:rsid w:val="00286C14"/>
    <w:rsid w:val="002A53D4"/>
    <w:rsid w:val="002B1255"/>
    <w:rsid w:val="002B63A5"/>
    <w:rsid w:val="002B6D1B"/>
    <w:rsid w:val="002C0C69"/>
    <w:rsid w:val="002D25F9"/>
    <w:rsid w:val="003074CD"/>
    <w:rsid w:val="00317874"/>
    <w:rsid w:val="00326DAD"/>
    <w:rsid w:val="00333277"/>
    <w:rsid w:val="00342F23"/>
    <w:rsid w:val="0034712F"/>
    <w:rsid w:val="0036129C"/>
    <w:rsid w:val="00371607"/>
    <w:rsid w:val="00372263"/>
    <w:rsid w:val="00380F57"/>
    <w:rsid w:val="00390459"/>
    <w:rsid w:val="00391622"/>
    <w:rsid w:val="00391DE8"/>
    <w:rsid w:val="003926B8"/>
    <w:rsid w:val="003A11AB"/>
    <w:rsid w:val="003A5E06"/>
    <w:rsid w:val="003A6582"/>
    <w:rsid w:val="003B37BF"/>
    <w:rsid w:val="003B6772"/>
    <w:rsid w:val="00407480"/>
    <w:rsid w:val="00454EAB"/>
    <w:rsid w:val="00463689"/>
    <w:rsid w:val="00463DD8"/>
    <w:rsid w:val="00474504"/>
    <w:rsid w:val="004C5CED"/>
    <w:rsid w:val="004D682D"/>
    <w:rsid w:val="004E296B"/>
    <w:rsid w:val="005000D8"/>
    <w:rsid w:val="00512C36"/>
    <w:rsid w:val="00523729"/>
    <w:rsid w:val="00526638"/>
    <w:rsid w:val="00527530"/>
    <w:rsid w:val="005329C2"/>
    <w:rsid w:val="00544A78"/>
    <w:rsid w:val="00551F5D"/>
    <w:rsid w:val="00553479"/>
    <w:rsid w:val="00561A54"/>
    <w:rsid w:val="00562497"/>
    <w:rsid w:val="0059186C"/>
    <w:rsid w:val="005A70C9"/>
    <w:rsid w:val="005C03BF"/>
    <w:rsid w:val="005C11F0"/>
    <w:rsid w:val="005D72EA"/>
    <w:rsid w:val="005E0C13"/>
    <w:rsid w:val="006017E9"/>
    <w:rsid w:val="006033C9"/>
    <w:rsid w:val="006035DF"/>
    <w:rsid w:val="00613D38"/>
    <w:rsid w:val="00615939"/>
    <w:rsid w:val="00631DB2"/>
    <w:rsid w:val="00651289"/>
    <w:rsid w:val="00654916"/>
    <w:rsid w:val="00655BD6"/>
    <w:rsid w:val="006827AA"/>
    <w:rsid w:val="006971CA"/>
    <w:rsid w:val="006A29E0"/>
    <w:rsid w:val="006A5A96"/>
    <w:rsid w:val="006C5A05"/>
    <w:rsid w:val="006E518E"/>
    <w:rsid w:val="006F5343"/>
    <w:rsid w:val="00713852"/>
    <w:rsid w:val="00716B42"/>
    <w:rsid w:val="007273A0"/>
    <w:rsid w:val="0073248F"/>
    <w:rsid w:val="007371DC"/>
    <w:rsid w:val="00745DD8"/>
    <w:rsid w:val="0075117C"/>
    <w:rsid w:val="007544AC"/>
    <w:rsid w:val="00761013"/>
    <w:rsid w:val="007944EE"/>
    <w:rsid w:val="007953E5"/>
    <w:rsid w:val="007A2CA2"/>
    <w:rsid w:val="007C7AEA"/>
    <w:rsid w:val="007D1029"/>
    <w:rsid w:val="007D5C45"/>
    <w:rsid w:val="007E71EE"/>
    <w:rsid w:val="007E7F5B"/>
    <w:rsid w:val="00800C1D"/>
    <w:rsid w:val="008072BB"/>
    <w:rsid w:val="008240F2"/>
    <w:rsid w:val="00824696"/>
    <w:rsid w:val="0082473C"/>
    <w:rsid w:val="00827A1D"/>
    <w:rsid w:val="00864E90"/>
    <w:rsid w:val="008659AF"/>
    <w:rsid w:val="00874887"/>
    <w:rsid w:val="00881C0A"/>
    <w:rsid w:val="00882AE9"/>
    <w:rsid w:val="00885043"/>
    <w:rsid w:val="0088553C"/>
    <w:rsid w:val="00891643"/>
    <w:rsid w:val="008951E2"/>
    <w:rsid w:val="008A5A3E"/>
    <w:rsid w:val="008A639C"/>
    <w:rsid w:val="008B1878"/>
    <w:rsid w:val="008C1E73"/>
    <w:rsid w:val="008D6AC6"/>
    <w:rsid w:val="008F0644"/>
    <w:rsid w:val="008F7F2C"/>
    <w:rsid w:val="00916B0E"/>
    <w:rsid w:val="00920834"/>
    <w:rsid w:val="00921B27"/>
    <w:rsid w:val="00932F1F"/>
    <w:rsid w:val="00934853"/>
    <w:rsid w:val="00945A21"/>
    <w:rsid w:val="00953CC6"/>
    <w:rsid w:val="00955470"/>
    <w:rsid w:val="00965597"/>
    <w:rsid w:val="00970C27"/>
    <w:rsid w:val="00994E68"/>
    <w:rsid w:val="00995E6D"/>
    <w:rsid w:val="009A2D32"/>
    <w:rsid w:val="009B4633"/>
    <w:rsid w:val="009D4963"/>
    <w:rsid w:val="009E1436"/>
    <w:rsid w:val="009F0397"/>
    <w:rsid w:val="00A10BCC"/>
    <w:rsid w:val="00A167AC"/>
    <w:rsid w:val="00A2408B"/>
    <w:rsid w:val="00A4650A"/>
    <w:rsid w:val="00A80138"/>
    <w:rsid w:val="00AA3660"/>
    <w:rsid w:val="00AB6DDB"/>
    <w:rsid w:val="00AC078A"/>
    <w:rsid w:val="00AC32BC"/>
    <w:rsid w:val="00AD3442"/>
    <w:rsid w:val="00AD7967"/>
    <w:rsid w:val="00AF2752"/>
    <w:rsid w:val="00B03266"/>
    <w:rsid w:val="00B071BE"/>
    <w:rsid w:val="00B16115"/>
    <w:rsid w:val="00B4281F"/>
    <w:rsid w:val="00B62EFC"/>
    <w:rsid w:val="00B85991"/>
    <w:rsid w:val="00BC5D07"/>
    <w:rsid w:val="00BD0E46"/>
    <w:rsid w:val="00BD1EBD"/>
    <w:rsid w:val="00BE336D"/>
    <w:rsid w:val="00BE3603"/>
    <w:rsid w:val="00BE4B93"/>
    <w:rsid w:val="00BF2EE5"/>
    <w:rsid w:val="00BF3E50"/>
    <w:rsid w:val="00C04107"/>
    <w:rsid w:val="00C11E01"/>
    <w:rsid w:val="00C1282D"/>
    <w:rsid w:val="00C607DF"/>
    <w:rsid w:val="00C639B8"/>
    <w:rsid w:val="00C93F5B"/>
    <w:rsid w:val="00CA2B49"/>
    <w:rsid w:val="00CA2D7A"/>
    <w:rsid w:val="00CA479C"/>
    <w:rsid w:val="00CC16B1"/>
    <w:rsid w:val="00CE30B6"/>
    <w:rsid w:val="00CE73AB"/>
    <w:rsid w:val="00CF3BEC"/>
    <w:rsid w:val="00D11F0A"/>
    <w:rsid w:val="00D45BBE"/>
    <w:rsid w:val="00D74A02"/>
    <w:rsid w:val="00D74AED"/>
    <w:rsid w:val="00D802B8"/>
    <w:rsid w:val="00DD02B7"/>
    <w:rsid w:val="00DD0AAF"/>
    <w:rsid w:val="00DD22D3"/>
    <w:rsid w:val="00DD2E60"/>
    <w:rsid w:val="00DD53AD"/>
    <w:rsid w:val="00DE491D"/>
    <w:rsid w:val="00DF0910"/>
    <w:rsid w:val="00DF26E3"/>
    <w:rsid w:val="00DF60CA"/>
    <w:rsid w:val="00E22500"/>
    <w:rsid w:val="00E2411F"/>
    <w:rsid w:val="00E367DC"/>
    <w:rsid w:val="00E379FB"/>
    <w:rsid w:val="00E51252"/>
    <w:rsid w:val="00EA446A"/>
    <w:rsid w:val="00EB0B4E"/>
    <w:rsid w:val="00EB0CA1"/>
    <w:rsid w:val="00EC598B"/>
    <w:rsid w:val="00EE3447"/>
    <w:rsid w:val="00F138FD"/>
    <w:rsid w:val="00F31B4C"/>
    <w:rsid w:val="00F416CD"/>
    <w:rsid w:val="00F45A3B"/>
    <w:rsid w:val="00F80991"/>
    <w:rsid w:val="00FA3ECA"/>
    <w:rsid w:val="00FA5F5F"/>
    <w:rsid w:val="00FB0FCB"/>
    <w:rsid w:val="00FE3768"/>
    <w:rsid w:val="00FE3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A58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1E2"/>
    <w:pPr>
      <w:spacing w:line="259" w:lineRule="auto"/>
    </w:pPr>
    <w:rPr>
      <w:sz w:val="22"/>
      <w:szCs w:val="22"/>
    </w:rPr>
  </w:style>
  <w:style w:type="paragraph" w:styleId="Heading1">
    <w:name w:val="heading 1"/>
    <w:basedOn w:val="Normal"/>
    <w:next w:val="Normal"/>
    <w:link w:val="Heading1Char"/>
    <w:uiPriority w:val="9"/>
    <w:qFormat/>
    <w:rsid w:val="008951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51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1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1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1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51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1E2"/>
    <w:rPr>
      <w:rFonts w:eastAsiaTheme="majorEastAsia" w:cstheme="majorBidi"/>
      <w:color w:val="272727" w:themeColor="text1" w:themeTint="D8"/>
    </w:rPr>
  </w:style>
  <w:style w:type="paragraph" w:styleId="Title">
    <w:name w:val="Title"/>
    <w:basedOn w:val="Normal"/>
    <w:next w:val="Normal"/>
    <w:link w:val="TitleChar"/>
    <w:uiPriority w:val="10"/>
    <w:qFormat/>
    <w:rsid w:val="00895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1E2"/>
    <w:pPr>
      <w:spacing w:before="160"/>
      <w:jc w:val="center"/>
    </w:pPr>
    <w:rPr>
      <w:i/>
      <w:iCs/>
      <w:color w:val="404040" w:themeColor="text1" w:themeTint="BF"/>
    </w:rPr>
  </w:style>
  <w:style w:type="character" w:customStyle="1" w:styleId="QuoteChar">
    <w:name w:val="Quote Char"/>
    <w:basedOn w:val="DefaultParagraphFont"/>
    <w:link w:val="Quote"/>
    <w:uiPriority w:val="29"/>
    <w:rsid w:val="008951E2"/>
    <w:rPr>
      <w:i/>
      <w:iCs/>
      <w:color w:val="404040" w:themeColor="text1" w:themeTint="BF"/>
    </w:rPr>
  </w:style>
  <w:style w:type="paragraph" w:styleId="ListParagraph">
    <w:name w:val="List Paragraph"/>
    <w:basedOn w:val="Normal"/>
    <w:uiPriority w:val="34"/>
    <w:qFormat/>
    <w:rsid w:val="008951E2"/>
    <w:pPr>
      <w:ind w:left="720"/>
      <w:contextualSpacing/>
    </w:pPr>
  </w:style>
  <w:style w:type="character" w:styleId="IntenseEmphasis">
    <w:name w:val="Intense Emphasis"/>
    <w:basedOn w:val="DefaultParagraphFont"/>
    <w:uiPriority w:val="21"/>
    <w:qFormat/>
    <w:rsid w:val="008951E2"/>
    <w:rPr>
      <w:i/>
      <w:iCs/>
      <w:color w:val="0F4761" w:themeColor="accent1" w:themeShade="BF"/>
    </w:rPr>
  </w:style>
  <w:style w:type="paragraph" w:styleId="IntenseQuote">
    <w:name w:val="Intense Quote"/>
    <w:basedOn w:val="Normal"/>
    <w:next w:val="Normal"/>
    <w:link w:val="IntenseQuoteChar"/>
    <w:uiPriority w:val="30"/>
    <w:qFormat/>
    <w:rsid w:val="00895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1E2"/>
    <w:rPr>
      <w:i/>
      <w:iCs/>
      <w:color w:val="0F4761" w:themeColor="accent1" w:themeShade="BF"/>
    </w:rPr>
  </w:style>
  <w:style w:type="character" w:styleId="IntenseReference">
    <w:name w:val="Intense Reference"/>
    <w:basedOn w:val="DefaultParagraphFont"/>
    <w:uiPriority w:val="32"/>
    <w:qFormat/>
    <w:rsid w:val="008951E2"/>
    <w:rPr>
      <w:b/>
      <w:bCs/>
      <w:smallCaps/>
      <w:color w:val="0F4761" w:themeColor="accent1" w:themeShade="BF"/>
      <w:spacing w:val="5"/>
    </w:rPr>
  </w:style>
  <w:style w:type="paragraph" w:customStyle="1" w:styleId="Style2">
    <w:name w:val="Style2"/>
    <w:basedOn w:val="Normal"/>
    <w:link w:val="Style2Char"/>
    <w:qFormat/>
    <w:rsid w:val="008951E2"/>
    <w:pPr>
      <w:spacing w:after="0" w:line="480" w:lineRule="auto"/>
    </w:pPr>
    <w:rPr>
      <w:rFonts w:ascii="Times New Roman" w:hAnsi="Times New Roman" w:cs="Times New Roman"/>
      <w:b/>
      <w:bCs/>
      <w:sz w:val="24"/>
      <w:szCs w:val="24"/>
    </w:rPr>
  </w:style>
  <w:style w:type="character" w:customStyle="1" w:styleId="Style2Char">
    <w:name w:val="Style2 Char"/>
    <w:basedOn w:val="DefaultParagraphFont"/>
    <w:link w:val="Style2"/>
    <w:rsid w:val="008951E2"/>
    <w:rPr>
      <w:rFonts w:ascii="Times New Roman" w:hAnsi="Times New Roman" w:cs="Times New Roman"/>
      <w:b/>
      <w:bCs/>
    </w:rPr>
  </w:style>
  <w:style w:type="paragraph" w:customStyle="1" w:styleId="ALLCAPSTITLE">
    <w:name w:val="ALLCAPSTITLE"/>
    <w:basedOn w:val="Normal"/>
    <w:link w:val="ALLCAPSTITLEChar"/>
    <w:qFormat/>
    <w:rsid w:val="008951E2"/>
    <w:pPr>
      <w:spacing w:after="0" w:line="480" w:lineRule="auto"/>
      <w:jc w:val="center"/>
    </w:pPr>
    <w:rPr>
      <w:rFonts w:ascii="Times New Roman" w:hAnsi="Times New Roman" w:cs="Times New Roman"/>
      <w:b/>
      <w:bCs/>
      <w:sz w:val="24"/>
      <w:szCs w:val="24"/>
    </w:rPr>
  </w:style>
  <w:style w:type="character" w:customStyle="1" w:styleId="ALLCAPSTITLEChar">
    <w:name w:val="ALLCAPSTITLE Char"/>
    <w:basedOn w:val="DefaultParagraphFont"/>
    <w:link w:val="ALLCAPSTITLE"/>
    <w:rsid w:val="008951E2"/>
    <w:rPr>
      <w:rFonts w:ascii="Times New Roman" w:hAnsi="Times New Roman" w:cs="Times New Roman"/>
      <w:b/>
      <w:bCs/>
    </w:rPr>
  </w:style>
  <w:style w:type="paragraph" w:customStyle="1" w:styleId="Style3">
    <w:name w:val="Style3"/>
    <w:basedOn w:val="Normal"/>
    <w:link w:val="Style3Char"/>
    <w:qFormat/>
    <w:rsid w:val="008951E2"/>
    <w:pPr>
      <w:spacing w:after="0" w:line="480" w:lineRule="auto"/>
    </w:pPr>
    <w:rPr>
      <w:rFonts w:ascii="Times New Roman" w:hAnsi="Times New Roman" w:cs="Times New Roman"/>
      <w:b/>
      <w:bCs/>
      <w:i/>
      <w:iCs/>
      <w:sz w:val="24"/>
      <w:szCs w:val="24"/>
    </w:rPr>
  </w:style>
  <w:style w:type="character" w:customStyle="1" w:styleId="Style3Char">
    <w:name w:val="Style3 Char"/>
    <w:basedOn w:val="DefaultParagraphFont"/>
    <w:link w:val="Style3"/>
    <w:rsid w:val="008951E2"/>
    <w:rPr>
      <w:rFonts w:ascii="Times New Roman" w:hAnsi="Times New Roman" w:cs="Times New Roman"/>
      <w:b/>
      <w:bCs/>
      <w:i/>
      <w:iCs/>
    </w:rPr>
  </w:style>
  <w:style w:type="paragraph" w:customStyle="1" w:styleId="figure1">
    <w:name w:val="figure 1"/>
    <w:basedOn w:val="Normal"/>
    <w:link w:val="figure1Char"/>
    <w:qFormat/>
    <w:rsid w:val="008951E2"/>
    <w:pPr>
      <w:spacing w:after="0" w:line="480" w:lineRule="auto"/>
    </w:pPr>
    <w:rPr>
      <w:rFonts w:ascii="Times New Roman" w:hAnsi="Times New Roman" w:cs="Times New Roman"/>
      <w:b/>
      <w:bCs/>
      <w:sz w:val="24"/>
      <w:szCs w:val="24"/>
    </w:rPr>
  </w:style>
  <w:style w:type="character" w:customStyle="1" w:styleId="figure1Char">
    <w:name w:val="figure 1 Char"/>
    <w:basedOn w:val="DefaultParagraphFont"/>
    <w:link w:val="figure1"/>
    <w:rsid w:val="008951E2"/>
    <w:rPr>
      <w:rFonts w:ascii="Times New Roman" w:hAnsi="Times New Roman" w:cs="Times New Roman"/>
      <w:b/>
      <w:bCs/>
    </w:rPr>
  </w:style>
  <w:style w:type="character" w:styleId="CommentReference">
    <w:name w:val="annotation reference"/>
    <w:basedOn w:val="DefaultParagraphFont"/>
    <w:uiPriority w:val="99"/>
    <w:semiHidden/>
    <w:unhideWhenUsed/>
    <w:rsid w:val="001E00D6"/>
    <w:rPr>
      <w:sz w:val="16"/>
      <w:szCs w:val="16"/>
    </w:rPr>
  </w:style>
  <w:style w:type="paragraph" w:styleId="CommentText">
    <w:name w:val="annotation text"/>
    <w:basedOn w:val="Normal"/>
    <w:link w:val="CommentTextChar"/>
    <w:uiPriority w:val="99"/>
    <w:unhideWhenUsed/>
    <w:rsid w:val="001E00D6"/>
    <w:pPr>
      <w:spacing w:line="240" w:lineRule="auto"/>
    </w:pPr>
    <w:rPr>
      <w:sz w:val="20"/>
      <w:szCs w:val="20"/>
    </w:rPr>
  </w:style>
  <w:style w:type="character" w:customStyle="1" w:styleId="CommentTextChar">
    <w:name w:val="Comment Text Char"/>
    <w:basedOn w:val="DefaultParagraphFont"/>
    <w:link w:val="CommentText"/>
    <w:uiPriority w:val="99"/>
    <w:rsid w:val="001E00D6"/>
    <w:rPr>
      <w:sz w:val="20"/>
      <w:szCs w:val="20"/>
    </w:rPr>
  </w:style>
  <w:style w:type="paragraph" w:styleId="CommentSubject">
    <w:name w:val="annotation subject"/>
    <w:basedOn w:val="CommentText"/>
    <w:next w:val="CommentText"/>
    <w:link w:val="CommentSubjectChar"/>
    <w:uiPriority w:val="99"/>
    <w:semiHidden/>
    <w:unhideWhenUsed/>
    <w:rsid w:val="001E00D6"/>
    <w:rPr>
      <w:b/>
      <w:bCs/>
    </w:rPr>
  </w:style>
  <w:style w:type="character" w:customStyle="1" w:styleId="CommentSubjectChar">
    <w:name w:val="Comment Subject Char"/>
    <w:basedOn w:val="CommentTextChar"/>
    <w:link w:val="CommentSubject"/>
    <w:uiPriority w:val="99"/>
    <w:semiHidden/>
    <w:rsid w:val="001E00D6"/>
    <w:rPr>
      <w:b/>
      <w:bCs/>
      <w:sz w:val="20"/>
      <w:szCs w:val="20"/>
    </w:rPr>
  </w:style>
  <w:style w:type="paragraph" w:styleId="Header">
    <w:name w:val="header"/>
    <w:basedOn w:val="Normal"/>
    <w:link w:val="HeaderChar"/>
    <w:uiPriority w:val="99"/>
    <w:unhideWhenUsed/>
    <w:rsid w:val="001E00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00D6"/>
    <w:rPr>
      <w:sz w:val="22"/>
      <w:szCs w:val="22"/>
    </w:rPr>
  </w:style>
  <w:style w:type="paragraph" w:styleId="Footer">
    <w:name w:val="footer"/>
    <w:basedOn w:val="Normal"/>
    <w:link w:val="FooterChar"/>
    <w:uiPriority w:val="99"/>
    <w:unhideWhenUsed/>
    <w:rsid w:val="001E00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0D6"/>
    <w:rPr>
      <w:sz w:val="22"/>
      <w:szCs w:val="22"/>
    </w:rPr>
  </w:style>
  <w:style w:type="character" w:styleId="Hyperlink">
    <w:name w:val="Hyperlink"/>
    <w:basedOn w:val="DefaultParagraphFont"/>
    <w:uiPriority w:val="99"/>
    <w:unhideWhenUsed/>
    <w:rsid w:val="001E00D6"/>
    <w:rPr>
      <w:color w:val="auto"/>
      <w:u w:val="single"/>
    </w:rPr>
  </w:style>
  <w:style w:type="character" w:styleId="UnresolvedMention">
    <w:name w:val="Unresolved Mention"/>
    <w:basedOn w:val="DefaultParagraphFont"/>
    <w:uiPriority w:val="99"/>
    <w:semiHidden/>
    <w:unhideWhenUsed/>
    <w:rsid w:val="001E00D6"/>
    <w:rPr>
      <w:color w:val="605E5C"/>
      <w:shd w:val="clear" w:color="auto" w:fill="E1DFDD"/>
    </w:rPr>
  </w:style>
  <w:style w:type="paragraph" w:styleId="Revision">
    <w:name w:val="Revision"/>
    <w:hidden/>
    <w:uiPriority w:val="99"/>
    <w:semiHidden/>
    <w:rsid w:val="001E00D6"/>
    <w:pPr>
      <w:spacing w:after="0" w:line="240" w:lineRule="auto"/>
    </w:pPr>
    <w:rPr>
      <w:sz w:val="22"/>
      <w:szCs w:val="22"/>
    </w:rPr>
  </w:style>
  <w:style w:type="paragraph" w:styleId="NoSpacing">
    <w:name w:val="No Spacing"/>
    <w:link w:val="NoSpacingChar"/>
    <w:uiPriority w:val="1"/>
    <w:qFormat/>
    <w:rsid w:val="001E00D6"/>
    <w:pPr>
      <w:spacing w:after="0" w:line="240" w:lineRule="auto"/>
    </w:pPr>
    <w:rPr>
      <w:sz w:val="22"/>
      <w:szCs w:val="22"/>
    </w:rPr>
  </w:style>
  <w:style w:type="table" w:styleId="TableGrid">
    <w:name w:val="Table Grid"/>
    <w:basedOn w:val="TableNormal"/>
    <w:uiPriority w:val="39"/>
    <w:rsid w:val="001E00D6"/>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1E00D6"/>
    <w:rPr>
      <w:color w:val="96607D" w:themeColor="followedHyperlink"/>
      <w:u w:val="single"/>
    </w:rPr>
  </w:style>
  <w:style w:type="paragraph" w:styleId="TOC1">
    <w:name w:val="toc 1"/>
    <w:basedOn w:val="Normal"/>
    <w:next w:val="Normal"/>
    <w:autoRedefine/>
    <w:uiPriority w:val="39"/>
    <w:unhideWhenUsed/>
    <w:rsid w:val="001E00D6"/>
    <w:pPr>
      <w:tabs>
        <w:tab w:val="right" w:leader="dot" w:pos="9350"/>
      </w:tabs>
      <w:spacing w:before="240" w:after="120" w:line="480" w:lineRule="auto"/>
    </w:pPr>
    <w:rPr>
      <w:b/>
      <w:bCs/>
      <w:sz w:val="20"/>
      <w:szCs w:val="20"/>
    </w:rPr>
  </w:style>
  <w:style w:type="paragraph" w:styleId="TOC2">
    <w:name w:val="toc 2"/>
    <w:basedOn w:val="Normal"/>
    <w:next w:val="Normal"/>
    <w:autoRedefine/>
    <w:uiPriority w:val="39"/>
    <w:unhideWhenUsed/>
    <w:rsid w:val="001E00D6"/>
    <w:pPr>
      <w:spacing w:before="120" w:after="0"/>
      <w:ind w:left="220"/>
    </w:pPr>
    <w:rPr>
      <w:i/>
      <w:iCs/>
      <w:sz w:val="20"/>
      <w:szCs w:val="20"/>
    </w:rPr>
  </w:style>
  <w:style w:type="paragraph" w:styleId="TOC3">
    <w:name w:val="toc 3"/>
    <w:basedOn w:val="Normal"/>
    <w:next w:val="Normal"/>
    <w:autoRedefine/>
    <w:uiPriority w:val="39"/>
    <w:unhideWhenUsed/>
    <w:rsid w:val="001E00D6"/>
    <w:pPr>
      <w:spacing w:after="0"/>
      <w:ind w:left="440"/>
    </w:pPr>
    <w:rPr>
      <w:sz w:val="20"/>
      <w:szCs w:val="20"/>
    </w:rPr>
  </w:style>
  <w:style w:type="paragraph" w:styleId="TOC4">
    <w:name w:val="toc 4"/>
    <w:basedOn w:val="Normal"/>
    <w:next w:val="Normal"/>
    <w:autoRedefine/>
    <w:uiPriority w:val="39"/>
    <w:unhideWhenUsed/>
    <w:rsid w:val="001E00D6"/>
    <w:pPr>
      <w:spacing w:after="0"/>
      <w:ind w:left="660"/>
    </w:pPr>
    <w:rPr>
      <w:sz w:val="20"/>
      <w:szCs w:val="20"/>
    </w:rPr>
  </w:style>
  <w:style w:type="paragraph" w:styleId="TOC5">
    <w:name w:val="toc 5"/>
    <w:basedOn w:val="Normal"/>
    <w:next w:val="Normal"/>
    <w:autoRedefine/>
    <w:uiPriority w:val="39"/>
    <w:unhideWhenUsed/>
    <w:rsid w:val="001E00D6"/>
    <w:pPr>
      <w:spacing w:after="0"/>
      <w:ind w:left="880"/>
    </w:pPr>
    <w:rPr>
      <w:sz w:val="20"/>
      <w:szCs w:val="20"/>
    </w:rPr>
  </w:style>
  <w:style w:type="paragraph" w:styleId="TOC6">
    <w:name w:val="toc 6"/>
    <w:basedOn w:val="Normal"/>
    <w:next w:val="Normal"/>
    <w:autoRedefine/>
    <w:uiPriority w:val="39"/>
    <w:unhideWhenUsed/>
    <w:rsid w:val="001E00D6"/>
    <w:pPr>
      <w:spacing w:after="0"/>
      <w:ind w:left="1100"/>
    </w:pPr>
    <w:rPr>
      <w:sz w:val="20"/>
      <w:szCs w:val="20"/>
    </w:rPr>
  </w:style>
  <w:style w:type="paragraph" w:styleId="TOC7">
    <w:name w:val="toc 7"/>
    <w:basedOn w:val="Normal"/>
    <w:next w:val="Normal"/>
    <w:autoRedefine/>
    <w:uiPriority w:val="39"/>
    <w:unhideWhenUsed/>
    <w:rsid w:val="001E00D6"/>
    <w:pPr>
      <w:spacing w:after="0"/>
      <w:ind w:left="1320"/>
    </w:pPr>
    <w:rPr>
      <w:sz w:val="20"/>
      <w:szCs w:val="20"/>
    </w:rPr>
  </w:style>
  <w:style w:type="paragraph" w:styleId="TOC8">
    <w:name w:val="toc 8"/>
    <w:basedOn w:val="Normal"/>
    <w:next w:val="Normal"/>
    <w:autoRedefine/>
    <w:uiPriority w:val="39"/>
    <w:unhideWhenUsed/>
    <w:rsid w:val="001E00D6"/>
    <w:pPr>
      <w:spacing w:after="0"/>
      <w:ind w:left="1540"/>
    </w:pPr>
    <w:rPr>
      <w:sz w:val="20"/>
      <w:szCs w:val="20"/>
    </w:rPr>
  </w:style>
  <w:style w:type="paragraph" w:styleId="TOC9">
    <w:name w:val="toc 9"/>
    <w:basedOn w:val="Normal"/>
    <w:next w:val="Normal"/>
    <w:autoRedefine/>
    <w:uiPriority w:val="39"/>
    <w:unhideWhenUsed/>
    <w:rsid w:val="001E00D6"/>
    <w:pPr>
      <w:spacing w:after="0"/>
      <w:ind w:left="1760"/>
    </w:pPr>
    <w:rPr>
      <w:sz w:val="20"/>
      <w:szCs w:val="20"/>
    </w:rPr>
  </w:style>
  <w:style w:type="paragraph" w:styleId="TOCHeading">
    <w:name w:val="TOC Heading"/>
    <w:basedOn w:val="Heading1"/>
    <w:next w:val="Normal"/>
    <w:uiPriority w:val="39"/>
    <w:unhideWhenUsed/>
    <w:qFormat/>
    <w:rsid w:val="001E00D6"/>
    <w:pPr>
      <w:spacing w:before="240" w:after="0"/>
      <w:outlineLvl w:val="9"/>
    </w:pPr>
    <w:rPr>
      <w:kern w:val="0"/>
      <w:sz w:val="32"/>
      <w:szCs w:val="32"/>
      <w14:ligatures w14:val="none"/>
    </w:rPr>
  </w:style>
  <w:style w:type="table" w:customStyle="1" w:styleId="TableGrid1">
    <w:name w:val="Table Grid1"/>
    <w:basedOn w:val="TableNormal"/>
    <w:next w:val="TableGrid"/>
    <w:uiPriority w:val="39"/>
    <w:rsid w:val="001E0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Spacing"/>
    <w:link w:val="Style1Char"/>
    <w:qFormat/>
    <w:rsid w:val="001E00D6"/>
    <w:pPr>
      <w:spacing w:line="480" w:lineRule="auto"/>
      <w:jc w:val="center"/>
    </w:pPr>
    <w:rPr>
      <w:rFonts w:ascii="Times New Roman" w:hAnsi="Times New Roman" w:cs="Times New Roman"/>
      <w:b/>
      <w:bCs/>
    </w:rPr>
  </w:style>
  <w:style w:type="character" w:customStyle="1" w:styleId="NoSpacingChar">
    <w:name w:val="No Spacing Char"/>
    <w:basedOn w:val="DefaultParagraphFont"/>
    <w:link w:val="NoSpacing"/>
    <w:uiPriority w:val="1"/>
    <w:rsid w:val="001E00D6"/>
    <w:rPr>
      <w:sz w:val="22"/>
      <w:szCs w:val="22"/>
    </w:rPr>
  </w:style>
  <w:style w:type="character" w:customStyle="1" w:styleId="Style1Char">
    <w:name w:val="Style1 Char"/>
    <w:basedOn w:val="NoSpacingChar"/>
    <w:link w:val="Style1"/>
    <w:rsid w:val="001E00D6"/>
    <w:rPr>
      <w:rFonts w:ascii="Times New Roman" w:hAnsi="Times New Roman" w:cs="Times New Roman"/>
      <w:b/>
      <w:bCs/>
      <w:sz w:val="22"/>
      <w:szCs w:val="22"/>
    </w:rPr>
  </w:style>
  <w:style w:type="paragraph" w:customStyle="1" w:styleId="ChapterStyle">
    <w:name w:val="Chapter Style"/>
    <w:basedOn w:val="Normal"/>
    <w:link w:val="ChapterStyleChar"/>
    <w:qFormat/>
    <w:rsid w:val="001E00D6"/>
    <w:pPr>
      <w:spacing w:after="0" w:line="480" w:lineRule="auto"/>
      <w:jc w:val="center"/>
    </w:pPr>
    <w:rPr>
      <w:rFonts w:ascii="Times New Roman" w:hAnsi="Times New Roman" w:cs="Times New Roman"/>
      <w:b/>
      <w:bCs/>
      <w:sz w:val="24"/>
      <w:szCs w:val="24"/>
    </w:rPr>
  </w:style>
  <w:style w:type="character" w:customStyle="1" w:styleId="ChapterStyleChar">
    <w:name w:val="Chapter Style Char"/>
    <w:basedOn w:val="DefaultParagraphFont"/>
    <w:link w:val="ChapterStyle"/>
    <w:rsid w:val="001E00D6"/>
    <w:rPr>
      <w:rFonts w:ascii="Times New Roman" w:hAnsi="Times New Roman" w:cs="Times New Roman"/>
      <w:b/>
      <w:bCs/>
    </w:rPr>
  </w:style>
  <w:style w:type="paragraph" w:customStyle="1" w:styleId="STYLE4">
    <w:name w:val="STYLE4"/>
    <w:basedOn w:val="ChapterStyle"/>
    <w:link w:val="STYLE4Char"/>
    <w:qFormat/>
    <w:rsid w:val="001E00D6"/>
  </w:style>
  <w:style w:type="character" w:customStyle="1" w:styleId="STYLE4Char">
    <w:name w:val="STYLE4 Char"/>
    <w:basedOn w:val="ChapterStyleChar"/>
    <w:link w:val="STYLE4"/>
    <w:rsid w:val="001E00D6"/>
    <w:rPr>
      <w:rFonts w:ascii="Times New Roman" w:hAnsi="Times New Roman" w:cs="Times New Roman"/>
      <w:b/>
      <w:bCs/>
    </w:rPr>
  </w:style>
  <w:style w:type="paragraph" w:customStyle="1" w:styleId="STYLE5">
    <w:name w:val="STYLE5"/>
    <w:basedOn w:val="STYLE4"/>
    <w:link w:val="STYLE5Char"/>
    <w:qFormat/>
    <w:rsid w:val="001E00D6"/>
  </w:style>
  <w:style w:type="character" w:customStyle="1" w:styleId="STYLE5Char">
    <w:name w:val="STYLE5 Char"/>
    <w:basedOn w:val="STYLE4Char"/>
    <w:link w:val="STYLE5"/>
    <w:rsid w:val="001E00D6"/>
    <w:rPr>
      <w:rFonts w:ascii="Times New Roman" w:hAnsi="Times New Roman" w:cs="Times New Roman"/>
      <w:b/>
      <w:bCs/>
    </w:rPr>
  </w:style>
  <w:style w:type="paragraph" w:customStyle="1" w:styleId="table1">
    <w:name w:val="table 1"/>
    <w:basedOn w:val="Normal"/>
    <w:link w:val="table1Char"/>
    <w:qFormat/>
    <w:rsid w:val="001E00D6"/>
    <w:pPr>
      <w:spacing w:after="0" w:line="480" w:lineRule="auto"/>
    </w:pPr>
    <w:rPr>
      <w:rFonts w:ascii="Times New Roman" w:eastAsia="Calibri" w:hAnsi="Times New Roman" w:cs="Times New Roman"/>
      <w:b/>
      <w:bCs/>
    </w:rPr>
  </w:style>
  <w:style w:type="character" w:customStyle="1" w:styleId="table1Char">
    <w:name w:val="table 1 Char"/>
    <w:basedOn w:val="DefaultParagraphFont"/>
    <w:link w:val="table1"/>
    <w:rsid w:val="001E00D6"/>
    <w:rPr>
      <w:rFonts w:ascii="Times New Roman" w:eastAsia="Calibri" w:hAnsi="Times New Roman" w:cs="Times New Roman"/>
      <w:b/>
      <w:bCs/>
      <w:sz w:val="22"/>
      <w:szCs w:val="22"/>
    </w:rPr>
  </w:style>
  <w:style w:type="paragraph" w:styleId="NormalWeb">
    <w:name w:val="Normal (Web)"/>
    <w:basedOn w:val="Normal"/>
    <w:uiPriority w:val="99"/>
    <w:semiHidden/>
    <w:unhideWhenUsed/>
    <w:rsid w:val="001E00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works.uark.edu/etd/3652" TargetMode="External"/><Relationship Id="rId18" Type="http://schemas.openxmlformats.org/officeDocument/2006/relationships/hyperlink" Target="https://doi.org/10.4324/9780203774441" TargetMode="External"/><Relationship Id="rId26" Type="http://schemas.openxmlformats.org/officeDocument/2006/relationships/hyperlink" Target="http://dx.doi.org/10.1111/j.1744-6570.2007.00083.x" TargetMode="External"/><Relationship Id="rId39" Type="http://schemas.openxmlformats.org/officeDocument/2006/relationships/theme" Target="theme/theme1.xml"/><Relationship Id="rId21" Type="http://schemas.openxmlformats.org/officeDocument/2006/relationships/hyperlink" Target="https://doi.org/10.1177/0972150915591652" TargetMode="External"/><Relationship Id="rId34" Type="http://schemas.openxmlformats.org/officeDocument/2006/relationships/hyperlink" Target="https://www.forbes.com/sites/forbesbusinesscouncil/2023/06/16/the-case-for-transparency-in-the-workplace-and-its-impact-on-organizational-performance/" TargetMode="External"/><Relationship Id="rId7" Type="http://schemas.openxmlformats.org/officeDocument/2006/relationships/endnotes" Target="endnotes.xml"/><Relationship Id="rId12" Type="http://schemas.openxmlformats.org/officeDocument/2006/relationships/hyperlink" Target="https://digitalcommons.unomaha.edu/edleadstudent/49" TargetMode="External"/><Relationship Id="rId17" Type="http://schemas.openxmlformats.org/officeDocument/2006/relationships/hyperlink" Target="https://open.clemson.edu/joe/vol20/iss5/9" TargetMode="External"/><Relationship Id="rId25" Type="http://schemas.openxmlformats.org/officeDocument/2006/relationships/hyperlink" Target="https://doi.org/10.37433/aad.v5i2.351" TargetMode="External"/><Relationship Id="rId33" Type="http://schemas.openxmlformats.org/officeDocument/2006/relationships/hyperlink" Target="https://krex.k-state.edu/bitstreams/d9b34cf4-5823-4340-85ac-7e900f8953e8/download"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j.1365-2923.2008.03172.x" TargetMode="External"/><Relationship Id="rId20" Type="http://schemas.openxmlformats.org/officeDocument/2006/relationships/hyperlink" Target="https://doi.org/10.1108/PR-05-2015-0126" TargetMode="External"/><Relationship Id="rId29" Type="http://schemas.openxmlformats.org/officeDocument/2006/relationships/hyperlink" Target="https://doi.org/10.1037/0021-9010.62.2.2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3150783" TargetMode="External"/><Relationship Id="rId24" Type="http://schemas.openxmlformats.org/officeDocument/2006/relationships/hyperlink" Target="https://doi.org/10.5032/jae.2001.04043" TargetMode="External"/><Relationship Id="rId32" Type="http://schemas.openxmlformats.org/officeDocument/2006/relationships/hyperlink" Target="https://scholarworks.uark.edu/etd/4044/" TargetMode="External"/><Relationship Id="rId37" Type="http://schemas.openxmlformats.org/officeDocument/2006/relationships/hyperlink" Target="https://doi.org/10.4324/9781003250616" TargetMode="External"/><Relationship Id="rId5" Type="http://schemas.openxmlformats.org/officeDocument/2006/relationships/webSettings" Target="webSettings.xml"/><Relationship Id="rId15" Type="http://schemas.openxmlformats.org/officeDocument/2006/relationships/hyperlink" Target="https://doi.org/10.1177/0018726708094863" TargetMode="External"/><Relationship Id="rId23" Type="http://schemas.openxmlformats.org/officeDocument/2006/relationships/hyperlink" Target="https://doi.org/10.1037/apl0000181" TargetMode="External"/><Relationship Id="rId28" Type="http://schemas.openxmlformats.org/officeDocument/2006/relationships/hyperlink" Target="http://dx.doi.org/10.5465/3069391" TargetMode="External"/><Relationship Id="rId36" Type="http://schemas.openxmlformats.org/officeDocument/2006/relationships/hyperlink" Target="https://doi.org/10.37433/aad.v2i3.137" TargetMode="External"/><Relationship Id="rId10" Type="http://schemas.openxmlformats.org/officeDocument/2006/relationships/hyperlink" Target="https://doi.org/10.1186/s12982-015-0029-4" TargetMode="External"/><Relationship Id="rId19" Type="http://schemas.openxmlformats.org/officeDocument/2006/relationships/hyperlink" Target="https://doi.org/10.34068/joe.60.03.03" TargetMode="External"/><Relationship Id="rId31" Type="http://schemas.openxmlformats.org/officeDocument/2006/relationships/hyperlink" Target="https://doi.org/10.7275/5fex-b874" TargetMode="External"/><Relationship Id="rId4" Type="http://schemas.openxmlformats.org/officeDocument/2006/relationships/settings" Target="settings.xml"/><Relationship Id="rId9" Type="http://schemas.openxmlformats.org/officeDocument/2006/relationships/hyperlink" Target="https://doi.org/10.1016/j.tjem.2018.08.001" TargetMode="External"/><Relationship Id="rId14" Type="http://schemas.openxmlformats.org/officeDocument/2006/relationships/hyperlink" Target="http://www.joe.org/joe/2008august/a7.php" TargetMode="External"/><Relationship Id="rId22" Type="http://schemas.openxmlformats.org/officeDocument/2006/relationships/hyperlink" Target="https://open.clemson.edu/joe/vol52/iss3/4/" TargetMode="External"/><Relationship Id="rId27" Type="http://schemas.openxmlformats.org/officeDocument/2006/relationships/hyperlink" Target="https://oaktrust.library.tamu.edu/bitstream/handle/1969.1/154103/MCLELLAN-DISSERTATION-2014.pdf" TargetMode="External"/><Relationship Id="rId30" Type="http://schemas.openxmlformats.org/officeDocument/2006/relationships/hyperlink" Target="https://ijcrt.org/papers/IJCRT24A5020.pdf" TargetMode="External"/><Relationship Id="rId35" Type="http://schemas.openxmlformats.org/officeDocument/2006/relationships/hyperlink" Target="https://doi.org/10.34068/joe.48.02.02" TargetMode="Externa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E58B7-425F-4259-A363-14A974F42923}">
  <ds:schemaRefs>
    <ds:schemaRef ds:uri="http://schemas.openxmlformats.org/officeDocument/2006/bibliography"/>
  </ds:schemaRefs>
</ds:datastoreItem>
</file>

<file path=docMetadata/LabelInfo.xml><?xml version="1.0" encoding="utf-8"?>
<clbl:labelList xmlns:clbl="http://schemas.microsoft.com/office/2020/mipLabelMetadata">
  <clbl:label id="{79c742c4-e61c-4fa5-be89-a3cb566a80d1}" enabled="0" method="" siteId="{79c742c4-e61c-4fa5-be89-a3cb566a80d1}" removed="1"/>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7336</Words>
  <Characters>38224</Characters>
  <Application>Microsoft Office Word</Application>
  <DocSecurity>0</DocSecurity>
  <Lines>1470</Lines>
  <Paragraphs>562</Paragraphs>
  <ScaleCrop>false</ScaleCrop>
  <Company/>
  <LinksUpToDate>false</LinksUpToDate>
  <CharactersWithSpaces>44998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2026-03-23T14:35:00Z</dcterms:created>
  <dcterms:modified xsi:type="dcterms:W3CDTF">2026-03-23T14:35:00Z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570d0e1-5e3d-4557-a9f8-84d8494b9cc8_Enabled">
    <vt:lpwstr>true</vt:lpwstr>
  </property>
  <property fmtid="{D5CDD505-2E9C-101B-9397-08002B2CF9AE}" pid="3" name="MSIP_Label_0570d0e1-5e3d-4557-a9f8-84d8494b9cc8_SetDate">
    <vt:lpwstr>2026-03-20T13:42:44Z</vt:lpwstr>
  </property>
  <property fmtid="{D5CDD505-2E9C-101B-9397-08002B2CF9AE}" pid="4" name="MSIP_Label_0570d0e1-5e3d-4557-a9f8-84d8494b9cc8_Method">
    <vt:lpwstr>Standard</vt:lpwstr>
  </property>
  <property fmtid="{D5CDD505-2E9C-101B-9397-08002B2CF9AE}" pid="5" name="MSIP_Label_0570d0e1-5e3d-4557-a9f8-84d8494b9cc8_Name">
    <vt:lpwstr>Public Data</vt:lpwstr>
  </property>
  <property fmtid="{D5CDD505-2E9C-101B-9397-08002B2CF9AE}" pid="6" name="MSIP_Label_0570d0e1-5e3d-4557-a9f8-84d8494b9cc8_SiteId">
    <vt:lpwstr>174d954f-585e-40c3-ae1c-01ada5f26723</vt:lpwstr>
  </property>
  <property fmtid="{D5CDD505-2E9C-101B-9397-08002B2CF9AE}" pid="7" name="MSIP_Label_0570d0e1-5e3d-4557-a9f8-84d8494b9cc8_ActionId">
    <vt:lpwstr>4972a2bb-c49d-4318-88bb-07c1bdb09e08</vt:lpwstr>
  </property>
  <property fmtid="{D5CDD505-2E9C-101B-9397-08002B2CF9AE}" pid="8" name="MSIP_Label_0570d0e1-5e3d-4557-a9f8-84d8494b9cc8_ContentBits">
    <vt:lpwstr>0</vt:lpwstr>
  </property>
  <property fmtid="{D5CDD505-2E9C-101B-9397-08002B2CF9AE}" pid="9" name="MSIP_Label_0570d0e1-5e3d-4557-a9f8-84d8494b9cc8_Tag">
    <vt:lpwstr>10, 3, 0, 1</vt:lpwstr>
  </property>
</Properties>
</file>